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B104F54" w14:textId="77777777">
        <w:trPr>
          <w:trHeight w:val="852"/>
          <w:jc w:val="center"/>
        </w:trPr>
        <w:tc>
          <w:tcPr>
            <w:tcW w:w="6946" w:type="dxa"/>
            <w:vMerge w:val="restart"/>
            <w:tcBorders>
              <w:right w:val="single" w:sz="4" w:space="0" w:color="auto"/>
            </w:tcBorders>
          </w:tcPr>
          <w:p w14:paraId="0B104F50"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B104FFC" wp14:editId="0B104FF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B104F51"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B104F5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B104F53" w14:textId="77777777" w:rsidR="000A03B2" w:rsidRPr="00B57B36" w:rsidRDefault="000A03B2" w:rsidP="00CD5FE2">
            <w:pPr>
              <w:jc w:val="right"/>
            </w:pPr>
            <w:r w:rsidRPr="00B57B36">
              <w:rPr>
                <w:noProof/>
                <w:lang w:eastAsia="en-GB"/>
              </w:rPr>
              <w:drawing>
                <wp:inline distT="0" distB="0" distL="0" distR="0" wp14:anchorId="0B104FFE" wp14:editId="0B104FF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B104F59" w14:textId="77777777">
        <w:trPr>
          <w:trHeight w:val="567"/>
          <w:jc w:val="center"/>
        </w:trPr>
        <w:tc>
          <w:tcPr>
            <w:tcW w:w="6946" w:type="dxa"/>
            <w:vMerge/>
            <w:tcBorders>
              <w:right w:val="single" w:sz="4" w:space="0" w:color="auto"/>
            </w:tcBorders>
          </w:tcPr>
          <w:p w14:paraId="0B104F5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B104F5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B104F5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B104F58"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B104F5C" w14:textId="77777777">
        <w:trPr>
          <w:trHeight w:val="68"/>
          <w:jc w:val="center"/>
        </w:trPr>
        <w:tc>
          <w:tcPr>
            <w:tcW w:w="8789" w:type="dxa"/>
            <w:gridSpan w:val="2"/>
          </w:tcPr>
          <w:p w14:paraId="0B104F5A"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B104F5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B104F5D"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B104F5E" w14:textId="550EE30F" w:rsidR="00E978D0" w:rsidRPr="00B57B36" w:rsidRDefault="00263C25" w:rsidP="00E978D0">
      <w:pPr>
        <w:pStyle w:val="CETTitle"/>
      </w:pPr>
      <w:r>
        <w:t xml:space="preserve">Analysis of </w:t>
      </w:r>
      <w:r w:rsidR="00124B0C">
        <w:t>P</w:t>
      </w:r>
      <w:r>
        <w:t xml:space="preserve">ast </w:t>
      </w:r>
      <w:r w:rsidR="00124B0C">
        <w:t>A</w:t>
      </w:r>
      <w:r>
        <w:t xml:space="preserve">ccidents </w:t>
      </w:r>
      <w:r w:rsidR="00124B0C">
        <w:t>T</w:t>
      </w:r>
      <w:r>
        <w:t xml:space="preserve">riggered by </w:t>
      </w:r>
      <w:r w:rsidR="00124B0C">
        <w:t>N</w:t>
      </w:r>
      <w:r>
        <w:t xml:space="preserve">atural </w:t>
      </w:r>
      <w:r w:rsidR="00124B0C">
        <w:t>E</w:t>
      </w:r>
      <w:r>
        <w:t xml:space="preserve">vents in the </w:t>
      </w:r>
      <w:r w:rsidR="00124B0C">
        <w:t>C</w:t>
      </w:r>
      <w:r>
        <w:t xml:space="preserve">hemical and </w:t>
      </w:r>
      <w:r w:rsidR="00124B0C">
        <w:t>P</w:t>
      </w:r>
      <w:r>
        <w:t xml:space="preserve">rocess </w:t>
      </w:r>
      <w:r w:rsidR="00124B0C">
        <w:t>I</w:t>
      </w:r>
      <w:r>
        <w:t>ndustry</w:t>
      </w:r>
    </w:p>
    <w:p w14:paraId="0B104F5F" w14:textId="128710E8" w:rsidR="00E978D0" w:rsidRPr="00263C25" w:rsidRDefault="00263C25" w:rsidP="00AB5011">
      <w:pPr>
        <w:pStyle w:val="CETAuthors"/>
        <w:rPr>
          <w:lang w:val="it-IT"/>
        </w:rPr>
      </w:pPr>
      <w:r w:rsidRPr="00263C25">
        <w:rPr>
          <w:lang w:val="it-IT"/>
        </w:rPr>
        <w:t>Valeria Casson Moreno</w:t>
      </w:r>
      <w:r w:rsidRPr="00263C25">
        <w:rPr>
          <w:vertAlign w:val="superscript"/>
          <w:lang w:val="it-IT"/>
        </w:rPr>
        <w:t>*</w:t>
      </w:r>
      <w:r w:rsidR="00600535" w:rsidRPr="00263C25">
        <w:rPr>
          <w:lang w:val="it-IT"/>
        </w:rPr>
        <w:t xml:space="preserve">, </w:t>
      </w:r>
      <w:r w:rsidRPr="00263C25">
        <w:rPr>
          <w:lang w:val="it-IT"/>
        </w:rPr>
        <w:t>Federica Ricci</w:t>
      </w:r>
      <w:r w:rsidR="00600535" w:rsidRPr="00263C25">
        <w:rPr>
          <w:lang w:val="it-IT"/>
        </w:rPr>
        <w:t xml:space="preserve">, </w:t>
      </w:r>
      <w:r w:rsidR="00124B0C">
        <w:rPr>
          <w:lang w:val="it-IT"/>
        </w:rPr>
        <w:t>Riccardo Sorichetti</w:t>
      </w:r>
      <w:r w:rsidR="000957E6">
        <w:rPr>
          <w:lang w:val="it-IT"/>
        </w:rPr>
        <w:t xml:space="preserve">, </w:t>
      </w:r>
      <w:r w:rsidRPr="00263C25">
        <w:rPr>
          <w:lang w:val="it-IT"/>
        </w:rPr>
        <w:t>Alessio Misuri, Valerio Cozzani</w:t>
      </w:r>
    </w:p>
    <w:p w14:paraId="0B104F60" w14:textId="77777777" w:rsidR="00E978D0" w:rsidRPr="00B57B36" w:rsidRDefault="00263C25" w:rsidP="00E978D0">
      <w:pPr>
        <w:pStyle w:val="CETAddress"/>
      </w:pPr>
      <w:r>
        <w:t>Department of Civil, Chemical, Environmental, and Materials Engineering – DICAM, via U. Terracini 28, University of Bologna, Bologna, Italy</w:t>
      </w:r>
      <w:r w:rsidR="00E978D0" w:rsidRPr="00B57B36">
        <w:t xml:space="preserve"> </w:t>
      </w:r>
    </w:p>
    <w:p w14:paraId="0B104F61" w14:textId="77777777" w:rsidR="00E978D0" w:rsidRPr="00B57B36" w:rsidRDefault="004525AD" w:rsidP="00E978D0">
      <w:pPr>
        <w:pStyle w:val="CETemail"/>
      </w:pPr>
      <w:r>
        <w:t xml:space="preserve"> </w:t>
      </w:r>
      <w:r w:rsidR="00263C25">
        <w:t>valeria.cassonmoreno@unibo.it</w:t>
      </w:r>
    </w:p>
    <w:p w14:paraId="0B104F62" w14:textId="77777777" w:rsidR="00ED1581" w:rsidRDefault="00582FFF" w:rsidP="00600535">
      <w:pPr>
        <w:pStyle w:val="CETBodytext"/>
        <w:rPr>
          <w:lang w:val="en-GB"/>
        </w:rPr>
      </w:pPr>
      <w:r w:rsidRPr="00582FFF">
        <w:rPr>
          <w:lang w:val="en-GB"/>
        </w:rPr>
        <w:t>NaTech events (Natural Hazard Triggering Technological Disasters) are becoming an increasing concern in the Chemical and Process Industry</w:t>
      </w:r>
      <w:r w:rsidR="00ED1581">
        <w:rPr>
          <w:lang w:val="en-GB"/>
        </w:rPr>
        <w:t xml:space="preserve"> (CPI)</w:t>
      </w:r>
      <w:r w:rsidRPr="00582FFF">
        <w:rPr>
          <w:lang w:val="en-GB"/>
        </w:rPr>
        <w:t>. From a risk management standpoint, a better understanding of</w:t>
      </w:r>
      <w:r w:rsidR="00C31AC5">
        <w:rPr>
          <w:lang w:val="en-GB"/>
        </w:rPr>
        <w:t xml:space="preserve"> such events is </w:t>
      </w:r>
      <w:r w:rsidRPr="00582FFF">
        <w:rPr>
          <w:lang w:val="en-GB"/>
        </w:rPr>
        <w:t xml:space="preserve">of paramount importance. In this perspective, the analysis of past accidents is crucial, being almost the only source of information on the possible </w:t>
      </w:r>
      <w:r w:rsidR="00C31AC5">
        <w:rPr>
          <w:lang w:val="en-GB"/>
        </w:rPr>
        <w:t>interactions between</w:t>
      </w:r>
      <w:r w:rsidRPr="00582FFF">
        <w:rPr>
          <w:lang w:val="en-GB"/>
        </w:rPr>
        <w:t xml:space="preserve"> natural </w:t>
      </w:r>
      <w:r w:rsidR="00C31AC5">
        <w:rPr>
          <w:lang w:val="en-GB"/>
        </w:rPr>
        <w:t>threats</w:t>
      </w:r>
      <w:r w:rsidRPr="00582FFF">
        <w:rPr>
          <w:lang w:val="en-GB"/>
        </w:rPr>
        <w:t xml:space="preserve"> </w:t>
      </w:r>
      <w:r w:rsidR="00C31AC5">
        <w:rPr>
          <w:lang w:val="en-GB"/>
        </w:rPr>
        <w:t>and</w:t>
      </w:r>
      <w:r w:rsidRPr="00582FFF">
        <w:rPr>
          <w:lang w:val="en-GB"/>
        </w:rPr>
        <w:t xml:space="preserve"> </w:t>
      </w:r>
      <w:r w:rsidR="00ED1581">
        <w:rPr>
          <w:lang w:val="en-GB"/>
        </w:rPr>
        <w:t>CPI</w:t>
      </w:r>
      <w:r w:rsidRPr="00582FFF">
        <w:rPr>
          <w:lang w:val="en-GB"/>
        </w:rPr>
        <w:t>.</w:t>
      </w:r>
      <w:r w:rsidR="00C31AC5">
        <w:rPr>
          <w:lang w:val="en-GB"/>
        </w:rPr>
        <w:t xml:space="preserve"> </w:t>
      </w:r>
    </w:p>
    <w:p w14:paraId="0B104F63" w14:textId="14252FD0" w:rsidR="00582FFF" w:rsidRDefault="00C31AC5" w:rsidP="00600535">
      <w:pPr>
        <w:pStyle w:val="CETBodytext"/>
        <w:rPr>
          <w:color w:val="FF0000"/>
          <w:lang w:val="en-GB"/>
        </w:rPr>
      </w:pPr>
      <w:r>
        <w:rPr>
          <w:lang w:val="en-GB"/>
        </w:rPr>
        <w:t xml:space="preserve">To this aim, the present work </w:t>
      </w:r>
      <w:r w:rsidR="00495231">
        <w:rPr>
          <w:lang w:val="en-GB"/>
        </w:rPr>
        <w:t>collected</w:t>
      </w:r>
      <w:r w:rsidR="00582FFF" w:rsidRPr="00582FFF">
        <w:rPr>
          <w:lang w:val="en-GB"/>
        </w:rPr>
        <w:t xml:space="preserve"> </w:t>
      </w:r>
      <w:r>
        <w:rPr>
          <w:lang w:val="en-GB"/>
        </w:rPr>
        <w:t>4</w:t>
      </w:r>
      <w:r w:rsidR="00B16604">
        <w:rPr>
          <w:lang w:val="en-GB"/>
        </w:rPr>
        <w:t>38</w:t>
      </w:r>
      <w:r>
        <w:rPr>
          <w:lang w:val="en-GB"/>
        </w:rPr>
        <w:t xml:space="preserve"> </w:t>
      </w:r>
      <w:r w:rsidR="00582FFF" w:rsidRPr="00582FFF">
        <w:rPr>
          <w:lang w:val="en-GB"/>
        </w:rPr>
        <w:t xml:space="preserve">past </w:t>
      </w:r>
      <w:r>
        <w:rPr>
          <w:lang w:val="en-GB"/>
        </w:rPr>
        <w:t xml:space="preserve">NaTechs </w:t>
      </w:r>
      <w:r w:rsidR="00582FFF" w:rsidRPr="00582FFF">
        <w:rPr>
          <w:lang w:val="en-GB"/>
        </w:rPr>
        <w:t xml:space="preserve">that </w:t>
      </w:r>
      <w:r>
        <w:rPr>
          <w:lang w:val="en-GB"/>
        </w:rPr>
        <w:t xml:space="preserve">affected </w:t>
      </w:r>
      <w:r w:rsidR="00ED1581">
        <w:rPr>
          <w:lang w:val="en-GB"/>
        </w:rPr>
        <w:t xml:space="preserve">CPI, </w:t>
      </w:r>
      <w:r w:rsidR="00495231">
        <w:rPr>
          <w:lang w:val="en-GB"/>
        </w:rPr>
        <w:t>analysing</w:t>
      </w:r>
      <w:r w:rsidR="00ED1581">
        <w:rPr>
          <w:lang w:val="en-GB"/>
        </w:rPr>
        <w:t xml:space="preserve"> </w:t>
      </w:r>
      <w:r w:rsidR="00582FFF" w:rsidRPr="00582FFF">
        <w:rPr>
          <w:lang w:val="en-GB"/>
        </w:rPr>
        <w:t>the trends of accidents</w:t>
      </w:r>
      <w:r w:rsidR="00495231">
        <w:rPr>
          <w:lang w:val="en-GB"/>
        </w:rPr>
        <w:t xml:space="preserve"> with respect to the trend of natural disasters</w:t>
      </w:r>
      <w:r w:rsidR="00582FFF" w:rsidRPr="00582FFF">
        <w:rPr>
          <w:lang w:val="en-GB"/>
        </w:rPr>
        <w:t xml:space="preserve">, </w:t>
      </w:r>
      <w:r>
        <w:rPr>
          <w:lang w:val="en-GB"/>
        </w:rPr>
        <w:t xml:space="preserve">the </w:t>
      </w:r>
      <w:r w:rsidR="00582FFF" w:rsidRPr="00582FFF">
        <w:rPr>
          <w:lang w:val="en-GB"/>
        </w:rPr>
        <w:t xml:space="preserve">geographical localization, </w:t>
      </w:r>
      <w:r>
        <w:rPr>
          <w:lang w:val="en-GB"/>
        </w:rPr>
        <w:t xml:space="preserve">the </w:t>
      </w:r>
      <w:r w:rsidR="00582FFF" w:rsidRPr="00582FFF">
        <w:rPr>
          <w:lang w:val="en-GB"/>
        </w:rPr>
        <w:t xml:space="preserve">type of natural </w:t>
      </w:r>
      <w:r w:rsidR="001B36B0">
        <w:rPr>
          <w:lang w:val="en-GB"/>
        </w:rPr>
        <w:t>hazard triggering the accident</w:t>
      </w:r>
      <w:r w:rsidR="00582FFF" w:rsidRPr="00582FFF">
        <w:rPr>
          <w:lang w:val="en-GB"/>
        </w:rPr>
        <w:t xml:space="preserve">, </w:t>
      </w:r>
      <w:r>
        <w:rPr>
          <w:lang w:val="en-GB"/>
        </w:rPr>
        <w:t xml:space="preserve">the </w:t>
      </w:r>
      <w:r w:rsidR="00582FFF" w:rsidRPr="00582FFF">
        <w:rPr>
          <w:lang w:val="en-GB"/>
        </w:rPr>
        <w:t xml:space="preserve">final scenarios (e.g. fire, explosion,…) and </w:t>
      </w:r>
      <w:r>
        <w:rPr>
          <w:lang w:val="en-GB"/>
        </w:rPr>
        <w:t xml:space="preserve">the </w:t>
      </w:r>
      <w:r w:rsidR="00582FFF" w:rsidRPr="00582FFF">
        <w:rPr>
          <w:lang w:val="en-GB"/>
        </w:rPr>
        <w:t>consequences on human and assets.</w:t>
      </w:r>
      <w:r w:rsidR="00603195">
        <w:rPr>
          <w:lang w:val="en-GB"/>
        </w:rPr>
        <w:t xml:space="preserve"> For each type of NaTech, </w:t>
      </w:r>
      <w:r w:rsidR="00042599">
        <w:rPr>
          <w:lang w:val="en-GB"/>
        </w:rPr>
        <w:t>significant accidents</w:t>
      </w:r>
      <w:r w:rsidR="005D54CD">
        <w:rPr>
          <w:lang w:val="en-GB"/>
        </w:rPr>
        <w:t xml:space="preserve"> have been reported and discussed</w:t>
      </w:r>
      <w:r w:rsidR="00495231">
        <w:rPr>
          <w:lang w:val="en-GB"/>
        </w:rPr>
        <w:t>.</w:t>
      </w:r>
    </w:p>
    <w:p w14:paraId="0B104F64" w14:textId="77777777" w:rsidR="00600535" w:rsidRPr="00B57B36" w:rsidRDefault="00600535" w:rsidP="00600535">
      <w:pPr>
        <w:pStyle w:val="CETHeading1"/>
        <w:rPr>
          <w:lang w:val="en-GB"/>
        </w:rPr>
      </w:pPr>
      <w:r w:rsidRPr="00B57B36">
        <w:rPr>
          <w:lang w:val="en-GB"/>
        </w:rPr>
        <w:t>Introduction</w:t>
      </w:r>
    </w:p>
    <w:p w14:paraId="0B104F65" w14:textId="759436F8" w:rsidR="006D7E19" w:rsidRDefault="006D7E19" w:rsidP="006D7E19">
      <w:pPr>
        <w:pStyle w:val="CETBodytext"/>
        <w:rPr>
          <w:lang w:val="en-GB"/>
        </w:rPr>
      </w:pPr>
      <w:r>
        <w:rPr>
          <w:lang w:val="en-GB"/>
        </w:rPr>
        <w:t xml:space="preserve">As recognised by </w:t>
      </w:r>
      <w:r w:rsidR="00DF3621">
        <w:rPr>
          <w:lang w:val="en-GB"/>
        </w:rPr>
        <w:t xml:space="preserve">the </w:t>
      </w:r>
      <w:r>
        <w:rPr>
          <w:lang w:val="en-GB"/>
        </w:rPr>
        <w:t xml:space="preserve">World Health Organization, disasters provoked by natural hazards (e.g., floods, hurricanes, earthquakes) are flourishing both in frequency and impact (WHO, 2018). </w:t>
      </w:r>
      <w:r w:rsidRPr="009F3010">
        <w:rPr>
          <w:lang w:val="en-GB"/>
        </w:rPr>
        <w:t>Furthermore, recent research showed that major accident related to the release of hazardous materials could, in principle, be triggered by any kind of natural hazard, e.g. lightning and rain, not necessarily a major one, such as a hurricane or a tsunami (Krausmann et al., 2011).</w:t>
      </w:r>
    </w:p>
    <w:p w14:paraId="0B104F66" w14:textId="53AA6342" w:rsidR="009F3010" w:rsidRDefault="006D7E19" w:rsidP="00600535">
      <w:pPr>
        <w:pStyle w:val="CETBodytext"/>
        <w:rPr>
          <w:lang w:val="en-GB"/>
        </w:rPr>
      </w:pPr>
      <w:r>
        <w:rPr>
          <w:lang w:val="en-GB"/>
        </w:rPr>
        <w:t>Despite the investigation on conjoint threats posed by the interaction between natural hazards and technological installations is a relatively emerging topic</w:t>
      </w:r>
      <w:r w:rsidR="00124B0C">
        <w:rPr>
          <w:lang w:val="en-GB"/>
        </w:rPr>
        <w:t xml:space="preserve"> (Salzano et al., 2013)</w:t>
      </w:r>
      <w:r>
        <w:rPr>
          <w:lang w:val="en-GB"/>
        </w:rPr>
        <w:t xml:space="preserve">, it has become of great concern among both researchers and industrial practitioners </w:t>
      </w:r>
      <w:r w:rsidR="00C957D0">
        <w:rPr>
          <w:lang w:val="en-GB"/>
        </w:rPr>
        <w:t xml:space="preserve">over the last </w:t>
      </w:r>
      <w:r w:rsidR="0032529C">
        <w:rPr>
          <w:lang w:val="en-GB"/>
        </w:rPr>
        <w:t>25</w:t>
      </w:r>
      <w:r w:rsidR="00C957D0">
        <w:rPr>
          <w:lang w:val="en-GB"/>
        </w:rPr>
        <w:t xml:space="preserve"> years </w:t>
      </w:r>
      <w:r>
        <w:rPr>
          <w:lang w:val="en-GB"/>
        </w:rPr>
        <w:t>(Showalter, Myers, 1994). Chemical and process industries generally store significant amounts of dangerous substances, which can constitute sources of harm for people, workers, assets</w:t>
      </w:r>
      <w:r w:rsidR="000A65C3">
        <w:rPr>
          <w:lang w:val="en-GB"/>
        </w:rPr>
        <w:t>,</w:t>
      </w:r>
      <w:r>
        <w:rPr>
          <w:lang w:val="en-GB"/>
        </w:rPr>
        <w:t xml:space="preserve"> and environment in case of</w:t>
      </w:r>
      <w:r w:rsidR="0033205F">
        <w:rPr>
          <w:lang w:val="en-GB"/>
        </w:rPr>
        <w:t xml:space="preserve"> a</w:t>
      </w:r>
      <w:r>
        <w:rPr>
          <w:lang w:val="en-GB"/>
        </w:rPr>
        <w:t xml:space="preserve"> release. Thus, chemical and process facilities are critical infrastructures that can possibly be affected by NaTechs, and lately</w:t>
      </w:r>
      <w:r w:rsidR="0033205F">
        <w:rPr>
          <w:lang w:val="en-GB"/>
        </w:rPr>
        <w:t>,</w:t>
      </w:r>
      <w:r w:rsidR="001B36B0" w:rsidRPr="00582FFF">
        <w:rPr>
          <w:lang w:val="en-GB"/>
        </w:rPr>
        <w:t xml:space="preserve"> companies covered by Seveso regulation need to include natural events in their risk assessment</w:t>
      </w:r>
      <w:r w:rsidR="00E11F61">
        <w:rPr>
          <w:lang w:val="en-GB"/>
        </w:rPr>
        <w:t xml:space="preserve"> </w:t>
      </w:r>
      <w:r w:rsidR="00E11F61" w:rsidRPr="00E11F61">
        <w:rPr>
          <w:lang w:val="en-GB"/>
        </w:rPr>
        <w:t>(European Parliament and Council, 2012)</w:t>
      </w:r>
      <w:r w:rsidR="001B36B0" w:rsidRPr="00582FFF">
        <w:rPr>
          <w:lang w:val="en-GB"/>
        </w:rPr>
        <w:t>.</w:t>
      </w:r>
      <w:r w:rsidR="009F3010">
        <w:rPr>
          <w:lang w:val="en-GB"/>
        </w:rPr>
        <w:t xml:space="preserve"> </w:t>
      </w:r>
    </w:p>
    <w:p w14:paraId="0B104F67" w14:textId="242D7A0F" w:rsidR="00DA120B" w:rsidRDefault="00B321EA" w:rsidP="00600535">
      <w:pPr>
        <w:pStyle w:val="CETBodytext"/>
        <w:rPr>
          <w:lang w:val="en-GB"/>
        </w:rPr>
      </w:pPr>
      <w:r>
        <w:rPr>
          <w:lang w:val="en-GB"/>
        </w:rPr>
        <w:t>The potentially severe impact of natural hazard is thus likely to be exacerbated by the consequences caused by the release of hazardous substances due to Na</w:t>
      </w:r>
      <w:r w:rsidR="004E5B02">
        <w:rPr>
          <w:lang w:val="en-GB"/>
        </w:rPr>
        <w:t>T</w:t>
      </w:r>
      <w:r>
        <w:rPr>
          <w:lang w:val="en-GB"/>
        </w:rPr>
        <w:t xml:space="preserve">ech events. Furthermore, NaTech accidents are characterized by the possibility of multiple simultaneous failures, leading to complex final scenarios, and by the elevated likelihood of accident propagation to neighbouring assets </w:t>
      </w:r>
      <w:r w:rsidR="00FD1F54">
        <w:rPr>
          <w:lang w:val="en-GB"/>
        </w:rPr>
        <w:t xml:space="preserve">through domino escalation (Cozzani et al., 2014). </w:t>
      </w:r>
      <w:r w:rsidR="006B5CD3">
        <w:rPr>
          <w:lang w:val="en-GB"/>
        </w:rPr>
        <w:t>Recent natural disasters shed light on the magnitude of the above described cascading sequence of events</w:t>
      </w:r>
      <w:r w:rsidR="00B00503">
        <w:rPr>
          <w:lang w:val="en-GB"/>
        </w:rPr>
        <w:t xml:space="preserve">, e.g. </w:t>
      </w:r>
      <w:r w:rsidR="00B00503" w:rsidRPr="00B00503">
        <w:rPr>
          <w:lang w:val="en-GB"/>
        </w:rPr>
        <w:t>Tōhoku</w:t>
      </w:r>
      <w:r w:rsidR="00B00503">
        <w:rPr>
          <w:lang w:val="en-GB"/>
        </w:rPr>
        <w:t xml:space="preserve"> earthquake</w:t>
      </w:r>
      <w:r w:rsidR="002750E8">
        <w:rPr>
          <w:lang w:val="en-GB"/>
        </w:rPr>
        <w:t xml:space="preserve"> leading to</w:t>
      </w:r>
      <w:r w:rsidR="005D54AA">
        <w:rPr>
          <w:lang w:val="en-GB"/>
        </w:rPr>
        <w:t xml:space="preserve"> the well-known </w:t>
      </w:r>
      <w:r w:rsidR="002750E8">
        <w:rPr>
          <w:lang w:val="en-GB"/>
        </w:rPr>
        <w:t xml:space="preserve">Fukushima </w:t>
      </w:r>
      <w:r w:rsidR="005D54AA">
        <w:rPr>
          <w:lang w:val="en-GB"/>
        </w:rPr>
        <w:t>disaster</w:t>
      </w:r>
      <w:r w:rsidR="006B5CD3">
        <w:rPr>
          <w:lang w:val="en-GB"/>
        </w:rPr>
        <w:t xml:space="preserve">. </w:t>
      </w:r>
    </w:p>
    <w:p w14:paraId="0B104F68" w14:textId="0F80710D" w:rsidR="00DA120B" w:rsidRDefault="00DA120B" w:rsidP="00600535">
      <w:pPr>
        <w:pStyle w:val="CETBodytext"/>
        <w:rPr>
          <w:lang w:val="en-GB"/>
        </w:rPr>
      </w:pPr>
      <w:r>
        <w:rPr>
          <w:lang w:val="en-GB"/>
        </w:rPr>
        <w:t>T</w:t>
      </w:r>
      <w:r w:rsidR="004F5FAB">
        <w:rPr>
          <w:lang w:val="en-GB"/>
        </w:rPr>
        <w:t xml:space="preserve">he criticality of NaTech scenarios is that these conjoint events usually go beyond the features of conventional technological scenarios. Indeed, together with the release of hazardous materials, NaTech events are likely to be characterized by the unavailability of lifelines which may be disrupted as well (OECD, 2015). Safety systems in place for mitigating or preventing consequence escalation may </w:t>
      </w:r>
      <w:r w:rsidR="00515E1E">
        <w:rPr>
          <w:lang w:val="en-GB"/>
        </w:rPr>
        <w:t>thus be damaged or unavailable, and emergency intervention is likely to be hampered by the environment</w:t>
      </w:r>
      <w:r w:rsidR="00482D35">
        <w:rPr>
          <w:lang w:val="en-GB"/>
        </w:rPr>
        <w:t>al</w:t>
      </w:r>
      <w:r w:rsidR="00515E1E">
        <w:rPr>
          <w:lang w:val="en-GB"/>
        </w:rPr>
        <w:t xml:space="preserve"> disruption caused by the natural hazard (e.g., interrupted roads due to seismic damages or floodwater height, power outage cause</w:t>
      </w:r>
      <w:r w:rsidR="008001BB">
        <w:rPr>
          <w:lang w:val="en-GB"/>
        </w:rPr>
        <w:t>d</w:t>
      </w:r>
      <w:r w:rsidR="00515E1E">
        <w:rPr>
          <w:lang w:val="en-GB"/>
        </w:rPr>
        <w:t xml:space="preserve"> by flooding and so forth).</w:t>
      </w:r>
    </w:p>
    <w:p w14:paraId="0B104F69" w14:textId="72E91975" w:rsidR="005F7FCE" w:rsidRPr="000405CB" w:rsidRDefault="00515E1E" w:rsidP="00600535">
      <w:pPr>
        <w:pStyle w:val="CETBodytext"/>
        <w:rPr>
          <w:lang w:val="en-GB"/>
        </w:rPr>
      </w:pPr>
      <w:r>
        <w:rPr>
          <w:lang w:val="en-GB"/>
        </w:rPr>
        <w:lastRenderedPageBreak/>
        <w:t>Previous</w:t>
      </w:r>
      <w:r w:rsidR="00DA120B">
        <w:rPr>
          <w:lang w:val="en-GB"/>
        </w:rPr>
        <w:t xml:space="preserve"> studies </w:t>
      </w:r>
      <w:r>
        <w:rPr>
          <w:lang w:val="en-GB"/>
        </w:rPr>
        <w:t xml:space="preserve">found out that NaTech events constitute up to 5% of </w:t>
      </w:r>
      <w:r w:rsidR="00B16604">
        <w:rPr>
          <w:lang w:val="en-GB"/>
        </w:rPr>
        <w:t xml:space="preserve">the </w:t>
      </w:r>
      <w:r>
        <w:rPr>
          <w:lang w:val="en-GB"/>
        </w:rPr>
        <w:t xml:space="preserve">industrial accidents reported in </w:t>
      </w:r>
      <w:r w:rsidR="004F1964">
        <w:rPr>
          <w:lang w:val="en-GB"/>
        </w:rPr>
        <w:t>chemical</w:t>
      </w:r>
      <w:r>
        <w:rPr>
          <w:lang w:val="en-GB"/>
        </w:rPr>
        <w:t xml:space="preserve"> accident databases (Rasmussen, 1995).</w:t>
      </w:r>
      <w:r w:rsidR="005F7FCE">
        <w:rPr>
          <w:lang w:val="en-GB"/>
        </w:rPr>
        <w:t xml:space="preserve"> However, the value is probably underestimated since some minor </w:t>
      </w:r>
      <w:r w:rsidR="00B16604">
        <w:rPr>
          <w:lang w:val="en-GB"/>
        </w:rPr>
        <w:t>events</w:t>
      </w:r>
      <w:r w:rsidR="007411FD">
        <w:rPr>
          <w:lang w:val="en-GB"/>
        </w:rPr>
        <w:t xml:space="preserve"> may have not been reported; </w:t>
      </w:r>
      <w:r w:rsidR="00E218CF">
        <w:rPr>
          <w:lang w:val="en-GB"/>
        </w:rPr>
        <w:t>furthermore,</w:t>
      </w:r>
      <w:r w:rsidR="007411FD">
        <w:rPr>
          <w:lang w:val="en-GB"/>
        </w:rPr>
        <w:t xml:space="preserve"> underreporting is particularly relevant in the recent period (Casson Moreno</w:t>
      </w:r>
      <w:r w:rsidR="00C1319A">
        <w:rPr>
          <w:lang w:val="en-GB"/>
        </w:rPr>
        <w:t xml:space="preserve"> et al.</w:t>
      </w:r>
      <w:r w:rsidR="007411FD">
        <w:rPr>
          <w:lang w:val="en-GB"/>
        </w:rPr>
        <w:t>, 201</w:t>
      </w:r>
      <w:r w:rsidR="00C1319A">
        <w:rPr>
          <w:lang w:val="en-GB"/>
        </w:rPr>
        <w:t>9</w:t>
      </w:r>
      <w:r w:rsidR="007411FD">
        <w:rPr>
          <w:lang w:val="en-GB"/>
        </w:rPr>
        <w:t>).</w:t>
      </w:r>
      <w:r w:rsidR="005F7FCE" w:rsidRPr="000405CB">
        <w:rPr>
          <w:lang w:val="en-GB"/>
        </w:rPr>
        <w:t xml:space="preserve"> Moreover, given the rising trend in weather and climate disaster, </w:t>
      </w:r>
      <w:r w:rsidR="00BE6200">
        <w:rPr>
          <w:lang w:val="en-GB"/>
        </w:rPr>
        <w:t xml:space="preserve">the </w:t>
      </w:r>
      <w:r w:rsidR="005F7FCE" w:rsidRPr="000405CB">
        <w:rPr>
          <w:lang w:val="en-GB"/>
        </w:rPr>
        <w:t>occurrence of NaTech accidents will presumably accordingly</w:t>
      </w:r>
      <w:r w:rsidR="004F1964" w:rsidRPr="000405CB">
        <w:rPr>
          <w:lang w:val="en-GB"/>
        </w:rPr>
        <w:t xml:space="preserve"> grow</w:t>
      </w:r>
      <w:r w:rsidR="00FF3381">
        <w:rPr>
          <w:lang w:val="en-GB"/>
        </w:rPr>
        <w:t xml:space="preserve"> </w:t>
      </w:r>
      <w:r w:rsidR="00FF3381" w:rsidRPr="009E23D1">
        <w:rPr>
          <w:lang w:val="en-GB"/>
        </w:rPr>
        <w:t xml:space="preserve">(Mahan et al., </w:t>
      </w:r>
      <w:r w:rsidR="00FF3381" w:rsidRPr="009F3010">
        <w:rPr>
          <w:lang w:val="en-GB"/>
        </w:rPr>
        <w:t>2018)</w:t>
      </w:r>
      <w:r w:rsidR="005F7FCE" w:rsidRPr="000405CB">
        <w:rPr>
          <w:lang w:val="en-GB"/>
        </w:rPr>
        <w:t xml:space="preserve">. </w:t>
      </w:r>
    </w:p>
    <w:p w14:paraId="0B104F6A" w14:textId="516F7EC6" w:rsidR="0079135E" w:rsidRDefault="001158CD" w:rsidP="00600535">
      <w:pPr>
        <w:pStyle w:val="CETBodytext"/>
        <w:rPr>
          <w:lang w:val="en-GB"/>
        </w:rPr>
      </w:pPr>
      <w:r w:rsidRPr="000405CB">
        <w:rPr>
          <w:lang w:val="en-GB"/>
        </w:rPr>
        <w:t>In literature, there are several studies analysing the NaTechs resulting from the interaction of specific natural phenomena (e.g. floods, earthquakes, lighting</w:t>
      </w:r>
      <w:r w:rsidR="0043510C">
        <w:rPr>
          <w:lang w:val="en-GB"/>
        </w:rPr>
        <w:t>)</w:t>
      </w:r>
      <w:r w:rsidRPr="000405CB">
        <w:rPr>
          <w:lang w:val="en-GB"/>
        </w:rPr>
        <w:t xml:space="preserve"> on CPI</w:t>
      </w:r>
      <w:r w:rsidR="000405CB" w:rsidRPr="000405CB">
        <w:rPr>
          <w:lang w:val="en-GB"/>
        </w:rPr>
        <w:t xml:space="preserve"> (Cozzani et al., 2010</w:t>
      </w:r>
      <w:r w:rsidR="0043510C">
        <w:rPr>
          <w:lang w:val="en-GB"/>
        </w:rPr>
        <w:t>;</w:t>
      </w:r>
      <w:r w:rsidR="000405CB" w:rsidRPr="000405CB">
        <w:rPr>
          <w:lang w:val="en-GB"/>
        </w:rPr>
        <w:t xml:space="preserve"> Renni et al.,</w:t>
      </w:r>
      <w:r w:rsidR="0043510C">
        <w:rPr>
          <w:lang w:val="en-GB"/>
        </w:rPr>
        <w:t xml:space="preserve"> </w:t>
      </w:r>
      <w:r w:rsidR="000405CB" w:rsidRPr="000405CB">
        <w:rPr>
          <w:lang w:val="en-GB"/>
        </w:rPr>
        <w:t>2010</w:t>
      </w:r>
      <w:r w:rsidR="0043510C">
        <w:rPr>
          <w:lang w:val="en-GB"/>
        </w:rPr>
        <w:t>;</w:t>
      </w:r>
      <w:r w:rsidR="000405CB" w:rsidRPr="000405CB">
        <w:rPr>
          <w:lang w:val="en-GB"/>
        </w:rPr>
        <w:t xml:space="preserve"> Krausmann et al., 2011)</w:t>
      </w:r>
      <w:r w:rsidRPr="000405CB">
        <w:rPr>
          <w:lang w:val="en-GB"/>
        </w:rPr>
        <w:t xml:space="preserve">. </w:t>
      </w:r>
    </w:p>
    <w:p w14:paraId="0B104F6B" w14:textId="4028175C" w:rsidR="004F1964" w:rsidRPr="002F08CB" w:rsidRDefault="004F1964" w:rsidP="00600535">
      <w:pPr>
        <w:pStyle w:val="CETBodytext"/>
        <w:rPr>
          <w:color w:val="FF0000"/>
          <w:lang w:val="en-GB"/>
        </w:rPr>
      </w:pPr>
      <w:r w:rsidRPr="000405CB">
        <w:rPr>
          <w:lang w:val="en-GB"/>
        </w:rPr>
        <w:t xml:space="preserve">In </w:t>
      </w:r>
      <w:r w:rsidR="00B71370" w:rsidRPr="000405CB">
        <w:rPr>
          <w:lang w:val="en-GB"/>
        </w:rPr>
        <w:t>the present work</w:t>
      </w:r>
      <w:r w:rsidR="00AF33A3">
        <w:rPr>
          <w:lang w:val="en-GB"/>
        </w:rPr>
        <w:t>,</w:t>
      </w:r>
      <w:r w:rsidR="00B71370" w:rsidRPr="000405CB">
        <w:rPr>
          <w:lang w:val="en-GB"/>
        </w:rPr>
        <w:t xml:space="preserve"> an updated comprehensive database has been created gathering NaTech accidents retrieved from </w:t>
      </w:r>
      <w:r>
        <w:rPr>
          <w:lang w:val="en-GB"/>
        </w:rPr>
        <w:t>chemical accident dat</w:t>
      </w:r>
      <w:r w:rsidR="00B71370">
        <w:rPr>
          <w:lang w:val="en-GB"/>
        </w:rPr>
        <w:t xml:space="preserve">abases. Collected data has been used for investigating lessons learned and critical assets for each natural hazard of concern. </w:t>
      </w:r>
      <w:r w:rsidR="0079135E">
        <w:rPr>
          <w:lang w:val="en-GB"/>
        </w:rPr>
        <w:t xml:space="preserve">For each type of NaTech event, </w:t>
      </w:r>
      <w:r w:rsidR="00042599">
        <w:rPr>
          <w:lang w:val="en-GB"/>
        </w:rPr>
        <w:t>significant reports</w:t>
      </w:r>
      <w:r w:rsidR="0079135E">
        <w:rPr>
          <w:lang w:val="en-GB"/>
        </w:rPr>
        <w:t xml:space="preserve"> have been illustrated. </w:t>
      </w:r>
    </w:p>
    <w:p w14:paraId="0B104F6C" w14:textId="77777777" w:rsidR="00600535" w:rsidRPr="00B57B36" w:rsidRDefault="00220F89" w:rsidP="00600535">
      <w:pPr>
        <w:pStyle w:val="CETHeading1"/>
        <w:tabs>
          <w:tab w:val="right" w:pos="7100"/>
        </w:tabs>
        <w:jc w:val="both"/>
        <w:rPr>
          <w:lang w:val="en-GB"/>
        </w:rPr>
      </w:pPr>
      <w:r>
        <w:rPr>
          <w:lang w:val="en-GB"/>
        </w:rPr>
        <w:t>Building the d</w:t>
      </w:r>
      <w:r w:rsidR="00F133B5">
        <w:rPr>
          <w:lang w:val="en-GB"/>
        </w:rPr>
        <w:t xml:space="preserve">ataset </w:t>
      </w:r>
      <w:r>
        <w:rPr>
          <w:lang w:val="en-GB"/>
        </w:rPr>
        <w:t>for the analysis</w:t>
      </w:r>
    </w:p>
    <w:p w14:paraId="0B104F6D" w14:textId="77777777" w:rsidR="00DE3511" w:rsidRDefault="006A3314" w:rsidP="00E02EDA">
      <w:pPr>
        <w:pStyle w:val="CETBodytext"/>
        <w:rPr>
          <w:lang w:val="en-GB"/>
        </w:rPr>
      </w:pPr>
      <w:r>
        <w:rPr>
          <w:lang w:val="en-GB"/>
        </w:rPr>
        <w:t xml:space="preserve">The dataset analysed was </w:t>
      </w:r>
      <w:r w:rsidR="00013140">
        <w:rPr>
          <w:lang w:val="en-GB"/>
        </w:rPr>
        <w:t>built</w:t>
      </w:r>
      <w:r>
        <w:rPr>
          <w:lang w:val="en-GB"/>
        </w:rPr>
        <w:t xml:space="preserve"> </w:t>
      </w:r>
      <w:r w:rsidR="00CE42A7">
        <w:rPr>
          <w:lang w:val="en-GB"/>
        </w:rPr>
        <w:t xml:space="preserve">starting </w:t>
      </w:r>
      <w:r>
        <w:rPr>
          <w:lang w:val="en-GB"/>
        </w:rPr>
        <w:t>from 3 database</w:t>
      </w:r>
      <w:r w:rsidR="00CE42A7">
        <w:rPr>
          <w:lang w:val="en-GB"/>
        </w:rPr>
        <w:t xml:space="preserve"> specialized on industrial accidents</w:t>
      </w:r>
      <w:r>
        <w:rPr>
          <w:lang w:val="en-GB"/>
        </w:rPr>
        <w:t xml:space="preserve">: the ARIA Database </w:t>
      </w:r>
      <w:r w:rsidRPr="006A3314">
        <w:rPr>
          <w:lang w:val="en-GB"/>
        </w:rPr>
        <w:t xml:space="preserve">(The French Bureau for Analysis of Industrial Risks and Pollutions (BARPI), 2019), </w:t>
      </w:r>
      <w:r>
        <w:rPr>
          <w:lang w:val="en-GB"/>
        </w:rPr>
        <w:t>FACTS</w:t>
      </w:r>
      <w:r w:rsidRPr="006A3314">
        <w:rPr>
          <w:lang w:val="en-GB"/>
        </w:rPr>
        <w:t xml:space="preserve"> (Factsonline: chemical and industrial accident database</w:t>
      </w:r>
      <w:r w:rsidR="00181233">
        <w:rPr>
          <w:lang w:val="en-GB"/>
        </w:rPr>
        <w:t>, 2018</w:t>
      </w:r>
      <w:r w:rsidRPr="006A3314">
        <w:rPr>
          <w:lang w:val="en-GB"/>
        </w:rPr>
        <w:t xml:space="preserve">), and </w:t>
      </w:r>
      <w:r>
        <w:rPr>
          <w:lang w:val="en-GB"/>
        </w:rPr>
        <w:t xml:space="preserve">eMARS </w:t>
      </w:r>
      <w:r w:rsidRPr="006A3314">
        <w:rPr>
          <w:lang w:val="en-GB"/>
        </w:rPr>
        <w:t>(Major Accident Hazards Bureau (MAHB), 20</w:t>
      </w:r>
      <w:r w:rsidR="00462CFB">
        <w:rPr>
          <w:lang w:val="en-GB"/>
        </w:rPr>
        <w:t>18</w:t>
      </w:r>
      <w:r w:rsidRPr="006A3314">
        <w:rPr>
          <w:lang w:val="en-GB"/>
        </w:rPr>
        <w:t>).</w:t>
      </w:r>
      <w:r w:rsidR="00CE42A7">
        <w:rPr>
          <w:lang w:val="en-GB"/>
        </w:rPr>
        <w:t xml:space="preserve"> </w:t>
      </w:r>
      <w:r w:rsidR="00A46883">
        <w:rPr>
          <w:lang w:val="en-GB"/>
        </w:rPr>
        <w:t xml:space="preserve">Aria is the biggest </w:t>
      </w:r>
      <w:r w:rsidR="00013140">
        <w:rPr>
          <w:lang w:val="en-GB"/>
        </w:rPr>
        <w:t xml:space="preserve">of the three </w:t>
      </w:r>
      <w:r w:rsidR="00A46883">
        <w:rPr>
          <w:lang w:val="en-GB"/>
        </w:rPr>
        <w:t>(46’000 records), followed by FACTS (25’700) and eMARS (</w:t>
      </w:r>
      <w:r w:rsidR="00A46883">
        <w:rPr>
          <w:lang w:val="en-GB"/>
        </w:rPr>
        <w:sym w:font="Symbol" w:char="F0BB"/>
      </w:r>
      <w:r w:rsidR="00013140">
        <w:rPr>
          <w:lang w:val="en-GB"/>
        </w:rPr>
        <w:t xml:space="preserve"> 1000 of </w:t>
      </w:r>
      <w:r w:rsidR="00A46883">
        <w:rPr>
          <w:lang w:val="en-GB"/>
        </w:rPr>
        <w:t>major accident</w:t>
      </w:r>
      <w:r w:rsidR="00013140">
        <w:rPr>
          <w:lang w:val="en-GB"/>
        </w:rPr>
        <w:t>s</w:t>
      </w:r>
      <w:r w:rsidR="00A46883">
        <w:rPr>
          <w:lang w:val="en-GB"/>
        </w:rPr>
        <w:t xml:space="preserve"> only).</w:t>
      </w:r>
      <w:r w:rsidR="00DE3511">
        <w:rPr>
          <w:lang w:val="en-GB"/>
        </w:rPr>
        <w:t xml:space="preserve"> </w:t>
      </w:r>
    </w:p>
    <w:p w14:paraId="0B104F6E" w14:textId="3D5F5B6E" w:rsidR="00711A26" w:rsidRDefault="00CE42A7" w:rsidP="00E02EDA">
      <w:pPr>
        <w:pStyle w:val="CETBodytext"/>
        <w:rPr>
          <w:lang w:val="en-GB"/>
        </w:rPr>
      </w:pPr>
      <w:r>
        <w:rPr>
          <w:lang w:val="en-GB"/>
        </w:rPr>
        <w:t>Keywords have been used to query the existing database</w:t>
      </w:r>
      <w:r w:rsidR="006C592D">
        <w:rPr>
          <w:lang w:val="en-GB"/>
        </w:rPr>
        <w:t xml:space="preserve"> (</w:t>
      </w:r>
      <w:r>
        <w:rPr>
          <w:lang w:val="en-GB"/>
        </w:rPr>
        <w:t>e.g.</w:t>
      </w:r>
      <w:r w:rsidR="0043510C">
        <w:rPr>
          <w:lang w:val="en-GB"/>
        </w:rPr>
        <w:t>,</w:t>
      </w:r>
      <w:r>
        <w:rPr>
          <w:lang w:val="en-GB"/>
        </w:rPr>
        <w:t xml:space="preserve"> NaTech, earthquake, flood/flooding, lighting, </w:t>
      </w:r>
      <w:r w:rsidR="006C592D">
        <w:rPr>
          <w:lang w:val="en-GB"/>
        </w:rPr>
        <w:t>storm, hurricane</w:t>
      </w:r>
      <w:r w:rsidR="00F71E61">
        <w:rPr>
          <w:lang w:val="en-GB"/>
        </w:rPr>
        <w:t xml:space="preserve">, as </w:t>
      </w:r>
      <w:r w:rsidR="000B592F">
        <w:rPr>
          <w:lang w:val="en-GB"/>
        </w:rPr>
        <w:t>listed</w:t>
      </w:r>
      <w:r w:rsidR="00F71E61">
        <w:rPr>
          <w:lang w:val="en-GB"/>
        </w:rPr>
        <w:t xml:space="preserve"> in </w:t>
      </w:r>
      <w:r w:rsidR="000B592F">
        <w:rPr>
          <w:lang w:val="en-GB"/>
        </w:rPr>
        <w:t>Table 1</w:t>
      </w:r>
      <w:r w:rsidR="009F4149">
        <w:rPr>
          <w:lang w:val="en-GB"/>
        </w:rPr>
        <w:t xml:space="preserve">). </w:t>
      </w:r>
      <w:r w:rsidR="00711A26">
        <w:rPr>
          <w:lang w:val="en-GB"/>
        </w:rPr>
        <w:t>W</w:t>
      </w:r>
      <w:r w:rsidR="002743A2">
        <w:rPr>
          <w:lang w:val="en-GB"/>
        </w:rPr>
        <w:t>here</w:t>
      </w:r>
      <w:r w:rsidR="00711A26">
        <w:rPr>
          <w:lang w:val="en-GB"/>
        </w:rPr>
        <w:t xml:space="preserve"> necessary, i.e. for the case of ARIA, </w:t>
      </w:r>
      <w:r w:rsidR="000957E6">
        <w:rPr>
          <w:lang w:val="en-GB"/>
        </w:rPr>
        <w:t xml:space="preserve">the </w:t>
      </w:r>
      <w:r w:rsidR="00711A26">
        <w:rPr>
          <w:lang w:val="en-GB"/>
        </w:rPr>
        <w:t>keywords ha</w:t>
      </w:r>
      <w:r w:rsidR="002743A2">
        <w:rPr>
          <w:lang w:val="en-GB"/>
        </w:rPr>
        <w:t>ve</w:t>
      </w:r>
      <w:r w:rsidR="00711A26">
        <w:rPr>
          <w:lang w:val="en-GB"/>
        </w:rPr>
        <w:t xml:space="preserve"> been translated in French. </w:t>
      </w:r>
    </w:p>
    <w:p w14:paraId="0B104F6F" w14:textId="77777777" w:rsidR="0000246A" w:rsidRPr="00B57B36" w:rsidRDefault="0000246A" w:rsidP="0000246A">
      <w:pPr>
        <w:pStyle w:val="CETTabletitle"/>
      </w:pPr>
      <w:r w:rsidRPr="00B57B36">
        <w:t xml:space="preserve">Table 1: </w:t>
      </w:r>
      <w:r>
        <w:t xml:space="preserve">Keywords used for querying the existing database (ARIA, FACTS, eMARS).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00246A" w:rsidRPr="00B57B36" w14:paraId="0B104F74" w14:textId="77777777" w:rsidTr="0000246A">
        <w:tc>
          <w:tcPr>
            <w:tcW w:w="1250" w:type="pct"/>
            <w:tcBorders>
              <w:top w:val="single" w:sz="12" w:space="0" w:color="008000"/>
              <w:bottom w:val="single" w:sz="6" w:space="0" w:color="008000"/>
            </w:tcBorders>
            <w:shd w:val="clear" w:color="auto" w:fill="FFFFFF"/>
          </w:tcPr>
          <w:p w14:paraId="0B104F70" w14:textId="77777777" w:rsidR="0000246A" w:rsidRPr="0000246A" w:rsidRDefault="0000246A" w:rsidP="00232E9C">
            <w:pPr>
              <w:pStyle w:val="CETBodytext"/>
              <w:rPr>
                <w:b/>
                <w:lang w:val="en-GB"/>
              </w:rPr>
            </w:pPr>
            <w:r w:rsidRPr="0000246A">
              <w:rPr>
                <w:b/>
                <w:lang w:val="en-GB"/>
              </w:rPr>
              <w:t xml:space="preserve">Keywords </w:t>
            </w:r>
          </w:p>
        </w:tc>
        <w:tc>
          <w:tcPr>
            <w:tcW w:w="1250" w:type="pct"/>
            <w:tcBorders>
              <w:top w:val="single" w:sz="12" w:space="0" w:color="008000"/>
              <w:bottom w:val="single" w:sz="6" w:space="0" w:color="008000"/>
            </w:tcBorders>
            <w:shd w:val="clear" w:color="auto" w:fill="FFFFFF"/>
          </w:tcPr>
          <w:p w14:paraId="0B104F71" w14:textId="77777777" w:rsidR="0000246A" w:rsidRPr="00B57B36" w:rsidRDefault="0000246A" w:rsidP="00232E9C">
            <w:pPr>
              <w:pStyle w:val="CETBodytext"/>
              <w:rPr>
                <w:lang w:val="en-GB"/>
              </w:rPr>
            </w:pPr>
          </w:p>
        </w:tc>
        <w:tc>
          <w:tcPr>
            <w:tcW w:w="1250" w:type="pct"/>
            <w:tcBorders>
              <w:top w:val="single" w:sz="12" w:space="0" w:color="008000"/>
              <w:bottom w:val="single" w:sz="6" w:space="0" w:color="008000"/>
            </w:tcBorders>
            <w:shd w:val="clear" w:color="auto" w:fill="FFFFFF"/>
          </w:tcPr>
          <w:p w14:paraId="0B104F72" w14:textId="77777777" w:rsidR="0000246A" w:rsidRPr="00B57B36" w:rsidRDefault="0000246A" w:rsidP="00232E9C">
            <w:pPr>
              <w:pStyle w:val="CETBodytext"/>
              <w:rPr>
                <w:lang w:val="en-GB"/>
              </w:rPr>
            </w:pPr>
          </w:p>
        </w:tc>
        <w:tc>
          <w:tcPr>
            <w:tcW w:w="1250" w:type="pct"/>
            <w:tcBorders>
              <w:top w:val="single" w:sz="12" w:space="0" w:color="008000"/>
              <w:bottom w:val="single" w:sz="6" w:space="0" w:color="008000"/>
            </w:tcBorders>
            <w:shd w:val="clear" w:color="auto" w:fill="FFFFFF"/>
          </w:tcPr>
          <w:p w14:paraId="0B104F73" w14:textId="77777777" w:rsidR="0000246A" w:rsidRPr="00B57B36" w:rsidRDefault="0000246A" w:rsidP="00232E9C">
            <w:pPr>
              <w:pStyle w:val="CETBodytext"/>
              <w:ind w:right="-1"/>
              <w:rPr>
                <w:rFonts w:cs="Arial"/>
                <w:szCs w:val="18"/>
                <w:lang w:val="en-GB"/>
              </w:rPr>
            </w:pPr>
          </w:p>
        </w:tc>
      </w:tr>
      <w:tr w:rsidR="0000246A" w:rsidRPr="00B57B36" w14:paraId="0B104F8B" w14:textId="77777777" w:rsidTr="0000246A">
        <w:trPr>
          <w:trHeight w:val="1059"/>
        </w:trPr>
        <w:tc>
          <w:tcPr>
            <w:tcW w:w="1250" w:type="pct"/>
            <w:shd w:val="clear" w:color="auto" w:fill="FFFFFF"/>
          </w:tcPr>
          <w:p w14:paraId="0B104F75" w14:textId="77777777" w:rsidR="0000246A" w:rsidRDefault="0000246A" w:rsidP="0000246A">
            <w:pPr>
              <w:pStyle w:val="CETBodytext"/>
              <w:rPr>
                <w:lang w:val="en-GB"/>
              </w:rPr>
            </w:pPr>
            <w:r>
              <w:rPr>
                <w:lang w:val="en-GB"/>
              </w:rPr>
              <w:t xml:space="preserve">Cold </w:t>
            </w:r>
            <w:r w:rsidRPr="0000246A">
              <w:rPr>
                <w:lang w:val="en-GB"/>
              </w:rPr>
              <w:t>weather</w:t>
            </w:r>
          </w:p>
          <w:p w14:paraId="0B104F76" w14:textId="77777777" w:rsidR="0000246A" w:rsidRPr="0000246A" w:rsidRDefault="0000246A" w:rsidP="0000246A">
            <w:pPr>
              <w:pStyle w:val="CETBodytext"/>
              <w:rPr>
                <w:lang w:val="en-GB"/>
              </w:rPr>
            </w:pPr>
            <w:r w:rsidRPr="0000246A">
              <w:rPr>
                <w:lang w:val="en-GB"/>
              </w:rPr>
              <w:t>Earthquake</w:t>
            </w:r>
          </w:p>
          <w:p w14:paraId="0B104F77" w14:textId="77777777" w:rsidR="0000246A" w:rsidRDefault="0000246A" w:rsidP="0000246A">
            <w:pPr>
              <w:pStyle w:val="CETBodytext"/>
              <w:rPr>
                <w:lang w:val="en-GB"/>
              </w:rPr>
            </w:pPr>
            <w:r>
              <w:rPr>
                <w:lang w:val="en-GB"/>
              </w:rPr>
              <w:t>Flood</w:t>
            </w:r>
          </w:p>
          <w:p w14:paraId="0B104F78" w14:textId="77777777" w:rsidR="0000246A" w:rsidRPr="0000246A" w:rsidRDefault="0000246A" w:rsidP="0000246A">
            <w:pPr>
              <w:pStyle w:val="CETBodytext"/>
              <w:rPr>
                <w:lang w:val="en-GB"/>
              </w:rPr>
            </w:pPr>
            <w:r w:rsidRPr="0000246A">
              <w:rPr>
                <w:lang w:val="en-GB"/>
              </w:rPr>
              <w:t>Flooding</w:t>
            </w:r>
          </w:p>
          <w:p w14:paraId="0B104F79" w14:textId="77777777" w:rsidR="0000246A" w:rsidRPr="00B57B36" w:rsidRDefault="0000246A" w:rsidP="0000246A">
            <w:pPr>
              <w:pStyle w:val="CETBodytext"/>
              <w:rPr>
                <w:lang w:val="en-GB"/>
              </w:rPr>
            </w:pPr>
            <w:r>
              <w:rPr>
                <w:lang w:val="en-GB"/>
              </w:rPr>
              <w:t>Forest</w:t>
            </w:r>
            <w:r w:rsidR="004D2F52">
              <w:rPr>
                <w:lang w:val="en-GB"/>
              </w:rPr>
              <w:t xml:space="preserve"> fire</w:t>
            </w:r>
          </w:p>
        </w:tc>
        <w:tc>
          <w:tcPr>
            <w:tcW w:w="1250" w:type="pct"/>
            <w:shd w:val="clear" w:color="auto" w:fill="FFFFFF"/>
          </w:tcPr>
          <w:p w14:paraId="0B104F7A" w14:textId="77777777" w:rsidR="0000246A" w:rsidRPr="0000246A" w:rsidRDefault="0000246A" w:rsidP="0000246A">
            <w:pPr>
              <w:pStyle w:val="CETBodytext"/>
              <w:rPr>
                <w:lang w:val="en-GB"/>
              </w:rPr>
            </w:pPr>
            <w:r w:rsidRPr="0000246A">
              <w:rPr>
                <w:lang w:val="en-GB"/>
              </w:rPr>
              <w:t>Wild fire</w:t>
            </w:r>
          </w:p>
          <w:p w14:paraId="0B104F7B" w14:textId="77777777" w:rsidR="0000246A" w:rsidRDefault="0000246A" w:rsidP="0000246A">
            <w:pPr>
              <w:pStyle w:val="CETBodytext"/>
              <w:rPr>
                <w:lang w:val="en-GB"/>
              </w:rPr>
            </w:pPr>
            <w:r w:rsidRPr="0000246A">
              <w:rPr>
                <w:lang w:val="en-GB"/>
              </w:rPr>
              <w:t>Freeze</w:t>
            </w:r>
          </w:p>
          <w:p w14:paraId="0B104F7C" w14:textId="77777777" w:rsidR="004D2F52" w:rsidRPr="0000246A" w:rsidRDefault="004D2F52" w:rsidP="0000246A">
            <w:pPr>
              <w:pStyle w:val="CETBodytext"/>
              <w:rPr>
                <w:lang w:val="en-GB"/>
              </w:rPr>
            </w:pPr>
            <w:r>
              <w:rPr>
                <w:lang w:val="en-GB"/>
              </w:rPr>
              <w:t>Hailstorm</w:t>
            </w:r>
          </w:p>
          <w:p w14:paraId="0B104F7D" w14:textId="77777777" w:rsidR="0000246A" w:rsidRPr="0000246A" w:rsidRDefault="0000246A" w:rsidP="0000246A">
            <w:pPr>
              <w:pStyle w:val="CETBodytext"/>
              <w:rPr>
                <w:lang w:val="en-GB"/>
              </w:rPr>
            </w:pPr>
            <w:r w:rsidRPr="0000246A">
              <w:rPr>
                <w:lang w:val="en-GB"/>
              </w:rPr>
              <w:t>Heat wave</w:t>
            </w:r>
          </w:p>
          <w:p w14:paraId="0B104F7E" w14:textId="77777777" w:rsidR="0000246A" w:rsidRPr="0000246A" w:rsidRDefault="0000246A" w:rsidP="0000246A">
            <w:pPr>
              <w:pStyle w:val="CETBodytext"/>
              <w:rPr>
                <w:lang w:val="en-GB"/>
              </w:rPr>
            </w:pPr>
            <w:r>
              <w:rPr>
                <w:lang w:val="en-GB"/>
              </w:rPr>
              <w:t xml:space="preserve">Hot </w:t>
            </w:r>
            <w:r w:rsidRPr="0000246A">
              <w:rPr>
                <w:lang w:val="en-GB"/>
              </w:rPr>
              <w:t>temperature</w:t>
            </w:r>
          </w:p>
          <w:p w14:paraId="0B104F7F" w14:textId="77777777" w:rsidR="0000246A" w:rsidRPr="00B57B36" w:rsidRDefault="0000246A" w:rsidP="0000246A">
            <w:pPr>
              <w:pStyle w:val="CETBodytext"/>
              <w:rPr>
                <w:lang w:val="en-GB"/>
              </w:rPr>
            </w:pPr>
            <w:r w:rsidRPr="0000246A">
              <w:rPr>
                <w:lang w:val="en-GB"/>
              </w:rPr>
              <w:t>Hot weather</w:t>
            </w:r>
          </w:p>
        </w:tc>
        <w:tc>
          <w:tcPr>
            <w:tcW w:w="1250" w:type="pct"/>
            <w:shd w:val="clear" w:color="auto" w:fill="FFFFFF"/>
          </w:tcPr>
          <w:p w14:paraId="0B104F80" w14:textId="77777777" w:rsidR="0000246A" w:rsidRDefault="0000246A" w:rsidP="0000246A">
            <w:pPr>
              <w:pStyle w:val="CETBodytext"/>
              <w:rPr>
                <w:lang w:val="en-GB"/>
              </w:rPr>
            </w:pPr>
            <w:r>
              <w:rPr>
                <w:lang w:val="en-GB"/>
              </w:rPr>
              <w:t>Hurricane</w:t>
            </w:r>
          </w:p>
          <w:p w14:paraId="0B104F81" w14:textId="77777777" w:rsidR="0000246A" w:rsidRPr="0000246A" w:rsidRDefault="0000246A" w:rsidP="0000246A">
            <w:pPr>
              <w:pStyle w:val="CETBodytext"/>
              <w:rPr>
                <w:lang w:val="en-GB"/>
              </w:rPr>
            </w:pPr>
            <w:r w:rsidRPr="0000246A">
              <w:rPr>
                <w:lang w:val="en-GB"/>
              </w:rPr>
              <w:t>Ice</w:t>
            </w:r>
          </w:p>
          <w:p w14:paraId="0B104F82" w14:textId="77777777" w:rsidR="0000246A" w:rsidRPr="0000246A" w:rsidRDefault="0000246A" w:rsidP="0000246A">
            <w:pPr>
              <w:pStyle w:val="CETBodytext"/>
              <w:rPr>
                <w:lang w:val="en-GB"/>
              </w:rPr>
            </w:pPr>
            <w:r w:rsidRPr="0000246A">
              <w:rPr>
                <w:lang w:val="en-GB"/>
              </w:rPr>
              <w:t>Landsline</w:t>
            </w:r>
          </w:p>
          <w:p w14:paraId="0B104F83" w14:textId="77777777" w:rsidR="0000246A" w:rsidRPr="0000246A" w:rsidRDefault="0000246A" w:rsidP="0000246A">
            <w:pPr>
              <w:pStyle w:val="CETBodytext"/>
              <w:rPr>
                <w:lang w:val="en-GB"/>
              </w:rPr>
            </w:pPr>
            <w:r w:rsidRPr="0000246A">
              <w:rPr>
                <w:lang w:val="en-GB"/>
              </w:rPr>
              <w:t>Lightning</w:t>
            </w:r>
          </w:p>
          <w:p w14:paraId="0B104F84" w14:textId="77777777" w:rsidR="0000246A" w:rsidRPr="00B57B36" w:rsidRDefault="0000246A" w:rsidP="0000246A">
            <w:pPr>
              <w:pStyle w:val="CETBodytext"/>
              <w:rPr>
                <w:lang w:val="en-GB"/>
              </w:rPr>
            </w:pPr>
            <w:r w:rsidRPr="0000246A">
              <w:rPr>
                <w:lang w:val="en-GB"/>
              </w:rPr>
              <w:t>Low</w:t>
            </w:r>
            <w:r>
              <w:rPr>
                <w:lang w:val="en-GB"/>
              </w:rPr>
              <w:t xml:space="preserve"> </w:t>
            </w:r>
            <w:r w:rsidRPr="0000246A">
              <w:rPr>
                <w:lang w:val="en-GB"/>
              </w:rPr>
              <w:t>temperature</w:t>
            </w:r>
          </w:p>
        </w:tc>
        <w:tc>
          <w:tcPr>
            <w:tcW w:w="1250" w:type="pct"/>
            <w:shd w:val="clear" w:color="auto" w:fill="FFFFFF"/>
          </w:tcPr>
          <w:p w14:paraId="0B104F85" w14:textId="77777777" w:rsidR="0000246A" w:rsidRPr="0000246A" w:rsidRDefault="0000246A" w:rsidP="0000246A">
            <w:pPr>
              <w:pStyle w:val="CETBodytext"/>
              <w:rPr>
                <w:lang w:val="en-GB"/>
              </w:rPr>
            </w:pPr>
            <w:r w:rsidRPr="0000246A">
              <w:rPr>
                <w:lang w:val="en-GB"/>
              </w:rPr>
              <w:t>Rain</w:t>
            </w:r>
          </w:p>
          <w:p w14:paraId="0B104F86" w14:textId="77777777" w:rsidR="0000246A" w:rsidRPr="0000246A" w:rsidRDefault="0000246A" w:rsidP="0000246A">
            <w:pPr>
              <w:pStyle w:val="CETBodytext"/>
              <w:rPr>
                <w:lang w:val="en-GB"/>
              </w:rPr>
            </w:pPr>
            <w:r w:rsidRPr="0000246A">
              <w:rPr>
                <w:lang w:val="en-GB"/>
              </w:rPr>
              <w:t>Rainstorm</w:t>
            </w:r>
          </w:p>
          <w:p w14:paraId="0B104F87" w14:textId="77777777" w:rsidR="0000246A" w:rsidRDefault="0000246A" w:rsidP="0000246A">
            <w:pPr>
              <w:pStyle w:val="CETBodytext"/>
              <w:rPr>
                <w:lang w:val="en-GB"/>
              </w:rPr>
            </w:pPr>
            <w:r w:rsidRPr="0000246A">
              <w:rPr>
                <w:lang w:val="en-GB"/>
              </w:rPr>
              <w:t>Storm</w:t>
            </w:r>
          </w:p>
          <w:p w14:paraId="0B104F88" w14:textId="77777777" w:rsidR="001C5A27" w:rsidRPr="0000246A" w:rsidRDefault="001C5A27" w:rsidP="0000246A">
            <w:pPr>
              <w:pStyle w:val="CETBodytext"/>
              <w:rPr>
                <w:lang w:val="en-GB"/>
              </w:rPr>
            </w:pPr>
            <w:r>
              <w:rPr>
                <w:lang w:val="en-GB"/>
              </w:rPr>
              <w:t>Tornado</w:t>
            </w:r>
          </w:p>
          <w:p w14:paraId="0B104F89" w14:textId="77777777" w:rsidR="0000246A" w:rsidRPr="0000246A" w:rsidRDefault="0000246A" w:rsidP="0000246A">
            <w:pPr>
              <w:pStyle w:val="CETBodytext"/>
              <w:rPr>
                <w:lang w:val="en-GB"/>
              </w:rPr>
            </w:pPr>
            <w:r w:rsidRPr="0000246A">
              <w:rPr>
                <w:lang w:val="en-GB"/>
              </w:rPr>
              <w:t>Thunderstorm</w:t>
            </w:r>
          </w:p>
          <w:p w14:paraId="0B104F8A" w14:textId="77777777" w:rsidR="0000246A" w:rsidRPr="00B57B36" w:rsidRDefault="0000246A" w:rsidP="0000246A">
            <w:pPr>
              <w:pStyle w:val="CETBodytext"/>
              <w:ind w:right="-1"/>
              <w:rPr>
                <w:rFonts w:cs="Arial"/>
                <w:szCs w:val="18"/>
                <w:lang w:val="en-GB"/>
              </w:rPr>
            </w:pPr>
            <w:r w:rsidRPr="0000246A">
              <w:rPr>
                <w:lang w:val="en-GB"/>
              </w:rPr>
              <w:t>Tsunami</w:t>
            </w:r>
          </w:p>
        </w:tc>
      </w:tr>
    </w:tbl>
    <w:p w14:paraId="0B104F8C" w14:textId="77777777" w:rsidR="0000246A" w:rsidRDefault="0000246A" w:rsidP="00E02EDA">
      <w:pPr>
        <w:pStyle w:val="CETBodytext"/>
        <w:rPr>
          <w:lang w:val="en-GB"/>
        </w:rPr>
      </w:pPr>
    </w:p>
    <w:p w14:paraId="0B104F8D" w14:textId="77777777" w:rsidR="000F3BE5" w:rsidRDefault="000F3BE5" w:rsidP="00E02EDA">
      <w:pPr>
        <w:pStyle w:val="CETBodytext"/>
        <w:rPr>
          <w:lang w:val="en-GB"/>
        </w:rPr>
      </w:pPr>
    </w:p>
    <w:p w14:paraId="0B104F8E" w14:textId="77777777" w:rsidR="00E02EDA" w:rsidRDefault="00D039ED" w:rsidP="00E02EDA">
      <w:pPr>
        <w:pStyle w:val="CETBodytext"/>
        <w:rPr>
          <w:lang w:val="en-GB"/>
        </w:rPr>
      </w:pPr>
      <w:r>
        <w:rPr>
          <w:lang w:val="en-GB"/>
        </w:rPr>
        <w:t>The selection of rec</w:t>
      </w:r>
      <w:r w:rsidR="009F4149">
        <w:rPr>
          <w:lang w:val="en-GB"/>
        </w:rPr>
        <w:t>o</w:t>
      </w:r>
      <w:r>
        <w:rPr>
          <w:lang w:val="en-GB"/>
        </w:rPr>
        <w:t>rds retain</w:t>
      </w:r>
      <w:r w:rsidR="009F4149">
        <w:rPr>
          <w:lang w:val="en-GB"/>
        </w:rPr>
        <w:t>ed for the analysis was based on the following criteria:</w:t>
      </w:r>
    </w:p>
    <w:p w14:paraId="0B104F8F" w14:textId="77777777" w:rsidR="009F4149" w:rsidRPr="009F4149" w:rsidRDefault="009F4149" w:rsidP="00905290">
      <w:pPr>
        <w:pStyle w:val="CETBodytext"/>
        <w:numPr>
          <w:ilvl w:val="0"/>
          <w:numId w:val="23"/>
        </w:numPr>
        <w:rPr>
          <w:lang w:val="en-GB"/>
        </w:rPr>
      </w:pPr>
      <w:r w:rsidRPr="009F4149">
        <w:rPr>
          <w:lang w:val="en-GB"/>
        </w:rPr>
        <w:t>events have to be major accidents (as defined by Seveso regulation) or near misses (events that potentially could have resulted in a loss, but it did not)</w:t>
      </w:r>
      <w:r>
        <w:rPr>
          <w:lang w:val="en-GB"/>
        </w:rPr>
        <w:t xml:space="preserve"> </w:t>
      </w:r>
      <w:r w:rsidRPr="009F4149">
        <w:rPr>
          <w:lang w:val="en-GB"/>
        </w:rPr>
        <w:t>directly related to NaTech causes;</w:t>
      </w:r>
    </w:p>
    <w:p w14:paraId="0B104F90" w14:textId="053C3F25" w:rsidR="009F4149" w:rsidRDefault="0043510C" w:rsidP="009F4149">
      <w:pPr>
        <w:pStyle w:val="CETBodytext"/>
        <w:numPr>
          <w:ilvl w:val="0"/>
          <w:numId w:val="23"/>
        </w:numPr>
        <w:rPr>
          <w:lang w:val="en-GB"/>
        </w:rPr>
      </w:pPr>
      <w:r>
        <w:rPr>
          <w:lang w:val="en-GB"/>
        </w:rPr>
        <w:t>Only Chemical and Process Industry was</w:t>
      </w:r>
      <w:r w:rsidR="009F4149">
        <w:rPr>
          <w:lang w:val="en-GB"/>
        </w:rPr>
        <w:t xml:space="preserve">: power production, including nuclear, have not been included. </w:t>
      </w:r>
    </w:p>
    <w:p w14:paraId="0B104F91" w14:textId="77777777" w:rsidR="009F4149" w:rsidRDefault="009F4149" w:rsidP="009F4149">
      <w:pPr>
        <w:pStyle w:val="CETBodytext"/>
        <w:numPr>
          <w:ilvl w:val="0"/>
          <w:numId w:val="23"/>
        </w:numPr>
        <w:rPr>
          <w:lang w:val="en-GB"/>
        </w:rPr>
      </w:pPr>
      <w:r>
        <w:rPr>
          <w:lang w:val="en-GB"/>
        </w:rPr>
        <w:t>On-shore and off-shore fixed installations have been considered, including pipelines. Transportation of hazardous material was disregarded.</w:t>
      </w:r>
    </w:p>
    <w:p w14:paraId="0B104F92" w14:textId="77777777" w:rsidR="00305262" w:rsidRDefault="00305262" w:rsidP="006A3314">
      <w:pPr>
        <w:pStyle w:val="CETBodytext"/>
        <w:rPr>
          <w:lang w:val="en-GB"/>
        </w:rPr>
      </w:pPr>
      <w:r>
        <w:rPr>
          <w:lang w:val="en-GB"/>
        </w:rPr>
        <w:t xml:space="preserve">The structure of the resulting database is shown in </w:t>
      </w:r>
      <w:r w:rsidR="0002370B">
        <w:rPr>
          <w:lang w:val="en-GB"/>
        </w:rPr>
        <w:t>Figure</w:t>
      </w:r>
      <w:r>
        <w:rPr>
          <w:lang w:val="en-GB"/>
        </w:rPr>
        <w:t xml:space="preserve"> 1. </w:t>
      </w:r>
    </w:p>
    <w:p w14:paraId="0B104F93" w14:textId="77777777" w:rsidR="00F541EE" w:rsidRDefault="00F541EE" w:rsidP="006A3314">
      <w:pPr>
        <w:pStyle w:val="CETBodytext"/>
        <w:rPr>
          <w:lang w:val="en-GB"/>
        </w:rPr>
      </w:pPr>
    </w:p>
    <w:p w14:paraId="0B104F94" w14:textId="77777777" w:rsidR="00D039ED" w:rsidRDefault="00CB1683" w:rsidP="00D039ED">
      <w:pPr>
        <w:pStyle w:val="CETBodytext"/>
        <w:rPr>
          <w:lang w:val="en-GB"/>
        </w:rPr>
      </w:pPr>
      <w:r>
        <w:rPr>
          <w:noProof/>
          <w:lang w:val="en-GB" w:eastAsia="en-GB"/>
        </w:rPr>
        <w:drawing>
          <wp:inline distT="0" distB="0" distL="0" distR="0" wp14:anchorId="0B105000" wp14:editId="0B105001">
            <wp:extent cx="5580000" cy="1824014"/>
            <wp:effectExtent l="0" t="0" r="1905"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0000" cy="1824014"/>
                    </a:xfrm>
                    <a:prstGeom prst="rect">
                      <a:avLst/>
                    </a:prstGeom>
                    <a:noFill/>
                  </pic:spPr>
                </pic:pic>
              </a:graphicData>
            </a:graphic>
          </wp:inline>
        </w:drawing>
      </w:r>
    </w:p>
    <w:p w14:paraId="0B104F95" w14:textId="77777777" w:rsidR="00D039ED" w:rsidRPr="00B57B36" w:rsidRDefault="00D039ED" w:rsidP="00A4423A">
      <w:pPr>
        <w:pStyle w:val="CETTabletitle"/>
        <w:spacing w:before="0"/>
      </w:pPr>
      <w:r>
        <w:t>Figure</w:t>
      </w:r>
      <w:r w:rsidRPr="00B57B36">
        <w:t xml:space="preserve"> 1: </w:t>
      </w:r>
      <w:r>
        <w:t>Structure and main content of the database.</w:t>
      </w:r>
    </w:p>
    <w:p w14:paraId="0B104F96" w14:textId="77777777" w:rsidR="00F541EE" w:rsidRDefault="00F541EE" w:rsidP="006A3314">
      <w:pPr>
        <w:pStyle w:val="CETBodytext"/>
        <w:rPr>
          <w:lang w:val="en-GB"/>
        </w:rPr>
      </w:pPr>
    </w:p>
    <w:p w14:paraId="0B104F97" w14:textId="77777777" w:rsidR="00600535" w:rsidRDefault="00F133B5" w:rsidP="00600535">
      <w:pPr>
        <w:pStyle w:val="CETHeading1"/>
        <w:rPr>
          <w:lang w:val="en-GB"/>
        </w:rPr>
      </w:pPr>
      <w:r>
        <w:rPr>
          <w:lang w:val="en-GB"/>
        </w:rPr>
        <w:lastRenderedPageBreak/>
        <w:t>Results and discussion</w:t>
      </w:r>
    </w:p>
    <w:p w14:paraId="0B104F98" w14:textId="4AAEC3F3" w:rsidR="00462CFB" w:rsidRDefault="008C7F95" w:rsidP="008C7F95">
      <w:pPr>
        <w:pStyle w:val="CETBodytext"/>
        <w:rPr>
          <w:lang w:val="en-GB"/>
        </w:rPr>
      </w:pPr>
      <w:r>
        <w:rPr>
          <w:lang w:val="en-GB"/>
        </w:rPr>
        <w:t>The dataset built consists of 438 records</w:t>
      </w:r>
      <w:r w:rsidR="00523FAF">
        <w:rPr>
          <w:lang w:val="en-GB"/>
        </w:rPr>
        <w:t>, covering from 1948 to 2018</w:t>
      </w:r>
      <w:r>
        <w:rPr>
          <w:lang w:val="en-GB"/>
        </w:rPr>
        <w:t>.</w:t>
      </w:r>
      <w:r w:rsidR="00462CFB">
        <w:rPr>
          <w:lang w:val="en-GB"/>
        </w:rPr>
        <w:t xml:space="preserve"> </w:t>
      </w:r>
      <w:r w:rsidR="005052BF">
        <w:rPr>
          <w:lang w:val="en-GB"/>
        </w:rPr>
        <w:t>Most of</w:t>
      </w:r>
      <w:r w:rsidR="00462CFB">
        <w:rPr>
          <w:lang w:val="en-GB"/>
        </w:rPr>
        <w:t xml:space="preserve"> the records is from ARIA (94%), followed by FACTS (4%) and eMARS (2%). </w:t>
      </w:r>
      <w:r w:rsidR="00B03D7D">
        <w:rPr>
          <w:lang w:val="en-GB"/>
        </w:rPr>
        <w:t>On one hand, t</w:t>
      </w:r>
      <w:r w:rsidR="00462CFB">
        <w:rPr>
          <w:lang w:val="en-GB"/>
        </w:rPr>
        <w:t xml:space="preserve">his </w:t>
      </w:r>
      <w:r w:rsidR="00B72A4A">
        <w:rPr>
          <w:lang w:val="en-GB"/>
        </w:rPr>
        <w:t>agrees</w:t>
      </w:r>
      <w:r w:rsidR="00462CFB">
        <w:rPr>
          <w:lang w:val="en-GB"/>
        </w:rPr>
        <w:t xml:space="preserve"> </w:t>
      </w:r>
      <w:r w:rsidR="00FD4DEB">
        <w:rPr>
          <w:lang w:val="en-GB"/>
        </w:rPr>
        <w:t xml:space="preserve">with the size of each database and the fact that ARIA has been queried first: clearly enough, all the duplicate events found in the other </w:t>
      </w:r>
      <w:r w:rsidR="00734F20">
        <w:rPr>
          <w:lang w:val="en-GB"/>
        </w:rPr>
        <w:t>two</w:t>
      </w:r>
      <w:r w:rsidR="00FD4DEB">
        <w:rPr>
          <w:lang w:val="en-GB"/>
        </w:rPr>
        <w:t xml:space="preserve"> database</w:t>
      </w:r>
      <w:r w:rsidR="00CE336D">
        <w:rPr>
          <w:lang w:val="en-GB"/>
        </w:rPr>
        <w:t>s</w:t>
      </w:r>
      <w:r w:rsidR="00FD4DEB">
        <w:rPr>
          <w:lang w:val="en-GB"/>
        </w:rPr>
        <w:t xml:space="preserve"> were deleted. </w:t>
      </w:r>
      <w:r w:rsidR="00B03D7D">
        <w:rPr>
          <w:lang w:val="en-GB"/>
        </w:rPr>
        <w:t>On the other hand, there is an unbalance on the geographical distribution of the records, which was found to be: France 66%, Japan 12%, US 8%, Germany 3%, China 2%, Italy and UK 1%. All the other countries represent 11 % of the dataset and for 5% of the records</w:t>
      </w:r>
      <w:r w:rsidR="00E52C05">
        <w:rPr>
          <w:lang w:val="en-GB"/>
        </w:rPr>
        <w:t>,</w:t>
      </w:r>
      <w:r w:rsidR="00B03D7D">
        <w:rPr>
          <w:lang w:val="en-GB"/>
        </w:rPr>
        <w:t xml:space="preserve"> the Country was not specified.</w:t>
      </w:r>
    </w:p>
    <w:p w14:paraId="0B104F99" w14:textId="51950E45" w:rsidR="00121968" w:rsidRDefault="00121968" w:rsidP="00BA0289">
      <w:pPr>
        <w:pStyle w:val="CETBodytext"/>
        <w:rPr>
          <w:lang w:val="en-GB"/>
        </w:rPr>
      </w:pPr>
      <w:r>
        <w:rPr>
          <w:lang w:val="en-GB"/>
        </w:rPr>
        <w:t>The trend</w:t>
      </w:r>
      <w:r w:rsidR="00FD4DEB">
        <w:rPr>
          <w:lang w:val="en-GB"/>
        </w:rPr>
        <w:t xml:space="preserve"> of the records retained for the analysis</w:t>
      </w:r>
      <w:r>
        <w:rPr>
          <w:lang w:val="en-GB"/>
        </w:rPr>
        <w:t xml:space="preserve"> is depicted in Figure 2.</w:t>
      </w:r>
      <w:r w:rsidR="00462CFB">
        <w:rPr>
          <w:lang w:val="en-GB"/>
        </w:rPr>
        <w:t xml:space="preserve"> It </w:t>
      </w:r>
      <w:r w:rsidR="00354F13">
        <w:rPr>
          <w:lang w:val="en-GB"/>
        </w:rPr>
        <w:t>must</w:t>
      </w:r>
      <w:r w:rsidR="00462CFB">
        <w:rPr>
          <w:lang w:val="en-GB"/>
        </w:rPr>
        <w:t xml:space="preserve"> be noted that </w:t>
      </w:r>
      <w:r w:rsidR="00462CFB" w:rsidRPr="00462CFB">
        <w:rPr>
          <w:lang w:val="en-GB"/>
        </w:rPr>
        <w:t xml:space="preserve">statistics are not reliable </w:t>
      </w:r>
      <w:r w:rsidR="00462CFB">
        <w:rPr>
          <w:lang w:val="en-GB"/>
        </w:rPr>
        <w:t>in</w:t>
      </w:r>
      <w:r w:rsidR="00462CFB" w:rsidRPr="00462CFB">
        <w:rPr>
          <w:lang w:val="en-GB"/>
        </w:rPr>
        <w:t xml:space="preserve"> the </w:t>
      </w:r>
      <w:r w:rsidR="00462CFB">
        <w:rPr>
          <w:lang w:val="en-GB"/>
        </w:rPr>
        <w:t>last</w:t>
      </w:r>
      <w:r w:rsidR="00462CFB" w:rsidRPr="00462CFB">
        <w:rPr>
          <w:lang w:val="en-GB"/>
        </w:rPr>
        <w:t xml:space="preserve"> years of data</w:t>
      </w:r>
      <w:r w:rsidR="00462CFB">
        <w:rPr>
          <w:lang w:val="en-GB"/>
        </w:rPr>
        <w:t>: m</w:t>
      </w:r>
      <w:r w:rsidR="00462CFB" w:rsidRPr="00462CFB">
        <w:rPr>
          <w:lang w:val="en-GB"/>
        </w:rPr>
        <w:t xml:space="preserve">any reports not available online until </w:t>
      </w:r>
      <w:r w:rsidR="00462CFB">
        <w:rPr>
          <w:lang w:val="en-GB"/>
        </w:rPr>
        <w:t>few years following the accident (</w:t>
      </w:r>
      <w:r w:rsidR="00462CFB" w:rsidRPr="00462CFB">
        <w:rPr>
          <w:lang w:val="en-GB"/>
        </w:rPr>
        <w:t>Major Accident Hazards Bureau (MAHB), 20</w:t>
      </w:r>
      <w:r w:rsidR="00462CFB">
        <w:rPr>
          <w:lang w:val="en-GB"/>
        </w:rPr>
        <w:t>18)</w:t>
      </w:r>
      <w:r w:rsidR="00462CFB" w:rsidRPr="00462CFB">
        <w:rPr>
          <w:lang w:val="en-GB"/>
        </w:rPr>
        <w:t>.</w:t>
      </w:r>
      <w:r w:rsidR="00C41868">
        <w:rPr>
          <w:lang w:val="en-GB"/>
        </w:rPr>
        <w:t xml:space="preserve"> </w:t>
      </w:r>
      <w:r w:rsidR="00BA0289">
        <w:rPr>
          <w:lang w:val="en-GB"/>
        </w:rPr>
        <w:t>In general, t</w:t>
      </w:r>
      <w:r w:rsidR="00C41868">
        <w:rPr>
          <w:lang w:val="en-GB"/>
        </w:rPr>
        <w:t xml:space="preserve">he trend somehow reflects the trend of </w:t>
      </w:r>
      <w:r w:rsidR="009429BB">
        <w:rPr>
          <w:lang w:val="en-GB"/>
        </w:rPr>
        <w:t xml:space="preserve">a </w:t>
      </w:r>
      <w:r w:rsidR="00C41868" w:rsidRPr="00C41868">
        <w:rPr>
          <w:lang w:val="en-GB"/>
        </w:rPr>
        <w:t>number of climate and weather</w:t>
      </w:r>
      <w:r w:rsidR="00D027C2">
        <w:rPr>
          <w:lang w:val="en-GB"/>
        </w:rPr>
        <w:t>-</w:t>
      </w:r>
      <w:r w:rsidR="00C41868" w:rsidRPr="00C41868">
        <w:rPr>
          <w:lang w:val="en-GB"/>
        </w:rPr>
        <w:t>related disasters per year</w:t>
      </w:r>
      <w:r w:rsidR="00C41868">
        <w:rPr>
          <w:lang w:val="en-GB"/>
        </w:rPr>
        <w:t xml:space="preserve"> </w:t>
      </w:r>
      <w:r w:rsidR="00BC35D5">
        <w:rPr>
          <w:lang w:val="en-GB"/>
        </w:rPr>
        <w:t xml:space="preserve">(red line in Figure 2) </w:t>
      </w:r>
      <w:r w:rsidR="00C41868">
        <w:rPr>
          <w:lang w:val="en-GB"/>
        </w:rPr>
        <w:t xml:space="preserve">as reported by the US </w:t>
      </w:r>
      <w:r w:rsidR="00C41868" w:rsidRPr="00C41868">
        <w:rPr>
          <w:lang w:val="en-GB"/>
        </w:rPr>
        <w:t>National Oceanic and Atmospheric Administration</w:t>
      </w:r>
      <w:r w:rsidR="00C41868">
        <w:rPr>
          <w:lang w:val="en-GB"/>
        </w:rPr>
        <w:t xml:space="preserve"> (NOAA, </w:t>
      </w:r>
      <w:r w:rsidR="00C41868" w:rsidRPr="00C41868">
        <w:rPr>
          <w:lang w:val="en-GB"/>
        </w:rPr>
        <w:t>2018)</w:t>
      </w:r>
      <w:r w:rsidR="00C41868">
        <w:rPr>
          <w:lang w:val="en-GB"/>
        </w:rPr>
        <w:t>.</w:t>
      </w:r>
    </w:p>
    <w:p w14:paraId="0B104F9A" w14:textId="77777777" w:rsidR="004105D1" w:rsidRDefault="004105D1" w:rsidP="00BA0289">
      <w:pPr>
        <w:pStyle w:val="CETBodytext"/>
        <w:rPr>
          <w:lang w:val="en-GB"/>
        </w:rPr>
      </w:pPr>
    </w:p>
    <w:p w14:paraId="0B104F9B" w14:textId="77777777" w:rsidR="00AE6158" w:rsidRDefault="00BC35D5" w:rsidP="00AE6158">
      <w:pPr>
        <w:pStyle w:val="CETBodytext"/>
      </w:pPr>
      <w:bookmarkStart w:id="0" w:name="_GoBack"/>
      <w:r>
        <w:rPr>
          <w:noProof/>
          <w:lang w:val="en-GB" w:eastAsia="en-GB"/>
        </w:rPr>
        <w:drawing>
          <wp:inline distT="0" distB="0" distL="0" distR="0" wp14:anchorId="0B105002" wp14:editId="341EDAC9">
            <wp:extent cx="4320000" cy="282138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821380"/>
                    </a:xfrm>
                    <a:prstGeom prst="rect">
                      <a:avLst/>
                    </a:prstGeom>
                    <a:noFill/>
                  </pic:spPr>
                </pic:pic>
              </a:graphicData>
            </a:graphic>
          </wp:inline>
        </w:drawing>
      </w:r>
      <w:bookmarkEnd w:id="0"/>
    </w:p>
    <w:p w14:paraId="0B104F9C" w14:textId="77777777" w:rsidR="00AE6158" w:rsidRDefault="00AE6158" w:rsidP="00AE6158">
      <w:pPr>
        <w:pStyle w:val="CETBodytext"/>
      </w:pPr>
    </w:p>
    <w:p w14:paraId="0B104F9D" w14:textId="23B96B6B" w:rsidR="00121968" w:rsidRDefault="00121968" w:rsidP="00215505">
      <w:pPr>
        <w:pStyle w:val="CETTabletitle"/>
        <w:spacing w:before="0"/>
      </w:pPr>
      <w:r>
        <w:t>Figure</w:t>
      </w:r>
      <w:r w:rsidRPr="00B57B36">
        <w:t xml:space="preserve"> </w:t>
      </w:r>
      <w:r>
        <w:t>2</w:t>
      </w:r>
      <w:r w:rsidRPr="00B57B36">
        <w:t xml:space="preserve">: </w:t>
      </w:r>
      <w:r>
        <w:t>Trend of records retained for the analysis</w:t>
      </w:r>
      <w:r w:rsidR="00A70DEE">
        <w:t xml:space="preserve"> (green bars) and</w:t>
      </w:r>
      <w:r w:rsidR="00DA1106">
        <w:t xml:space="preserve"> a</w:t>
      </w:r>
      <w:r w:rsidR="00A70DEE">
        <w:t xml:space="preserve"> </w:t>
      </w:r>
      <w:r w:rsidR="00A70DEE" w:rsidRPr="00A70DEE">
        <w:t>total number of climate and weather</w:t>
      </w:r>
      <w:r w:rsidR="000F07B7">
        <w:t>-</w:t>
      </w:r>
      <w:r w:rsidR="00A70DEE" w:rsidRPr="00A70DEE">
        <w:t xml:space="preserve"> related disasters per year</w:t>
      </w:r>
      <w:r w:rsidR="00A70DEE">
        <w:t xml:space="preserve"> (red line, source: NOAA, 2018)</w:t>
      </w:r>
      <w:r>
        <w:t>.</w:t>
      </w:r>
    </w:p>
    <w:p w14:paraId="0B104F9E" w14:textId="77777777" w:rsidR="00AE6158" w:rsidRDefault="00AE6158" w:rsidP="00AE6158">
      <w:pPr>
        <w:pStyle w:val="CETBodytext"/>
        <w:rPr>
          <w:lang w:val="en-GB"/>
        </w:rPr>
      </w:pPr>
    </w:p>
    <w:p w14:paraId="0B104F9F" w14:textId="77777777" w:rsidR="00215505" w:rsidRDefault="00215505" w:rsidP="00215505">
      <w:pPr>
        <w:pStyle w:val="CETBodytext"/>
        <w:rPr>
          <w:lang w:val="en-GB"/>
        </w:rPr>
      </w:pPr>
      <w:r>
        <w:rPr>
          <w:lang w:val="en-GB"/>
        </w:rPr>
        <w:t>The share between the natural phenomena responsible for the records is shown in Figure 3. Most of the events have been caused by floods (44%) and lightning (28%) followed by high temperature (i.e. hot weather, 10%), low temperature (i.e. cold weather, 6%), earthquake (6%) and wind (3%). The rest of the events (3 % of the total number of records) is distributed among landslide (7 cases), snow (4),</w:t>
      </w:r>
      <w:r w:rsidR="00A948AD">
        <w:rPr>
          <w:lang w:val="en-GB"/>
        </w:rPr>
        <w:t xml:space="preserve"> hurricane (3), hailstorm (1), </w:t>
      </w:r>
      <w:r>
        <w:rPr>
          <w:lang w:val="en-GB"/>
        </w:rPr>
        <w:t>tornado (1)</w:t>
      </w:r>
      <w:r w:rsidR="00A948AD">
        <w:rPr>
          <w:lang w:val="en-GB"/>
        </w:rPr>
        <w:t xml:space="preserve"> and wild fire (1)</w:t>
      </w:r>
      <w:r>
        <w:rPr>
          <w:lang w:val="en-GB"/>
        </w:rPr>
        <w:t>.</w:t>
      </w:r>
    </w:p>
    <w:p w14:paraId="0B104FA0" w14:textId="72E5983D" w:rsidR="00912853" w:rsidRDefault="0028724F" w:rsidP="00215505">
      <w:pPr>
        <w:pStyle w:val="CETBodytext"/>
        <w:rPr>
          <w:lang w:val="en-GB"/>
        </w:rPr>
      </w:pPr>
      <w:r>
        <w:rPr>
          <w:lang w:val="en-GB"/>
        </w:rPr>
        <w:t xml:space="preserve">The share among the final scenarios recorded is depicted in Figure 4. </w:t>
      </w:r>
      <w:r w:rsidR="00E468D6">
        <w:rPr>
          <w:lang w:val="en-GB"/>
        </w:rPr>
        <w:t>In 27 % of the cases, there was no loss of containment (“no spill”) from the equipment and the record described damage to the equipment only. In 37 % of the cases</w:t>
      </w:r>
      <w:r w:rsidR="003917C3">
        <w:rPr>
          <w:lang w:val="en-GB"/>
        </w:rPr>
        <w:t>,</w:t>
      </w:r>
      <w:r w:rsidR="00E468D6">
        <w:rPr>
          <w:lang w:val="en-GB"/>
        </w:rPr>
        <w:t xml:space="preserve"> </w:t>
      </w:r>
      <w:r w:rsidR="00912853">
        <w:rPr>
          <w:lang w:val="en-GB"/>
        </w:rPr>
        <w:t>there was a spill of toxic material; just one record is about a flammable spill that did not ignite.</w:t>
      </w:r>
    </w:p>
    <w:p w14:paraId="0B104FA1" w14:textId="6D0E5012" w:rsidR="00FA455A" w:rsidRDefault="00FA455A" w:rsidP="00215505">
      <w:pPr>
        <w:pStyle w:val="CETBodytext"/>
        <w:rPr>
          <w:lang w:val="en-GB"/>
        </w:rPr>
      </w:pPr>
      <w:r>
        <w:rPr>
          <w:lang w:val="en-GB"/>
        </w:rPr>
        <w:t>Fire characterized 26 % of the events, whereas explosion 3 %. In 6 % of the accidents there was a combination of scenarios such as fire and explosion (19 cases), fire and toxic spill (5) and</w:t>
      </w:r>
      <w:r w:rsidR="003917C3">
        <w:rPr>
          <w:lang w:val="en-GB"/>
        </w:rPr>
        <w:t>,</w:t>
      </w:r>
      <w:r>
        <w:rPr>
          <w:lang w:val="en-GB"/>
        </w:rPr>
        <w:t xml:space="preserve"> in a single case</w:t>
      </w:r>
      <w:r w:rsidR="003917C3">
        <w:rPr>
          <w:lang w:val="en-GB"/>
        </w:rPr>
        <w:t>,</w:t>
      </w:r>
      <w:r>
        <w:rPr>
          <w:lang w:val="en-GB"/>
        </w:rPr>
        <w:t xml:space="preserve"> an explosion plus toxic spill was reported. </w:t>
      </w:r>
    </w:p>
    <w:p w14:paraId="0B104FA2" w14:textId="708061B9" w:rsidR="00BB3A9D" w:rsidRDefault="00BB3A9D" w:rsidP="00BB3A9D">
      <w:pPr>
        <w:pStyle w:val="CETBodytext"/>
        <w:rPr>
          <w:lang w:val="en-GB"/>
        </w:rPr>
      </w:pPr>
      <w:r>
        <w:rPr>
          <w:lang w:val="en-GB"/>
        </w:rPr>
        <w:t xml:space="preserve">Analysing the impact of the events, we recorded a total number of associated injuries approximately equal to 6000 and 1000 fatalities. Considering the 70 </w:t>
      </w:r>
      <w:r w:rsidR="009E74A2">
        <w:rPr>
          <w:lang w:val="en-GB"/>
        </w:rPr>
        <w:t>years’ time</w:t>
      </w:r>
      <w:r>
        <w:rPr>
          <w:lang w:val="en-GB"/>
        </w:rPr>
        <w:t xml:space="preserve"> span covered by the dataset and roughly estimating the worldwide number of CPI sites to 4500 </w:t>
      </w:r>
      <w:r w:rsidRPr="006B24CB">
        <w:rPr>
          <w:lang w:val="en-GB"/>
        </w:rPr>
        <w:t>(</w:t>
      </w:r>
      <w:r w:rsidR="0043510C">
        <w:rPr>
          <w:lang w:val="en-GB"/>
        </w:rPr>
        <w:t>C</w:t>
      </w:r>
      <w:r w:rsidRPr="006B24CB">
        <w:rPr>
          <w:lang w:val="en-GB"/>
        </w:rPr>
        <w:t>efic, 2018)</w:t>
      </w:r>
      <w:r>
        <w:rPr>
          <w:lang w:val="en-GB"/>
        </w:rPr>
        <w:t>, the risk associate</w:t>
      </w:r>
      <w:r w:rsidR="00F80BE2">
        <w:rPr>
          <w:lang w:val="en-GB"/>
        </w:rPr>
        <w:t>d</w:t>
      </w:r>
      <w:r>
        <w:rPr>
          <w:lang w:val="en-GB"/>
        </w:rPr>
        <w:t xml:space="preserve"> to NaTechs is not negligible (</w:t>
      </w:r>
      <w:r>
        <w:rPr>
          <w:lang w:val="en-GB"/>
        </w:rPr>
        <w:sym w:font="Symbol" w:char="F0BB"/>
      </w:r>
      <w:r>
        <w:rPr>
          <w:lang w:val="en-GB"/>
        </w:rPr>
        <w:t>10</w:t>
      </w:r>
      <w:r w:rsidRPr="00D368AA">
        <w:rPr>
          <w:vertAlign w:val="superscript"/>
          <w:lang w:val="en-GB"/>
        </w:rPr>
        <w:t>-3</w:t>
      </w:r>
      <w:r>
        <w:rPr>
          <w:lang w:val="en-GB"/>
        </w:rPr>
        <w:t xml:space="preserve"> eve</w:t>
      </w:r>
      <w:r w:rsidR="0060273D">
        <w:rPr>
          <w:lang w:val="en-GB"/>
        </w:rPr>
        <w:t>n</w:t>
      </w:r>
      <w:r>
        <w:rPr>
          <w:lang w:val="en-GB"/>
        </w:rPr>
        <w:t xml:space="preserve">ts/year). In Table 2 the events have been aggregated </w:t>
      </w:r>
      <w:r w:rsidR="00142BF6">
        <w:rPr>
          <w:lang w:val="en-GB"/>
        </w:rPr>
        <w:t>based on</w:t>
      </w:r>
      <w:r w:rsidR="00945716">
        <w:rPr>
          <w:lang w:val="en-GB"/>
        </w:rPr>
        <w:t xml:space="preserve"> the number of losses counted: despite the majority of the events involved no casualties, there is a large number of records charac</w:t>
      </w:r>
      <w:r w:rsidR="00B64730">
        <w:rPr>
          <w:lang w:val="en-GB"/>
        </w:rPr>
        <w:t>terised by severe consequences in terms of human losses.</w:t>
      </w:r>
    </w:p>
    <w:p w14:paraId="19F75FE9" w14:textId="77777777" w:rsidR="00B00C14" w:rsidRDefault="00B00C14" w:rsidP="00B00C14">
      <w:pPr>
        <w:pStyle w:val="CETBodytext"/>
        <w:rPr>
          <w:lang w:val="en-GB"/>
        </w:rPr>
      </w:pPr>
      <w:r>
        <w:rPr>
          <w:lang w:val="en-GB"/>
        </w:rPr>
        <w:t xml:space="preserve">Table 3 shows the data available on economic losses associated to the events analysed: despite a large number of “unknowns”, 17 % of the cases entailed severe economic damages to the companies. The hugest economic impacts are associated to earthquakes: none of the records was characterised by less than 10 </w:t>
      </w:r>
      <w:r w:rsidRPr="00D84CF6">
        <w:rPr>
          <w:lang w:val="en-GB"/>
        </w:rPr>
        <w:t>M€</w:t>
      </w:r>
      <w:r>
        <w:rPr>
          <w:lang w:val="en-GB"/>
        </w:rPr>
        <w:t xml:space="preserve"> damages. Economic losses associated to flooding and lightning are averagely in the range of 100</w:t>
      </w:r>
      <w:r w:rsidRPr="00D84CF6">
        <w:rPr>
          <w:rFonts w:cs="Arial"/>
          <w:b/>
          <w:bCs/>
          <w:lang w:eastAsia="en-GB"/>
        </w:rPr>
        <w:t xml:space="preserve"> </w:t>
      </w:r>
      <w:r w:rsidRPr="00D84CF6">
        <w:rPr>
          <w:rFonts w:cs="Arial"/>
          <w:bCs/>
          <w:lang w:eastAsia="en-GB"/>
        </w:rPr>
        <w:t>k€</w:t>
      </w:r>
      <w:r>
        <w:rPr>
          <w:lang w:val="en-GB"/>
        </w:rPr>
        <w:t xml:space="preserve"> - 1 </w:t>
      </w:r>
      <w:r w:rsidRPr="00D84CF6">
        <w:rPr>
          <w:lang w:val="en-GB"/>
        </w:rPr>
        <w:t>M€</w:t>
      </w:r>
      <w:r>
        <w:rPr>
          <w:lang w:val="en-GB"/>
        </w:rPr>
        <w:t xml:space="preserve"> per accident.</w:t>
      </w:r>
    </w:p>
    <w:p w14:paraId="0B104FA3" w14:textId="77777777" w:rsidR="00AE6158" w:rsidRDefault="00AE6158" w:rsidP="00AE6158">
      <w:pPr>
        <w:pStyle w:val="CETReference"/>
        <w:jc w:val="center"/>
      </w:pPr>
      <w:r>
        <w:rPr>
          <w:noProof/>
          <w:lang w:eastAsia="en-GB"/>
        </w:rPr>
        <w:lastRenderedPageBreak/>
        <w:drawing>
          <wp:inline distT="0" distB="0" distL="0" distR="0" wp14:anchorId="0B105004" wp14:editId="03920E11">
            <wp:extent cx="2316076" cy="2340000"/>
            <wp:effectExtent l="0" t="0" r="8255"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665" t="7852" r="22749" b="7771"/>
                    <a:stretch/>
                  </pic:blipFill>
                  <pic:spPr bwMode="auto">
                    <a:xfrm>
                      <a:off x="0" y="0"/>
                      <a:ext cx="2316076"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0B104FA4" w14:textId="77777777" w:rsidR="001E13EB" w:rsidRPr="00B57B36" w:rsidRDefault="001E13EB" w:rsidP="00215505">
      <w:pPr>
        <w:pStyle w:val="CETTabletitle"/>
        <w:spacing w:before="0"/>
      </w:pPr>
      <w:r>
        <w:t>Figure</w:t>
      </w:r>
      <w:r w:rsidRPr="00B57B36">
        <w:t xml:space="preserve"> </w:t>
      </w:r>
      <w:r w:rsidR="00120E13">
        <w:t>3</w:t>
      </w:r>
      <w:r w:rsidRPr="00B57B36">
        <w:t xml:space="preserve">: </w:t>
      </w:r>
      <w:r>
        <w:t>S</w:t>
      </w:r>
      <w:r w:rsidRPr="001E13EB">
        <w:t xml:space="preserve">hare between the natural phenomena responsible for the records </w:t>
      </w:r>
      <w:r>
        <w:t>considered for the present analysis.</w:t>
      </w:r>
    </w:p>
    <w:p w14:paraId="0B104FA5" w14:textId="77777777" w:rsidR="00A26CEE" w:rsidRDefault="00215505" w:rsidP="00215505">
      <w:pPr>
        <w:pStyle w:val="CETReference"/>
        <w:jc w:val="center"/>
      </w:pPr>
      <w:r>
        <w:rPr>
          <w:noProof/>
          <w:lang w:eastAsia="en-GB"/>
        </w:rPr>
        <w:drawing>
          <wp:inline distT="0" distB="0" distL="0" distR="0" wp14:anchorId="0B105006" wp14:editId="1E57415F">
            <wp:extent cx="2339102" cy="2340000"/>
            <wp:effectExtent l="0" t="0" r="4445" b="317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707" t="7843" r="22157" b="7704"/>
                    <a:stretch/>
                  </pic:blipFill>
                  <pic:spPr bwMode="auto">
                    <a:xfrm>
                      <a:off x="0" y="0"/>
                      <a:ext cx="2339102"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0B104FA6" w14:textId="77777777" w:rsidR="00215505" w:rsidRPr="00B57B36" w:rsidRDefault="00215505" w:rsidP="00215505">
      <w:pPr>
        <w:pStyle w:val="CETTabletitle"/>
        <w:spacing w:before="0"/>
        <w:jc w:val="center"/>
      </w:pPr>
      <w:r>
        <w:t>Figure</w:t>
      </w:r>
      <w:r w:rsidRPr="00B57B36">
        <w:t xml:space="preserve"> </w:t>
      </w:r>
      <w:r>
        <w:t>4</w:t>
      </w:r>
      <w:r w:rsidRPr="00B57B36">
        <w:t xml:space="preserve">: </w:t>
      </w:r>
      <w:r>
        <w:t>Final scenarios recorded.</w:t>
      </w:r>
    </w:p>
    <w:p w14:paraId="0B104FA7" w14:textId="77777777" w:rsidR="004105D1" w:rsidRDefault="004105D1" w:rsidP="005642D0">
      <w:pPr>
        <w:pStyle w:val="CETBodytext"/>
        <w:rPr>
          <w:lang w:val="en-GB"/>
        </w:rPr>
      </w:pPr>
    </w:p>
    <w:p w14:paraId="0B104FA8" w14:textId="7F28564C" w:rsidR="00B1362B" w:rsidRPr="00B57B36" w:rsidRDefault="00B1362B" w:rsidP="00B1362B">
      <w:pPr>
        <w:pStyle w:val="CETTabletitle"/>
      </w:pPr>
      <w:r w:rsidRPr="00B57B36">
        <w:t xml:space="preserve">Table </w:t>
      </w:r>
      <w:r>
        <w:t>2</w:t>
      </w:r>
      <w:r w:rsidRPr="00B57B36">
        <w:t xml:space="preserve">: </w:t>
      </w:r>
      <w:r>
        <w:t xml:space="preserve">Human losses associated </w:t>
      </w:r>
      <w:r w:rsidR="0043510C">
        <w:t>to</w:t>
      </w:r>
      <w:r w:rsidR="000F42E0">
        <w:t xml:space="preserve"> </w:t>
      </w:r>
      <w:r>
        <w:t>the records.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3"/>
        <w:gridCol w:w="1466"/>
        <w:gridCol w:w="1464"/>
        <w:gridCol w:w="1466"/>
        <w:gridCol w:w="1464"/>
        <w:gridCol w:w="1464"/>
      </w:tblGrid>
      <w:tr w:rsidR="00B1362B" w:rsidRPr="00837283" w14:paraId="0B104FAF" w14:textId="77777777" w:rsidTr="00C30166">
        <w:tc>
          <w:tcPr>
            <w:tcW w:w="833" w:type="pct"/>
            <w:tcBorders>
              <w:top w:val="single" w:sz="12" w:space="0" w:color="008000"/>
              <w:bottom w:val="single" w:sz="6" w:space="0" w:color="008000"/>
            </w:tcBorders>
            <w:shd w:val="clear" w:color="auto" w:fill="FFFFFF"/>
          </w:tcPr>
          <w:p w14:paraId="0B104FA9" w14:textId="77777777" w:rsidR="00B1362B" w:rsidRPr="00B1362B" w:rsidRDefault="00B1362B" w:rsidP="00232E9C">
            <w:pPr>
              <w:pStyle w:val="CETBodytext"/>
              <w:rPr>
                <w:b/>
                <w:lang w:val="en-GB"/>
              </w:rPr>
            </w:pPr>
            <w:r w:rsidRPr="00B1362B">
              <w:rPr>
                <w:b/>
                <w:lang w:val="en-GB"/>
              </w:rPr>
              <w:t>No. of records</w:t>
            </w:r>
          </w:p>
        </w:tc>
        <w:tc>
          <w:tcPr>
            <w:tcW w:w="834" w:type="pct"/>
            <w:tcBorders>
              <w:top w:val="single" w:sz="12" w:space="0" w:color="008000"/>
              <w:bottom w:val="single" w:sz="6" w:space="0" w:color="008000"/>
            </w:tcBorders>
            <w:shd w:val="clear" w:color="auto" w:fill="FFFFFF"/>
          </w:tcPr>
          <w:p w14:paraId="0B104FAA" w14:textId="4CF5EA81" w:rsidR="00B1362B" w:rsidRPr="00B1362B" w:rsidRDefault="00C30166" w:rsidP="00C30166">
            <w:pPr>
              <w:rPr>
                <w:b/>
              </w:rPr>
            </w:pPr>
            <w:r>
              <w:rPr>
                <w:b/>
              </w:rPr>
              <w:t>No casualties</w:t>
            </w:r>
          </w:p>
        </w:tc>
        <w:tc>
          <w:tcPr>
            <w:tcW w:w="833" w:type="pct"/>
            <w:tcBorders>
              <w:top w:val="single" w:sz="12" w:space="0" w:color="008000"/>
              <w:bottom w:val="single" w:sz="6" w:space="0" w:color="008000"/>
            </w:tcBorders>
            <w:shd w:val="clear" w:color="auto" w:fill="FFFFFF"/>
          </w:tcPr>
          <w:p w14:paraId="0B104FAB" w14:textId="7E7F85A6" w:rsidR="00B1362B" w:rsidRPr="00B1362B" w:rsidRDefault="00B1362B" w:rsidP="00C30166">
            <w:pPr>
              <w:rPr>
                <w:b/>
              </w:rPr>
            </w:pPr>
            <w:r w:rsidRPr="00B1362B">
              <w:rPr>
                <w:b/>
              </w:rPr>
              <w:t xml:space="preserve"> </w:t>
            </w:r>
            <w:r w:rsidR="00C30166">
              <w:rPr>
                <w:b/>
              </w:rPr>
              <w:t xml:space="preserve"> 10 &lt; x </w:t>
            </w:r>
            <w:r w:rsidRPr="00B1362B">
              <w:rPr>
                <w:b/>
              </w:rPr>
              <w:t>&lt; 10</w:t>
            </w:r>
            <w:r w:rsidR="00C30166">
              <w:rPr>
                <w:b/>
              </w:rPr>
              <w:t>0</w:t>
            </w:r>
          </w:p>
        </w:tc>
        <w:tc>
          <w:tcPr>
            <w:tcW w:w="834" w:type="pct"/>
            <w:tcBorders>
              <w:top w:val="single" w:sz="12" w:space="0" w:color="008000"/>
              <w:bottom w:val="single" w:sz="6" w:space="0" w:color="008000"/>
            </w:tcBorders>
            <w:shd w:val="clear" w:color="auto" w:fill="FFFFFF"/>
          </w:tcPr>
          <w:p w14:paraId="0B104FAC" w14:textId="52E752E4" w:rsidR="00B1362B" w:rsidRPr="00B1362B" w:rsidRDefault="00C30166" w:rsidP="00C30166">
            <w:pPr>
              <w:rPr>
                <w:b/>
              </w:rPr>
            </w:pPr>
            <w:r>
              <w:rPr>
                <w:b/>
              </w:rPr>
              <w:t>10</w:t>
            </w:r>
            <w:r>
              <w:rPr>
                <w:b/>
              </w:rPr>
              <w:t>0</w:t>
            </w:r>
            <w:r>
              <w:rPr>
                <w:b/>
              </w:rPr>
              <w:t xml:space="preserve"> &lt; x </w:t>
            </w:r>
            <w:r w:rsidRPr="00B1362B">
              <w:rPr>
                <w:b/>
              </w:rPr>
              <w:t>&lt; 1</w:t>
            </w:r>
            <w:r>
              <w:rPr>
                <w:b/>
              </w:rPr>
              <w:t>0</w:t>
            </w:r>
            <w:r w:rsidRPr="00B1362B">
              <w:rPr>
                <w:b/>
              </w:rPr>
              <w:t>0</w:t>
            </w:r>
            <w:r>
              <w:rPr>
                <w:b/>
              </w:rPr>
              <w:t>0</w:t>
            </w:r>
          </w:p>
        </w:tc>
        <w:tc>
          <w:tcPr>
            <w:tcW w:w="833" w:type="pct"/>
            <w:tcBorders>
              <w:top w:val="single" w:sz="12" w:space="0" w:color="008000"/>
              <w:bottom w:val="single" w:sz="6" w:space="0" w:color="008000"/>
            </w:tcBorders>
            <w:shd w:val="clear" w:color="auto" w:fill="FFFFFF"/>
          </w:tcPr>
          <w:p w14:paraId="0B104FAD" w14:textId="66C08AD1" w:rsidR="00B1362B" w:rsidRPr="00B1362B" w:rsidRDefault="00B1362B" w:rsidP="00C30166">
            <w:pPr>
              <w:rPr>
                <w:b/>
              </w:rPr>
            </w:pPr>
            <w:r w:rsidRPr="00B1362B">
              <w:rPr>
                <w:b/>
              </w:rPr>
              <w:t xml:space="preserve"> </w:t>
            </w:r>
            <w:r w:rsidR="00C30166">
              <w:rPr>
                <w:b/>
              </w:rPr>
              <w:t xml:space="preserve">x </w:t>
            </w:r>
            <w:r w:rsidR="00C30166">
              <w:rPr>
                <w:b/>
              </w:rPr>
              <w:t>&gt;</w:t>
            </w:r>
            <w:r w:rsidR="00C30166" w:rsidRPr="00B1362B">
              <w:rPr>
                <w:b/>
              </w:rPr>
              <w:t xml:space="preserve"> 1</w:t>
            </w:r>
            <w:r w:rsidR="00C30166">
              <w:rPr>
                <w:b/>
              </w:rPr>
              <w:t>0</w:t>
            </w:r>
            <w:r w:rsidR="00C30166" w:rsidRPr="00B1362B">
              <w:rPr>
                <w:b/>
              </w:rPr>
              <w:t>0</w:t>
            </w:r>
            <w:r w:rsidR="00C30166">
              <w:rPr>
                <w:b/>
              </w:rPr>
              <w:t>0</w:t>
            </w:r>
            <w:r w:rsidRPr="00B1362B">
              <w:rPr>
                <w:b/>
              </w:rPr>
              <w:t xml:space="preserve"> </w:t>
            </w:r>
          </w:p>
        </w:tc>
        <w:tc>
          <w:tcPr>
            <w:tcW w:w="834" w:type="pct"/>
            <w:tcBorders>
              <w:top w:val="single" w:sz="12" w:space="0" w:color="008000"/>
              <w:bottom w:val="single" w:sz="6" w:space="0" w:color="008000"/>
            </w:tcBorders>
            <w:shd w:val="clear" w:color="auto" w:fill="FFFFFF"/>
          </w:tcPr>
          <w:p w14:paraId="0B104FAE" w14:textId="77777777" w:rsidR="00B1362B" w:rsidRPr="00B1362B" w:rsidRDefault="00B1362B" w:rsidP="00C30166">
            <w:pPr>
              <w:rPr>
                <w:b/>
              </w:rPr>
            </w:pPr>
            <w:r w:rsidRPr="00B1362B">
              <w:rPr>
                <w:b/>
              </w:rPr>
              <w:t>unknown</w:t>
            </w:r>
          </w:p>
        </w:tc>
      </w:tr>
      <w:tr w:rsidR="00B1362B" w:rsidRPr="00837283" w14:paraId="0B104FB6" w14:textId="77777777" w:rsidTr="00C30166">
        <w:tc>
          <w:tcPr>
            <w:tcW w:w="833" w:type="pct"/>
            <w:shd w:val="clear" w:color="auto" w:fill="FFFFFF"/>
          </w:tcPr>
          <w:p w14:paraId="0B104FB0" w14:textId="77777777" w:rsidR="00B1362B" w:rsidRPr="00B1362B" w:rsidRDefault="00B1362B" w:rsidP="00232E9C">
            <w:pPr>
              <w:pStyle w:val="CETBodytext"/>
              <w:rPr>
                <w:b/>
                <w:lang w:val="en-GB"/>
              </w:rPr>
            </w:pPr>
            <w:r w:rsidRPr="00B1362B">
              <w:rPr>
                <w:b/>
                <w:lang w:val="en-GB"/>
              </w:rPr>
              <w:t>Injuries</w:t>
            </w:r>
          </w:p>
        </w:tc>
        <w:tc>
          <w:tcPr>
            <w:tcW w:w="834" w:type="pct"/>
            <w:shd w:val="clear" w:color="auto" w:fill="FFFFFF"/>
            <w:vAlign w:val="bottom"/>
          </w:tcPr>
          <w:p w14:paraId="0B104FB1"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357</w:t>
            </w:r>
          </w:p>
        </w:tc>
        <w:tc>
          <w:tcPr>
            <w:tcW w:w="833" w:type="pct"/>
            <w:shd w:val="clear" w:color="auto" w:fill="FFFFFF"/>
            <w:vAlign w:val="bottom"/>
          </w:tcPr>
          <w:p w14:paraId="0B104FB2"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23</w:t>
            </w:r>
          </w:p>
        </w:tc>
        <w:tc>
          <w:tcPr>
            <w:tcW w:w="834" w:type="pct"/>
            <w:shd w:val="clear" w:color="auto" w:fill="FFFFFF"/>
            <w:vAlign w:val="bottom"/>
          </w:tcPr>
          <w:p w14:paraId="0B104FB3"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17</w:t>
            </w:r>
          </w:p>
        </w:tc>
        <w:tc>
          <w:tcPr>
            <w:tcW w:w="833" w:type="pct"/>
            <w:shd w:val="clear" w:color="auto" w:fill="FFFFFF"/>
            <w:vAlign w:val="bottom"/>
          </w:tcPr>
          <w:p w14:paraId="0B104FB4"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4</w:t>
            </w:r>
          </w:p>
        </w:tc>
        <w:tc>
          <w:tcPr>
            <w:tcW w:w="834" w:type="pct"/>
            <w:shd w:val="clear" w:color="auto" w:fill="FFFFFF"/>
          </w:tcPr>
          <w:p w14:paraId="0B104FB5" w14:textId="77777777" w:rsidR="00B1362B" w:rsidRPr="00B1362B" w:rsidRDefault="00B1362B" w:rsidP="00232E9C">
            <w:pPr>
              <w:tabs>
                <w:tab w:val="clear" w:pos="7100"/>
              </w:tabs>
              <w:spacing w:line="240" w:lineRule="auto"/>
              <w:jc w:val="left"/>
              <w:rPr>
                <w:rFonts w:cs="Arial"/>
                <w:lang w:eastAsia="en-GB"/>
              </w:rPr>
            </w:pPr>
            <w:r w:rsidRPr="00B1362B">
              <w:rPr>
                <w:rFonts w:cs="Arial"/>
                <w:lang w:eastAsia="en-GB"/>
              </w:rPr>
              <w:t>33</w:t>
            </w:r>
          </w:p>
        </w:tc>
      </w:tr>
      <w:tr w:rsidR="00B1362B" w:rsidRPr="00837283" w14:paraId="0B104FBD" w14:textId="77777777" w:rsidTr="00C30166">
        <w:tc>
          <w:tcPr>
            <w:tcW w:w="833" w:type="pct"/>
            <w:shd w:val="clear" w:color="auto" w:fill="FFFFFF"/>
          </w:tcPr>
          <w:p w14:paraId="0B104FB7" w14:textId="77777777" w:rsidR="00B1362B" w:rsidRPr="00B1362B" w:rsidRDefault="00B1362B" w:rsidP="00232E9C">
            <w:pPr>
              <w:pStyle w:val="CETBodytext"/>
              <w:ind w:right="-1"/>
              <w:rPr>
                <w:rFonts w:cs="Arial"/>
                <w:b/>
                <w:szCs w:val="18"/>
                <w:lang w:val="en-GB"/>
              </w:rPr>
            </w:pPr>
            <w:r w:rsidRPr="00B1362B">
              <w:rPr>
                <w:rFonts w:cs="Arial"/>
                <w:b/>
                <w:szCs w:val="18"/>
                <w:lang w:val="en-GB"/>
              </w:rPr>
              <w:t>Fatalities</w:t>
            </w:r>
          </w:p>
        </w:tc>
        <w:tc>
          <w:tcPr>
            <w:tcW w:w="834" w:type="pct"/>
            <w:shd w:val="clear" w:color="auto" w:fill="FFFFFF"/>
            <w:vAlign w:val="bottom"/>
          </w:tcPr>
          <w:p w14:paraId="0B104FB8"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391</w:t>
            </w:r>
          </w:p>
        </w:tc>
        <w:tc>
          <w:tcPr>
            <w:tcW w:w="833" w:type="pct"/>
            <w:shd w:val="clear" w:color="auto" w:fill="FFFFFF"/>
            <w:vAlign w:val="bottom"/>
          </w:tcPr>
          <w:p w14:paraId="0B104FB9"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17</w:t>
            </w:r>
          </w:p>
        </w:tc>
        <w:tc>
          <w:tcPr>
            <w:tcW w:w="834" w:type="pct"/>
            <w:shd w:val="clear" w:color="auto" w:fill="FFFFFF"/>
            <w:vAlign w:val="bottom"/>
          </w:tcPr>
          <w:p w14:paraId="0B104FBA"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11</w:t>
            </w:r>
          </w:p>
        </w:tc>
        <w:tc>
          <w:tcPr>
            <w:tcW w:w="833" w:type="pct"/>
            <w:shd w:val="clear" w:color="auto" w:fill="FFFFFF"/>
            <w:vAlign w:val="bottom"/>
          </w:tcPr>
          <w:p w14:paraId="0B104FBB"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3</w:t>
            </w:r>
          </w:p>
        </w:tc>
        <w:tc>
          <w:tcPr>
            <w:tcW w:w="834" w:type="pct"/>
            <w:shd w:val="clear" w:color="auto" w:fill="FFFFFF"/>
            <w:vAlign w:val="bottom"/>
          </w:tcPr>
          <w:p w14:paraId="0B104FBC" w14:textId="77777777" w:rsidR="00B1362B" w:rsidRPr="00837283" w:rsidRDefault="00B1362B" w:rsidP="00232E9C">
            <w:pPr>
              <w:tabs>
                <w:tab w:val="clear" w:pos="7100"/>
              </w:tabs>
              <w:spacing w:line="240" w:lineRule="auto"/>
              <w:jc w:val="left"/>
              <w:rPr>
                <w:rFonts w:cs="Arial"/>
                <w:lang w:eastAsia="en-GB"/>
              </w:rPr>
            </w:pPr>
            <w:r w:rsidRPr="00837283">
              <w:rPr>
                <w:rFonts w:cs="Arial"/>
                <w:lang w:eastAsia="en-GB"/>
              </w:rPr>
              <w:t>13</w:t>
            </w:r>
          </w:p>
        </w:tc>
      </w:tr>
    </w:tbl>
    <w:p w14:paraId="0B104FBE" w14:textId="5A7CBD28" w:rsidR="00AB7C41" w:rsidRPr="00B57B36" w:rsidRDefault="00AB7C41" w:rsidP="00AB7C41">
      <w:pPr>
        <w:pStyle w:val="CETTabletitle"/>
      </w:pPr>
      <w:r w:rsidRPr="00B57B36">
        <w:t xml:space="preserve">Table </w:t>
      </w:r>
      <w:r>
        <w:t>3</w:t>
      </w:r>
      <w:r w:rsidRPr="00B57B36">
        <w:t xml:space="preserve">: </w:t>
      </w:r>
      <w:r>
        <w:t xml:space="preserve">Economic losses associated </w:t>
      </w:r>
      <w:r w:rsidR="0043510C">
        <w:t xml:space="preserve">to </w:t>
      </w:r>
      <w:r>
        <w:t>the records.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9"/>
        <w:gridCol w:w="1097"/>
        <w:gridCol w:w="1098"/>
        <w:gridCol w:w="1100"/>
        <w:gridCol w:w="1098"/>
        <w:gridCol w:w="1098"/>
        <w:gridCol w:w="1100"/>
        <w:gridCol w:w="1097"/>
      </w:tblGrid>
      <w:tr w:rsidR="00AB7C41" w:rsidRPr="00B57B36" w14:paraId="0B104FC7" w14:textId="77777777" w:rsidTr="00232E9C">
        <w:tc>
          <w:tcPr>
            <w:tcW w:w="625" w:type="pct"/>
            <w:tcBorders>
              <w:top w:val="single" w:sz="12" w:space="0" w:color="008000"/>
              <w:bottom w:val="single" w:sz="6" w:space="0" w:color="008000"/>
            </w:tcBorders>
            <w:shd w:val="clear" w:color="auto" w:fill="FFFFFF"/>
          </w:tcPr>
          <w:p w14:paraId="0B104FBF" w14:textId="77777777" w:rsidR="00AB7C41" w:rsidRPr="00837283" w:rsidRDefault="00AB7C41" w:rsidP="00232E9C">
            <w:pPr>
              <w:pStyle w:val="CETBodytext"/>
              <w:rPr>
                <w:b/>
                <w:lang w:val="en-GB"/>
              </w:rPr>
            </w:pPr>
            <w:r w:rsidRPr="00837283">
              <w:rPr>
                <w:b/>
                <w:lang w:val="en-GB"/>
              </w:rPr>
              <w:t>Economic loss</w:t>
            </w:r>
          </w:p>
        </w:tc>
        <w:tc>
          <w:tcPr>
            <w:tcW w:w="624" w:type="pct"/>
            <w:tcBorders>
              <w:top w:val="single" w:sz="12" w:space="0" w:color="008000"/>
              <w:bottom w:val="single" w:sz="6" w:space="0" w:color="008000"/>
            </w:tcBorders>
            <w:shd w:val="clear" w:color="auto" w:fill="FFFFFF"/>
          </w:tcPr>
          <w:p w14:paraId="0B104FC0" w14:textId="77777777" w:rsidR="00AB7C41" w:rsidRPr="00837283" w:rsidRDefault="00AB7C41" w:rsidP="00232E9C">
            <w:pPr>
              <w:tabs>
                <w:tab w:val="clear" w:pos="7100"/>
              </w:tabs>
              <w:spacing w:line="240" w:lineRule="auto"/>
              <w:jc w:val="center"/>
              <w:rPr>
                <w:rFonts w:cs="Arial"/>
                <w:b/>
                <w:bCs/>
                <w:lang w:eastAsia="en-GB"/>
              </w:rPr>
            </w:pPr>
            <w:r w:rsidRPr="00AB7C41">
              <w:rPr>
                <w:rFonts w:cs="Arial"/>
                <w:b/>
                <w:bCs/>
                <w:lang w:eastAsia="en-GB"/>
              </w:rPr>
              <w:t>minor</w:t>
            </w:r>
          </w:p>
        </w:tc>
        <w:tc>
          <w:tcPr>
            <w:tcW w:w="625" w:type="pct"/>
            <w:tcBorders>
              <w:top w:val="single" w:sz="12" w:space="0" w:color="008000"/>
              <w:bottom w:val="single" w:sz="6" w:space="0" w:color="008000"/>
            </w:tcBorders>
            <w:shd w:val="clear" w:color="auto" w:fill="FFFFFF"/>
          </w:tcPr>
          <w:p w14:paraId="0B104FC1" w14:textId="275A220B" w:rsidR="00AB7C41" w:rsidRPr="00837283" w:rsidRDefault="00C30166" w:rsidP="00232E9C">
            <w:pPr>
              <w:tabs>
                <w:tab w:val="clear" w:pos="7100"/>
              </w:tabs>
              <w:spacing w:line="240" w:lineRule="auto"/>
              <w:jc w:val="center"/>
              <w:rPr>
                <w:rFonts w:cs="Arial"/>
                <w:b/>
                <w:bCs/>
                <w:lang w:eastAsia="en-GB"/>
              </w:rPr>
            </w:pPr>
            <w:r>
              <w:rPr>
                <w:rFonts w:cs="Arial"/>
                <w:b/>
                <w:bCs/>
                <w:lang w:eastAsia="en-GB"/>
              </w:rPr>
              <w:t>&gt;</w:t>
            </w:r>
            <w:r w:rsidR="00AB7C41" w:rsidRPr="00AB7C41">
              <w:rPr>
                <w:rFonts w:cs="Arial"/>
                <w:b/>
                <w:bCs/>
                <w:lang w:eastAsia="en-GB"/>
              </w:rPr>
              <w:t xml:space="preserve"> 100k€</w:t>
            </w:r>
          </w:p>
        </w:tc>
        <w:tc>
          <w:tcPr>
            <w:tcW w:w="626" w:type="pct"/>
            <w:tcBorders>
              <w:top w:val="single" w:sz="12" w:space="0" w:color="008000"/>
              <w:bottom w:val="single" w:sz="6" w:space="0" w:color="008000"/>
            </w:tcBorders>
            <w:shd w:val="clear" w:color="auto" w:fill="FFFFFF"/>
          </w:tcPr>
          <w:p w14:paraId="0B104FC2" w14:textId="6097CD0C" w:rsidR="00AB7C41" w:rsidRPr="00837283" w:rsidRDefault="00C30166" w:rsidP="00232E9C">
            <w:pPr>
              <w:tabs>
                <w:tab w:val="clear" w:pos="7100"/>
              </w:tabs>
              <w:spacing w:line="240" w:lineRule="auto"/>
              <w:jc w:val="center"/>
              <w:rPr>
                <w:rFonts w:cs="Arial"/>
                <w:b/>
                <w:bCs/>
                <w:lang w:eastAsia="en-GB"/>
              </w:rPr>
            </w:pPr>
            <w:r>
              <w:rPr>
                <w:rFonts w:cs="Arial"/>
                <w:b/>
                <w:bCs/>
                <w:lang w:eastAsia="en-GB"/>
              </w:rPr>
              <w:t>&gt;</w:t>
            </w:r>
            <w:r w:rsidR="00AB7C41" w:rsidRPr="00AB7C41">
              <w:rPr>
                <w:rFonts w:cs="Arial"/>
                <w:b/>
                <w:bCs/>
                <w:lang w:eastAsia="en-GB"/>
              </w:rPr>
              <w:t xml:space="preserve"> 1M€</w:t>
            </w:r>
          </w:p>
        </w:tc>
        <w:tc>
          <w:tcPr>
            <w:tcW w:w="625" w:type="pct"/>
            <w:tcBorders>
              <w:top w:val="single" w:sz="12" w:space="0" w:color="008000"/>
              <w:bottom w:val="single" w:sz="6" w:space="0" w:color="008000"/>
            </w:tcBorders>
            <w:shd w:val="clear" w:color="auto" w:fill="FFFFFF"/>
          </w:tcPr>
          <w:p w14:paraId="0B104FC3" w14:textId="340CD93B" w:rsidR="00AB7C41" w:rsidRPr="00837283" w:rsidRDefault="00C30166" w:rsidP="00232E9C">
            <w:pPr>
              <w:tabs>
                <w:tab w:val="clear" w:pos="7100"/>
              </w:tabs>
              <w:spacing w:line="240" w:lineRule="auto"/>
              <w:jc w:val="center"/>
              <w:rPr>
                <w:rFonts w:cs="Arial"/>
                <w:b/>
                <w:bCs/>
                <w:lang w:eastAsia="en-GB"/>
              </w:rPr>
            </w:pPr>
            <w:r>
              <w:rPr>
                <w:rFonts w:cs="Arial"/>
                <w:b/>
                <w:bCs/>
                <w:lang w:eastAsia="en-GB"/>
              </w:rPr>
              <w:t xml:space="preserve">&gt; </w:t>
            </w:r>
            <w:r w:rsidR="00AB7C41" w:rsidRPr="00837283">
              <w:rPr>
                <w:rFonts w:cs="Arial"/>
                <w:b/>
                <w:bCs/>
                <w:lang w:eastAsia="en-GB"/>
              </w:rPr>
              <w:t>10</w:t>
            </w:r>
            <w:r w:rsidR="00AB7C41" w:rsidRPr="00AB7C41">
              <w:rPr>
                <w:rFonts w:cs="Arial"/>
                <w:b/>
                <w:bCs/>
                <w:lang w:eastAsia="en-GB"/>
              </w:rPr>
              <w:t xml:space="preserve"> M€</w:t>
            </w:r>
          </w:p>
        </w:tc>
        <w:tc>
          <w:tcPr>
            <w:tcW w:w="625" w:type="pct"/>
            <w:tcBorders>
              <w:top w:val="single" w:sz="12" w:space="0" w:color="008000"/>
              <w:bottom w:val="single" w:sz="6" w:space="0" w:color="008000"/>
            </w:tcBorders>
            <w:shd w:val="clear" w:color="auto" w:fill="FFFFFF"/>
          </w:tcPr>
          <w:p w14:paraId="0B104FC4" w14:textId="05072A69" w:rsidR="00AB7C41" w:rsidRPr="00AB7C41" w:rsidRDefault="00C30166" w:rsidP="00232E9C">
            <w:pPr>
              <w:tabs>
                <w:tab w:val="clear" w:pos="7100"/>
              </w:tabs>
              <w:spacing w:line="240" w:lineRule="auto"/>
              <w:jc w:val="center"/>
              <w:rPr>
                <w:rFonts w:cs="Arial"/>
                <w:b/>
                <w:bCs/>
                <w:lang w:eastAsia="en-GB"/>
              </w:rPr>
            </w:pPr>
            <w:r>
              <w:rPr>
                <w:rFonts w:cs="Arial"/>
                <w:b/>
                <w:bCs/>
                <w:lang w:eastAsia="en-GB"/>
              </w:rPr>
              <w:t xml:space="preserve">&gt; </w:t>
            </w:r>
            <w:r w:rsidR="00AB7C41" w:rsidRPr="00837283">
              <w:rPr>
                <w:rFonts w:cs="Arial"/>
                <w:b/>
                <w:bCs/>
                <w:lang w:eastAsia="en-GB"/>
              </w:rPr>
              <w:t>10</w:t>
            </w:r>
            <w:r w:rsidR="00AB7C41" w:rsidRPr="00AB7C41">
              <w:rPr>
                <w:rFonts w:cs="Arial"/>
                <w:b/>
                <w:bCs/>
                <w:lang w:eastAsia="en-GB"/>
              </w:rPr>
              <w:t>0 M€</w:t>
            </w:r>
          </w:p>
        </w:tc>
        <w:tc>
          <w:tcPr>
            <w:tcW w:w="626" w:type="pct"/>
            <w:tcBorders>
              <w:top w:val="single" w:sz="12" w:space="0" w:color="008000"/>
              <w:bottom w:val="single" w:sz="6" w:space="0" w:color="008000"/>
            </w:tcBorders>
            <w:shd w:val="clear" w:color="auto" w:fill="FFFFFF"/>
          </w:tcPr>
          <w:p w14:paraId="0B104FC5" w14:textId="3060E498" w:rsidR="00AB7C41" w:rsidRPr="00AB7C41" w:rsidRDefault="00C30166" w:rsidP="00232E9C">
            <w:pPr>
              <w:tabs>
                <w:tab w:val="clear" w:pos="7100"/>
              </w:tabs>
              <w:spacing w:line="240" w:lineRule="auto"/>
              <w:jc w:val="center"/>
              <w:rPr>
                <w:rFonts w:cs="Arial"/>
                <w:b/>
                <w:bCs/>
                <w:lang w:eastAsia="en-GB"/>
              </w:rPr>
            </w:pPr>
            <w:r>
              <w:rPr>
                <w:rFonts w:cs="Arial"/>
                <w:b/>
                <w:bCs/>
                <w:lang w:eastAsia="en-GB"/>
              </w:rPr>
              <w:t xml:space="preserve">&gt; </w:t>
            </w:r>
            <w:r w:rsidR="00AB7C41" w:rsidRPr="00837283">
              <w:rPr>
                <w:rFonts w:cs="Arial"/>
                <w:b/>
                <w:bCs/>
                <w:lang w:eastAsia="en-GB"/>
              </w:rPr>
              <w:t>10</w:t>
            </w:r>
            <w:r w:rsidR="00AB7C41" w:rsidRPr="00AB7C41">
              <w:rPr>
                <w:rFonts w:cs="Arial"/>
                <w:b/>
                <w:bCs/>
                <w:lang w:eastAsia="en-GB"/>
              </w:rPr>
              <w:t>00 M€</w:t>
            </w:r>
          </w:p>
        </w:tc>
        <w:tc>
          <w:tcPr>
            <w:tcW w:w="624" w:type="pct"/>
            <w:tcBorders>
              <w:top w:val="single" w:sz="12" w:space="0" w:color="008000"/>
              <w:bottom w:val="single" w:sz="6" w:space="0" w:color="008000"/>
            </w:tcBorders>
            <w:shd w:val="clear" w:color="auto" w:fill="FFFFFF"/>
          </w:tcPr>
          <w:p w14:paraId="0B104FC6" w14:textId="77777777" w:rsidR="00AB7C41" w:rsidRPr="00AB7C41" w:rsidRDefault="00AB7C41" w:rsidP="00232E9C">
            <w:pPr>
              <w:tabs>
                <w:tab w:val="clear" w:pos="7100"/>
              </w:tabs>
              <w:spacing w:line="240" w:lineRule="auto"/>
              <w:jc w:val="center"/>
              <w:rPr>
                <w:rFonts w:cs="Arial"/>
                <w:b/>
                <w:bCs/>
                <w:lang w:eastAsia="en-GB"/>
              </w:rPr>
            </w:pPr>
            <w:r w:rsidRPr="00AB7C41">
              <w:rPr>
                <w:rFonts w:cs="Arial"/>
                <w:b/>
                <w:bCs/>
                <w:lang w:eastAsia="en-GB"/>
              </w:rPr>
              <w:t>unknown</w:t>
            </w:r>
          </w:p>
        </w:tc>
      </w:tr>
      <w:tr w:rsidR="00AB7C41" w:rsidRPr="00B57B36" w14:paraId="0B104FD0" w14:textId="77777777" w:rsidTr="00232E9C">
        <w:tc>
          <w:tcPr>
            <w:tcW w:w="625" w:type="pct"/>
            <w:shd w:val="clear" w:color="auto" w:fill="FFFFFF"/>
          </w:tcPr>
          <w:p w14:paraId="0B104FC8" w14:textId="77777777" w:rsidR="00AB7C41" w:rsidRPr="00837283" w:rsidRDefault="00AB7C41" w:rsidP="00AB7C41">
            <w:pPr>
              <w:pStyle w:val="CETBodytext"/>
              <w:jc w:val="left"/>
              <w:rPr>
                <w:b/>
                <w:lang w:val="en-GB"/>
              </w:rPr>
            </w:pPr>
            <w:r w:rsidRPr="00837283">
              <w:rPr>
                <w:b/>
                <w:lang w:val="en-GB"/>
              </w:rPr>
              <w:t xml:space="preserve">No. of records    </w:t>
            </w:r>
          </w:p>
        </w:tc>
        <w:tc>
          <w:tcPr>
            <w:tcW w:w="624" w:type="pct"/>
            <w:shd w:val="clear" w:color="auto" w:fill="FFFFFF"/>
            <w:vAlign w:val="bottom"/>
          </w:tcPr>
          <w:p w14:paraId="0B104FC9" w14:textId="77777777" w:rsidR="00AB7C41" w:rsidRPr="00837283" w:rsidRDefault="00AB7C41" w:rsidP="00232E9C">
            <w:pPr>
              <w:tabs>
                <w:tab w:val="clear" w:pos="7100"/>
              </w:tabs>
              <w:spacing w:line="240" w:lineRule="auto"/>
              <w:jc w:val="center"/>
              <w:rPr>
                <w:rFonts w:cs="Arial"/>
                <w:lang w:eastAsia="en-GB"/>
              </w:rPr>
            </w:pPr>
            <w:r>
              <w:rPr>
                <w:rFonts w:cs="Arial"/>
                <w:lang w:eastAsia="en-GB"/>
              </w:rPr>
              <w:t>5</w:t>
            </w:r>
          </w:p>
        </w:tc>
        <w:tc>
          <w:tcPr>
            <w:tcW w:w="625" w:type="pct"/>
            <w:shd w:val="clear" w:color="auto" w:fill="FFFFFF"/>
            <w:vAlign w:val="bottom"/>
          </w:tcPr>
          <w:p w14:paraId="0B104FCA"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8</w:t>
            </w:r>
          </w:p>
        </w:tc>
        <w:tc>
          <w:tcPr>
            <w:tcW w:w="626" w:type="pct"/>
            <w:shd w:val="clear" w:color="auto" w:fill="FFFFFF"/>
            <w:vAlign w:val="bottom"/>
          </w:tcPr>
          <w:p w14:paraId="0B104FCB"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18</w:t>
            </w:r>
          </w:p>
        </w:tc>
        <w:tc>
          <w:tcPr>
            <w:tcW w:w="625" w:type="pct"/>
            <w:shd w:val="clear" w:color="auto" w:fill="FFFFFF"/>
            <w:vAlign w:val="bottom"/>
          </w:tcPr>
          <w:p w14:paraId="0B104FCC"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20</w:t>
            </w:r>
          </w:p>
        </w:tc>
        <w:tc>
          <w:tcPr>
            <w:tcW w:w="625" w:type="pct"/>
            <w:shd w:val="clear" w:color="auto" w:fill="FFFFFF"/>
            <w:vAlign w:val="bottom"/>
          </w:tcPr>
          <w:p w14:paraId="0B104FCD"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15</w:t>
            </w:r>
          </w:p>
        </w:tc>
        <w:tc>
          <w:tcPr>
            <w:tcW w:w="626" w:type="pct"/>
            <w:shd w:val="clear" w:color="auto" w:fill="FFFFFF"/>
            <w:vAlign w:val="bottom"/>
          </w:tcPr>
          <w:p w14:paraId="0B104FCE"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8</w:t>
            </w:r>
          </w:p>
        </w:tc>
        <w:tc>
          <w:tcPr>
            <w:tcW w:w="624" w:type="pct"/>
            <w:shd w:val="clear" w:color="auto" w:fill="FFFFFF"/>
            <w:vAlign w:val="bottom"/>
          </w:tcPr>
          <w:p w14:paraId="0B104FCF" w14:textId="77777777" w:rsidR="00AB7C41" w:rsidRPr="00837283" w:rsidRDefault="00AB7C41" w:rsidP="00232E9C">
            <w:pPr>
              <w:tabs>
                <w:tab w:val="clear" w:pos="7100"/>
              </w:tabs>
              <w:spacing w:line="240" w:lineRule="auto"/>
              <w:jc w:val="center"/>
              <w:rPr>
                <w:rFonts w:cs="Arial"/>
                <w:lang w:eastAsia="en-GB"/>
              </w:rPr>
            </w:pPr>
            <w:r w:rsidRPr="00837283">
              <w:rPr>
                <w:rFonts w:cs="Arial"/>
                <w:lang w:eastAsia="en-GB"/>
              </w:rPr>
              <w:t>364</w:t>
            </w:r>
          </w:p>
        </w:tc>
      </w:tr>
    </w:tbl>
    <w:p w14:paraId="0B104FD1" w14:textId="77777777" w:rsidR="000F3BE5" w:rsidRDefault="000F3BE5" w:rsidP="00AB20EA">
      <w:pPr>
        <w:pStyle w:val="CETBodytext"/>
        <w:rPr>
          <w:lang w:val="en-GB"/>
        </w:rPr>
      </w:pPr>
    </w:p>
    <w:p w14:paraId="0B104FD3" w14:textId="77777777" w:rsidR="00681AFB" w:rsidRDefault="00042599" w:rsidP="00681AFB">
      <w:pPr>
        <w:pStyle w:val="CETHeading1"/>
        <w:rPr>
          <w:lang w:val="en-GB"/>
        </w:rPr>
      </w:pPr>
      <w:r>
        <w:rPr>
          <w:lang w:val="en-GB"/>
        </w:rPr>
        <w:t>Significant records</w:t>
      </w:r>
    </w:p>
    <w:p w14:paraId="0B104FD4" w14:textId="65A76155" w:rsidR="00057344" w:rsidRDefault="00057344" w:rsidP="00057344">
      <w:pPr>
        <w:pStyle w:val="CETBodytext"/>
        <w:rPr>
          <w:lang w:val="en-GB"/>
        </w:rPr>
      </w:pPr>
      <w:r>
        <w:rPr>
          <w:lang w:val="en-GB"/>
        </w:rPr>
        <w:t xml:space="preserve">In the present paragraph, </w:t>
      </w:r>
      <w:r w:rsidR="00B24000">
        <w:rPr>
          <w:lang w:val="en-GB"/>
        </w:rPr>
        <w:t>a</w:t>
      </w:r>
      <w:r>
        <w:rPr>
          <w:lang w:val="en-GB"/>
        </w:rPr>
        <w:t xml:space="preserve"> few meaningful events characterized by less common NaTech causes</w:t>
      </w:r>
      <w:r w:rsidR="00D97FAE">
        <w:rPr>
          <w:lang w:val="en-GB"/>
        </w:rPr>
        <w:t xml:space="preserve"> are described</w:t>
      </w:r>
      <w:r>
        <w:rPr>
          <w:lang w:val="en-GB"/>
        </w:rPr>
        <w:t xml:space="preserve">. As </w:t>
      </w:r>
      <w:r w:rsidR="00BA5885">
        <w:rPr>
          <w:lang w:val="en-GB"/>
        </w:rPr>
        <w:t xml:space="preserve">forehead </w:t>
      </w:r>
      <w:r>
        <w:rPr>
          <w:lang w:val="en-GB"/>
        </w:rPr>
        <w:t>mentione</w:t>
      </w:r>
      <w:r w:rsidR="00BA5885">
        <w:rPr>
          <w:lang w:val="en-GB"/>
        </w:rPr>
        <w:t>d</w:t>
      </w:r>
      <w:r>
        <w:rPr>
          <w:lang w:val="en-GB"/>
        </w:rPr>
        <w:t>, for causes such as flood, lightning and</w:t>
      </w:r>
      <w:r w:rsidR="005729A4">
        <w:rPr>
          <w:lang w:val="en-GB"/>
        </w:rPr>
        <w:t>,</w:t>
      </w:r>
      <w:r>
        <w:rPr>
          <w:lang w:val="en-GB"/>
        </w:rPr>
        <w:t xml:space="preserve"> earthquake ad hoc studies </w:t>
      </w:r>
      <w:r w:rsidR="00A655C9">
        <w:rPr>
          <w:lang w:val="en-GB"/>
        </w:rPr>
        <w:t>exist</w:t>
      </w:r>
      <w:r>
        <w:rPr>
          <w:lang w:val="en-GB"/>
        </w:rPr>
        <w:t xml:space="preserve"> in </w:t>
      </w:r>
      <w:r w:rsidR="00C6501B">
        <w:rPr>
          <w:lang w:val="en-GB"/>
        </w:rPr>
        <w:t xml:space="preserve">the </w:t>
      </w:r>
      <w:r>
        <w:rPr>
          <w:lang w:val="en-GB"/>
        </w:rPr>
        <w:t>literature</w:t>
      </w:r>
      <w:r w:rsidR="00D24A06">
        <w:rPr>
          <w:lang w:val="en-GB"/>
        </w:rPr>
        <w:t xml:space="preserve"> (Krausmann et al., 2016)</w:t>
      </w:r>
      <w:r w:rsidRPr="000405CB">
        <w:rPr>
          <w:lang w:val="en-GB"/>
        </w:rPr>
        <w:t xml:space="preserve">. </w:t>
      </w:r>
    </w:p>
    <w:p w14:paraId="0B104FD5" w14:textId="77777777" w:rsidR="00057344" w:rsidRPr="00057344" w:rsidRDefault="00057344" w:rsidP="00057344">
      <w:pPr>
        <w:pStyle w:val="CETBodytext"/>
        <w:rPr>
          <w:lang w:val="en-GB"/>
        </w:rPr>
      </w:pPr>
      <w:r>
        <w:rPr>
          <w:lang w:val="en-GB"/>
        </w:rPr>
        <w:t xml:space="preserve"> </w:t>
      </w:r>
    </w:p>
    <w:p w14:paraId="0B104FD6" w14:textId="77777777" w:rsidR="005221A0" w:rsidRDefault="005221A0" w:rsidP="00540CB5">
      <w:pPr>
        <w:pStyle w:val="CETheadingx"/>
      </w:pPr>
      <w:r>
        <w:lastRenderedPageBreak/>
        <w:t>Cold weather</w:t>
      </w:r>
      <w:r w:rsidR="00540CB5">
        <w:t xml:space="preserve"> [ARIA#</w:t>
      </w:r>
      <w:r w:rsidR="00540CB5" w:rsidRPr="00540CB5">
        <w:t>23839</w:t>
      </w:r>
      <w:r w:rsidR="00540CB5">
        <w:t>]</w:t>
      </w:r>
    </w:p>
    <w:p w14:paraId="0B104FD7" w14:textId="77777777" w:rsidR="001D59A7" w:rsidRDefault="00540CB5" w:rsidP="001D59A7">
      <w:pPr>
        <w:pStyle w:val="CETBodytext"/>
      </w:pPr>
      <w:r>
        <w:t>In a chemical plant, a release of c</w:t>
      </w:r>
      <w:r w:rsidRPr="00540CB5">
        <w:t>yclohexane</w:t>
      </w:r>
      <w:r>
        <w:t xml:space="preserve"> was discovered after detecting a pressure drop in a pipeline</w:t>
      </w:r>
      <w:r w:rsidR="00604B0A">
        <w:t>. T</w:t>
      </w:r>
      <w:r>
        <w:t>he substance was transferred</w:t>
      </w:r>
      <w:r w:rsidR="002338B0">
        <w:t xml:space="preserve"> via pipeline (partially underground)</w:t>
      </w:r>
      <w:r w:rsidR="00594A95">
        <w:t>, at 20°C and 2-3 bar,</w:t>
      </w:r>
      <w:r>
        <w:t xml:space="preserve"> </w:t>
      </w:r>
      <w:r w:rsidR="00604B0A">
        <w:t xml:space="preserve">from </w:t>
      </w:r>
      <w:r w:rsidR="00594A95">
        <w:t>a 10</w:t>
      </w:r>
      <w:r w:rsidR="00604B0A">
        <w:t xml:space="preserve">000 m³ storage </w:t>
      </w:r>
      <w:r w:rsidR="00594A95">
        <w:t>tank</w:t>
      </w:r>
      <w:r w:rsidR="00604B0A">
        <w:t xml:space="preserve"> to </w:t>
      </w:r>
      <w:r w:rsidR="00594A95">
        <w:t>two different</w:t>
      </w:r>
      <w:r w:rsidR="00604B0A">
        <w:t xml:space="preserve"> production unit</w:t>
      </w:r>
      <w:r w:rsidR="00594A95">
        <w:t>s</w:t>
      </w:r>
      <w:r>
        <w:t xml:space="preserve">. </w:t>
      </w:r>
      <w:r w:rsidR="00604B0A">
        <w:t>C</w:t>
      </w:r>
      <w:r w:rsidR="00604B0A" w:rsidRPr="00540CB5">
        <w:t>yclohexane</w:t>
      </w:r>
      <w:r w:rsidR="00604B0A">
        <w:t xml:space="preserve"> is of relatively low toxicity but</w:t>
      </w:r>
      <w:r w:rsidR="001D59A7">
        <w:t xml:space="preserve"> </w:t>
      </w:r>
      <w:r w:rsidR="00604B0A">
        <w:t>ecotoxic</w:t>
      </w:r>
      <w:r w:rsidR="001D59A7">
        <w:t xml:space="preserve"> and flammable.</w:t>
      </w:r>
    </w:p>
    <w:p w14:paraId="0B104FD8" w14:textId="77777777" w:rsidR="00540CB5" w:rsidRDefault="00540CB5" w:rsidP="00E94207">
      <w:pPr>
        <w:pStyle w:val="CETBodytext"/>
      </w:pPr>
      <w:r>
        <w:t xml:space="preserve">The root cause was the malfunctioning of the piping heating </w:t>
      </w:r>
      <w:r w:rsidR="00594A95">
        <w:t xml:space="preserve">system </w:t>
      </w:r>
      <w:r w:rsidR="00604B0A">
        <w:t>(steam system)</w:t>
      </w:r>
      <w:r>
        <w:t xml:space="preserve"> that led the temperature to be lower than 6</w:t>
      </w:r>
      <w:r w:rsidR="00592186">
        <w:t>.5</w:t>
      </w:r>
      <w:r>
        <w:t xml:space="preserve"> °C. Consequently, blocks of crystallized c</w:t>
      </w:r>
      <w:r w:rsidRPr="00540CB5">
        <w:t>yclohexane</w:t>
      </w:r>
      <w:r>
        <w:t xml:space="preserve"> formed. The pipeline broke when part of the crystallized c</w:t>
      </w:r>
      <w:r w:rsidRPr="00540CB5">
        <w:t>yclohexane</w:t>
      </w:r>
      <w:r>
        <w:t xml:space="preserve"> </w:t>
      </w:r>
      <w:r w:rsidR="00592186">
        <w:t>re</w:t>
      </w:r>
      <w:r w:rsidR="009E4EE7">
        <w:t>-</w:t>
      </w:r>
      <w:r>
        <w:t xml:space="preserve">liquefied, causing an excessive expansion of the </w:t>
      </w:r>
      <w:r w:rsidR="001D59A7">
        <w:t>material</w:t>
      </w:r>
      <w:r>
        <w:t>.</w:t>
      </w:r>
      <w:r w:rsidR="00592186">
        <w:t xml:space="preserve"> As the piping was not yet equipped with a device for rapid leak detection, it took 30 hours to determine the cause of the pressure anomaly. </w:t>
      </w:r>
      <w:r w:rsidR="001D59A7">
        <w:t>One thousand tons of c</w:t>
      </w:r>
      <w:r w:rsidR="001D59A7" w:rsidRPr="00540CB5">
        <w:t>yclohexane</w:t>
      </w:r>
      <w:r w:rsidR="001D59A7">
        <w:t xml:space="preserve"> were approximately released</w:t>
      </w:r>
      <w:r w:rsidR="009E4EE7">
        <w:t xml:space="preserve">, the majority settled into the ground. Approximately half of them were recovered in the following weeks. </w:t>
      </w:r>
    </w:p>
    <w:p w14:paraId="0B104FD9" w14:textId="77777777" w:rsidR="00540CB5" w:rsidRDefault="00540CB5" w:rsidP="00E94207">
      <w:pPr>
        <w:pStyle w:val="CETBodytext"/>
      </w:pPr>
    </w:p>
    <w:p w14:paraId="0B104FDA" w14:textId="77777777" w:rsidR="005221A0" w:rsidRDefault="005221A0" w:rsidP="002338B0">
      <w:pPr>
        <w:pStyle w:val="CETheadingx"/>
      </w:pPr>
      <w:r>
        <w:t>Hot weather</w:t>
      </w:r>
      <w:r w:rsidR="00E94207">
        <w:t xml:space="preserve"> </w:t>
      </w:r>
      <w:r w:rsidR="002338B0">
        <w:t>[ARIA#</w:t>
      </w:r>
      <w:r w:rsidR="002338B0" w:rsidRPr="002338B0">
        <w:t>30122</w:t>
      </w:r>
      <w:r w:rsidR="002338B0">
        <w:t>]</w:t>
      </w:r>
    </w:p>
    <w:p w14:paraId="0B104FDC" w14:textId="7B1B2078" w:rsidR="00050353" w:rsidRDefault="00E94207" w:rsidP="00050353">
      <w:pPr>
        <w:pStyle w:val="CETBodytext"/>
      </w:pPr>
      <w:r>
        <w:t>A major fire broke out at a gas storage and bottling facility. Nearly 30,000 bottles (propane, propylene, oxygen, hydrogen, acetylene, carbon dioxide, heliu</w:t>
      </w:r>
      <w:r w:rsidR="00BE69F0">
        <w:t>m, etc.) were being held onsite</w:t>
      </w:r>
      <w:r>
        <w:t xml:space="preserve">. </w:t>
      </w:r>
      <w:r w:rsidR="00050353">
        <w:t>A</w:t>
      </w:r>
      <w:r>
        <w:t>n employee noticed the presence of a 3-m high flame at the level of a propylene bottle and triggered the fire alarm. While evacuating</w:t>
      </w:r>
      <w:r w:rsidR="00050353">
        <w:t xml:space="preserve"> people</w:t>
      </w:r>
      <w:r>
        <w:t xml:space="preserve">, the fire spread </w:t>
      </w:r>
      <w:r w:rsidR="00050353">
        <w:t>and</w:t>
      </w:r>
      <w:r>
        <w:t xml:space="preserve"> within 4 minutes,</w:t>
      </w:r>
      <w:r w:rsidR="00050353">
        <w:t xml:space="preserve"> it involved the entire </w:t>
      </w:r>
      <w:r>
        <w:t>zone occupied by inflammable gas bottles. Repeated explosions (of the BLEVE type) could be heard; blasts of fragments and bottles both inside the facility and extending 250 m beyond the site boundary caused additional fire outbreaks (i.e. a “domino effect”). Multiple fire sources, tall flames</w:t>
      </w:r>
      <w:r w:rsidR="00A00495">
        <w:t>,</w:t>
      </w:r>
      <w:r>
        <w:t xml:space="preserve"> and a thick black smoke complicated the efforts of fire-fighters. </w:t>
      </w:r>
      <w:r w:rsidR="00057344">
        <w:t>N</w:t>
      </w:r>
      <w:r>
        <w:t>early 8,000 bottles had burned.</w:t>
      </w:r>
      <w:r w:rsidR="00D24A06">
        <w:t xml:space="preserve"> </w:t>
      </w:r>
      <w:r w:rsidR="00050353">
        <w:t>The US Chemical Safety Board (</w:t>
      </w:r>
      <w:r>
        <w:t>CSB)</w:t>
      </w:r>
      <w:r w:rsidR="00050353">
        <w:t xml:space="preserve"> stated that</w:t>
      </w:r>
      <w:r>
        <w:t xml:space="preserve"> direct solar radiation coupled with radiant heat emanating from the asphalt caused a rise in temperature, hence pressure, of the propylene, thereby activating </w:t>
      </w:r>
      <w:r w:rsidR="005941C3">
        <w:t xml:space="preserve">the </w:t>
      </w:r>
      <w:r>
        <w:t xml:space="preserve">opening of the safety valve and triggering the gas leak that subsequently ignited, most likely as the result of static electricity discharge. </w:t>
      </w:r>
    </w:p>
    <w:p w14:paraId="0B104FDD" w14:textId="77777777" w:rsidR="00050353" w:rsidRDefault="00050353" w:rsidP="00050353">
      <w:pPr>
        <w:pStyle w:val="CETBodytext"/>
      </w:pPr>
    </w:p>
    <w:p w14:paraId="0B104FDE" w14:textId="77777777" w:rsidR="00A948AD" w:rsidRDefault="00A948AD" w:rsidP="00D24741">
      <w:pPr>
        <w:pStyle w:val="CETheadingx"/>
      </w:pPr>
      <w:r w:rsidRPr="00A948AD">
        <w:t>Wildfire</w:t>
      </w:r>
      <w:r w:rsidR="00D24741">
        <w:t xml:space="preserve"> [ARIA#</w:t>
      </w:r>
      <w:r w:rsidR="00D24741" w:rsidRPr="00D24741">
        <w:t>23132]</w:t>
      </w:r>
    </w:p>
    <w:p w14:paraId="0B104FDF" w14:textId="7842A62B" w:rsidR="00D24741" w:rsidRDefault="00D24741" w:rsidP="00D24741">
      <w:pPr>
        <w:pStyle w:val="CETBodytext"/>
      </w:pPr>
      <w:r>
        <w:t>A</w:t>
      </w:r>
      <w:r w:rsidRPr="00D24741">
        <w:t xml:space="preserve">n explosion occurred in the distillation column of an air separation unit </w:t>
      </w:r>
      <w:r>
        <w:t>providing</w:t>
      </w:r>
      <w:r w:rsidRPr="00D24741">
        <w:t xml:space="preserve"> oxygen to a petrochemical indust</w:t>
      </w:r>
      <w:r>
        <w:t>r</w:t>
      </w:r>
      <w:r w:rsidRPr="00D24741">
        <w:t>y. The unit was</w:t>
      </w:r>
      <w:r>
        <w:t xml:space="preserve"> </w:t>
      </w:r>
      <w:r w:rsidRPr="00D24741">
        <w:t>destroyed and surrounding units heavily damaged</w:t>
      </w:r>
      <w:r>
        <w:t>; furthermore, there were</w:t>
      </w:r>
      <w:r w:rsidRPr="00D24741">
        <w:t xml:space="preserve"> 12 slight injuries and damage up to </w:t>
      </w:r>
      <w:r w:rsidR="00404628">
        <w:t xml:space="preserve">5 km. </w:t>
      </w:r>
      <w:r w:rsidRPr="00D24741">
        <w:t xml:space="preserve">The accident </w:t>
      </w:r>
      <w:r w:rsidR="00404628">
        <w:t>was caused by the p</w:t>
      </w:r>
      <w:r w:rsidRPr="00D24741">
        <w:t xml:space="preserve">ollution of the </w:t>
      </w:r>
      <w:r w:rsidR="00404628">
        <w:t>oxygen</w:t>
      </w:r>
      <w:r w:rsidRPr="00D24741">
        <w:t xml:space="preserve"> closed-loop due to p</w:t>
      </w:r>
      <w:r w:rsidR="00404628">
        <w:t xml:space="preserve">articulate material in the air due to an </w:t>
      </w:r>
      <w:r w:rsidRPr="00D24741">
        <w:t xml:space="preserve">intense forests fire </w:t>
      </w:r>
      <w:r w:rsidR="00404628">
        <w:t xml:space="preserve">happening those days (plus </w:t>
      </w:r>
      <w:r w:rsidRPr="00D24741">
        <w:t>organic pollutants from the washing process</w:t>
      </w:r>
      <w:r w:rsidR="00404628">
        <w:t>)</w:t>
      </w:r>
      <w:r w:rsidRPr="00D24741">
        <w:t>. The hydrocarbon pollutant acted as an igniter and the fuel was aluminum in liquid oxygen. A similar explosion occurred a few months earlier in China (ARIA</w:t>
      </w:r>
      <w:r w:rsidR="00404628">
        <w:t>#</w:t>
      </w:r>
      <w:r w:rsidRPr="00D24741">
        <w:t>11603).</w:t>
      </w:r>
    </w:p>
    <w:p w14:paraId="0B104FE0" w14:textId="77777777" w:rsidR="00CA5363" w:rsidRDefault="00CA5363" w:rsidP="00D24741">
      <w:pPr>
        <w:pStyle w:val="CETBodytext"/>
      </w:pPr>
    </w:p>
    <w:p w14:paraId="0B104FE1" w14:textId="77777777" w:rsidR="00CA5363" w:rsidRDefault="00CA5363" w:rsidP="00EB21CF">
      <w:pPr>
        <w:pStyle w:val="CETheadingx"/>
      </w:pPr>
      <w:r>
        <w:t>Landslide</w:t>
      </w:r>
      <w:r w:rsidR="00EB21CF">
        <w:t xml:space="preserve"> [ARIA#</w:t>
      </w:r>
      <w:r w:rsidR="00EB21CF" w:rsidRPr="00EB21CF">
        <w:t>12507</w:t>
      </w:r>
      <w:r w:rsidR="00EB21CF">
        <w:t>]</w:t>
      </w:r>
    </w:p>
    <w:p w14:paraId="0B104FE2" w14:textId="205BC1EA" w:rsidR="00CA5363" w:rsidRDefault="00CA5363" w:rsidP="00C62308">
      <w:pPr>
        <w:pStyle w:val="CETBodytext"/>
        <w:spacing w:after="240"/>
      </w:pPr>
      <w:r w:rsidRPr="00CA5363">
        <w:t xml:space="preserve">Subsequent to the torrential rains </w:t>
      </w:r>
      <w:r w:rsidR="00EB21CF">
        <w:t>(</w:t>
      </w:r>
      <w:r w:rsidRPr="00CA5363">
        <w:t>due to the El Niño</w:t>
      </w:r>
      <w:r w:rsidR="00EB21CF">
        <w:t>, Ecuador, 1998)</w:t>
      </w:r>
      <w:r w:rsidRPr="00CA5363">
        <w:t>, a landslide caused the rupture of a pipeline located at 12 km from a 500 km oil terminal transporting oil from Amazonia</w:t>
      </w:r>
      <w:r w:rsidR="00EB21CF">
        <w:t xml:space="preserve"> to the </w:t>
      </w:r>
      <w:r w:rsidR="005A7A57">
        <w:t>P</w:t>
      </w:r>
      <w:r w:rsidR="00EB21CF">
        <w:t>acific coast. Around 2</w:t>
      </w:r>
      <w:r w:rsidRPr="00CA5363">
        <w:t xml:space="preserve">500 m³ of oil </w:t>
      </w:r>
      <w:r w:rsidR="0043510C">
        <w:t xml:space="preserve">spilt </w:t>
      </w:r>
      <w:r w:rsidRPr="00CA5363">
        <w:t xml:space="preserve">into the rivers and the ocean. The explosion and the fire that followed destroyed 160 homes. The fire spread to the </w:t>
      </w:r>
      <w:r w:rsidR="00EB21CF">
        <w:t>piers</w:t>
      </w:r>
      <w:r w:rsidRPr="00CA5363">
        <w:t xml:space="preserve"> of the port but spared the refinery and the gas pipeline. Fire waves as high as 10 m were observed. Seven persons were killed, 110 sustained injuries including 40 people who suffered 50% burns. 40 people were reported missing and 600 people evacuated. The rescue operations lasted 6 hours and were complicated due to water shortage following the rupture of pipelines.</w:t>
      </w:r>
    </w:p>
    <w:p w14:paraId="0B104FE3" w14:textId="77777777" w:rsidR="00CA5363" w:rsidRDefault="00CA5363" w:rsidP="00CA5363">
      <w:pPr>
        <w:pStyle w:val="CETheadingx"/>
      </w:pPr>
      <w:r>
        <w:t>Wind</w:t>
      </w:r>
      <w:r w:rsidR="00C62308">
        <w:t xml:space="preserve"> [ARIA#209]</w:t>
      </w:r>
    </w:p>
    <w:p w14:paraId="0B104FE4" w14:textId="77777777" w:rsidR="00A35704" w:rsidRPr="00A35704" w:rsidRDefault="00A35704" w:rsidP="00A35704">
      <w:pPr>
        <w:pStyle w:val="Paragrafoelenco"/>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lang w:val="en-US"/>
        </w:rPr>
      </w:pPr>
      <w:r w:rsidRPr="00A35704">
        <w:rPr>
          <w:lang w:val="en-US"/>
        </w:rPr>
        <w:t xml:space="preserve">In a paint manufacturing plant, </w:t>
      </w:r>
      <w:r>
        <w:rPr>
          <w:lang w:val="en-US"/>
        </w:rPr>
        <w:t>becaus</w:t>
      </w:r>
      <w:r w:rsidRPr="00A35704">
        <w:rPr>
          <w:lang w:val="en-US"/>
        </w:rPr>
        <w:t>e</w:t>
      </w:r>
      <w:r>
        <w:rPr>
          <w:lang w:val="en-US"/>
        </w:rPr>
        <w:t xml:space="preserve"> of a</w:t>
      </w:r>
      <w:r w:rsidRPr="00A35704">
        <w:rPr>
          <w:lang w:val="en-US"/>
        </w:rPr>
        <w:t xml:space="preserve"> 120 km/h wind, a </w:t>
      </w:r>
      <w:r>
        <w:rPr>
          <w:lang w:val="en-US"/>
        </w:rPr>
        <w:t>coating</w:t>
      </w:r>
      <w:r w:rsidRPr="00A35704">
        <w:rPr>
          <w:lang w:val="en-US"/>
        </w:rPr>
        <w:t xml:space="preserve"> is detached from a building and falls on the supply line of a 60 m³ SO</w:t>
      </w:r>
      <w:r w:rsidRPr="00A35704">
        <w:rPr>
          <w:vertAlign w:val="subscript"/>
          <w:lang w:val="en-US"/>
        </w:rPr>
        <w:t>2</w:t>
      </w:r>
      <w:r w:rsidRPr="00A35704">
        <w:rPr>
          <w:lang w:val="en-US"/>
        </w:rPr>
        <w:t xml:space="preserve"> tank. The sectioning is done between the isolation valve and the tank, at the top of it. The compressed air supply of the storage isolation valve is shut off simultaneously; 8 employees and 7 off-site people are intoxicated by the 20-minut</w:t>
      </w:r>
      <w:r>
        <w:rPr>
          <w:lang w:val="en-US"/>
        </w:rPr>
        <w:t xml:space="preserve">e rejection for an estimated 18 </w:t>
      </w:r>
      <w:r w:rsidRPr="00A35704">
        <w:rPr>
          <w:lang w:val="en-US"/>
        </w:rPr>
        <w:t>t</w:t>
      </w:r>
      <w:r>
        <w:rPr>
          <w:lang w:val="en-US"/>
        </w:rPr>
        <w:t>ons</w:t>
      </w:r>
      <w:r w:rsidRPr="00A35704">
        <w:rPr>
          <w:lang w:val="en-US"/>
        </w:rPr>
        <w:t xml:space="preserve"> quantity</w:t>
      </w:r>
      <w:r>
        <w:rPr>
          <w:lang w:val="en-US"/>
        </w:rPr>
        <w:t>.</w:t>
      </w:r>
    </w:p>
    <w:p w14:paraId="0B104FE5" w14:textId="77777777" w:rsidR="00A35704" w:rsidRPr="00A35704" w:rsidRDefault="00A35704" w:rsidP="00A35704">
      <w:pPr>
        <w:pStyle w:val="CETBodytext"/>
      </w:pPr>
    </w:p>
    <w:p w14:paraId="0B104FE6" w14:textId="77777777" w:rsidR="00D60C36" w:rsidRDefault="00D60C36" w:rsidP="00D60C36">
      <w:pPr>
        <w:pStyle w:val="CETheadingx"/>
      </w:pPr>
      <w:r>
        <w:t>Hurricane</w:t>
      </w:r>
      <w:r w:rsidR="00CA5363">
        <w:t xml:space="preserve"> [ARIA#</w:t>
      </w:r>
      <w:r w:rsidR="00046120">
        <w:t>50402</w:t>
      </w:r>
      <w:r w:rsidR="00CA5363">
        <w:t>]</w:t>
      </w:r>
    </w:p>
    <w:p w14:paraId="0B104FE7" w14:textId="77777777" w:rsidR="00046120" w:rsidRPr="00046120" w:rsidRDefault="006E4D6D" w:rsidP="00046120">
      <w:pPr>
        <w:pStyle w:val="Paragrafoelenco"/>
        <w:ind w:left="0"/>
        <w:rPr>
          <w:rFonts w:cs="Arial"/>
        </w:rPr>
      </w:pPr>
      <w:r>
        <w:rPr>
          <w:rFonts w:cs="Arial"/>
        </w:rPr>
        <w:t>During Hurricane Harvey (US, 2017), i</w:t>
      </w:r>
      <w:r w:rsidR="00046120" w:rsidRPr="00046120">
        <w:rPr>
          <w:rFonts w:cs="Arial"/>
        </w:rPr>
        <w:t xml:space="preserve">n </w:t>
      </w:r>
      <w:r w:rsidR="00046120">
        <w:rPr>
          <w:rFonts w:cs="Arial"/>
        </w:rPr>
        <w:t>agreement with the</w:t>
      </w:r>
      <w:r w:rsidR="00046120" w:rsidRPr="00046120">
        <w:rPr>
          <w:rFonts w:cs="Arial"/>
        </w:rPr>
        <w:t xml:space="preserve"> established industrial protocol, in a chemical plant manufacturing organic peroxides, plant operations were shut down, emergency generators were mobilised while other generators were brought to the site to supply storage buildings in the event of a power failure, and refrigerated containers were mobilised on site as an additional safeguard measure.</w:t>
      </w:r>
    </w:p>
    <w:p w14:paraId="0B104FE8" w14:textId="77777777" w:rsidR="00046120" w:rsidRPr="00046120" w:rsidRDefault="00046120" w:rsidP="006E4D6D">
      <w:pPr>
        <w:pStyle w:val="Paragrafoelenco"/>
        <w:ind w:left="0"/>
        <w:rPr>
          <w:rFonts w:cs="Arial"/>
        </w:rPr>
      </w:pPr>
      <w:r w:rsidRPr="00046120">
        <w:rPr>
          <w:rFonts w:cs="Arial"/>
        </w:rPr>
        <w:lastRenderedPageBreak/>
        <w:t>The hurricane main consequence was a flood of the site (water level: 1.80 m) and the electricity supply being cut off. The unexpected rise in water level resulted in the loss of the permanent generators, backup generators and liquid nitrogen emergency cooling system. The site was no longer accessible.</w:t>
      </w:r>
    </w:p>
    <w:p w14:paraId="0B104FE9" w14:textId="432AA9FE" w:rsidR="00046120" w:rsidRPr="006E4D6D" w:rsidRDefault="00046120" w:rsidP="006E4D6D">
      <w:pPr>
        <w:pStyle w:val="Paragrafoelenco"/>
        <w:ind w:left="0"/>
        <w:rPr>
          <w:rFonts w:cs="Arial"/>
        </w:rPr>
      </w:pPr>
      <w:r w:rsidRPr="00046120">
        <w:rPr>
          <w:rFonts w:cs="Arial"/>
        </w:rPr>
        <w:t>The operator transferred the products to 9 containers refrigerated by diesel engines, but the rising waters submerged the engines.</w:t>
      </w:r>
      <w:r w:rsidR="006E4D6D">
        <w:rPr>
          <w:rFonts w:cs="Arial"/>
        </w:rPr>
        <w:t xml:space="preserve"> </w:t>
      </w:r>
      <w:r w:rsidRPr="00046120">
        <w:rPr>
          <w:rFonts w:cs="Arial"/>
        </w:rPr>
        <w:t xml:space="preserve">As the containers heat up, the operator feared the violent outbreak of fire. </w:t>
      </w:r>
      <w:r>
        <w:rPr>
          <w:rFonts w:cs="Arial"/>
        </w:rPr>
        <w:t>Eventually, 2</w:t>
      </w:r>
      <w:r w:rsidRPr="00524AB3">
        <w:rPr>
          <w:rFonts w:cs="Arial"/>
        </w:rPr>
        <w:t xml:space="preserve"> explosions occurred followed by</w:t>
      </w:r>
      <w:r w:rsidR="003A29CF">
        <w:rPr>
          <w:rFonts w:cs="Arial"/>
        </w:rPr>
        <w:t xml:space="preserve"> fire</w:t>
      </w:r>
      <w:r w:rsidRPr="00524AB3">
        <w:rPr>
          <w:rFonts w:cs="Arial"/>
        </w:rPr>
        <w:t>. A new fire broke</w:t>
      </w:r>
      <w:r>
        <w:rPr>
          <w:rFonts w:cs="Arial"/>
        </w:rPr>
        <w:t xml:space="preserve"> 2 days after</w:t>
      </w:r>
      <w:r w:rsidRPr="00524AB3">
        <w:rPr>
          <w:rFonts w:cs="Arial"/>
        </w:rPr>
        <w:t>. The operator</w:t>
      </w:r>
      <w:r>
        <w:rPr>
          <w:rFonts w:cs="Arial"/>
        </w:rPr>
        <w:t>, in collaboration with authorities, decided to conduct</w:t>
      </w:r>
      <w:r w:rsidRPr="00524AB3">
        <w:rPr>
          <w:rFonts w:cs="Arial"/>
        </w:rPr>
        <w:t xml:space="preserve"> controlled fires in the </w:t>
      </w:r>
      <w:r w:rsidR="009214A5" w:rsidRPr="00524AB3">
        <w:rPr>
          <w:rFonts w:cs="Arial"/>
        </w:rPr>
        <w:t>containers that</w:t>
      </w:r>
      <w:r w:rsidRPr="00524AB3">
        <w:rPr>
          <w:rFonts w:cs="Arial"/>
        </w:rPr>
        <w:t xml:space="preserve"> had not yet caught on fire.</w:t>
      </w:r>
    </w:p>
    <w:p w14:paraId="0B104FEA" w14:textId="77777777" w:rsidR="00734F20" w:rsidRDefault="00734F20" w:rsidP="00734F20">
      <w:pPr>
        <w:pStyle w:val="CETHeading1"/>
        <w:tabs>
          <w:tab w:val="num" w:pos="360"/>
        </w:tabs>
        <w:rPr>
          <w:lang w:val="en-GB"/>
        </w:rPr>
      </w:pPr>
      <w:r>
        <w:rPr>
          <w:lang w:val="en-GB"/>
        </w:rPr>
        <w:t xml:space="preserve">Conclusions </w:t>
      </w:r>
    </w:p>
    <w:p w14:paraId="0B104FEB" w14:textId="77777777" w:rsidR="00BE69F0" w:rsidRPr="00BE69F0" w:rsidRDefault="00C62308" w:rsidP="00070171">
      <w:pPr>
        <w:pStyle w:val="CETBodytext"/>
        <w:rPr>
          <w:lang w:val="en-GB"/>
        </w:rPr>
      </w:pPr>
      <w:r>
        <w:rPr>
          <w:lang w:val="en-GB"/>
        </w:rPr>
        <w:t xml:space="preserve">The present work collected and analysed 438 accident involving the Chemical and Process Industry that were caused by natural events (NaTech). Due to </w:t>
      </w:r>
      <w:r w:rsidRPr="00C62308">
        <w:rPr>
          <w:lang w:val="en-GB"/>
        </w:rPr>
        <w:t xml:space="preserve">the </w:t>
      </w:r>
      <w:r>
        <w:rPr>
          <w:lang w:val="en-GB"/>
        </w:rPr>
        <w:t xml:space="preserve">increasing number of </w:t>
      </w:r>
      <w:r w:rsidRPr="00C62308">
        <w:rPr>
          <w:lang w:val="en-GB"/>
        </w:rPr>
        <w:t>climate disaster</w:t>
      </w:r>
      <w:r>
        <w:rPr>
          <w:lang w:val="en-GB"/>
        </w:rPr>
        <w:t xml:space="preserve">s, </w:t>
      </w:r>
      <w:r w:rsidR="006D7EB2">
        <w:rPr>
          <w:lang w:val="en-GB"/>
        </w:rPr>
        <w:t>NaTechs</w:t>
      </w:r>
      <w:r>
        <w:rPr>
          <w:lang w:val="en-GB"/>
        </w:rPr>
        <w:t xml:space="preserve"> are becoming more and more a hot topic in the field of process safety. The analyses of such </w:t>
      </w:r>
      <w:r w:rsidR="00070171">
        <w:rPr>
          <w:lang w:val="en-GB"/>
        </w:rPr>
        <w:t xml:space="preserve">past </w:t>
      </w:r>
      <w:r w:rsidR="006D7EB2">
        <w:rPr>
          <w:lang w:val="en-GB"/>
        </w:rPr>
        <w:t>accidents</w:t>
      </w:r>
      <w:r>
        <w:rPr>
          <w:lang w:val="en-GB"/>
        </w:rPr>
        <w:t xml:space="preserve"> </w:t>
      </w:r>
      <w:r w:rsidR="00070171">
        <w:rPr>
          <w:lang w:val="en-GB"/>
        </w:rPr>
        <w:t>provide, as proved in the present paper</w:t>
      </w:r>
      <w:r w:rsidR="006D7EB2">
        <w:rPr>
          <w:lang w:val="en-GB"/>
        </w:rPr>
        <w:t>, a wide source of information that can be used both during risk analysis and emergency response planning.</w:t>
      </w:r>
    </w:p>
    <w:p w14:paraId="0B104FEC" w14:textId="77777777" w:rsidR="006B4888" w:rsidRPr="00E56B5E" w:rsidRDefault="00600535" w:rsidP="00E56B5E">
      <w:pPr>
        <w:pStyle w:val="CETReference"/>
      </w:pPr>
      <w:r w:rsidRPr="00B57B36">
        <w:t>References</w:t>
      </w:r>
    </w:p>
    <w:p w14:paraId="0B104FED" w14:textId="573900F2" w:rsidR="00D368AA" w:rsidRDefault="0043510C" w:rsidP="00D24A06">
      <w:r>
        <w:t>The Eur</w:t>
      </w:r>
      <w:r w:rsidR="00F3150F">
        <w:t>opean Chemical Industry Council</w:t>
      </w:r>
      <w:r w:rsidR="00D368AA" w:rsidRPr="00D368AA">
        <w:t>, 2018. Facts &amp; figures of the European Chemical Industry</w:t>
      </w:r>
      <w:r w:rsidR="00E47033">
        <w:t>,</w:t>
      </w:r>
      <w:r w:rsidR="00F3150F">
        <w:t xml:space="preserve"> </w:t>
      </w:r>
      <w:r w:rsidR="00F3150F" w:rsidRPr="00F3150F">
        <w:t>www.cefic.org/Documents/RESOURCES/Reports-and-Brochure/Cefic_FactsAnd_Figures_2018_Industrial_BROCHURE_TRADE.pdf</w:t>
      </w:r>
    </w:p>
    <w:p w14:paraId="7AE92642" w14:textId="52E6E49E" w:rsidR="00C1319A" w:rsidRDefault="00C1319A" w:rsidP="00C1319A">
      <w:r>
        <w:t xml:space="preserve">Casson Moreno V., Danzi </w:t>
      </w:r>
      <w:r w:rsidRPr="00C1319A">
        <w:t>E.</w:t>
      </w:r>
      <w:r>
        <w:t>, Marmo</w:t>
      </w:r>
      <w:r w:rsidRPr="00C1319A">
        <w:t xml:space="preserve"> L., Salzano E.</w:t>
      </w:r>
      <w:r>
        <w:t xml:space="preserve">, Cozzani V., 2019, </w:t>
      </w:r>
      <w:r w:rsidRPr="00C1319A">
        <w:t>Major accident hazard in biodiesel production processes</w:t>
      </w:r>
      <w:r>
        <w:t>, Saf. Science, 113, 490-503, doi</w:t>
      </w:r>
      <w:r w:rsidRPr="00C1319A">
        <w:t>: 10.1016/j.ssci.2018.12.014</w:t>
      </w:r>
      <w:r>
        <w:t>.</w:t>
      </w:r>
    </w:p>
    <w:p w14:paraId="0B104FEE" w14:textId="5D6D98ED" w:rsidR="00FD1F54" w:rsidRPr="00AC1948" w:rsidRDefault="00FD1F54" w:rsidP="00C1319A">
      <w:r w:rsidRPr="0043510C">
        <w:rPr>
          <w:lang w:val="it-IT"/>
        </w:rPr>
        <w:t xml:space="preserve">Cozzani V., Antonioni G., Landucci G., Tugnoli A., Bonvicini S., Spadoni G., 2014, Quantitative assessment of domino and NaTech scenarios in complex industrial areas, J. Loss Prev. </w:t>
      </w:r>
      <w:r w:rsidRPr="00AC1948">
        <w:t>Proc. Industries, 28, 10-22.</w:t>
      </w:r>
    </w:p>
    <w:p w14:paraId="0B104FEF" w14:textId="77777777" w:rsidR="000405CB" w:rsidRPr="00FF3381" w:rsidRDefault="000405CB" w:rsidP="000405CB">
      <w:pPr>
        <w:pStyle w:val="CETReferencetext"/>
      </w:pPr>
      <w:r w:rsidRPr="00FF3381">
        <w:t>Cozzani V., Campedel M., Renni E., Krausmann E., 2010, Industrial accidents triggered by flood events: Analysis of past accidents, Journal of Hazardous Materials, 175, 501-509.</w:t>
      </w:r>
    </w:p>
    <w:p w14:paraId="3F4AAEB8" w14:textId="77777777" w:rsidR="00D24A06" w:rsidRPr="00181233" w:rsidRDefault="00D24A06" w:rsidP="00D24A06">
      <w:pPr>
        <w:pStyle w:val="CETReferencetext"/>
      </w:pPr>
      <w:r w:rsidRPr="00181233">
        <w:t>eMARS Dashboard</w:t>
      </w:r>
      <w:r>
        <w:t>,</w:t>
      </w:r>
      <w:r w:rsidRPr="00181233">
        <w:t xml:space="preserve"> </w:t>
      </w:r>
      <w:r>
        <w:t>&lt;</w:t>
      </w:r>
      <w:r w:rsidRPr="00181233">
        <w:t>emars.jrc.ec.europa.eu/en/emars</w:t>
      </w:r>
      <w:r>
        <w:t>&gt;</w:t>
      </w:r>
      <w:r w:rsidRPr="008E33A4">
        <w:t xml:space="preserve"> </w:t>
      </w:r>
      <w:r>
        <w:t>accessed 31.10.2018</w:t>
      </w:r>
    </w:p>
    <w:p w14:paraId="0B104FF0" w14:textId="77777777" w:rsidR="00E11F61" w:rsidRDefault="00E11F61" w:rsidP="00E11F61">
      <w:pPr>
        <w:pStyle w:val="CETReferencetext"/>
      </w:pPr>
      <w:r w:rsidRPr="00E11F61">
        <w:t>European Parliament and Council, 2012. Directive 2012/18/EU.</w:t>
      </w:r>
    </w:p>
    <w:p w14:paraId="0B104FF2" w14:textId="7E889ED6" w:rsidR="00181233" w:rsidRDefault="00181233" w:rsidP="00181233">
      <w:pPr>
        <w:pStyle w:val="CETReferencetext"/>
      </w:pPr>
      <w:r w:rsidRPr="00181233">
        <w:t>Factsonline: chemical and industrial accident database</w:t>
      </w:r>
      <w:r w:rsidR="00462CFB">
        <w:t xml:space="preserve">, </w:t>
      </w:r>
      <w:r>
        <w:t>accessed in October</w:t>
      </w:r>
      <w:r w:rsidRPr="00181233">
        <w:t xml:space="preserve"> 2018</w:t>
      </w:r>
      <w:r>
        <w:t>.</w:t>
      </w:r>
      <w:r w:rsidRPr="00181233">
        <w:t xml:space="preserve"> </w:t>
      </w:r>
      <w:r w:rsidR="008E33A4">
        <w:t>&lt;</w:t>
      </w:r>
      <w:r w:rsidRPr="00181233">
        <w:t>factsonline.nl</w:t>
      </w:r>
      <w:r w:rsidR="008E33A4">
        <w:t>&gt; accessed 31.10.2018.</w:t>
      </w:r>
    </w:p>
    <w:p w14:paraId="0B104FF3" w14:textId="77777777" w:rsidR="000405CB" w:rsidRDefault="000405CB" w:rsidP="000405CB">
      <w:pPr>
        <w:pStyle w:val="CETReferencetext"/>
      </w:pPr>
      <w:r w:rsidRPr="0038055E">
        <w:t>Krausmann E., Renni E., Campedel M., Cozzani V., 2011, Industrial accidents triggered by earthquakes, floods and lightning: lessons learned from a database analysis, 59, 285-300.</w:t>
      </w:r>
    </w:p>
    <w:p w14:paraId="50714782" w14:textId="038BF15F" w:rsidR="00D24A06" w:rsidRDefault="00D24A06" w:rsidP="000405CB">
      <w:pPr>
        <w:pStyle w:val="CETReferencetext"/>
      </w:pPr>
      <w:r>
        <w:t>Krausmann E., Cruz A.M., Salzano E., 2016, Natech Risk Assessment and Management, Reducing the Risk of Natural-Hazard Impact on Hazardous Installations, Elsevier, Amsterdam, NL.</w:t>
      </w:r>
    </w:p>
    <w:p w14:paraId="0B104FF4" w14:textId="77777777" w:rsidR="009E23D1" w:rsidRDefault="009E23D1" w:rsidP="009E23D1">
      <w:pPr>
        <w:pStyle w:val="CETReferencetext"/>
      </w:pPr>
      <w:r w:rsidRPr="004E5B02">
        <w:t>Mahan, P., Liserio, F., 2018. Managing the risk associated with severe wind and flood events in the chemical processing industries, in: Hazards 28. pp. 1–10.</w:t>
      </w:r>
    </w:p>
    <w:p w14:paraId="0B104FF5" w14:textId="77777777" w:rsidR="00C41868" w:rsidRPr="00E3718A" w:rsidRDefault="00C41868" w:rsidP="00C41868">
      <w:pPr>
        <w:widowControl w:val="0"/>
        <w:autoSpaceDE w:val="0"/>
        <w:autoSpaceDN w:val="0"/>
        <w:adjustRightInd w:val="0"/>
        <w:spacing w:line="240" w:lineRule="auto"/>
        <w:ind w:left="480" w:hanging="480"/>
        <w:rPr>
          <w:rFonts w:cs="Arial"/>
          <w:noProof/>
          <w:szCs w:val="24"/>
        </w:rPr>
      </w:pPr>
      <w:r w:rsidRPr="00E3718A">
        <w:rPr>
          <w:rFonts w:cs="Arial"/>
          <w:noProof/>
          <w:szCs w:val="24"/>
        </w:rPr>
        <w:t>NOAA National Centers for Environmental Information (NCEI), 2018. U.S. Billion-Dollar Weather and Climate Disasters [WWW Document]. URL https://www.ncdc.noaa.gov/billions/</w:t>
      </w:r>
    </w:p>
    <w:p w14:paraId="0B104FF6" w14:textId="77777777" w:rsidR="004F5FAB" w:rsidRDefault="004F5FAB" w:rsidP="00FD1F54">
      <w:pPr>
        <w:pStyle w:val="CETReferencetext"/>
      </w:pPr>
      <w:r>
        <w:t>Organisation for Economic Co-operation and Development (OECD), 2015, Addendum No.2, OECD Series on Chemical Accidents No. 27, Paris, France.</w:t>
      </w:r>
    </w:p>
    <w:p w14:paraId="0B104FF7" w14:textId="77777777" w:rsidR="00515E1E" w:rsidRDefault="00515E1E" w:rsidP="00FD1F54">
      <w:pPr>
        <w:pStyle w:val="CETReferencetext"/>
      </w:pPr>
      <w:r>
        <w:t>Rasmussen K., 1995, Natural events and accidents with hazardous materials, Journal of Hazardous Materials, 40, 43-54.</w:t>
      </w:r>
    </w:p>
    <w:p w14:paraId="0B104FF8" w14:textId="77777777" w:rsidR="00E56B5E" w:rsidRPr="009F3010" w:rsidRDefault="00E56B5E" w:rsidP="00FD1F54">
      <w:pPr>
        <w:pStyle w:val="CETReferencetext"/>
      </w:pPr>
      <w:r w:rsidRPr="009F3010">
        <w:t>Renni E., Basco A., Busini V., Cozzani V., Krausmann E., Rota R., Salzano E., 2010, Awareness and mitigation of NaTech accidents: Toward a methodology for risk assessment, Chemical Engineering Transactions, 19, 383-389.</w:t>
      </w:r>
    </w:p>
    <w:p w14:paraId="73EDF55F" w14:textId="04205795" w:rsidR="008E33A4" w:rsidRPr="008E33A4" w:rsidRDefault="008E33A4" w:rsidP="00FD1F54">
      <w:pPr>
        <w:pStyle w:val="CETReferencetext"/>
      </w:pPr>
      <w:r w:rsidRPr="008E33A4">
        <w:t>Salzano E., Basco A., Busini V.,</w:t>
      </w:r>
      <w:r w:rsidRPr="00D24A06">
        <w:t xml:space="preserve"> Cozzani V., Marzo E., Rota R., Spadoni G., 2013, Public awareness promoting new or emerging risks: Industrial accidents </w:t>
      </w:r>
      <w:r w:rsidRPr="008E33A4">
        <w:t>triggered by natural hazards (Na</w:t>
      </w:r>
      <w:r w:rsidRPr="00D24A06">
        <w:t xml:space="preserve">Tech), </w:t>
      </w:r>
      <w:r w:rsidR="00D24A06">
        <w:t>Journal of Risk Research, 16(3-4), 469-485.</w:t>
      </w:r>
    </w:p>
    <w:p w14:paraId="0B104FF9" w14:textId="77777777" w:rsidR="00FD1F54" w:rsidRDefault="00FD1F54" w:rsidP="00FD1F54">
      <w:pPr>
        <w:pStyle w:val="CETReferencetext"/>
      </w:pPr>
      <w:r>
        <w:t>Showalter P.S., Myers M.F., 1994, Natural Disasters in the United States as Release Agents of Oil, Chemicals, or Radiological Materials Between 1980-1989: Analysis and Recommendations, Risk Analysis, 14(2), 169-182.</w:t>
      </w:r>
    </w:p>
    <w:p w14:paraId="0B104FFA" w14:textId="497BBEE1" w:rsidR="006A3314" w:rsidRDefault="005B1487" w:rsidP="00FD1F54">
      <w:pPr>
        <w:pStyle w:val="CETReferencetext"/>
      </w:pPr>
      <w:r w:rsidRPr="008E33A4">
        <w:t xml:space="preserve">The ARIA database by </w:t>
      </w:r>
      <w:r>
        <w:t>t</w:t>
      </w:r>
      <w:r w:rsidRPr="006A3314">
        <w:t>he French Bureau for Analysis of Industrial Risks and Pollutions (BARPI),</w:t>
      </w:r>
      <w:r w:rsidRPr="008E33A4">
        <w:t xml:space="preserve"> </w:t>
      </w:r>
      <w:r w:rsidR="00D24A06">
        <w:t>&lt;</w:t>
      </w:r>
      <w:r w:rsidRPr="008E33A4">
        <w:t>aria.developpement-durable.gouv.fr/the-barpi/the-aria-database/?lang=en</w:t>
      </w:r>
      <w:r w:rsidR="00D24A06">
        <w:t>&gt;</w:t>
      </w:r>
      <w:r w:rsidR="00D24A06" w:rsidRPr="00D24A06">
        <w:t xml:space="preserve"> </w:t>
      </w:r>
      <w:r w:rsidR="00D24A06" w:rsidRPr="008E33A4">
        <w:t xml:space="preserve">accessed </w:t>
      </w:r>
      <w:r w:rsidR="00D24A06">
        <w:t>31.10.2018</w:t>
      </w:r>
      <w:r w:rsidR="00D24A06" w:rsidRPr="008E33A4">
        <w:t>,</w:t>
      </w:r>
    </w:p>
    <w:p w14:paraId="0B104FFB" w14:textId="77777777" w:rsidR="00A26CEE" w:rsidRDefault="001918EF" w:rsidP="006B4888">
      <w:pPr>
        <w:pStyle w:val="CETReferencetext"/>
      </w:pPr>
      <w:r>
        <w:t>World Health Organization (WHO), 2018, Chemical releases caused by natural hazard events and disasters – information for public health authorities</w:t>
      </w:r>
    </w:p>
    <w:sectPr w:rsidR="00A26CEE"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FE103" w16cid:durableId="201D32D8"/>
  <w16cid:commentId w16cid:paraId="187622B2" w16cid:durableId="201D3368"/>
  <w16cid:commentId w16cid:paraId="69102597" w16cid:durableId="201D33FF"/>
  <w16cid:commentId w16cid:paraId="5658FC9A" w16cid:durableId="201D355C"/>
  <w16cid:commentId w16cid:paraId="5A33FF8C" w16cid:durableId="201D3CEC"/>
  <w16cid:commentId w16cid:paraId="547AD001" w16cid:durableId="201D3D1B"/>
  <w16cid:commentId w16cid:paraId="38011EA4" w16cid:durableId="201D3E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67777" w14:textId="77777777" w:rsidR="00497050" w:rsidRDefault="00497050" w:rsidP="004F5E36">
      <w:r>
        <w:separator/>
      </w:r>
    </w:p>
  </w:endnote>
  <w:endnote w:type="continuationSeparator" w:id="0">
    <w:p w14:paraId="6D625BFF" w14:textId="77777777" w:rsidR="00497050" w:rsidRDefault="004970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2CD19" w14:textId="77777777" w:rsidR="00497050" w:rsidRDefault="00497050" w:rsidP="004F5E36">
      <w:r>
        <w:separator/>
      </w:r>
    </w:p>
  </w:footnote>
  <w:footnote w:type="continuationSeparator" w:id="0">
    <w:p w14:paraId="4CE27887" w14:textId="77777777" w:rsidR="00497050" w:rsidRDefault="0049705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8763E8"/>
    <w:multiLevelType w:val="hybridMultilevel"/>
    <w:tmpl w:val="7A00D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11"/>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46A"/>
    <w:rsid w:val="000027C0"/>
    <w:rsid w:val="000052FB"/>
    <w:rsid w:val="00010F40"/>
    <w:rsid w:val="000117CB"/>
    <w:rsid w:val="00013140"/>
    <w:rsid w:val="0002073C"/>
    <w:rsid w:val="0002370B"/>
    <w:rsid w:val="0003148D"/>
    <w:rsid w:val="000322B3"/>
    <w:rsid w:val="00033E29"/>
    <w:rsid w:val="00035B4F"/>
    <w:rsid w:val="000405CB"/>
    <w:rsid w:val="0004245F"/>
    <w:rsid w:val="00042599"/>
    <w:rsid w:val="00043104"/>
    <w:rsid w:val="00046120"/>
    <w:rsid w:val="00047D7F"/>
    <w:rsid w:val="00050353"/>
    <w:rsid w:val="00051566"/>
    <w:rsid w:val="00057344"/>
    <w:rsid w:val="00062A9A"/>
    <w:rsid w:val="00065058"/>
    <w:rsid w:val="00070171"/>
    <w:rsid w:val="00072011"/>
    <w:rsid w:val="00086C39"/>
    <w:rsid w:val="000908EE"/>
    <w:rsid w:val="000957E6"/>
    <w:rsid w:val="0009649C"/>
    <w:rsid w:val="000A03B2"/>
    <w:rsid w:val="000A1A7C"/>
    <w:rsid w:val="000A3B79"/>
    <w:rsid w:val="000A65C3"/>
    <w:rsid w:val="000B592F"/>
    <w:rsid w:val="000D34BE"/>
    <w:rsid w:val="000E102F"/>
    <w:rsid w:val="000E36F1"/>
    <w:rsid w:val="000E3A73"/>
    <w:rsid w:val="000E414A"/>
    <w:rsid w:val="000F07B7"/>
    <w:rsid w:val="000F093C"/>
    <w:rsid w:val="000F16BD"/>
    <w:rsid w:val="000F3BE5"/>
    <w:rsid w:val="000F42E0"/>
    <w:rsid w:val="000F787B"/>
    <w:rsid w:val="001158CD"/>
    <w:rsid w:val="0012091F"/>
    <w:rsid w:val="00120E13"/>
    <w:rsid w:val="00121968"/>
    <w:rsid w:val="00124B0C"/>
    <w:rsid w:val="00126BC2"/>
    <w:rsid w:val="001308B6"/>
    <w:rsid w:val="0013121F"/>
    <w:rsid w:val="00131FAB"/>
    <w:rsid w:val="00131FE6"/>
    <w:rsid w:val="0013263F"/>
    <w:rsid w:val="0013455E"/>
    <w:rsid w:val="00134DE4"/>
    <w:rsid w:val="0014034D"/>
    <w:rsid w:val="00142BF6"/>
    <w:rsid w:val="00150E59"/>
    <w:rsid w:val="0015298E"/>
    <w:rsid w:val="00152DE3"/>
    <w:rsid w:val="00162642"/>
    <w:rsid w:val="00164CF9"/>
    <w:rsid w:val="00177613"/>
    <w:rsid w:val="00181233"/>
    <w:rsid w:val="00184AD6"/>
    <w:rsid w:val="001918EF"/>
    <w:rsid w:val="001B0349"/>
    <w:rsid w:val="001B36B0"/>
    <w:rsid w:val="001B65C1"/>
    <w:rsid w:val="001C5A27"/>
    <w:rsid w:val="001C684B"/>
    <w:rsid w:val="001D53FC"/>
    <w:rsid w:val="001D59A7"/>
    <w:rsid w:val="001E13EB"/>
    <w:rsid w:val="001F1CBE"/>
    <w:rsid w:val="001F42A5"/>
    <w:rsid w:val="001F7B9D"/>
    <w:rsid w:val="00211FC9"/>
    <w:rsid w:val="00215505"/>
    <w:rsid w:val="00220F89"/>
    <w:rsid w:val="002224B4"/>
    <w:rsid w:val="002304DF"/>
    <w:rsid w:val="002338B0"/>
    <w:rsid w:val="002447EF"/>
    <w:rsid w:val="00251550"/>
    <w:rsid w:val="00252C1A"/>
    <w:rsid w:val="00263B05"/>
    <w:rsid w:val="00263C25"/>
    <w:rsid w:val="0027221A"/>
    <w:rsid w:val="00272E97"/>
    <w:rsid w:val="002743A2"/>
    <w:rsid w:val="002750E8"/>
    <w:rsid w:val="00275B61"/>
    <w:rsid w:val="00282656"/>
    <w:rsid w:val="0028724F"/>
    <w:rsid w:val="00296B83"/>
    <w:rsid w:val="002B15B1"/>
    <w:rsid w:val="002B78CE"/>
    <w:rsid w:val="002C2FB6"/>
    <w:rsid w:val="002D00A8"/>
    <w:rsid w:val="002D5BCD"/>
    <w:rsid w:val="002E1C9F"/>
    <w:rsid w:val="002F08CB"/>
    <w:rsid w:val="003009B7"/>
    <w:rsid w:val="00300E56"/>
    <w:rsid w:val="0030469C"/>
    <w:rsid w:val="00305262"/>
    <w:rsid w:val="00321CA6"/>
    <w:rsid w:val="0032529C"/>
    <w:rsid w:val="0033205F"/>
    <w:rsid w:val="00334C09"/>
    <w:rsid w:val="003365E3"/>
    <w:rsid w:val="00354F13"/>
    <w:rsid w:val="003723D4"/>
    <w:rsid w:val="0037759E"/>
    <w:rsid w:val="0038055E"/>
    <w:rsid w:val="00384CC8"/>
    <w:rsid w:val="003871FD"/>
    <w:rsid w:val="003917C3"/>
    <w:rsid w:val="0039474A"/>
    <w:rsid w:val="003A1E30"/>
    <w:rsid w:val="003A29CF"/>
    <w:rsid w:val="003A4B48"/>
    <w:rsid w:val="003A7D1C"/>
    <w:rsid w:val="003B304B"/>
    <w:rsid w:val="003B3146"/>
    <w:rsid w:val="003B60F3"/>
    <w:rsid w:val="003F015E"/>
    <w:rsid w:val="00400414"/>
    <w:rsid w:val="00402D6D"/>
    <w:rsid w:val="00404628"/>
    <w:rsid w:val="004105D1"/>
    <w:rsid w:val="00411780"/>
    <w:rsid w:val="0041446B"/>
    <w:rsid w:val="0043510C"/>
    <w:rsid w:val="0044329C"/>
    <w:rsid w:val="004440AF"/>
    <w:rsid w:val="004477E0"/>
    <w:rsid w:val="004525AD"/>
    <w:rsid w:val="004577FE"/>
    <w:rsid w:val="00457B9C"/>
    <w:rsid w:val="0046164A"/>
    <w:rsid w:val="004628D2"/>
    <w:rsid w:val="00462CFB"/>
    <w:rsid w:val="00462DCD"/>
    <w:rsid w:val="004648AD"/>
    <w:rsid w:val="004703A9"/>
    <w:rsid w:val="004760DE"/>
    <w:rsid w:val="004773F8"/>
    <w:rsid w:val="00482D35"/>
    <w:rsid w:val="00495231"/>
    <w:rsid w:val="00497050"/>
    <w:rsid w:val="004A004E"/>
    <w:rsid w:val="004A0CEE"/>
    <w:rsid w:val="004A24CF"/>
    <w:rsid w:val="004B6721"/>
    <w:rsid w:val="004C3D1D"/>
    <w:rsid w:val="004C7913"/>
    <w:rsid w:val="004D2F52"/>
    <w:rsid w:val="004E4DD6"/>
    <w:rsid w:val="004E5B02"/>
    <w:rsid w:val="004F1964"/>
    <w:rsid w:val="004F5E36"/>
    <w:rsid w:val="004F5FAB"/>
    <w:rsid w:val="00501311"/>
    <w:rsid w:val="005052BF"/>
    <w:rsid w:val="00507B47"/>
    <w:rsid w:val="00507CC9"/>
    <w:rsid w:val="005119A5"/>
    <w:rsid w:val="00515E1E"/>
    <w:rsid w:val="005221A0"/>
    <w:rsid w:val="00523FAF"/>
    <w:rsid w:val="005278B7"/>
    <w:rsid w:val="00527931"/>
    <w:rsid w:val="00532016"/>
    <w:rsid w:val="005346C8"/>
    <w:rsid w:val="00540CB5"/>
    <w:rsid w:val="00543E7D"/>
    <w:rsid w:val="00546B05"/>
    <w:rsid w:val="00547A68"/>
    <w:rsid w:val="005531C9"/>
    <w:rsid w:val="005642D0"/>
    <w:rsid w:val="00566F41"/>
    <w:rsid w:val="005729A4"/>
    <w:rsid w:val="00574587"/>
    <w:rsid w:val="00582FFF"/>
    <w:rsid w:val="00592186"/>
    <w:rsid w:val="005941C3"/>
    <w:rsid w:val="00594A95"/>
    <w:rsid w:val="005A7A57"/>
    <w:rsid w:val="005B1487"/>
    <w:rsid w:val="005B2110"/>
    <w:rsid w:val="005B61E6"/>
    <w:rsid w:val="005C77E1"/>
    <w:rsid w:val="005D54AA"/>
    <w:rsid w:val="005D54CD"/>
    <w:rsid w:val="005D6A2F"/>
    <w:rsid w:val="005E1A82"/>
    <w:rsid w:val="005E794C"/>
    <w:rsid w:val="005F0A28"/>
    <w:rsid w:val="005F0E5E"/>
    <w:rsid w:val="005F4FF2"/>
    <w:rsid w:val="005F7FCE"/>
    <w:rsid w:val="00600535"/>
    <w:rsid w:val="0060273D"/>
    <w:rsid w:val="00603195"/>
    <w:rsid w:val="00604B0A"/>
    <w:rsid w:val="00607275"/>
    <w:rsid w:val="00610CD6"/>
    <w:rsid w:val="00620DEE"/>
    <w:rsid w:val="00621F92"/>
    <w:rsid w:val="00624F9C"/>
    <w:rsid w:val="00625639"/>
    <w:rsid w:val="00631B33"/>
    <w:rsid w:val="0064184D"/>
    <w:rsid w:val="006422CC"/>
    <w:rsid w:val="00660E3E"/>
    <w:rsid w:val="00662E74"/>
    <w:rsid w:val="00680C23"/>
    <w:rsid w:val="00681AFB"/>
    <w:rsid w:val="0068743C"/>
    <w:rsid w:val="00693766"/>
    <w:rsid w:val="006A3281"/>
    <w:rsid w:val="006A3314"/>
    <w:rsid w:val="006B24CB"/>
    <w:rsid w:val="006B4888"/>
    <w:rsid w:val="006B5CD3"/>
    <w:rsid w:val="006C2E45"/>
    <w:rsid w:val="006C359C"/>
    <w:rsid w:val="006C5579"/>
    <w:rsid w:val="006C592D"/>
    <w:rsid w:val="006D7E19"/>
    <w:rsid w:val="006D7EB2"/>
    <w:rsid w:val="006E242D"/>
    <w:rsid w:val="006E4D6D"/>
    <w:rsid w:val="006E737D"/>
    <w:rsid w:val="006F6124"/>
    <w:rsid w:val="0070195D"/>
    <w:rsid w:val="00711A26"/>
    <w:rsid w:val="00720A24"/>
    <w:rsid w:val="00732386"/>
    <w:rsid w:val="00734F20"/>
    <w:rsid w:val="007411FD"/>
    <w:rsid w:val="007447F3"/>
    <w:rsid w:val="00754422"/>
    <w:rsid w:val="0075499F"/>
    <w:rsid w:val="007661C8"/>
    <w:rsid w:val="0077098D"/>
    <w:rsid w:val="00775BDE"/>
    <w:rsid w:val="0079135E"/>
    <w:rsid w:val="007931FA"/>
    <w:rsid w:val="007A2C8F"/>
    <w:rsid w:val="007A7BBA"/>
    <w:rsid w:val="007B0C50"/>
    <w:rsid w:val="007C1A43"/>
    <w:rsid w:val="007E1DC6"/>
    <w:rsid w:val="007F51A0"/>
    <w:rsid w:val="008001BB"/>
    <w:rsid w:val="00813288"/>
    <w:rsid w:val="008168FC"/>
    <w:rsid w:val="00830996"/>
    <w:rsid w:val="008345F1"/>
    <w:rsid w:val="00865B07"/>
    <w:rsid w:val="008667EA"/>
    <w:rsid w:val="0086722D"/>
    <w:rsid w:val="0087637F"/>
    <w:rsid w:val="008771A0"/>
    <w:rsid w:val="008904B9"/>
    <w:rsid w:val="00892AD5"/>
    <w:rsid w:val="008A1512"/>
    <w:rsid w:val="008C78C1"/>
    <w:rsid w:val="008C7F95"/>
    <w:rsid w:val="008D2475"/>
    <w:rsid w:val="008D32B9"/>
    <w:rsid w:val="008D3BB4"/>
    <w:rsid w:val="008D433B"/>
    <w:rsid w:val="008E33A4"/>
    <w:rsid w:val="008E566E"/>
    <w:rsid w:val="008F01E6"/>
    <w:rsid w:val="0090161A"/>
    <w:rsid w:val="00901EB6"/>
    <w:rsid w:val="00904C62"/>
    <w:rsid w:val="00912853"/>
    <w:rsid w:val="009214A5"/>
    <w:rsid w:val="00924DAC"/>
    <w:rsid w:val="00927058"/>
    <w:rsid w:val="0094241E"/>
    <w:rsid w:val="009429BB"/>
    <w:rsid w:val="009450CE"/>
    <w:rsid w:val="00945716"/>
    <w:rsid w:val="00947179"/>
    <w:rsid w:val="0095164B"/>
    <w:rsid w:val="00954090"/>
    <w:rsid w:val="00954E2F"/>
    <w:rsid w:val="009573E7"/>
    <w:rsid w:val="009635B9"/>
    <w:rsid w:val="00963E05"/>
    <w:rsid w:val="00967D54"/>
    <w:rsid w:val="00996483"/>
    <w:rsid w:val="00996F5A"/>
    <w:rsid w:val="009A0A3E"/>
    <w:rsid w:val="009A3607"/>
    <w:rsid w:val="009B041A"/>
    <w:rsid w:val="009C7C86"/>
    <w:rsid w:val="009D2FF7"/>
    <w:rsid w:val="009D5FFA"/>
    <w:rsid w:val="009E23D1"/>
    <w:rsid w:val="009E4EE7"/>
    <w:rsid w:val="009E74A2"/>
    <w:rsid w:val="009E7884"/>
    <w:rsid w:val="009E788A"/>
    <w:rsid w:val="009F0E08"/>
    <w:rsid w:val="009F3010"/>
    <w:rsid w:val="009F4149"/>
    <w:rsid w:val="00A00495"/>
    <w:rsid w:val="00A1763D"/>
    <w:rsid w:val="00A17CEC"/>
    <w:rsid w:val="00A26CEE"/>
    <w:rsid w:val="00A27EF0"/>
    <w:rsid w:val="00A35704"/>
    <w:rsid w:val="00A412E4"/>
    <w:rsid w:val="00A4423A"/>
    <w:rsid w:val="00A44272"/>
    <w:rsid w:val="00A46883"/>
    <w:rsid w:val="00A50B20"/>
    <w:rsid w:val="00A51390"/>
    <w:rsid w:val="00A60D13"/>
    <w:rsid w:val="00A655C9"/>
    <w:rsid w:val="00A70DEE"/>
    <w:rsid w:val="00A72745"/>
    <w:rsid w:val="00A76EFC"/>
    <w:rsid w:val="00A91010"/>
    <w:rsid w:val="00A948AD"/>
    <w:rsid w:val="00A97F29"/>
    <w:rsid w:val="00AA702E"/>
    <w:rsid w:val="00AB0964"/>
    <w:rsid w:val="00AB20EA"/>
    <w:rsid w:val="00AB5011"/>
    <w:rsid w:val="00AB7C41"/>
    <w:rsid w:val="00AC1948"/>
    <w:rsid w:val="00AC7368"/>
    <w:rsid w:val="00AD16B9"/>
    <w:rsid w:val="00AD2807"/>
    <w:rsid w:val="00AE377D"/>
    <w:rsid w:val="00AE6158"/>
    <w:rsid w:val="00AF33A3"/>
    <w:rsid w:val="00B00503"/>
    <w:rsid w:val="00B00C14"/>
    <w:rsid w:val="00B03D7D"/>
    <w:rsid w:val="00B1362B"/>
    <w:rsid w:val="00B16604"/>
    <w:rsid w:val="00B17FBD"/>
    <w:rsid w:val="00B2331F"/>
    <w:rsid w:val="00B24000"/>
    <w:rsid w:val="00B315A6"/>
    <w:rsid w:val="00B31813"/>
    <w:rsid w:val="00B321EA"/>
    <w:rsid w:val="00B33365"/>
    <w:rsid w:val="00B3798E"/>
    <w:rsid w:val="00B57B36"/>
    <w:rsid w:val="00B64730"/>
    <w:rsid w:val="00B65BA6"/>
    <w:rsid w:val="00B71370"/>
    <w:rsid w:val="00B72A4A"/>
    <w:rsid w:val="00B75758"/>
    <w:rsid w:val="00B75778"/>
    <w:rsid w:val="00B8686D"/>
    <w:rsid w:val="00BA0289"/>
    <w:rsid w:val="00BA5885"/>
    <w:rsid w:val="00BB05F1"/>
    <w:rsid w:val="00BB3A9D"/>
    <w:rsid w:val="00BC30C9"/>
    <w:rsid w:val="00BC35D5"/>
    <w:rsid w:val="00BC5AFD"/>
    <w:rsid w:val="00BE3E58"/>
    <w:rsid w:val="00BE6200"/>
    <w:rsid w:val="00BE69F0"/>
    <w:rsid w:val="00C01616"/>
    <w:rsid w:val="00C0162B"/>
    <w:rsid w:val="00C1319A"/>
    <w:rsid w:val="00C30166"/>
    <w:rsid w:val="00C31AC5"/>
    <w:rsid w:val="00C345B1"/>
    <w:rsid w:val="00C40142"/>
    <w:rsid w:val="00C41868"/>
    <w:rsid w:val="00C42DA4"/>
    <w:rsid w:val="00C511C3"/>
    <w:rsid w:val="00C57182"/>
    <w:rsid w:val="00C57863"/>
    <w:rsid w:val="00C62308"/>
    <w:rsid w:val="00C6501B"/>
    <w:rsid w:val="00C65164"/>
    <w:rsid w:val="00C655FD"/>
    <w:rsid w:val="00C661E9"/>
    <w:rsid w:val="00C728B5"/>
    <w:rsid w:val="00C825F3"/>
    <w:rsid w:val="00C870A8"/>
    <w:rsid w:val="00C9089A"/>
    <w:rsid w:val="00C94434"/>
    <w:rsid w:val="00C957D0"/>
    <w:rsid w:val="00CA0C2F"/>
    <w:rsid w:val="00CA0D75"/>
    <w:rsid w:val="00CA1C95"/>
    <w:rsid w:val="00CA5363"/>
    <w:rsid w:val="00CA5A9C"/>
    <w:rsid w:val="00CB1683"/>
    <w:rsid w:val="00CD3517"/>
    <w:rsid w:val="00CD5A00"/>
    <w:rsid w:val="00CD5FE2"/>
    <w:rsid w:val="00CE336D"/>
    <w:rsid w:val="00CE42A7"/>
    <w:rsid w:val="00CE7C68"/>
    <w:rsid w:val="00D027C2"/>
    <w:rsid w:val="00D02B4C"/>
    <w:rsid w:val="00D039ED"/>
    <w:rsid w:val="00D040C4"/>
    <w:rsid w:val="00D077A0"/>
    <w:rsid w:val="00D24741"/>
    <w:rsid w:val="00D24A06"/>
    <w:rsid w:val="00D27C3A"/>
    <w:rsid w:val="00D368AA"/>
    <w:rsid w:val="00D57C84"/>
    <w:rsid w:val="00D6057D"/>
    <w:rsid w:val="00D60C36"/>
    <w:rsid w:val="00D84576"/>
    <w:rsid w:val="00D84CF6"/>
    <w:rsid w:val="00D97FAE"/>
    <w:rsid w:val="00DA1106"/>
    <w:rsid w:val="00DA120B"/>
    <w:rsid w:val="00DA1399"/>
    <w:rsid w:val="00DA24C6"/>
    <w:rsid w:val="00DA4D7B"/>
    <w:rsid w:val="00DC641F"/>
    <w:rsid w:val="00DD1EFE"/>
    <w:rsid w:val="00DE264A"/>
    <w:rsid w:val="00DE3511"/>
    <w:rsid w:val="00DF3621"/>
    <w:rsid w:val="00E02D18"/>
    <w:rsid w:val="00E02EDA"/>
    <w:rsid w:val="00E041E7"/>
    <w:rsid w:val="00E11F61"/>
    <w:rsid w:val="00E218CF"/>
    <w:rsid w:val="00E23336"/>
    <w:rsid w:val="00E23CA1"/>
    <w:rsid w:val="00E26995"/>
    <w:rsid w:val="00E26D9F"/>
    <w:rsid w:val="00E30451"/>
    <w:rsid w:val="00E409A8"/>
    <w:rsid w:val="00E43470"/>
    <w:rsid w:val="00E468D6"/>
    <w:rsid w:val="00E47033"/>
    <w:rsid w:val="00E50C12"/>
    <w:rsid w:val="00E52C05"/>
    <w:rsid w:val="00E56B5E"/>
    <w:rsid w:val="00E575D9"/>
    <w:rsid w:val="00E65B91"/>
    <w:rsid w:val="00E71AD7"/>
    <w:rsid w:val="00E7209D"/>
    <w:rsid w:val="00E77223"/>
    <w:rsid w:val="00E8528B"/>
    <w:rsid w:val="00E85B94"/>
    <w:rsid w:val="00E94207"/>
    <w:rsid w:val="00E978D0"/>
    <w:rsid w:val="00EA4613"/>
    <w:rsid w:val="00EA7F91"/>
    <w:rsid w:val="00EB1523"/>
    <w:rsid w:val="00EB17C8"/>
    <w:rsid w:val="00EB21CF"/>
    <w:rsid w:val="00EB5474"/>
    <w:rsid w:val="00EC0E49"/>
    <w:rsid w:val="00ED1581"/>
    <w:rsid w:val="00EE0131"/>
    <w:rsid w:val="00F133B5"/>
    <w:rsid w:val="00F155B2"/>
    <w:rsid w:val="00F23124"/>
    <w:rsid w:val="00F25C2E"/>
    <w:rsid w:val="00F30C64"/>
    <w:rsid w:val="00F3150F"/>
    <w:rsid w:val="00F32CDB"/>
    <w:rsid w:val="00F42D9F"/>
    <w:rsid w:val="00F541EE"/>
    <w:rsid w:val="00F54728"/>
    <w:rsid w:val="00F55830"/>
    <w:rsid w:val="00F63A70"/>
    <w:rsid w:val="00F65585"/>
    <w:rsid w:val="00F71E61"/>
    <w:rsid w:val="00F73D8D"/>
    <w:rsid w:val="00F77989"/>
    <w:rsid w:val="00F80BE2"/>
    <w:rsid w:val="00FA21D0"/>
    <w:rsid w:val="00FA455A"/>
    <w:rsid w:val="00FA5F5F"/>
    <w:rsid w:val="00FB730C"/>
    <w:rsid w:val="00FC2695"/>
    <w:rsid w:val="00FC2EA5"/>
    <w:rsid w:val="00FC3E03"/>
    <w:rsid w:val="00FC3FC1"/>
    <w:rsid w:val="00FD1F54"/>
    <w:rsid w:val="00FD4DEB"/>
    <w:rsid w:val="00FF3381"/>
    <w:rsid w:val="00FF4B3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4F50"/>
  <w15:docId w15:val="{AC74C652-F8EF-4C48-8410-A56837E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A35704"/>
    <w:pPr>
      <w:ind w:left="720"/>
      <w:contextualSpacing/>
    </w:pPr>
  </w:style>
  <w:style w:type="paragraph" w:styleId="Revisione">
    <w:name w:val="Revision"/>
    <w:hidden/>
    <w:uiPriority w:val="99"/>
    <w:semiHidden/>
    <w:rsid w:val="00DF362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292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8103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752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BBD2-0BFF-410D-BE13-32C90949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2914</Words>
  <Characters>16614</Characters>
  <Application>Microsoft Office Word</Application>
  <DocSecurity>0</DocSecurity>
  <Lines>138</Lines>
  <Paragraphs>38</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Dipartimento CMIC - Politecnico di Milano</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Valeria Casson Moreno</cp:lastModifiedBy>
  <cp:revision>13</cp:revision>
  <cp:lastPrinted>2015-05-12T18:31:00Z</cp:lastPrinted>
  <dcterms:created xsi:type="dcterms:W3CDTF">2019-04-01T12:31:00Z</dcterms:created>
  <dcterms:modified xsi:type="dcterms:W3CDTF">2019-04-01T12:53:00Z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http://www.zotero.org/styles/journal-of-loss-prevention-in-the-process-industries</vt:lpwstr>
  </property>
  <property fmtid="{D5CDD505-2E9C-101B-9397-08002B2CF9AE}" pid="11" name="Mendeley Recent Style Name 3_1">
    <vt:lpwstr>Journal of Loss Prevention in the Process Industries</vt:lpwstr>
  </property>
  <property fmtid="{D5CDD505-2E9C-101B-9397-08002B2CF9AE}" pid="12" name="Mendeley Recent Style Id 4_1">
    <vt:lpwstr>http://www.zotero.org/styles/modern-humanities-research-association</vt:lpwstr>
  </property>
  <property fmtid="{D5CDD505-2E9C-101B-9397-08002B2CF9AE}" pid="13" name="Mendeley Recent Style Name 4_1">
    <vt:lpwstr>Modern Humanities Research Association 3rd edition (note with bibliography)</vt:lpwstr>
  </property>
  <property fmtid="{D5CDD505-2E9C-101B-9397-08002B2CF9AE}" pid="14" name="Mendeley Recent Style Id 5_1">
    <vt:lpwstr>http://www.zotero.org/styles/modern-language-association</vt:lpwstr>
  </property>
  <property fmtid="{D5CDD505-2E9C-101B-9397-08002B2CF9AE}" pid="15" name="Mendeley Recent Style Name 5_1">
    <vt:lpwstr>Modern Language Association 7th edition</vt:lpwstr>
  </property>
  <property fmtid="{D5CDD505-2E9C-101B-9397-08002B2CF9AE}" pid="16" name="Mendeley Recent Style Id 6_1">
    <vt:lpwstr>http://www.zotero.org/styles/nature</vt:lpwstr>
  </property>
  <property fmtid="{D5CDD505-2E9C-101B-9397-08002B2CF9AE}" pid="17" name="Mendeley Recent Style Name 6_1">
    <vt:lpwstr>Nature</vt:lpwstr>
  </property>
  <property fmtid="{D5CDD505-2E9C-101B-9397-08002B2CF9AE}" pid="18" name="Mendeley Recent Style Id 7_1">
    <vt:lpwstr>http://www.zotero.org/styles/process-safety-and-environmental-protection</vt:lpwstr>
  </property>
  <property fmtid="{D5CDD505-2E9C-101B-9397-08002B2CF9AE}" pid="19" name="Mendeley Recent Style Name 7_1">
    <vt:lpwstr>Process Safety and Environmental Protection</vt:lpwstr>
  </property>
  <property fmtid="{D5CDD505-2E9C-101B-9397-08002B2CF9AE}" pid="20" name="Mendeley Recent Style Id 8_1">
    <vt:lpwstr>http://www.zotero.org/styles/reliability-engineering-and-system-safety</vt:lpwstr>
  </property>
  <property fmtid="{D5CDD505-2E9C-101B-9397-08002B2CF9AE}" pid="21" name="Mendeley Recent Style Name 8_1">
    <vt:lpwstr>Reliability Engineering and System Safety</vt:lpwstr>
  </property>
  <property fmtid="{D5CDD505-2E9C-101B-9397-08002B2CF9AE}" pid="22" name="Mendeley Recent Style Id 9_1">
    <vt:lpwstr>http://www.zotero.org/styles/safety-science</vt:lpwstr>
  </property>
  <property fmtid="{D5CDD505-2E9C-101B-9397-08002B2CF9AE}" pid="23" name="Mendeley Recent Style Name 9_1">
    <vt:lpwstr>Safety Science</vt:lpwstr>
  </property>
  <property fmtid="{D5CDD505-2E9C-101B-9397-08002B2CF9AE}" pid="24" name="Mendeley Document_1">
    <vt:lpwstr>True</vt:lpwstr>
  </property>
  <property fmtid="{D5CDD505-2E9C-101B-9397-08002B2CF9AE}" pid="25" name="Mendeley Unique User Id_1">
    <vt:lpwstr>458675bc-d275-3f91-b7ed-7aad1421e1e4</vt:lpwstr>
  </property>
  <property fmtid="{D5CDD505-2E9C-101B-9397-08002B2CF9AE}" pid="26" name="Mendeley Citation Style_1">
    <vt:lpwstr>http://www.zotero.org/styles/journal-of-loss-prevention-in-the-process-industries</vt:lpwstr>
  </property>
</Properties>
</file>