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E2B63">
        <w:trPr>
          <w:trHeight w:val="852"/>
          <w:jc w:val="center"/>
        </w:trPr>
        <w:tc>
          <w:tcPr>
            <w:tcW w:w="6946" w:type="dxa"/>
            <w:vMerge w:val="restart"/>
            <w:tcBorders>
              <w:right w:val="single" w:sz="4" w:space="0" w:color="auto"/>
            </w:tcBorders>
          </w:tcPr>
          <w:p w:rsidR="000A03B2" w:rsidRPr="008E2B63" w:rsidRDefault="000A03B2" w:rsidP="00DE264A">
            <w:pPr>
              <w:tabs>
                <w:tab w:val="left" w:pos="-108"/>
              </w:tabs>
              <w:ind w:left="-108"/>
              <w:jc w:val="left"/>
              <w:rPr>
                <w:rFonts w:cs="Arial"/>
                <w:b/>
                <w:bCs/>
                <w:i/>
                <w:iCs/>
                <w:color w:val="000066"/>
                <w:sz w:val="12"/>
                <w:szCs w:val="12"/>
                <w:lang w:val="en-US" w:eastAsia="it-IT"/>
              </w:rPr>
            </w:pPr>
            <w:r w:rsidRPr="008E2B63">
              <w:rPr>
                <w:rFonts w:ascii="AdvP6960" w:hAnsi="AdvP6960" w:cs="AdvP6960"/>
                <w:noProof/>
                <w:color w:val="241F20"/>
                <w:szCs w:val="18"/>
                <w:lang w:val="es-MX" w:eastAsia="es-MX"/>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E2B63">
              <w:rPr>
                <w:rFonts w:ascii="AdvP6960" w:hAnsi="AdvP6960" w:cs="AdvP6960"/>
                <w:color w:val="241F20"/>
                <w:szCs w:val="18"/>
                <w:lang w:val="en-US" w:eastAsia="it-IT"/>
              </w:rPr>
              <w:t xml:space="preserve"> </w:t>
            </w:r>
            <w:r w:rsidRPr="008E2B63">
              <w:rPr>
                <w:rFonts w:cs="Arial"/>
                <w:b/>
                <w:bCs/>
                <w:i/>
                <w:iCs/>
                <w:color w:val="000066"/>
                <w:sz w:val="24"/>
                <w:szCs w:val="24"/>
                <w:lang w:val="en-US" w:eastAsia="it-IT"/>
              </w:rPr>
              <w:t>CHEMICAL ENGINEERING</w:t>
            </w:r>
            <w:r w:rsidRPr="008E2B63">
              <w:rPr>
                <w:rFonts w:cs="Arial"/>
                <w:b/>
                <w:bCs/>
                <w:i/>
                <w:iCs/>
                <w:color w:val="0033FF"/>
                <w:sz w:val="24"/>
                <w:szCs w:val="24"/>
                <w:lang w:val="en-US" w:eastAsia="it-IT"/>
              </w:rPr>
              <w:t xml:space="preserve"> </w:t>
            </w:r>
            <w:r w:rsidRPr="008E2B63">
              <w:rPr>
                <w:rFonts w:cs="Arial"/>
                <w:b/>
                <w:bCs/>
                <w:i/>
                <w:iCs/>
                <w:color w:val="666666"/>
                <w:sz w:val="24"/>
                <w:szCs w:val="24"/>
                <w:lang w:val="en-US" w:eastAsia="it-IT"/>
              </w:rPr>
              <w:t>TRANSACTIONS</w:t>
            </w:r>
            <w:r w:rsidRPr="008E2B63">
              <w:rPr>
                <w:color w:val="333333"/>
                <w:sz w:val="24"/>
                <w:szCs w:val="24"/>
                <w:lang w:val="en-US" w:eastAsia="it-IT"/>
              </w:rPr>
              <w:t xml:space="preserve"> </w:t>
            </w:r>
            <w:r w:rsidRPr="008E2B63">
              <w:rPr>
                <w:rFonts w:cs="Arial"/>
                <w:b/>
                <w:bCs/>
                <w:i/>
                <w:iCs/>
                <w:color w:val="000066"/>
                <w:sz w:val="27"/>
                <w:szCs w:val="27"/>
                <w:lang w:val="en-US" w:eastAsia="it-IT"/>
              </w:rPr>
              <w:br/>
            </w:r>
          </w:p>
          <w:p w:rsidR="000A03B2" w:rsidRPr="008E2B63" w:rsidRDefault="00A76EFC" w:rsidP="002A490C">
            <w:pPr>
              <w:tabs>
                <w:tab w:val="left" w:pos="-108"/>
              </w:tabs>
              <w:ind w:left="-108"/>
              <w:rPr>
                <w:rFonts w:cs="Arial"/>
                <w:b/>
                <w:bCs/>
                <w:i/>
                <w:iCs/>
                <w:color w:val="000066"/>
                <w:sz w:val="22"/>
                <w:szCs w:val="22"/>
                <w:lang w:val="en-US" w:eastAsia="it-IT"/>
              </w:rPr>
            </w:pPr>
            <w:r w:rsidRPr="008E2B63">
              <w:rPr>
                <w:rFonts w:cs="Arial"/>
                <w:b/>
                <w:bCs/>
                <w:i/>
                <w:iCs/>
                <w:color w:val="000066"/>
                <w:sz w:val="22"/>
                <w:szCs w:val="22"/>
                <w:lang w:val="en-US" w:eastAsia="it-IT"/>
              </w:rPr>
              <w:t xml:space="preserve">VOL. </w:t>
            </w:r>
            <w:r w:rsidR="007931FA" w:rsidRPr="008E2B63">
              <w:rPr>
                <w:rFonts w:cs="Arial"/>
                <w:b/>
                <w:bCs/>
                <w:i/>
                <w:iCs/>
                <w:color w:val="000066"/>
                <w:sz w:val="22"/>
                <w:szCs w:val="22"/>
                <w:lang w:val="en-US" w:eastAsia="it-IT"/>
              </w:rPr>
              <w:t>7</w:t>
            </w:r>
            <w:r w:rsidR="008F3773" w:rsidRPr="008F3773">
              <w:rPr>
                <w:rFonts w:cs="Arial"/>
                <w:b/>
                <w:bCs/>
                <w:i/>
                <w:iCs/>
                <w:color w:val="000066"/>
                <w:sz w:val="22"/>
                <w:szCs w:val="22"/>
                <w:lang w:val="en-US" w:eastAsia="it-IT"/>
              </w:rPr>
              <w:t>6</w:t>
            </w:r>
            <w:r w:rsidR="00FA5F5F" w:rsidRPr="008E2B63">
              <w:rPr>
                <w:rFonts w:cs="Arial"/>
                <w:b/>
                <w:bCs/>
                <w:i/>
                <w:iCs/>
                <w:color w:val="000066"/>
                <w:sz w:val="22"/>
                <w:szCs w:val="22"/>
                <w:lang w:val="en-US" w:eastAsia="it-IT"/>
              </w:rPr>
              <w:t>, 201</w:t>
            </w:r>
            <w:r w:rsidR="007931FA" w:rsidRPr="008E2B63">
              <w:rPr>
                <w:rFonts w:cs="Arial"/>
                <w:b/>
                <w:bCs/>
                <w:i/>
                <w:iCs/>
                <w:color w:val="000066"/>
                <w:sz w:val="22"/>
                <w:szCs w:val="22"/>
                <w:lang w:val="en-US" w:eastAsia="it-IT"/>
              </w:rPr>
              <w:t>9</w:t>
            </w:r>
          </w:p>
        </w:tc>
        <w:tc>
          <w:tcPr>
            <w:tcW w:w="1843" w:type="dxa"/>
            <w:tcBorders>
              <w:left w:val="single" w:sz="4" w:space="0" w:color="auto"/>
              <w:bottom w:val="nil"/>
              <w:right w:val="single" w:sz="4" w:space="0" w:color="auto"/>
            </w:tcBorders>
          </w:tcPr>
          <w:p w:rsidR="000A03B2" w:rsidRPr="008E2B63" w:rsidRDefault="000A03B2" w:rsidP="00CD5FE2">
            <w:pPr>
              <w:spacing w:line="140" w:lineRule="atLeast"/>
              <w:jc w:val="right"/>
              <w:rPr>
                <w:rFonts w:cs="Arial"/>
                <w:sz w:val="14"/>
                <w:szCs w:val="14"/>
                <w:lang w:val="en-US"/>
              </w:rPr>
            </w:pPr>
            <w:r w:rsidRPr="008E2B63">
              <w:rPr>
                <w:rFonts w:cs="Arial"/>
                <w:sz w:val="14"/>
                <w:szCs w:val="14"/>
                <w:lang w:val="en-US"/>
              </w:rPr>
              <w:t>A publication of</w:t>
            </w:r>
          </w:p>
          <w:p w:rsidR="000A03B2" w:rsidRPr="008E2B63" w:rsidRDefault="000A03B2" w:rsidP="00CD5FE2">
            <w:pPr>
              <w:jc w:val="right"/>
              <w:rPr>
                <w:lang w:val="en-US"/>
              </w:rPr>
            </w:pPr>
            <w:r w:rsidRPr="008E2B63">
              <w:rPr>
                <w:noProof/>
                <w:lang w:val="es-MX" w:eastAsia="es-MX"/>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E2B63">
        <w:trPr>
          <w:trHeight w:val="567"/>
          <w:jc w:val="center"/>
        </w:trPr>
        <w:tc>
          <w:tcPr>
            <w:tcW w:w="6946" w:type="dxa"/>
            <w:vMerge/>
            <w:tcBorders>
              <w:right w:val="single" w:sz="4" w:space="0" w:color="auto"/>
            </w:tcBorders>
          </w:tcPr>
          <w:p w:rsidR="000A03B2" w:rsidRPr="008E2B63" w:rsidRDefault="000A03B2" w:rsidP="00CD5FE2">
            <w:pPr>
              <w:tabs>
                <w:tab w:val="left" w:pos="-108"/>
              </w:tabs>
              <w:rPr>
                <w:lang w:val="en-US"/>
              </w:rPr>
            </w:pPr>
          </w:p>
        </w:tc>
        <w:tc>
          <w:tcPr>
            <w:tcW w:w="1843" w:type="dxa"/>
            <w:tcBorders>
              <w:left w:val="single" w:sz="4" w:space="0" w:color="auto"/>
              <w:bottom w:val="nil"/>
              <w:right w:val="single" w:sz="4" w:space="0" w:color="auto"/>
            </w:tcBorders>
          </w:tcPr>
          <w:p w:rsidR="000A03B2" w:rsidRPr="008E2B63" w:rsidRDefault="000A03B2" w:rsidP="00CD5FE2">
            <w:pPr>
              <w:spacing w:line="140" w:lineRule="atLeast"/>
              <w:jc w:val="right"/>
              <w:rPr>
                <w:rFonts w:cs="Arial"/>
                <w:sz w:val="14"/>
                <w:szCs w:val="14"/>
                <w:lang w:val="en-US"/>
              </w:rPr>
            </w:pPr>
            <w:r w:rsidRPr="008E2B63">
              <w:rPr>
                <w:rFonts w:cs="Arial"/>
                <w:sz w:val="14"/>
                <w:szCs w:val="14"/>
                <w:lang w:val="en-US"/>
              </w:rPr>
              <w:t>The Italian Association</w:t>
            </w:r>
          </w:p>
          <w:p w:rsidR="000A03B2" w:rsidRPr="008E2B63" w:rsidRDefault="000A03B2" w:rsidP="00CD5FE2">
            <w:pPr>
              <w:spacing w:line="140" w:lineRule="atLeast"/>
              <w:jc w:val="right"/>
              <w:rPr>
                <w:rFonts w:cs="Arial"/>
                <w:sz w:val="14"/>
                <w:szCs w:val="14"/>
                <w:lang w:val="en-US"/>
              </w:rPr>
            </w:pPr>
            <w:r w:rsidRPr="008E2B63">
              <w:rPr>
                <w:rFonts w:cs="Arial"/>
                <w:sz w:val="14"/>
                <w:szCs w:val="14"/>
                <w:lang w:val="en-US"/>
              </w:rPr>
              <w:t>of Chemical Engineering</w:t>
            </w:r>
          </w:p>
          <w:p w:rsidR="000A03B2" w:rsidRPr="008E2B63" w:rsidRDefault="000A03B2" w:rsidP="00CD5FE2">
            <w:pPr>
              <w:spacing w:line="140" w:lineRule="atLeast"/>
              <w:jc w:val="right"/>
              <w:rPr>
                <w:rFonts w:cs="Arial"/>
                <w:sz w:val="14"/>
                <w:szCs w:val="14"/>
                <w:lang w:val="en-US"/>
              </w:rPr>
            </w:pPr>
            <w:r w:rsidRPr="008E2B63">
              <w:rPr>
                <w:rFonts w:cs="Arial"/>
                <w:sz w:val="14"/>
                <w:szCs w:val="14"/>
                <w:lang w:val="en-US"/>
              </w:rPr>
              <w:t xml:space="preserve">Online at </w:t>
            </w:r>
            <w:hyperlink r:id="rId10" w:history="1">
              <w:r w:rsidR="006667E4" w:rsidRPr="003039FA">
                <w:rPr>
                  <w:rStyle w:val="Hipervnculo"/>
                  <w:rFonts w:cs="Arial"/>
                  <w:sz w:val="14"/>
                  <w:szCs w:val="14"/>
                  <w:lang w:val="en-US"/>
                </w:rPr>
                <w:t>www.aidic.it/cet</w:t>
              </w:r>
            </w:hyperlink>
          </w:p>
        </w:tc>
      </w:tr>
      <w:tr w:rsidR="000A03B2" w:rsidRPr="008E2B63">
        <w:trPr>
          <w:trHeight w:val="68"/>
          <w:jc w:val="center"/>
        </w:trPr>
        <w:tc>
          <w:tcPr>
            <w:tcW w:w="8789" w:type="dxa"/>
            <w:gridSpan w:val="2"/>
          </w:tcPr>
          <w:p w:rsidR="00300E56" w:rsidRPr="008E2B63" w:rsidRDefault="00300E56" w:rsidP="003365E3">
            <w:pPr>
              <w:ind w:left="-107"/>
              <w:rPr>
                <w:lang w:val="en-US"/>
              </w:rPr>
            </w:pPr>
            <w:r w:rsidRPr="008E2B63">
              <w:rPr>
                <w:rFonts w:ascii="Tahoma" w:hAnsi="Tahoma" w:cs="Tahoma"/>
                <w:iCs/>
                <w:color w:val="333333"/>
                <w:sz w:val="14"/>
                <w:szCs w:val="14"/>
                <w:lang w:val="en-US" w:eastAsia="it-IT"/>
              </w:rPr>
              <w:t>Guest Editors:</w:t>
            </w:r>
            <w:r w:rsidR="00904C62" w:rsidRPr="008E2B63">
              <w:rPr>
                <w:rFonts w:ascii="Tahoma" w:hAnsi="Tahoma" w:cs="Tahoma"/>
                <w:iCs/>
                <w:color w:val="333333"/>
                <w:sz w:val="14"/>
                <w:szCs w:val="14"/>
                <w:lang w:val="en-US" w:eastAsia="it-IT"/>
              </w:rPr>
              <w:t xml:space="preserve"> </w:t>
            </w:r>
            <w:r w:rsidR="008531D2" w:rsidRPr="008E2B63">
              <w:rPr>
                <w:rFonts w:ascii="Tahoma" w:hAnsi="Tahoma" w:cs="Tahoma"/>
                <w:color w:val="0D0D0D" w:themeColor="text1" w:themeTint="F2"/>
                <w:sz w:val="14"/>
                <w:szCs w:val="14"/>
                <w:lang w:val="en-US"/>
              </w:rPr>
              <w:t xml:space="preserve">Andrea D’Anna, </w:t>
            </w:r>
            <w:r w:rsidR="008531D2" w:rsidRPr="008E2B63">
              <w:rPr>
                <w:rFonts w:ascii="Tahoma" w:hAnsi="Tahoma" w:cs="Tahoma"/>
                <w:bCs/>
                <w:color w:val="0D0D0D" w:themeColor="text1" w:themeTint="F2"/>
                <w:sz w:val="14"/>
                <w:szCs w:val="14"/>
                <w:lang w:val="en-US"/>
              </w:rPr>
              <w:t>Paolo Ciambelli, Carmelo Sunseri</w:t>
            </w:r>
          </w:p>
          <w:p w:rsidR="000A03B2" w:rsidRPr="008E2B63" w:rsidRDefault="00FA5F5F" w:rsidP="00131FAB">
            <w:pPr>
              <w:tabs>
                <w:tab w:val="left" w:pos="-108"/>
              </w:tabs>
              <w:spacing w:line="140" w:lineRule="atLeast"/>
              <w:ind w:left="-107"/>
              <w:jc w:val="left"/>
              <w:rPr>
                <w:lang w:val="en-US"/>
              </w:rPr>
            </w:pPr>
            <w:r w:rsidRPr="008E2B63">
              <w:rPr>
                <w:rFonts w:ascii="Tahoma" w:hAnsi="Tahoma" w:cs="Tahoma"/>
                <w:iCs/>
                <w:color w:val="333333"/>
                <w:sz w:val="14"/>
                <w:szCs w:val="14"/>
                <w:lang w:val="en-US" w:eastAsia="it-IT"/>
              </w:rPr>
              <w:t>Copyright © 201</w:t>
            </w:r>
            <w:r w:rsidR="007931FA" w:rsidRPr="008E2B63">
              <w:rPr>
                <w:rFonts w:ascii="Tahoma" w:hAnsi="Tahoma" w:cs="Tahoma"/>
                <w:iCs/>
                <w:color w:val="333333"/>
                <w:sz w:val="14"/>
                <w:szCs w:val="14"/>
                <w:lang w:val="en-US" w:eastAsia="it-IT"/>
              </w:rPr>
              <w:t>9</w:t>
            </w:r>
            <w:r w:rsidR="00904C62" w:rsidRPr="008E2B63">
              <w:rPr>
                <w:rFonts w:ascii="Tahoma" w:hAnsi="Tahoma" w:cs="Tahoma"/>
                <w:iCs/>
                <w:color w:val="333333"/>
                <w:sz w:val="14"/>
                <w:szCs w:val="14"/>
                <w:lang w:val="en-US" w:eastAsia="it-IT"/>
              </w:rPr>
              <w:t>, AIDIC Servizi S.r.l.</w:t>
            </w:r>
            <w:r w:rsidR="00300E56" w:rsidRPr="008E2B63">
              <w:rPr>
                <w:rFonts w:ascii="Tahoma" w:hAnsi="Tahoma" w:cs="Tahoma"/>
                <w:iCs/>
                <w:color w:val="333333"/>
                <w:sz w:val="14"/>
                <w:szCs w:val="14"/>
                <w:lang w:val="en-US" w:eastAsia="it-IT"/>
              </w:rPr>
              <w:br/>
            </w:r>
            <w:r w:rsidR="00300E56" w:rsidRPr="008E2B63">
              <w:rPr>
                <w:rFonts w:ascii="Tahoma" w:hAnsi="Tahoma" w:cs="Tahoma"/>
                <w:b/>
                <w:iCs/>
                <w:color w:val="000000"/>
                <w:sz w:val="14"/>
                <w:szCs w:val="14"/>
                <w:lang w:val="en-US" w:eastAsia="it-IT"/>
              </w:rPr>
              <w:t>ISBN</w:t>
            </w:r>
            <w:r w:rsidR="00300E56" w:rsidRPr="008E2B63">
              <w:rPr>
                <w:rFonts w:ascii="Tahoma" w:hAnsi="Tahoma" w:cs="Tahoma"/>
                <w:iCs/>
                <w:color w:val="000000"/>
                <w:sz w:val="14"/>
                <w:szCs w:val="14"/>
                <w:lang w:val="en-US" w:eastAsia="it-IT"/>
              </w:rPr>
              <w:t xml:space="preserve"> </w:t>
            </w:r>
            <w:r w:rsidR="008D32B9" w:rsidRPr="008E2B63">
              <w:rPr>
                <w:rFonts w:ascii="Tahoma" w:hAnsi="Tahoma" w:cs="Tahoma"/>
                <w:sz w:val="14"/>
                <w:szCs w:val="14"/>
                <w:lang w:val="en-US"/>
              </w:rPr>
              <w:t>978-88-95608-</w:t>
            </w:r>
            <w:r w:rsidR="008531D2" w:rsidRPr="008E2B63">
              <w:rPr>
                <w:rFonts w:ascii="Tahoma" w:hAnsi="Tahoma" w:cs="Tahoma"/>
                <w:sz w:val="14"/>
                <w:szCs w:val="14"/>
                <w:lang w:val="en-US"/>
              </w:rPr>
              <w:t>71</w:t>
            </w:r>
            <w:r w:rsidR="008D32B9" w:rsidRPr="008E2B63">
              <w:rPr>
                <w:rFonts w:ascii="Tahoma" w:hAnsi="Tahoma" w:cs="Tahoma"/>
                <w:sz w:val="14"/>
                <w:szCs w:val="14"/>
                <w:lang w:val="en-US"/>
              </w:rPr>
              <w:t>-</w:t>
            </w:r>
            <w:r w:rsidR="008531D2" w:rsidRPr="008E2B63">
              <w:rPr>
                <w:rFonts w:ascii="Tahoma" w:hAnsi="Tahoma" w:cs="Tahoma"/>
                <w:sz w:val="14"/>
                <w:szCs w:val="14"/>
                <w:lang w:val="en-US"/>
              </w:rPr>
              <w:t>6</w:t>
            </w:r>
            <w:r w:rsidR="00300E56" w:rsidRPr="008E2B63">
              <w:rPr>
                <w:rFonts w:ascii="Tahoma" w:hAnsi="Tahoma" w:cs="Tahoma"/>
                <w:iCs/>
                <w:color w:val="333333"/>
                <w:sz w:val="14"/>
                <w:szCs w:val="14"/>
                <w:lang w:val="en-US" w:eastAsia="it-IT"/>
              </w:rPr>
              <w:t xml:space="preserve">; </w:t>
            </w:r>
            <w:r w:rsidR="00300E56" w:rsidRPr="008E2B63">
              <w:rPr>
                <w:rFonts w:ascii="Tahoma" w:hAnsi="Tahoma" w:cs="Tahoma"/>
                <w:b/>
                <w:iCs/>
                <w:color w:val="333333"/>
                <w:sz w:val="14"/>
                <w:szCs w:val="14"/>
                <w:lang w:val="en-US" w:eastAsia="it-IT"/>
              </w:rPr>
              <w:t>ISSN</w:t>
            </w:r>
            <w:r w:rsidR="00300E56" w:rsidRPr="008E2B63">
              <w:rPr>
                <w:rFonts w:ascii="Tahoma" w:hAnsi="Tahoma" w:cs="Tahoma"/>
                <w:iCs/>
                <w:color w:val="333333"/>
                <w:sz w:val="14"/>
                <w:szCs w:val="14"/>
                <w:lang w:val="en-US" w:eastAsia="it-IT"/>
              </w:rPr>
              <w:t xml:space="preserve"> 2283-9216</w:t>
            </w:r>
          </w:p>
        </w:tc>
      </w:tr>
    </w:tbl>
    <w:p w:rsidR="000A03B2" w:rsidRPr="008E2B63" w:rsidRDefault="000A03B2" w:rsidP="000A03B2">
      <w:pPr>
        <w:pStyle w:val="CETAuthors"/>
        <w:rPr>
          <w:lang w:val="en-US"/>
        </w:rPr>
        <w:sectPr w:rsidR="000A03B2" w:rsidRPr="008E2B63">
          <w:type w:val="continuous"/>
          <w:pgSz w:w="11906" w:h="16838" w:code="9"/>
          <w:pgMar w:top="1701" w:right="1418" w:bottom="1701" w:left="1701" w:header="1701" w:footer="0" w:gutter="0"/>
          <w:cols w:space="708"/>
          <w:titlePg/>
          <w:docGrid w:linePitch="360"/>
        </w:sectPr>
      </w:pPr>
    </w:p>
    <w:p w:rsidR="00E978D0" w:rsidRPr="008E2B63" w:rsidRDefault="00480D06" w:rsidP="00E978D0">
      <w:pPr>
        <w:pStyle w:val="CETTitle"/>
        <w:rPr>
          <w:lang w:val="en-US"/>
        </w:rPr>
      </w:pPr>
      <w:r w:rsidRPr="008E2B63">
        <w:rPr>
          <w:lang w:val="en-US"/>
        </w:rPr>
        <w:t xml:space="preserve">Evaluation of zeolite-based catalyst supports </w:t>
      </w:r>
      <w:r w:rsidR="00136DDA">
        <w:rPr>
          <w:lang w:val="en-US"/>
        </w:rPr>
        <w:t>for</w:t>
      </w:r>
      <w:r w:rsidRPr="008E2B63">
        <w:rPr>
          <w:lang w:val="en-US"/>
        </w:rPr>
        <w:t xml:space="preserve"> the</w:t>
      </w:r>
      <w:r w:rsidR="00D52A1B">
        <w:rPr>
          <w:lang w:val="en-US"/>
        </w:rPr>
        <w:t xml:space="preserve"> production of bio</w:t>
      </w:r>
      <w:r w:rsidR="008F3773">
        <w:rPr>
          <w:lang w:val="en-US"/>
        </w:rPr>
        <w:t>k</w:t>
      </w:r>
      <w:r w:rsidR="00D52A1B">
        <w:rPr>
          <w:lang w:val="en-US"/>
        </w:rPr>
        <w:t>erosene by</w:t>
      </w:r>
      <w:r w:rsidRPr="008E2B63">
        <w:rPr>
          <w:lang w:val="en-US"/>
        </w:rPr>
        <w:t xml:space="preserve"> hydrotreating of oils</w:t>
      </w:r>
      <w:r w:rsidR="00D52A1B">
        <w:rPr>
          <w:lang w:val="en-US"/>
        </w:rPr>
        <w:t xml:space="preserve"> </w:t>
      </w:r>
    </w:p>
    <w:p w:rsidR="00E978D0" w:rsidRPr="007F5877" w:rsidRDefault="00B47207" w:rsidP="002A490C">
      <w:pPr>
        <w:pStyle w:val="CETAuthors"/>
        <w:rPr>
          <w:lang w:val="es-CO"/>
        </w:rPr>
      </w:pPr>
      <w:r w:rsidRPr="007F5877">
        <w:rPr>
          <w:lang w:val="es-CO"/>
        </w:rPr>
        <w:t xml:space="preserve">Manuel </w:t>
      </w:r>
      <w:r w:rsidR="00030E71">
        <w:rPr>
          <w:lang w:val="es-CO"/>
        </w:rPr>
        <w:t>A.</w:t>
      </w:r>
      <w:r w:rsidR="00DE1BFB">
        <w:rPr>
          <w:lang w:val="es-CO"/>
        </w:rPr>
        <w:t xml:space="preserve"> </w:t>
      </w:r>
      <w:r w:rsidR="00030E71">
        <w:rPr>
          <w:lang w:val="es-CO"/>
        </w:rPr>
        <w:t>Mayorga</w:t>
      </w:r>
      <w:r w:rsidRPr="007F5877">
        <w:rPr>
          <w:lang w:val="es-CO"/>
        </w:rPr>
        <w:t xml:space="preserve">* </w:t>
      </w:r>
      <w:r w:rsidRPr="007F5877">
        <w:rPr>
          <w:vertAlign w:val="superscript"/>
          <w:lang w:val="es-CO"/>
        </w:rPr>
        <w:t>a b</w:t>
      </w:r>
      <w:r w:rsidRPr="007F5877">
        <w:rPr>
          <w:lang w:val="es-CO"/>
        </w:rPr>
        <w:t xml:space="preserve">, Juan </w:t>
      </w:r>
      <w:r w:rsidR="00676E99">
        <w:rPr>
          <w:lang w:val="es-CO"/>
        </w:rPr>
        <w:t xml:space="preserve">G. </w:t>
      </w:r>
      <w:bookmarkStart w:id="0" w:name="_GoBack"/>
      <w:bookmarkEnd w:id="0"/>
      <w:r w:rsidRPr="007F5877">
        <w:rPr>
          <w:lang w:val="es-CO"/>
        </w:rPr>
        <w:t>Cadavid</w:t>
      </w:r>
      <w:r w:rsidR="00262C0E" w:rsidRPr="007F5877">
        <w:rPr>
          <w:vertAlign w:val="superscript"/>
          <w:lang w:val="es-CO"/>
        </w:rPr>
        <w:t>a</w:t>
      </w:r>
      <w:r w:rsidRPr="007F5877">
        <w:rPr>
          <w:lang w:val="es-CO"/>
        </w:rPr>
        <w:t>, José Martínez</w:t>
      </w:r>
      <w:r w:rsidR="00262C0E" w:rsidRPr="007F5877">
        <w:rPr>
          <w:vertAlign w:val="superscript"/>
          <w:lang w:val="es-CO"/>
        </w:rPr>
        <w:t>a</w:t>
      </w:r>
      <w:r w:rsidRPr="007F5877">
        <w:rPr>
          <w:lang w:val="es-CO"/>
        </w:rPr>
        <w:t>, Luis</w:t>
      </w:r>
      <w:r w:rsidR="00676E99">
        <w:rPr>
          <w:lang w:val="es-CO"/>
        </w:rPr>
        <w:t xml:space="preserve"> I.</w:t>
      </w:r>
      <w:r w:rsidRPr="007F5877">
        <w:rPr>
          <w:lang w:val="es-CO"/>
        </w:rPr>
        <w:t xml:space="preserve"> Rodríguez</w:t>
      </w:r>
      <w:r w:rsidR="00676E99">
        <w:rPr>
          <w:lang w:val="es-CO"/>
        </w:rPr>
        <w:t>-Varela</w:t>
      </w:r>
      <w:r w:rsidR="00262C0E" w:rsidRPr="007F5877">
        <w:rPr>
          <w:vertAlign w:val="superscript"/>
          <w:lang w:val="es-CO"/>
        </w:rPr>
        <w:t>a</w:t>
      </w:r>
      <w:r w:rsidRPr="007F5877">
        <w:rPr>
          <w:lang w:val="es-CO"/>
        </w:rPr>
        <w:t xml:space="preserve">, </w:t>
      </w:r>
      <w:r w:rsidR="00E02C06">
        <w:rPr>
          <w:lang w:val="es-CO"/>
        </w:rPr>
        <w:t>C</w:t>
      </w:r>
      <w:r w:rsidR="00DE1BFB">
        <w:rPr>
          <w:lang w:val="es-CO"/>
        </w:rPr>
        <w:t>. A.</w:t>
      </w:r>
      <w:r w:rsidR="00E02C06">
        <w:rPr>
          <w:lang w:val="es-CO"/>
        </w:rPr>
        <w:t xml:space="preserve"> Trujillo</w:t>
      </w:r>
      <w:r w:rsidR="00E02C06" w:rsidRPr="00E02C06">
        <w:rPr>
          <w:vertAlign w:val="superscript"/>
          <w:lang w:val="es-CO"/>
        </w:rPr>
        <w:t>a</w:t>
      </w:r>
      <w:r w:rsidR="00E02C06">
        <w:rPr>
          <w:lang w:val="es-CO"/>
        </w:rPr>
        <w:t xml:space="preserve">, </w:t>
      </w:r>
      <w:r w:rsidRPr="007F5877">
        <w:rPr>
          <w:lang w:val="es-CO"/>
        </w:rPr>
        <w:t>Mauricio López</w:t>
      </w:r>
      <w:r w:rsidRPr="007F5877">
        <w:rPr>
          <w:vertAlign w:val="superscript"/>
          <w:lang w:val="es-CO"/>
        </w:rPr>
        <w:t>c</w:t>
      </w:r>
      <w:r w:rsidRPr="007F5877">
        <w:rPr>
          <w:lang w:val="es-CO"/>
        </w:rPr>
        <w:t xml:space="preserve">, </w:t>
      </w:r>
      <w:r w:rsidR="00E02C06">
        <w:rPr>
          <w:lang w:val="es-CO"/>
        </w:rPr>
        <w:t>Javier Bonilla</w:t>
      </w:r>
      <w:r w:rsidR="00E02C06" w:rsidRPr="00E02C06">
        <w:rPr>
          <w:vertAlign w:val="superscript"/>
          <w:lang w:val="es-CO"/>
        </w:rPr>
        <w:t>b</w:t>
      </w:r>
      <w:r w:rsidR="00E02C06">
        <w:rPr>
          <w:lang w:val="es-CO"/>
        </w:rPr>
        <w:t xml:space="preserve">, </w:t>
      </w:r>
      <w:r w:rsidR="00204CBD">
        <w:rPr>
          <w:lang w:val="es-CO"/>
        </w:rPr>
        <w:t>Camilo</w:t>
      </w:r>
      <w:r w:rsidR="004D526F" w:rsidRPr="007F5877">
        <w:rPr>
          <w:lang w:val="es-CO"/>
        </w:rPr>
        <w:t xml:space="preserve"> </w:t>
      </w:r>
      <w:r w:rsidRPr="007F5877">
        <w:rPr>
          <w:lang w:val="es-CO"/>
        </w:rPr>
        <w:t>López</w:t>
      </w:r>
      <w:r w:rsidRPr="007F5877">
        <w:rPr>
          <w:vertAlign w:val="superscript"/>
          <w:lang w:val="es-CO"/>
        </w:rPr>
        <w:t>b</w:t>
      </w:r>
    </w:p>
    <w:p w:rsidR="00B47207" w:rsidRPr="008E2B63" w:rsidRDefault="00B47207" w:rsidP="00B47207">
      <w:pPr>
        <w:pStyle w:val="CETAddress"/>
        <w:rPr>
          <w:lang w:val="en-US"/>
        </w:rPr>
      </w:pPr>
      <w:r w:rsidRPr="008E2B63">
        <w:rPr>
          <w:vertAlign w:val="superscript"/>
          <w:lang w:val="en-US"/>
        </w:rPr>
        <w:t>a</w:t>
      </w:r>
      <w:r w:rsidRPr="008E2B63">
        <w:rPr>
          <w:lang w:val="en-US"/>
        </w:rPr>
        <w:t>Chemical Engineering Department, Universidad Nacional, Bogotá, Colombia</w:t>
      </w:r>
    </w:p>
    <w:p w:rsidR="00B47207" w:rsidRPr="008E2B63" w:rsidRDefault="00B47207" w:rsidP="00B47207">
      <w:pPr>
        <w:pStyle w:val="CETAddress"/>
        <w:rPr>
          <w:lang w:val="en-US"/>
        </w:rPr>
      </w:pPr>
      <w:r w:rsidRPr="008E2B63">
        <w:rPr>
          <w:vertAlign w:val="superscript"/>
          <w:lang w:val="en-US"/>
        </w:rPr>
        <w:t>b</w:t>
      </w:r>
      <w:r w:rsidRPr="008E2B63">
        <w:rPr>
          <w:lang w:val="en-US"/>
        </w:rPr>
        <w:t>Chemical Engineering Department, Universidad ECCI, Bogotá, Colombia</w:t>
      </w:r>
    </w:p>
    <w:p w:rsidR="00B47207" w:rsidRPr="008E2B63" w:rsidRDefault="00B47207" w:rsidP="00B47207">
      <w:pPr>
        <w:pStyle w:val="CETAddress"/>
        <w:rPr>
          <w:lang w:val="en-US"/>
        </w:rPr>
      </w:pPr>
      <w:r w:rsidRPr="008E2B63">
        <w:rPr>
          <w:vertAlign w:val="superscript"/>
          <w:lang w:val="en-US"/>
        </w:rPr>
        <w:t>c</w:t>
      </w:r>
      <w:r w:rsidRPr="008E2B63">
        <w:rPr>
          <w:lang w:val="en-US"/>
        </w:rPr>
        <w:t>NCO School of the Colombian Air Force, Madrid, Colombia</w:t>
      </w:r>
    </w:p>
    <w:p w:rsidR="00E978D0" w:rsidRPr="008E2B63" w:rsidRDefault="00B47207" w:rsidP="00B47207">
      <w:pPr>
        <w:pStyle w:val="CETemail"/>
        <w:rPr>
          <w:lang w:val="en-US"/>
        </w:rPr>
      </w:pPr>
      <w:r w:rsidRPr="008E2B63">
        <w:rPr>
          <w:lang w:val="en-US"/>
        </w:rPr>
        <w:t>mamayorgab@unal.edu.co</w:t>
      </w:r>
    </w:p>
    <w:p w:rsidR="00195217" w:rsidRPr="008E2B63" w:rsidRDefault="003F6641" w:rsidP="00600535">
      <w:pPr>
        <w:pStyle w:val="CETBodytext"/>
      </w:pPr>
      <w:bookmarkStart w:id="1" w:name="_Hlk495475023"/>
      <w:r w:rsidRPr="008E2B63">
        <w:t xml:space="preserve">In order to optimize the conditions for the </w:t>
      </w:r>
      <w:r w:rsidR="00C330A9" w:rsidRPr="008E2B63">
        <w:t>bio</w:t>
      </w:r>
      <w:r w:rsidR="00136DDA">
        <w:t>fuels</w:t>
      </w:r>
      <w:r w:rsidR="00C330A9" w:rsidRPr="008E2B63">
        <w:t xml:space="preserve"> </w:t>
      </w:r>
      <w:r w:rsidRPr="008E2B63">
        <w:t xml:space="preserve">production by </w:t>
      </w:r>
      <w:r w:rsidR="001253BF">
        <w:t xml:space="preserve">a </w:t>
      </w:r>
      <w:r w:rsidRPr="008E2B63">
        <w:t>hydrotreatment</w:t>
      </w:r>
      <w:r w:rsidR="001253BF">
        <w:t xml:space="preserve"> process</w:t>
      </w:r>
      <w:r w:rsidRPr="008E2B63">
        <w:t xml:space="preserve">, </w:t>
      </w:r>
      <w:r w:rsidR="00DE0CA6" w:rsidRPr="008E2B63">
        <w:t>three platinum catalysts supported on different zeolites were evaluated. The three zeolites used for the hydrotreatment of soybean oil were USY (CBV-780), H-</w:t>
      </w:r>
      <w:r w:rsidR="00DE0CA6" w:rsidRPr="008E2B63">
        <w:rPr>
          <w:rFonts w:ascii="Symbol" w:hAnsi="Symbol"/>
        </w:rPr>
        <w:t></w:t>
      </w:r>
      <w:r w:rsidR="00DE0CA6" w:rsidRPr="008E2B63">
        <w:t xml:space="preserve"> and ZSM-5, impregnated with a </w:t>
      </w:r>
      <w:r w:rsidR="004D526F" w:rsidRPr="008E2B63">
        <w:t xml:space="preserve">1 % </w:t>
      </w:r>
      <w:r w:rsidR="00DE0CA6" w:rsidRPr="008E2B63">
        <w:t xml:space="preserve">platinum salt solution. The </w:t>
      </w:r>
      <w:r w:rsidR="00885AA7" w:rsidRPr="008E2B63">
        <w:t xml:space="preserve">functional groups of the </w:t>
      </w:r>
      <w:r w:rsidR="00DE0CA6" w:rsidRPr="008E2B63">
        <w:t xml:space="preserve">catalysts </w:t>
      </w:r>
      <w:r w:rsidR="00885AA7" w:rsidRPr="008E2B63">
        <w:t>were</w:t>
      </w:r>
      <w:r w:rsidR="00DE0CA6" w:rsidRPr="008E2B63">
        <w:t xml:space="preserve"> </w:t>
      </w:r>
      <w:r w:rsidR="00885AA7" w:rsidRPr="008E2B63">
        <w:t>analyzed by</w:t>
      </w:r>
      <w:r w:rsidR="00DE0CA6" w:rsidRPr="008E2B63">
        <w:t xml:space="preserve"> infrared transmission spectroscopy,</w:t>
      </w:r>
      <w:r w:rsidR="00885AA7" w:rsidRPr="008E2B63">
        <w:t xml:space="preserve"> the condition of the pores by</w:t>
      </w:r>
      <w:r w:rsidR="00DE0CA6" w:rsidRPr="008E2B63">
        <w:t xml:space="preserve"> scanning electron microscopy </w:t>
      </w:r>
      <w:r w:rsidR="00885AA7" w:rsidRPr="008E2B63">
        <w:t>and</w:t>
      </w:r>
      <w:r w:rsidR="004D526F" w:rsidRPr="008E2B63">
        <w:t>,</w:t>
      </w:r>
      <w:r w:rsidR="00885AA7" w:rsidRPr="008E2B63">
        <w:t xml:space="preserve"> it </w:t>
      </w:r>
      <w:r w:rsidR="004D526F" w:rsidRPr="008E2B63">
        <w:t>was</w:t>
      </w:r>
      <w:r w:rsidR="00885AA7" w:rsidRPr="008E2B63">
        <w:t xml:space="preserve"> employed X-ray </w:t>
      </w:r>
      <w:r w:rsidR="00DE0CA6" w:rsidRPr="008E2B63">
        <w:t>diffraction</w:t>
      </w:r>
      <w:r w:rsidR="00885AA7" w:rsidRPr="008E2B63">
        <w:t xml:space="preserve"> to determine the crystal structure</w:t>
      </w:r>
      <w:r w:rsidR="00DE0CA6" w:rsidRPr="008E2B63">
        <w:t xml:space="preserve">. Subsequently, these catalysts were </w:t>
      </w:r>
      <w:r w:rsidR="00081778">
        <w:t>employ</w:t>
      </w:r>
      <w:r w:rsidR="00DE0CA6" w:rsidRPr="008E2B63">
        <w:t xml:space="preserve">ed </w:t>
      </w:r>
      <w:r w:rsidR="00885AA7" w:rsidRPr="008E2B63">
        <w:t>to</w:t>
      </w:r>
      <w:r w:rsidR="00DE0CA6" w:rsidRPr="008E2B63">
        <w:t xml:space="preserve"> hydro</w:t>
      </w:r>
      <w:r w:rsidR="00885AA7" w:rsidRPr="008E2B63">
        <w:t>treat some soybean oil samples</w:t>
      </w:r>
      <w:r w:rsidR="00DE0CA6" w:rsidRPr="008E2B63">
        <w:t xml:space="preserve"> of 80 m</w:t>
      </w:r>
      <w:r w:rsidR="00885AA7" w:rsidRPr="008E2B63">
        <w:t>L,</w:t>
      </w:r>
      <w:r w:rsidR="00DE0CA6" w:rsidRPr="008E2B63">
        <w:t xml:space="preserve"> in a 300 m</w:t>
      </w:r>
      <w:r w:rsidR="00885AA7" w:rsidRPr="008E2B63">
        <w:t>L</w:t>
      </w:r>
      <w:r w:rsidR="00DE0CA6" w:rsidRPr="008E2B63">
        <w:t xml:space="preserve"> reactor, operating at </w:t>
      </w:r>
      <w:r w:rsidR="00C330A9" w:rsidRPr="008E2B63">
        <w:t>5</w:t>
      </w:r>
      <w:r w:rsidR="00DE0CA6" w:rsidRPr="008E2B63">
        <w:t>2</w:t>
      </w:r>
      <w:r w:rsidR="000358C5">
        <w:t>5</w:t>
      </w:r>
      <w:r w:rsidR="00DE0CA6" w:rsidRPr="008E2B63">
        <w:t xml:space="preserve"> K, 2</w:t>
      </w:r>
      <w:r w:rsidR="000358C5">
        <w:t>5</w:t>
      </w:r>
      <w:r w:rsidR="00383065">
        <w:t>00</w:t>
      </w:r>
      <w:r w:rsidR="000358C5">
        <w:t xml:space="preserve"> </w:t>
      </w:r>
      <w:r w:rsidR="00383065">
        <w:t>kPa</w:t>
      </w:r>
      <w:r w:rsidR="00DE0CA6" w:rsidRPr="008E2B63">
        <w:t>, and</w:t>
      </w:r>
      <w:r w:rsidR="00885AA7" w:rsidRPr="008E2B63">
        <w:t xml:space="preserve"> a</w:t>
      </w:r>
      <w:r w:rsidR="00DE0CA6" w:rsidRPr="008E2B63">
        <w:t xml:space="preserve"> H</w:t>
      </w:r>
      <w:r w:rsidR="00DE0CA6" w:rsidRPr="008E2B63">
        <w:rPr>
          <w:vertAlign w:val="subscript"/>
        </w:rPr>
        <w:t>2</w:t>
      </w:r>
      <w:r w:rsidR="00DE0CA6" w:rsidRPr="008E2B63">
        <w:t>/N</w:t>
      </w:r>
      <w:r w:rsidR="00DE0CA6" w:rsidRPr="008E2B63">
        <w:rPr>
          <w:vertAlign w:val="subscript"/>
        </w:rPr>
        <w:t>2</w:t>
      </w:r>
      <w:r w:rsidR="00DE0CA6" w:rsidRPr="008E2B63">
        <w:t xml:space="preserve"> </w:t>
      </w:r>
      <w:r w:rsidR="00383065">
        <w:t xml:space="preserve">molar ratio </w:t>
      </w:r>
      <w:r w:rsidR="00DE0CA6" w:rsidRPr="008E2B63">
        <w:t>of 30</w:t>
      </w:r>
      <w:r w:rsidR="004D526F" w:rsidRPr="008E2B63">
        <w:t xml:space="preserve"> </w:t>
      </w:r>
      <w:r w:rsidR="00DE0CA6" w:rsidRPr="008E2B63">
        <w:t xml:space="preserve">% for 6 h. </w:t>
      </w:r>
      <w:r w:rsidR="00383065">
        <w:t>Some</w:t>
      </w:r>
      <w:r w:rsidR="00885AA7" w:rsidRPr="008E2B63">
        <w:t xml:space="preserve"> gas chromatography analys</w:t>
      </w:r>
      <w:r w:rsidR="00383065">
        <w:t>e</w:t>
      </w:r>
      <w:r w:rsidR="00885AA7" w:rsidRPr="008E2B63">
        <w:t>s</w:t>
      </w:r>
      <w:r w:rsidR="00DE0CA6" w:rsidRPr="008E2B63">
        <w:t xml:space="preserve"> carried out </w:t>
      </w:r>
      <w:r w:rsidR="00885AA7" w:rsidRPr="008E2B63">
        <w:t>over</w:t>
      </w:r>
      <w:r w:rsidR="00DE0CA6" w:rsidRPr="008E2B63">
        <w:t xml:space="preserve"> the </w:t>
      </w:r>
      <w:r w:rsidR="00885AA7" w:rsidRPr="008E2B63">
        <w:t xml:space="preserve">synthesized </w:t>
      </w:r>
      <w:r w:rsidR="00DE0CA6" w:rsidRPr="008E2B63">
        <w:t>bio</w:t>
      </w:r>
      <w:r w:rsidR="00136DDA">
        <w:t>fuels</w:t>
      </w:r>
      <w:r w:rsidR="00DE0CA6" w:rsidRPr="008E2B63">
        <w:t xml:space="preserve"> </w:t>
      </w:r>
      <w:r w:rsidR="00885AA7" w:rsidRPr="008E2B63">
        <w:t>evidenced that</w:t>
      </w:r>
      <w:r w:rsidR="00DE0CA6" w:rsidRPr="008E2B63">
        <w:t xml:space="preserve"> Zeolite</w:t>
      </w:r>
      <w:r w:rsidR="00885AA7" w:rsidRPr="008E2B63">
        <w:t xml:space="preserve"> </w:t>
      </w:r>
      <w:r w:rsidR="00AE6E0A">
        <w:t>H-</w:t>
      </w:r>
      <w:r w:rsidR="00AE6E0A" w:rsidRPr="00AE6E0A">
        <w:rPr>
          <w:rFonts w:ascii="Symbol" w:hAnsi="Symbol"/>
        </w:rPr>
        <w:t></w:t>
      </w:r>
      <w:r w:rsidR="00DE0CA6" w:rsidRPr="008E2B63">
        <w:t xml:space="preserve"> </w:t>
      </w:r>
      <w:r w:rsidR="00885AA7" w:rsidRPr="008E2B63">
        <w:t>present</w:t>
      </w:r>
      <w:r w:rsidR="00383065">
        <w:t>s</w:t>
      </w:r>
      <w:r w:rsidR="00DE0CA6" w:rsidRPr="008E2B63">
        <w:t xml:space="preserve"> the bes</w:t>
      </w:r>
      <w:r w:rsidR="00885AA7" w:rsidRPr="008E2B63">
        <w:t>t characteristics for the</w:t>
      </w:r>
      <w:r w:rsidR="00DE0CA6" w:rsidRPr="008E2B63">
        <w:t xml:space="preserve"> production of a bio</w:t>
      </w:r>
      <w:r w:rsidR="00081778">
        <w:t>f</w:t>
      </w:r>
      <w:r w:rsidR="00DE0CA6" w:rsidRPr="008E2B63">
        <w:t xml:space="preserve">uel with </w:t>
      </w:r>
      <w:r w:rsidR="00885AA7" w:rsidRPr="008E2B63">
        <w:t xml:space="preserve">most similar properties </w:t>
      </w:r>
      <w:r w:rsidR="00DE0CA6" w:rsidRPr="008E2B63">
        <w:t>to</w:t>
      </w:r>
      <w:r w:rsidR="00885AA7" w:rsidRPr="008E2B63">
        <w:t xml:space="preserve"> </w:t>
      </w:r>
      <w:r w:rsidR="00DE0CA6" w:rsidRPr="008E2B63">
        <w:t xml:space="preserve">the </w:t>
      </w:r>
      <w:r w:rsidR="00C330A9" w:rsidRPr="008E2B63">
        <w:t>current</w:t>
      </w:r>
      <w:r w:rsidR="00796382" w:rsidRPr="008E2B63">
        <w:t>ly</w:t>
      </w:r>
      <w:r w:rsidR="00C330A9" w:rsidRPr="008E2B63">
        <w:t xml:space="preserve"> employed</w:t>
      </w:r>
      <w:r w:rsidR="00136DDA">
        <w:t xml:space="preserve"> fos</w:t>
      </w:r>
      <w:r w:rsidR="00885AA7" w:rsidRPr="008E2B63">
        <w:t>sil fuel</w:t>
      </w:r>
      <w:r w:rsidR="00136DDA">
        <w:t>s</w:t>
      </w:r>
      <w:r w:rsidR="00DE0CA6" w:rsidRPr="008E2B63">
        <w:t>.</w:t>
      </w:r>
      <w:r w:rsidR="00195217" w:rsidRPr="008E2B63">
        <w:t xml:space="preserve"> </w:t>
      </w:r>
    </w:p>
    <w:bookmarkEnd w:id="1"/>
    <w:p w:rsidR="00600535" w:rsidRPr="008E2B63" w:rsidRDefault="00600535" w:rsidP="00600535">
      <w:pPr>
        <w:pStyle w:val="CETHeading1"/>
      </w:pPr>
      <w:r w:rsidRPr="008E2B63">
        <w:t>Introduction</w:t>
      </w:r>
    </w:p>
    <w:p w:rsidR="00CA6541" w:rsidRPr="00CA6541" w:rsidRDefault="00CA6541" w:rsidP="00CA6541">
      <w:pPr>
        <w:pStyle w:val="CETBodytext"/>
      </w:pPr>
      <w:r w:rsidRPr="00CA6541">
        <w:t>As a consequence of fossil resources deployment, geopolitical issues and, with the purpose to mitigate the global greenhouse emissions produced by the transport sector (Hill, Nelson, Tilman, Polasky, &amp; Tiffany, 2006; Höök &amp; Tang, 2013; Jacobson, Maheria, &amp; Kumar Dalai, 2013), some researches have focused on the synthesis of biofuels which still has to overcome some issues as: fidelity to the physical-chemical properties with the f</w:t>
      </w:r>
      <w:r w:rsidR="00E02C06">
        <w:t>ossil fuel, abundance of the</w:t>
      </w:r>
      <w:r w:rsidRPr="00CA6541">
        <w:t xml:space="preserve"> feedstock for its production, compatibility with the currently employed technology for storage and transportation, favorable price and environmental sustainability (Makarfi Isa &amp; Ganda, 2018).</w:t>
      </w:r>
    </w:p>
    <w:p w:rsidR="00CA6541" w:rsidRPr="00CA6541" w:rsidRDefault="00CA6541" w:rsidP="00CA6541">
      <w:pPr>
        <w:pStyle w:val="CETBodytext"/>
      </w:pPr>
      <w:r w:rsidRPr="00CA6541">
        <w:t xml:space="preserve">An alternative to the transesterification processes used to achieve a fair physical-chemical fidelity with the fossil diesel is the hydrotreatment. This technology is currently </w:t>
      </w:r>
      <w:r w:rsidR="00E55404">
        <w:t>in</w:t>
      </w:r>
      <w:r w:rsidRPr="00CA6541">
        <w:t xml:space="preserve"> development and, </w:t>
      </w:r>
      <w:r w:rsidR="003F5D8B" w:rsidRPr="003F5D8B">
        <w:t>some operational variables are still being studied</w:t>
      </w:r>
      <w:r w:rsidRPr="00CA6541">
        <w:t xml:space="preserve"> </w:t>
      </w:r>
      <w:r w:rsidR="008F3773" w:rsidRPr="00CA6541">
        <w:t>(Demirbas &amp; Dincer, 2008</w:t>
      </w:r>
      <w:r w:rsidR="008F3773">
        <w:t>, Laverdura et al, 2018</w:t>
      </w:r>
      <w:r w:rsidR="008F3773" w:rsidRPr="00CA6541">
        <w:t>)</w:t>
      </w:r>
      <w:r w:rsidR="003F5D8B">
        <w:t>, such as</w:t>
      </w:r>
      <w:r w:rsidRPr="00CA6541">
        <w:t>: the type and origin of the vegetable oils, reactor type, temperature, pressure</w:t>
      </w:r>
      <w:r w:rsidR="003F5D8B">
        <w:t>,</w:t>
      </w:r>
      <w:r w:rsidRPr="00CA6541">
        <w:t xml:space="preserve"> operating time, concentration of reagents, solvents, promoters and inhibitors and, of course, the catalysts (Srifa, Faungnawakij, Itthibenchapong, &amp; Assabumrungrat, 2015).</w:t>
      </w:r>
    </w:p>
    <w:p w:rsidR="00CA6541" w:rsidRPr="00CA6541" w:rsidRDefault="00CA6541" w:rsidP="00CA6541">
      <w:pPr>
        <w:pStyle w:val="CETBodytext"/>
      </w:pPr>
      <w:r w:rsidRPr="00CA6541">
        <w:t>The hydrotreatment consists in the hydrogenation of the oils at high temperature and pressure conditions in order to deoxygenate the triglycerides</w:t>
      </w:r>
      <w:r w:rsidR="00E55404" w:rsidRPr="00E55404">
        <w:t>.</w:t>
      </w:r>
      <w:r w:rsidRPr="00CA6541">
        <w:t xml:space="preserve"> </w:t>
      </w:r>
      <w:r w:rsidR="000B6947">
        <w:t>A good analysis over the</w:t>
      </w:r>
      <w:r w:rsidRPr="00CA6541">
        <w:t xml:space="preserve"> reaction mechanism is a key factor to reduce the amount of </w:t>
      </w:r>
      <w:r w:rsidR="003F5D8B">
        <w:t xml:space="preserve">spent </w:t>
      </w:r>
      <w:r w:rsidRPr="00CA6541">
        <w:t>hydrogen and, it depends on the specific conditions of the process, including the catalyst.</w:t>
      </w:r>
    </w:p>
    <w:p w:rsidR="00CA6541" w:rsidRDefault="003F5D8B" w:rsidP="00CA6541">
      <w:pPr>
        <w:pStyle w:val="CETBodytext"/>
      </w:pPr>
      <w:r>
        <w:t>H</w:t>
      </w:r>
      <w:r w:rsidR="00CA6541" w:rsidRPr="00CA6541">
        <w:t>ydrotreating can be produced by a pathway of hydrodeoxygenation (HDO), obtaining water of the reaction, or decarboxylation/decarbonylation (deCOx), which produces carbon oxides. Figure 1 depicts the two reaction mechanisms (Donnis, Egeberg, Blom, &amp; Knudsen, 2009). Although the deCOx route is apparently more desired b</w:t>
      </w:r>
      <w:r w:rsidR="00BA5D22">
        <w:t>ecause</w:t>
      </w:r>
      <w:r w:rsidR="00CA6541" w:rsidRPr="00CA6541">
        <w:t xml:space="preserve"> </w:t>
      </w:r>
      <w:r w:rsidR="00BA5D22">
        <w:t xml:space="preserve">it </w:t>
      </w:r>
      <w:r w:rsidR="00CA6541" w:rsidRPr="00CA6541">
        <w:t>consum</w:t>
      </w:r>
      <w:r w:rsidR="00BA5D22">
        <w:t>es</w:t>
      </w:r>
      <w:r w:rsidR="00CA6541" w:rsidRPr="00CA6541">
        <w:t xml:space="preserve"> less hydrogen in the process, the carbon dioxide produced by deCOx can react with the hydrogen to </w:t>
      </w:r>
      <w:r w:rsidR="00BA5D22">
        <w:t>generate</w:t>
      </w:r>
      <w:r w:rsidR="00CA6541" w:rsidRPr="00CA6541">
        <w:t xml:space="preserve"> more monoxide and water. In addition, the monoxide can also be reduced to form</w:t>
      </w:r>
      <w:r w:rsidR="00CA6541">
        <w:t xml:space="preserve"> methane and consume </w:t>
      </w:r>
      <w:r w:rsidR="00BA5D22">
        <w:t xml:space="preserve">even </w:t>
      </w:r>
      <w:r w:rsidR="00CA6541">
        <w:t>more hydrogen than in the HDO route.</w:t>
      </w:r>
    </w:p>
    <w:p w:rsidR="001253BF" w:rsidRPr="00F90550" w:rsidRDefault="00716F14" w:rsidP="00CA6541">
      <w:pPr>
        <w:pStyle w:val="CETBodytext"/>
        <w:jc w:val="center"/>
      </w:pPr>
      <w:r>
        <w:rPr>
          <w:noProof/>
          <w:lang w:val="es-MX" w:eastAsia="es-MX"/>
        </w:rPr>
        <w:lastRenderedPageBreak/>
        <w:drawing>
          <wp:inline distT="0" distB="0" distL="0" distR="0" wp14:anchorId="093DA02D" wp14:editId="2B7294D1">
            <wp:extent cx="1170696" cy="1457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83048" cy="1472701"/>
                    </a:xfrm>
                    <a:prstGeom prst="rect">
                      <a:avLst/>
                    </a:prstGeom>
                  </pic:spPr>
                </pic:pic>
              </a:graphicData>
            </a:graphic>
          </wp:inline>
        </w:drawing>
      </w:r>
    </w:p>
    <w:p w:rsidR="001253BF" w:rsidRPr="00716F14" w:rsidRDefault="00716F14" w:rsidP="00716F14">
      <w:pPr>
        <w:pStyle w:val="CETCaption"/>
        <w:jc w:val="left"/>
        <w:rPr>
          <w:lang w:val="en-US"/>
        </w:rPr>
      </w:pPr>
      <w:r>
        <w:t>Figure 1: Pathway reaction for the hydrotreating of a glyceride</w:t>
      </w:r>
      <w:r w:rsidR="00BE537D">
        <w:t xml:space="preserve">. </w:t>
      </w:r>
      <w:r w:rsidR="00E56C58">
        <w:t>The d</w:t>
      </w:r>
      <w:r w:rsidR="00BE537D">
        <w:t xml:space="preserve">otted lines represent the </w:t>
      </w:r>
      <w:r w:rsidR="00E56C58">
        <w:t xml:space="preserve">bonds </w:t>
      </w:r>
      <w:r w:rsidR="00BE537D">
        <w:t>br</w:t>
      </w:r>
      <w:r w:rsidR="00E56C58">
        <w:t>eaking:</w:t>
      </w:r>
      <w:r>
        <w:t xml:space="preserve"> </w:t>
      </w:r>
      <w:r w:rsidRPr="00716F14">
        <w:rPr>
          <w:lang w:val="en-US"/>
        </w:rPr>
        <w:t>yellow line</w:t>
      </w:r>
      <w:r w:rsidR="00E56C58">
        <w:rPr>
          <w:lang w:val="en-US"/>
        </w:rPr>
        <w:t xml:space="preserve"> for</w:t>
      </w:r>
      <w:r w:rsidRPr="00716F14">
        <w:rPr>
          <w:lang w:val="en-US"/>
        </w:rPr>
        <w:t xml:space="preserve"> </w:t>
      </w:r>
      <w:r>
        <w:rPr>
          <w:lang w:val="en-US"/>
        </w:rPr>
        <w:t>the</w:t>
      </w:r>
      <w:r w:rsidRPr="00716F14">
        <w:rPr>
          <w:lang w:val="en-US"/>
        </w:rPr>
        <w:t xml:space="preserve"> hydrodeoxygenation</w:t>
      </w:r>
      <w:r w:rsidR="00E56C58">
        <w:rPr>
          <w:lang w:val="en-US"/>
        </w:rPr>
        <w:t xml:space="preserve"> and</w:t>
      </w:r>
      <w:r>
        <w:rPr>
          <w:lang w:val="en-US"/>
        </w:rPr>
        <w:t xml:space="preserve"> red line</w:t>
      </w:r>
      <w:r w:rsidR="00E56C58">
        <w:rPr>
          <w:lang w:val="en-US"/>
        </w:rPr>
        <w:t xml:space="preserve"> for</w:t>
      </w:r>
      <w:r>
        <w:rPr>
          <w:lang w:val="en-US"/>
        </w:rPr>
        <w:t xml:space="preserve"> the decarboxylation/decarbonization.</w:t>
      </w:r>
    </w:p>
    <w:p w:rsidR="00CA6541" w:rsidRDefault="00CA6541" w:rsidP="00CA6541">
      <w:pPr>
        <w:pStyle w:val="CETBodytext"/>
      </w:pPr>
      <w:r>
        <w:t xml:space="preserve">For the active agent of the catalyst, metals are usually used in their reduced state, some metallic salts of carbon and phosphorus, or some bimetallic sulfur salts (Srifa et al., 2015). Santillan-Jimenez (2012) presents the list of metals in the activity order for </w:t>
      </w:r>
      <w:r w:rsidR="00BA5D22">
        <w:t xml:space="preserve">a </w:t>
      </w:r>
      <w:r>
        <w:t>deoxygenation</w:t>
      </w:r>
      <w:r w:rsidR="00BA5D22">
        <w:t xml:space="preserve"> process, </w:t>
      </w:r>
      <w:r>
        <w:t>normalizing the results</w:t>
      </w:r>
      <w:r w:rsidR="00BA5D22">
        <w:t>,</w:t>
      </w:r>
      <w:r>
        <w:t xml:space="preserve"> in order not to consider the catalyst concentration or type of support: Pd &gt; Pt &gt; Ni &gt; Rh &gt; G</w:t>
      </w:r>
      <w:r w:rsidR="00E02C06">
        <w:t>a</w:t>
      </w:r>
      <w:r>
        <w:t xml:space="preserve"> &gt; Ru &gt; Os.</w:t>
      </w:r>
    </w:p>
    <w:p w:rsidR="00CA6541" w:rsidRDefault="00CA6541" w:rsidP="00CA6541">
      <w:pPr>
        <w:pStyle w:val="CETBodytext"/>
      </w:pPr>
      <w:r>
        <w:t xml:space="preserve">In the past, the most popular materials for hydrotreating (in the processes of desulfurization, denitrification and deoxygenation of </w:t>
      </w:r>
      <w:r w:rsidR="00E02C06">
        <w:t xml:space="preserve">crude oil) were those based on </w:t>
      </w:r>
      <w:r w:rsidR="00E02C06">
        <w:sym w:font="Symbol" w:char="F067"/>
      </w:r>
      <w:r w:rsidR="00E02C06">
        <w:t>-alumina</w:t>
      </w:r>
      <w:r>
        <w:t xml:space="preserve">. However, these present an inconvenient because they form very strong bonds with the metal oxides, overcoming some disadvantages in the catalyst activation process (Jacobson et al., 2013). </w:t>
      </w:r>
      <w:r w:rsidR="002C1392">
        <w:t>Thus, some research raised</w:t>
      </w:r>
      <w:r>
        <w:t xml:space="preserve"> </w:t>
      </w:r>
      <w:r w:rsidR="002C1392">
        <w:t>focused on</w:t>
      </w:r>
      <w:r>
        <w:t xml:space="preserve"> </w:t>
      </w:r>
      <w:r w:rsidR="002C1392">
        <w:t>the study of</w:t>
      </w:r>
      <w:r>
        <w:t xml:space="preserve"> porous materials that offer great surface area, variety in shape and size of pores, mechanical and thermal stability and, resistance to carbon and nitrogen poisoning. Among the most studied materials with these properties are some aluminosilicates called zeolites.</w:t>
      </w:r>
    </w:p>
    <w:p w:rsidR="002C1392" w:rsidRDefault="002C1392" w:rsidP="00CA6541">
      <w:pPr>
        <w:pStyle w:val="CETBodytext"/>
      </w:pPr>
      <w:r>
        <w:t>The</w:t>
      </w:r>
      <w:r w:rsidR="00CA6541">
        <w:t xml:space="preserve"> zeolites are popular supports because their synthesis process allows tailoring a wide range of sizes and shapes pores, as well as enabling the control of the concentration of acid functional groups onto their surface, by regulating the relationship between Al-Si (Weitkamp, 2000).</w:t>
      </w:r>
      <w:r>
        <w:t xml:space="preserve"> </w:t>
      </w:r>
    </w:p>
    <w:p w:rsidR="00CA6541" w:rsidRDefault="002C1392" w:rsidP="00CA6541">
      <w:pPr>
        <w:pStyle w:val="CETBodytext"/>
      </w:pPr>
      <w:r>
        <w:t>Regarding the oils hydrotreatment process, t</w:t>
      </w:r>
      <w:r w:rsidR="00CA6541">
        <w:t>he zeolites performance has already been studied</w:t>
      </w:r>
      <w:r>
        <w:t>,</w:t>
      </w:r>
      <w:r w:rsidR="00CA6541">
        <w:t xml:space="preserve"> </w:t>
      </w:r>
      <w:r>
        <w:t>e</w:t>
      </w:r>
      <w:r w:rsidR="00CA6541">
        <w:t xml:space="preserve">specially in the processes of fossil oils desulfurization. Even more, there are already some industrial processes such as UOP/Eni (Kalnes, Marker, &amp; Shonnard, 2007). Most recommended supports for this process are those with a small pore size (around 0.4 nm), which allow </w:t>
      </w:r>
      <w:r>
        <w:t>a fast</w:t>
      </w:r>
      <w:r w:rsidR="00CA6541">
        <w:t xml:space="preserve"> hydrogenolysis. Likewise, it has been shown that the hydrogenation process is more affected by a high density of Brönsted active sites, than by the acid strength of the active sites (Huang, Long, Agrawal, &amp; Jones, 2009). Inside the group of zeolites </w:t>
      </w:r>
      <w:r w:rsidR="00AB6938">
        <w:t>which</w:t>
      </w:r>
      <w:r w:rsidR="00CA6541">
        <w:t xml:space="preserve"> afford these characteristics, ar</w:t>
      </w:r>
      <w:r w:rsidR="00D831C2">
        <w:t>e the ZSM-5, the USY and the H-</w:t>
      </w:r>
      <w:r w:rsidR="00D831C2">
        <w:sym w:font="Symbol" w:char="F062"/>
      </w:r>
      <w:r w:rsidR="00CA6541">
        <w:t xml:space="preserve">. Where the ZSM-5 is the most popular studied zeolite for hydrotreatment, and the others are zeolites with greater surfaces areas but less Al:Si </w:t>
      </w:r>
      <w:r w:rsidR="00AB6938">
        <w:t xml:space="preserve">molar </w:t>
      </w:r>
      <w:r w:rsidR="00CA6541">
        <w:t>ratio.</w:t>
      </w:r>
    </w:p>
    <w:p w:rsidR="00B75B1D" w:rsidRPr="00037D9D" w:rsidRDefault="00CA6541" w:rsidP="00CA6541">
      <w:pPr>
        <w:pStyle w:val="CETBodytext"/>
      </w:pPr>
      <w:r>
        <w:t>Consequently, this research aims to study three zeolite type supports, characterizing its BET area, surface functional groups, acidity and, the size and morphology of their pores. Th</w:t>
      </w:r>
      <w:r w:rsidR="00AB6938">
        <w:t>en</w:t>
      </w:r>
      <w:r>
        <w:t>, these characteristics</w:t>
      </w:r>
      <w:r w:rsidR="00AB6938">
        <w:t xml:space="preserve"> have been regarded</w:t>
      </w:r>
      <w:r>
        <w:t xml:space="preserve"> as input parameters</w:t>
      </w:r>
      <w:r w:rsidR="00AB6938">
        <w:t xml:space="preserve"> in order to analyze their</w:t>
      </w:r>
      <w:r>
        <w:t xml:space="preserve"> influence in a deCOx process for a soybean oil.</w:t>
      </w:r>
      <w:r w:rsidR="00392530">
        <w:t xml:space="preserve"> </w:t>
      </w:r>
    </w:p>
    <w:p w:rsidR="00600535" w:rsidRPr="008E2B63" w:rsidRDefault="004331A8" w:rsidP="007C6E97">
      <w:pPr>
        <w:pStyle w:val="CETHeading1"/>
        <w:tabs>
          <w:tab w:val="clear" w:pos="360"/>
          <w:tab w:val="right" w:pos="7100"/>
        </w:tabs>
        <w:jc w:val="both"/>
      </w:pPr>
      <w:r w:rsidRPr="008E2B63">
        <w:t>Materials</w:t>
      </w:r>
    </w:p>
    <w:p w:rsidR="00600535" w:rsidRDefault="005D24FE" w:rsidP="00600535">
      <w:pPr>
        <w:pStyle w:val="CETBodytext"/>
      </w:pPr>
      <w:r>
        <w:t>T</w:t>
      </w:r>
      <w:r w:rsidR="00852C50">
        <w:t xml:space="preserve">he </w:t>
      </w:r>
      <w:r w:rsidR="0094735B" w:rsidRPr="0094735B">
        <w:t xml:space="preserve">three zeolites employed as supports </w:t>
      </w:r>
      <w:r>
        <w:t>are solid white dust</w:t>
      </w:r>
      <w:r w:rsidR="00136DDA">
        <w:t>s</w:t>
      </w:r>
      <w:r w:rsidR="00A30F32">
        <w:t>.</w:t>
      </w:r>
      <w:r>
        <w:t xml:space="preserve"> </w:t>
      </w:r>
      <w:r w:rsidR="00A30F32">
        <w:t>T</w:t>
      </w:r>
      <w:r w:rsidR="00136DDA">
        <w:t xml:space="preserve">hey are insoluble in water, </w:t>
      </w:r>
      <w:r>
        <w:t>with boiling points up to 1300 K</w:t>
      </w:r>
      <w:r w:rsidR="00AB6938">
        <w:t>, and s</w:t>
      </w:r>
      <w:r w:rsidR="00136DDA">
        <w:t xml:space="preserve">pecific properties </w:t>
      </w:r>
      <w:r w:rsidR="00AB6938">
        <w:t xml:space="preserve">which </w:t>
      </w:r>
      <w:r w:rsidR="00136DDA">
        <w:t xml:space="preserve">are </w:t>
      </w:r>
      <w:r>
        <w:t xml:space="preserve">reported in </w:t>
      </w:r>
      <w:r w:rsidR="00AB6938">
        <w:t>T</w:t>
      </w:r>
      <w:r>
        <w:t>able 1.</w:t>
      </w:r>
    </w:p>
    <w:p w:rsidR="005D24FE" w:rsidRPr="008E2B63" w:rsidRDefault="005D24FE" w:rsidP="005D24FE">
      <w:pPr>
        <w:pStyle w:val="CETTabletitle"/>
        <w:rPr>
          <w:lang w:val="en-US"/>
        </w:rPr>
      </w:pPr>
      <w:r w:rsidRPr="008E2B63">
        <w:rPr>
          <w:lang w:val="en-US"/>
        </w:rPr>
        <w:t xml:space="preserve">Table </w:t>
      </w:r>
      <w:r>
        <w:rPr>
          <w:lang w:val="en-US"/>
        </w:rPr>
        <w:t>1</w:t>
      </w:r>
      <w:r w:rsidRPr="008E2B63">
        <w:rPr>
          <w:lang w:val="en-US"/>
        </w:rPr>
        <w:t xml:space="preserve">: </w:t>
      </w:r>
      <w:r>
        <w:rPr>
          <w:lang w:val="en-US"/>
        </w:rPr>
        <w:t>Properties of the zeolites</w:t>
      </w:r>
      <w:r w:rsidRPr="008E2B63">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131"/>
        <w:gridCol w:w="1131"/>
        <w:gridCol w:w="1132"/>
      </w:tblGrid>
      <w:tr w:rsidR="005D24FE" w:rsidRPr="008E2B63" w:rsidTr="005D24FE">
        <w:tc>
          <w:tcPr>
            <w:tcW w:w="2127" w:type="dxa"/>
            <w:tcBorders>
              <w:top w:val="single" w:sz="12" w:space="0" w:color="008000"/>
              <w:bottom w:val="single" w:sz="6" w:space="0" w:color="008000"/>
            </w:tcBorders>
            <w:shd w:val="clear" w:color="auto" w:fill="FFFFFF"/>
          </w:tcPr>
          <w:p w:rsidR="005D24FE" w:rsidRPr="008E2B63" w:rsidRDefault="005D24FE" w:rsidP="00572FBC">
            <w:pPr>
              <w:pStyle w:val="CETBodytext"/>
              <w:jc w:val="left"/>
              <w:rPr>
                <w:b/>
              </w:rPr>
            </w:pPr>
            <w:r>
              <w:rPr>
                <w:b/>
              </w:rPr>
              <w:t>Property</w:t>
            </w:r>
          </w:p>
        </w:tc>
        <w:tc>
          <w:tcPr>
            <w:tcW w:w="1131" w:type="dxa"/>
            <w:tcBorders>
              <w:top w:val="single" w:sz="12" w:space="0" w:color="008000"/>
              <w:bottom w:val="single" w:sz="6" w:space="0" w:color="008000"/>
            </w:tcBorders>
            <w:shd w:val="clear" w:color="auto" w:fill="FFFFFF"/>
          </w:tcPr>
          <w:p w:rsidR="005D24FE" w:rsidRPr="008E2B63" w:rsidRDefault="005D24FE" w:rsidP="005D24FE">
            <w:pPr>
              <w:pStyle w:val="CETBodytext"/>
              <w:jc w:val="center"/>
              <w:rPr>
                <w:b/>
              </w:rPr>
            </w:pPr>
            <w:r>
              <w:rPr>
                <w:b/>
              </w:rPr>
              <w:t>USY</w:t>
            </w:r>
          </w:p>
        </w:tc>
        <w:tc>
          <w:tcPr>
            <w:tcW w:w="1131" w:type="dxa"/>
            <w:tcBorders>
              <w:top w:val="single" w:sz="12" w:space="0" w:color="008000"/>
              <w:bottom w:val="single" w:sz="6" w:space="0" w:color="008000"/>
            </w:tcBorders>
            <w:shd w:val="clear" w:color="auto" w:fill="FFFFFF"/>
          </w:tcPr>
          <w:p w:rsidR="005D24FE" w:rsidRPr="008E2B63" w:rsidRDefault="005D24FE" w:rsidP="005D24FE">
            <w:pPr>
              <w:pStyle w:val="CETBodytext"/>
              <w:jc w:val="center"/>
              <w:rPr>
                <w:b/>
              </w:rPr>
            </w:pPr>
            <w:r>
              <w:rPr>
                <w:b/>
              </w:rPr>
              <w:t>H-</w:t>
            </w:r>
            <w:r w:rsidRPr="00A27F39">
              <w:rPr>
                <w:rFonts w:ascii="Symbol" w:hAnsi="Symbol"/>
                <w:b/>
              </w:rPr>
              <w:t></w:t>
            </w:r>
          </w:p>
        </w:tc>
        <w:tc>
          <w:tcPr>
            <w:tcW w:w="1132" w:type="dxa"/>
            <w:tcBorders>
              <w:top w:val="single" w:sz="12" w:space="0" w:color="008000"/>
              <w:bottom w:val="single" w:sz="6" w:space="0" w:color="008000"/>
            </w:tcBorders>
            <w:shd w:val="clear" w:color="auto" w:fill="FFFFFF"/>
          </w:tcPr>
          <w:p w:rsidR="005D24FE" w:rsidRDefault="005D24FE" w:rsidP="005D24FE">
            <w:pPr>
              <w:pStyle w:val="CETBodytext"/>
              <w:jc w:val="center"/>
              <w:rPr>
                <w:b/>
              </w:rPr>
            </w:pPr>
            <w:r>
              <w:rPr>
                <w:b/>
              </w:rPr>
              <w:t>ZSM-5</w:t>
            </w:r>
          </w:p>
        </w:tc>
      </w:tr>
      <w:tr w:rsidR="005D24FE" w:rsidRPr="008E2B63" w:rsidTr="005D24FE">
        <w:tc>
          <w:tcPr>
            <w:tcW w:w="2127" w:type="dxa"/>
            <w:shd w:val="clear" w:color="auto" w:fill="FFFFFF"/>
          </w:tcPr>
          <w:p w:rsidR="005D24FE" w:rsidRPr="008E2B63" w:rsidRDefault="00A27F39" w:rsidP="00572FBC">
            <w:pPr>
              <w:pStyle w:val="CETBodytext"/>
            </w:pPr>
            <w:r>
              <w:t>Commercial r</w:t>
            </w:r>
            <w:r w:rsidR="005D24FE">
              <w:t>eference</w:t>
            </w:r>
          </w:p>
        </w:tc>
        <w:tc>
          <w:tcPr>
            <w:tcW w:w="1131" w:type="dxa"/>
            <w:shd w:val="clear" w:color="auto" w:fill="FFFFFF"/>
          </w:tcPr>
          <w:p w:rsidR="005D24FE" w:rsidRPr="008E2B63" w:rsidRDefault="005D24FE" w:rsidP="005D24FE">
            <w:pPr>
              <w:pStyle w:val="CETBodytext"/>
              <w:jc w:val="center"/>
            </w:pPr>
            <w:r>
              <w:t>CVB-780</w:t>
            </w:r>
          </w:p>
        </w:tc>
        <w:tc>
          <w:tcPr>
            <w:tcW w:w="1131" w:type="dxa"/>
            <w:shd w:val="clear" w:color="auto" w:fill="FFFFFF"/>
          </w:tcPr>
          <w:p w:rsidR="005D24FE" w:rsidRPr="008E2B63" w:rsidRDefault="005D24FE" w:rsidP="005D24FE">
            <w:pPr>
              <w:pStyle w:val="CETBodytext"/>
              <w:jc w:val="center"/>
            </w:pPr>
            <w:r>
              <w:t>Cp811c-300</w:t>
            </w:r>
          </w:p>
        </w:tc>
        <w:tc>
          <w:tcPr>
            <w:tcW w:w="1132" w:type="dxa"/>
            <w:shd w:val="clear" w:color="auto" w:fill="FFFFFF"/>
          </w:tcPr>
          <w:p w:rsidR="005D24FE" w:rsidRPr="008E2B63" w:rsidRDefault="005D24FE" w:rsidP="005D24FE">
            <w:pPr>
              <w:pStyle w:val="CETBodytext"/>
              <w:jc w:val="center"/>
            </w:pPr>
            <w:r>
              <w:t>CBV-3024e</w:t>
            </w:r>
          </w:p>
        </w:tc>
      </w:tr>
      <w:tr w:rsidR="005D24FE" w:rsidRPr="008E2B63" w:rsidTr="005D24FE">
        <w:tc>
          <w:tcPr>
            <w:tcW w:w="2127" w:type="dxa"/>
            <w:shd w:val="clear" w:color="auto" w:fill="FFFFFF"/>
          </w:tcPr>
          <w:p w:rsidR="005D24FE" w:rsidRDefault="005D24FE" w:rsidP="00572FBC">
            <w:pPr>
              <w:pStyle w:val="CETBodytext"/>
              <w:ind w:right="-1"/>
              <w:rPr>
                <w:rFonts w:cs="Arial"/>
                <w:szCs w:val="18"/>
              </w:rPr>
            </w:pPr>
            <w:r>
              <w:rPr>
                <w:rFonts w:cs="Arial"/>
                <w:szCs w:val="18"/>
              </w:rPr>
              <w:t>Si</w:t>
            </w:r>
            <w:r w:rsidR="00D831C2">
              <w:rPr>
                <w:rFonts w:cs="Arial"/>
                <w:szCs w:val="18"/>
              </w:rPr>
              <w:t>O</w:t>
            </w:r>
            <w:r w:rsidR="00D831C2" w:rsidRPr="00D831C2">
              <w:rPr>
                <w:rFonts w:cs="Arial"/>
                <w:szCs w:val="18"/>
                <w:vertAlign w:val="subscript"/>
              </w:rPr>
              <w:t>2</w:t>
            </w:r>
            <w:r>
              <w:rPr>
                <w:rFonts w:cs="Arial"/>
                <w:szCs w:val="18"/>
              </w:rPr>
              <w:t>/Al</w:t>
            </w:r>
            <w:r w:rsidR="00D831C2" w:rsidRPr="00D831C2">
              <w:rPr>
                <w:rFonts w:cs="Arial"/>
                <w:szCs w:val="18"/>
                <w:vertAlign w:val="subscript"/>
              </w:rPr>
              <w:t>2</w:t>
            </w:r>
            <w:r w:rsidR="00D831C2">
              <w:rPr>
                <w:rFonts w:cs="Arial"/>
                <w:szCs w:val="18"/>
              </w:rPr>
              <w:t>O</w:t>
            </w:r>
            <w:r w:rsidR="00D831C2" w:rsidRPr="00D831C2">
              <w:rPr>
                <w:rFonts w:cs="Arial"/>
                <w:szCs w:val="18"/>
                <w:vertAlign w:val="subscript"/>
              </w:rPr>
              <w:t>3</w:t>
            </w:r>
            <w:r>
              <w:rPr>
                <w:rFonts w:cs="Arial"/>
                <w:szCs w:val="18"/>
              </w:rPr>
              <w:t xml:space="preserve"> molar ratio</w:t>
            </w:r>
          </w:p>
        </w:tc>
        <w:tc>
          <w:tcPr>
            <w:tcW w:w="1131" w:type="dxa"/>
            <w:shd w:val="clear" w:color="auto" w:fill="FFFFFF"/>
          </w:tcPr>
          <w:p w:rsidR="005D24FE" w:rsidRPr="008E2B63" w:rsidRDefault="00136DDA" w:rsidP="005D24FE">
            <w:pPr>
              <w:pStyle w:val="CETBodytext"/>
              <w:ind w:right="-1"/>
              <w:jc w:val="center"/>
              <w:rPr>
                <w:rFonts w:cs="Arial"/>
                <w:szCs w:val="18"/>
              </w:rPr>
            </w:pPr>
            <w:r>
              <w:rPr>
                <w:rFonts w:cs="Arial"/>
                <w:szCs w:val="18"/>
              </w:rPr>
              <w:t>80</w:t>
            </w:r>
          </w:p>
        </w:tc>
        <w:tc>
          <w:tcPr>
            <w:tcW w:w="1131" w:type="dxa"/>
            <w:shd w:val="clear" w:color="auto" w:fill="FFFFFF"/>
          </w:tcPr>
          <w:p w:rsidR="005D24FE" w:rsidRPr="008E2B63" w:rsidRDefault="00136DDA" w:rsidP="005D24FE">
            <w:pPr>
              <w:pStyle w:val="CETBodytext"/>
              <w:ind w:right="-1"/>
              <w:jc w:val="center"/>
              <w:rPr>
                <w:rFonts w:cs="Arial"/>
                <w:szCs w:val="18"/>
              </w:rPr>
            </w:pPr>
            <w:r>
              <w:rPr>
                <w:rFonts w:cs="Arial"/>
                <w:szCs w:val="18"/>
              </w:rPr>
              <w:t>300</w:t>
            </w:r>
          </w:p>
        </w:tc>
        <w:tc>
          <w:tcPr>
            <w:tcW w:w="1132" w:type="dxa"/>
            <w:shd w:val="clear" w:color="auto" w:fill="FFFFFF"/>
          </w:tcPr>
          <w:p w:rsidR="005D24FE" w:rsidRPr="008E2B63" w:rsidRDefault="00136DDA" w:rsidP="005D24FE">
            <w:pPr>
              <w:pStyle w:val="CETBodytext"/>
              <w:ind w:right="-1"/>
              <w:jc w:val="center"/>
              <w:rPr>
                <w:rFonts w:cs="Arial"/>
                <w:szCs w:val="18"/>
              </w:rPr>
            </w:pPr>
            <w:r>
              <w:rPr>
                <w:rFonts w:cs="Arial"/>
                <w:szCs w:val="18"/>
              </w:rPr>
              <w:t>30</w:t>
            </w:r>
          </w:p>
        </w:tc>
      </w:tr>
      <w:tr w:rsidR="005D24FE" w:rsidRPr="008E2B63" w:rsidTr="005D24FE">
        <w:tc>
          <w:tcPr>
            <w:tcW w:w="2127" w:type="dxa"/>
            <w:shd w:val="clear" w:color="auto" w:fill="FFFFFF"/>
          </w:tcPr>
          <w:p w:rsidR="005D24FE" w:rsidRDefault="005D24FE" w:rsidP="00572FBC">
            <w:pPr>
              <w:pStyle w:val="CETBodytext"/>
              <w:ind w:right="-1"/>
              <w:rPr>
                <w:rFonts w:cs="Arial"/>
                <w:szCs w:val="18"/>
              </w:rPr>
            </w:pPr>
            <w:r w:rsidRPr="005D24FE">
              <w:rPr>
                <w:rFonts w:cs="Arial"/>
                <w:szCs w:val="18"/>
              </w:rPr>
              <w:t>Nominal form of the cation</w:t>
            </w:r>
          </w:p>
        </w:tc>
        <w:tc>
          <w:tcPr>
            <w:tcW w:w="1131" w:type="dxa"/>
            <w:shd w:val="clear" w:color="auto" w:fill="FFFFFF"/>
          </w:tcPr>
          <w:p w:rsidR="005D24FE" w:rsidRPr="008E2B63" w:rsidRDefault="00136DDA" w:rsidP="005D24FE">
            <w:pPr>
              <w:pStyle w:val="CETBodytext"/>
              <w:ind w:right="-1"/>
              <w:jc w:val="center"/>
              <w:rPr>
                <w:rFonts w:cs="Arial"/>
                <w:szCs w:val="18"/>
              </w:rPr>
            </w:pPr>
            <w:r>
              <w:rPr>
                <w:rFonts w:cs="Arial"/>
                <w:szCs w:val="18"/>
              </w:rPr>
              <w:t>Hydrogen</w:t>
            </w:r>
          </w:p>
        </w:tc>
        <w:tc>
          <w:tcPr>
            <w:tcW w:w="1131" w:type="dxa"/>
            <w:shd w:val="clear" w:color="auto" w:fill="FFFFFF"/>
          </w:tcPr>
          <w:p w:rsidR="005D24FE" w:rsidRPr="008E2B63" w:rsidRDefault="00136DDA" w:rsidP="005D24FE">
            <w:pPr>
              <w:pStyle w:val="CETBodytext"/>
              <w:ind w:right="-1"/>
              <w:jc w:val="center"/>
              <w:rPr>
                <w:rFonts w:cs="Arial"/>
                <w:szCs w:val="18"/>
              </w:rPr>
            </w:pPr>
            <w:r>
              <w:rPr>
                <w:rFonts w:cs="Arial"/>
                <w:szCs w:val="18"/>
              </w:rPr>
              <w:t>Hydrogen</w:t>
            </w:r>
          </w:p>
        </w:tc>
        <w:tc>
          <w:tcPr>
            <w:tcW w:w="1132" w:type="dxa"/>
            <w:shd w:val="clear" w:color="auto" w:fill="FFFFFF"/>
          </w:tcPr>
          <w:p w:rsidR="005D24FE" w:rsidRPr="008E2B63" w:rsidRDefault="00136DDA" w:rsidP="005D24FE">
            <w:pPr>
              <w:pStyle w:val="CETBodytext"/>
              <w:ind w:right="-1"/>
              <w:jc w:val="center"/>
              <w:rPr>
                <w:rFonts w:cs="Arial"/>
                <w:szCs w:val="18"/>
              </w:rPr>
            </w:pPr>
            <w:r>
              <w:rPr>
                <w:rFonts w:cs="Arial"/>
                <w:szCs w:val="18"/>
              </w:rPr>
              <w:t>Ammonium</w:t>
            </w:r>
          </w:p>
        </w:tc>
      </w:tr>
      <w:tr w:rsidR="005D24FE" w:rsidRPr="008E2B63" w:rsidTr="005D24FE">
        <w:tc>
          <w:tcPr>
            <w:tcW w:w="2127" w:type="dxa"/>
            <w:shd w:val="clear" w:color="auto" w:fill="FFFFFF"/>
          </w:tcPr>
          <w:p w:rsidR="005D24FE" w:rsidRDefault="005D24FE" w:rsidP="00572FBC">
            <w:pPr>
              <w:pStyle w:val="CETBodytext"/>
              <w:ind w:right="-1"/>
              <w:rPr>
                <w:rFonts w:cs="Arial"/>
                <w:szCs w:val="18"/>
              </w:rPr>
            </w:pPr>
            <w:r>
              <w:rPr>
                <w:rFonts w:cs="Arial"/>
                <w:szCs w:val="18"/>
              </w:rPr>
              <w:t>Na</w:t>
            </w:r>
            <w:r w:rsidRPr="00136DDA">
              <w:rPr>
                <w:rFonts w:cs="Arial"/>
                <w:szCs w:val="18"/>
                <w:vertAlign w:val="subscript"/>
              </w:rPr>
              <w:t>2</w:t>
            </w:r>
            <w:r>
              <w:rPr>
                <w:rFonts w:cs="Arial"/>
                <w:szCs w:val="18"/>
              </w:rPr>
              <w:t>O composition</w:t>
            </w:r>
          </w:p>
        </w:tc>
        <w:tc>
          <w:tcPr>
            <w:tcW w:w="1131" w:type="dxa"/>
            <w:shd w:val="clear" w:color="auto" w:fill="FFFFFF"/>
          </w:tcPr>
          <w:p w:rsidR="005D24FE" w:rsidRPr="008E2B63" w:rsidRDefault="00136DDA" w:rsidP="005D24FE">
            <w:pPr>
              <w:pStyle w:val="CETBodytext"/>
              <w:ind w:right="-1"/>
              <w:jc w:val="center"/>
              <w:rPr>
                <w:rFonts w:cs="Arial"/>
                <w:szCs w:val="18"/>
              </w:rPr>
            </w:pPr>
            <w:r>
              <w:rPr>
                <w:rFonts w:cs="Arial"/>
                <w:szCs w:val="18"/>
              </w:rPr>
              <w:t>0.03</w:t>
            </w:r>
            <w:r w:rsidR="00D831C2">
              <w:rPr>
                <w:rFonts w:cs="Arial"/>
                <w:szCs w:val="18"/>
              </w:rPr>
              <w:t>%</w:t>
            </w:r>
          </w:p>
        </w:tc>
        <w:tc>
          <w:tcPr>
            <w:tcW w:w="1131" w:type="dxa"/>
            <w:shd w:val="clear" w:color="auto" w:fill="FFFFFF"/>
          </w:tcPr>
          <w:p w:rsidR="005D24FE" w:rsidRPr="008E2B63" w:rsidRDefault="00136DDA" w:rsidP="005D24FE">
            <w:pPr>
              <w:pStyle w:val="CETBodytext"/>
              <w:ind w:right="-1"/>
              <w:jc w:val="center"/>
              <w:rPr>
                <w:rFonts w:cs="Arial"/>
                <w:szCs w:val="18"/>
              </w:rPr>
            </w:pPr>
            <w:r>
              <w:rPr>
                <w:rFonts w:cs="Arial"/>
                <w:szCs w:val="18"/>
              </w:rPr>
              <w:t>0.03</w:t>
            </w:r>
            <w:r w:rsidR="00D831C2">
              <w:rPr>
                <w:rFonts w:cs="Arial"/>
                <w:szCs w:val="18"/>
              </w:rPr>
              <w:t>%</w:t>
            </w:r>
          </w:p>
        </w:tc>
        <w:tc>
          <w:tcPr>
            <w:tcW w:w="1132" w:type="dxa"/>
            <w:shd w:val="clear" w:color="auto" w:fill="FFFFFF"/>
          </w:tcPr>
          <w:p w:rsidR="005D24FE" w:rsidRPr="008E2B63" w:rsidRDefault="00136DDA" w:rsidP="005D24FE">
            <w:pPr>
              <w:pStyle w:val="CETBodytext"/>
              <w:ind w:right="-1"/>
              <w:jc w:val="center"/>
              <w:rPr>
                <w:rFonts w:cs="Arial"/>
                <w:szCs w:val="18"/>
              </w:rPr>
            </w:pPr>
            <w:r>
              <w:rPr>
                <w:rFonts w:cs="Arial"/>
                <w:szCs w:val="18"/>
              </w:rPr>
              <w:t>0.05</w:t>
            </w:r>
            <w:r w:rsidR="00D831C2">
              <w:rPr>
                <w:rFonts w:cs="Arial"/>
                <w:szCs w:val="18"/>
              </w:rPr>
              <w:t>%</w:t>
            </w:r>
          </w:p>
        </w:tc>
      </w:tr>
      <w:tr w:rsidR="005D24FE" w:rsidRPr="008E2B63" w:rsidTr="005D24FE">
        <w:tc>
          <w:tcPr>
            <w:tcW w:w="2127" w:type="dxa"/>
            <w:shd w:val="clear" w:color="auto" w:fill="FFFFFF"/>
          </w:tcPr>
          <w:p w:rsidR="005D24FE" w:rsidRDefault="005D24FE" w:rsidP="00572FBC">
            <w:pPr>
              <w:pStyle w:val="CETBodytext"/>
              <w:ind w:right="-1"/>
              <w:rPr>
                <w:rFonts w:cs="Arial"/>
                <w:szCs w:val="18"/>
              </w:rPr>
            </w:pPr>
            <w:r>
              <w:rPr>
                <w:rFonts w:cs="Arial"/>
                <w:szCs w:val="18"/>
              </w:rPr>
              <w:t xml:space="preserve">BET </w:t>
            </w:r>
            <w:r w:rsidR="00136DDA">
              <w:rPr>
                <w:rFonts w:cs="Arial"/>
                <w:szCs w:val="18"/>
              </w:rPr>
              <w:t>Area</w:t>
            </w:r>
          </w:p>
        </w:tc>
        <w:tc>
          <w:tcPr>
            <w:tcW w:w="1131" w:type="dxa"/>
            <w:shd w:val="clear" w:color="auto" w:fill="FFFFFF"/>
          </w:tcPr>
          <w:p w:rsidR="005D24FE" w:rsidRPr="008E2B63" w:rsidRDefault="00136DDA" w:rsidP="005D24FE">
            <w:pPr>
              <w:pStyle w:val="CETBodytext"/>
              <w:ind w:right="-1"/>
              <w:jc w:val="center"/>
              <w:rPr>
                <w:rFonts w:cs="Arial"/>
                <w:szCs w:val="18"/>
              </w:rPr>
            </w:pPr>
            <w:r>
              <w:rPr>
                <w:rFonts w:cs="Arial"/>
                <w:szCs w:val="18"/>
              </w:rPr>
              <w:t>780 m</w:t>
            </w:r>
            <w:r w:rsidRPr="00D831C2">
              <w:rPr>
                <w:rFonts w:cs="Arial"/>
                <w:szCs w:val="18"/>
                <w:vertAlign w:val="superscript"/>
              </w:rPr>
              <w:t>2</w:t>
            </w:r>
            <w:r>
              <w:rPr>
                <w:rFonts w:cs="Arial"/>
                <w:szCs w:val="18"/>
              </w:rPr>
              <w:t>/g</w:t>
            </w:r>
          </w:p>
        </w:tc>
        <w:tc>
          <w:tcPr>
            <w:tcW w:w="1131" w:type="dxa"/>
            <w:shd w:val="clear" w:color="auto" w:fill="FFFFFF"/>
          </w:tcPr>
          <w:p w:rsidR="005D24FE" w:rsidRPr="008E2B63" w:rsidRDefault="00136DDA" w:rsidP="005D24FE">
            <w:pPr>
              <w:pStyle w:val="CETBodytext"/>
              <w:ind w:right="-1"/>
              <w:jc w:val="center"/>
              <w:rPr>
                <w:rFonts w:cs="Arial"/>
                <w:szCs w:val="18"/>
              </w:rPr>
            </w:pPr>
            <w:r>
              <w:rPr>
                <w:rFonts w:cs="Arial"/>
                <w:szCs w:val="18"/>
              </w:rPr>
              <w:t>620 m</w:t>
            </w:r>
            <w:r w:rsidRPr="00D831C2">
              <w:rPr>
                <w:rFonts w:cs="Arial"/>
                <w:szCs w:val="18"/>
                <w:vertAlign w:val="superscript"/>
              </w:rPr>
              <w:t>2</w:t>
            </w:r>
            <w:r>
              <w:rPr>
                <w:rFonts w:cs="Arial"/>
                <w:szCs w:val="18"/>
              </w:rPr>
              <w:t>/g</w:t>
            </w:r>
          </w:p>
        </w:tc>
        <w:tc>
          <w:tcPr>
            <w:tcW w:w="1132" w:type="dxa"/>
            <w:shd w:val="clear" w:color="auto" w:fill="FFFFFF"/>
          </w:tcPr>
          <w:p w:rsidR="005D24FE" w:rsidRPr="008E2B63" w:rsidRDefault="00136DDA" w:rsidP="005D24FE">
            <w:pPr>
              <w:pStyle w:val="CETBodytext"/>
              <w:ind w:right="-1"/>
              <w:jc w:val="center"/>
              <w:rPr>
                <w:rFonts w:cs="Arial"/>
                <w:szCs w:val="18"/>
              </w:rPr>
            </w:pPr>
            <w:r>
              <w:rPr>
                <w:rFonts w:cs="Arial"/>
                <w:szCs w:val="18"/>
              </w:rPr>
              <w:t>405 m</w:t>
            </w:r>
            <w:r w:rsidRPr="00D831C2">
              <w:rPr>
                <w:rFonts w:cs="Arial"/>
                <w:szCs w:val="18"/>
                <w:vertAlign w:val="superscript"/>
              </w:rPr>
              <w:t>2</w:t>
            </w:r>
            <w:r>
              <w:rPr>
                <w:rFonts w:cs="Arial"/>
                <w:szCs w:val="18"/>
              </w:rPr>
              <w:t>/g</w:t>
            </w:r>
          </w:p>
        </w:tc>
      </w:tr>
    </w:tbl>
    <w:p w:rsidR="00463DEB" w:rsidRPr="008E2B63" w:rsidRDefault="00463DEB" w:rsidP="00A30F32">
      <w:pPr>
        <w:pStyle w:val="CETListbullets"/>
        <w:ind w:left="0" w:firstLine="0"/>
        <w:rPr>
          <w:lang w:val="en-US"/>
        </w:rPr>
      </w:pPr>
    </w:p>
    <w:p w:rsidR="00E47B97" w:rsidRPr="0094735B" w:rsidRDefault="0094735B" w:rsidP="00463DEB">
      <w:pPr>
        <w:pStyle w:val="CETBodytext"/>
      </w:pPr>
      <w:r w:rsidRPr="0094735B">
        <w:t>The salt employed to prepared the solution in th</w:t>
      </w:r>
      <w:r>
        <w:t xml:space="preserve">e synthesis of the catalysts was </w:t>
      </w:r>
      <w:r w:rsidR="00E47B97" w:rsidRPr="0094735B">
        <w:t>Pt(NH</w:t>
      </w:r>
      <w:r w:rsidR="00E47B97" w:rsidRPr="0094735B">
        <w:rPr>
          <w:vertAlign w:val="subscript"/>
        </w:rPr>
        <w:t>3</w:t>
      </w:r>
      <w:r w:rsidR="00E47B97" w:rsidRPr="0094735B">
        <w:t>)</w:t>
      </w:r>
      <w:r w:rsidR="00D831C2" w:rsidRPr="00D831C2">
        <w:rPr>
          <w:vertAlign w:val="subscript"/>
        </w:rPr>
        <w:t>4</w:t>
      </w:r>
      <w:r w:rsidR="00E47B97" w:rsidRPr="0094735B">
        <w:t>Cl</w:t>
      </w:r>
      <w:r w:rsidR="00E47B97" w:rsidRPr="0094735B">
        <w:rPr>
          <w:vertAlign w:val="subscript"/>
        </w:rPr>
        <w:t>2</w:t>
      </w:r>
      <w:r w:rsidR="00E47B97" w:rsidRPr="0094735B">
        <w:t>.</w:t>
      </w:r>
    </w:p>
    <w:p w:rsidR="00463DEB" w:rsidRPr="0094735B" w:rsidRDefault="00D831C2" w:rsidP="00463DEB">
      <w:pPr>
        <w:pStyle w:val="CETBodytext"/>
      </w:pPr>
      <w:r>
        <w:t>A refined</w:t>
      </w:r>
      <w:r w:rsidRPr="0094735B">
        <w:t xml:space="preserve"> </w:t>
      </w:r>
      <w:r w:rsidR="0094735B" w:rsidRPr="0094735B">
        <w:t>soybean oil</w:t>
      </w:r>
      <w:r>
        <w:t xml:space="preserve"> was used</w:t>
      </w:r>
      <w:r w:rsidR="0094735B" w:rsidRPr="0094735B">
        <w:t>, with an acidity index (ASTM D-664) of 0.22 mg KOH/g, and a moisture content (ASTM D-1744) of 0.04 %</w:t>
      </w:r>
      <w:r w:rsidR="00E47B97" w:rsidRPr="0094735B">
        <w:t xml:space="preserve">. </w:t>
      </w:r>
      <w:r w:rsidR="00463A04" w:rsidRPr="0094735B">
        <w:t xml:space="preserve">Table </w:t>
      </w:r>
      <w:r w:rsidR="005D24FE">
        <w:t>2</w:t>
      </w:r>
      <w:r w:rsidR="00463A04" w:rsidRPr="0094735B">
        <w:t xml:space="preserve"> summarize</w:t>
      </w:r>
      <w:r w:rsidR="00AB6938">
        <w:t>s</w:t>
      </w:r>
      <w:r w:rsidR="00463A04" w:rsidRPr="0094735B">
        <w:t xml:space="preserve"> the </w:t>
      </w:r>
      <w:r w:rsidR="00AB6938">
        <w:t>f</w:t>
      </w:r>
      <w:r w:rsidR="0094735B" w:rsidRPr="0094735B">
        <w:t>atty acids content profile in the soybean.</w:t>
      </w:r>
      <w:r w:rsidR="00463DEB" w:rsidRPr="0094735B">
        <w:t xml:space="preserve"> </w:t>
      </w:r>
    </w:p>
    <w:p w:rsidR="00463DEB" w:rsidRPr="008E2B63" w:rsidRDefault="00463DEB" w:rsidP="00463DEB">
      <w:pPr>
        <w:pStyle w:val="CETTabletitle"/>
        <w:rPr>
          <w:lang w:val="en-US"/>
        </w:rPr>
      </w:pPr>
      <w:r w:rsidRPr="008E2B63">
        <w:rPr>
          <w:lang w:val="en-US"/>
        </w:rPr>
        <w:t xml:space="preserve">Table </w:t>
      </w:r>
      <w:r w:rsidR="005D24FE">
        <w:rPr>
          <w:lang w:val="en-US"/>
        </w:rPr>
        <w:t>2</w:t>
      </w:r>
      <w:r w:rsidRPr="008E2B63">
        <w:rPr>
          <w:lang w:val="en-US"/>
        </w:rPr>
        <w:t xml:space="preserve">: </w:t>
      </w:r>
      <w:r w:rsidR="00B95D3D" w:rsidRPr="008E2B63">
        <w:rPr>
          <w:lang w:val="en-US"/>
        </w:rPr>
        <w:t>Fatty acids content in the soybean oil.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2275"/>
        <w:gridCol w:w="985"/>
      </w:tblGrid>
      <w:tr w:rsidR="00B95D3D" w:rsidRPr="008E2B63" w:rsidTr="0094735B">
        <w:tc>
          <w:tcPr>
            <w:tcW w:w="1276" w:type="dxa"/>
            <w:tcBorders>
              <w:top w:val="single" w:sz="12" w:space="0" w:color="008000"/>
              <w:bottom w:val="single" w:sz="6" w:space="0" w:color="008000"/>
            </w:tcBorders>
            <w:shd w:val="clear" w:color="auto" w:fill="FFFFFF"/>
          </w:tcPr>
          <w:p w:rsidR="00B95D3D" w:rsidRPr="008E2B63" w:rsidRDefault="00B95D3D" w:rsidP="0094735B">
            <w:pPr>
              <w:pStyle w:val="CETBodytext"/>
              <w:jc w:val="left"/>
              <w:rPr>
                <w:b/>
              </w:rPr>
            </w:pPr>
            <w:r w:rsidRPr="008E2B63">
              <w:rPr>
                <w:b/>
              </w:rPr>
              <w:t>Fatty acid</w:t>
            </w:r>
          </w:p>
        </w:tc>
        <w:tc>
          <w:tcPr>
            <w:tcW w:w="2275" w:type="dxa"/>
            <w:tcBorders>
              <w:top w:val="single" w:sz="12" w:space="0" w:color="008000"/>
              <w:bottom w:val="single" w:sz="6" w:space="0" w:color="008000"/>
            </w:tcBorders>
            <w:shd w:val="clear" w:color="auto" w:fill="FFFFFF"/>
          </w:tcPr>
          <w:p w:rsidR="00B95D3D" w:rsidRPr="008E2B63" w:rsidRDefault="00B95D3D" w:rsidP="00B95D3D">
            <w:pPr>
              <w:pStyle w:val="CETBodytext"/>
              <w:jc w:val="center"/>
              <w:rPr>
                <w:b/>
              </w:rPr>
            </w:pPr>
            <w:r w:rsidRPr="008E2B63">
              <w:rPr>
                <w:b/>
              </w:rPr>
              <w:t>Length:unsaturation</w:t>
            </w:r>
            <w:r w:rsidR="0094735B">
              <w:rPr>
                <w:b/>
              </w:rPr>
              <w:t>s</w:t>
            </w:r>
          </w:p>
        </w:tc>
        <w:tc>
          <w:tcPr>
            <w:tcW w:w="985" w:type="dxa"/>
            <w:tcBorders>
              <w:top w:val="single" w:sz="12" w:space="0" w:color="008000"/>
              <w:bottom w:val="single" w:sz="6" w:space="0" w:color="008000"/>
            </w:tcBorders>
            <w:shd w:val="clear" w:color="auto" w:fill="FFFFFF"/>
          </w:tcPr>
          <w:p w:rsidR="00B95D3D" w:rsidRPr="008E2B63" w:rsidRDefault="0094735B" w:rsidP="0094735B">
            <w:pPr>
              <w:pStyle w:val="CETBodytext"/>
              <w:jc w:val="right"/>
              <w:rPr>
                <w:b/>
              </w:rPr>
            </w:pPr>
            <w:r>
              <w:rPr>
                <w:b/>
              </w:rPr>
              <w:t>C</w:t>
            </w:r>
            <w:r w:rsidR="00B95D3D" w:rsidRPr="008E2B63">
              <w:rPr>
                <w:b/>
              </w:rPr>
              <w:t>ontent</w:t>
            </w:r>
          </w:p>
        </w:tc>
      </w:tr>
      <w:tr w:rsidR="00B95D3D" w:rsidRPr="008E2B63" w:rsidTr="0094735B">
        <w:tc>
          <w:tcPr>
            <w:tcW w:w="1276" w:type="dxa"/>
            <w:shd w:val="clear" w:color="auto" w:fill="FFFFFF"/>
          </w:tcPr>
          <w:p w:rsidR="00B95D3D" w:rsidRPr="008E2B63" w:rsidRDefault="00B95D3D" w:rsidP="00572FBC">
            <w:pPr>
              <w:pStyle w:val="CETBodytext"/>
            </w:pPr>
            <w:r w:rsidRPr="008E2B63">
              <w:t>Palmitic</w:t>
            </w:r>
          </w:p>
        </w:tc>
        <w:tc>
          <w:tcPr>
            <w:tcW w:w="2275" w:type="dxa"/>
            <w:shd w:val="clear" w:color="auto" w:fill="FFFFFF"/>
          </w:tcPr>
          <w:p w:rsidR="00B95D3D" w:rsidRPr="008E2B63" w:rsidRDefault="00B95D3D" w:rsidP="00B95D3D">
            <w:pPr>
              <w:pStyle w:val="CETBodytext"/>
              <w:jc w:val="center"/>
            </w:pPr>
            <w:r w:rsidRPr="008E2B63">
              <w:t>C16:0</w:t>
            </w:r>
          </w:p>
        </w:tc>
        <w:tc>
          <w:tcPr>
            <w:tcW w:w="985" w:type="dxa"/>
            <w:shd w:val="clear" w:color="auto" w:fill="FFFFFF"/>
          </w:tcPr>
          <w:p w:rsidR="00B95D3D" w:rsidRPr="008E2B63" w:rsidRDefault="00B95D3D" w:rsidP="00B95D3D">
            <w:pPr>
              <w:pStyle w:val="CETBodytext"/>
              <w:jc w:val="right"/>
            </w:pPr>
            <w:r w:rsidRPr="008E2B63">
              <w:t>24.66 %</w:t>
            </w:r>
          </w:p>
        </w:tc>
      </w:tr>
      <w:tr w:rsidR="00B95D3D" w:rsidRPr="008E2B63" w:rsidTr="0094735B">
        <w:tc>
          <w:tcPr>
            <w:tcW w:w="1276" w:type="dxa"/>
            <w:shd w:val="clear" w:color="auto" w:fill="FFFFFF"/>
          </w:tcPr>
          <w:p w:rsidR="00B95D3D" w:rsidRPr="008E2B63" w:rsidRDefault="00B95D3D" w:rsidP="00572FBC">
            <w:pPr>
              <w:pStyle w:val="CETBodytext"/>
              <w:ind w:right="-1"/>
              <w:rPr>
                <w:rFonts w:cs="Arial"/>
                <w:szCs w:val="18"/>
              </w:rPr>
            </w:pPr>
            <w:r w:rsidRPr="008E2B63">
              <w:rPr>
                <w:rFonts w:cs="Arial"/>
                <w:szCs w:val="18"/>
              </w:rPr>
              <w:t>Stearic</w:t>
            </w:r>
          </w:p>
        </w:tc>
        <w:tc>
          <w:tcPr>
            <w:tcW w:w="2275" w:type="dxa"/>
            <w:shd w:val="clear" w:color="auto" w:fill="FFFFFF"/>
          </w:tcPr>
          <w:p w:rsidR="00B95D3D" w:rsidRPr="008E2B63" w:rsidRDefault="00B95D3D" w:rsidP="00B95D3D">
            <w:pPr>
              <w:pStyle w:val="CETBodytext"/>
              <w:ind w:right="-1"/>
              <w:jc w:val="center"/>
              <w:rPr>
                <w:rFonts w:cs="Arial"/>
                <w:szCs w:val="18"/>
              </w:rPr>
            </w:pPr>
            <w:r w:rsidRPr="008E2B63">
              <w:rPr>
                <w:rFonts w:cs="Arial"/>
                <w:szCs w:val="18"/>
              </w:rPr>
              <w:t>C18:0</w:t>
            </w:r>
          </w:p>
        </w:tc>
        <w:tc>
          <w:tcPr>
            <w:tcW w:w="985" w:type="dxa"/>
            <w:shd w:val="clear" w:color="auto" w:fill="FFFFFF"/>
          </w:tcPr>
          <w:p w:rsidR="00B95D3D" w:rsidRPr="008E2B63" w:rsidRDefault="00B95D3D" w:rsidP="00B95D3D">
            <w:pPr>
              <w:pStyle w:val="CETBodytext"/>
              <w:ind w:right="-1"/>
              <w:jc w:val="right"/>
              <w:rPr>
                <w:rFonts w:cs="Arial"/>
                <w:szCs w:val="18"/>
              </w:rPr>
            </w:pPr>
            <w:r w:rsidRPr="008E2B63">
              <w:rPr>
                <w:rFonts w:cs="Arial"/>
                <w:szCs w:val="18"/>
              </w:rPr>
              <w:t>3.76 %</w:t>
            </w:r>
          </w:p>
        </w:tc>
      </w:tr>
      <w:tr w:rsidR="00B95D3D" w:rsidRPr="008E2B63" w:rsidTr="0094735B">
        <w:tc>
          <w:tcPr>
            <w:tcW w:w="1276" w:type="dxa"/>
            <w:shd w:val="clear" w:color="auto" w:fill="FFFFFF"/>
          </w:tcPr>
          <w:p w:rsidR="00B95D3D" w:rsidRPr="008E2B63" w:rsidRDefault="00B95D3D" w:rsidP="00572FBC">
            <w:pPr>
              <w:pStyle w:val="CETBodytext"/>
              <w:ind w:right="-1"/>
              <w:rPr>
                <w:rFonts w:cs="Arial"/>
                <w:szCs w:val="18"/>
              </w:rPr>
            </w:pPr>
            <w:r w:rsidRPr="008E2B63">
              <w:rPr>
                <w:rFonts w:cs="Arial"/>
                <w:szCs w:val="18"/>
              </w:rPr>
              <w:t>Oleic</w:t>
            </w:r>
          </w:p>
        </w:tc>
        <w:tc>
          <w:tcPr>
            <w:tcW w:w="2275" w:type="dxa"/>
            <w:shd w:val="clear" w:color="auto" w:fill="FFFFFF"/>
          </w:tcPr>
          <w:p w:rsidR="00B95D3D" w:rsidRPr="008E2B63" w:rsidRDefault="00B95D3D" w:rsidP="00B95D3D">
            <w:pPr>
              <w:pStyle w:val="CETBodytext"/>
              <w:ind w:right="-1"/>
              <w:jc w:val="center"/>
              <w:rPr>
                <w:rFonts w:cs="Arial"/>
                <w:szCs w:val="18"/>
              </w:rPr>
            </w:pPr>
            <w:r w:rsidRPr="008E2B63">
              <w:rPr>
                <w:rFonts w:cs="Arial"/>
                <w:szCs w:val="18"/>
              </w:rPr>
              <w:t>C18:1</w:t>
            </w:r>
          </w:p>
        </w:tc>
        <w:tc>
          <w:tcPr>
            <w:tcW w:w="985" w:type="dxa"/>
            <w:shd w:val="clear" w:color="auto" w:fill="FFFFFF"/>
          </w:tcPr>
          <w:p w:rsidR="00B95D3D" w:rsidRPr="008E2B63" w:rsidRDefault="00B95D3D" w:rsidP="00B95D3D">
            <w:pPr>
              <w:pStyle w:val="CETBodytext"/>
              <w:ind w:right="-1"/>
              <w:jc w:val="right"/>
              <w:rPr>
                <w:rFonts w:cs="Arial"/>
                <w:szCs w:val="18"/>
              </w:rPr>
            </w:pPr>
            <w:r w:rsidRPr="008E2B63">
              <w:rPr>
                <w:rFonts w:cs="Arial"/>
                <w:szCs w:val="18"/>
              </w:rPr>
              <w:t>33.30 %</w:t>
            </w:r>
          </w:p>
        </w:tc>
      </w:tr>
      <w:tr w:rsidR="00B95D3D" w:rsidRPr="008E2B63" w:rsidTr="0094735B">
        <w:tc>
          <w:tcPr>
            <w:tcW w:w="1276" w:type="dxa"/>
            <w:shd w:val="clear" w:color="auto" w:fill="FFFFFF"/>
          </w:tcPr>
          <w:p w:rsidR="00B95D3D" w:rsidRPr="008E2B63" w:rsidRDefault="00B95D3D" w:rsidP="00572FBC">
            <w:pPr>
              <w:pStyle w:val="CETBodytext"/>
              <w:ind w:right="-1"/>
              <w:rPr>
                <w:rFonts w:cs="Arial"/>
                <w:szCs w:val="18"/>
              </w:rPr>
            </w:pPr>
            <w:r w:rsidRPr="008E2B63">
              <w:rPr>
                <w:rFonts w:cs="Arial"/>
                <w:szCs w:val="18"/>
              </w:rPr>
              <w:t xml:space="preserve">Linoleic </w:t>
            </w:r>
          </w:p>
        </w:tc>
        <w:tc>
          <w:tcPr>
            <w:tcW w:w="2275" w:type="dxa"/>
            <w:shd w:val="clear" w:color="auto" w:fill="FFFFFF"/>
          </w:tcPr>
          <w:p w:rsidR="00B95D3D" w:rsidRPr="008E2B63" w:rsidRDefault="00B95D3D" w:rsidP="00B95D3D">
            <w:pPr>
              <w:pStyle w:val="CETBodytext"/>
              <w:ind w:right="-1"/>
              <w:jc w:val="center"/>
              <w:rPr>
                <w:rFonts w:cs="Arial"/>
                <w:szCs w:val="18"/>
              </w:rPr>
            </w:pPr>
            <w:r w:rsidRPr="008E2B63">
              <w:rPr>
                <w:rFonts w:cs="Arial"/>
                <w:szCs w:val="18"/>
              </w:rPr>
              <w:t>C18:2</w:t>
            </w:r>
          </w:p>
        </w:tc>
        <w:tc>
          <w:tcPr>
            <w:tcW w:w="985" w:type="dxa"/>
            <w:shd w:val="clear" w:color="auto" w:fill="FFFFFF"/>
          </w:tcPr>
          <w:p w:rsidR="00B95D3D" w:rsidRPr="008E2B63" w:rsidRDefault="00B95D3D" w:rsidP="00B95D3D">
            <w:pPr>
              <w:pStyle w:val="CETBodytext"/>
              <w:ind w:right="-1"/>
              <w:jc w:val="right"/>
              <w:rPr>
                <w:rFonts w:cs="Arial"/>
                <w:szCs w:val="18"/>
              </w:rPr>
            </w:pPr>
            <w:r w:rsidRPr="008E2B63">
              <w:rPr>
                <w:rFonts w:cs="Arial"/>
                <w:szCs w:val="18"/>
              </w:rPr>
              <w:t>31.96 %</w:t>
            </w:r>
          </w:p>
        </w:tc>
      </w:tr>
      <w:tr w:rsidR="00B95D3D" w:rsidRPr="008E2B63" w:rsidTr="0094735B">
        <w:tc>
          <w:tcPr>
            <w:tcW w:w="1276" w:type="dxa"/>
            <w:shd w:val="clear" w:color="auto" w:fill="FFFFFF"/>
          </w:tcPr>
          <w:p w:rsidR="00B95D3D" w:rsidRPr="008E2B63" w:rsidRDefault="00B95D3D" w:rsidP="00572FBC">
            <w:pPr>
              <w:pStyle w:val="CETBodytext"/>
              <w:ind w:right="-1"/>
              <w:rPr>
                <w:rFonts w:cs="Arial"/>
                <w:szCs w:val="18"/>
              </w:rPr>
            </w:pPr>
            <w:r w:rsidRPr="008E2B63">
              <w:rPr>
                <w:rFonts w:cs="Arial"/>
                <w:szCs w:val="18"/>
              </w:rPr>
              <w:t>Linolenic</w:t>
            </w:r>
          </w:p>
        </w:tc>
        <w:tc>
          <w:tcPr>
            <w:tcW w:w="2275" w:type="dxa"/>
            <w:shd w:val="clear" w:color="auto" w:fill="FFFFFF"/>
          </w:tcPr>
          <w:p w:rsidR="00B95D3D" w:rsidRPr="008E2B63" w:rsidRDefault="00B95D3D" w:rsidP="00B95D3D">
            <w:pPr>
              <w:pStyle w:val="CETBodytext"/>
              <w:ind w:right="-1"/>
              <w:jc w:val="center"/>
              <w:rPr>
                <w:rFonts w:cs="Arial"/>
                <w:szCs w:val="18"/>
              </w:rPr>
            </w:pPr>
            <w:r w:rsidRPr="008E2B63">
              <w:rPr>
                <w:rFonts w:cs="Arial"/>
                <w:szCs w:val="18"/>
              </w:rPr>
              <w:t>C18:3</w:t>
            </w:r>
          </w:p>
        </w:tc>
        <w:tc>
          <w:tcPr>
            <w:tcW w:w="985" w:type="dxa"/>
            <w:shd w:val="clear" w:color="auto" w:fill="FFFFFF"/>
          </w:tcPr>
          <w:p w:rsidR="00B95D3D" w:rsidRPr="008E2B63" w:rsidRDefault="00B95D3D" w:rsidP="00B95D3D">
            <w:pPr>
              <w:pStyle w:val="CETBodytext"/>
              <w:ind w:right="-1"/>
              <w:jc w:val="right"/>
              <w:rPr>
                <w:rFonts w:cs="Arial"/>
                <w:szCs w:val="18"/>
              </w:rPr>
            </w:pPr>
            <w:r w:rsidRPr="008E2B63">
              <w:rPr>
                <w:rFonts w:cs="Arial"/>
                <w:szCs w:val="18"/>
              </w:rPr>
              <w:t>3.86 %</w:t>
            </w:r>
          </w:p>
        </w:tc>
      </w:tr>
      <w:tr w:rsidR="00B95D3D" w:rsidRPr="008E2B63" w:rsidTr="0094735B">
        <w:tc>
          <w:tcPr>
            <w:tcW w:w="1276" w:type="dxa"/>
            <w:shd w:val="clear" w:color="auto" w:fill="FFFFFF"/>
          </w:tcPr>
          <w:p w:rsidR="00B95D3D" w:rsidRPr="008E2B63" w:rsidRDefault="00B95D3D" w:rsidP="00572FBC">
            <w:pPr>
              <w:pStyle w:val="CETBodytext"/>
              <w:ind w:right="-1"/>
              <w:rPr>
                <w:rFonts w:cs="Arial"/>
                <w:szCs w:val="18"/>
              </w:rPr>
            </w:pPr>
            <w:r w:rsidRPr="008E2B63">
              <w:rPr>
                <w:rFonts w:cs="Arial"/>
                <w:szCs w:val="18"/>
              </w:rPr>
              <w:t>Others</w:t>
            </w:r>
          </w:p>
        </w:tc>
        <w:tc>
          <w:tcPr>
            <w:tcW w:w="2275" w:type="dxa"/>
            <w:shd w:val="clear" w:color="auto" w:fill="FFFFFF"/>
          </w:tcPr>
          <w:p w:rsidR="00B95D3D" w:rsidRPr="008E2B63" w:rsidRDefault="00B95D3D" w:rsidP="00B95D3D">
            <w:pPr>
              <w:pStyle w:val="CETBodytext"/>
              <w:ind w:right="-1"/>
              <w:jc w:val="center"/>
              <w:rPr>
                <w:rFonts w:cs="Arial"/>
                <w:szCs w:val="18"/>
              </w:rPr>
            </w:pPr>
            <w:r w:rsidRPr="008E2B63">
              <w:rPr>
                <w:rFonts w:cs="Arial"/>
                <w:szCs w:val="18"/>
              </w:rPr>
              <w:t>---</w:t>
            </w:r>
          </w:p>
        </w:tc>
        <w:tc>
          <w:tcPr>
            <w:tcW w:w="985" w:type="dxa"/>
            <w:shd w:val="clear" w:color="auto" w:fill="FFFFFF"/>
          </w:tcPr>
          <w:p w:rsidR="00B95D3D" w:rsidRPr="008E2B63" w:rsidRDefault="00B95D3D" w:rsidP="00B95D3D">
            <w:pPr>
              <w:pStyle w:val="CETBodytext"/>
              <w:ind w:right="-1"/>
              <w:jc w:val="right"/>
              <w:rPr>
                <w:rFonts w:cs="Arial"/>
                <w:szCs w:val="18"/>
              </w:rPr>
            </w:pPr>
            <w:r w:rsidRPr="008E2B63">
              <w:rPr>
                <w:rFonts w:cs="Arial"/>
                <w:szCs w:val="18"/>
              </w:rPr>
              <w:t>2.46 %</w:t>
            </w:r>
          </w:p>
        </w:tc>
      </w:tr>
    </w:tbl>
    <w:p w:rsidR="00463DEB" w:rsidRPr="008E2B63" w:rsidRDefault="00463DEB" w:rsidP="00463DEB">
      <w:pPr>
        <w:pStyle w:val="CETBodytext"/>
      </w:pPr>
    </w:p>
    <w:p w:rsidR="00D831C2" w:rsidRDefault="006E4EFF" w:rsidP="00463DEB">
      <w:pPr>
        <w:pStyle w:val="CETBodytext"/>
      </w:pPr>
      <w:r>
        <w:t>It was employed g</w:t>
      </w:r>
      <w:r w:rsidR="0094735B" w:rsidRPr="002E583C">
        <w:t xml:space="preserve">rade 5 </w:t>
      </w:r>
      <w:r w:rsidR="00A30F32">
        <w:t>nitrogen</w:t>
      </w:r>
      <w:r w:rsidR="002E583C" w:rsidRPr="002E583C">
        <w:t xml:space="preserve"> and </w:t>
      </w:r>
      <w:r w:rsidR="00A30F32">
        <w:t>hydrogen</w:t>
      </w:r>
      <w:r w:rsidR="00136DDA">
        <w:t xml:space="preserve"> gases.</w:t>
      </w:r>
    </w:p>
    <w:p w:rsidR="00600535" w:rsidRPr="002E583C" w:rsidRDefault="002E583C" w:rsidP="00463DEB">
      <w:pPr>
        <w:pStyle w:val="CETBodytext"/>
      </w:pPr>
      <w:r w:rsidRPr="002E583C">
        <w:t xml:space="preserve">The standard references to chromatography analyses were </w:t>
      </w:r>
      <w:r w:rsidR="00D831C2">
        <w:t xml:space="preserve">n-heptane, n-octane, </w:t>
      </w:r>
      <w:r w:rsidR="00463DEB" w:rsidRPr="002E583C">
        <w:t>n-</w:t>
      </w:r>
      <w:r w:rsidRPr="002E583C">
        <w:t>decane</w:t>
      </w:r>
      <w:r w:rsidR="00463DEB" w:rsidRPr="002E583C">
        <w:t>, n-dodecan</w:t>
      </w:r>
      <w:r w:rsidRPr="002E583C">
        <w:t>e</w:t>
      </w:r>
      <w:r w:rsidR="00463DEB" w:rsidRPr="002E583C">
        <w:t>, n-tridecan</w:t>
      </w:r>
      <w:r w:rsidRPr="002E583C">
        <w:t>e</w:t>
      </w:r>
      <w:r w:rsidR="00463DEB" w:rsidRPr="002E583C">
        <w:t>, n-tetradecan</w:t>
      </w:r>
      <w:r w:rsidRPr="002E583C">
        <w:t>e</w:t>
      </w:r>
      <w:r w:rsidR="00463DEB" w:rsidRPr="002E583C">
        <w:t>, n-pentadecan</w:t>
      </w:r>
      <w:r w:rsidRPr="002E583C">
        <w:t>e</w:t>
      </w:r>
      <w:r w:rsidR="00463DEB" w:rsidRPr="002E583C">
        <w:t>, n-hexadecan</w:t>
      </w:r>
      <w:r w:rsidRPr="002E583C">
        <w:t>e</w:t>
      </w:r>
      <w:r w:rsidR="006E4EFF">
        <w:t>,</w:t>
      </w:r>
      <w:r w:rsidR="00463DEB" w:rsidRPr="002E583C">
        <w:t xml:space="preserve"> tripalmitin</w:t>
      </w:r>
      <w:r w:rsidR="006E4EFF">
        <w:t xml:space="preserve">, and tricaprin </w:t>
      </w:r>
      <w:r>
        <w:t>with a purity of</w:t>
      </w:r>
      <w:r w:rsidR="00463DEB" w:rsidRPr="002E583C">
        <w:t xml:space="preserve"> 99</w:t>
      </w:r>
      <w:r>
        <w:t xml:space="preserve"> </w:t>
      </w:r>
      <w:r w:rsidR="00463DEB" w:rsidRPr="002E583C">
        <w:t>%.</w:t>
      </w:r>
    </w:p>
    <w:p w:rsidR="00B95D3D" w:rsidRPr="002E583C" w:rsidRDefault="00B95D3D" w:rsidP="00B95D3D">
      <w:pPr>
        <w:pStyle w:val="CETHeading1"/>
      </w:pPr>
      <w:r w:rsidRPr="002E583C">
        <w:t>Methods</w:t>
      </w:r>
    </w:p>
    <w:p w:rsidR="00565B71" w:rsidRPr="008E2B63" w:rsidRDefault="002E583C" w:rsidP="00565B71">
      <w:pPr>
        <w:pStyle w:val="CETheadingx"/>
      </w:pPr>
      <w:r>
        <w:t>Synthesis of the catalysts</w:t>
      </w:r>
    </w:p>
    <w:p w:rsidR="00565B71" w:rsidRDefault="00FE13BA" w:rsidP="002E583C">
      <w:pPr>
        <w:pStyle w:val="CETBodytext"/>
      </w:pPr>
      <w:r>
        <w:t>1 %m/m platinum supported catalyst were prepared by wet impregnation using the three zeolites types (</w:t>
      </w:r>
      <w:r w:rsidR="006E4EFF">
        <w:t xml:space="preserve">ZSM-5, USY and </w:t>
      </w:r>
      <w:r>
        <w:t>H-</w:t>
      </w:r>
      <w:r>
        <w:sym w:font="Symbol" w:char="F062"/>
      </w:r>
      <w:r>
        <w:t>). A</w:t>
      </w:r>
      <w:r w:rsidR="00A30F32">
        <w:t xml:space="preserve"> solution of</w:t>
      </w:r>
      <w:r w:rsidR="002E583C" w:rsidRPr="002E583C">
        <w:t xml:space="preserve"> tetramine platinum dichloride salt</w:t>
      </w:r>
      <w:r>
        <w:t xml:space="preserve"> (II) </w:t>
      </w:r>
      <w:r w:rsidR="00565B71" w:rsidRPr="002E583C">
        <w:t>Pt(NH</w:t>
      </w:r>
      <w:r w:rsidR="00565B71" w:rsidRPr="006B1CB3">
        <w:rPr>
          <w:vertAlign w:val="subscript"/>
        </w:rPr>
        <w:t>3</w:t>
      </w:r>
      <w:r>
        <w:t>)</w:t>
      </w:r>
      <w:r w:rsidR="00565B71" w:rsidRPr="006B1CB3">
        <w:rPr>
          <w:vertAlign w:val="subscript"/>
        </w:rPr>
        <w:t>4</w:t>
      </w:r>
      <w:r w:rsidR="00565B71" w:rsidRPr="002E583C">
        <w:t>Cl</w:t>
      </w:r>
      <w:r w:rsidR="00565B71" w:rsidRPr="006B1CB3">
        <w:rPr>
          <w:vertAlign w:val="subscript"/>
        </w:rPr>
        <w:t>2</w:t>
      </w:r>
      <w:r>
        <w:t xml:space="preserve"> was used as salt precursor. </w:t>
      </w:r>
    </w:p>
    <w:p w:rsidR="00565B71" w:rsidRDefault="002E583C" w:rsidP="002E583C">
      <w:pPr>
        <w:pStyle w:val="CETBodytext"/>
      </w:pPr>
      <w:r w:rsidRPr="002E583C">
        <w:t xml:space="preserve">These catalysts were activated at </w:t>
      </w:r>
      <w:r w:rsidR="006B1CB3">
        <w:t>470 K</w:t>
      </w:r>
      <w:r w:rsidRPr="002E583C">
        <w:t xml:space="preserve"> for 2 h in a reducing atmosphere of 30</w:t>
      </w:r>
      <w:r>
        <w:t xml:space="preserve"> </w:t>
      </w:r>
      <w:r w:rsidRPr="002E583C">
        <w:t>% H</w:t>
      </w:r>
      <w:r w:rsidRPr="002E583C">
        <w:rPr>
          <w:vertAlign w:val="subscript"/>
        </w:rPr>
        <w:t>2</w:t>
      </w:r>
      <w:r w:rsidRPr="002E583C">
        <w:t>/N</w:t>
      </w:r>
      <w:r w:rsidRPr="002E583C">
        <w:rPr>
          <w:vertAlign w:val="subscript"/>
        </w:rPr>
        <w:t>2</w:t>
      </w:r>
      <w:r w:rsidRPr="002E583C">
        <w:t>. The heating was</w:t>
      </w:r>
      <w:r w:rsidR="006B1CB3">
        <w:t xml:space="preserve"> </w:t>
      </w:r>
      <w:r w:rsidRPr="002E583C">
        <w:t xml:space="preserve">from </w:t>
      </w:r>
      <w:r w:rsidR="00513623">
        <w:t xml:space="preserve">room temperature </w:t>
      </w:r>
      <w:r w:rsidRPr="002E583C">
        <w:t xml:space="preserve">with a </w:t>
      </w:r>
      <w:r w:rsidR="00513623">
        <w:t xml:space="preserve">rate </w:t>
      </w:r>
      <w:r w:rsidRPr="002E583C">
        <w:t xml:space="preserve">of 2 </w:t>
      </w:r>
      <w:r w:rsidR="006B1CB3">
        <w:t>K</w:t>
      </w:r>
      <w:r w:rsidRPr="002E583C">
        <w:t>/min.</w:t>
      </w:r>
    </w:p>
    <w:p w:rsidR="004E528D" w:rsidRPr="007F5877" w:rsidRDefault="004E528D" w:rsidP="004E528D">
      <w:pPr>
        <w:pStyle w:val="CETBodytext"/>
      </w:pPr>
      <w:r w:rsidRPr="005C0D21">
        <w:t xml:space="preserve">The </w:t>
      </w:r>
      <w:r w:rsidR="006B1CB3">
        <w:t>crystal structure</w:t>
      </w:r>
      <w:r w:rsidR="00ED7C0A">
        <w:t>s</w:t>
      </w:r>
      <w:r w:rsidR="006B1CB3">
        <w:t xml:space="preserve"> of the zeolites</w:t>
      </w:r>
      <w:r w:rsidRPr="005C0D21">
        <w:t xml:space="preserve"> were characterized by X-ray diffraction (XRD)</w:t>
      </w:r>
      <w:r w:rsidR="006E4EFF">
        <w:t>, the</w:t>
      </w:r>
      <w:r w:rsidRPr="005C0D21">
        <w:t xml:space="preserve"> </w:t>
      </w:r>
      <w:r w:rsidR="006E4EFF">
        <w:t>s</w:t>
      </w:r>
      <w:r w:rsidR="00AE6E0A" w:rsidRPr="00AE6E0A">
        <w:t xml:space="preserve">urface functional groups </w:t>
      </w:r>
      <w:r w:rsidR="006E4EFF">
        <w:t>were</w:t>
      </w:r>
      <w:r w:rsidR="00AE6E0A" w:rsidRPr="00AE6E0A">
        <w:t xml:space="preserve"> analyzed by X-ray spectrometry</w:t>
      </w:r>
      <w:r w:rsidR="006E4EFF">
        <w:t>, and the</w:t>
      </w:r>
      <w:r w:rsidRPr="005C0D21">
        <w:t xml:space="preserve"> </w:t>
      </w:r>
      <w:r w:rsidR="006E4EFF">
        <w:t>m</w:t>
      </w:r>
      <w:r w:rsidR="00AE6E0A">
        <w:t>or</w:t>
      </w:r>
      <w:r w:rsidRPr="005C0D21">
        <w:t xml:space="preserve">phology and particle size of the reduced catalysts were examined by scanning electron microscopy. </w:t>
      </w:r>
    </w:p>
    <w:p w:rsidR="00565B71" w:rsidRPr="007F5877" w:rsidRDefault="007C6E97" w:rsidP="00565B71">
      <w:pPr>
        <w:pStyle w:val="CETheadingx"/>
        <w:numPr>
          <w:ilvl w:val="0"/>
          <w:numId w:val="0"/>
        </w:numPr>
      </w:pPr>
      <w:r w:rsidRPr="007F5877">
        <w:t>3.2</w:t>
      </w:r>
      <w:r w:rsidR="00565B71" w:rsidRPr="007F5877">
        <w:t xml:space="preserve"> </w:t>
      </w:r>
      <w:r w:rsidR="00513623" w:rsidRPr="00BE537D">
        <w:t>Oil hydrotreatment</w:t>
      </w:r>
    </w:p>
    <w:p w:rsidR="000358C5" w:rsidRDefault="000358C5" w:rsidP="00565B71">
      <w:pPr>
        <w:pStyle w:val="CETBodytext"/>
      </w:pPr>
      <w:r w:rsidRPr="000358C5">
        <w:t>The tests were carried out in a 300 m</w:t>
      </w:r>
      <w:r w:rsidR="008D3F04">
        <w:t>L</w:t>
      </w:r>
      <w:r w:rsidRPr="000358C5">
        <w:t xml:space="preserve"> batch reactor (Figure 2). 80 mL of oil and catalyst mixture in a 10:1 mass ratio </w:t>
      </w:r>
      <w:r w:rsidR="006E4EFF">
        <w:t>was</w:t>
      </w:r>
      <w:r w:rsidRPr="000358C5">
        <w:t xml:space="preserve"> charged to a borosilicate vessel. The catalyst </w:t>
      </w:r>
      <w:r w:rsidR="006E4EFF">
        <w:t>was</w:t>
      </w:r>
      <w:r w:rsidRPr="000358C5">
        <w:t xml:space="preserve"> a mixture between 1</w:t>
      </w:r>
      <w:r w:rsidR="009A1A56">
        <w:t xml:space="preserve"> </w:t>
      </w:r>
      <w:r w:rsidRPr="000358C5">
        <w:t>% Pt/Zeolite and Zeolite</w:t>
      </w:r>
      <w:r w:rsidR="009A1A56">
        <w:t xml:space="preserve"> (without metal)</w:t>
      </w:r>
      <w:r w:rsidRPr="000358C5">
        <w:t xml:space="preserve"> in a ratio of 1 to 13.5 by mass. The magnetic stirrer </w:t>
      </w:r>
      <w:r w:rsidR="006E4EFF">
        <w:t>was</w:t>
      </w:r>
      <w:r w:rsidRPr="000358C5">
        <w:t xml:space="preserve"> </w:t>
      </w:r>
      <w:r w:rsidR="00A30F32">
        <w:t>located in the bottom of the vessel</w:t>
      </w:r>
      <w:r w:rsidRPr="000358C5">
        <w:t xml:space="preserve"> and the</w:t>
      </w:r>
      <w:r w:rsidR="00A30F32">
        <w:t>n</w:t>
      </w:r>
      <w:r w:rsidR="006E4EFF">
        <w:t>, it was</w:t>
      </w:r>
      <w:r w:rsidRPr="000358C5">
        <w:t xml:space="preserve"> introduced to the reactor. Subsequently, the system is purged 5 times with nitrogen reaching a pressure of 40</w:t>
      </w:r>
      <w:r w:rsidR="006E4EFF">
        <w:t>00 kPa</w:t>
      </w:r>
      <w:r w:rsidRPr="000358C5">
        <w:t xml:space="preserve"> and slowly degassing up to 2</w:t>
      </w:r>
      <w:r w:rsidR="006E4EFF">
        <w:t>00</w:t>
      </w:r>
      <w:r w:rsidRPr="000358C5">
        <w:t xml:space="preserve"> </w:t>
      </w:r>
      <w:r w:rsidR="006E4EFF">
        <w:t>kPa</w:t>
      </w:r>
      <w:r w:rsidRPr="000358C5">
        <w:t xml:space="preserve">. Finally, it is </w:t>
      </w:r>
      <w:r w:rsidR="009A1A56">
        <w:t>taken</w:t>
      </w:r>
      <w:r w:rsidRPr="000358C5">
        <w:t xml:space="preserve"> to room temperature and 115</w:t>
      </w:r>
      <w:r w:rsidR="006E4EFF">
        <w:t>0</w:t>
      </w:r>
      <w:r w:rsidRPr="000358C5">
        <w:t xml:space="preserve"> </w:t>
      </w:r>
      <w:r w:rsidR="006E4EFF">
        <w:t>kPa</w:t>
      </w:r>
      <w:r w:rsidRPr="000358C5">
        <w:t xml:space="preserve"> with </w:t>
      </w:r>
      <w:r w:rsidR="009A1A56">
        <w:t>nitrogen</w:t>
      </w:r>
      <w:r w:rsidRPr="000358C5">
        <w:t xml:space="preserve"> and to 15</w:t>
      </w:r>
      <w:r w:rsidR="006E4EFF">
        <w:t>00 kPa</w:t>
      </w:r>
      <w:r w:rsidRPr="000358C5">
        <w:t xml:space="preserve"> with </w:t>
      </w:r>
      <w:r w:rsidR="009A1A56">
        <w:t xml:space="preserve">hydrogen. </w:t>
      </w:r>
      <w:r w:rsidR="00CF09EB">
        <w:t>Namely,</w:t>
      </w:r>
      <w:r w:rsidR="009A1A56">
        <w:t xml:space="preserve"> </w:t>
      </w:r>
      <w:r w:rsidR="00CF09EB">
        <w:t xml:space="preserve">the reactor had </w:t>
      </w:r>
      <w:r w:rsidR="009A1A56">
        <w:t>an</w:t>
      </w:r>
      <w:r w:rsidRPr="000358C5">
        <w:t xml:space="preserve"> atmosphere at 30</w:t>
      </w:r>
      <w:r w:rsidR="009A1A56">
        <w:t xml:space="preserve"> </w:t>
      </w:r>
      <w:r w:rsidRPr="000358C5">
        <w:t>%</w:t>
      </w:r>
      <w:r w:rsidR="009A1A56">
        <w:t xml:space="preserve"> of</w:t>
      </w:r>
      <w:r w:rsidRPr="000358C5">
        <w:t xml:space="preserve"> </w:t>
      </w:r>
      <w:r w:rsidR="009A1A56">
        <w:t>hydrogen</w:t>
      </w:r>
      <w:r w:rsidRPr="000358C5">
        <w:t xml:space="preserve">. The system is heated up to 525 K </w:t>
      </w:r>
      <w:r w:rsidR="009A1A56">
        <w:t>with a rate</w:t>
      </w:r>
      <w:r w:rsidRPr="000358C5">
        <w:t xml:space="preserve"> of 7 K/min. </w:t>
      </w:r>
      <w:r w:rsidR="009A1A56">
        <w:t>Once the system reaches 525 K</w:t>
      </w:r>
      <w:r w:rsidRPr="000358C5">
        <w:t xml:space="preserve">, </w:t>
      </w:r>
      <w:r w:rsidR="009A1A56">
        <w:t xml:space="preserve">magnetic </w:t>
      </w:r>
      <w:r w:rsidRPr="000358C5">
        <w:t>agitation is activated and the reaction is allowed for 6 h.</w:t>
      </w:r>
    </w:p>
    <w:p w:rsidR="00D32B7B" w:rsidRDefault="00D32B7B" w:rsidP="00565B71">
      <w:pPr>
        <w:pStyle w:val="CETBodytext"/>
      </w:pPr>
    </w:p>
    <w:p w:rsidR="008B1E93" w:rsidRDefault="008B1E93" w:rsidP="00565B71">
      <w:pPr>
        <w:pStyle w:val="CETBodytext"/>
      </w:pPr>
      <w:r>
        <w:rPr>
          <w:noProof/>
          <w:lang w:val="es-MX" w:eastAsia="es-MX"/>
        </w:rPr>
        <w:drawing>
          <wp:inline distT="0" distB="0" distL="0" distR="0" wp14:anchorId="602F116B" wp14:editId="31B09E9E">
            <wp:extent cx="5476875" cy="259539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0437" cy="2597080"/>
                    </a:xfrm>
                    <a:prstGeom prst="rect">
                      <a:avLst/>
                    </a:prstGeom>
                  </pic:spPr>
                </pic:pic>
              </a:graphicData>
            </a:graphic>
          </wp:inline>
        </w:drawing>
      </w:r>
    </w:p>
    <w:p w:rsidR="00D32B7B" w:rsidRDefault="00D32B7B" w:rsidP="00D32B7B">
      <w:pPr>
        <w:pStyle w:val="CETCaption"/>
      </w:pPr>
      <w:r>
        <w:t xml:space="preserve">Figure 2: </w:t>
      </w:r>
      <w:r w:rsidRPr="00D32B7B">
        <w:t>Reaction assembly for oil hydrotreating</w:t>
      </w:r>
      <w:r>
        <w:t>.</w:t>
      </w:r>
    </w:p>
    <w:p w:rsidR="005C0D21" w:rsidRPr="005C0D21" w:rsidRDefault="005C0D21" w:rsidP="005C0D21">
      <w:pPr>
        <w:pStyle w:val="CETBodytext"/>
      </w:pPr>
      <w:r w:rsidRPr="005C0D21">
        <w:t>The products were separated by</w:t>
      </w:r>
      <w:r w:rsidR="00FE13BA">
        <w:t xml:space="preserve"> centrifugation (6000 rpm for 1 h</w:t>
      </w:r>
      <w:r w:rsidRPr="005C0D21">
        <w:t xml:space="preserve">) and decantation. The light phase was purified by filtration (0.42 </w:t>
      </w:r>
      <w:r w:rsidRPr="005C0D21">
        <w:rPr>
          <w:lang w:val="es-CO"/>
        </w:rPr>
        <w:t>μ</w:t>
      </w:r>
      <w:r w:rsidRPr="005C0D21">
        <w:t>m filter) using n-hexane as solvent. The</w:t>
      </w:r>
      <w:r w:rsidR="00A82A38">
        <w:t xml:space="preserve"> content of hydrocarbons</w:t>
      </w:r>
      <w:r w:rsidRPr="005C0D21">
        <w:t xml:space="preserve"> was determined in a gas chromatograph (GC) Agilent 6820, using a cast silica pre-column (0.3 mx 0.53 mm) and a capillary fused silica column SUPELCO SGE HT- 5 (12 mx 0.53 mm x 0.15 mm). 20 mg of sample </w:t>
      </w:r>
      <w:r w:rsidR="00CF09EB">
        <w:t>were</w:t>
      </w:r>
      <w:r w:rsidRPr="005C0D21">
        <w:t xml:space="preserve"> placed in an Eppendorf tube, adding 5 mg tricaprin as internal standard and carrying up to 1.5 mL with n-hexane. Manual samples of 1 </w:t>
      </w:r>
      <w:r w:rsidRPr="005C0D21">
        <w:rPr>
          <w:lang w:val="es-CO"/>
        </w:rPr>
        <w:t>μ</w:t>
      </w:r>
      <w:r w:rsidRPr="005C0D21">
        <w:t>L were injected manually</w:t>
      </w:r>
      <w:r w:rsidR="004E528D">
        <w:t xml:space="preserve"> to the chromatograph</w:t>
      </w:r>
      <w:r w:rsidRPr="005C0D21">
        <w:t>. After 1 min of stabilization at 413 K, the furnace temperature wa</w:t>
      </w:r>
      <w:r w:rsidR="00E4088A">
        <w:t>s programmed to increase from 25</w:t>
      </w:r>
      <w:r w:rsidRPr="005C0D21">
        <w:t xml:space="preserve">3 K to 653 K at 20 K/min, remaining at 653 </w:t>
      </w:r>
      <w:r w:rsidR="00CF09EB">
        <w:t xml:space="preserve">K </w:t>
      </w:r>
      <w:r w:rsidRPr="005C0D21">
        <w:t xml:space="preserve">for 10 min. The injector was </w:t>
      </w:r>
      <w:r w:rsidR="004E528D">
        <w:t xml:space="preserve">at </w:t>
      </w:r>
      <w:r w:rsidRPr="005C0D21">
        <w:t xml:space="preserve">623 K, and the detector was </w:t>
      </w:r>
      <w:r w:rsidR="004E528D">
        <w:t xml:space="preserve">at </w:t>
      </w:r>
      <w:r w:rsidRPr="005C0D21">
        <w:t>663 K. The carrier gas was nitrogen with a flow rate of 6 mL/min and a division ratio of 50:1. The hydrogen and dry air flows were 40 and 450 m</w:t>
      </w:r>
      <w:r w:rsidR="004E528D">
        <w:t>L</w:t>
      </w:r>
      <w:r w:rsidRPr="005C0D21">
        <w:t>/min respectively.</w:t>
      </w:r>
    </w:p>
    <w:p w:rsidR="001919DF" w:rsidRDefault="0015489E" w:rsidP="001919DF">
      <w:pPr>
        <w:pStyle w:val="CETHeading1"/>
      </w:pPr>
      <w:r>
        <w:t>Results and Discussion</w:t>
      </w:r>
    </w:p>
    <w:p w:rsidR="005C7B80" w:rsidRDefault="005C7B80" w:rsidP="005C7B80">
      <w:pPr>
        <w:pStyle w:val="CETheadingx"/>
      </w:pPr>
      <w:r>
        <w:t>Catalysts synthesis</w:t>
      </w:r>
    </w:p>
    <w:p w:rsidR="006B1CB3" w:rsidRDefault="006B1CB3" w:rsidP="00950BB3">
      <w:pPr>
        <w:pStyle w:val="CETBodytext"/>
      </w:pPr>
      <w:r w:rsidRPr="006B1CB3">
        <w:t xml:space="preserve">The X-ray diffraction results for the </w:t>
      </w:r>
      <w:r w:rsidR="00A27F39">
        <w:t>three zeolites</w:t>
      </w:r>
      <w:r w:rsidRPr="006B1CB3">
        <w:t xml:space="preserve"> are presented in Figure 3. </w:t>
      </w:r>
      <w:r w:rsidR="00CF09EB">
        <w:t xml:space="preserve">The </w:t>
      </w:r>
      <w:r w:rsidRPr="006B1CB3">
        <w:t>Pt/ZSM-5</w:t>
      </w:r>
      <w:r w:rsidR="00CF09EB">
        <w:t xml:space="preserve"> catalyst</w:t>
      </w:r>
      <w:r w:rsidRPr="006B1CB3">
        <w:t xml:space="preserve"> presents characteristic peaks of Tetrakis C</w:t>
      </w:r>
      <w:r w:rsidRPr="001F3D32">
        <w:rPr>
          <w:vertAlign w:val="subscript"/>
        </w:rPr>
        <w:t>48</w:t>
      </w:r>
      <w:r w:rsidRPr="006B1CB3">
        <w:t>H</w:t>
      </w:r>
      <w:r w:rsidRPr="001F3D32">
        <w:rPr>
          <w:vertAlign w:val="subscript"/>
        </w:rPr>
        <w:t>116</w:t>
      </w:r>
      <w:r w:rsidRPr="006B1CB3">
        <w:t>N</w:t>
      </w:r>
      <w:r w:rsidRPr="001F3D32">
        <w:rPr>
          <w:vertAlign w:val="subscript"/>
        </w:rPr>
        <w:t>4</w:t>
      </w:r>
      <w:r w:rsidRPr="006B1CB3">
        <w:t>O</w:t>
      </w:r>
      <w:r w:rsidRPr="001F3D32">
        <w:rPr>
          <w:vertAlign w:val="subscript"/>
        </w:rPr>
        <w:t>196</w:t>
      </w:r>
      <w:r w:rsidRPr="006B1CB3">
        <w:t>Si</w:t>
      </w:r>
      <w:r w:rsidRPr="001F3D32">
        <w:rPr>
          <w:vertAlign w:val="subscript"/>
        </w:rPr>
        <w:t>96</w:t>
      </w:r>
      <w:r w:rsidR="00CF09EB">
        <w:t xml:space="preserve">, </w:t>
      </w:r>
      <w:r w:rsidRPr="006B1CB3">
        <w:t xml:space="preserve">which synthesizes carboxylic acids, its structure is monoclinic </w:t>
      </w:r>
      <w:r w:rsidR="00A27F39">
        <w:t>with an</w:t>
      </w:r>
      <w:r w:rsidRPr="006B1CB3">
        <w:t xml:space="preserve"> intense and narrow peak which indicates a growth </w:t>
      </w:r>
      <w:r w:rsidR="00A27F39">
        <w:t>in</w:t>
      </w:r>
      <w:r w:rsidRPr="006B1CB3">
        <w:t xml:space="preserve"> the particle size of the </w:t>
      </w:r>
      <w:r w:rsidR="00240578">
        <w:t>T</w:t>
      </w:r>
      <w:r w:rsidRPr="006B1CB3">
        <w:t xml:space="preserve">etrakis and </w:t>
      </w:r>
      <w:r w:rsidR="00CF09EB">
        <w:t xml:space="preserve">a crystalline </w:t>
      </w:r>
      <w:r w:rsidRPr="006B1CB3">
        <w:t>order, which is due to the presence of the ammonium ion.</w:t>
      </w:r>
      <w:r w:rsidR="00950BB3">
        <w:t xml:space="preserve"> </w:t>
      </w:r>
      <w:r w:rsidR="00950BB3" w:rsidRPr="00460615">
        <w:t>Zeolite H-</w:t>
      </w:r>
      <w:r w:rsidR="00950BB3" w:rsidRPr="00460615">
        <w:rPr>
          <w:rFonts w:ascii="Symbol" w:hAnsi="Symbol"/>
        </w:rPr>
        <w:t></w:t>
      </w:r>
      <w:r w:rsidR="00950BB3" w:rsidRPr="00460615">
        <w:t xml:space="preserve"> is a material </w:t>
      </w:r>
      <w:r w:rsidR="00950BB3">
        <w:t>which has</w:t>
      </w:r>
      <w:r w:rsidR="00950BB3" w:rsidRPr="00460615">
        <w:t xml:space="preserve"> </w:t>
      </w:r>
      <w:r w:rsidR="00950BB3">
        <w:t>Fe</w:t>
      </w:r>
      <w:r w:rsidR="00950BB3" w:rsidRPr="00460615">
        <w:t xml:space="preserve"> in its structure</w:t>
      </w:r>
      <w:r w:rsidR="00950BB3">
        <w:t>,</w:t>
      </w:r>
      <w:r w:rsidR="00950BB3" w:rsidRPr="00460615">
        <w:t xml:space="preserve"> which </w:t>
      </w:r>
      <w:r w:rsidR="00950BB3">
        <w:t>confers it</w:t>
      </w:r>
      <w:r w:rsidR="00950BB3" w:rsidRPr="00460615">
        <w:t xml:space="preserve"> magnetic and catalytic properties</w:t>
      </w:r>
      <w:r w:rsidR="00950BB3">
        <w:t>.</w:t>
      </w:r>
      <w:r w:rsidR="00950BB3" w:rsidRPr="00460615">
        <w:t xml:space="preserve"> </w:t>
      </w:r>
      <w:r w:rsidR="00950BB3">
        <w:t>T</w:t>
      </w:r>
      <w:r w:rsidR="00950BB3" w:rsidRPr="00460615">
        <w:t xml:space="preserve">he inclusion of </w:t>
      </w:r>
      <w:r w:rsidR="00950BB3">
        <w:t xml:space="preserve">Fe </w:t>
      </w:r>
      <w:r w:rsidR="00950BB3" w:rsidRPr="00460615">
        <w:t>increases the spaces in its structure</w:t>
      </w:r>
      <w:r w:rsidR="00950BB3">
        <w:t>, presenting</w:t>
      </w:r>
      <w:r w:rsidR="00950BB3" w:rsidRPr="00460615">
        <w:t xml:space="preserve"> characteristic peaks in 22</w:t>
      </w:r>
      <w:r w:rsidR="00950BB3">
        <w:t>.</w:t>
      </w:r>
      <w:r w:rsidR="00950BB3" w:rsidRPr="00460615">
        <w:t>58</w:t>
      </w:r>
      <w:r w:rsidR="00950BB3">
        <w:t xml:space="preserve"> and</w:t>
      </w:r>
      <w:r w:rsidR="00950BB3" w:rsidRPr="00460615">
        <w:t xml:space="preserve"> 21.76</w:t>
      </w:r>
      <w:r w:rsidR="00950BB3">
        <w:t>.</w:t>
      </w:r>
      <w:r w:rsidR="00950BB3" w:rsidRPr="00460615">
        <w:t xml:space="preserve"> </w:t>
      </w:r>
      <w:r w:rsidR="00950BB3">
        <w:t>T</w:t>
      </w:r>
      <w:r w:rsidR="00950BB3" w:rsidRPr="00460615">
        <w:t>here is also a peak of W</w:t>
      </w:r>
      <w:r w:rsidR="00950BB3" w:rsidRPr="00240578">
        <w:rPr>
          <w:vertAlign w:val="subscript"/>
        </w:rPr>
        <w:t>36</w:t>
      </w:r>
      <w:r w:rsidR="00950BB3" w:rsidRPr="00460615">
        <w:t>P</w:t>
      </w:r>
      <w:r w:rsidR="00950BB3" w:rsidRPr="00240578">
        <w:rPr>
          <w:vertAlign w:val="subscript"/>
        </w:rPr>
        <w:t>4</w:t>
      </w:r>
      <w:r w:rsidR="00950BB3" w:rsidRPr="00460615">
        <w:t>Cu</w:t>
      </w:r>
      <w:r w:rsidR="00950BB3" w:rsidRPr="00240578">
        <w:rPr>
          <w:vertAlign w:val="subscript"/>
        </w:rPr>
        <w:t>4</w:t>
      </w:r>
      <w:r w:rsidR="00950BB3" w:rsidRPr="00460615">
        <w:t>N</w:t>
      </w:r>
      <w:r w:rsidR="00950BB3" w:rsidRPr="00240578">
        <w:rPr>
          <w:vertAlign w:val="subscript"/>
        </w:rPr>
        <w:t>24</w:t>
      </w:r>
      <w:r w:rsidR="00950BB3" w:rsidRPr="00460615">
        <w:t>O</w:t>
      </w:r>
      <w:r w:rsidR="00950BB3" w:rsidRPr="00240578">
        <w:rPr>
          <w:vertAlign w:val="subscript"/>
        </w:rPr>
        <w:t>126</w:t>
      </w:r>
      <w:r w:rsidR="00950BB3" w:rsidRPr="00460615">
        <w:t>C</w:t>
      </w:r>
      <w:r w:rsidR="00950BB3" w:rsidRPr="00240578">
        <w:rPr>
          <w:vertAlign w:val="subscript"/>
        </w:rPr>
        <w:t>9288</w:t>
      </w:r>
      <w:r w:rsidR="00950BB3" w:rsidRPr="00460615">
        <w:t xml:space="preserve"> at 7.9.</w:t>
      </w:r>
      <w:r w:rsidR="00950BB3">
        <w:t xml:space="preserve"> Where as </w:t>
      </w:r>
      <w:r w:rsidR="00950BB3" w:rsidRPr="00460615">
        <w:t>USY</w:t>
      </w:r>
      <w:r w:rsidR="00950BB3">
        <w:t xml:space="preserve"> zeolite presented a </w:t>
      </w:r>
      <w:r w:rsidR="00950BB3" w:rsidRPr="00460615">
        <w:t xml:space="preserve">size of the unit cell </w:t>
      </w:r>
      <w:r w:rsidR="00950BB3">
        <w:t>of</w:t>
      </w:r>
      <w:r w:rsidR="00950BB3" w:rsidRPr="00460615">
        <w:t xml:space="preserve"> 24.24 </w:t>
      </w:r>
      <w:r w:rsidR="00950BB3">
        <w:rPr>
          <w:rFonts w:cs="Arial"/>
        </w:rPr>
        <w:t>Å</w:t>
      </w:r>
      <w:r w:rsidR="00950BB3" w:rsidRPr="00460615">
        <w:t>.</w:t>
      </w:r>
    </w:p>
    <w:p w:rsidR="001919DF" w:rsidRDefault="001919DF" w:rsidP="006B1CB3">
      <w:pPr>
        <w:pStyle w:val="CETBodytext"/>
      </w:pPr>
    </w:p>
    <w:p w:rsidR="001919DF" w:rsidRDefault="001919DF" w:rsidP="006B1CB3">
      <w:pPr>
        <w:pStyle w:val="CETBodytext"/>
      </w:pPr>
      <w:r>
        <w:rPr>
          <w:noProof/>
          <w:lang w:val="es-MX" w:eastAsia="es-MX"/>
        </w:rPr>
        <w:drawing>
          <wp:inline distT="0" distB="0" distL="0" distR="0" wp14:anchorId="56C2BCD6" wp14:editId="7CC0FCBC">
            <wp:extent cx="5553075" cy="1747520"/>
            <wp:effectExtent l="0" t="0" r="952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8672" cy="1765016"/>
                    </a:xfrm>
                    <a:prstGeom prst="rect">
                      <a:avLst/>
                    </a:prstGeom>
                  </pic:spPr>
                </pic:pic>
              </a:graphicData>
            </a:graphic>
          </wp:inline>
        </w:drawing>
      </w:r>
    </w:p>
    <w:p w:rsidR="00D32B7B" w:rsidRDefault="001919DF" w:rsidP="001919DF">
      <w:pPr>
        <w:pStyle w:val="CETCaption"/>
      </w:pPr>
      <w:r>
        <w:t xml:space="preserve">Figure 3: </w:t>
      </w:r>
      <w:r w:rsidRPr="001919DF">
        <w:t>Diffractogram of the three catalysts</w:t>
      </w:r>
      <w:r>
        <w:t>.</w:t>
      </w:r>
    </w:p>
    <w:p w:rsidR="00460615" w:rsidRDefault="00460615" w:rsidP="00460615">
      <w:pPr>
        <w:pStyle w:val="CETBodytext"/>
      </w:pPr>
      <w:r w:rsidRPr="00460615">
        <w:t>The scanning electron microscopy show</w:t>
      </w:r>
      <w:r w:rsidR="00950BB3">
        <w:t>ed</w:t>
      </w:r>
      <w:r w:rsidRPr="00460615">
        <w:t xml:space="preserve"> </w:t>
      </w:r>
      <w:r w:rsidR="00950BB3">
        <w:t xml:space="preserve">a </w:t>
      </w:r>
      <w:r w:rsidR="00F31FCB" w:rsidRPr="00F31FCB">
        <w:t>considerable</w:t>
      </w:r>
      <w:r w:rsidR="00950BB3">
        <w:t xml:space="preserve"> </w:t>
      </w:r>
      <w:r w:rsidRPr="00460615">
        <w:t>grain size for the catalyst Pt/H-</w:t>
      </w:r>
      <w:r w:rsidR="00FE4A50" w:rsidRPr="00FE4A50">
        <w:rPr>
          <w:rFonts w:ascii="Symbol" w:hAnsi="Symbol"/>
        </w:rPr>
        <w:t></w:t>
      </w:r>
      <w:r w:rsidR="00950BB3">
        <w:rPr>
          <w:rFonts w:ascii="Symbol" w:hAnsi="Symbol"/>
        </w:rPr>
        <w:t></w:t>
      </w:r>
      <w:r w:rsidRPr="00460615">
        <w:t xml:space="preserve"> appreciating silicon</w:t>
      </w:r>
      <w:r w:rsidR="00F31FCB">
        <w:t>. Meanwhile</w:t>
      </w:r>
      <w:r w:rsidRPr="00460615">
        <w:t xml:space="preserve"> </w:t>
      </w:r>
      <w:r w:rsidR="00F31FCB">
        <w:t>the</w:t>
      </w:r>
      <w:r w:rsidRPr="00460615">
        <w:t xml:space="preserve"> Pt/USY</w:t>
      </w:r>
      <w:r w:rsidR="00F31FCB">
        <w:t xml:space="preserve"> presented </w:t>
      </w:r>
      <w:r w:rsidRPr="00460615">
        <w:t>some impurities</w:t>
      </w:r>
      <w:r w:rsidR="00F31FCB">
        <w:t>, as can be</w:t>
      </w:r>
      <w:r w:rsidRPr="00460615">
        <w:t xml:space="preserve"> observed in Figure 4. USY</w:t>
      </w:r>
      <w:r w:rsidR="00950BB3">
        <w:t xml:space="preserve"> catalyst</w:t>
      </w:r>
      <w:r w:rsidRPr="00460615">
        <w:t xml:space="preserve"> present</w:t>
      </w:r>
      <w:r w:rsidR="00950BB3">
        <w:t>ed</w:t>
      </w:r>
      <w:r w:rsidRPr="00460615">
        <w:t xml:space="preserve"> a greater surface area (780 m</w:t>
      </w:r>
      <w:r w:rsidRPr="00240578">
        <w:rPr>
          <w:vertAlign w:val="superscript"/>
        </w:rPr>
        <w:t>2</w:t>
      </w:r>
      <w:r w:rsidRPr="00460615">
        <w:t>/g compared to 620 m</w:t>
      </w:r>
      <w:r w:rsidRPr="00240578">
        <w:rPr>
          <w:vertAlign w:val="superscript"/>
        </w:rPr>
        <w:t>2</w:t>
      </w:r>
      <w:r w:rsidRPr="00460615">
        <w:t>/g)</w:t>
      </w:r>
      <w:r w:rsidR="00F31FCB">
        <w:t>,</w:t>
      </w:r>
      <w:r w:rsidRPr="00460615">
        <w:t xml:space="preserve"> due to the smaller grain size</w:t>
      </w:r>
      <w:r w:rsidR="00F31FCB">
        <w:t>.</w:t>
      </w:r>
      <w:r w:rsidRPr="00460615">
        <w:t xml:space="preserve"> </w:t>
      </w:r>
      <w:r w:rsidR="00F31FCB">
        <w:t>I</w:t>
      </w:r>
      <w:r w:rsidRPr="00460615">
        <w:t>n addition</w:t>
      </w:r>
      <w:r w:rsidR="00F31FCB">
        <w:t>,</w:t>
      </w:r>
      <w:r w:rsidRPr="00460615">
        <w:t xml:space="preserve"> there are uniform zones and others with agglomerations seems due to the dispersion of</w:t>
      </w:r>
      <w:r>
        <w:t xml:space="preserve"> </w:t>
      </w:r>
      <w:r w:rsidRPr="00460615">
        <w:t>platinum</w:t>
      </w:r>
      <w:r>
        <w:t>.</w:t>
      </w:r>
    </w:p>
    <w:p w:rsidR="005C7B80" w:rsidRDefault="005C7B80" w:rsidP="00460615">
      <w:pPr>
        <w:pStyle w:val="CETBodytext"/>
      </w:pPr>
    </w:p>
    <w:p w:rsidR="00460615" w:rsidRDefault="006221A6" w:rsidP="00311C66">
      <w:pPr>
        <w:pStyle w:val="CETBodytext"/>
        <w:jc w:val="left"/>
      </w:pPr>
      <w:r w:rsidRPr="006221A6">
        <w:rPr>
          <w:noProof/>
          <w:lang w:val="es-MX" w:eastAsia="es-MX"/>
        </w:rPr>
        <w:drawing>
          <wp:inline distT="0" distB="0" distL="0" distR="0" wp14:anchorId="708AEA3F" wp14:editId="22ACA5CA">
            <wp:extent cx="4181475" cy="204433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0528" cy="2053654"/>
                    </a:xfrm>
                    <a:prstGeom prst="rect">
                      <a:avLst/>
                    </a:prstGeom>
                  </pic:spPr>
                </pic:pic>
              </a:graphicData>
            </a:graphic>
          </wp:inline>
        </w:drawing>
      </w:r>
    </w:p>
    <w:p w:rsidR="00460615" w:rsidRDefault="00460615" w:rsidP="00460615">
      <w:pPr>
        <w:pStyle w:val="CETCaption"/>
      </w:pPr>
      <w:r>
        <w:t xml:space="preserve">Figure 4: </w:t>
      </w:r>
      <w:r w:rsidR="00E67911" w:rsidRPr="00E67911">
        <w:t>SEM for 1</w:t>
      </w:r>
      <w:r w:rsidR="00154EB3">
        <w:t xml:space="preserve"> </w:t>
      </w:r>
      <w:r w:rsidR="00E67911" w:rsidRPr="00E67911">
        <w:t>% Pt/H-</w:t>
      </w:r>
      <w:r w:rsidR="00E67911" w:rsidRPr="00E67911">
        <w:rPr>
          <w:rFonts w:ascii="Symbol" w:hAnsi="Symbol"/>
        </w:rPr>
        <w:t></w:t>
      </w:r>
      <w:r w:rsidR="00E67911" w:rsidRPr="00E67911">
        <w:t xml:space="preserve"> (left) and 1</w:t>
      </w:r>
      <w:r w:rsidR="00154EB3">
        <w:t xml:space="preserve"> </w:t>
      </w:r>
      <w:r w:rsidR="00E67911" w:rsidRPr="00E67911">
        <w:t>% Pt/USY (</w:t>
      </w:r>
      <w:r w:rsidR="00E67911">
        <w:t>right</w:t>
      </w:r>
      <w:r w:rsidR="00E67911" w:rsidRPr="00E67911">
        <w:t>)</w:t>
      </w:r>
      <w:r w:rsidR="00154EB3">
        <w:t>.</w:t>
      </w:r>
    </w:p>
    <w:p w:rsidR="00FE4A50" w:rsidRDefault="00FE4A50" w:rsidP="00460615">
      <w:pPr>
        <w:pStyle w:val="CETBodytext"/>
      </w:pPr>
      <w:r w:rsidRPr="00FE4A50">
        <w:t>Finally, the infrared absorptance and transmittance spectra</w:t>
      </w:r>
      <w:r w:rsidR="00F31FCB">
        <w:t>, by the FTIR analysis,</w:t>
      </w:r>
      <w:r w:rsidRPr="00FE4A50">
        <w:t xml:space="preserve"> for the Pt/ZSM-5 and Pt/USY catalysts are shown in Figure </w:t>
      </w:r>
      <w:r w:rsidR="00F31FCB">
        <w:t>5</w:t>
      </w:r>
      <w:r w:rsidRPr="00FE4A50">
        <w:t>.</w:t>
      </w:r>
    </w:p>
    <w:p w:rsidR="00FE4A50" w:rsidRDefault="004B0ECF" w:rsidP="00460615">
      <w:pPr>
        <w:pStyle w:val="CETBodytext"/>
      </w:pPr>
      <w:r w:rsidRPr="004B0ECF">
        <w:rPr>
          <w:noProof/>
          <w:lang w:val="es-MX" w:eastAsia="es-MX"/>
        </w:rPr>
        <w:drawing>
          <wp:inline distT="0" distB="0" distL="0" distR="0" wp14:anchorId="597C6575" wp14:editId="5FD12A75">
            <wp:extent cx="3027983" cy="2212189"/>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1105" cy="2236387"/>
                    </a:xfrm>
                    <a:prstGeom prst="rect">
                      <a:avLst/>
                    </a:prstGeom>
                  </pic:spPr>
                </pic:pic>
              </a:graphicData>
            </a:graphic>
          </wp:inline>
        </w:drawing>
      </w:r>
    </w:p>
    <w:p w:rsidR="00A27F39" w:rsidRPr="00240578" w:rsidRDefault="00FE4A50" w:rsidP="00FE4A50">
      <w:pPr>
        <w:pStyle w:val="CETCaption"/>
        <w:rPr>
          <w:lang w:val="en-US"/>
        </w:rPr>
      </w:pPr>
      <w:r w:rsidRPr="00240578">
        <w:rPr>
          <w:lang w:val="en-US"/>
        </w:rPr>
        <w:t xml:space="preserve">Figure 5: </w:t>
      </w:r>
      <w:r w:rsidR="00240578" w:rsidRPr="00240578">
        <w:rPr>
          <w:lang w:val="en-US"/>
        </w:rPr>
        <w:t>IR spectrum of</w:t>
      </w:r>
      <w:r w:rsidRPr="00240578">
        <w:rPr>
          <w:lang w:val="en-US"/>
        </w:rPr>
        <w:t xml:space="preserve"> 1</w:t>
      </w:r>
      <w:r w:rsidR="00240578" w:rsidRPr="00240578">
        <w:rPr>
          <w:lang w:val="en-US"/>
        </w:rPr>
        <w:t xml:space="preserve"> </w:t>
      </w:r>
      <w:r w:rsidRPr="00240578">
        <w:rPr>
          <w:lang w:val="en-US"/>
        </w:rPr>
        <w:t>% Pt/ZSM-5 (</w:t>
      </w:r>
      <w:r w:rsidR="004B0ECF">
        <w:rPr>
          <w:lang w:val="en-US"/>
        </w:rPr>
        <w:t>green</w:t>
      </w:r>
      <w:r w:rsidRPr="00240578">
        <w:rPr>
          <w:lang w:val="en-US"/>
        </w:rPr>
        <w:t>) y 1</w:t>
      </w:r>
      <w:r w:rsidR="00240578" w:rsidRPr="00240578">
        <w:rPr>
          <w:lang w:val="en-US"/>
        </w:rPr>
        <w:t xml:space="preserve"> </w:t>
      </w:r>
      <w:r w:rsidRPr="00240578">
        <w:rPr>
          <w:lang w:val="en-US"/>
        </w:rPr>
        <w:t>% Pt/USY (</w:t>
      </w:r>
      <w:r w:rsidR="004B0ECF">
        <w:rPr>
          <w:lang w:val="en-US"/>
        </w:rPr>
        <w:t>blue</w:t>
      </w:r>
      <w:r w:rsidRPr="00240578">
        <w:rPr>
          <w:lang w:val="en-US"/>
        </w:rPr>
        <w:t>).</w:t>
      </w:r>
    </w:p>
    <w:p w:rsidR="00FE4A50" w:rsidRDefault="00F31FCB" w:rsidP="00FE4A50">
      <w:pPr>
        <w:pStyle w:val="CETBodytext"/>
      </w:pPr>
      <w:r>
        <w:t>Results are according with the zeolite description, since zeolite</w:t>
      </w:r>
      <w:r w:rsidR="00FE4A50">
        <w:t xml:space="preserve"> is a material that presents hydration in the ranges 3500 to 1640 cm</w:t>
      </w:r>
      <w:r w:rsidR="00FE4A50" w:rsidRPr="00A82A38">
        <w:rPr>
          <w:vertAlign w:val="superscript"/>
        </w:rPr>
        <w:t>-1</w:t>
      </w:r>
      <w:r>
        <w:t>. Meanwhile t</w:t>
      </w:r>
      <w:r w:rsidR="00FE4A50">
        <w:t>he characteristic peaks of aluminosilicates</w:t>
      </w:r>
      <w:r w:rsidR="00372308">
        <w:t xml:space="preserve"> (essential components of zeolites)</w:t>
      </w:r>
      <w:r w:rsidR="00FE4A50">
        <w:t xml:space="preserve">, </w:t>
      </w:r>
      <w:r w:rsidR="00372308">
        <w:t>are appreciated i</w:t>
      </w:r>
      <w:r>
        <w:t>n the region of 560 to 630, due to the rings of vibration of SiO</w:t>
      </w:r>
      <w:r w:rsidRPr="00B578A5">
        <w:rPr>
          <w:vertAlign w:val="subscript"/>
        </w:rPr>
        <w:t>4</w:t>
      </w:r>
      <w:r>
        <w:t xml:space="preserve"> and AlO</w:t>
      </w:r>
      <w:r w:rsidRPr="00B578A5">
        <w:rPr>
          <w:vertAlign w:val="subscript"/>
        </w:rPr>
        <w:t>4</w:t>
      </w:r>
      <w:r w:rsidR="00FE4A50">
        <w:t>.</w:t>
      </w:r>
    </w:p>
    <w:p w:rsidR="00FE4A50" w:rsidRDefault="005C7B80" w:rsidP="005C7B80">
      <w:pPr>
        <w:pStyle w:val="CETheadingx"/>
      </w:pPr>
      <w:r>
        <w:t>Biofuel synthesis</w:t>
      </w:r>
    </w:p>
    <w:p w:rsidR="00FE4A50" w:rsidRDefault="00372308" w:rsidP="00FE4A50">
      <w:pPr>
        <w:pStyle w:val="CETBodytext"/>
      </w:pPr>
      <w:r>
        <w:t>It was appreciated a</w:t>
      </w:r>
      <w:r w:rsidR="00FE4A50">
        <w:t xml:space="preserve"> remarkable organoleptic difference </w:t>
      </w:r>
      <w:r>
        <w:t xml:space="preserve">between the fuels </w:t>
      </w:r>
      <w:r w:rsidRPr="00372308">
        <w:t>synthesized</w:t>
      </w:r>
      <w:r>
        <w:t xml:space="preserve"> by the three catalyst</w:t>
      </w:r>
      <w:r w:rsidR="00FE4A50">
        <w:t>s</w:t>
      </w:r>
      <w:r>
        <w:t xml:space="preserve">, especially </w:t>
      </w:r>
      <w:r w:rsidR="00FE4A50">
        <w:t>in the color</w:t>
      </w:r>
      <w:r w:rsidR="00CC63E1">
        <w:t xml:space="preserve"> (darker for the </w:t>
      </w:r>
      <w:r w:rsidR="00CC63E1" w:rsidRPr="00A41648">
        <w:t>H-</w:t>
      </w:r>
      <w:r w:rsidR="00CC63E1" w:rsidRPr="00E72885">
        <w:rPr>
          <w:rFonts w:ascii="Symbol" w:hAnsi="Symbol"/>
        </w:rPr>
        <w:t></w:t>
      </w:r>
      <w:r w:rsidR="00CC63E1" w:rsidRPr="00A41648">
        <w:t xml:space="preserve"> zeolite</w:t>
      </w:r>
      <w:r w:rsidR="00CC63E1">
        <w:t>)</w:t>
      </w:r>
      <w:r w:rsidR="00FE4A50">
        <w:t xml:space="preserve">, which may indicate a greater presence of </w:t>
      </w:r>
      <w:r w:rsidR="00CC63E1">
        <w:t>long</w:t>
      </w:r>
      <w:r w:rsidR="00FE4A50">
        <w:t xml:space="preserve"> </w:t>
      </w:r>
      <w:r>
        <w:t>molecule</w:t>
      </w:r>
      <w:r w:rsidR="00CC63E1">
        <w:t>s</w:t>
      </w:r>
      <w:r>
        <w:t xml:space="preserve"> chains</w:t>
      </w:r>
      <w:r w:rsidR="00FE4A50">
        <w:t xml:space="preserve">. In the same way, </w:t>
      </w:r>
      <w:r w:rsidR="00CC63E1">
        <w:t xml:space="preserve">it </w:t>
      </w:r>
      <w:r w:rsidR="00FE4A50">
        <w:t>ha</w:t>
      </w:r>
      <w:r w:rsidR="00CC63E1">
        <w:t>d</w:t>
      </w:r>
      <w:r w:rsidR="00FE4A50">
        <w:t xml:space="preserve"> a much higher viscosity and a more rancid odor than the others.</w:t>
      </w:r>
    </w:p>
    <w:p w:rsidR="005C7B80" w:rsidRPr="00A41648" w:rsidRDefault="00A41648" w:rsidP="00FE4A50">
      <w:pPr>
        <w:pStyle w:val="CETBodytext"/>
      </w:pPr>
      <w:r w:rsidRPr="00A41648">
        <w:t xml:space="preserve">According to the comparative chromatogram of Figure </w:t>
      </w:r>
      <w:r>
        <w:t>6</w:t>
      </w:r>
      <w:r w:rsidRPr="00A41648">
        <w:t>, a high presence of fatty acids (</w:t>
      </w:r>
      <w:r w:rsidR="00EB785A" w:rsidRPr="00A41648">
        <w:t xml:space="preserve">mainly </w:t>
      </w:r>
      <w:r w:rsidRPr="00A41648">
        <w:t xml:space="preserve">palmitic, </w:t>
      </w:r>
      <w:r w:rsidR="001F0E3D">
        <w:t>stearic</w:t>
      </w:r>
      <w:r w:rsidRPr="00A41648">
        <w:t xml:space="preserve"> and olei</w:t>
      </w:r>
      <w:r w:rsidR="00EB785A">
        <w:t>c</w:t>
      </w:r>
      <w:r w:rsidRPr="00A41648">
        <w:t xml:space="preserve">) is generated between 10.7 and 11.5 minutes, for the </w:t>
      </w:r>
      <w:r w:rsidR="00EB785A">
        <w:t>three</w:t>
      </w:r>
      <w:r w:rsidRPr="00A41648">
        <w:t xml:space="preserve"> cases, but mainly </w:t>
      </w:r>
      <w:r w:rsidR="00CC63E1">
        <w:t xml:space="preserve">for </w:t>
      </w:r>
      <w:r w:rsidRPr="00A41648">
        <w:t>the</w:t>
      </w:r>
      <w:r w:rsidR="00EB785A">
        <w:t xml:space="preserve"> </w:t>
      </w:r>
      <w:r w:rsidR="00EB785A" w:rsidRPr="00A41648">
        <w:t>H-</w:t>
      </w:r>
      <w:r w:rsidR="00EB785A" w:rsidRPr="00E72885">
        <w:rPr>
          <w:rFonts w:ascii="Symbol" w:hAnsi="Symbol"/>
        </w:rPr>
        <w:t></w:t>
      </w:r>
      <w:r w:rsidRPr="00A41648">
        <w:t xml:space="preserve"> zeolite support. A greater conversion also occurs when using this zeolite, in addition to the production of hydrocarbon</w:t>
      </w:r>
      <w:r w:rsidR="00CC63E1">
        <w:t>s</w:t>
      </w:r>
      <w:r w:rsidRPr="00A41648">
        <w:t xml:space="preserve"> </w:t>
      </w:r>
      <w:r w:rsidR="00A434CE">
        <w:t xml:space="preserve">with lengths </w:t>
      </w:r>
      <w:r w:rsidRPr="00A41648">
        <w:t>between C-12 and C-13 (apparently an isomer of n-dodecane, therefore branched) in</w:t>
      </w:r>
      <w:r w:rsidR="00A434CE">
        <w:t xml:space="preserve"> the</w:t>
      </w:r>
      <w:r w:rsidRPr="00A41648">
        <w:t xml:space="preserve"> minute 8.4, which represents around 0.6</w:t>
      </w:r>
      <w:r w:rsidR="00B578A5">
        <w:t xml:space="preserve"> </w:t>
      </w:r>
      <w:r w:rsidRPr="00A41648">
        <w:t xml:space="preserve">% of the sample. This type of compounds are the essential components of biokerosene, since dodecane is the most representative of this oil </w:t>
      </w:r>
      <w:r w:rsidR="00A434CE">
        <w:t>fraction</w:t>
      </w:r>
      <w:r w:rsidR="005C7B80" w:rsidRPr="00A41648">
        <w:t>.</w:t>
      </w:r>
    </w:p>
    <w:p w:rsidR="005C7B80" w:rsidRPr="00A41648" w:rsidRDefault="005C7B80" w:rsidP="00FE4A50">
      <w:pPr>
        <w:pStyle w:val="CETBodytext"/>
      </w:pPr>
    </w:p>
    <w:p w:rsidR="005C7B80" w:rsidRDefault="004B0ECF" w:rsidP="00FE4A50">
      <w:pPr>
        <w:pStyle w:val="CETBodytext"/>
        <w:rPr>
          <w:lang w:val="es-CO"/>
        </w:rPr>
      </w:pPr>
      <w:r w:rsidRPr="004B0ECF">
        <w:rPr>
          <w:noProof/>
          <w:lang w:val="es-MX" w:eastAsia="es-MX"/>
        </w:rPr>
        <w:drawing>
          <wp:inline distT="0" distB="0" distL="0" distR="0" wp14:anchorId="1D7E0174" wp14:editId="5F816DA0">
            <wp:extent cx="4133850" cy="166238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25582" cy="1699273"/>
                    </a:xfrm>
                    <a:prstGeom prst="rect">
                      <a:avLst/>
                    </a:prstGeom>
                  </pic:spPr>
                </pic:pic>
              </a:graphicData>
            </a:graphic>
          </wp:inline>
        </w:drawing>
      </w:r>
    </w:p>
    <w:p w:rsidR="005C7B80" w:rsidRPr="00AE6E0A" w:rsidRDefault="005C7B80" w:rsidP="005C7B80">
      <w:pPr>
        <w:pStyle w:val="CETCaption"/>
        <w:rPr>
          <w:lang w:val="en-US"/>
        </w:rPr>
      </w:pPr>
      <w:r w:rsidRPr="00AE6E0A">
        <w:rPr>
          <w:lang w:val="en-US"/>
        </w:rPr>
        <w:t xml:space="preserve">Figure 6: </w:t>
      </w:r>
      <w:r w:rsidR="00AE6E0A" w:rsidRPr="00AE6E0A">
        <w:rPr>
          <w:lang w:val="en-US"/>
        </w:rPr>
        <w:t>Comparative chromatogram of generated products</w:t>
      </w:r>
      <w:r w:rsidRPr="00AE6E0A">
        <w:rPr>
          <w:lang w:val="en-US"/>
        </w:rPr>
        <w:t>.</w:t>
      </w:r>
    </w:p>
    <w:p w:rsidR="005C7B80" w:rsidRDefault="005C7B80" w:rsidP="005C7B80">
      <w:pPr>
        <w:pStyle w:val="CETBodytext"/>
      </w:pPr>
      <w:r>
        <w:t>H-</w:t>
      </w:r>
      <w:r w:rsidRPr="005C7B80">
        <w:rPr>
          <w:rFonts w:ascii="Symbol" w:hAnsi="Symbol"/>
        </w:rPr>
        <w:t></w:t>
      </w:r>
      <w:r>
        <w:t xml:space="preserve"> </w:t>
      </w:r>
      <w:r w:rsidR="00A434CE">
        <w:t xml:space="preserve">presented a better conversion to final products, avoiding </w:t>
      </w:r>
      <w:r>
        <w:t xml:space="preserve">intermediates </w:t>
      </w:r>
      <w:r w:rsidR="00A434CE">
        <w:t xml:space="preserve">as mono, di and </w:t>
      </w:r>
      <w:r>
        <w:t>triglycerides</w:t>
      </w:r>
      <w:r w:rsidR="00A434CE">
        <w:t>. This</w:t>
      </w:r>
      <w:r>
        <w:t xml:space="preserve"> </w:t>
      </w:r>
      <w:r w:rsidR="00A434CE">
        <w:t xml:space="preserve">is conferred to the </w:t>
      </w:r>
      <w:r>
        <w:t>soy oil used</w:t>
      </w:r>
      <w:r w:rsidR="00A434CE">
        <w:t>, which</w:t>
      </w:r>
      <w:r>
        <w:t xml:space="preserve"> are</w:t>
      </w:r>
      <w:r w:rsidR="00A434CE">
        <w:t xml:space="preserve"> full </w:t>
      </w:r>
      <w:r>
        <w:t>saturated by hydrogenation of the double bonds; subsequently the gaseous hydrogen initiates a stage of hydrogenolysis to break the diglyceride and generate free fatty acids (which are evidenced in the chromatogram) and propane. Subsequently</w:t>
      </w:r>
      <w:r w:rsidR="00A434CE">
        <w:t>,</w:t>
      </w:r>
      <w:r>
        <w:t xml:space="preserve"> the hydrogen generates a hydrogenation process to deoxygenate the fatty acids and transform them into linear alkanes, which subsequently the acid zeolite helps to fragment and isomerize. To make these last two conversions viable with the support of zeolite H-</w:t>
      </w:r>
      <w:r w:rsidRPr="005C7B80">
        <w:rPr>
          <w:rFonts w:ascii="Symbol" w:hAnsi="Symbol"/>
        </w:rPr>
        <w:t></w:t>
      </w:r>
      <w:r>
        <w:t xml:space="preserve"> it would be convenient to work at higher temperatures and in two steps, where after the linear alkanes are produced, they are treated with zeolite not impregnated with platinum to break and isomerize; in this way the proportion of dodecane can be more significant.</w:t>
      </w:r>
    </w:p>
    <w:p w:rsidR="00C947B5" w:rsidRDefault="00C947B5" w:rsidP="005C7B80">
      <w:pPr>
        <w:pStyle w:val="CETBodytext"/>
      </w:pPr>
      <w:r>
        <w:t>The presence of Fe in H-</w:t>
      </w:r>
      <w:r>
        <w:sym w:font="Symbol" w:char="F062"/>
      </w:r>
      <w:r>
        <w:t xml:space="preserve"> zeolite structure could favors hydrogenation/</w:t>
      </w:r>
      <w:r w:rsidR="003018F3">
        <w:t>dehydrogenation</w:t>
      </w:r>
      <w:r>
        <w:t xml:space="preserve"> and </w:t>
      </w:r>
      <w:r w:rsidR="000B6947">
        <w:t>hydrogenolysis</w:t>
      </w:r>
      <w:r>
        <w:t xml:space="preserve"> reactions. </w:t>
      </w:r>
    </w:p>
    <w:p w:rsidR="005C7B80" w:rsidRDefault="005C7B80" w:rsidP="005C7B80">
      <w:pPr>
        <w:pStyle w:val="CETBodytext"/>
      </w:pPr>
      <w:r>
        <w:t xml:space="preserve">The smallest conversions occurred when the ZSM-5 zeolite was used as support, since the ammonium cation was present instead of hydrogen, so the process had to be heated in a vacuum at </w:t>
      </w:r>
      <w:r w:rsidR="00E72885">
        <w:t>77</w:t>
      </w:r>
      <w:r>
        <w:t xml:space="preserve">0 </w:t>
      </w:r>
      <w:r w:rsidR="00E72885">
        <w:t>K</w:t>
      </w:r>
      <w:r>
        <w:t xml:space="preserve"> for at least 5 h before impregnation of platinum, that without commenting that it is the least acidic according to the </w:t>
      </w:r>
      <w:r w:rsidR="00DD4988">
        <w:t>Si:Al</w:t>
      </w:r>
      <w:r>
        <w:t xml:space="preserve"> ratio.</w:t>
      </w:r>
    </w:p>
    <w:p w:rsidR="005C7B80" w:rsidRPr="005C7B80" w:rsidRDefault="005C7B80" w:rsidP="005C7B80">
      <w:pPr>
        <w:pStyle w:val="CETBodytext"/>
      </w:pPr>
      <w:r>
        <w:t>Comparing the acidity in terms of the Si</w:t>
      </w:r>
      <w:r w:rsidR="00EB785A">
        <w:t>O</w:t>
      </w:r>
      <w:r w:rsidR="00EB785A" w:rsidRPr="00EB785A">
        <w:rPr>
          <w:vertAlign w:val="subscript"/>
        </w:rPr>
        <w:t>2</w:t>
      </w:r>
      <w:r w:rsidR="007F5877">
        <w:t>:</w:t>
      </w:r>
      <w:r>
        <w:t>Al</w:t>
      </w:r>
      <w:r w:rsidR="00EB785A" w:rsidRPr="00EB785A">
        <w:rPr>
          <w:vertAlign w:val="subscript"/>
        </w:rPr>
        <w:t>2</w:t>
      </w:r>
      <w:r w:rsidR="00EB785A">
        <w:t>O</w:t>
      </w:r>
      <w:r w:rsidR="00EB785A" w:rsidRPr="00EB785A">
        <w:rPr>
          <w:vertAlign w:val="subscript"/>
        </w:rPr>
        <w:t>3</w:t>
      </w:r>
      <w:r>
        <w:t xml:space="preserve"> </w:t>
      </w:r>
      <w:r w:rsidR="00EB785A">
        <w:t xml:space="preserve">molar </w:t>
      </w:r>
      <w:r>
        <w:t>ratio of the zeolites used: H-</w:t>
      </w:r>
      <w:r w:rsidRPr="005C7B80">
        <w:rPr>
          <w:rFonts w:ascii="Symbol" w:hAnsi="Symbol"/>
        </w:rPr>
        <w:t></w:t>
      </w:r>
      <w:r>
        <w:t xml:space="preserve"> (300), USY (80) and ZSM-5 (30). However, an evaluation of the effective acidity of these zeolites should be made, which differentiates the Br</w:t>
      </w:r>
      <w:r w:rsidR="00CA6541">
        <w:t>ö</w:t>
      </w:r>
      <w:r>
        <w:t>nsted acid sites from the Lewis ones (Strong and weak).</w:t>
      </w:r>
    </w:p>
    <w:p w:rsidR="00A27F39" w:rsidRDefault="001919DF" w:rsidP="001919DF">
      <w:pPr>
        <w:pStyle w:val="CETHeading1"/>
      </w:pPr>
      <w:r>
        <w:t>Conclusions</w:t>
      </w:r>
    </w:p>
    <w:p w:rsidR="001919DF" w:rsidRDefault="001919DF" w:rsidP="001919DF">
      <w:pPr>
        <w:pStyle w:val="CETBodytext"/>
      </w:pPr>
      <w:r>
        <w:t>The H-</w:t>
      </w:r>
      <w:r w:rsidRPr="001919DF">
        <w:rPr>
          <w:rFonts w:ascii="Symbol" w:hAnsi="Symbol"/>
        </w:rPr>
        <w:t></w:t>
      </w:r>
      <w:r>
        <w:t xml:space="preserve"> zeolite, having a medium pore size (0.668 nm) and high acidity, is the zeolite that most converts hydrocarbons, presenting good </w:t>
      </w:r>
      <w:r w:rsidR="009C491A">
        <w:t>selectivity</w:t>
      </w:r>
      <w:r>
        <w:t xml:space="preserve"> towards medium products. USY zeolites of medium acidity with the largest pore cavity (0.74 nm) usually show good </w:t>
      </w:r>
      <w:r w:rsidR="009C491A">
        <w:t>selectivity</w:t>
      </w:r>
      <w:r>
        <w:t xml:space="preserve"> towards branched isomers; however, if its acidity is not controlled it can lead to excessive gas formation. ZSM-5 zeolites have the lowest acidity and specific area, </w:t>
      </w:r>
      <w:r w:rsidR="00C947B5">
        <w:t xml:space="preserve">due to no previous surface activation </w:t>
      </w:r>
      <w:r>
        <w:t xml:space="preserve">so it is </w:t>
      </w:r>
      <w:r w:rsidR="0096722A">
        <w:t>the less</w:t>
      </w:r>
      <w:r>
        <w:t xml:space="preserve"> convenient for these processes.</w:t>
      </w:r>
    </w:p>
    <w:p w:rsidR="001919DF" w:rsidRPr="001919DF" w:rsidRDefault="00AE6E0A" w:rsidP="001919DF">
      <w:pPr>
        <w:pStyle w:val="CETBodytext"/>
      </w:pPr>
      <w:r>
        <w:t>I</w:t>
      </w:r>
      <w:r w:rsidR="001919DF">
        <w:t>t is found that zeolites H-</w:t>
      </w:r>
      <w:r w:rsidR="009C491A" w:rsidRPr="009C491A">
        <w:rPr>
          <w:rFonts w:ascii="Symbol" w:hAnsi="Symbol"/>
        </w:rPr>
        <w:t></w:t>
      </w:r>
      <w:r w:rsidR="001919DF">
        <w:t xml:space="preserve"> (cp811c-300) are more promising to produce bio</w:t>
      </w:r>
      <w:r>
        <w:t>diesel</w:t>
      </w:r>
      <w:r w:rsidR="001919DF">
        <w:t xml:space="preserve"> from soybean oil than USY (CBV 780) and ZSM-5 (CBV-3024e)</w:t>
      </w:r>
      <w:r>
        <w:t>.</w:t>
      </w:r>
      <w:r w:rsidR="001919DF">
        <w:t xml:space="preserve"> </w:t>
      </w:r>
      <w:r>
        <w:t>T</w:t>
      </w:r>
      <w:r w:rsidR="001919DF">
        <w:t xml:space="preserve">hen </w:t>
      </w:r>
      <w:r>
        <w:t xml:space="preserve">in order </w:t>
      </w:r>
      <w:r w:rsidR="001919DF">
        <w:t>to improve the conversion</w:t>
      </w:r>
      <w:r>
        <w:t>, it is important to evaluate the USY zeolite with another operational conditions (</w:t>
      </w:r>
      <w:r w:rsidR="001919DF">
        <w:t>temperature</w:t>
      </w:r>
      <w:r>
        <w:t>, pression</w:t>
      </w:r>
      <w:r w:rsidR="001919DF">
        <w:t xml:space="preserve"> and reaction times</w:t>
      </w:r>
      <w:r>
        <w:t>)</w:t>
      </w:r>
      <w:r w:rsidR="00C947B5">
        <w:t>, and ZSM-5 in protonated phase</w:t>
      </w:r>
      <w:r w:rsidR="001919DF">
        <w:t>.</w:t>
      </w:r>
    </w:p>
    <w:p w:rsidR="00600535" w:rsidRPr="008E2B63" w:rsidRDefault="00600535" w:rsidP="00600535">
      <w:pPr>
        <w:pStyle w:val="CETAcknowledgementstitle"/>
        <w:rPr>
          <w:lang w:val="en-US"/>
        </w:rPr>
      </w:pPr>
      <w:r w:rsidRPr="008E2B63">
        <w:rPr>
          <w:lang w:val="en-US"/>
        </w:rPr>
        <w:t>Acknowledgments</w:t>
      </w:r>
    </w:p>
    <w:p w:rsidR="00600535" w:rsidRPr="008E2B63" w:rsidRDefault="006B3197" w:rsidP="00600535">
      <w:pPr>
        <w:pStyle w:val="CETBodytext"/>
      </w:pPr>
      <w:r>
        <w:t>This manuscript was supported by the Department of Science and Technology of Colombia (COLCIENCIAS) under the grant 995-2017. Furthermore, authors would like to express his gratitude to Colombian Air Force for its financial support.</w:t>
      </w:r>
    </w:p>
    <w:p w:rsidR="00600535" w:rsidRPr="008F3773" w:rsidRDefault="00600535" w:rsidP="00600535">
      <w:pPr>
        <w:pStyle w:val="CETReference"/>
        <w:rPr>
          <w:lang w:val="es-CO"/>
        </w:rPr>
      </w:pPr>
      <w:r w:rsidRPr="008F3773">
        <w:rPr>
          <w:lang w:val="es-CO"/>
        </w:rPr>
        <w:t>References</w:t>
      </w:r>
    </w:p>
    <w:p w:rsidR="00CA6541" w:rsidRPr="00CA6541" w:rsidRDefault="00CA6541" w:rsidP="00CA6541">
      <w:pPr>
        <w:widowControl w:val="0"/>
        <w:autoSpaceDE w:val="0"/>
        <w:autoSpaceDN w:val="0"/>
        <w:adjustRightInd w:val="0"/>
        <w:spacing w:line="240" w:lineRule="auto"/>
        <w:ind w:left="480" w:hanging="480"/>
        <w:rPr>
          <w:lang w:val="en-US"/>
        </w:rPr>
      </w:pPr>
      <w:r w:rsidRPr="008F3773">
        <w:rPr>
          <w:lang w:val="es-CO"/>
        </w:rPr>
        <w:t xml:space="preserve">Demirbas, A., &amp; Dincer, K. (2008). </w:t>
      </w:r>
      <w:r w:rsidRPr="00CA6541">
        <w:rPr>
          <w:lang w:val="en-US"/>
        </w:rPr>
        <w:t>Sustainable Green Diesel: A Futuristic View. Energy Sources, Part A: Recovery, Utilization, and Environmental Effects, 30(13), 1233–1241. doi:10.1080/15567030601082829</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Donnis, B., Egeberg, R. G., Blom, P., &amp; Knudsen, K. G. (2009). Hydroprocessing of Bio-Oils and Oxygenates to Hydrocarbons. Understanding the Reaction Routes. Topics in Catalysis, 52(3), 229–240. doi:10.1007/s11244-008-9159-z</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Hill, J., Nelson, E., Tilman, D., Polasky, S., &amp; Tiffany, D. (2006). Environmental, economic, and energetic costs and benefits of biodiesel and ethanol biofuels. Proceedings of the National Academy of Sciences, 103(30), 11206–11210. doi:10.1073/pnas.0604600103</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Höök, M., &amp; Tang, X. (2013). Depletion of fossil fuels and anthropogenic climate change-A review. Energy Policy, 52, 797–809. doi:10.1016/j.enpol.2012.10.046</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Huang, J., Long, W., Agrawal, P. K., &amp; Jones, C. W. (2009). Effects of acidity on the conversion of the model bio-oil ketone cyclopentanone on H-Y zeolites. Journal of Physical Chemistry C, 113(38), 16702–16710. doi:10.1021/jp905661w</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Jacobson, K., Maheria, K. C., &amp; Kumar Dalai, A. (2013). Bio-oil valorization: A review. Renewable and Sustainable Energy Reviews, 23, 91–106. doi:10.1016/j.rser.2013.02.036</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Kalnes, T. M. T., Marker, T., &amp; Shonnard, D. R. (2007). Green diesel: a second generation biofuel. International Journal of Chemical Reactor Engineering, 5, 10 pp. doi:10.2202/1542-6580.1554</w:t>
      </w:r>
    </w:p>
    <w:p w:rsidR="00B578A5" w:rsidRDefault="00B578A5" w:rsidP="00CA6541">
      <w:pPr>
        <w:widowControl w:val="0"/>
        <w:autoSpaceDE w:val="0"/>
        <w:autoSpaceDN w:val="0"/>
        <w:adjustRightInd w:val="0"/>
        <w:spacing w:line="240" w:lineRule="auto"/>
        <w:ind w:left="480" w:hanging="480"/>
        <w:rPr>
          <w:lang w:val="en-US"/>
        </w:rPr>
      </w:pPr>
      <w:r w:rsidRPr="008F3773">
        <w:rPr>
          <w:lang w:val="en-US"/>
        </w:rPr>
        <w:t xml:space="preserve">Laverdura, U. P., Ferella, F., Creati, M., Giampaolo, M., Gallucci, K., Courson, C., … </w:t>
      </w:r>
      <w:r w:rsidRPr="00B578A5">
        <w:rPr>
          <w:lang w:val="en-US"/>
        </w:rPr>
        <w:t>Rossi, L. (2018). Selective catalytic hydrogenation of triglycerides: Activity and selectivity towards C18:1. Chemical Engineering Transactions, 64(Schneider 2006), 115–120. doi:10.3303/CET1864020</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Lindorff-Larsen, K., Piana, S., Dror, R. O., &amp; Shaw, D. E. (2011). How Fast-Folding Proteins Fold. Science, 334(6055), 517–520. doi:10.1126/science.1208351</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Makarfi Isa, Y., &amp; Ganda, E. T. (2018). Bio-oil as a potential source of petroleum range fuels. Renewable and Sustainable Energy Reviews. doi:10.1016/j.rser.2017.07.036</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Santillan-jimenez, E., &amp; Crocker, M. (2012). Catalytic deoxygenation of fatty acids and their derivatives to hydrocarbon fuels via decarboxylation / decarbonylation. Journal of Chemical Technology and Biotechnology, (February), 1–10. doi:10.1002/jctb.3775</w:t>
      </w:r>
    </w:p>
    <w:p w:rsidR="00CA6541" w:rsidRPr="00CA6541" w:rsidRDefault="00CA6541" w:rsidP="00CA6541">
      <w:pPr>
        <w:widowControl w:val="0"/>
        <w:autoSpaceDE w:val="0"/>
        <w:autoSpaceDN w:val="0"/>
        <w:adjustRightInd w:val="0"/>
        <w:spacing w:line="240" w:lineRule="auto"/>
        <w:ind w:left="480" w:hanging="480"/>
        <w:rPr>
          <w:lang w:val="en-US"/>
        </w:rPr>
      </w:pPr>
      <w:r w:rsidRPr="00CA6541">
        <w:rPr>
          <w:lang w:val="en-US"/>
        </w:rPr>
        <w:t>Srifa, A., Faungnawakij, K., Itthibenchapong, V., &amp; Assabumrungrat, S. (2015). Roles of monometallic catalysts in hydrodeoxygenation of palm oil to green diesel. Chemical Engineering Journal, 278, 249–258. doi:10.1016/j.cej.2014.09.106</w:t>
      </w:r>
    </w:p>
    <w:p w:rsidR="00B578A5" w:rsidRPr="00CA6541" w:rsidRDefault="00CA6541" w:rsidP="00CA6541">
      <w:pPr>
        <w:widowControl w:val="0"/>
        <w:autoSpaceDE w:val="0"/>
        <w:autoSpaceDN w:val="0"/>
        <w:adjustRightInd w:val="0"/>
        <w:spacing w:line="240" w:lineRule="auto"/>
        <w:ind w:left="480" w:hanging="480"/>
        <w:rPr>
          <w:lang w:val="en-US"/>
        </w:rPr>
      </w:pPr>
      <w:r w:rsidRPr="00CA6541">
        <w:rPr>
          <w:lang w:val="en-US"/>
        </w:rPr>
        <w:t>Weitkamp, J. (2000). Zeolites and catalysis. Solid State Ionics, 131(1–2), 175–188. doi:10.1016/S0167-2738(00)00632-9</w:t>
      </w:r>
    </w:p>
    <w:sectPr w:rsidR="00B578A5" w:rsidRPr="00CA654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727" w:rsidRDefault="000E6727" w:rsidP="004F5E36">
      <w:r>
        <w:separator/>
      </w:r>
    </w:p>
  </w:endnote>
  <w:endnote w:type="continuationSeparator" w:id="0">
    <w:p w:rsidR="000E6727" w:rsidRDefault="000E672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727" w:rsidRDefault="000E6727" w:rsidP="004F5E36">
      <w:r>
        <w:separator/>
      </w:r>
    </w:p>
  </w:footnote>
  <w:footnote w:type="continuationSeparator" w:id="0">
    <w:p w:rsidR="000E6727" w:rsidRDefault="000E672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660D"/>
    <w:rsid w:val="00030E71"/>
    <w:rsid w:val="0003148D"/>
    <w:rsid w:val="000358C5"/>
    <w:rsid w:val="000364C5"/>
    <w:rsid w:val="00037D9D"/>
    <w:rsid w:val="00047D7F"/>
    <w:rsid w:val="00051566"/>
    <w:rsid w:val="00062A9A"/>
    <w:rsid w:val="00065058"/>
    <w:rsid w:val="00081778"/>
    <w:rsid w:val="00086C39"/>
    <w:rsid w:val="000A03B2"/>
    <w:rsid w:val="000B6947"/>
    <w:rsid w:val="000D34BE"/>
    <w:rsid w:val="000E102F"/>
    <w:rsid w:val="000E36F1"/>
    <w:rsid w:val="000E3A73"/>
    <w:rsid w:val="000E414A"/>
    <w:rsid w:val="000E6727"/>
    <w:rsid w:val="000F093C"/>
    <w:rsid w:val="000F16BD"/>
    <w:rsid w:val="000F787B"/>
    <w:rsid w:val="0012091F"/>
    <w:rsid w:val="001253BF"/>
    <w:rsid w:val="00126BC2"/>
    <w:rsid w:val="001308B6"/>
    <w:rsid w:val="0013121F"/>
    <w:rsid w:val="00131FAB"/>
    <w:rsid w:val="00131FE6"/>
    <w:rsid w:val="0013263F"/>
    <w:rsid w:val="00134DE4"/>
    <w:rsid w:val="00136DDA"/>
    <w:rsid w:val="0014034D"/>
    <w:rsid w:val="00150E59"/>
    <w:rsid w:val="00152DE3"/>
    <w:rsid w:val="0015489E"/>
    <w:rsid w:val="00154EB3"/>
    <w:rsid w:val="00164CF9"/>
    <w:rsid w:val="001656AD"/>
    <w:rsid w:val="00184AD6"/>
    <w:rsid w:val="001919DF"/>
    <w:rsid w:val="00195217"/>
    <w:rsid w:val="001B0349"/>
    <w:rsid w:val="001B65C1"/>
    <w:rsid w:val="001C684B"/>
    <w:rsid w:val="001D0084"/>
    <w:rsid w:val="001D53FC"/>
    <w:rsid w:val="001F0E3D"/>
    <w:rsid w:val="001F3D32"/>
    <w:rsid w:val="001F42A5"/>
    <w:rsid w:val="001F7B9D"/>
    <w:rsid w:val="00204CBD"/>
    <w:rsid w:val="00216915"/>
    <w:rsid w:val="002224B4"/>
    <w:rsid w:val="0022780A"/>
    <w:rsid w:val="00232502"/>
    <w:rsid w:val="00233419"/>
    <w:rsid w:val="00240578"/>
    <w:rsid w:val="00242923"/>
    <w:rsid w:val="002447EF"/>
    <w:rsid w:val="00251550"/>
    <w:rsid w:val="0026261B"/>
    <w:rsid w:val="00262C0E"/>
    <w:rsid w:val="00263B05"/>
    <w:rsid w:val="0027221A"/>
    <w:rsid w:val="00272DF8"/>
    <w:rsid w:val="00275B61"/>
    <w:rsid w:val="00282656"/>
    <w:rsid w:val="00293CAA"/>
    <w:rsid w:val="00296B83"/>
    <w:rsid w:val="002A490C"/>
    <w:rsid w:val="002A6E98"/>
    <w:rsid w:val="002B170E"/>
    <w:rsid w:val="002B78CE"/>
    <w:rsid w:val="002C1392"/>
    <w:rsid w:val="002C2FB6"/>
    <w:rsid w:val="002C420B"/>
    <w:rsid w:val="002E583C"/>
    <w:rsid w:val="00300046"/>
    <w:rsid w:val="003009B7"/>
    <w:rsid w:val="00300E56"/>
    <w:rsid w:val="003018F3"/>
    <w:rsid w:val="0030469C"/>
    <w:rsid w:val="003114AF"/>
    <w:rsid w:val="00311C66"/>
    <w:rsid w:val="00314A02"/>
    <w:rsid w:val="00321CA6"/>
    <w:rsid w:val="00334C09"/>
    <w:rsid w:val="003365E3"/>
    <w:rsid w:val="00336717"/>
    <w:rsid w:val="00347219"/>
    <w:rsid w:val="00372308"/>
    <w:rsid w:val="003723D4"/>
    <w:rsid w:val="003753A4"/>
    <w:rsid w:val="00383065"/>
    <w:rsid w:val="00384CC8"/>
    <w:rsid w:val="003871FD"/>
    <w:rsid w:val="00392530"/>
    <w:rsid w:val="003A1E30"/>
    <w:rsid w:val="003A7D1C"/>
    <w:rsid w:val="003B304B"/>
    <w:rsid w:val="003B3146"/>
    <w:rsid w:val="003B60F3"/>
    <w:rsid w:val="003E5ED3"/>
    <w:rsid w:val="003F015E"/>
    <w:rsid w:val="003F5D8B"/>
    <w:rsid w:val="003F6641"/>
    <w:rsid w:val="00400414"/>
    <w:rsid w:val="0041446B"/>
    <w:rsid w:val="004331A8"/>
    <w:rsid w:val="00440FC4"/>
    <w:rsid w:val="0044329C"/>
    <w:rsid w:val="004577FE"/>
    <w:rsid w:val="00457B9C"/>
    <w:rsid w:val="00460615"/>
    <w:rsid w:val="0046164A"/>
    <w:rsid w:val="004628D2"/>
    <w:rsid w:val="00462DCD"/>
    <w:rsid w:val="0046332C"/>
    <w:rsid w:val="00463A04"/>
    <w:rsid w:val="00463DEB"/>
    <w:rsid w:val="004648AD"/>
    <w:rsid w:val="004655F3"/>
    <w:rsid w:val="004703A9"/>
    <w:rsid w:val="004760DE"/>
    <w:rsid w:val="00480D06"/>
    <w:rsid w:val="004A004E"/>
    <w:rsid w:val="004A24CF"/>
    <w:rsid w:val="004B0ECF"/>
    <w:rsid w:val="004B6721"/>
    <w:rsid w:val="004B723D"/>
    <w:rsid w:val="004C3D1D"/>
    <w:rsid w:val="004C7913"/>
    <w:rsid w:val="004D526F"/>
    <w:rsid w:val="004E4DD6"/>
    <w:rsid w:val="004E528D"/>
    <w:rsid w:val="004F04EE"/>
    <w:rsid w:val="004F5E36"/>
    <w:rsid w:val="00507B47"/>
    <w:rsid w:val="00507CC9"/>
    <w:rsid w:val="005119A5"/>
    <w:rsid w:val="00513623"/>
    <w:rsid w:val="005278B7"/>
    <w:rsid w:val="00532016"/>
    <w:rsid w:val="00533660"/>
    <w:rsid w:val="005346C8"/>
    <w:rsid w:val="00543E7D"/>
    <w:rsid w:val="00544392"/>
    <w:rsid w:val="00547A68"/>
    <w:rsid w:val="005531C9"/>
    <w:rsid w:val="0055773D"/>
    <w:rsid w:val="00565B71"/>
    <w:rsid w:val="00572FBC"/>
    <w:rsid w:val="00597353"/>
    <w:rsid w:val="005A25C1"/>
    <w:rsid w:val="005B2110"/>
    <w:rsid w:val="005B61E6"/>
    <w:rsid w:val="005C0D21"/>
    <w:rsid w:val="005C77E1"/>
    <w:rsid w:val="005C7B80"/>
    <w:rsid w:val="005D24FE"/>
    <w:rsid w:val="005D6A2F"/>
    <w:rsid w:val="005E1A82"/>
    <w:rsid w:val="005E794C"/>
    <w:rsid w:val="005F0A28"/>
    <w:rsid w:val="005F0E5E"/>
    <w:rsid w:val="005F6A57"/>
    <w:rsid w:val="00600535"/>
    <w:rsid w:val="00610CD6"/>
    <w:rsid w:val="00620DEE"/>
    <w:rsid w:val="0062102A"/>
    <w:rsid w:val="00621F92"/>
    <w:rsid w:val="006221A6"/>
    <w:rsid w:val="00625639"/>
    <w:rsid w:val="00631B33"/>
    <w:rsid w:val="00633309"/>
    <w:rsid w:val="0064184D"/>
    <w:rsid w:val="006422CC"/>
    <w:rsid w:val="00660E3E"/>
    <w:rsid w:val="00662E74"/>
    <w:rsid w:val="006667E4"/>
    <w:rsid w:val="00676E99"/>
    <w:rsid w:val="00680C23"/>
    <w:rsid w:val="00693766"/>
    <w:rsid w:val="006A3281"/>
    <w:rsid w:val="006A7460"/>
    <w:rsid w:val="006B026F"/>
    <w:rsid w:val="006B1CB3"/>
    <w:rsid w:val="006B3197"/>
    <w:rsid w:val="006B4888"/>
    <w:rsid w:val="006B575A"/>
    <w:rsid w:val="006B5B51"/>
    <w:rsid w:val="006B69A9"/>
    <w:rsid w:val="006C2E45"/>
    <w:rsid w:val="006C329C"/>
    <w:rsid w:val="006C359C"/>
    <w:rsid w:val="006C5579"/>
    <w:rsid w:val="006E4EFF"/>
    <w:rsid w:val="006E737D"/>
    <w:rsid w:val="0070195D"/>
    <w:rsid w:val="00716F14"/>
    <w:rsid w:val="00717128"/>
    <w:rsid w:val="00720A24"/>
    <w:rsid w:val="00732386"/>
    <w:rsid w:val="007447F3"/>
    <w:rsid w:val="0075499F"/>
    <w:rsid w:val="007605FE"/>
    <w:rsid w:val="007661C8"/>
    <w:rsid w:val="007673AB"/>
    <w:rsid w:val="0077098D"/>
    <w:rsid w:val="007931FA"/>
    <w:rsid w:val="00796382"/>
    <w:rsid w:val="007A7BBA"/>
    <w:rsid w:val="007B0C50"/>
    <w:rsid w:val="007C1A43"/>
    <w:rsid w:val="007C5895"/>
    <w:rsid w:val="007C6E97"/>
    <w:rsid w:val="007E1643"/>
    <w:rsid w:val="007E1DC6"/>
    <w:rsid w:val="007F5877"/>
    <w:rsid w:val="00813288"/>
    <w:rsid w:val="008168FC"/>
    <w:rsid w:val="00830996"/>
    <w:rsid w:val="008345F1"/>
    <w:rsid w:val="00852C50"/>
    <w:rsid w:val="008531D2"/>
    <w:rsid w:val="00853DD9"/>
    <w:rsid w:val="00865B07"/>
    <w:rsid w:val="008667EA"/>
    <w:rsid w:val="0087637F"/>
    <w:rsid w:val="00885AA7"/>
    <w:rsid w:val="00887906"/>
    <w:rsid w:val="008904B9"/>
    <w:rsid w:val="00892AD5"/>
    <w:rsid w:val="008A1512"/>
    <w:rsid w:val="008B1E93"/>
    <w:rsid w:val="008B1EF2"/>
    <w:rsid w:val="008C1430"/>
    <w:rsid w:val="008D1247"/>
    <w:rsid w:val="008D32B9"/>
    <w:rsid w:val="008D3F04"/>
    <w:rsid w:val="008D433B"/>
    <w:rsid w:val="008D5C73"/>
    <w:rsid w:val="008E2B63"/>
    <w:rsid w:val="008E566E"/>
    <w:rsid w:val="008F3773"/>
    <w:rsid w:val="0090161A"/>
    <w:rsid w:val="00901EB6"/>
    <w:rsid w:val="00904C62"/>
    <w:rsid w:val="00905847"/>
    <w:rsid w:val="00924DAC"/>
    <w:rsid w:val="00927058"/>
    <w:rsid w:val="009450CE"/>
    <w:rsid w:val="00947179"/>
    <w:rsid w:val="0094735B"/>
    <w:rsid w:val="00950BB3"/>
    <w:rsid w:val="0095164B"/>
    <w:rsid w:val="00954090"/>
    <w:rsid w:val="009573E7"/>
    <w:rsid w:val="00963E05"/>
    <w:rsid w:val="0096722A"/>
    <w:rsid w:val="00967D54"/>
    <w:rsid w:val="009871BC"/>
    <w:rsid w:val="00996483"/>
    <w:rsid w:val="00996F5A"/>
    <w:rsid w:val="009A0A3E"/>
    <w:rsid w:val="009A1A56"/>
    <w:rsid w:val="009B041A"/>
    <w:rsid w:val="009C0CF1"/>
    <w:rsid w:val="009C491A"/>
    <w:rsid w:val="009C4AB9"/>
    <w:rsid w:val="009C7C86"/>
    <w:rsid w:val="009D2FF7"/>
    <w:rsid w:val="009D5FFB"/>
    <w:rsid w:val="009E7884"/>
    <w:rsid w:val="009E788A"/>
    <w:rsid w:val="009F0E08"/>
    <w:rsid w:val="009F558F"/>
    <w:rsid w:val="00A13504"/>
    <w:rsid w:val="00A1763D"/>
    <w:rsid w:val="00A17CEC"/>
    <w:rsid w:val="00A27EF0"/>
    <w:rsid w:val="00A27F39"/>
    <w:rsid w:val="00A30F32"/>
    <w:rsid w:val="00A41648"/>
    <w:rsid w:val="00A434CE"/>
    <w:rsid w:val="00A50B20"/>
    <w:rsid w:val="00A51390"/>
    <w:rsid w:val="00A60D13"/>
    <w:rsid w:val="00A70142"/>
    <w:rsid w:val="00A72745"/>
    <w:rsid w:val="00A76EFC"/>
    <w:rsid w:val="00A82A38"/>
    <w:rsid w:val="00A91010"/>
    <w:rsid w:val="00A9516C"/>
    <w:rsid w:val="00A97F29"/>
    <w:rsid w:val="00AA27B0"/>
    <w:rsid w:val="00AA5E97"/>
    <w:rsid w:val="00AA702E"/>
    <w:rsid w:val="00AB0964"/>
    <w:rsid w:val="00AB5011"/>
    <w:rsid w:val="00AB6938"/>
    <w:rsid w:val="00AC1800"/>
    <w:rsid w:val="00AC7368"/>
    <w:rsid w:val="00AD16B9"/>
    <w:rsid w:val="00AE377D"/>
    <w:rsid w:val="00AE5B57"/>
    <w:rsid w:val="00AE6E0A"/>
    <w:rsid w:val="00AF4261"/>
    <w:rsid w:val="00B04675"/>
    <w:rsid w:val="00B17FBD"/>
    <w:rsid w:val="00B315A6"/>
    <w:rsid w:val="00B31813"/>
    <w:rsid w:val="00B33365"/>
    <w:rsid w:val="00B46D59"/>
    <w:rsid w:val="00B47207"/>
    <w:rsid w:val="00B574DA"/>
    <w:rsid w:val="00B578A5"/>
    <w:rsid w:val="00B57B36"/>
    <w:rsid w:val="00B63AFA"/>
    <w:rsid w:val="00B6672D"/>
    <w:rsid w:val="00B75B1D"/>
    <w:rsid w:val="00B8686D"/>
    <w:rsid w:val="00B95D3D"/>
    <w:rsid w:val="00B97A75"/>
    <w:rsid w:val="00BA5D22"/>
    <w:rsid w:val="00BC30C9"/>
    <w:rsid w:val="00BC5840"/>
    <w:rsid w:val="00BC6BF7"/>
    <w:rsid w:val="00BC7AF1"/>
    <w:rsid w:val="00BE3E58"/>
    <w:rsid w:val="00BE537D"/>
    <w:rsid w:val="00C01616"/>
    <w:rsid w:val="00C0162B"/>
    <w:rsid w:val="00C03FF8"/>
    <w:rsid w:val="00C330A9"/>
    <w:rsid w:val="00C345B1"/>
    <w:rsid w:val="00C40142"/>
    <w:rsid w:val="00C42E8C"/>
    <w:rsid w:val="00C57182"/>
    <w:rsid w:val="00C57863"/>
    <w:rsid w:val="00C630B9"/>
    <w:rsid w:val="00C655FD"/>
    <w:rsid w:val="00C65ABC"/>
    <w:rsid w:val="00C870A8"/>
    <w:rsid w:val="00C94434"/>
    <w:rsid w:val="00C947B5"/>
    <w:rsid w:val="00CA0D75"/>
    <w:rsid w:val="00CA1C95"/>
    <w:rsid w:val="00CA5A9C"/>
    <w:rsid w:val="00CA6541"/>
    <w:rsid w:val="00CC2B21"/>
    <w:rsid w:val="00CC63E1"/>
    <w:rsid w:val="00CD3517"/>
    <w:rsid w:val="00CD5FE2"/>
    <w:rsid w:val="00CE7C68"/>
    <w:rsid w:val="00CF09EB"/>
    <w:rsid w:val="00D02B4C"/>
    <w:rsid w:val="00D040C4"/>
    <w:rsid w:val="00D0505E"/>
    <w:rsid w:val="00D32B7B"/>
    <w:rsid w:val="00D52A1B"/>
    <w:rsid w:val="00D57C84"/>
    <w:rsid w:val="00D6057D"/>
    <w:rsid w:val="00D831C2"/>
    <w:rsid w:val="00D84576"/>
    <w:rsid w:val="00D95EFB"/>
    <w:rsid w:val="00DA0425"/>
    <w:rsid w:val="00DA1399"/>
    <w:rsid w:val="00DA24C6"/>
    <w:rsid w:val="00DA4D7B"/>
    <w:rsid w:val="00DD0D5C"/>
    <w:rsid w:val="00DD4988"/>
    <w:rsid w:val="00DE0CA6"/>
    <w:rsid w:val="00DE1BFB"/>
    <w:rsid w:val="00DE264A"/>
    <w:rsid w:val="00E02C06"/>
    <w:rsid w:val="00E02D18"/>
    <w:rsid w:val="00E041E7"/>
    <w:rsid w:val="00E23CA1"/>
    <w:rsid w:val="00E4088A"/>
    <w:rsid w:val="00E409A8"/>
    <w:rsid w:val="00E47B97"/>
    <w:rsid w:val="00E50C12"/>
    <w:rsid w:val="00E55404"/>
    <w:rsid w:val="00E56C58"/>
    <w:rsid w:val="00E57B23"/>
    <w:rsid w:val="00E65B91"/>
    <w:rsid w:val="00E67911"/>
    <w:rsid w:val="00E7209D"/>
    <w:rsid w:val="00E72885"/>
    <w:rsid w:val="00E77223"/>
    <w:rsid w:val="00E8528B"/>
    <w:rsid w:val="00E85B94"/>
    <w:rsid w:val="00E978D0"/>
    <w:rsid w:val="00EA4613"/>
    <w:rsid w:val="00EA7F91"/>
    <w:rsid w:val="00EB1523"/>
    <w:rsid w:val="00EB3030"/>
    <w:rsid w:val="00EB785A"/>
    <w:rsid w:val="00EC0E49"/>
    <w:rsid w:val="00ED5F33"/>
    <w:rsid w:val="00ED7C0A"/>
    <w:rsid w:val="00EE0131"/>
    <w:rsid w:val="00EF2613"/>
    <w:rsid w:val="00EF2F49"/>
    <w:rsid w:val="00EF7255"/>
    <w:rsid w:val="00F155B2"/>
    <w:rsid w:val="00F27EAB"/>
    <w:rsid w:val="00F30C64"/>
    <w:rsid w:val="00F31FCB"/>
    <w:rsid w:val="00F32CDB"/>
    <w:rsid w:val="00F4254D"/>
    <w:rsid w:val="00F63A70"/>
    <w:rsid w:val="00F90550"/>
    <w:rsid w:val="00F92590"/>
    <w:rsid w:val="00FA21D0"/>
    <w:rsid w:val="00FA5F5F"/>
    <w:rsid w:val="00FA6C12"/>
    <w:rsid w:val="00FB730C"/>
    <w:rsid w:val="00FC2695"/>
    <w:rsid w:val="00FC3E03"/>
    <w:rsid w:val="00FC3FC1"/>
    <w:rsid w:val="00FD37DA"/>
    <w:rsid w:val="00FE13BA"/>
    <w:rsid w:val="00FE4A5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0F33DB-BA2C-40FA-8F2A-DFA82A3E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character" w:customStyle="1" w:styleId="Mencinsinresolver1">
    <w:name w:val="Mención sin resolver1"/>
    <w:basedOn w:val="Fuentedeprrafopredeter"/>
    <w:uiPriority w:val="99"/>
    <w:semiHidden/>
    <w:unhideWhenUsed/>
    <w:rsid w:val="0066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2778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7108">
      <w:bodyDiv w:val="1"/>
      <w:marLeft w:val="0"/>
      <w:marRight w:val="0"/>
      <w:marTop w:val="0"/>
      <w:marBottom w:val="0"/>
      <w:divBdr>
        <w:top w:val="none" w:sz="0" w:space="0" w:color="auto"/>
        <w:left w:val="none" w:sz="0" w:space="0" w:color="auto"/>
        <w:bottom w:val="none" w:sz="0" w:space="0" w:color="auto"/>
        <w:right w:val="none" w:sz="0" w:space="0" w:color="auto"/>
      </w:divBdr>
      <w:divsChild>
        <w:div w:id="843085842">
          <w:marLeft w:val="0"/>
          <w:marRight w:val="0"/>
          <w:marTop w:val="0"/>
          <w:marBottom w:val="0"/>
          <w:divBdr>
            <w:top w:val="none" w:sz="0" w:space="0" w:color="auto"/>
            <w:left w:val="none" w:sz="0" w:space="0" w:color="auto"/>
            <w:bottom w:val="none" w:sz="0" w:space="0" w:color="auto"/>
            <w:right w:val="none" w:sz="0" w:space="0" w:color="auto"/>
          </w:divBdr>
          <w:divsChild>
            <w:div w:id="1624847401">
              <w:marLeft w:val="0"/>
              <w:marRight w:val="0"/>
              <w:marTop w:val="0"/>
              <w:marBottom w:val="0"/>
              <w:divBdr>
                <w:top w:val="none" w:sz="0" w:space="0" w:color="auto"/>
                <w:left w:val="none" w:sz="0" w:space="0" w:color="auto"/>
                <w:bottom w:val="none" w:sz="0" w:space="0" w:color="auto"/>
                <w:right w:val="none" w:sz="0" w:space="0" w:color="auto"/>
              </w:divBdr>
              <w:divsChild>
                <w:div w:id="945309380">
                  <w:marLeft w:val="0"/>
                  <w:marRight w:val="0"/>
                  <w:marTop w:val="0"/>
                  <w:marBottom w:val="0"/>
                  <w:divBdr>
                    <w:top w:val="none" w:sz="0" w:space="0" w:color="auto"/>
                    <w:left w:val="none" w:sz="0" w:space="0" w:color="auto"/>
                    <w:bottom w:val="none" w:sz="0" w:space="0" w:color="auto"/>
                    <w:right w:val="none" w:sz="0" w:space="0" w:color="auto"/>
                  </w:divBdr>
                  <w:divsChild>
                    <w:div w:id="979311442">
                      <w:marLeft w:val="0"/>
                      <w:marRight w:val="0"/>
                      <w:marTop w:val="0"/>
                      <w:marBottom w:val="0"/>
                      <w:divBdr>
                        <w:top w:val="none" w:sz="0" w:space="0" w:color="auto"/>
                        <w:left w:val="none" w:sz="0" w:space="0" w:color="auto"/>
                        <w:bottom w:val="none" w:sz="0" w:space="0" w:color="auto"/>
                        <w:right w:val="none" w:sz="0" w:space="0" w:color="auto"/>
                      </w:divBdr>
                      <w:divsChild>
                        <w:div w:id="13688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85907">
          <w:marLeft w:val="0"/>
          <w:marRight w:val="0"/>
          <w:marTop w:val="0"/>
          <w:marBottom w:val="0"/>
          <w:divBdr>
            <w:top w:val="none" w:sz="0" w:space="0" w:color="auto"/>
            <w:left w:val="none" w:sz="0" w:space="0" w:color="auto"/>
            <w:bottom w:val="none" w:sz="0" w:space="0" w:color="auto"/>
            <w:right w:val="none" w:sz="0" w:space="0" w:color="auto"/>
          </w:divBdr>
          <w:divsChild>
            <w:div w:id="1492402345">
              <w:marLeft w:val="0"/>
              <w:marRight w:val="0"/>
              <w:marTop w:val="0"/>
              <w:marBottom w:val="0"/>
              <w:divBdr>
                <w:top w:val="none" w:sz="0" w:space="0" w:color="auto"/>
                <w:left w:val="none" w:sz="0" w:space="0" w:color="auto"/>
                <w:bottom w:val="none" w:sz="0" w:space="0" w:color="auto"/>
                <w:right w:val="none" w:sz="0" w:space="0" w:color="auto"/>
              </w:divBdr>
              <w:divsChild>
                <w:div w:id="1200124992">
                  <w:marLeft w:val="0"/>
                  <w:marRight w:val="0"/>
                  <w:marTop w:val="0"/>
                  <w:marBottom w:val="0"/>
                  <w:divBdr>
                    <w:top w:val="none" w:sz="0" w:space="0" w:color="auto"/>
                    <w:left w:val="none" w:sz="0" w:space="0" w:color="auto"/>
                    <w:bottom w:val="none" w:sz="0" w:space="0" w:color="auto"/>
                    <w:right w:val="none" w:sz="0" w:space="0" w:color="auto"/>
                  </w:divBdr>
                  <w:divsChild>
                    <w:div w:id="1519587127">
                      <w:marLeft w:val="0"/>
                      <w:marRight w:val="0"/>
                      <w:marTop w:val="0"/>
                      <w:marBottom w:val="0"/>
                      <w:divBdr>
                        <w:top w:val="none" w:sz="0" w:space="0" w:color="auto"/>
                        <w:left w:val="none" w:sz="0" w:space="0" w:color="auto"/>
                        <w:bottom w:val="none" w:sz="0" w:space="0" w:color="auto"/>
                        <w:right w:val="none" w:sz="0" w:space="0" w:color="auto"/>
                      </w:divBdr>
                      <w:divsChild>
                        <w:div w:id="1764913699">
                          <w:marLeft w:val="0"/>
                          <w:marRight w:val="0"/>
                          <w:marTop w:val="0"/>
                          <w:marBottom w:val="0"/>
                          <w:divBdr>
                            <w:top w:val="none" w:sz="0" w:space="0" w:color="auto"/>
                            <w:left w:val="none" w:sz="0" w:space="0" w:color="auto"/>
                            <w:bottom w:val="none" w:sz="0" w:space="0" w:color="auto"/>
                            <w:right w:val="none" w:sz="0" w:space="0" w:color="auto"/>
                          </w:divBdr>
                          <w:divsChild>
                            <w:div w:id="989094084">
                              <w:marLeft w:val="0"/>
                              <w:marRight w:val="300"/>
                              <w:marTop w:val="180"/>
                              <w:marBottom w:val="0"/>
                              <w:divBdr>
                                <w:top w:val="none" w:sz="0" w:space="0" w:color="auto"/>
                                <w:left w:val="none" w:sz="0" w:space="0" w:color="auto"/>
                                <w:bottom w:val="none" w:sz="0" w:space="0" w:color="auto"/>
                                <w:right w:val="none" w:sz="0" w:space="0" w:color="auto"/>
                              </w:divBdr>
                              <w:divsChild>
                                <w:div w:id="1055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97032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aidic.it/c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48F6D-4420-445D-80E2-B3D1EB94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2883</Words>
  <Characters>15860</Characters>
  <Application>Microsoft Office Word</Application>
  <DocSecurity>0</DocSecurity>
  <Lines>132</Lines>
  <Paragraphs>37</Paragraphs>
  <ScaleCrop>false</ScaleCrop>
  <HeadingPairs>
    <vt:vector size="8" baseType="variant">
      <vt:variant>
        <vt:lpstr>Título</vt:lpstr>
      </vt:variant>
      <vt:variant>
        <vt:i4>1</vt:i4>
      </vt:variant>
      <vt:variant>
        <vt:lpstr>Títulos</vt:lpstr>
      </vt:variant>
      <vt:variant>
        <vt:i4>1</vt:i4>
      </vt:variant>
      <vt:variant>
        <vt:lpstr>Titolo</vt:lpstr>
      </vt:variant>
      <vt:variant>
        <vt:i4>1</vt:i4>
      </vt:variant>
      <vt:variant>
        <vt:lpstr>Title</vt:lpstr>
      </vt:variant>
      <vt:variant>
        <vt:i4>1</vt:i4>
      </vt:variant>
    </vt:vector>
  </HeadingPairs>
  <TitlesOfParts>
    <vt:vector size="4" baseType="lpstr">
      <vt:lpstr/>
      <vt:lpstr>Evaluation of zeolite-based catalyst supports for the production of biokerosene </vt:lpstr>
      <vt:lpstr/>
      <vt:lpstr/>
    </vt:vector>
  </TitlesOfParts>
  <Company>Dipartimento CMIC - Politecnico di Milano</Company>
  <LinksUpToDate>false</LinksUpToDate>
  <CharactersWithSpaces>18706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LUISA FERNANDA INFANTE FARFAN</cp:lastModifiedBy>
  <cp:revision>2</cp:revision>
  <cp:lastPrinted>2015-05-12T18:31:00Z</cp:lastPrinted>
  <dcterms:created xsi:type="dcterms:W3CDTF">2019-04-23T02:21:00Z</dcterms:created>
  <dcterms:modified xsi:type="dcterms:W3CDTF">2019-04-23T02:21:00Z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5f2ae39a-5c2e-3318-949f-687df8bfb4f3</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