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bottom w:val="single" w:sz="4" w:space="0" w:color="auto"/>
        </w:tblBorders>
        <w:tblLook w:val="01E0" w:firstRow="1" w:lastRow="1" w:firstColumn="1" w:lastColumn="1" w:noHBand="0" w:noVBand="0"/>
      </w:tblPr>
      <w:tblGrid>
        <w:gridCol w:w="6946"/>
        <w:gridCol w:w="1843"/>
      </w:tblGrid>
      <w:tr w:rsidR="000A03B2" w:rsidRPr="00B57B36">
        <w:trPr>
          <w:trHeight w:val="852"/>
          <w:jc w:val="center"/>
        </w:trPr>
        <w:tc>
          <w:tcPr>
            <w:tcW w:w="6946" w:type="dxa"/>
            <w:vMerge w:val="restart"/>
            <w:tcBorders>
              <w:right w:val="single" w:sz="4" w:space="0" w:color="auto"/>
            </w:tcBorders>
          </w:tcPr>
          <w:p w:rsidR="000A03B2" w:rsidRPr="00B57B36" w:rsidRDefault="000A03B2" w:rsidP="00DE264A">
            <w:pPr>
              <w:tabs>
                <w:tab w:val="left" w:pos="-108"/>
              </w:tabs>
              <w:ind w:left="-108"/>
              <w:jc w:val="left"/>
              <w:rPr>
                <w:rFonts w:cs="Arial"/>
                <w:b/>
                <w:bCs/>
                <w:i/>
                <w:iCs/>
                <w:color w:val="000066"/>
                <w:sz w:val="12"/>
                <w:szCs w:val="12"/>
                <w:lang w:eastAsia="it-IT"/>
              </w:rPr>
            </w:pPr>
            <w:r w:rsidRPr="00B57B36">
              <w:rPr>
                <w:rFonts w:ascii="AdvP6960" w:hAnsi="AdvP6960" w:cs="AdvP6960"/>
                <w:noProof/>
                <w:color w:val="241F20"/>
                <w:szCs w:val="18"/>
                <w:lang w:val="it-IT" w:eastAsia="it-IT"/>
              </w:rPr>
              <w:drawing>
                <wp:inline distT="0" distB="0" distL="0" distR="0">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rsidR="000A03B2" w:rsidRPr="00B57B36" w:rsidRDefault="00A76EFC" w:rsidP="009635B9">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 xml:space="preserve">VOL. </w:t>
            </w:r>
            <w:r w:rsidR="007931FA">
              <w:rPr>
                <w:rFonts w:cs="Arial"/>
                <w:b/>
                <w:bCs/>
                <w:i/>
                <w:iCs/>
                <w:color w:val="000066"/>
                <w:sz w:val="22"/>
                <w:szCs w:val="22"/>
                <w:lang w:eastAsia="it-IT"/>
              </w:rPr>
              <w:t>7</w:t>
            </w:r>
            <w:r w:rsidR="009635B9">
              <w:rPr>
                <w:rFonts w:cs="Arial"/>
                <w:b/>
                <w:bCs/>
                <w:i/>
                <w:iCs/>
                <w:color w:val="000066"/>
                <w:sz w:val="22"/>
                <w:szCs w:val="22"/>
                <w:lang w:eastAsia="it-IT"/>
              </w:rPr>
              <w:t>6</w:t>
            </w:r>
            <w:r w:rsidR="00FA5F5F">
              <w:rPr>
                <w:rFonts w:cs="Arial"/>
                <w:b/>
                <w:bCs/>
                <w:i/>
                <w:iCs/>
                <w:color w:val="000066"/>
                <w:sz w:val="22"/>
                <w:szCs w:val="22"/>
                <w:lang w:eastAsia="it-IT"/>
              </w:rPr>
              <w:t>, 201</w:t>
            </w:r>
            <w:r w:rsidR="007931FA">
              <w:rPr>
                <w:rFonts w:cs="Arial"/>
                <w:b/>
                <w:bCs/>
                <w:i/>
                <w:iCs/>
                <w:color w:val="000066"/>
                <w:sz w:val="22"/>
                <w:szCs w:val="22"/>
                <w:lang w:eastAsia="it-IT"/>
              </w:rPr>
              <w:t>9</w:t>
            </w:r>
          </w:p>
        </w:tc>
        <w:tc>
          <w:tcPr>
            <w:tcW w:w="1843" w:type="dxa"/>
            <w:tcBorders>
              <w:left w:val="single" w:sz="4" w:space="0" w:color="auto"/>
              <w:bottom w:val="nil"/>
              <w:right w:val="single" w:sz="4" w:space="0" w:color="auto"/>
            </w:tcBorders>
          </w:tcPr>
          <w:p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rsidR="000A03B2" w:rsidRPr="00B57B36" w:rsidRDefault="000A03B2" w:rsidP="00CD5FE2">
            <w:pPr>
              <w:jc w:val="right"/>
            </w:pPr>
            <w:r w:rsidRPr="00B57B36">
              <w:rPr>
                <w:noProof/>
                <w:lang w:val="it-IT" w:eastAsia="it-IT"/>
              </w:rPr>
              <w:drawing>
                <wp:inline distT="0" distB="0" distL="0" distR="0">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trPr>
          <w:trHeight w:val="567"/>
          <w:jc w:val="center"/>
        </w:trPr>
        <w:tc>
          <w:tcPr>
            <w:tcW w:w="6946" w:type="dxa"/>
            <w:vMerge/>
            <w:tcBorders>
              <w:right w:val="single" w:sz="4" w:space="0" w:color="auto"/>
            </w:tcBorders>
          </w:tcPr>
          <w:p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rsidR="000A03B2" w:rsidRPr="00B57B36" w:rsidRDefault="000A03B2" w:rsidP="00162642">
            <w:pPr>
              <w:spacing w:line="140" w:lineRule="atLeast"/>
              <w:jc w:val="right"/>
              <w:rPr>
                <w:rFonts w:cs="Arial"/>
                <w:sz w:val="14"/>
                <w:szCs w:val="14"/>
              </w:rPr>
            </w:pPr>
            <w:r w:rsidRPr="00B57B36">
              <w:rPr>
                <w:rFonts w:cs="Arial"/>
                <w:sz w:val="14"/>
                <w:szCs w:val="14"/>
              </w:rPr>
              <w:t xml:space="preserve">Online at </w:t>
            </w:r>
            <w:r w:rsidR="00162642">
              <w:rPr>
                <w:rFonts w:cs="Arial"/>
                <w:sz w:val="14"/>
                <w:szCs w:val="14"/>
              </w:rPr>
              <w:t>www.cetjournal.it</w:t>
            </w:r>
          </w:p>
        </w:tc>
      </w:tr>
      <w:tr w:rsidR="000A03B2" w:rsidRPr="00B57B36">
        <w:trPr>
          <w:trHeight w:val="68"/>
          <w:jc w:val="center"/>
        </w:trPr>
        <w:tc>
          <w:tcPr>
            <w:tcW w:w="8789" w:type="dxa"/>
            <w:gridSpan w:val="2"/>
          </w:tcPr>
          <w:p w:rsidR="00300E56" w:rsidRPr="00252C1A" w:rsidRDefault="00300E56" w:rsidP="003365E3">
            <w:pPr>
              <w:ind w:left="-107"/>
              <w:rPr>
                <w:lang w:val="it-IT"/>
              </w:rPr>
            </w:pPr>
            <w:r w:rsidRPr="00252C1A">
              <w:rPr>
                <w:rFonts w:ascii="Tahoma" w:hAnsi="Tahoma" w:cs="Tahoma"/>
                <w:iCs/>
                <w:color w:val="333333"/>
                <w:sz w:val="14"/>
                <w:szCs w:val="14"/>
                <w:lang w:val="it-IT" w:eastAsia="it-IT"/>
              </w:rPr>
              <w:t xml:space="preserve">Guest </w:t>
            </w:r>
            <w:proofErr w:type="spellStart"/>
            <w:r w:rsidRPr="00252C1A">
              <w:rPr>
                <w:rFonts w:ascii="Tahoma" w:hAnsi="Tahoma" w:cs="Tahoma"/>
                <w:iCs/>
                <w:color w:val="333333"/>
                <w:sz w:val="14"/>
                <w:szCs w:val="14"/>
                <w:lang w:val="it-IT" w:eastAsia="it-IT"/>
              </w:rPr>
              <w:t>Editors</w:t>
            </w:r>
            <w:proofErr w:type="spellEnd"/>
            <w:r w:rsidRPr="00252C1A">
              <w:rPr>
                <w:rFonts w:ascii="Tahoma" w:hAnsi="Tahoma" w:cs="Tahoma"/>
                <w:iCs/>
                <w:color w:val="333333"/>
                <w:sz w:val="14"/>
                <w:szCs w:val="14"/>
                <w:lang w:val="it-IT" w:eastAsia="it-IT"/>
              </w:rPr>
              <w:t>:</w:t>
            </w:r>
            <w:r w:rsidR="00904C62" w:rsidRPr="00252C1A">
              <w:rPr>
                <w:rFonts w:ascii="Tahoma" w:hAnsi="Tahoma" w:cs="Tahoma"/>
                <w:iCs/>
                <w:color w:val="333333"/>
                <w:sz w:val="14"/>
                <w:szCs w:val="14"/>
                <w:lang w:val="it-IT" w:eastAsia="it-IT"/>
              </w:rPr>
              <w:t xml:space="preserve"> </w:t>
            </w:r>
            <w:r w:rsidR="009635B9" w:rsidRPr="00252C1A">
              <w:rPr>
                <w:rFonts w:ascii="Tahoma" w:hAnsi="Tahoma" w:cs="Tahoma"/>
                <w:sz w:val="14"/>
                <w:szCs w:val="14"/>
                <w:lang w:val="it-IT"/>
              </w:rPr>
              <w:t>Sauro Pierucci,</w:t>
            </w:r>
            <w:r w:rsidR="003B60F3" w:rsidRPr="00252C1A">
              <w:rPr>
                <w:rFonts w:ascii="Tahoma" w:hAnsi="Tahoma" w:cs="Tahoma"/>
                <w:sz w:val="14"/>
                <w:szCs w:val="14"/>
                <w:lang w:val="it-IT"/>
              </w:rPr>
              <w:t xml:space="preserve"> </w:t>
            </w:r>
            <w:proofErr w:type="spellStart"/>
            <w:r w:rsidR="00047D7F" w:rsidRPr="00252C1A">
              <w:rPr>
                <w:rFonts w:ascii="Tahoma" w:hAnsi="Tahoma" w:cs="Tahoma"/>
                <w:sz w:val="14"/>
                <w:szCs w:val="14"/>
                <w:shd w:val="clear" w:color="auto" w:fill="FFFFFF"/>
                <w:lang w:val="it-IT"/>
              </w:rPr>
              <w:t>Jiří</w:t>
            </w:r>
            <w:proofErr w:type="spellEnd"/>
            <w:r w:rsidR="00047D7F" w:rsidRPr="00252C1A">
              <w:rPr>
                <w:rFonts w:ascii="Tahoma" w:hAnsi="Tahoma" w:cs="Tahoma"/>
                <w:sz w:val="14"/>
                <w:szCs w:val="14"/>
                <w:shd w:val="clear" w:color="auto" w:fill="FFFFFF"/>
                <w:lang w:val="it-IT"/>
              </w:rPr>
              <w:t xml:space="preserve"> </w:t>
            </w:r>
            <w:proofErr w:type="spellStart"/>
            <w:r w:rsidR="00047D7F" w:rsidRPr="00252C1A">
              <w:rPr>
                <w:rFonts w:ascii="Tahoma" w:hAnsi="Tahoma" w:cs="Tahoma"/>
                <w:sz w:val="14"/>
                <w:szCs w:val="14"/>
                <w:shd w:val="clear" w:color="auto" w:fill="FFFFFF"/>
                <w:lang w:val="it-IT"/>
              </w:rPr>
              <w:t>Jaromír</w:t>
            </w:r>
            <w:proofErr w:type="spellEnd"/>
            <w:r w:rsidR="00047D7F" w:rsidRPr="00252C1A">
              <w:rPr>
                <w:rFonts w:ascii="Tahoma" w:hAnsi="Tahoma" w:cs="Tahoma"/>
                <w:sz w:val="14"/>
                <w:szCs w:val="14"/>
                <w:shd w:val="clear" w:color="auto" w:fill="FFFFFF"/>
                <w:lang w:val="it-IT"/>
              </w:rPr>
              <w:t xml:space="preserve"> </w:t>
            </w:r>
            <w:proofErr w:type="spellStart"/>
            <w:r w:rsidR="00047D7F" w:rsidRPr="00252C1A">
              <w:rPr>
                <w:rFonts w:ascii="Tahoma" w:hAnsi="Tahoma" w:cs="Tahoma"/>
                <w:sz w:val="14"/>
                <w:szCs w:val="14"/>
                <w:shd w:val="clear" w:color="auto" w:fill="FFFFFF"/>
                <w:lang w:val="it-IT"/>
              </w:rPr>
              <w:t>Klemeš</w:t>
            </w:r>
            <w:proofErr w:type="spellEnd"/>
            <w:r w:rsidR="00252C1A">
              <w:rPr>
                <w:rFonts w:ascii="Tahoma" w:hAnsi="Tahoma" w:cs="Tahoma"/>
                <w:sz w:val="14"/>
                <w:szCs w:val="14"/>
                <w:shd w:val="clear" w:color="auto" w:fill="FFFFFF"/>
                <w:lang w:val="it-IT"/>
              </w:rPr>
              <w:t>, Lau</w:t>
            </w:r>
            <w:r w:rsidR="00252C1A" w:rsidRPr="00252C1A">
              <w:rPr>
                <w:rFonts w:ascii="Tahoma" w:hAnsi="Tahoma" w:cs="Tahoma"/>
                <w:sz w:val="14"/>
                <w:szCs w:val="14"/>
                <w:shd w:val="clear" w:color="auto" w:fill="FFFFFF"/>
                <w:lang w:val="it-IT"/>
              </w:rPr>
              <w:t>ra Piazza</w:t>
            </w:r>
          </w:p>
          <w:p w:rsidR="000A03B2" w:rsidRPr="00B57B36" w:rsidRDefault="00FA5F5F" w:rsidP="00131FAB">
            <w:pPr>
              <w:tabs>
                <w:tab w:val="left" w:pos="-108"/>
              </w:tabs>
              <w:spacing w:line="140" w:lineRule="atLeast"/>
              <w:ind w:left="-107"/>
              <w:jc w:val="left"/>
            </w:pPr>
            <w:r>
              <w:rPr>
                <w:rFonts w:ascii="Tahoma" w:hAnsi="Tahoma" w:cs="Tahoma"/>
                <w:iCs/>
                <w:color w:val="333333"/>
                <w:sz w:val="14"/>
                <w:szCs w:val="14"/>
                <w:lang w:eastAsia="it-IT"/>
              </w:rPr>
              <w:t>Copyright © 201</w:t>
            </w:r>
            <w:r w:rsidR="007931FA">
              <w:rPr>
                <w:rFonts w:ascii="Tahoma" w:hAnsi="Tahoma" w:cs="Tahoma"/>
                <w:iCs/>
                <w:color w:val="333333"/>
                <w:sz w:val="14"/>
                <w:szCs w:val="14"/>
                <w:lang w:eastAsia="it-IT"/>
              </w:rPr>
              <w:t>9</w:t>
            </w:r>
            <w:r w:rsidR="00904C62" w:rsidRPr="00B57B36">
              <w:rPr>
                <w:rFonts w:ascii="Tahoma" w:hAnsi="Tahoma" w:cs="Tahoma"/>
                <w:iCs/>
                <w:color w:val="333333"/>
                <w:sz w:val="14"/>
                <w:szCs w:val="14"/>
                <w:lang w:eastAsia="it-IT"/>
              </w:rPr>
              <w:t xml:space="preserve">, AIDIC </w:t>
            </w:r>
            <w:proofErr w:type="spellStart"/>
            <w:r w:rsidR="00904C62" w:rsidRPr="00B57B36">
              <w:rPr>
                <w:rFonts w:ascii="Tahoma" w:hAnsi="Tahoma" w:cs="Tahoma"/>
                <w:iCs/>
                <w:color w:val="333333"/>
                <w:sz w:val="14"/>
                <w:szCs w:val="14"/>
                <w:lang w:eastAsia="it-IT"/>
              </w:rPr>
              <w:t>Servizi</w:t>
            </w:r>
            <w:proofErr w:type="spellEnd"/>
            <w:r w:rsidR="00904C62" w:rsidRPr="00B57B36">
              <w:rPr>
                <w:rFonts w:ascii="Tahoma" w:hAnsi="Tahoma" w:cs="Tahoma"/>
                <w:iCs/>
                <w:color w:val="333333"/>
                <w:sz w:val="14"/>
                <w:szCs w:val="14"/>
                <w:lang w:eastAsia="it-IT"/>
              </w:rPr>
              <w:t xml:space="preserve"> </w:t>
            </w:r>
            <w:proofErr w:type="spellStart"/>
            <w:r w:rsidR="00904C62" w:rsidRPr="00B57B36">
              <w:rPr>
                <w:rFonts w:ascii="Tahoma" w:hAnsi="Tahoma" w:cs="Tahoma"/>
                <w:iCs/>
                <w:color w:val="333333"/>
                <w:sz w:val="14"/>
                <w:szCs w:val="14"/>
                <w:lang w:eastAsia="it-IT"/>
              </w:rPr>
              <w:t>S.r.l</w:t>
            </w:r>
            <w:proofErr w:type="spellEnd"/>
            <w:r w:rsidR="00904C62" w:rsidRPr="00B57B36">
              <w:rPr>
                <w:rFonts w:ascii="Tahoma" w:hAnsi="Tahoma" w:cs="Tahoma"/>
                <w:iCs/>
                <w:color w:val="333333"/>
                <w:sz w:val="14"/>
                <w:szCs w:val="14"/>
                <w:lang w:eastAsia="it-IT"/>
              </w:rPr>
              <w:t>.</w:t>
            </w:r>
            <w:r w:rsidR="00300E56" w:rsidRPr="00B57B36">
              <w:rPr>
                <w:rFonts w:ascii="Tahoma" w:hAnsi="Tahoma" w:cs="Tahoma"/>
                <w:iCs/>
                <w:color w:val="333333"/>
                <w:sz w:val="14"/>
                <w:szCs w:val="14"/>
                <w:lang w:eastAsia="it-IT"/>
              </w:rPr>
              <w:br/>
            </w:r>
            <w:r w:rsidR="00300E56" w:rsidRPr="00B57B36">
              <w:rPr>
                <w:rFonts w:ascii="Tahoma" w:hAnsi="Tahoma" w:cs="Tahoma"/>
                <w:b/>
                <w:iCs/>
                <w:color w:val="000000"/>
                <w:sz w:val="14"/>
                <w:szCs w:val="14"/>
                <w:lang w:eastAsia="it-IT"/>
              </w:rPr>
              <w:t>ISBN</w:t>
            </w:r>
            <w:r w:rsidR="00300E56" w:rsidRPr="00B57B36">
              <w:rPr>
                <w:rFonts w:ascii="Tahoma" w:hAnsi="Tahoma" w:cs="Tahoma"/>
                <w:iCs/>
                <w:color w:val="000000"/>
                <w:sz w:val="14"/>
                <w:szCs w:val="14"/>
                <w:lang w:eastAsia="it-IT"/>
              </w:rPr>
              <w:t xml:space="preserve"> </w:t>
            </w:r>
            <w:r w:rsidR="008D32B9" w:rsidRPr="00131FAB">
              <w:rPr>
                <w:rFonts w:ascii="Tahoma" w:hAnsi="Tahoma" w:cs="Tahoma"/>
                <w:sz w:val="14"/>
                <w:szCs w:val="14"/>
              </w:rPr>
              <w:t>978-88-95608-</w:t>
            </w:r>
            <w:r w:rsidR="009635B9">
              <w:rPr>
                <w:rFonts w:ascii="Tahoma" w:hAnsi="Tahoma" w:cs="Tahoma"/>
                <w:sz w:val="14"/>
                <w:szCs w:val="14"/>
              </w:rPr>
              <w:t>73</w:t>
            </w:r>
            <w:r w:rsidR="008D32B9" w:rsidRPr="00131FAB">
              <w:rPr>
                <w:rFonts w:ascii="Tahoma" w:hAnsi="Tahoma" w:cs="Tahoma"/>
                <w:sz w:val="14"/>
                <w:szCs w:val="14"/>
              </w:rPr>
              <w:t>-</w:t>
            </w:r>
            <w:r w:rsidR="009635B9">
              <w:rPr>
                <w:rFonts w:ascii="Tahoma" w:hAnsi="Tahoma" w:cs="Tahoma"/>
                <w:sz w:val="14"/>
                <w:szCs w:val="14"/>
              </w:rPr>
              <w:t>0</w:t>
            </w:r>
            <w:r w:rsidR="00300E56" w:rsidRPr="00131FAB">
              <w:rPr>
                <w:rFonts w:ascii="Tahoma" w:hAnsi="Tahoma" w:cs="Tahoma"/>
                <w:iCs/>
                <w:color w:val="333333"/>
                <w:sz w:val="14"/>
                <w:szCs w:val="14"/>
                <w:lang w:eastAsia="it-IT"/>
              </w:rPr>
              <w:t>;</w:t>
            </w:r>
            <w:r w:rsidR="00300E56" w:rsidRPr="00B57B36">
              <w:rPr>
                <w:rFonts w:ascii="Tahoma" w:hAnsi="Tahoma" w:cs="Tahoma"/>
                <w:iCs/>
                <w:color w:val="333333"/>
                <w:sz w:val="14"/>
                <w:szCs w:val="14"/>
                <w:lang w:eastAsia="it-IT"/>
              </w:rPr>
              <w:t xml:space="preserve"> </w:t>
            </w:r>
            <w:r w:rsidR="00300E56" w:rsidRPr="00B57B36">
              <w:rPr>
                <w:rFonts w:ascii="Tahoma" w:hAnsi="Tahoma" w:cs="Tahoma"/>
                <w:b/>
                <w:iCs/>
                <w:color w:val="333333"/>
                <w:sz w:val="14"/>
                <w:szCs w:val="14"/>
                <w:lang w:eastAsia="it-IT"/>
              </w:rPr>
              <w:t>ISSN</w:t>
            </w:r>
            <w:r w:rsidR="00300E56" w:rsidRPr="00B57B36">
              <w:rPr>
                <w:rFonts w:ascii="Tahoma" w:hAnsi="Tahoma" w:cs="Tahoma"/>
                <w:iCs/>
                <w:color w:val="333333"/>
                <w:sz w:val="14"/>
                <w:szCs w:val="14"/>
                <w:lang w:eastAsia="it-IT"/>
              </w:rPr>
              <w:t xml:space="preserve"> 2283-9216</w:t>
            </w:r>
          </w:p>
        </w:tc>
      </w:tr>
    </w:tbl>
    <w:p w:rsidR="000A03B2" w:rsidRPr="00B57B36" w:rsidRDefault="000A03B2" w:rsidP="000A03B2">
      <w:pPr>
        <w:pStyle w:val="CETAuthors"/>
        <w:sectPr w:rsidR="000A03B2" w:rsidRPr="00B57B36">
          <w:type w:val="continuous"/>
          <w:pgSz w:w="11906" w:h="16838" w:code="9"/>
          <w:pgMar w:top="1701" w:right="1418" w:bottom="1701" w:left="1701" w:header="1701" w:footer="0" w:gutter="0"/>
          <w:cols w:space="708"/>
          <w:titlePg/>
          <w:docGrid w:linePitch="360"/>
        </w:sectPr>
      </w:pPr>
    </w:p>
    <w:p w:rsidR="00E978D0" w:rsidRPr="00B57B36" w:rsidRDefault="0036799E" w:rsidP="00E978D0">
      <w:pPr>
        <w:pStyle w:val="CETTitle"/>
      </w:pPr>
      <w:r>
        <w:lastRenderedPageBreak/>
        <w:t xml:space="preserve">A new </w:t>
      </w:r>
      <w:proofErr w:type="spellStart"/>
      <w:r>
        <w:t>nanocatalyst</w:t>
      </w:r>
      <w:proofErr w:type="spellEnd"/>
      <w:r w:rsidR="005F4DF1" w:rsidRPr="005F4DF1">
        <w:t xml:space="preserve"> for the </w:t>
      </w:r>
      <w:r>
        <w:t>s</w:t>
      </w:r>
      <w:r w:rsidR="005F4DF1" w:rsidRPr="005F4DF1">
        <w:t xml:space="preserve">ynthesis of </w:t>
      </w:r>
      <w:proofErr w:type="spellStart"/>
      <w:r>
        <w:t>i</w:t>
      </w:r>
      <w:r w:rsidR="005F4DF1" w:rsidRPr="005F4DF1">
        <w:t>soindolinone</w:t>
      </w:r>
      <w:proofErr w:type="spellEnd"/>
    </w:p>
    <w:p w:rsidR="00E978D0" w:rsidRPr="00B57B36" w:rsidRDefault="00A13D77" w:rsidP="00AB5011">
      <w:pPr>
        <w:pStyle w:val="CETAuthors"/>
      </w:pPr>
      <w:r>
        <w:t>Maria Sarno</w:t>
      </w:r>
      <w:r w:rsidR="00600535" w:rsidRPr="00B57B36">
        <w:rPr>
          <w:vertAlign w:val="superscript"/>
        </w:rPr>
        <w:t>a</w:t>
      </w:r>
      <w:r>
        <w:t>*</w:t>
      </w:r>
      <w:r w:rsidR="00600535" w:rsidRPr="00B57B36">
        <w:t xml:space="preserve">, </w:t>
      </w:r>
      <w:r>
        <w:t>Eleonora Ponticorvo</w:t>
      </w:r>
      <w:r w:rsidR="00E82286">
        <w:rPr>
          <w:vertAlign w:val="superscript"/>
        </w:rPr>
        <w:t>a</w:t>
      </w:r>
    </w:p>
    <w:p w:rsidR="0005474E" w:rsidRDefault="00E978D0" w:rsidP="0005474E">
      <w:pPr>
        <w:pStyle w:val="CETAddress"/>
        <w:jc w:val="center"/>
      </w:pPr>
      <w:r w:rsidRPr="00B57B36">
        <w:rPr>
          <w:vertAlign w:val="superscript"/>
        </w:rPr>
        <w:t>a</w:t>
      </w:r>
      <w:r w:rsidR="0005474E" w:rsidRPr="0005474E">
        <w:t xml:space="preserve"> </w:t>
      </w:r>
      <w:r w:rsidR="0005474E">
        <w:t>Department of Industrial Engineering and Centre NANO_MATES University of Salerno</w:t>
      </w:r>
    </w:p>
    <w:p w:rsidR="0005474E" w:rsidRPr="00950E00" w:rsidRDefault="0005474E" w:rsidP="0005474E">
      <w:pPr>
        <w:pStyle w:val="CETAddress"/>
        <w:jc w:val="center"/>
        <w:rPr>
          <w:lang w:val="it-IT"/>
        </w:rPr>
      </w:pPr>
      <w:r w:rsidRPr="00950E00">
        <w:rPr>
          <w:lang w:val="it-IT"/>
        </w:rPr>
        <w:t>Via Giovanni Paolo II ,132 -  84084 Fisciano (SA), Italy</w:t>
      </w:r>
    </w:p>
    <w:p w:rsidR="00F91654" w:rsidRPr="00F91654" w:rsidRDefault="00F91654" w:rsidP="00F91654">
      <w:pPr>
        <w:pStyle w:val="CETemail"/>
        <w:rPr>
          <w:rFonts w:eastAsia="Calibri"/>
        </w:rPr>
      </w:pPr>
      <w:r>
        <w:rPr>
          <w:rStyle w:val="Collegamentoipertestuale"/>
          <w:rFonts w:eastAsia="Calibri"/>
        </w:rPr>
        <w:t>msarno</w:t>
      </w:r>
      <w:hyperlink r:id="rId11" w:history="1">
        <w:r w:rsidRPr="006B25F0">
          <w:rPr>
            <w:rStyle w:val="Collegamentoipertestuale"/>
            <w:rFonts w:eastAsia="Calibri"/>
          </w:rPr>
          <w:t>@unisa.it</w:t>
        </w:r>
      </w:hyperlink>
      <w:r w:rsidRPr="00470776">
        <w:rPr>
          <w:rFonts w:eastAsia="Calibri"/>
        </w:rPr>
        <w:t xml:space="preserve"> </w:t>
      </w:r>
    </w:p>
    <w:p w:rsidR="00C021A9" w:rsidRPr="008C1A84" w:rsidRDefault="00C021A9" w:rsidP="008C1A84">
      <w:pPr>
        <w:pStyle w:val="CETBodytext"/>
      </w:pPr>
      <w:bookmarkStart w:id="0" w:name="_Hlk495475023"/>
      <w:proofErr w:type="spellStart"/>
      <w:r w:rsidRPr="008C1A84">
        <w:t>PtRh</w:t>
      </w:r>
      <w:proofErr w:type="spellEnd"/>
      <w:r w:rsidRPr="008C1A84">
        <w:t xml:space="preserve"> nanoparticles</w:t>
      </w:r>
      <w:r w:rsidR="00163686" w:rsidRPr="008C1A84">
        <w:t xml:space="preserve"> </w:t>
      </w:r>
      <w:r w:rsidRPr="008C1A84">
        <w:t>were</w:t>
      </w:r>
      <w:r w:rsidR="00163686" w:rsidRPr="008C1A84">
        <w:t xml:space="preserve"> </w:t>
      </w:r>
      <w:r w:rsidRPr="008C1A84">
        <w:t xml:space="preserve">successfully synthesized by </w:t>
      </w:r>
      <w:r w:rsidR="00163686" w:rsidRPr="008C1A84">
        <w:t xml:space="preserve">one-step chemical strategy, consisting in the </w:t>
      </w:r>
      <w:proofErr w:type="spellStart"/>
      <w:r w:rsidR="00163686" w:rsidRPr="008C1A84">
        <w:t>thermolysis</w:t>
      </w:r>
      <w:proofErr w:type="spellEnd"/>
      <w:r w:rsidR="00163686" w:rsidRPr="008C1A84">
        <w:t xml:space="preserve"> of a suitable </w:t>
      </w:r>
      <w:r w:rsidRPr="008C1A84">
        <w:t>Pt and Rh</w:t>
      </w:r>
      <w:r w:rsidR="00163686" w:rsidRPr="008C1A84">
        <w:t xml:space="preserve"> precursor</w:t>
      </w:r>
      <w:r w:rsidRPr="008C1A84">
        <w:t>s</w:t>
      </w:r>
      <w:r w:rsidR="00163686" w:rsidRPr="008C1A84">
        <w:t xml:space="preserve"> in organic solvent in the presence of surfactants. This way provides experimental easiness and potential low-cost production. Transmission electron microscopy – Energy dispersive X-ray spectroscopy (TEM-EDS), thermogravimetric analysis coupled with mass </w:t>
      </w:r>
      <w:proofErr w:type="spellStart"/>
      <w:r w:rsidR="00163686" w:rsidRPr="008C1A84">
        <w:t>spectromery</w:t>
      </w:r>
      <w:proofErr w:type="spellEnd"/>
      <w:r w:rsidR="00163686" w:rsidRPr="008C1A84">
        <w:t xml:space="preserve"> (TG-DTG-MS) and X-ray diffraction (XRD) were employed for characterization. The nanoparticles</w:t>
      </w:r>
      <w:r w:rsidRPr="008C1A84">
        <w:t xml:space="preserve"> showed an average diameter of about 1–3 nm. The result of the EDS analysis confirmed a Pt/Rh atomic ratio in line with the percentages of Pt and Rh in the precursors chosen for the synthesis.</w:t>
      </w:r>
    </w:p>
    <w:p w:rsidR="00837A10" w:rsidRPr="008C1A84" w:rsidRDefault="00837A10" w:rsidP="008C1A84">
      <w:pPr>
        <w:pStyle w:val="CETBodytext"/>
      </w:pPr>
      <w:r w:rsidRPr="008C1A84">
        <w:t xml:space="preserve">The facile synthesis of </w:t>
      </w:r>
      <w:proofErr w:type="spellStart"/>
      <w:r w:rsidRPr="008C1A84">
        <w:t>amidyl</w:t>
      </w:r>
      <w:proofErr w:type="spellEnd"/>
      <w:r w:rsidRPr="008C1A84">
        <w:t xml:space="preserve"> radicals used in intramolecular </w:t>
      </w:r>
      <w:proofErr w:type="spellStart"/>
      <w:r w:rsidRPr="008C1A84">
        <w:t>hydroaminations</w:t>
      </w:r>
      <w:proofErr w:type="spellEnd"/>
      <w:r w:rsidRPr="008C1A84">
        <w:t xml:space="preserve"> to produce </w:t>
      </w:r>
      <w:proofErr w:type="spellStart"/>
      <w:r w:rsidRPr="008C1A84">
        <w:t>isoindolinones</w:t>
      </w:r>
      <w:proofErr w:type="spellEnd"/>
      <w:r w:rsidRPr="008C1A84">
        <w:t>, us</w:t>
      </w:r>
      <w:r w:rsidR="002C1FEE" w:rsidRPr="008C1A84">
        <w:t>ing</w:t>
      </w:r>
      <w:r w:rsidRPr="008C1A84">
        <w:t xml:space="preserve"> a </w:t>
      </w:r>
      <w:proofErr w:type="spellStart"/>
      <w:r w:rsidRPr="008C1A84">
        <w:t>PtRh</w:t>
      </w:r>
      <w:proofErr w:type="spellEnd"/>
      <w:r w:rsidRPr="008C1A84">
        <w:t xml:space="preserve"> </w:t>
      </w:r>
      <w:r w:rsidR="002C1FEE" w:rsidRPr="008C1A84">
        <w:t>cathode</w:t>
      </w:r>
      <w:r w:rsidRPr="008C1A84">
        <w:t xml:space="preserve"> in a flow system was </w:t>
      </w:r>
      <w:r w:rsidR="002C1FEE" w:rsidRPr="008C1A84">
        <w:t>demonstrated</w:t>
      </w:r>
      <w:r w:rsidRPr="008C1A84">
        <w:t>.</w:t>
      </w:r>
    </w:p>
    <w:bookmarkEnd w:id="0"/>
    <w:p w:rsidR="00600535" w:rsidRPr="00B57B36" w:rsidRDefault="00600535" w:rsidP="00600535">
      <w:pPr>
        <w:pStyle w:val="CETHeading1"/>
        <w:rPr>
          <w:lang w:val="en-GB"/>
        </w:rPr>
      </w:pPr>
      <w:r w:rsidRPr="00B57B36">
        <w:rPr>
          <w:lang w:val="en-GB"/>
        </w:rPr>
        <w:t>Introduction</w:t>
      </w:r>
    </w:p>
    <w:p w:rsidR="00C87AD8" w:rsidRPr="00BE7BD7" w:rsidRDefault="002D45A5" w:rsidP="00BE03FF">
      <w:pPr>
        <w:pStyle w:val="CETBodytext"/>
      </w:pPr>
      <w:proofErr w:type="spellStart"/>
      <w:r w:rsidRPr="002D45A5">
        <w:t>Isoindolinones</w:t>
      </w:r>
      <w:proofErr w:type="spellEnd"/>
      <w:r w:rsidRPr="002D45A5">
        <w:t xml:space="preserve"> have been extensively studied in recent years because the </w:t>
      </w:r>
      <w:proofErr w:type="spellStart"/>
      <w:r w:rsidRPr="002D45A5">
        <w:t>isoindolinone</w:t>
      </w:r>
      <w:proofErr w:type="spellEnd"/>
      <w:r w:rsidRPr="002D45A5">
        <w:t xml:space="preserve"> skeleton is present in many natural products and synthetic pharmaceuticals with a comprehensive range of biological activities, such as antit</w:t>
      </w:r>
      <w:r w:rsidRPr="00BE7BD7">
        <w:t xml:space="preserve">umor, anticonvulsant and so on. Some </w:t>
      </w:r>
      <w:proofErr w:type="spellStart"/>
      <w:r w:rsidRPr="00BE7BD7">
        <w:t>isoindolinone</w:t>
      </w:r>
      <w:proofErr w:type="spellEnd"/>
      <w:r w:rsidRPr="00BE7BD7">
        <w:t xml:space="preserve"> derivatives have been studied as antitumor drug molecules. Considering </w:t>
      </w:r>
      <w:proofErr w:type="spellStart"/>
      <w:r w:rsidRPr="00BE7BD7">
        <w:t>isoindolinone</w:t>
      </w:r>
      <w:proofErr w:type="spellEnd"/>
      <w:r w:rsidRPr="00BE7BD7">
        <w:t xml:space="preserve"> derivatives applications, several synthetic methodologies have been widely investigated</w:t>
      </w:r>
      <w:r w:rsidR="00F140A6" w:rsidRPr="00BE7BD7">
        <w:t xml:space="preserve"> (</w:t>
      </w:r>
      <w:proofErr w:type="spellStart"/>
      <w:r w:rsidR="00F140A6" w:rsidRPr="00BE7BD7">
        <w:t>Csende</w:t>
      </w:r>
      <w:proofErr w:type="spellEnd"/>
      <w:r w:rsidR="00F140A6" w:rsidRPr="00BE7BD7">
        <w:t xml:space="preserve"> et al., 2005;</w:t>
      </w:r>
      <w:r w:rsidR="0027638B" w:rsidRPr="00BE7BD7">
        <w:t xml:space="preserve"> </w:t>
      </w:r>
      <w:proofErr w:type="spellStart"/>
      <w:r w:rsidR="0027638B" w:rsidRPr="00BE7BD7">
        <w:t>Stajer</w:t>
      </w:r>
      <w:proofErr w:type="spellEnd"/>
      <w:r w:rsidR="0027638B" w:rsidRPr="00BE7BD7">
        <w:t xml:space="preserve"> et al., 2005</w:t>
      </w:r>
      <w:r w:rsidR="00F140A6" w:rsidRPr="00BE7BD7">
        <w:t>)</w:t>
      </w:r>
      <w:r w:rsidRPr="00BE7BD7">
        <w:t xml:space="preserve">. A lot of </w:t>
      </w:r>
      <w:proofErr w:type="spellStart"/>
      <w:r w:rsidRPr="00BE7BD7">
        <w:t>isoindolinones</w:t>
      </w:r>
      <w:proofErr w:type="spellEnd"/>
      <w:r w:rsidRPr="00BE7BD7">
        <w:t xml:space="preserve"> synthesis approaches have been developed, which generally fall into two categories</w:t>
      </w:r>
      <w:r w:rsidR="000203AF" w:rsidRPr="00BE7BD7">
        <w:t xml:space="preserve"> (Hunter et al., 2003)</w:t>
      </w:r>
      <w:r w:rsidRPr="00BE7BD7">
        <w:t xml:space="preserve"> or are divided into eight retrosynthetic cuts</w:t>
      </w:r>
      <w:r w:rsidR="00AE6D0C" w:rsidRPr="00BE7BD7">
        <w:t xml:space="preserve"> (Enders et al., 2001)</w:t>
      </w:r>
      <w:r w:rsidRPr="00BE7BD7">
        <w:t xml:space="preserve">. In the first strategy, </w:t>
      </w:r>
      <w:proofErr w:type="spellStart"/>
      <w:r w:rsidRPr="00BE7BD7">
        <w:t>phthalimides</w:t>
      </w:r>
      <w:proofErr w:type="spellEnd"/>
      <w:r w:rsidR="00502F56" w:rsidRPr="00BE7BD7">
        <w:t xml:space="preserve"> </w:t>
      </w:r>
      <w:r w:rsidR="00550FFE" w:rsidRPr="00BE7BD7">
        <w:t>(</w:t>
      </w:r>
      <w:proofErr w:type="spellStart"/>
      <w:r w:rsidR="00550FFE" w:rsidRPr="00BE7BD7">
        <w:t>Kise</w:t>
      </w:r>
      <w:proofErr w:type="spellEnd"/>
      <w:r w:rsidR="00550FFE" w:rsidRPr="00BE7BD7">
        <w:t xml:space="preserve"> et al., 2013)</w:t>
      </w:r>
      <w:r w:rsidRPr="00BE7BD7">
        <w:t xml:space="preserve"> or </w:t>
      </w:r>
      <w:proofErr w:type="spellStart"/>
      <w:r w:rsidRPr="00BE7BD7">
        <w:t>phthalimidines</w:t>
      </w:r>
      <w:proofErr w:type="spellEnd"/>
      <w:r w:rsidR="00925D66" w:rsidRPr="00BE7BD7">
        <w:t xml:space="preserve"> (Ali et al., 2014)</w:t>
      </w:r>
      <w:r w:rsidRPr="00BE7BD7">
        <w:t xml:space="preserve"> are directly used as starting materials. The second approach is the creation of the lactam ring through many cyclization reactions of functionalized aromatic compounds. </w:t>
      </w:r>
    </w:p>
    <w:p w:rsidR="00C87AD8" w:rsidRPr="00BE7BD7" w:rsidRDefault="002D45A5" w:rsidP="00BE03FF">
      <w:pPr>
        <w:pStyle w:val="CETBodytext"/>
      </w:pPr>
      <w:r w:rsidRPr="00BE7BD7">
        <w:t xml:space="preserve">Despite many traditional methods have been efficaciously applied to prepare </w:t>
      </w:r>
      <w:proofErr w:type="spellStart"/>
      <w:r w:rsidRPr="00BE7BD7">
        <w:t>isoindolinones</w:t>
      </w:r>
      <w:proofErr w:type="spellEnd"/>
      <w:r w:rsidRPr="00BE7BD7">
        <w:t xml:space="preserve"> and enrich the structural diversity as well as the structure-activity relationship, the development of convenient and practical synthetic methods for these compounds continues to remain an active area of research. </w:t>
      </w:r>
    </w:p>
    <w:p w:rsidR="00B32D74" w:rsidRPr="00BE7BD7" w:rsidRDefault="002D45A5" w:rsidP="00BE03FF">
      <w:pPr>
        <w:pStyle w:val="CETBodytext"/>
      </w:pPr>
      <w:r w:rsidRPr="00BE7BD7">
        <w:t>Organic electrochemistry is a powerful method for organic synthesis. Anionic and cationic radical species can be formed from neutral organic molecules generating a wide variety of useful reactive intermediates</w:t>
      </w:r>
      <w:r w:rsidR="00941231" w:rsidRPr="00BE7BD7">
        <w:t xml:space="preserve"> (Horn et al., 2016)</w:t>
      </w:r>
      <w:r w:rsidRPr="00BE7BD7">
        <w:t xml:space="preserve">. As smaller amounts of chemicals are necessary for these reactions, fewer side products are formed. </w:t>
      </w:r>
    </w:p>
    <w:p w:rsidR="00B32D74" w:rsidRPr="00BE7BD7" w:rsidRDefault="00B32D74" w:rsidP="00B32D74">
      <w:pPr>
        <w:pStyle w:val="CETBodytext"/>
      </w:pPr>
      <w:r w:rsidRPr="00BE7BD7">
        <w:t>However there are relevant limitations for electrochemistry in the traditional batch processes: as common organic solvents have typically low conductivity, the use and subsequent removal of supporting electrolytes is necessary, furthermore the large distance between electrodes leads to large current gradients. To overcame these problems, continuous flow reactors can represent an interesting choice</w:t>
      </w:r>
      <w:r w:rsidR="00254FE9" w:rsidRPr="00BE7BD7">
        <w:t xml:space="preserve"> (Yang et al., 2012)</w:t>
      </w:r>
      <w:r w:rsidRPr="00BE7BD7">
        <w:t>, and it is an example of process intensification, making processes less costly and enabling easier purification: small electrode distances avoid the current gradients and the reactions can be performed with minor amounts or without addition of supporting electrolytes, a high electrode surface-to-reactor volume ratio allows a much improved mass transfer on the surface of the electrodes leading to milder reaction conditions and short reaction times.</w:t>
      </w:r>
    </w:p>
    <w:p w:rsidR="00C87AD8" w:rsidRDefault="00070B21" w:rsidP="00BE03FF">
      <w:pPr>
        <w:pStyle w:val="CETBodytext"/>
      </w:pPr>
      <w:r w:rsidRPr="00BE7BD7">
        <w:t>Hydroxide generation during electrolysis, as a result of H</w:t>
      </w:r>
      <w:r w:rsidRPr="00BE7BD7">
        <w:rPr>
          <w:vertAlign w:val="subscript"/>
        </w:rPr>
        <w:t>2</w:t>
      </w:r>
      <w:r w:rsidRPr="00BE7BD7">
        <w:t>O reduction at the cathode</w:t>
      </w:r>
      <w:r w:rsidR="00070212" w:rsidRPr="00BE7BD7">
        <w:t xml:space="preserve"> (</w:t>
      </w:r>
      <w:proofErr w:type="spellStart"/>
      <w:r w:rsidR="00070212" w:rsidRPr="00BE7BD7">
        <w:rPr>
          <w:lang w:val="en-GB"/>
        </w:rPr>
        <w:t>Sarno</w:t>
      </w:r>
      <w:proofErr w:type="spellEnd"/>
      <w:r w:rsidR="00070212" w:rsidRPr="00BE7BD7">
        <w:rPr>
          <w:lang w:val="en-GB"/>
        </w:rPr>
        <w:t xml:space="preserve"> et al., 2015</w:t>
      </w:r>
      <w:r w:rsidR="00950A35" w:rsidRPr="00BE7BD7">
        <w:rPr>
          <w:lang w:val="en-GB"/>
        </w:rPr>
        <w:t>a</w:t>
      </w:r>
      <w:r w:rsidR="00070212" w:rsidRPr="00BE7BD7">
        <w:rPr>
          <w:lang w:val="en-GB"/>
        </w:rPr>
        <w:t>)</w:t>
      </w:r>
      <w:r w:rsidRPr="00BE7BD7">
        <w:t>, was found to be the key step during carbamate deprotonation process. Moreover, at</w:t>
      </w:r>
      <w:r>
        <w:t xml:space="preserve"> the best of our </w:t>
      </w:r>
      <w:r w:rsidR="00100E23">
        <w:t>knowledge</w:t>
      </w:r>
      <w:r>
        <w:t xml:space="preserve">, </w:t>
      </w:r>
      <w:r w:rsidR="00100E23" w:rsidRPr="00100E23">
        <w:t xml:space="preserve">a study aimed at the optimization of this step and the </w:t>
      </w:r>
      <w:r w:rsidR="00100E23">
        <w:t>design</w:t>
      </w:r>
      <w:r w:rsidR="00100E23" w:rsidRPr="00100E23">
        <w:t xml:space="preserve"> of cathode materials capable of </w:t>
      </w:r>
      <w:r w:rsidR="00100E23" w:rsidRPr="00100E23">
        <w:lastRenderedPageBreak/>
        <w:t xml:space="preserve">exploiting at best the possibility of anionic radicals to favor the formation </w:t>
      </w:r>
      <w:r w:rsidR="00100E23">
        <w:t xml:space="preserve">of nitrogen </w:t>
      </w:r>
      <w:r w:rsidR="00100E23" w:rsidRPr="00100E23">
        <w:t>radicals, has not yet been carried out.</w:t>
      </w:r>
      <w:r w:rsidR="00053CE7">
        <w:t xml:space="preserve">  </w:t>
      </w:r>
    </w:p>
    <w:p w:rsidR="00053CE7" w:rsidRPr="00BE7BD7" w:rsidRDefault="00053CE7" w:rsidP="00BE03FF">
      <w:pPr>
        <w:pStyle w:val="CETBodytext"/>
      </w:pPr>
      <w:r w:rsidRPr="00053CE7">
        <w:t xml:space="preserve">Amongst </w:t>
      </w:r>
      <w:r w:rsidRPr="00BE7BD7">
        <w:t xml:space="preserve">noble metals, rhodium can be regarded as an excellent material, being at the top of </w:t>
      </w:r>
      <w:proofErr w:type="spellStart"/>
      <w:r w:rsidRPr="00BE7BD7">
        <w:t>Trasatti’s</w:t>
      </w:r>
      <w:proofErr w:type="spellEnd"/>
      <w:r w:rsidRPr="00BE7BD7">
        <w:t xml:space="preserve"> volcano plot</w:t>
      </w:r>
      <w:r w:rsidR="00EE24F1" w:rsidRPr="00BE7BD7">
        <w:t xml:space="preserve"> (</w:t>
      </w:r>
      <w:proofErr w:type="spellStart"/>
      <w:r w:rsidR="00EE24F1" w:rsidRPr="00BE7BD7">
        <w:t>Quaino</w:t>
      </w:r>
      <w:proofErr w:type="spellEnd"/>
      <w:r w:rsidR="00EE24F1" w:rsidRPr="00BE7BD7">
        <w:t xml:space="preserve"> et al., 2014)</w:t>
      </w:r>
      <w:r w:rsidRPr="00BE7BD7">
        <w:t xml:space="preserve"> and because of its </w:t>
      </w:r>
      <w:proofErr w:type="spellStart"/>
      <w:r w:rsidRPr="00BE7BD7">
        <w:t>oxophilic</w:t>
      </w:r>
      <w:proofErr w:type="spellEnd"/>
      <w:r w:rsidRPr="00BE7BD7">
        <w:t xml:space="preserve"> nature which can provide a lower onset potential</w:t>
      </w:r>
      <w:r w:rsidR="00983F1B" w:rsidRPr="00BE7BD7">
        <w:t xml:space="preserve"> (</w:t>
      </w:r>
      <w:proofErr w:type="spellStart"/>
      <w:r w:rsidR="00983F1B" w:rsidRPr="00BE7BD7">
        <w:t>Gurau</w:t>
      </w:r>
      <w:proofErr w:type="spellEnd"/>
      <w:r w:rsidR="00983F1B" w:rsidRPr="00BE7BD7">
        <w:t xml:space="preserve"> et al., 1998)</w:t>
      </w:r>
      <w:r w:rsidRPr="00BE7BD7">
        <w:t xml:space="preserve">. </w:t>
      </w:r>
    </w:p>
    <w:p w:rsidR="00C87AD8" w:rsidRPr="00BE7BD7" w:rsidRDefault="00053CE7" w:rsidP="00BE03FF">
      <w:pPr>
        <w:pStyle w:val="CETBodytext"/>
      </w:pPr>
      <w:r w:rsidRPr="00BE7BD7">
        <w:t xml:space="preserve">Furthermore, the presence of Rh into the Pt lattice </w:t>
      </w:r>
      <w:r w:rsidR="0023798C" w:rsidRPr="00BE7BD7">
        <w:t>induce</w:t>
      </w:r>
      <w:r w:rsidR="008C1A84" w:rsidRPr="00BE7BD7">
        <w:t>s</w:t>
      </w:r>
      <w:r w:rsidRPr="00BE7BD7">
        <w:t xml:space="preserve"> the up-shifting of the metal d-band center </w:t>
      </w:r>
      <w:r w:rsidR="008C1A84" w:rsidRPr="00BE7BD7">
        <w:t xml:space="preserve">and </w:t>
      </w:r>
      <w:r w:rsidRPr="00BE7BD7">
        <w:t xml:space="preserve">increasing repulsive interaction, whereas hydroxide species easily </w:t>
      </w:r>
      <w:proofErr w:type="spellStart"/>
      <w:r w:rsidRPr="00BE7BD7">
        <w:t>adsorbe</w:t>
      </w:r>
      <w:proofErr w:type="spellEnd"/>
      <w:r w:rsidRPr="00BE7BD7">
        <w:t xml:space="preserve"> on this metal </w:t>
      </w:r>
      <w:r w:rsidR="0023798C" w:rsidRPr="00BE7BD7">
        <w:t xml:space="preserve">and </w:t>
      </w:r>
      <w:r w:rsidRPr="00BE7BD7">
        <w:t xml:space="preserve">further improve </w:t>
      </w:r>
      <w:r w:rsidR="0023798C" w:rsidRPr="00BE7BD7">
        <w:t>formation of nitrogen radicals</w:t>
      </w:r>
      <w:r w:rsidR="00FB68D1" w:rsidRPr="00BE7BD7">
        <w:t xml:space="preserve"> (Van Santen et al., 1990)</w:t>
      </w:r>
      <w:r w:rsidR="00CF1DA3" w:rsidRPr="00BE7BD7">
        <w:t>.</w:t>
      </w:r>
      <w:r w:rsidRPr="00BE7BD7">
        <w:t xml:space="preserve"> </w:t>
      </w:r>
    </w:p>
    <w:p w:rsidR="002D45A5" w:rsidRPr="00053CE7" w:rsidRDefault="00070B21" w:rsidP="00BE03FF">
      <w:pPr>
        <w:pStyle w:val="CETBodytext"/>
      </w:pPr>
      <w:r w:rsidRPr="00BE7BD7">
        <w:t xml:space="preserve">Here, in order to </w:t>
      </w:r>
      <w:r w:rsidR="00D9219A" w:rsidRPr="00BE7BD7">
        <w:t>exploit the Pt and Rh</w:t>
      </w:r>
      <w:r w:rsidR="00444EA4" w:rsidRPr="00BE7BD7">
        <w:t xml:space="preserve"> alloy activity</w:t>
      </w:r>
      <w:r w:rsidR="00D9219A" w:rsidRPr="00BE7BD7">
        <w:t xml:space="preserve">, for the first time, we propose </w:t>
      </w:r>
      <w:proofErr w:type="spellStart"/>
      <w:r w:rsidR="00D9219A" w:rsidRPr="00BE7BD7">
        <w:t>PtRh</w:t>
      </w:r>
      <w:proofErr w:type="spellEnd"/>
      <w:r w:rsidR="00D9219A" w:rsidRPr="00BE7BD7">
        <w:t xml:space="preserve"> alloy nanoparticles for </w:t>
      </w:r>
      <w:r w:rsidR="002D45A5" w:rsidRPr="00BE7BD7">
        <w:t xml:space="preserve">facile synthesis of </w:t>
      </w:r>
      <w:proofErr w:type="spellStart"/>
      <w:r w:rsidR="002D45A5" w:rsidRPr="00BE7BD7">
        <w:t>amidyl</w:t>
      </w:r>
      <w:proofErr w:type="spellEnd"/>
      <w:r w:rsidR="002D45A5" w:rsidRPr="00BE7BD7">
        <w:t xml:space="preserve"> radicals used in intramolecular </w:t>
      </w:r>
      <w:proofErr w:type="spellStart"/>
      <w:r w:rsidR="002D45A5" w:rsidRPr="00BE7BD7">
        <w:t>hydroamina</w:t>
      </w:r>
      <w:r w:rsidR="00D9219A" w:rsidRPr="00BE7BD7">
        <w:t>tions</w:t>
      </w:r>
      <w:proofErr w:type="spellEnd"/>
      <w:r w:rsidR="00D9219A" w:rsidRPr="00BE7BD7">
        <w:t xml:space="preserve"> to produce </w:t>
      </w:r>
      <w:proofErr w:type="spellStart"/>
      <w:r w:rsidR="00D9219A" w:rsidRPr="00BE7BD7">
        <w:t>isoindolinones</w:t>
      </w:r>
      <w:proofErr w:type="spellEnd"/>
      <w:r w:rsidR="002D45A5" w:rsidRPr="00BE7BD7">
        <w:t>.</w:t>
      </w:r>
      <w:r w:rsidR="0045705B" w:rsidRPr="00BE7BD7">
        <w:t xml:space="preserve"> </w:t>
      </w:r>
      <w:r w:rsidR="0076594E" w:rsidRPr="00BE7BD7">
        <w:t xml:space="preserve">The combination with </w:t>
      </w:r>
      <w:r w:rsidR="00A9100F" w:rsidRPr="00BE7BD7">
        <w:t>o</w:t>
      </w:r>
      <w:r w:rsidR="0076594E" w:rsidRPr="00BE7BD7">
        <w:t>n</w:t>
      </w:r>
      <w:r w:rsidR="00444EA4" w:rsidRPr="00BE7BD7">
        <w:t>-</w:t>
      </w:r>
      <w:r w:rsidR="0076594E" w:rsidRPr="00BE7BD7">
        <w:t>line mass spectrometry has fac</w:t>
      </w:r>
      <w:r w:rsidR="0076594E" w:rsidRPr="0076594E">
        <w:t xml:space="preserve">ilitated a much easier </w:t>
      </w:r>
      <w:r w:rsidR="00A9100F">
        <w:t>evaluation of the</w:t>
      </w:r>
      <w:r w:rsidR="0076594E" w:rsidRPr="0076594E">
        <w:t xml:space="preserve"> chemical steps in a single flow process. A flow reaction in an optimized reactor was performed</w:t>
      </w:r>
      <w:r w:rsidR="0076594E">
        <w:t xml:space="preserve"> for 1.2 h leading to 97% yield</w:t>
      </w:r>
      <w:r w:rsidR="0076594E" w:rsidRPr="0076594E">
        <w:t>.</w:t>
      </w:r>
      <w:r w:rsidR="00953098">
        <w:t xml:space="preserve"> </w:t>
      </w:r>
      <w:r w:rsidR="0045705B" w:rsidRPr="0045705B">
        <w:t>Transmission Electron Microscopy (TEM), Thermogravimetric analysis coupled with Mass Spectrometry (TG-DTG-MS) and X-ray diffraction (XRD) were employed for</w:t>
      </w:r>
      <w:r w:rsidR="00953098">
        <w:t xml:space="preserve"> the synthesized nanomaterial</w:t>
      </w:r>
      <w:r w:rsidR="0045705B" w:rsidRPr="0045705B">
        <w:t xml:space="preserve"> characterization. </w:t>
      </w:r>
    </w:p>
    <w:p w:rsidR="00DA764B" w:rsidRPr="00DA764B" w:rsidRDefault="00950E00" w:rsidP="00DA764B">
      <w:pPr>
        <w:pStyle w:val="CETHeading1"/>
        <w:rPr>
          <w:lang w:val="en-GB"/>
        </w:rPr>
      </w:pPr>
      <w:r w:rsidRPr="00F70A12">
        <w:rPr>
          <w:lang w:val="en-GB"/>
        </w:rPr>
        <w:t>Experimental</w:t>
      </w:r>
    </w:p>
    <w:p w:rsidR="00EF1FBA" w:rsidRPr="00850778" w:rsidRDefault="00FE2A97" w:rsidP="00EF1FBA">
      <w:pPr>
        <w:pStyle w:val="CETBodytext"/>
        <w:rPr>
          <w:lang w:val="en-GB"/>
        </w:rPr>
      </w:pPr>
      <w:proofErr w:type="spellStart"/>
      <w:r w:rsidRPr="00FE2A97">
        <w:rPr>
          <w:lang w:val="en-GB"/>
        </w:rPr>
        <w:t>PtRh</w:t>
      </w:r>
      <w:proofErr w:type="spellEnd"/>
      <w:r w:rsidRPr="00FE2A97">
        <w:rPr>
          <w:lang w:val="en-GB"/>
        </w:rPr>
        <w:t xml:space="preserve"> </w:t>
      </w:r>
      <w:r>
        <w:rPr>
          <w:lang w:val="en-GB"/>
        </w:rPr>
        <w:t xml:space="preserve">NPs </w:t>
      </w:r>
      <w:r w:rsidRPr="00FE2A97">
        <w:rPr>
          <w:lang w:val="en-GB"/>
        </w:rPr>
        <w:t xml:space="preserve">were obtained in 1-octadecene using 1-2 </w:t>
      </w:r>
      <w:proofErr w:type="spellStart"/>
      <w:r w:rsidRPr="00FE2A97">
        <w:rPr>
          <w:lang w:val="en-GB"/>
        </w:rPr>
        <w:t>hexadecanediol</w:t>
      </w:r>
      <w:proofErr w:type="spellEnd"/>
      <w:r w:rsidRPr="00FE2A97">
        <w:rPr>
          <w:lang w:val="en-GB"/>
        </w:rPr>
        <w:t xml:space="preserve"> as reducing agent and oleylamine an</w:t>
      </w:r>
      <w:r>
        <w:rPr>
          <w:lang w:val="en-GB"/>
        </w:rPr>
        <w:t>d oleic acid as surfactant</w:t>
      </w:r>
      <w:r w:rsidRPr="00BE7BD7">
        <w:rPr>
          <w:lang w:val="en-GB"/>
        </w:rPr>
        <w:t>s</w:t>
      </w:r>
      <w:r w:rsidR="00604A75" w:rsidRPr="00BE7BD7">
        <w:rPr>
          <w:lang w:val="en-GB"/>
        </w:rPr>
        <w:t xml:space="preserve"> (Chen et al., 2004)</w:t>
      </w:r>
      <w:r w:rsidRPr="00BE7BD7">
        <w:rPr>
          <w:lang w:val="en-GB"/>
        </w:rPr>
        <w:t xml:space="preserve"> by thermal decomposition of platinum(II) </w:t>
      </w:r>
      <w:proofErr w:type="spellStart"/>
      <w:r w:rsidRPr="00BE7BD7">
        <w:rPr>
          <w:lang w:val="en-GB"/>
        </w:rPr>
        <w:t>acetylacetonate</w:t>
      </w:r>
      <w:proofErr w:type="spellEnd"/>
      <w:r w:rsidRPr="00BE7BD7">
        <w:rPr>
          <w:lang w:val="en-GB"/>
        </w:rPr>
        <w:t xml:space="preserve"> and rhodium(III) nitrate hydrate under N</w:t>
      </w:r>
      <w:r w:rsidRPr="00BE7BD7">
        <w:rPr>
          <w:vertAlign w:val="subscript"/>
          <w:lang w:val="en-GB"/>
        </w:rPr>
        <w:t>2</w:t>
      </w:r>
      <w:r w:rsidRPr="00BE7BD7">
        <w:rPr>
          <w:lang w:val="en-GB"/>
        </w:rPr>
        <w:t xml:space="preserve"> flow. In particular, 0.</w:t>
      </w:r>
      <w:r w:rsidR="00F03D39" w:rsidRPr="00BE7BD7">
        <w:rPr>
          <w:lang w:val="en-GB"/>
        </w:rPr>
        <w:t>2</w:t>
      </w:r>
      <w:r w:rsidRPr="00BE7BD7">
        <w:rPr>
          <w:lang w:val="en-GB"/>
        </w:rPr>
        <w:t xml:space="preserve"> </w:t>
      </w:r>
      <w:proofErr w:type="spellStart"/>
      <w:r w:rsidRPr="00BE7BD7">
        <w:rPr>
          <w:lang w:val="en-GB"/>
        </w:rPr>
        <w:t>mmol</w:t>
      </w:r>
      <w:proofErr w:type="spellEnd"/>
      <w:r w:rsidRPr="00BE7BD7">
        <w:rPr>
          <w:lang w:val="en-GB"/>
        </w:rPr>
        <w:t xml:space="preserve"> of Pt(C</w:t>
      </w:r>
      <w:r w:rsidRPr="00BE7BD7">
        <w:rPr>
          <w:vertAlign w:val="subscript"/>
          <w:lang w:val="en-GB"/>
        </w:rPr>
        <w:t>5</w:t>
      </w:r>
      <w:r w:rsidRPr="00BE7BD7">
        <w:rPr>
          <w:lang w:val="en-GB"/>
        </w:rPr>
        <w:t>H</w:t>
      </w:r>
      <w:r w:rsidRPr="00BE7BD7">
        <w:rPr>
          <w:vertAlign w:val="subscript"/>
          <w:lang w:val="en-GB"/>
        </w:rPr>
        <w:t>7</w:t>
      </w:r>
      <w:r w:rsidRPr="00BE7BD7">
        <w:rPr>
          <w:lang w:val="en-GB"/>
        </w:rPr>
        <w:t>O</w:t>
      </w:r>
      <w:r w:rsidRPr="00BE7BD7">
        <w:rPr>
          <w:vertAlign w:val="subscript"/>
          <w:lang w:val="en-GB"/>
        </w:rPr>
        <w:t>2</w:t>
      </w:r>
      <w:r w:rsidRPr="00BE7BD7">
        <w:rPr>
          <w:lang w:val="en-GB"/>
        </w:rPr>
        <w:t>)</w:t>
      </w:r>
      <w:r w:rsidRPr="00BE7BD7">
        <w:rPr>
          <w:vertAlign w:val="subscript"/>
          <w:lang w:val="en-GB"/>
        </w:rPr>
        <w:t>2</w:t>
      </w:r>
      <w:r w:rsidRPr="00BE7BD7">
        <w:rPr>
          <w:lang w:val="en-GB"/>
        </w:rPr>
        <w:t xml:space="preserve"> and 0.</w:t>
      </w:r>
      <w:r w:rsidR="00F03D39" w:rsidRPr="00BE7BD7">
        <w:rPr>
          <w:lang w:val="en-GB"/>
        </w:rPr>
        <w:t>3</w:t>
      </w:r>
      <w:r w:rsidRPr="00BE7BD7">
        <w:rPr>
          <w:lang w:val="en-GB"/>
        </w:rPr>
        <w:t xml:space="preserve"> </w:t>
      </w:r>
      <w:proofErr w:type="spellStart"/>
      <w:r w:rsidRPr="00BE7BD7">
        <w:rPr>
          <w:lang w:val="en-GB"/>
        </w:rPr>
        <w:t>mmol</w:t>
      </w:r>
      <w:proofErr w:type="spellEnd"/>
      <w:r w:rsidRPr="00BE7BD7">
        <w:rPr>
          <w:lang w:val="en-GB"/>
        </w:rPr>
        <w:t xml:space="preserve"> of Rh(NO</w:t>
      </w:r>
      <w:r w:rsidRPr="00BE7BD7">
        <w:rPr>
          <w:vertAlign w:val="subscript"/>
          <w:lang w:val="en-GB"/>
        </w:rPr>
        <w:t>3</w:t>
      </w:r>
      <w:r w:rsidRPr="00BE7BD7">
        <w:rPr>
          <w:lang w:val="en-GB"/>
        </w:rPr>
        <w:t>)</w:t>
      </w:r>
      <w:r w:rsidRPr="00BE7BD7">
        <w:rPr>
          <w:vertAlign w:val="subscript"/>
          <w:lang w:val="en-GB"/>
        </w:rPr>
        <w:t>3</w:t>
      </w:r>
      <w:r w:rsidRPr="00BE7BD7">
        <w:rPr>
          <w:lang w:val="en-GB"/>
        </w:rPr>
        <w:t>×H</w:t>
      </w:r>
      <w:r w:rsidRPr="00BE7BD7">
        <w:rPr>
          <w:vertAlign w:val="subscript"/>
          <w:lang w:val="en-GB"/>
        </w:rPr>
        <w:t>2</w:t>
      </w:r>
      <w:r w:rsidRPr="00BE7BD7">
        <w:rPr>
          <w:lang w:val="en-GB"/>
        </w:rPr>
        <w:t xml:space="preserve">O were mixed with </w:t>
      </w:r>
      <w:r w:rsidR="00F03D39" w:rsidRPr="00BE7BD7">
        <w:rPr>
          <w:lang w:val="en-GB"/>
        </w:rPr>
        <w:t>15</w:t>
      </w:r>
      <w:r w:rsidRPr="00BE7BD7">
        <w:rPr>
          <w:lang w:val="en-GB"/>
        </w:rPr>
        <w:t xml:space="preserve"> mL of 1-octadecene, 10 </w:t>
      </w:r>
      <w:proofErr w:type="spellStart"/>
      <w:r w:rsidRPr="00BE7BD7">
        <w:rPr>
          <w:lang w:val="en-GB"/>
        </w:rPr>
        <w:t>mmol</w:t>
      </w:r>
      <w:proofErr w:type="spellEnd"/>
      <w:r w:rsidRPr="00BE7BD7">
        <w:rPr>
          <w:lang w:val="en-GB"/>
        </w:rPr>
        <w:t xml:space="preserve"> of 1,2-hexadecanediol, 6 </w:t>
      </w:r>
      <w:proofErr w:type="spellStart"/>
      <w:r w:rsidRPr="00BE7BD7">
        <w:rPr>
          <w:lang w:val="en-GB"/>
        </w:rPr>
        <w:t>mmol</w:t>
      </w:r>
      <w:proofErr w:type="spellEnd"/>
      <w:r w:rsidRPr="00BE7BD7">
        <w:rPr>
          <w:lang w:val="en-GB"/>
        </w:rPr>
        <w:t xml:space="preserve"> of oleylamine and 6 </w:t>
      </w:r>
      <w:proofErr w:type="spellStart"/>
      <w:r w:rsidRPr="00BE7BD7">
        <w:rPr>
          <w:lang w:val="en-GB"/>
        </w:rPr>
        <w:t>mmol</w:t>
      </w:r>
      <w:proofErr w:type="spellEnd"/>
      <w:r w:rsidRPr="00BE7BD7">
        <w:rPr>
          <w:lang w:val="en-GB"/>
        </w:rPr>
        <w:t xml:space="preserve"> of oleic acid</w:t>
      </w:r>
      <w:r w:rsidR="00C60772" w:rsidRPr="00BE7BD7">
        <w:rPr>
          <w:lang w:val="en-GB"/>
        </w:rPr>
        <w:t xml:space="preserve"> </w:t>
      </w:r>
      <w:r w:rsidR="00950A35" w:rsidRPr="00BE7BD7">
        <w:t>(</w:t>
      </w:r>
      <w:proofErr w:type="spellStart"/>
      <w:r w:rsidR="00950A35" w:rsidRPr="00BE7BD7">
        <w:rPr>
          <w:lang w:val="en-GB"/>
        </w:rPr>
        <w:t>Sarno</w:t>
      </w:r>
      <w:proofErr w:type="spellEnd"/>
      <w:r w:rsidR="00950A35" w:rsidRPr="00BE7BD7">
        <w:rPr>
          <w:lang w:val="en-GB"/>
        </w:rPr>
        <w:t xml:space="preserve"> et al., 2015b</w:t>
      </w:r>
      <w:r w:rsidR="000663BC" w:rsidRPr="00BE7BD7">
        <w:rPr>
          <w:lang w:val="en-GB"/>
        </w:rPr>
        <w:t xml:space="preserve">, </w:t>
      </w:r>
      <w:proofErr w:type="spellStart"/>
      <w:r w:rsidR="000663BC" w:rsidRPr="00BE7BD7">
        <w:rPr>
          <w:lang w:val="en-GB"/>
        </w:rPr>
        <w:t>Sarno</w:t>
      </w:r>
      <w:proofErr w:type="spellEnd"/>
      <w:r w:rsidR="000663BC" w:rsidRPr="00BE7BD7">
        <w:rPr>
          <w:lang w:val="en-GB"/>
        </w:rPr>
        <w:t xml:space="preserve"> et al., 2016</w:t>
      </w:r>
      <w:r w:rsidR="00950A35" w:rsidRPr="00BE7BD7">
        <w:rPr>
          <w:lang w:val="en-GB"/>
        </w:rPr>
        <w:t>)</w:t>
      </w:r>
      <w:r w:rsidRPr="00BE7BD7">
        <w:rPr>
          <w:lang w:val="en-GB"/>
        </w:rPr>
        <w:t>. Oleylamine was used not only as a surfactant but also as stabilizer and mild reducing agent, being able to donate electrons at high temperatures</w:t>
      </w:r>
      <w:r w:rsidR="00EF1FBA" w:rsidRPr="00BE7BD7">
        <w:rPr>
          <w:lang w:val="en-GB"/>
        </w:rPr>
        <w:t xml:space="preserve"> (</w:t>
      </w:r>
      <w:proofErr w:type="spellStart"/>
      <w:r w:rsidR="00EF1FBA" w:rsidRPr="00BE7BD7">
        <w:rPr>
          <w:lang w:val="en-GB"/>
        </w:rPr>
        <w:t>Mourdikoudis</w:t>
      </w:r>
      <w:proofErr w:type="spellEnd"/>
      <w:r w:rsidR="00EF1FBA" w:rsidRPr="00BE7BD7">
        <w:rPr>
          <w:lang w:val="en-GB"/>
        </w:rPr>
        <w:t xml:space="preserve"> et al., 2013).</w:t>
      </w:r>
    </w:p>
    <w:p w:rsidR="00FD7686" w:rsidRDefault="00D30CAA" w:rsidP="00FD7686">
      <w:pPr>
        <w:pStyle w:val="CETBodytext"/>
        <w:jc w:val="left"/>
        <w:rPr>
          <w:i/>
        </w:rPr>
      </w:pPr>
      <w:r w:rsidRPr="007B0A58">
        <w:rPr>
          <w:i/>
        </w:rPr>
        <w:object w:dxaOrig="11881" w:dyaOrig="9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45pt;height:190.3pt" o:ole="">
            <v:imagedata r:id="rId12" o:title="" croptop="7499f"/>
          </v:shape>
          <o:OLEObject Type="Embed" ProgID="AcroExch.Document.DC" ShapeID="_x0000_i1025" DrawAspect="Content" ObjectID="_1616578250" r:id="rId13"/>
        </w:object>
      </w:r>
    </w:p>
    <w:p w:rsidR="008A013A" w:rsidRPr="00AF27F9" w:rsidRDefault="00FD7686" w:rsidP="00AF27F9">
      <w:pPr>
        <w:pStyle w:val="CETCaption"/>
      </w:pPr>
      <w:r w:rsidRPr="00917581">
        <w:t xml:space="preserve">Figure </w:t>
      </w:r>
      <w:r>
        <w:t>1. TG</w:t>
      </w:r>
      <w:r w:rsidRPr="00BC3F1A">
        <w:t xml:space="preserve"> of </w:t>
      </w:r>
      <w:proofErr w:type="spellStart"/>
      <w:r w:rsidRPr="00BC3F1A">
        <w:t>PtRh</w:t>
      </w:r>
      <w:proofErr w:type="spellEnd"/>
      <w:r w:rsidRPr="00BC3F1A">
        <w:t xml:space="preserve"> sample</w:t>
      </w:r>
      <w:r w:rsidR="009D6AF5">
        <w:t xml:space="preserve"> obtained</w:t>
      </w:r>
      <w:r w:rsidRPr="00BC3F1A">
        <w:t xml:space="preserve"> after </w:t>
      </w:r>
      <w:r w:rsidR="009D6AF5">
        <w:t>the</w:t>
      </w:r>
      <w:r w:rsidRPr="00BC3F1A">
        <w:t xml:space="preserve"> thermal treatment</w:t>
      </w:r>
      <w:r w:rsidR="009D6AF5">
        <w:t>;</w:t>
      </w:r>
      <w:r w:rsidR="008E75E0">
        <w:t xml:space="preserve"> </w:t>
      </w:r>
      <w:r w:rsidR="00623366" w:rsidRPr="00BC3F1A">
        <w:t xml:space="preserve">thermal treatment </w:t>
      </w:r>
      <w:r w:rsidR="00623366">
        <w:t xml:space="preserve">conditions: </w:t>
      </w:r>
      <w:r w:rsidR="008E75E0" w:rsidRPr="00BC3F1A">
        <w:t xml:space="preserve">150 °C </w:t>
      </w:r>
      <w:r w:rsidR="008E75E0">
        <w:t xml:space="preserve">for </w:t>
      </w:r>
      <w:r w:rsidR="00783918">
        <w:t>8 h</w:t>
      </w:r>
      <w:r w:rsidR="009D6AF5">
        <w:t>, the sample</w:t>
      </w:r>
      <w:r w:rsidR="009D6AF5" w:rsidRPr="009D6AF5">
        <w:t xml:space="preserve"> w</w:t>
      </w:r>
      <w:r w:rsidR="009D6AF5">
        <w:t>as</w:t>
      </w:r>
      <w:r w:rsidR="009D6AF5" w:rsidRPr="009D6AF5">
        <w:t xml:space="preserve"> heated to </w:t>
      </w:r>
      <w:r w:rsidR="009D6AF5">
        <w:t>the</w:t>
      </w:r>
      <w:r w:rsidR="009D6AF5" w:rsidRPr="009D6AF5">
        <w:t xml:space="preserve"> target temperature with a heating rate of 10 °C/min under the continuous flow of</w:t>
      </w:r>
      <w:r w:rsidR="009D6AF5">
        <w:t xml:space="preserve"> air</w:t>
      </w:r>
    </w:p>
    <w:p w:rsidR="00CE7044" w:rsidRPr="00CE7044" w:rsidRDefault="00CE7044" w:rsidP="00CE7044">
      <w:pPr>
        <w:pStyle w:val="CETBodytext"/>
        <w:rPr>
          <w:lang w:val="en-GB"/>
        </w:rPr>
      </w:pPr>
      <w:r>
        <w:rPr>
          <w:lang w:val="en-GB"/>
        </w:rPr>
        <w:t>T</w:t>
      </w:r>
      <w:r w:rsidRPr="00FE2A97">
        <w:rPr>
          <w:lang w:val="en-GB"/>
        </w:rPr>
        <w:t>he mixture was heated to 2</w:t>
      </w:r>
      <w:r>
        <w:rPr>
          <w:lang w:val="en-GB"/>
        </w:rPr>
        <w:t>20</w:t>
      </w:r>
      <w:r w:rsidRPr="00FE2A97">
        <w:rPr>
          <w:lang w:val="en-GB"/>
        </w:rPr>
        <w:t xml:space="preserve"> °C for 120 min and then further heated to reflux (~300 °C) for </w:t>
      </w:r>
      <w:r>
        <w:rPr>
          <w:lang w:val="en-GB"/>
        </w:rPr>
        <w:t>80</w:t>
      </w:r>
      <w:r w:rsidRPr="00FE2A97">
        <w:rPr>
          <w:lang w:val="en-GB"/>
        </w:rPr>
        <w:t xml:space="preserve"> min. Moreove</w:t>
      </w:r>
      <w:r w:rsidRPr="00E82286">
        <w:rPr>
          <w:lang w:val="en-GB"/>
        </w:rPr>
        <w:t xml:space="preserve">r, for comparison, Pt NPs were also prepared with the same procedure by using only platinum(II) </w:t>
      </w:r>
      <w:proofErr w:type="spellStart"/>
      <w:r w:rsidRPr="00E82286">
        <w:rPr>
          <w:lang w:val="en-GB"/>
        </w:rPr>
        <w:t>acetylacetonate</w:t>
      </w:r>
      <w:proofErr w:type="spellEnd"/>
      <w:r w:rsidRPr="00E82286">
        <w:rPr>
          <w:lang w:val="en-GB"/>
        </w:rPr>
        <w:t xml:space="preserve"> as precursor. The organic chains covering the synthesized samples have the double function of stabilizing and preventing nanostructures aggregation, </w:t>
      </w:r>
      <w:r w:rsidR="00BE1FA6" w:rsidRPr="00E82286">
        <w:rPr>
          <w:lang w:val="en-GB"/>
        </w:rPr>
        <w:t xml:space="preserve">they </w:t>
      </w:r>
      <w:r w:rsidRPr="00E82286">
        <w:rPr>
          <w:lang w:val="en-GB"/>
        </w:rPr>
        <w:t xml:space="preserve">yet exhibit a resistive </w:t>
      </w:r>
      <w:r w:rsidR="00BE1FA6" w:rsidRPr="00E82286">
        <w:rPr>
          <w:lang w:val="en-GB"/>
        </w:rPr>
        <w:t>behaviour</w:t>
      </w:r>
      <w:r w:rsidR="00A51C4E" w:rsidRPr="00E82286">
        <w:rPr>
          <w:lang w:val="en-GB"/>
        </w:rPr>
        <w:t xml:space="preserve"> </w:t>
      </w:r>
      <w:r w:rsidR="00A51C4E" w:rsidRPr="00E82286">
        <w:t>(</w:t>
      </w:r>
      <w:proofErr w:type="spellStart"/>
      <w:r w:rsidR="00A51C4E" w:rsidRPr="00E82286">
        <w:rPr>
          <w:lang w:val="en-GB"/>
        </w:rPr>
        <w:t>Sarno</w:t>
      </w:r>
      <w:proofErr w:type="spellEnd"/>
      <w:r w:rsidR="00A51C4E" w:rsidRPr="00E82286">
        <w:rPr>
          <w:lang w:val="en-GB"/>
        </w:rPr>
        <w:t xml:space="preserve"> et al., 2019)</w:t>
      </w:r>
      <w:r w:rsidRPr="00E82286">
        <w:rPr>
          <w:lang w:val="en-GB"/>
        </w:rPr>
        <w:t xml:space="preserve">. Therefore, in order to reduce the chains amount </w:t>
      </w:r>
      <w:proofErr w:type="spellStart"/>
      <w:r w:rsidRPr="00E82286">
        <w:rPr>
          <w:lang w:val="en-GB"/>
        </w:rPr>
        <w:t>PtRh</w:t>
      </w:r>
      <w:proofErr w:type="spellEnd"/>
      <w:r w:rsidRPr="00E82286">
        <w:rPr>
          <w:lang w:val="en-GB"/>
        </w:rPr>
        <w:t xml:space="preserve"> underwent a thermal treatment under air flow, from room temperature up to 150 °C at 10 K/min for 8 h, which allowed the reduction of about 75 </w:t>
      </w:r>
      <w:proofErr w:type="spellStart"/>
      <w:r w:rsidRPr="00E82286">
        <w:rPr>
          <w:lang w:val="en-GB"/>
        </w:rPr>
        <w:t>wt</w:t>
      </w:r>
      <w:proofErr w:type="spellEnd"/>
      <w:r w:rsidRPr="00E82286">
        <w:rPr>
          <w:lang w:val="en-GB"/>
        </w:rPr>
        <w:t>% of organic chains amount (</w:t>
      </w:r>
      <w:proofErr w:type="spellStart"/>
      <w:r w:rsidRPr="00E82286">
        <w:rPr>
          <w:lang w:val="en-GB"/>
        </w:rPr>
        <w:t>Sarno</w:t>
      </w:r>
      <w:proofErr w:type="spellEnd"/>
      <w:r w:rsidRPr="00E82286">
        <w:rPr>
          <w:lang w:val="en-GB"/>
        </w:rPr>
        <w:t xml:space="preserve"> et al., 2018</w:t>
      </w:r>
      <w:r w:rsidR="00F834BB">
        <w:rPr>
          <w:lang w:val="en-GB"/>
        </w:rPr>
        <w:t>a</w:t>
      </w:r>
      <w:r w:rsidRPr="00E82286">
        <w:rPr>
          <w:lang w:val="en-GB"/>
        </w:rPr>
        <w:t xml:space="preserve">), </w:t>
      </w:r>
      <w:r w:rsidR="00EB2A7B">
        <w:rPr>
          <w:lang w:val="en-GB"/>
        </w:rPr>
        <w:t xml:space="preserve">the </w:t>
      </w:r>
      <w:r w:rsidR="00EB2A7B" w:rsidRPr="00EB2A7B">
        <w:rPr>
          <w:lang w:val="en-GB"/>
        </w:rPr>
        <w:t>TG</w:t>
      </w:r>
      <w:r w:rsidR="00EB2A7B">
        <w:rPr>
          <w:lang w:val="en-GB"/>
        </w:rPr>
        <w:t xml:space="preserve"> analysis</w:t>
      </w:r>
      <w:r w:rsidR="00EB2A7B" w:rsidRPr="00EB2A7B">
        <w:rPr>
          <w:lang w:val="en-GB"/>
        </w:rPr>
        <w:t xml:space="preserve"> of </w:t>
      </w:r>
      <w:proofErr w:type="spellStart"/>
      <w:r w:rsidR="00EB2A7B" w:rsidRPr="00EB2A7B">
        <w:rPr>
          <w:lang w:val="en-GB"/>
        </w:rPr>
        <w:t>PtRh</w:t>
      </w:r>
      <w:proofErr w:type="spellEnd"/>
      <w:r w:rsidR="00EB2A7B" w:rsidRPr="00EB2A7B">
        <w:rPr>
          <w:lang w:val="en-GB"/>
        </w:rPr>
        <w:t xml:space="preserve"> sample after </w:t>
      </w:r>
      <w:r w:rsidR="00EB2A7B">
        <w:rPr>
          <w:lang w:val="en-GB"/>
        </w:rPr>
        <w:t>the</w:t>
      </w:r>
      <w:r w:rsidR="00EB2A7B" w:rsidRPr="00EB2A7B">
        <w:rPr>
          <w:lang w:val="en-GB"/>
        </w:rPr>
        <w:t xml:space="preserve"> thermal treatment</w:t>
      </w:r>
      <w:r w:rsidR="00EB2A7B">
        <w:rPr>
          <w:lang w:val="en-GB"/>
        </w:rPr>
        <w:t xml:space="preserve"> is shown in Figure 1</w:t>
      </w:r>
      <w:r w:rsidRPr="007F28C4">
        <w:rPr>
          <w:lang w:val="en-GB"/>
        </w:rPr>
        <w:t>.</w:t>
      </w:r>
      <w:r>
        <w:rPr>
          <w:lang w:val="en-GB"/>
        </w:rPr>
        <w:t xml:space="preserve">  </w:t>
      </w:r>
    </w:p>
    <w:p w:rsidR="00DA764B" w:rsidRDefault="00DA764B" w:rsidP="008A013A">
      <w:pPr>
        <w:pStyle w:val="CETBodytext"/>
        <w:rPr>
          <w:lang w:val="en-GB"/>
        </w:rPr>
      </w:pPr>
    </w:p>
    <w:p w:rsidR="008A013A" w:rsidRDefault="008A013A" w:rsidP="008A013A">
      <w:pPr>
        <w:pStyle w:val="CETBodytext"/>
        <w:rPr>
          <w:lang w:val="en-GB"/>
        </w:rPr>
      </w:pPr>
      <w:r w:rsidRPr="00335B6E">
        <w:rPr>
          <w:lang w:val="en-GB"/>
        </w:rPr>
        <w:t xml:space="preserve">The characterization was obtained by the combined use of different techniques. Scanning electron microscopy (SEM) images were obtained with a LEO 1525 microscope. XRD measurements were performed with a Bruker D8 X-ray diffractometer using </w:t>
      </w:r>
      <w:proofErr w:type="spellStart"/>
      <w:r w:rsidRPr="00335B6E">
        <w:rPr>
          <w:lang w:val="en-GB"/>
        </w:rPr>
        <w:t>CuK</w:t>
      </w:r>
      <w:proofErr w:type="spellEnd"/>
      <w:r>
        <w:rPr>
          <w:rFonts w:cs="Arial"/>
          <w:lang w:val="en-GB"/>
        </w:rPr>
        <w:t>α</w:t>
      </w:r>
      <w:r w:rsidRPr="00335B6E">
        <w:rPr>
          <w:lang w:val="en-GB"/>
        </w:rPr>
        <w:t xml:space="preserve"> radiation. </w:t>
      </w:r>
      <w:r>
        <w:rPr>
          <w:lang w:val="en-GB"/>
        </w:rPr>
        <w:t>E</w:t>
      </w:r>
      <w:r w:rsidRPr="00335B6E">
        <w:rPr>
          <w:lang w:val="en-GB"/>
        </w:rPr>
        <w:t>lectrochemical experiments w</w:t>
      </w:r>
      <w:r>
        <w:rPr>
          <w:lang w:val="en-GB"/>
        </w:rPr>
        <w:t>ere</w:t>
      </w:r>
      <w:r w:rsidRPr="00335B6E">
        <w:rPr>
          <w:lang w:val="en-GB"/>
        </w:rPr>
        <w:t xml:space="preserve"> carried out by means of</w:t>
      </w:r>
      <w:r w:rsidRPr="0043633B">
        <w:rPr>
          <w:lang w:val="en-GB"/>
        </w:rPr>
        <w:t xml:space="preserve"> </w:t>
      </w:r>
      <w:r w:rsidRPr="00335B6E">
        <w:rPr>
          <w:lang w:val="en-GB"/>
        </w:rPr>
        <w:t xml:space="preserve">an </w:t>
      </w:r>
      <w:proofErr w:type="spellStart"/>
      <w:r w:rsidRPr="00335B6E">
        <w:rPr>
          <w:lang w:val="en-GB"/>
        </w:rPr>
        <w:t>Autolab</w:t>
      </w:r>
      <w:proofErr w:type="spellEnd"/>
      <w:r w:rsidRPr="00335B6E">
        <w:rPr>
          <w:lang w:val="en-GB"/>
        </w:rPr>
        <w:t xml:space="preserve"> PGSTAT302N </w:t>
      </w:r>
      <w:proofErr w:type="spellStart"/>
      <w:r w:rsidRPr="00335B6E">
        <w:rPr>
          <w:lang w:val="en-GB"/>
        </w:rPr>
        <w:t>potentiostat</w:t>
      </w:r>
      <w:proofErr w:type="spellEnd"/>
      <w:r w:rsidRPr="00335B6E">
        <w:rPr>
          <w:lang w:val="en-GB"/>
        </w:rPr>
        <w:t xml:space="preserve"> equipped with a FRA32M frequency response </w:t>
      </w:r>
      <w:proofErr w:type="spellStart"/>
      <w:r w:rsidRPr="00335B6E">
        <w:rPr>
          <w:lang w:val="en-GB"/>
        </w:rPr>
        <w:t>analyzer</w:t>
      </w:r>
      <w:proofErr w:type="spellEnd"/>
      <w:r w:rsidRPr="00335B6E">
        <w:rPr>
          <w:lang w:val="en-GB"/>
        </w:rPr>
        <w:t xml:space="preserve"> module.</w:t>
      </w:r>
      <w:r>
        <w:rPr>
          <w:lang w:val="en-GB"/>
        </w:rPr>
        <w:t xml:space="preserve"> </w:t>
      </w:r>
      <w:r w:rsidR="00254FE9" w:rsidRPr="00254FE9">
        <w:rPr>
          <w:lang w:val="en-GB"/>
        </w:rPr>
        <w:t xml:space="preserve">H </w:t>
      </w:r>
      <w:r w:rsidR="00254FE9" w:rsidRPr="00254FE9">
        <w:rPr>
          <w:lang w:val="en-GB"/>
        </w:rPr>
        <w:lastRenderedPageBreak/>
        <w:t>NMR and 13C NMR spectra were measured on Bruker DPX 300, 400 or 500 apparatus and were referenced to the</w:t>
      </w:r>
      <w:r w:rsidR="00254FE9">
        <w:rPr>
          <w:lang w:val="en-GB"/>
        </w:rPr>
        <w:t xml:space="preserve"> residual proton solvent peak (</w:t>
      </w:r>
      <w:r w:rsidR="00254FE9" w:rsidRPr="00254FE9">
        <w:rPr>
          <w:lang w:val="en-GB"/>
        </w:rPr>
        <w:t>H: CDCl</w:t>
      </w:r>
      <w:r w:rsidR="00254FE9" w:rsidRPr="00254FE9">
        <w:rPr>
          <w:vertAlign w:val="subscript"/>
          <w:lang w:val="en-GB"/>
        </w:rPr>
        <w:t>3</w:t>
      </w:r>
      <w:r w:rsidR="00254FE9" w:rsidRPr="00254FE9">
        <w:rPr>
          <w:lang w:val="en-GB"/>
        </w:rPr>
        <w:t>, δ7.26ppm; DMSO-d</w:t>
      </w:r>
      <w:r w:rsidR="00254FE9" w:rsidRPr="00254FE9">
        <w:rPr>
          <w:vertAlign w:val="subscript"/>
          <w:lang w:val="en-GB"/>
        </w:rPr>
        <w:t>6</w:t>
      </w:r>
      <w:r w:rsidR="00254FE9" w:rsidRPr="00254FE9">
        <w:rPr>
          <w:lang w:val="en-GB"/>
        </w:rPr>
        <w:t>, δ2.54 ppm) and solvent 13C signal (CDCl</w:t>
      </w:r>
      <w:r w:rsidR="00254FE9" w:rsidRPr="00254FE9">
        <w:rPr>
          <w:vertAlign w:val="subscript"/>
          <w:lang w:val="en-GB"/>
        </w:rPr>
        <w:t>3</w:t>
      </w:r>
      <w:r w:rsidR="00254FE9" w:rsidRPr="00254FE9">
        <w:rPr>
          <w:lang w:val="en-GB"/>
        </w:rPr>
        <w:t>, δ77.2ppm, DMSO-d</w:t>
      </w:r>
      <w:r w:rsidR="00254FE9" w:rsidRPr="00254FE9">
        <w:rPr>
          <w:vertAlign w:val="subscript"/>
          <w:lang w:val="en-GB"/>
        </w:rPr>
        <w:t>6</w:t>
      </w:r>
      <w:r w:rsidR="00254FE9" w:rsidRPr="00254FE9">
        <w:rPr>
          <w:lang w:val="en-GB"/>
        </w:rPr>
        <w:t>, δ39.5ppm).</w:t>
      </w:r>
    </w:p>
    <w:p w:rsidR="003055A5" w:rsidRDefault="008A013A" w:rsidP="008A013A">
      <w:pPr>
        <w:pStyle w:val="CETBodytext"/>
        <w:rPr>
          <w:lang w:val="en-GB"/>
        </w:rPr>
      </w:pPr>
      <w:r w:rsidRPr="00335B6E">
        <w:rPr>
          <w:lang w:val="en-GB"/>
        </w:rPr>
        <w:t xml:space="preserve">For the electrochemical measurements 4 mg of catalyst were dispersed in 80 </w:t>
      </w:r>
      <w:proofErr w:type="spellStart"/>
      <w:r w:rsidRPr="00335B6E">
        <w:rPr>
          <w:lang w:val="en-GB"/>
        </w:rPr>
        <w:t>μl</w:t>
      </w:r>
      <w:proofErr w:type="spellEnd"/>
      <w:r w:rsidRPr="00335B6E">
        <w:rPr>
          <w:lang w:val="en-GB"/>
        </w:rPr>
        <w:t xml:space="preserve"> of 5 wt. % </w:t>
      </w:r>
      <w:r>
        <w:rPr>
          <w:lang w:val="en-GB"/>
        </w:rPr>
        <w:t>N</w:t>
      </w:r>
      <w:r w:rsidRPr="00335B6E">
        <w:rPr>
          <w:lang w:val="en-GB"/>
        </w:rPr>
        <w:t>afion solu</w:t>
      </w:r>
      <w:r>
        <w:rPr>
          <w:lang w:val="en-GB"/>
        </w:rPr>
        <w:t>tion to form a homogeneous ink. To perform</w:t>
      </w:r>
      <w:r w:rsidRPr="006651A3">
        <w:rPr>
          <w:lang w:val="en-GB"/>
        </w:rPr>
        <w:t xml:space="preserve"> the cyclization of carbamate </w:t>
      </w:r>
      <w:r>
        <w:rPr>
          <w:lang w:val="en-GB"/>
        </w:rPr>
        <w:t xml:space="preserve">(see Scheme 1) </w:t>
      </w:r>
      <w:r w:rsidRPr="006651A3">
        <w:rPr>
          <w:lang w:val="en-GB"/>
        </w:rPr>
        <w:t>NBu</w:t>
      </w:r>
      <w:r w:rsidRPr="00BB2141">
        <w:rPr>
          <w:vertAlign w:val="subscript"/>
          <w:lang w:val="en-GB"/>
        </w:rPr>
        <w:t>4</w:t>
      </w:r>
      <w:r w:rsidRPr="006651A3">
        <w:rPr>
          <w:lang w:val="en-GB"/>
        </w:rPr>
        <w:t>BF</w:t>
      </w:r>
      <w:r w:rsidRPr="00BB2141">
        <w:rPr>
          <w:vertAlign w:val="subscript"/>
          <w:lang w:val="en-GB"/>
        </w:rPr>
        <w:t>4</w:t>
      </w:r>
      <w:r w:rsidRPr="006651A3">
        <w:rPr>
          <w:lang w:val="en-GB"/>
        </w:rPr>
        <w:t xml:space="preserve"> (0.1</w:t>
      </w:r>
      <w:r>
        <w:rPr>
          <w:lang w:val="en-GB"/>
        </w:rPr>
        <w:t xml:space="preserve"> M) is used </w:t>
      </w:r>
      <w:r w:rsidRPr="006651A3">
        <w:rPr>
          <w:lang w:val="en-GB"/>
        </w:rPr>
        <w:t>as supporting electrolyte</w:t>
      </w:r>
      <w:r w:rsidR="00D51459">
        <w:rPr>
          <w:lang w:val="en-GB"/>
        </w:rPr>
        <w:t xml:space="preserve"> </w:t>
      </w:r>
      <w:r w:rsidR="00D51459" w:rsidRPr="00D51459">
        <w:rPr>
          <w:lang w:val="en-GB"/>
        </w:rPr>
        <w:t xml:space="preserve">and </w:t>
      </w:r>
      <w:r w:rsidR="00D51459">
        <w:rPr>
          <w:lang w:val="en-GB"/>
        </w:rPr>
        <w:t>1.5</w:t>
      </w:r>
      <w:r w:rsidR="00D51459" w:rsidRPr="00D51459">
        <w:rPr>
          <w:lang w:val="en-GB"/>
        </w:rPr>
        <w:t xml:space="preserve"> equ</w:t>
      </w:r>
      <w:r w:rsidR="000F31AE">
        <w:rPr>
          <w:lang w:val="en-GB"/>
        </w:rPr>
        <w:t>ivalents of TEMPO were included</w:t>
      </w:r>
      <w:r>
        <w:rPr>
          <w:lang w:val="en-GB"/>
        </w:rPr>
        <w:t>.</w:t>
      </w:r>
    </w:p>
    <w:p w:rsidR="000F31AE" w:rsidRDefault="000F31AE" w:rsidP="008A013A">
      <w:pPr>
        <w:pStyle w:val="CETBodytext"/>
        <w:rPr>
          <w:lang w:val="en-GB"/>
        </w:rPr>
      </w:pPr>
    </w:p>
    <w:p w:rsidR="005C25DB" w:rsidRDefault="005C25DB" w:rsidP="008A013A">
      <w:pPr>
        <w:pStyle w:val="CETBodytext"/>
        <w:rPr>
          <w:lang w:val="en-GB"/>
        </w:rPr>
      </w:pPr>
      <w:r w:rsidRPr="005C25DB">
        <w:rPr>
          <w:noProof/>
          <w:lang w:val="it-IT" w:eastAsia="it-IT"/>
        </w:rPr>
        <w:drawing>
          <wp:inline distT="0" distB="0" distL="0" distR="0">
            <wp:extent cx="3857625" cy="1895475"/>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57625" cy="1895475"/>
                    </a:xfrm>
                    <a:prstGeom prst="rect">
                      <a:avLst/>
                    </a:prstGeom>
                    <a:noFill/>
                    <a:ln>
                      <a:noFill/>
                    </a:ln>
                  </pic:spPr>
                </pic:pic>
              </a:graphicData>
            </a:graphic>
          </wp:inline>
        </w:drawing>
      </w:r>
    </w:p>
    <w:p w:rsidR="003055A5" w:rsidRDefault="003055A5" w:rsidP="008A013A">
      <w:pPr>
        <w:pStyle w:val="CETBodytext"/>
        <w:rPr>
          <w:lang w:val="en-GB"/>
        </w:rPr>
      </w:pPr>
    </w:p>
    <w:p w:rsidR="006C4742" w:rsidRPr="00AF27F9" w:rsidRDefault="00ED5516" w:rsidP="00AF27F9">
      <w:pPr>
        <w:pStyle w:val="CETCaption"/>
      </w:pPr>
      <w:r>
        <w:t>Scheme</w:t>
      </w:r>
      <w:r w:rsidRPr="00917581">
        <w:t xml:space="preserve"> </w:t>
      </w:r>
      <w:r>
        <w:t xml:space="preserve">1. </w:t>
      </w:r>
      <w:r w:rsidR="00BE1FA6">
        <w:t>C</w:t>
      </w:r>
      <w:r w:rsidR="00AF27F9">
        <w:t>arbamate cyclization</w:t>
      </w:r>
    </w:p>
    <w:p w:rsidR="005C25DB" w:rsidRDefault="005C25DB" w:rsidP="005C25DB">
      <w:pPr>
        <w:pStyle w:val="CETBodytext"/>
        <w:rPr>
          <w:lang w:val="en-GB"/>
        </w:rPr>
      </w:pPr>
      <w:r w:rsidRPr="006C4742">
        <w:rPr>
          <w:lang w:val="en-GB"/>
        </w:rPr>
        <w:t>Carbamate 1 was selected as th</w:t>
      </w:r>
      <w:r>
        <w:rPr>
          <w:lang w:val="en-GB"/>
        </w:rPr>
        <w:t xml:space="preserve">e model substrate and submitted </w:t>
      </w:r>
      <w:r w:rsidRPr="006C4742">
        <w:rPr>
          <w:lang w:val="en-GB"/>
        </w:rPr>
        <w:t xml:space="preserve">to electrochemical </w:t>
      </w:r>
      <w:r>
        <w:rPr>
          <w:lang w:val="en-GB"/>
        </w:rPr>
        <w:t>amino</w:t>
      </w:r>
      <w:r w:rsidR="00BE1FA6">
        <w:rPr>
          <w:lang w:val="en-GB"/>
        </w:rPr>
        <w:t>-</w:t>
      </w:r>
      <w:r>
        <w:rPr>
          <w:lang w:val="en-GB"/>
        </w:rPr>
        <w:t xml:space="preserve">oxygenation. The </w:t>
      </w:r>
      <w:r w:rsidRPr="006C4742">
        <w:rPr>
          <w:lang w:val="en-GB"/>
        </w:rPr>
        <w:t>standard reaction was run at</w:t>
      </w:r>
      <w:r>
        <w:rPr>
          <w:lang w:val="en-GB"/>
        </w:rPr>
        <w:t xml:space="preserve"> a constant current </w:t>
      </w:r>
      <w:r w:rsidRPr="006C4742">
        <w:rPr>
          <w:lang w:val="en-GB"/>
        </w:rPr>
        <w:t>in a three-necked r</w:t>
      </w:r>
      <w:r>
        <w:rPr>
          <w:lang w:val="en-GB"/>
        </w:rPr>
        <w:t>ound-bottom flask.</w:t>
      </w:r>
    </w:p>
    <w:p w:rsidR="005C25DB" w:rsidRPr="006C4742" w:rsidRDefault="005C25DB" w:rsidP="005C25DB">
      <w:pPr>
        <w:pStyle w:val="CETBodytext"/>
        <w:rPr>
          <w:lang w:val="en-GB"/>
        </w:rPr>
      </w:pPr>
      <w:r>
        <w:rPr>
          <w:lang w:val="en-GB"/>
        </w:rPr>
        <w:t>A flow electrochemical configuration was used</w:t>
      </w:r>
      <w:r w:rsidR="00BE1FA6">
        <w:rPr>
          <w:lang w:val="en-GB"/>
        </w:rPr>
        <w:t>, see Scheme 2</w:t>
      </w:r>
      <w:r>
        <w:rPr>
          <w:lang w:val="en-GB"/>
        </w:rPr>
        <w:t xml:space="preserve">. </w:t>
      </w:r>
      <w:r w:rsidRPr="002B7322">
        <w:rPr>
          <w:lang w:val="en-GB"/>
        </w:rPr>
        <w:t>A</w:t>
      </w:r>
      <w:r>
        <w:rPr>
          <w:lang w:val="en-GB"/>
        </w:rPr>
        <w:t xml:space="preserve"> </w:t>
      </w:r>
      <w:r w:rsidRPr="002B7322">
        <w:rPr>
          <w:lang w:val="en-GB"/>
        </w:rPr>
        <w:t>continuous</w:t>
      </w:r>
      <w:r>
        <w:rPr>
          <w:lang w:val="en-GB"/>
        </w:rPr>
        <w:t xml:space="preserve"> </w:t>
      </w:r>
      <w:r w:rsidRPr="002B7322">
        <w:rPr>
          <w:lang w:val="en-GB"/>
        </w:rPr>
        <w:t>flow of electrolyte was provided by a peristaltic pump</w:t>
      </w:r>
      <w:r>
        <w:rPr>
          <w:lang w:val="en-GB"/>
        </w:rPr>
        <w:t xml:space="preserve"> </w:t>
      </w:r>
      <w:r w:rsidRPr="002B7322">
        <w:rPr>
          <w:lang w:val="en-GB"/>
        </w:rPr>
        <w:t>(</w:t>
      </w:r>
      <w:proofErr w:type="spellStart"/>
      <w:r w:rsidRPr="002B7322">
        <w:rPr>
          <w:lang w:val="en-GB"/>
        </w:rPr>
        <w:t>DropSens</w:t>
      </w:r>
      <w:proofErr w:type="spellEnd"/>
      <w:r w:rsidRPr="002B7322">
        <w:rPr>
          <w:lang w:val="en-GB"/>
        </w:rPr>
        <w:t xml:space="preserve"> Peristaltic Pump with 12 roller pump), polyethylene tubes</w:t>
      </w:r>
      <w:r>
        <w:rPr>
          <w:lang w:val="en-GB"/>
        </w:rPr>
        <w:t xml:space="preserve"> </w:t>
      </w:r>
      <w:r w:rsidRPr="002B7322">
        <w:rPr>
          <w:lang w:val="en-GB"/>
        </w:rPr>
        <w:t>(0.</w:t>
      </w:r>
      <w:r>
        <w:rPr>
          <w:lang w:val="en-GB"/>
        </w:rPr>
        <w:t>2</w:t>
      </w:r>
      <w:r w:rsidRPr="002B7322">
        <w:rPr>
          <w:lang w:val="en-GB"/>
        </w:rPr>
        <w:t xml:space="preserve"> mm of diameter) were used for the electrolyte cycle from a vessel</w:t>
      </w:r>
      <w:r>
        <w:rPr>
          <w:lang w:val="en-GB"/>
        </w:rPr>
        <w:t xml:space="preserve"> </w:t>
      </w:r>
      <w:r w:rsidRPr="002B7322">
        <w:rPr>
          <w:lang w:val="en-GB"/>
        </w:rPr>
        <w:t xml:space="preserve">to the </w:t>
      </w:r>
      <w:r>
        <w:rPr>
          <w:lang w:val="en-GB"/>
        </w:rPr>
        <w:t>electrochemical reactor</w:t>
      </w:r>
      <w:r w:rsidRPr="002B7322">
        <w:rPr>
          <w:lang w:val="en-GB"/>
        </w:rPr>
        <w:t>.</w:t>
      </w:r>
      <w:r>
        <w:rPr>
          <w:lang w:val="en-GB"/>
        </w:rPr>
        <w:t xml:space="preserve"> </w:t>
      </w:r>
      <w:r w:rsidRPr="002B7322">
        <w:rPr>
          <w:lang w:val="en-GB"/>
        </w:rPr>
        <w:t xml:space="preserve">The electrochemical reactions were carried out in a </w:t>
      </w:r>
      <w:proofErr w:type="spellStart"/>
      <w:r w:rsidRPr="002B7322">
        <w:rPr>
          <w:lang w:val="en-GB"/>
        </w:rPr>
        <w:t>galvanostatic</w:t>
      </w:r>
      <w:proofErr w:type="spellEnd"/>
      <w:r w:rsidRPr="002B7322">
        <w:rPr>
          <w:lang w:val="en-GB"/>
        </w:rPr>
        <w:t xml:space="preserve"> mode</w:t>
      </w:r>
      <w:r>
        <w:rPr>
          <w:lang w:val="en-GB"/>
        </w:rPr>
        <w:t>.</w:t>
      </w:r>
      <w:r w:rsidRPr="002B7322">
        <w:rPr>
          <w:lang w:val="en-GB"/>
        </w:rPr>
        <w:t xml:space="preserve"> The in-line </w:t>
      </w:r>
      <w:r>
        <w:rPr>
          <w:lang w:val="en-GB"/>
        </w:rPr>
        <w:t>gas</w:t>
      </w:r>
      <w:r w:rsidRPr="002B7322">
        <w:rPr>
          <w:lang w:val="en-GB"/>
        </w:rPr>
        <w:t xml:space="preserve"> analysis was carried out using</w:t>
      </w:r>
      <w:r>
        <w:rPr>
          <w:lang w:val="en-GB"/>
        </w:rPr>
        <w:t xml:space="preserve"> a</w:t>
      </w:r>
      <w:r w:rsidRPr="002B7322">
        <w:rPr>
          <w:lang w:val="en-GB"/>
        </w:rPr>
        <w:t xml:space="preserve"> </w:t>
      </w:r>
      <w:r w:rsidRPr="00F03D39">
        <w:rPr>
          <w:lang w:val="en-GB"/>
        </w:rPr>
        <w:t>mass spectrometer.</w:t>
      </w:r>
      <w:r w:rsidR="00950A35">
        <w:rPr>
          <w:lang w:val="en-GB"/>
        </w:rPr>
        <w:t xml:space="preserve"> </w:t>
      </w:r>
      <w:r w:rsidRPr="003B11F0">
        <w:rPr>
          <w:lang w:val="en-GB"/>
        </w:rPr>
        <w:t>The device comprises a micro-flow electrochemical reactor</w:t>
      </w:r>
      <w:r>
        <w:rPr>
          <w:lang w:val="en-GB"/>
        </w:rPr>
        <w:t xml:space="preserve"> </w:t>
      </w:r>
      <w:r w:rsidRPr="003B11F0">
        <w:rPr>
          <w:lang w:val="en-GB"/>
        </w:rPr>
        <w:t xml:space="preserve">made out of two aluminium </w:t>
      </w:r>
      <w:r>
        <w:rPr>
          <w:lang w:val="en-GB"/>
        </w:rPr>
        <w:t xml:space="preserve">bodies. </w:t>
      </w:r>
      <w:r w:rsidRPr="003B11F0">
        <w:rPr>
          <w:lang w:val="en-GB"/>
        </w:rPr>
        <w:t>The</w:t>
      </w:r>
      <w:r>
        <w:rPr>
          <w:lang w:val="en-GB"/>
        </w:rPr>
        <w:t xml:space="preserve"> </w:t>
      </w:r>
      <w:r w:rsidRPr="003B11F0">
        <w:rPr>
          <w:lang w:val="en-GB"/>
        </w:rPr>
        <w:t>bodies have a square space in the centre (</w:t>
      </w:r>
      <w:r>
        <w:rPr>
          <w:lang w:val="en-GB"/>
        </w:rPr>
        <w:t>2</w:t>
      </w:r>
      <w:r w:rsidRPr="003B11F0">
        <w:rPr>
          <w:lang w:val="en-GB"/>
        </w:rPr>
        <w:t>0x</w:t>
      </w:r>
      <w:r>
        <w:rPr>
          <w:lang w:val="en-GB"/>
        </w:rPr>
        <w:t>2</w:t>
      </w:r>
      <w:r w:rsidRPr="003B11F0">
        <w:rPr>
          <w:lang w:val="en-GB"/>
        </w:rPr>
        <w:t>0 mm</w:t>
      </w:r>
      <w:r w:rsidRPr="003B11F0">
        <w:rPr>
          <w:vertAlign w:val="superscript"/>
          <w:lang w:val="en-GB"/>
        </w:rPr>
        <w:t>2</w:t>
      </w:r>
      <w:r w:rsidRPr="003B11F0">
        <w:rPr>
          <w:lang w:val="en-GB"/>
        </w:rPr>
        <w:t>, different deepness), where the electrodes are placed.</w:t>
      </w:r>
      <w:r w:rsidR="00950A35">
        <w:rPr>
          <w:lang w:val="en-GB"/>
        </w:rPr>
        <w:t xml:space="preserve"> </w:t>
      </w:r>
      <w:r w:rsidRPr="003953F5">
        <w:rPr>
          <w:lang w:val="en-GB"/>
        </w:rPr>
        <w:t>The</w:t>
      </w:r>
      <w:r>
        <w:rPr>
          <w:lang w:val="en-GB"/>
        </w:rPr>
        <w:t xml:space="preserve"> </w:t>
      </w:r>
      <w:r w:rsidRPr="003953F5">
        <w:rPr>
          <w:lang w:val="en-GB"/>
        </w:rPr>
        <w:t>easy connection of the electrodes</w:t>
      </w:r>
      <w:r>
        <w:rPr>
          <w:lang w:val="en-GB"/>
        </w:rPr>
        <w:t xml:space="preserve"> and the inlet/</w:t>
      </w:r>
      <w:r w:rsidRPr="003953F5">
        <w:rPr>
          <w:lang w:val="en-GB"/>
        </w:rPr>
        <w:t>outlet of the reaction solution</w:t>
      </w:r>
      <w:r>
        <w:rPr>
          <w:lang w:val="en-GB"/>
        </w:rPr>
        <w:t xml:space="preserve"> to the</w:t>
      </w:r>
      <w:r w:rsidRPr="003953F5">
        <w:rPr>
          <w:lang w:val="en-GB"/>
        </w:rPr>
        <w:t xml:space="preserve"> reactor is guaranteed </w:t>
      </w:r>
      <w:r>
        <w:rPr>
          <w:lang w:val="en-GB"/>
        </w:rPr>
        <w:t>by</w:t>
      </w:r>
      <w:r w:rsidRPr="003953F5">
        <w:rPr>
          <w:lang w:val="en-GB"/>
        </w:rPr>
        <w:t xml:space="preserve"> customized hole</w:t>
      </w:r>
      <w:r>
        <w:rPr>
          <w:lang w:val="en-GB"/>
        </w:rPr>
        <w:t>s in the reactor plates.</w:t>
      </w:r>
    </w:p>
    <w:p w:rsidR="005C25DB" w:rsidRDefault="005C25DB" w:rsidP="006C4742">
      <w:pPr>
        <w:pStyle w:val="CETBodytext"/>
        <w:rPr>
          <w:lang w:val="en-GB"/>
        </w:rPr>
      </w:pPr>
      <w:r w:rsidRPr="005C25DB">
        <w:rPr>
          <w:noProof/>
          <w:lang w:val="it-IT" w:eastAsia="it-IT"/>
        </w:rPr>
        <w:drawing>
          <wp:inline distT="0" distB="0" distL="0" distR="0" wp14:anchorId="79C1EEE6" wp14:editId="1FF6DD20">
            <wp:extent cx="4568453" cy="1836000"/>
            <wp:effectExtent l="0" t="0" r="381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68453" cy="1836000"/>
                    </a:xfrm>
                    <a:prstGeom prst="rect">
                      <a:avLst/>
                    </a:prstGeom>
                    <a:noFill/>
                    <a:ln>
                      <a:noFill/>
                    </a:ln>
                  </pic:spPr>
                </pic:pic>
              </a:graphicData>
            </a:graphic>
          </wp:inline>
        </w:drawing>
      </w:r>
    </w:p>
    <w:p w:rsidR="005C25DB" w:rsidRDefault="005C25DB" w:rsidP="005C25DB">
      <w:pPr>
        <w:pStyle w:val="CETBodytext"/>
        <w:rPr>
          <w:lang w:val="en-GB"/>
        </w:rPr>
      </w:pPr>
    </w:p>
    <w:p w:rsidR="005C25DB" w:rsidRDefault="005C25DB" w:rsidP="00AF27F9">
      <w:pPr>
        <w:pStyle w:val="CETCaption"/>
      </w:pPr>
      <w:r>
        <w:t>Scheme</w:t>
      </w:r>
      <w:r w:rsidRPr="00917581">
        <w:t xml:space="preserve"> </w:t>
      </w:r>
      <w:r w:rsidR="00BE1FA6">
        <w:t>2</w:t>
      </w:r>
      <w:r>
        <w:t xml:space="preserve">. Electrochemical </w:t>
      </w:r>
      <w:r w:rsidR="00BE1FA6">
        <w:t xml:space="preserve">flow process for </w:t>
      </w:r>
      <w:r>
        <w:t xml:space="preserve">carbamate </w:t>
      </w:r>
      <w:r w:rsidR="00AF27F9">
        <w:t>cyclization</w:t>
      </w:r>
    </w:p>
    <w:p w:rsidR="00B10BDC" w:rsidRDefault="00B10BDC" w:rsidP="008A013A">
      <w:pPr>
        <w:pStyle w:val="CETHeading1"/>
        <w:tabs>
          <w:tab w:val="num" w:pos="360"/>
        </w:tabs>
        <w:rPr>
          <w:lang w:val="en-GB"/>
        </w:rPr>
      </w:pPr>
      <w:r w:rsidRPr="00917581">
        <w:rPr>
          <w:lang w:val="en-GB"/>
        </w:rPr>
        <w:t>Results and discussion</w:t>
      </w:r>
    </w:p>
    <w:p w:rsidR="008A013A" w:rsidRDefault="008A013A" w:rsidP="008A013A">
      <w:pPr>
        <w:pStyle w:val="CETBodytext"/>
        <w:rPr>
          <w:lang w:val="en-GB"/>
        </w:rPr>
      </w:pPr>
      <w:r w:rsidRPr="00D360F9">
        <w:rPr>
          <w:lang w:val="en-GB"/>
        </w:rPr>
        <w:t xml:space="preserve">Figure </w:t>
      </w:r>
      <w:r>
        <w:rPr>
          <w:lang w:val="en-GB"/>
        </w:rPr>
        <w:t>2</w:t>
      </w:r>
      <w:r w:rsidRPr="00D360F9">
        <w:rPr>
          <w:lang w:val="en-GB"/>
        </w:rPr>
        <w:t xml:space="preserve"> shows the X-ray patterns of </w:t>
      </w:r>
      <w:proofErr w:type="spellStart"/>
      <w:r w:rsidRPr="00D360F9">
        <w:rPr>
          <w:lang w:val="en-GB"/>
        </w:rPr>
        <w:t>PtRh</w:t>
      </w:r>
      <w:proofErr w:type="spellEnd"/>
      <w:r w:rsidRPr="00D360F9">
        <w:rPr>
          <w:lang w:val="en-GB"/>
        </w:rPr>
        <w:t xml:space="preserve"> nano</w:t>
      </w:r>
      <w:r>
        <w:rPr>
          <w:lang w:val="en-GB"/>
        </w:rPr>
        <w:t>composite</w:t>
      </w:r>
      <w:r w:rsidRPr="00D360F9">
        <w:rPr>
          <w:lang w:val="en-GB"/>
        </w:rPr>
        <w:t xml:space="preserve">. </w:t>
      </w:r>
      <w:r>
        <w:rPr>
          <w:lang w:val="en-GB"/>
        </w:rPr>
        <w:t>T</w:t>
      </w:r>
      <w:r w:rsidRPr="00D360F9">
        <w:rPr>
          <w:lang w:val="en-GB"/>
        </w:rPr>
        <w:t xml:space="preserve">he X-ray diffraction pattern clearly evidences a slight up-shift of the peaks of pure Pt owing to the alloy formation. This phenomenon is due to the lattice contraction caused by the incorporation of Rh into the Pt lattice, which subsequently implies the purity of the formed </w:t>
      </w:r>
      <w:proofErr w:type="spellStart"/>
      <w:r w:rsidRPr="00D360F9">
        <w:rPr>
          <w:lang w:val="en-GB"/>
        </w:rPr>
        <w:t>PtRh</w:t>
      </w:r>
      <w:proofErr w:type="spellEnd"/>
      <w:r w:rsidRPr="00D360F9">
        <w:rPr>
          <w:lang w:val="en-GB"/>
        </w:rPr>
        <w:t xml:space="preserve"> alloy without undesired phases</w:t>
      </w:r>
      <w:r w:rsidR="00F834BB">
        <w:rPr>
          <w:lang w:val="en-GB"/>
        </w:rPr>
        <w:t xml:space="preserve"> </w:t>
      </w:r>
      <w:r w:rsidR="00F834BB" w:rsidRPr="00E82286">
        <w:rPr>
          <w:lang w:val="en-GB"/>
        </w:rPr>
        <w:t>(</w:t>
      </w:r>
      <w:proofErr w:type="spellStart"/>
      <w:r w:rsidR="00F834BB" w:rsidRPr="00E82286">
        <w:rPr>
          <w:lang w:val="en-GB"/>
        </w:rPr>
        <w:t>Sarno</w:t>
      </w:r>
      <w:proofErr w:type="spellEnd"/>
      <w:r w:rsidR="00F834BB" w:rsidRPr="00E82286">
        <w:rPr>
          <w:lang w:val="en-GB"/>
        </w:rPr>
        <w:t xml:space="preserve"> et al., 2018</w:t>
      </w:r>
      <w:r w:rsidR="00F834BB">
        <w:rPr>
          <w:lang w:val="en-GB"/>
        </w:rPr>
        <w:t>b</w:t>
      </w:r>
      <w:bookmarkStart w:id="1" w:name="_GoBack"/>
      <w:bookmarkEnd w:id="1"/>
      <w:r w:rsidR="00F834BB" w:rsidRPr="00E82286">
        <w:rPr>
          <w:lang w:val="en-GB"/>
        </w:rPr>
        <w:t>)</w:t>
      </w:r>
      <w:r w:rsidRPr="00D360F9">
        <w:rPr>
          <w:lang w:val="en-GB"/>
        </w:rPr>
        <w:t>.</w:t>
      </w:r>
      <w:r>
        <w:rPr>
          <w:lang w:val="en-GB"/>
        </w:rPr>
        <w:t xml:space="preserve"> The peaks </w:t>
      </w:r>
      <w:r w:rsidRPr="00724CF2">
        <w:rPr>
          <w:lang w:val="en-GB"/>
        </w:rPr>
        <w:t xml:space="preserve">lie between both of pure </w:t>
      </w:r>
      <w:proofErr w:type="spellStart"/>
      <w:r w:rsidRPr="00724CF2">
        <w:rPr>
          <w:lang w:val="en-GB"/>
        </w:rPr>
        <w:t>fcc</w:t>
      </w:r>
      <w:proofErr w:type="spellEnd"/>
      <w:r w:rsidRPr="00724CF2">
        <w:rPr>
          <w:lang w:val="en-GB"/>
        </w:rPr>
        <w:t xml:space="preserve"> Pt (JCPDS: 04-0802) and pure </w:t>
      </w:r>
      <w:proofErr w:type="spellStart"/>
      <w:r w:rsidRPr="00724CF2">
        <w:rPr>
          <w:lang w:val="en-GB"/>
        </w:rPr>
        <w:t>fcc</w:t>
      </w:r>
      <w:proofErr w:type="spellEnd"/>
      <w:r w:rsidRPr="00724CF2">
        <w:rPr>
          <w:lang w:val="en-GB"/>
        </w:rPr>
        <w:t xml:space="preserve"> Rh (JCPDS: 05-0685) at 2θ: 40.</w:t>
      </w:r>
      <w:r>
        <w:rPr>
          <w:lang w:val="en-GB"/>
        </w:rPr>
        <w:t>4</w:t>
      </w:r>
      <w:r w:rsidRPr="00724CF2">
        <w:rPr>
          <w:lang w:val="en-GB"/>
        </w:rPr>
        <w:t>°, 46.</w:t>
      </w:r>
      <w:r>
        <w:rPr>
          <w:lang w:val="en-GB"/>
        </w:rPr>
        <w:t>8</w:t>
      </w:r>
      <w:r w:rsidRPr="00724CF2">
        <w:rPr>
          <w:lang w:val="en-GB"/>
        </w:rPr>
        <w:t>°, 68.</w:t>
      </w:r>
      <w:r>
        <w:rPr>
          <w:lang w:val="en-GB"/>
        </w:rPr>
        <w:t>5</w:t>
      </w:r>
      <w:r w:rsidRPr="00724CF2">
        <w:rPr>
          <w:lang w:val="en-GB"/>
        </w:rPr>
        <w:t>° and 82.</w:t>
      </w:r>
      <w:r>
        <w:rPr>
          <w:lang w:val="en-GB"/>
        </w:rPr>
        <w:t>1</w:t>
      </w:r>
      <w:r w:rsidRPr="00724CF2">
        <w:rPr>
          <w:lang w:val="en-GB"/>
        </w:rPr>
        <w:t>°.</w:t>
      </w:r>
    </w:p>
    <w:p w:rsidR="00AA560E" w:rsidRDefault="008A013A" w:rsidP="003D0C4E">
      <w:pPr>
        <w:pStyle w:val="CETBodytext"/>
        <w:rPr>
          <w:lang w:val="en-GB"/>
        </w:rPr>
      </w:pPr>
      <w:r w:rsidRPr="00B42AF6">
        <w:rPr>
          <w:lang w:val="en-GB"/>
        </w:rPr>
        <w:lastRenderedPageBreak/>
        <w:t>The morphological and structural</w:t>
      </w:r>
      <w:r>
        <w:rPr>
          <w:lang w:val="en-GB"/>
        </w:rPr>
        <w:t xml:space="preserve"> characteristics of the samples </w:t>
      </w:r>
      <w:r w:rsidRPr="00B42AF6">
        <w:rPr>
          <w:lang w:val="en-GB"/>
        </w:rPr>
        <w:t>were determined by transmission electron microscopy (TEM</w:t>
      </w:r>
      <w:r>
        <w:rPr>
          <w:lang w:val="en-GB"/>
        </w:rPr>
        <w:t xml:space="preserve">). </w:t>
      </w:r>
      <w:r w:rsidRPr="00B42AF6">
        <w:rPr>
          <w:lang w:val="en-GB"/>
        </w:rPr>
        <w:t xml:space="preserve">TEM images </w:t>
      </w:r>
      <w:r>
        <w:rPr>
          <w:lang w:val="en-GB"/>
        </w:rPr>
        <w:t>(</w:t>
      </w:r>
      <w:r w:rsidRPr="00B42AF6">
        <w:rPr>
          <w:lang w:val="en-GB"/>
        </w:rPr>
        <w:t>Fig</w:t>
      </w:r>
      <w:r>
        <w:rPr>
          <w:lang w:val="en-GB"/>
        </w:rPr>
        <w:t xml:space="preserve">ure 2) </w:t>
      </w:r>
      <w:r w:rsidRPr="00B42AF6">
        <w:rPr>
          <w:lang w:val="en-GB"/>
        </w:rPr>
        <w:t>at differ</w:t>
      </w:r>
      <w:r>
        <w:rPr>
          <w:lang w:val="en-GB"/>
        </w:rPr>
        <w:t>ent magnifications (scale bars: 50</w:t>
      </w:r>
      <w:r w:rsidRPr="00B42AF6">
        <w:rPr>
          <w:lang w:val="en-GB"/>
        </w:rPr>
        <w:t xml:space="preserve"> and </w:t>
      </w:r>
      <w:r>
        <w:rPr>
          <w:lang w:val="en-GB"/>
        </w:rPr>
        <w:t>10 nm)</w:t>
      </w:r>
      <w:r w:rsidRPr="00B42AF6">
        <w:rPr>
          <w:lang w:val="en-GB"/>
        </w:rPr>
        <w:t xml:space="preserve"> show</w:t>
      </w:r>
      <w:r>
        <w:rPr>
          <w:lang w:val="en-GB"/>
        </w:rPr>
        <w:t xml:space="preserve"> the formation of very small nanoparticles </w:t>
      </w:r>
      <w:r w:rsidRPr="00B42AF6">
        <w:rPr>
          <w:lang w:val="en-GB"/>
        </w:rPr>
        <w:t xml:space="preserve">with an average diameter of about </w:t>
      </w:r>
      <w:r>
        <w:rPr>
          <w:lang w:val="en-GB"/>
        </w:rPr>
        <w:t>1</w:t>
      </w:r>
      <w:r w:rsidRPr="00B42AF6">
        <w:rPr>
          <w:lang w:val="en-GB"/>
        </w:rPr>
        <w:t>–</w:t>
      </w:r>
      <w:r>
        <w:rPr>
          <w:lang w:val="en-GB"/>
        </w:rPr>
        <w:t>3</w:t>
      </w:r>
      <w:r w:rsidRPr="00B42AF6">
        <w:rPr>
          <w:lang w:val="en-GB"/>
        </w:rPr>
        <w:t xml:space="preserve"> nm.</w:t>
      </w:r>
      <w:r>
        <w:rPr>
          <w:lang w:val="en-GB"/>
        </w:rPr>
        <w:t xml:space="preserve"> The result of the EDS analysis confirmed </w:t>
      </w:r>
      <w:r w:rsidRPr="00B42AF6">
        <w:rPr>
          <w:lang w:val="en-GB"/>
        </w:rPr>
        <w:t>a Pt/Rh atomic rat</w:t>
      </w:r>
      <w:r>
        <w:rPr>
          <w:lang w:val="en-GB"/>
        </w:rPr>
        <w:t xml:space="preserve">io in line with the percentages </w:t>
      </w:r>
      <w:r w:rsidRPr="00B42AF6">
        <w:rPr>
          <w:lang w:val="en-GB"/>
        </w:rPr>
        <w:t>of Pt and Rh in the precursors chosen for the synthesis</w:t>
      </w:r>
      <w:r>
        <w:rPr>
          <w:lang w:val="en-GB"/>
        </w:rPr>
        <w:t>.</w:t>
      </w:r>
      <w:r w:rsidR="003D0C4E" w:rsidRPr="003D0C4E">
        <w:rPr>
          <w:lang w:val="en-GB"/>
        </w:rPr>
        <w:t xml:space="preserve"> </w:t>
      </w:r>
    </w:p>
    <w:p w:rsidR="00F94D03" w:rsidRDefault="00A26E1F" w:rsidP="00B10BDC">
      <w:pPr>
        <w:pStyle w:val="CETHeading1"/>
        <w:numPr>
          <w:ilvl w:val="0"/>
          <w:numId w:val="0"/>
        </w:numPr>
        <w:rPr>
          <w:b w:val="0"/>
          <w:sz w:val="24"/>
          <w:szCs w:val="24"/>
        </w:rPr>
      </w:pPr>
      <w:r>
        <w:rPr>
          <w:b w:val="0"/>
          <w:noProof/>
          <w:sz w:val="24"/>
          <w:szCs w:val="24"/>
          <w:lang w:val="it-IT" w:eastAsia="it-IT"/>
        </w:rPr>
        <w:drawing>
          <wp:inline distT="0" distB="0" distL="0" distR="0" wp14:anchorId="1BC982C2" wp14:editId="1CAA13D0">
            <wp:extent cx="3442192" cy="2772000"/>
            <wp:effectExtent l="0" t="0" r="6350" b="0"/>
            <wp:docPr id="4" name="Immagine 4" descr="C:\Users\Utente Principale\Dropbox\Eleonora\ICHEAP14\Isoindolinone\grafici\XR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tente Principale\Dropbox\Eleonora\ICHEAP14\Isoindolinone\grafici\XRD.BMP"/>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0702" t="10094" r="12526" b="2018"/>
                    <a:stretch/>
                  </pic:blipFill>
                  <pic:spPr bwMode="auto">
                    <a:xfrm>
                      <a:off x="0" y="0"/>
                      <a:ext cx="3442192" cy="2772000"/>
                    </a:xfrm>
                    <a:prstGeom prst="rect">
                      <a:avLst/>
                    </a:prstGeom>
                    <a:noFill/>
                    <a:ln>
                      <a:noFill/>
                    </a:ln>
                    <a:extLst>
                      <a:ext uri="{53640926-AAD7-44D8-BBD7-CCE9431645EC}">
                        <a14:shadowObscured xmlns:a14="http://schemas.microsoft.com/office/drawing/2010/main"/>
                      </a:ext>
                    </a:extLst>
                  </pic:spPr>
                </pic:pic>
              </a:graphicData>
            </a:graphic>
          </wp:inline>
        </w:drawing>
      </w:r>
      <w:r w:rsidR="00F94D03" w:rsidRPr="00F94D03">
        <w:rPr>
          <w:b w:val="0"/>
          <w:sz w:val="24"/>
          <w:szCs w:val="24"/>
        </w:rPr>
        <w:t xml:space="preserve"> </w:t>
      </w:r>
    </w:p>
    <w:p w:rsidR="00AF27F9" w:rsidRPr="00AF27F9" w:rsidRDefault="00F94D03" w:rsidP="00AF27F9">
      <w:pPr>
        <w:pStyle w:val="CETCaption"/>
      </w:pPr>
      <w:r w:rsidRPr="00917581">
        <w:t xml:space="preserve">Figure </w:t>
      </w:r>
      <w:r w:rsidR="003D69C1">
        <w:t>2.</w:t>
      </w:r>
      <w:r w:rsidRPr="00917581">
        <w:t xml:space="preserve"> XRD spectrum of </w:t>
      </w:r>
      <w:proofErr w:type="spellStart"/>
      <w:r>
        <w:t>PtRh</w:t>
      </w:r>
      <w:proofErr w:type="spellEnd"/>
      <w:r>
        <w:t xml:space="preserve"> </w:t>
      </w:r>
      <w:r w:rsidRPr="00917581">
        <w:t>nanocomposite</w:t>
      </w:r>
    </w:p>
    <w:p w:rsidR="002F64C3" w:rsidRPr="00EB2A7B" w:rsidRDefault="00FB3B88" w:rsidP="00EB2A7B">
      <w:pPr>
        <w:pStyle w:val="Didascalia"/>
        <w:rPr>
          <w:b w:val="0"/>
          <w:bCs w:val="0"/>
          <w:color w:val="auto"/>
          <w:szCs w:val="20"/>
        </w:rPr>
      </w:pPr>
      <w:r w:rsidRPr="0099725E">
        <w:rPr>
          <w:b w:val="0"/>
          <w:bCs w:val="0"/>
          <w:noProof/>
          <w:color w:val="auto"/>
          <w:sz w:val="20"/>
          <w:szCs w:val="20"/>
          <w:lang w:val="it-IT" w:eastAsia="it-IT"/>
        </w:rPr>
        <w:drawing>
          <wp:inline distT="0" distB="0" distL="0" distR="0" wp14:anchorId="43FE007A" wp14:editId="02650F6E">
            <wp:extent cx="2379600" cy="3528000"/>
            <wp:effectExtent l="0" t="0" r="1905" b="0"/>
            <wp:docPr id="9" name="Immagine 9" descr="C:\Users\Utente Principale\Dropbox\anna2\Caratterizzazione campioni\TEM\04-12-2018\PtIr_H2-N2_10 bar_3 ore\PtIr_H2-N2_10 bar_3 ore_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tente Principale\Dropbox\anna2\Caratterizzazione campioni\TEM\04-12-2018\PtIr_H2-N2_10 bar_3 ore\PtIr_H2-N2_10 bar_3 ore_0014.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7033" r="4155"/>
                    <a:stretch/>
                  </pic:blipFill>
                  <pic:spPr bwMode="auto">
                    <a:xfrm>
                      <a:off x="0" y="0"/>
                      <a:ext cx="2379600" cy="3528000"/>
                    </a:xfrm>
                    <a:prstGeom prst="rect">
                      <a:avLst/>
                    </a:prstGeom>
                    <a:noFill/>
                    <a:ln>
                      <a:noFill/>
                    </a:ln>
                    <a:extLst>
                      <a:ext uri="{53640926-AAD7-44D8-BBD7-CCE9431645EC}">
                        <a14:shadowObscured xmlns:a14="http://schemas.microsoft.com/office/drawing/2010/main"/>
                      </a:ext>
                    </a:extLst>
                  </pic:spPr>
                </pic:pic>
              </a:graphicData>
            </a:graphic>
          </wp:inline>
        </w:drawing>
      </w:r>
      <w:r w:rsidR="0099725E" w:rsidRPr="0099725E">
        <w:rPr>
          <w:b w:val="0"/>
          <w:bCs w:val="0"/>
          <w:noProof/>
          <w:color w:val="auto"/>
          <w:sz w:val="20"/>
          <w:szCs w:val="20"/>
          <w:lang w:val="en-US" w:eastAsia="it-IT"/>
        </w:rPr>
        <w:t xml:space="preserve"> </w:t>
      </w:r>
      <w:r w:rsidRPr="00485713">
        <w:rPr>
          <w:noProof/>
          <w:sz w:val="20"/>
          <w:szCs w:val="20"/>
          <w:lang w:val="en-US" w:eastAsia="it-IT"/>
        </w:rPr>
        <w:t xml:space="preserve">        </w:t>
      </w:r>
      <w:r>
        <w:rPr>
          <w:noProof/>
          <w:sz w:val="20"/>
          <w:szCs w:val="20"/>
          <w:lang w:val="it-IT" w:eastAsia="it-IT"/>
        </w:rPr>
        <w:drawing>
          <wp:inline distT="0" distB="0" distL="0" distR="0" wp14:anchorId="7A0DB0E5" wp14:editId="7A483B66">
            <wp:extent cx="2404800" cy="3528000"/>
            <wp:effectExtent l="0" t="0" r="0" b="0"/>
            <wp:docPr id="8" name="Immagine 8" descr="C:\Users\Utente Principale\Dropbox\anna2\Caratterizzazione campioni\TEM\04-12-2018\PtIr_H2-N2_10 bar_3 ore\PtIr_H2-N2_10 bar_3 ore_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tente Principale\Dropbox\anna2\Caratterizzazione campioni\TEM\04-12-2018\PtIr_H2-N2_10 bar_3 ore\PtIr_H2-N2_10 bar_3 ore_0011.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6375" r="5275"/>
                    <a:stretch/>
                  </pic:blipFill>
                  <pic:spPr bwMode="auto">
                    <a:xfrm>
                      <a:off x="0" y="0"/>
                      <a:ext cx="2404800" cy="3528000"/>
                    </a:xfrm>
                    <a:prstGeom prst="rect">
                      <a:avLst/>
                    </a:prstGeom>
                    <a:noFill/>
                    <a:ln>
                      <a:noFill/>
                    </a:ln>
                    <a:extLst>
                      <a:ext uri="{53640926-AAD7-44D8-BBD7-CCE9431645EC}">
                        <a14:shadowObscured xmlns:a14="http://schemas.microsoft.com/office/drawing/2010/main"/>
                      </a:ext>
                    </a:extLst>
                  </pic:spPr>
                </pic:pic>
              </a:graphicData>
            </a:graphic>
          </wp:inline>
        </w:drawing>
      </w:r>
      <w:r w:rsidRPr="00485713">
        <w:rPr>
          <w:noProof/>
          <w:sz w:val="20"/>
          <w:szCs w:val="20"/>
          <w:lang w:val="en-US" w:eastAsia="it-IT"/>
        </w:rPr>
        <w:t xml:space="preserve">  </w:t>
      </w:r>
    </w:p>
    <w:p w:rsidR="00EB2A7B" w:rsidRDefault="00EB2A7B" w:rsidP="002F64C3">
      <w:pPr>
        <w:pStyle w:val="CETBodytext"/>
        <w:jc w:val="left"/>
        <w:rPr>
          <w:i/>
        </w:rPr>
      </w:pPr>
    </w:p>
    <w:p w:rsidR="00D30CAA" w:rsidRPr="00EB2A7B" w:rsidRDefault="002F64C3" w:rsidP="00AF27F9">
      <w:pPr>
        <w:pStyle w:val="CETCaption"/>
      </w:pPr>
      <w:r w:rsidRPr="00917581">
        <w:t xml:space="preserve">Figure </w:t>
      </w:r>
      <w:r>
        <w:t>3.</w:t>
      </w:r>
      <w:r w:rsidRPr="00917581">
        <w:t xml:space="preserve"> </w:t>
      </w:r>
      <w:r w:rsidR="00126CCE" w:rsidRPr="00126CCE">
        <w:t xml:space="preserve">TEM images of </w:t>
      </w:r>
      <w:proofErr w:type="spellStart"/>
      <w:r w:rsidR="00126CCE">
        <w:t>PtRh</w:t>
      </w:r>
      <w:proofErr w:type="spellEnd"/>
      <w:r w:rsidR="00126CCE">
        <w:t xml:space="preserve"> </w:t>
      </w:r>
      <w:r w:rsidR="00126CCE" w:rsidRPr="00917581">
        <w:t>nanocomposite</w:t>
      </w:r>
      <w:r w:rsidR="00126CCE" w:rsidRPr="00126CCE">
        <w:t xml:space="preserve"> at different magnification</w:t>
      </w:r>
      <w:r w:rsidR="00126CCE">
        <w:t>s</w:t>
      </w:r>
    </w:p>
    <w:p w:rsidR="00A76EBA" w:rsidRDefault="00A76EBA" w:rsidP="00D30CAA">
      <w:pPr>
        <w:pStyle w:val="CETBodytext"/>
        <w:rPr>
          <w:lang w:val="en-GB"/>
        </w:rPr>
      </w:pPr>
      <w:r w:rsidRPr="00DA764B">
        <w:rPr>
          <w:lang w:val="en-GB"/>
        </w:rPr>
        <w:t xml:space="preserve">The cyclization to </w:t>
      </w:r>
      <w:proofErr w:type="spellStart"/>
      <w:r w:rsidRPr="00DA764B">
        <w:rPr>
          <w:lang w:val="en-GB"/>
        </w:rPr>
        <w:t>isoindolinone</w:t>
      </w:r>
      <w:proofErr w:type="spellEnd"/>
      <w:r w:rsidRPr="00DA764B">
        <w:rPr>
          <w:lang w:val="en-GB"/>
        </w:rPr>
        <w:t xml:space="preserve"> was</w:t>
      </w:r>
      <w:r>
        <w:rPr>
          <w:lang w:val="en-GB"/>
        </w:rPr>
        <w:t xml:space="preserve"> easily</w:t>
      </w:r>
      <w:r w:rsidRPr="00DA764B">
        <w:rPr>
          <w:lang w:val="en-GB"/>
        </w:rPr>
        <w:t xml:space="preserve"> investigated</w:t>
      </w:r>
      <w:r>
        <w:rPr>
          <w:lang w:val="en-GB"/>
        </w:rPr>
        <w:t xml:space="preserve"> by the help of an on-line mass</w:t>
      </w:r>
      <w:r w:rsidRPr="004E2120">
        <w:rPr>
          <w:rFonts w:ascii="AdvPS_TTR" w:eastAsiaTheme="minorHAnsi" w:hAnsi="AdvPS_TTR" w:cs="AdvPS_TTR"/>
          <w:szCs w:val="18"/>
        </w:rPr>
        <w:t xml:space="preserve"> spectrometer</w:t>
      </w:r>
      <w:r>
        <w:rPr>
          <w:rFonts w:ascii="AdvPS_TTR" w:eastAsiaTheme="minorHAnsi" w:hAnsi="AdvPS_TTR" w:cs="AdvPS_TTR"/>
          <w:szCs w:val="18"/>
        </w:rPr>
        <w:t xml:space="preserve"> (MS)</w:t>
      </w:r>
      <w:r>
        <w:rPr>
          <w:lang w:val="en-GB"/>
        </w:rPr>
        <w:t xml:space="preserve"> analysis, which allow contemporaneous evolution of the reaction media and of the Farad per mole required. </w:t>
      </w:r>
      <w:r>
        <w:rPr>
          <w:lang w:val="en-GB"/>
        </w:rPr>
        <w:lastRenderedPageBreak/>
        <w:t xml:space="preserve">For this purpose, the </w:t>
      </w:r>
      <w:r w:rsidRPr="00DA764B">
        <w:rPr>
          <w:lang w:val="en-GB"/>
        </w:rPr>
        <w:t xml:space="preserve">electrochemical </w:t>
      </w:r>
      <w:r>
        <w:rPr>
          <w:lang w:val="en-GB"/>
        </w:rPr>
        <w:t>cell</w:t>
      </w:r>
      <w:r w:rsidRPr="00DA764B">
        <w:rPr>
          <w:lang w:val="en-GB"/>
        </w:rPr>
        <w:t xml:space="preserve"> was connected to an </w:t>
      </w:r>
      <w:r>
        <w:rPr>
          <w:lang w:val="en-GB"/>
        </w:rPr>
        <w:t>on-</w:t>
      </w:r>
      <w:r w:rsidRPr="00DA764B">
        <w:rPr>
          <w:lang w:val="en-GB"/>
        </w:rPr>
        <w:t xml:space="preserve">line </w:t>
      </w:r>
      <w:r>
        <w:rPr>
          <w:lang w:val="en-GB"/>
        </w:rPr>
        <w:t>MS, see Scheme 2</w:t>
      </w:r>
      <w:r w:rsidRPr="00DA764B">
        <w:rPr>
          <w:lang w:val="en-GB"/>
        </w:rPr>
        <w:t xml:space="preserve">, </w:t>
      </w:r>
      <w:r>
        <w:rPr>
          <w:lang w:val="en-GB"/>
        </w:rPr>
        <w:t xml:space="preserve">permitting to monitor the </w:t>
      </w:r>
      <w:r w:rsidRPr="00DA764B">
        <w:rPr>
          <w:lang w:val="en-GB"/>
        </w:rPr>
        <w:t xml:space="preserve">required amount of electrons. </w:t>
      </w:r>
    </w:p>
    <w:p w:rsidR="00D30CAA" w:rsidRPr="00E82286" w:rsidRDefault="00D30CAA" w:rsidP="00D30CAA">
      <w:pPr>
        <w:pStyle w:val="CETBodytext"/>
        <w:rPr>
          <w:lang w:val="en-GB"/>
        </w:rPr>
      </w:pPr>
      <w:r>
        <w:rPr>
          <w:lang w:val="en-GB"/>
        </w:rPr>
        <w:t>The electrochemical synthesis was performed with different cathodes and anodes. The results show that by using a</w:t>
      </w:r>
      <w:r w:rsidRPr="001124C0">
        <w:rPr>
          <w:lang w:val="en-GB"/>
        </w:rPr>
        <w:t xml:space="preserve"> platinum cat</w:t>
      </w:r>
      <w:r>
        <w:rPr>
          <w:lang w:val="en-GB"/>
        </w:rPr>
        <w:t>hode, the reaction proceeds in presence of different anode materials</w:t>
      </w:r>
      <w:r w:rsidRPr="001124C0">
        <w:rPr>
          <w:lang w:val="en-GB"/>
        </w:rPr>
        <w:t xml:space="preserve">. </w:t>
      </w:r>
      <w:r>
        <w:rPr>
          <w:lang w:val="en-GB"/>
        </w:rPr>
        <w:t xml:space="preserve">On the other hand, different </w:t>
      </w:r>
      <w:r w:rsidRPr="001124C0">
        <w:rPr>
          <w:lang w:val="en-GB"/>
        </w:rPr>
        <w:t>cathode</w:t>
      </w:r>
      <w:r>
        <w:rPr>
          <w:lang w:val="en-GB"/>
        </w:rPr>
        <w:t xml:space="preserve">s materials lead to different results. </w:t>
      </w:r>
      <w:r w:rsidR="00353BA3">
        <w:rPr>
          <w:lang w:val="en-GB"/>
        </w:rPr>
        <w:t>It is worth noticing that, although the</w:t>
      </w:r>
      <w:r>
        <w:rPr>
          <w:lang w:val="en-GB"/>
        </w:rPr>
        <w:t xml:space="preserve"> theory require</w:t>
      </w:r>
      <w:r w:rsidR="00A76EBA">
        <w:rPr>
          <w:lang w:val="en-GB"/>
        </w:rPr>
        <w:t>s</w:t>
      </w:r>
      <w:r>
        <w:rPr>
          <w:lang w:val="en-GB"/>
        </w:rPr>
        <w:t xml:space="preserve"> only 1 Fmol</w:t>
      </w:r>
      <w:r w:rsidRPr="001124C0">
        <w:rPr>
          <w:vertAlign w:val="superscript"/>
          <w:lang w:val="en-GB"/>
        </w:rPr>
        <w:t>-1</w:t>
      </w:r>
      <w:r>
        <w:rPr>
          <w:lang w:val="en-GB"/>
        </w:rPr>
        <w:t xml:space="preserve"> of electricity </w:t>
      </w:r>
      <w:r w:rsidRPr="001124C0">
        <w:rPr>
          <w:lang w:val="en-GB"/>
        </w:rPr>
        <w:t xml:space="preserve">for the </w:t>
      </w:r>
      <w:r>
        <w:rPr>
          <w:lang w:val="en-GB"/>
        </w:rPr>
        <w:t>oxidation</w:t>
      </w:r>
      <w:r w:rsidRPr="00D30CAA">
        <w:rPr>
          <w:lang w:val="en-GB"/>
        </w:rPr>
        <w:t xml:space="preserve"> </w:t>
      </w:r>
      <w:r>
        <w:rPr>
          <w:lang w:val="en-GB"/>
        </w:rPr>
        <w:t xml:space="preserve">of </w:t>
      </w:r>
      <w:r w:rsidRPr="001124C0">
        <w:rPr>
          <w:lang w:val="en-GB"/>
        </w:rPr>
        <w:t>one</w:t>
      </w:r>
      <w:r w:rsidR="00353BA3">
        <w:rPr>
          <w:lang w:val="en-GB"/>
        </w:rPr>
        <w:t xml:space="preserve"> </w:t>
      </w:r>
      <w:r w:rsidRPr="001124C0">
        <w:rPr>
          <w:lang w:val="en-GB"/>
        </w:rPr>
        <w:t>el</w:t>
      </w:r>
      <w:r>
        <w:rPr>
          <w:lang w:val="en-GB"/>
        </w:rPr>
        <w:t>ectron, even with 4 Fmol</w:t>
      </w:r>
      <w:r w:rsidRPr="001124C0">
        <w:rPr>
          <w:vertAlign w:val="superscript"/>
          <w:lang w:val="en-GB"/>
        </w:rPr>
        <w:t>-1</w:t>
      </w:r>
      <w:r>
        <w:rPr>
          <w:lang w:val="en-GB"/>
        </w:rPr>
        <w:t xml:space="preserve"> </w:t>
      </w:r>
      <w:r w:rsidRPr="001124C0">
        <w:rPr>
          <w:lang w:val="en-GB"/>
        </w:rPr>
        <w:t>the reaction d</w:t>
      </w:r>
      <w:r>
        <w:rPr>
          <w:lang w:val="en-GB"/>
        </w:rPr>
        <w:t xml:space="preserve">id not go to completion with Pt cathode </w:t>
      </w:r>
      <w:r w:rsidRPr="001124C0">
        <w:rPr>
          <w:lang w:val="en-GB"/>
        </w:rPr>
        <w:t xml:space="preserve">(see </w:t>
      </w:r>
      <w:r>
        <w:rPr>
          <w:lang w:val="en-GB"/>
        </w:rPr>
        <w:t xml:space="preserve">Figure 3). </w:t>
      </w:r>
      <w:r w:rsidR="005323DE">
        <w:rPr>
          <w:lang w:val="en-GB"/>
        </w:rPr>
        <w:t xml:space="preserve">This is true for the </w:t>
      </w:r>
      <w:proofErr w:type="spellStart"/>
      <w:r w:rsidR="005323DE">
        <w:rPr>
          <w:lang w:val="en-GB"/>
        </w:rPr>
        <w:t>PtRh</w:t>
      </w:r>
      <w:proofErr w:type="spellEnd"/>
      <w:r w:rsidR="005323DE">
        <w:rPr>
          <w:lang w:val="en-GB"/>
        </w:rPr>
        <w:t xml:space="preserve"> electrode, which shows a complete conversion at 4 Fmol</w:t>
      </w:r>
      <w:r w:rsidR="005323DE" w:rsidRPr="005323DE">
        <w:rPr>
          <w:vertAlign w:val="superscript"/>
          <w:lang w:val="en-GB"/>
        </w:rPr>
        <w:t>-1</w:t>
      </w:r>
      <w:r w:rsidR="005323DE">
        <w:rPr>
          <w:lang w:val="en-GB"/>
        </w:rPr>
        <w:t>.</w:t>
      </w:r>
      <w:r w:rsidR="00EB2A7B">
        <w:rPr>
          <w:lang w:val="en-GB"/>
        </w:rPr>
        <w:t xml:space="preserve"> </w:t>
      </w:r>
      <w:r w:rsidR="006A37F5">
        <w:rPr>
          <w:lang w:val="en-GB"/>
        </w:rPr>
        <w:t>Thus, t</w:t>
      </w:r>
      <w:r>
        <w:rPr>
          <w:lang w:val="en-GB"/>
        </w:rPr>
        <w:t xml:space="preserve">he </w:t>
      </w:r>
      <w:r w:rsidR="005323DE">
        <w:rPr>
          <w:lang w:val="en-GB"/>
        </w:rPr>
        <w:t>material</w:t>
      </w:r>
      <w:r w:rsidR="005323DE" w:rsidRPr="001124C0">
        <w:rPr>
          <w:lang w:val="en-GB"/>
        </w:rPr>
        <w:t>s of cathode largely impact</w:t>
      </w:r>
      <w:r>
        <w:rPr>
          <w:lang w:val="en-GB"/>
        </w:rPr>
        <w:t xml:space="preserve"> </w:t>
      </w:r>
      <w:r w:rsidRPr="001124C0">
        <w:rPr>
          <w:lang w:val="en-GB"/>
        </w:rPr>
        <w:t>the reaction</w:t>
      </w:r>
      <w:r w:rsidR="006A37F5">
        <w:rPr>
          <w:lang w:val="en-GB"/>
        </w:rPr>
        <w:t xml:space="preserve"> more</w:t>
      </w:r>
      <w:r w:rsidRPr="001124C0">
        <w:rPr>
          <w:lang w:val="en-GB"/>
        </w:rPr>
        <w:t xml:space="preserve"> than the working</w:t>
      </w:r>
      <w:r>
        <w:rPr>
          <w:lang w:val="en-GB"/>
        </w:rPr>
        <w:t xml:space="preserve"> electrode (anode). This </w:t>
      </w:r>
      <w:r w:rsidR="005323DE">
        <w:rPr>
          <w:lang w:val="en-GB"/>
        </w:rPr>
        <w:t>can be attributed to the</w:t>
      </w:r>
      <w:r w:rsidRPr="001124C0">
        <w:rPr>
          <w:lang w:val="en-GB"/>
        </w:rPr>
        <w:t xml:space="preserve"> water reduction react</w:t>
      </w:r>
      <w:r>
        <w:rPr>
          <w:lang w:val="en-GB"/>
        </w:rPr>
        <w:t xml:space="preserve">ion </w:t>
      </w:r>
      <w:r w:rsidR="005323DE" w:rsidRPr="00E82286">
        <w:rPr>
          <w:lang w:val="en-GB"/>
        </w:rPr>
        <w:t xml:space="preserve">occurring </w:t>
      </w:r>
      <w:r w:rsidRPr="00E82286">
        <w:rPr>
          <w:lang w:val="en-GB"/>
        </w:rPr>
        <w:t xml:space="preserve">at the cathode, </w:t>
      </w:r>
      <w:r w:rsidR="005323DE" w:rsidRPr="00E82286">
        <w:rPr>
          <w:lang w:val="en-GB"/>
        </w:rPr>
        <w:t xml:space="preserve">i.e. to </w:t>
      </w:r>
      <w:r w:rsidRPr="00E82286">
        <w:rPr>
          <w:lang w:val="en-GB"/>
        </w:rPr>
        <w:t xml:space="preserve">the different activation </w:t>
      </w:r>
      <w:proofErr w:type="spellStart"/>
      <w:r w:rsidRPr="00E82286">
        <w:rPr>
          <w:lang w:val="en-GB"/>
        </w:rPr>
        <w:t>overpotential</w:t>
      </w:r>
      <w:proofErr w:type="spellEnd"/>
      <w:r w:rsidRPr="00E82286">
        <w:rPr>
          <w:lang w:val="en-GB"/>
        </w:rPr>
        <w:t xml:space="preserve"> for hydrogen evolution on different electrode materials (Washburn, 1926). </w:t>
      </w:r>
      <w:r w:rsidR="005323DE" w:rsidRPr="00E82286">
        <w:rPr>
          <w:lang w:val="en-GB"/>
        </w:rPr>
        <w:t>Indeed, t</w:t>
      </w:r>
      <w:r w:rsidRPr="00E82286">
        <w:rPr>
          <w:lang w:val="en-GB"/>
        </w:rPr>
        <w:t xml:space="preserve">he activation </w:t>
      </w:r>
      <w:proofErr w:type="spellStart"/>
      <w:r w:rsidRPr="00E82286">
        <w:rPr>
          <w:lang w:val="en-GB"/>
        </w:rPr>
        <w:t>overpotential</w:t>
      </w:r>
      <w:proofErr w:type="spellEnd"/>
      <w:r w:rsidRPr="00E82286">
        <w:rPr>
          <w:lang w:val="en-GB"/>
        </w:rPr>
        <w:t xml:space="preserve"> is lower for </w:t>
      </w:r>
      <w:proofErr w:type="spellStart"/>
      <w:r w:rsidRPr="00E82286">
        <w:rPr>
          <w:lang w:val="en-GB"/>
        </w:rPr>
        <w:t>PtRh</w:t>
      </w:r>
      <w:proofErr w:type="spellEnd"/>
      <w:r w:rsidRPr="00E82286">
        <w:rPr>
          <w:lang w:val="en-GB"/>
        </w:rPr>
        <w:t xml:space="preserve"> (0.001 V) than for Pt (0.02 V).</w:t>
      </w:r>
    </w:p>
    <w:p w:rsidR="00C1136F" w:rsidRPr="00EB2A7B" w:rsidRDefault="003658F6" w:rsidP="00EB2A7B">
      <w:pPr>
        <w:pStyle w:val="CETBodytext"/>
        <w:rPr>
          <w:lang w:val="en-GB"/>
        </w:rPr>
      </w:pPr>
      <w:r w:rsidRPr="00E82286">
        <w:rPr>
          <w:lang w:val="en-GB"/>
        </w:rPr>
        <w:t>During anodic oxidation</w:t>
      </w:r>
      <w:r w:rsidR="000560F4" w:rsidRPr="00E82286">
        <w:rPr>
          <w:lang w:val="en-GB"/>
        </w:rPr>
        <w:t>,</w:t>
      </w:r>
      <w:r w:rsidRPr="00E82286">
        <w:rPr>
          <w:lang w:val="en-GB"/>
        </w:rPr>
        <w:t xml:space="preserve"> </w:t>
      </w:r>
      <w:r w:rsidR="00D30CAA" w:rsidRPr="00E82286">
        <w:rPr>
          <w:lang w:val="en-GB"/>
        </w:rPr>
        <w:t>base</w:t>
      </w:r>
      <w:r w:rsidRPr="00E82286">
        <w:rPr>
          <w:lang w:val="en-GB"/>
        </w:rPr>
        <w:t xml:space="preserve">s can be used to favour </w:t>
      </w:r>
      <w:r w:rsidR="00D30CAA" w:rsidRPr="00E82286">
        <w:rPr>
          <w:lang w:val="en-GB"/>
        </w:rPr>
        <w:t>compoun</w:t>
      </w:r>
      <w:r w:rsidR="00D30CAA" w:rsidRPr="00723D78">
        <w:rPr>
          <w:lang w:val="en-GB"/>
        </w:rPr>
        <w:t>d</w:t>
      </w:r>
      <w:r>
        <w:rPr>
          <w:lang w:val="en-GB"/>
        </w:rPr>
        <w:t>s</w:t>
      </w:r>
      <w:r w:rsidR="00D30CAA" w:rsidRPr="00723D78">
        <w:rPr>
          <w:lang w:val="en-GB"/>
        </w:rPr>
        <w:t xml:space="preserve"> or its oxi</w:t>
      </w:r>
      <w:r>
        <w:rPr>
          <w:lang w:val="en-GB"/>
        </w:rPr>
        <w:t>des</w:t>
      </w:r>
      <w:r w:rsidR="00D30CAA">
        <w:rPr>
          <w:lang w:val="en-GB"/>
        </w:rPr>
        <w:t xml:space="preserve"> deprotonat</w:t>
      </w:r>
      <w:r>
        <w:rPr>
          <w:lang w:val="en-GB"/>
        </w:rPr>
        <w:t>ion</w:t>
      </w:r>
      <w:r w:rsidR="00D30CAA">
        <w:rPr>
          <w:lang w:val="en-GB"/>
        </w:rPr>
        <w:t xml:space="preserve">, </w:t>
      </w:r>
      <w:r w:rsidR="000560F4">
        <w:rPr>
          <w:lang w:val="en-GB"/>
        </w:rPr>
        <w:t xml:space="preserve">this is </w:t>
      </w:r>
      <w:r w:rsidR="00D30CAA" w:rsidRPr="00723D78">
        <w:rPr>
          <w:lang w:val="en-GB"/>
        </w:rPr>
        <w:t>because</w:t>
      </w:r>
      <w:r w:rsidR="000560F4">
        <w:rPr>
          <w:lang w:val="en-GB"/>
        </w:rPr>
        <w:t xml:space="preserve"> of</w:t>
      </w:r>
      <w:r w:rsidR="00D30CAA" w:rsidRPr="00723D78">
        <w:rPr>
          <w:lang w:val="en-GB"/>
        </w:rPr>
        <w:t xml:space="preserve"> most anodic oxidatio</w:t>
      </w:r>
      <w:r w:rsidR="00D30CAA">
        <w:rPr>
          <w:lang w:val="en-GB"/>
        </w:rPr>
        <w:t xml:space="preserve">ns proceed </w:t>
      </w:r>
      <w:r w:rsidR="000560F4">
        <w:rPr>
          <w:lang w:val="en-GB"/>
        </w:rPr>
        <w:t xml:space="preserve">through the </w:t>
      </w:r>
      <w:r w:rsidR="00D30CAA">
        <w:rPr>
          <w:lang w:val="en-GB"/>
        </w:rPr>
        <w:t xml:space="preserve">loss of electrons </w:t>
      </w:r>
      <w:r w:rsidR="00D30CAA" w:rsidRPr="00723D78">
        <w:rPr>
          <w:lang w:val="en-GB"/>
        </w:rPr>
        <w:t>and protons</w:t>
      </w:r>
      <w:r w:rsidR="00D30CAA">
        <w:rPr>
          <w:lang w:val="en-GB"/>
        </w:rPr>
        <w:t xml:space="preserve">. </w:t>
      </w:r>
      <w:r w:rsidR="00D30CAA" w:rsidRPr="0095191A">
        <w:rPr>
          <w:lang w:val="en-GB"/>
        </w:rPr>
        <w:t>Different</w:t>
      </w:r>
      <w:r w:rsidR="00D30CAA">
        <w:rPr>
          <w:lang w:val="en-GB"/>
        </w:rPr>
        <w:t xml:space="preserve"> </w:t>
      </w:r>
      <w:r w:rsidR="00D30CAA" w:rsidRPr="0095191A">
        <w:rPr>
          <w:lang w:val="en-GB"/>
        </w:rPr>
        <w:t>organic</w:t>
      </w:r>
      <w:r w:rsidR="00D30CAA">
        <w:rPr>
          <w:lang w:val="en-GB"/>
        </w:rPr>
        <w:t xml:space="preserve"> </w:t>
      </w:r>
      <w:r w:rsidR="00D30CAA" w:rsidRPr="0095191A">
        <w:rPr>
          <w:lang w:val="en-GB"/>
        </w:rPr>
        <w:t>bases</w:t>
      </w:r>
      <w:r w:rsidR="00D30CAA">
        <w:rPr>
          <w:lang w:val="en-GB"/>
        </w:rPr>
        <w:t xml:space="preserve"> </w:t>
      </w:r>
      <w:r w:rsidR="00D30CAA" w:rsidRPr="0095191A">
        <w:rPr>
          <w:lang w:val="en-GB"/>
        </w:rPr>
        <w:t>were</w:t>
      </w:r>
      <w:r w:rsidR="00D30CAA">
        <w:rPr>
          <w:lang w:val="en-GB"/>
        </w:rPr>
        <w:t xml:space="preserve"> </w:t>
      </w:r>
      <w:r w:rsidR="00D30CAA" w:rsidRPr="0095191A">
        <w:rPr>
          <w:lang w:val="en-GB"/>
        </w:rPr>
        <w:t>investigated</w:t>
      </w:r>
      <w:r w:rsidR="00D30CAA">
        <w:rPr>
          <w:lang w:val="en-GB"/>
        </w:rPr>
        <w:t xml:space="preserve"> </w:t>
      </w:r>
      <w:r w:rsidR="00D30CAA" w:rsidRPr="0095191A">
        <w:rPr>
          <w:lang w:val="en-GB"/>
        </w:rPr>
        <w:t>in</w:t>
      </w:r>
      <w:r w:rsidR="00D30CAA">
        <w:rPr>
          <w:lang w:val="en-GB"/>
        </w:rPr>
        <w:t xml:space="preserve"> </w:t>
      </w:r>
      <w:r w:rsidR="00D30CAA" w:rsidRPr="0095191A">
        <w:rPr>
          <w:lang w:val="en-GB"/>
        </w:rPr>
        <w:t>the</w:t>
      </w:r>
      <w:r w:rsidR="00D30CAA">
        <w:rPr>
          <w:lang w:val="en-GB"/>
        </w:rPr>
        <w:t xml:space="preserve"> </w:t>
      </w:r>
      <w:r w:rsidR="00D30CAA" w:rsidRPr="0095191A">
        <w:rPr>
          <w:lang w:val="en-GB"/>
        </w:rPr>
        <w:t>flow</w:t>
      </w:r>
      <w:r w:rsidR="00D30CAA">
        <w:rPr>
          <w:lang w:val="en-GB"/>
        </w:rPr>
        <w:t xml:space="preserve"> </w:t>
      </w:r>
      <w:proofErr w:type="spellStart"/>
      <w:r w:rsidR="00D30CAA" w:rsidRPr="0095191A">
        <w:rPr>
          <w:lang w:val="en-GB"/>
        </w:rPr>
        <w:t>cyclizations</w:t>
      </w:r>
      <w:proofErr w:type="spellEnd"/>
      <w:r w:rsidR="00D30CAA">
        <w:rPr>
          <w:lang w:val="en-GB"/>
        </w:rPr>
        <w:t xml:space="preserve"> (Figure 4)</w:t>
      </w:r>
      <w:r w:rsidR="00D30CAA" w:rsidRPr="0095191A">
        <w:rPr>
          <w:lang w:val="en-GB"/>
        </w:rPr>
        <w:t>.</w:t>
      </w:r>
      <w:r w:rsidR="00D30CAA">
        <w:rPr>
          <w:lang w:val="en-GB"/>
        </w:rPr>
        <w:t xml:space="preserve"> </w:t>
      </w:r>
      <w:proofErr w:type="spellStart"/>
      <w:r w:rsidR="00D30CAA">
        <w:rPr>
          <w:lang w:val="en-GB"/>
        </w:rPr>
        <w:t>Triethylamine</w:t>
      </w:r>
      <w:proofErr w:type="spellEnd"/>
      <w:r w:rsidR="00D30CAA">
        <w:rPr>
          <w:lang w:val="en-GB"/>
        </w:rPr>
        <w:t xml:space="preserve"> inhibited the </w:t>
      </w:r>
      <w:r w:rsidR="00D30CAA" w:rsidRPr="00AE7F87">
        <w:rPr>
          <w:lang w:val="en-GB"/>
        </w:rPr>
        <w:t>reaction while with 2,6-lutidine conversio</w:t>
      </w:r>
      <w:r w:rsidR="00D30CAA">
        <w:rPr>
          <w:lang w:val="en-GB"/>
        </w:rPr>
        <w:t xml:space="preserve">ns similar to those </w:t>
      </w:r>
      <w:r w:rsidR="00D30CAA" w:rsidRPr="00AE7F87">
        <w:rPr>
          <w:lang w:val="en-GB"/>
        </w:rPr>
        <w:t>without base were observed.</w:t>
      </w:r>
      <w:r w:rsidR="00D30CAA">
        <w:rPr>
          <w:lang w:val="en-GB"/>
        </w:rPr>
        <w:t xml:space="preserve"> </w:t>
      </w:r>
      <w:r w:rsidR="00D30CAA" w:rsidRPr="00021A6B">
        <w:rPr>
          <w:lang w:val="en-GB"/>
        </w:rPr>
        <w:t>To accelerate the re</w:t>
      </w:r>
      <w:r w:rsidR="00D30CAA">
        <w:rPr>
          <w:lang w:val="en-GB"/>
        </w:rPr>
        <w:t xml:space="preserve">action, </w:t>
      </w:r>
      <w:proofErr w:type="spellStart"/>
      <w:r w:rsidR="00D30CAA">
        <w:rPr>
          <w:lang w:val="en-GB"/>
        </w:rPr>
        <w:t>benzyltrimethylammonium</w:t>
      </w:r>
      <w:proofErr w:type="spellEnd"/>
      <w:r w:rsidR="00D30CAA">
        <w:rPr>
          <w:lang w:val="en-GB"/>
        </w:rPr>
        <w:t xml:space="preserve"> hydroxide</w:t>
      </w:r>
      <w:r w:rsidR="00D30CAA" w:rsidRPr="00021A6B">
        <w:rPr>
          <w:lang w:val="en-GB"/>
        </w:rPr>
        <w:t xml:space="preserve"> was used.</w:t>
      </w:r>
      <w:r w:rsidR="00D30CAA">
        <w:rPr>
          <w:lang w:val="en-GB"/>
        </w:rPr>
        <w:t xml:space="preserve"> Cyclic voltammetry, not shown here, confirmed</w:t>
      </w:r>
      <w:r w:rsidR="00D30CAA" w:rsidRPr="0099725E">
        <w:rPr>
          <w:lang w:val="en-GB"/>
        </w:rPr>
        <w:t xml:space="preserve"> this result, as the cyclic </w:t>
      </w:r>
      <w:proofErr w:type="spellStart"/>
      <w:r w:rsidR="00D30CAA" w:rsidRPr="0099725E">
        <w:rPr>
          <w:lang w:val="en-GB"/>
        </w:rPr>
        <w:t>voltammogram</w:t>
      </w:r>
      <w:proofErr w:type="spellEnd"/>
      <w:r w:rsidR="00D30CAA" w:rsidRPr="0099725E">
        <w:rPr>
          <w:lang w:val="en-GB"/>
        </w:rPr>
        <w:t xml:space="preserve"> in the presence of </w:t>
      </w:r>
      <w:proofErr w:type="spellStart"/>
      <w:r w:rsidR="00D30CAA" w:rsidRPr="0099725E">
        <w:rPr>
          <w:lang w:val="en-GB"/>
        </w:rPr>
        <w:t>benzyltrimethylammonium</w:t>
      </w:r>
      <w:proofErr w:type="spellEnd"/>
      <w:r w:rsidR="00D30CAA" w:rsidRPr="0099725E">
        <w:rPr>
          <w:lang w:val="en-GB"/>
        </w:rPr>
        <w:t xml:space="preserve"> hydroxide shows a lower oxidation potential (from 1.</w:t>
      </w:r>
      <w:r w:rsidR="00D30CAA">
        <w:rPr>
          <w:lang w:val="en-GB"/>
        </w:rPr>
        <w:t>65</w:t>
      </w:r>
      <w:r w:rsidR="00D30CAA" w:rsidRPr="0099725E">
        <w:rPr>
          <w:lang w:val="en-GB"/>
        </w:rPr>
        <w:t xml:space="preserve"> V to 0.</w:t>
      </w:r>
      <w:r w:rsidR="00D30CAA">
        <w:rPr>
          <w:lang w:val="en-GB"/>
        </w:rPr>
        <w:t>18</w:t>
      </w:r>
      <w:r w:rsidR="00D30CAA" w:rsidRPr="0099725E">
        <w:rPr>
          <w:lang w:val="en-GB"/>
        </w:rPr>
        <w:t xml:space="preserve"> V, vs. </w:t>
      </w:r>
      <w:r w:rsidR="00D30CAA">
        <w:rPr>
          <w:lang w:val="en-GB"/>
        </w:rPr>
        <w:t>SCE</w:t>
      </w:r>
      <w:r w:rsidR="00D30CAA" w:rsidRPr="0099725E">
        <w:rPr>
          <w:lang w:val="en-GB"/>
        </w:rPr>
        <w:t>).</w:t>
      </w:r>
      <w:r w:rsidR="00276A9B" w:rsidRPr="00276A9B">
        <w:t xml:space="preserve"> </w:t>
      </w:r>
      <w:r w:rsidR="00276A9B">
        <w:rPr>
          <w:lang w:val="en-GB"/>
        </w:rPr>
        <w:t xml:space="preserve">The oxidation </w:t>
      </w:r>
      <w:r w:rsidR="00276A9B" w:rsidRPr="00276A9B">
        <w:rPr>
          <w:lang w:val="en-GB"/>
        </w:rPr>
        <w:t xml:space="preserve">potential of </w:t>
      </w:r>
      <w:proofErr w:type="spellStart"/>
      <w:r w:rsidR="00276A9B" w:rsidRPr="00276A9B">
        <w:rPr>
          <w:lang w:val="en-GB"/>
        </w:rPr>
        <w:t>triethylamine</w:t>
      </w:r>
      <w:proofErr w:type="spellEnd"/>
      <w:r w:rsidR="00276A9B">
        <w:rPr>
          <w:lang w:val="en-GB"/>
        </w:rPr>
        <w:t xml:space="preserve"> is much lower than of 1, so it </w:t>
      </w:r>
      <w:r w:rsidR="00276A9B" w:rsidRPr="00276A9B">
        <w:rPr>
          <w:lang w:val="en-GB"/>
        </w:rPr>
        <w:t>will be oxidized first, an</w:t>
      </w:r>
      <w:r w:rsidR="00276A9B">
        <w:rPr>
          <w:lang w:val="en-GB"/>
        </w:rPr>
        <w:t xml:space="preserve">d the starting material remains </w:t>
      </w:r>
      <w:r w:rsidR="00276A9B" w:rsidRPr="00276A9B">
        <w:rPr>
          <w:lang w:val="en-GB"/>
        </w:rPr>
        <w:t>unreacted. The oxidation potent</w:t>
      </w:r>
      <w:r w:rsidR="00276A9B">
        <w:rPr>
          <w:lang w:val="en-GB"/>
        </w:rPr>
        <w:t>ial of 1 after addition of 2,6-</w:t>
      </w:r>
      <w:r w:rsidR="00276A9B" w:rsidRPr="00276A9B">
        <w:rPr>
          <w:lang w:val="en-GB"/>
        </w:rPr>
        <w:t>lutidin</w:t>
      </w:r>
      <w:r w:rsidR="00276A9B">
        <w:rPr>
          <w:lang w:val="en-GB"/>
        </w:rPr>
        <w:t>e remains practically unchanged.</w:t>
      </w:r>
    </w:p>
    <w:p w:rsidR="002F64C3" w:rsidRDefault="00C1136F" w:rsidP="002F64C3">
      <w:pPr>
        <w:rPr>
          <w:highlight w:val="yellow"/>
          <w:lang w:val="en-US" w:eastAsia="it-IT"/>
        </w:rPr>
      </w:pPr>
      <w:r w:rsidRPr="00C1136F">
        <w:rPr>
          <w:noProof/>
          <w:lang w:val="it-IT" w:eastAsia="it-IT"/>
        </w:rPr>
        <w:drawing>
          <wp:inline distT="0" distB="0" distL="0" distR="0">
            <wp:extent cx="3676362" cy="2219325"/>
            <wp:effectExtent l="0" t="0" r="0" b="0"/>
            <wp:docPr id="1" name="Immagine 1" descr="C:\Users\Utente Principale\Desktop\ICHEAP\conversione al variare del catod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tente Principale\Desktop\ICHEAP\conversione al variare del catodo.EMF"/>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3492" t="11520" b="7139"/>
                    <a:stretch/>
                  </pic:blipFill>
                  <pic:spPr bwMode="auto">
                    <a:xfrm>
                      <a:off x="0" y="0"/>
                      <a:ext cx="3693058" cy="2229404"/>
                    </a:xfrm>
                    <a:prstGeom prst="rect">
                      <a:avLst/>
                    </a:prstGeom>
                    <a:noFill/>
                    <a:ln>
                      <a:noFill/>
                    </a:ln>
                    <a:extLst>
                      <a:ext uri="{53640926-AAD7-44D8-BBD7-CCE9431645EC}">
                        <a14:shadowObscured xmlns:a14="http://schemas.microsoft.com/office/drawing/2010/main"/>
                      </a:ext>
                    </a:extLst>
                  </pic:spPr>
                </pic:pic>
              </a:graphicData>
            </a:graphic>
          </wp:inline>
        </w:drawing>
      </w:r>
    </w:p>
    <w:p w:rsidR="00C1136F" w:rsidRDefault="00C1136F" w:rsidP="002F64C3">
      <w:pPr>
        <w:rPr>
          <w:highlight w:val="yellow"/>
          <w:lang w:val="en-US" w:eastAsia="it-IT"/>
        </w:rPr>
      </w:pPr>
    </w:p>
    <w:p w:rsidR="00C1136F" w:rsidRPr="00EB2A7B" w:rsidRDefault="00C1136F" w:rsidP="00AF27F9">
      <w:pPr>
        <w:pStyle w:val="CETCaption"/>
      </w:pPr>
      <w:r w:rsidRPr="00917581">
        <w:t xml:space="preserve">Figure </w:t>
      </w:r>
      <w:r>
        <w:t>3.</w:t>
      </w:r>
      <w:r w:rsidRPr="00917581">
        <w:t xml:space="preserve"> </w:t>
      </w:r>
      <w:r w:rsidR="00D63E1C">
        <w:t xml:space="preserve">Conversion obtained with Pt and </w:t>
      </w:r>
      <w:proofErr w:type="spellStart"/>
      <w:r w:rsidR="00D63E1C">
        <w:t>PtRh</w:t>
      </w:r>
      <w:proofErr w:type="spellEnd"/>
      <w:r w:rsidR="00D63E1C">
        <w:t xml:space="preserve"> electrode</w:t>
      </w:r>
      <w:r w:rsidR="00D0218F">
        <w:t xml:space="preserve"> at 4 </w:t>
      </w:r>
      <w:r w:rsidR="00D0218F" w:rsidRPr="00D0218F">
        <w:t>Fmol</w:t>
      </w:r>
      <w:r w:rsidR="00D0218F" w:rsidRPr="004522A6">
        <w:rPr>
          <w:vertAlign w:val="superscript"/>
        </w:rPr>
        <w:t>-1</w:t>
      </w:r>
    </w:p>
    <w:p w:rsidR="00C1136F" w:rsidRDefault="00021A6B" w:rsidP="002F64C3">
      <w:pPr>
        <w:rPr>
          <w:highlight w:val="yellow"/>
          <w:lang w:val="en-US" w:eastAsia="it-IT"/>
        </w:rPr>
      </w:pPr>
      <w:r w:rsidRPr="00021A6B">
        <w:rPr>
          <w:noProof/>
          <w:lang w:val="it-IT" w:eastAsia="it-IT"/>
        </w:rPr>
        <w:drawing>
          <wp:inline distT="0" distB="0" distL="0" distR="0">
            <wp:extent cx="3764915" cy="2368446"/>
            <wp:effectExtent l="0" t="0" r="0" b="0"/>
            <wp:docPr id="7" name="Immagine 7" descr="C:\Users\Utente Principale\Desktop\ICHEAP\conversione al variare della bas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tente Principale\Desktop\ICHEAP\conversione al variare della base.EMF"/>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3822" t="8983" b="6477"/>
                    <a:stretch/>
                  </pic:blipFill>
                  <pic:spPr bwMode="auto">
                    <a:xfrm>
                      <a:off x="0" y="0"/>
                      <a:ext cx="3826524" cy="2407203"/>
                    </a:xfrm>
                    <a:prstGeom prst="rect">
                      <a:avLst/>
                    </a:prstGeom>
                    <a:noFill/>
                    <a:ln>
                      <a:noFill/>
                    </a:ln>
                    <a:extLst>
                      <a:ext uri="{53640926-AAD7-44D8-BBD7-CCE9431645EC}">
                        <a14:shadowObscured xmlns:a14="http://schemas.microsoft.com/office/drawing/2010/main"/>
                      </a:ext>
                    </a:extLst>
                  </pic:spPr>
                </pic:pic>
              </a:graphicData>
            </a:graphic>
          </wp:inline>
        </w:drawing>
      </w:r>
    </w:p>
    <w:p w:rsidR="00EB2A7B" w:rsidRPr="00EB2A7B" w:rsidRDefault="007F5E01" w:rsidP="00AF27F9">
      <w:pPr>
        <w:pStyle w:val="CETCaption"/>
      </w:pPr>
      <w:r w:rsidRPr="00917581">
        <w:t xml:space="preserve">Figure </w:t>
      </w:r>
      <w:r w:rsidR="001D6854">
        <w:t>4</w:t>
      </w:r>
      <w:r>
        <w:t>.</w:t>
      </w:r>
      <w:r w:rsidRPr="00917581">
        <w:t xml:space="preserve"> </w:t>
      </w:r>
      <w:r w:rsidR="00AF27F9">
        <w:t>Base screening</w:t>
      </w:r>
    </w:p>
    <w:p w:rsidR="007B6483" w:rsidRDefault="002816E4" w:rsidP="007B6483">
      <w:pPr>
        <w:pStyle w:val="CETBodytext"/>
        <w:rPr>
          <w:lang w:val="en-GB"/>
        </w:rPr>
      </w:pPr>
      <w:r>
        <w:rPr>
          <w:lang w:val="en-GB"/>
        </w:rPr>
        <w:lastRenderedPageBreak/>
        <w:t>It was found that to complete the reaction o</w:t>
      </w:r>
      <w:r w:rsidR="007B6483" w:rsidRPr="00DA764B">
        <w:rPr>
          <w:lang w:val="en-GB"/>
        </w:rPr>
        <w:t xml:space="preserve">nly 0.5 </w:t>
      </w:r>
      <w:proofErr w:type="spellStart"/>
      <w:r w:rsidR="007B6483" w:rsidRPr="00DA764B">
        <w:rPr>
          <w:lang w:val="en-GB"/>
        </w:rPr>
        <w:t>equiv</w:t>
      </w:r>
      <w:proofErr w:type="spellEnd"/>
      <w:r w:rsidR="007B6483" w:rsidRPr="00DA764B">
        <w:rPr>
          <w:lang w:val="en-GB"/>
        </w:rPr>
        <w:t xml:space="preserve"> </w:t>
      </w:r>
      <w:r>
        <w:rPr>
          <w:lang w:val="en-GB"/>
        </w:rPr>
        <w:t>o</w:t>
      </w:r>
      <w:r w:rsidR="007B6483" w:rsidRPr="00DA764B">
        <w:rPr>
          <w:lang w:val="en-GB"/>
        </w:rPr>
        <w:t xml:space="preserve">f base </w:t>
      </w:r>
      <w:r>
        <w:rPr>
          <w:lang w:val="en-GB"/>
        </w:rPr>
        <w:t>are</w:t>
      </w:r>
      <w:r w:rsidR="007B6483" w:rsidRPr="00DA764B">
        <w:rPr>
          <w:lang w:val="en-GB"/>
        </w:rPr>
        <w:t xml:space="preserve"> n</w:t>
      </w:r>
      <w:r w:rsidR="007B6483">
        <w:rPr>
          <w:lang w:val="en-GB"/>
        </w:rPr>
        <w:t>eeded</w:t>
      </w:r>
      <w:r>
        <w:rPr>
          <w:lang w:val="en-GB"/>
        </w:rPr>
        <w:t xml:space="preserve">, while complete conversion was not achieved with </w:t>
      </w:r>
      <w:r w:rsidR="007B6483" w:rsidRPr="00DA764B">
        <w:rPr>
          <w:lang w:val="en-GB"/>
        </w:rPr>
        <w:t xml:space="preserve">smaller </w:t>
      </w:r>
      <w:r>
        <w:rPr>
          <w:lang w:val="en-GB"/>
        </w:rPr>
        <w:t>base loading</w:t>
      </w:r>
      <w:r w:rsidR="007B6483" w:rsidRPr="00DA764B">
        <w:rPr>
          <w:lang w:val="en-GB"/>
        </w:rPr>
        <w:t xml:space="preserve">. </w:t>
      </w:r>
      <w:r w:rsidR="000F48F8">
        <w:rPr>
          <w:lang w:val="en-GB"/>
        </w:rPr>
        <w:t>It is worth noting the lower amount of base required for the flow system if compared with batch conditions, while the base can be easily removed through aqueous work-up.</w:t>
      </w:r>
    </w:p>
    <w:p w:rsidR="00600535" w:rsidRPr="00B57B36" w:rsidRDefault="00600535" w:rsidP="00600535">
      <w:pPr>
        <w:pStyle w:val="CETHeading1"/>
        <w:rPr>
          <w:lang w:val="en-GB"/>
        </w:rPr>
      </w:pPr>
      <w:r w:rsidRPr="00B57B36">
        <w:rPr>
          <w:lang w:val="en-GB"/>
        </w:rPr>
        <w:t>Conclusions</w:t>
      </w:r>
    </w:p>
    <w:p w:rsidR="00DA0B31" w:rsidRDefault="001A77DB" w:rsidP="00600535">
      <w:pPr>
        <w:pStyle w:val="CETBodytext"/>
        <w:rPr>
          <w:lang w:val="en-GB"/>
        </w:rPr>
      </w:pPr>
      <w:r>
        <w:rPr>
          <w:lang w:val="en-GB"/>
        </w:rPr>
        <w:t>In this paper, in order to improve the hydro</w:t>
      </w:r>
      <w:r w:rsidR="006323A1">
        <w:rPr>
          <w:lang w:val="en-GB"/>
        </w:rPr>
        <w:t>-</w:t>
      </w:r>
      <w:r>
        <w:rPr>
          <w:lang w:val="en-GB"/>
        </w:rPr>
        <w:t>h</w:t>
      </w:r>
      <w:r w:rsidRPr="001A77DB">
        <w:rPr>
          <w:lang w:val="en-GB"/>
        </w:rPr>
        <w:t>ydroxide</w:t>
      </w:r>
      <w:r>
        <w:rPr>
          <w:lang w:val="en-GB"/>
        </w:rPr>
        <w:t xml:space="preserve"> generation during electrolysis</w:t>
      </w:r>
      <w:r w:rsidRPr="001A77DB">
        <w:rPr>
          <w:lang w:val="en-GB"/>
        </w:rPr>
        <w:t xml:space="preserve"> </w:t>
      </w:r>
      <w:r>
        <w:rPr>
          <w:lang w:val="en-GB"/>
        </w:rPr>
        <w:t>for</w:t>
      </w:r>
      <w:r w:rsidRPr="001A77DB">
        <w:rPr>
          <w:lang w:val="en-GB"/>
        </w:rPr>
        <w:t xml:space="preserve"> carbamate deprotonation process</w:t>
      </w:r>
      <w:r>
        <w:rPr>
          <w:lang w:val="en-GB"/>
        </w:rPr>
        <w:t xml:space="preserve">, </w:t>
      </w:r>
      <w:proofErr w:type="spellStart"/>
      <w:r w:rsidR="00247FD1">
        <w:rPr>
          <w:lang w:val="en-GB"/>
        </w:rPr>
        <w:t>PtRh</w:t>
      </w:r>
      <w:proofErr w:type="spellEnd"/>
      <w:r>
        <w:rPr>
          <w:lang w:val="en-GB"/>
        </w:rPr>
        <w:t xml:space="preserve"> </w:t>
      </w:r>
      <w:proofErr w:type="spellStart"/>
      <w:r>
        <w:rPr>
          <w:lang w:val="en-GB"/>
        </w:rPr>
        <w:t>nanocatalyst</w:t>
      </w:r>
      <w:proofErr w:type="spellEnd"/>
      <w:r w:rsidR="00247FD1" w:rsidRPr="00247FD1">
        <w:rPr>
          <w:lang w:val="en-GB"/>
        </w:rPr>
        <w:t>, by an efficient and facile one pot synthesis process,</w:t>
      </w:r>
      <w:r w:rsidR="00247FD1">
        <w:rPr>
          <w:lang w:val="en-GB"/>
        </w:rPr>
        <w:t xml:space="preserve"> was prepared</w:t>
      </w:r>
      <w:r w:rsidR="00247FD1" w:rsidRPr="00247FD1">
        <w:rPr>
          <w:lang w:val="en-GB"/>
        </w:rPr>
        <w:t>. The formation of a</w:t>
      </w:r>
      <w:r w:rsidR="00247FD1">
        <w:rPr>
          <w:lang w:val="en-GB"/>
        </w:rPr>
        <w:t>n</w:t>
      </w:r>
      <w:r w:rsidR="00247FD1" w:rsidRPr="00247FD1">
        <w:rPr>
          <w:lang w:val="en-GB"/>
        </w:rPr>
        <w:t xml:space="preserve"> </w:t>
      </w:r>
      <w:r w:rsidR="00247FD1">
        <w:rPr>
          <w:lang w:val="en-GB"/>
        </w:rPr>
        <w:t>alloy</w:t>
      </w:r>
      <w:r w:rsidR="00247FD1" w:rsidRPr="00247FD1">
        <w:rPr>
          <w:lang w:val="en-GB"/>
        </w:rPr>
        <w:t xml:space="preserve"> consisting of</w:t>
      </w:r>
      <w:r w:rsidR="00524F6E">
        <w:rPr>
          <w:lang w:val="en-GB"/>
        </w:rPr>
        <w:t xml:space="preserve"> Pt </w:t>
      </w:r>
      <w:r w:rsidR="00247FD1" w:rsidRPr="00247FD1">
        <w:rPr>
          <w:lang w:val="en-GB"/>
        </w:rPr>
        <w:t>and R</w:t>
      </w:r>
      <w:r w:rsidR="00524F6E">
        <w:rPr>
          <w:lang w:val="en-GB"/>
        </w:rPr>
        <w:t>h</w:t>
      </w:r>
      <w:r w:rsidR="00247FD1" w:rsidRPr="00247FD1">
        <w:rPr>
          <w:lang w:val="en-GB"/>
        </w:rPr>
        <w:t xml:space="preserve"> was confirmed by XRD analysis. </w:t>
      </w:r>
      <w:r w:rsidR="00DA0B31">
        <w:rPr>
          <w:lang w:val="en-GB"/>
        </w:rPr>
        <w:t>TEM</w:t>
      </w:r>
      <w:r w:rsidR="00247FD1" w:rsidRPr="00247FD1">
        <w:rPr>
          <w:lang w:val="en-GB"/>
        </w:rPr>
        <w:t xml:space="preserve"> analysis showed </w:t>
      </w:r>
      <w:r w:rsidR="00540377">
        <w:rPr>
          <w:lang w:val="en-GB"/>
        </w:rPr>
        <w:t xml:space="preserve">the formation of </w:t>
      </w:r>
      <w:r w:rsidR="00540377" w:rsidRPr="00540377">
        <w:rPr>
          <w:lang w:val="en-GB"/>
        </w:rPr>
        <w:t>very small nanoparticles with an average diameter of about 1–3 nm. The result of the EDS analysis confirmed a Pt/Rh atomic ratio in line with the percentages of Pt and Rh in the precursors chosen for the synthesis</w:t>
      </w:r>
      <w:r w:rsidR="006323A1">
        <w:rPr>
          <w:lang w:val="en-GB"/>
        </w:rPr>
        <w:t xml:space="preserve">. Complete conversion </w:t>
      </w:r>
      <w:r w:rsidR="006323A1" w:rsidRPr="00DA764B">
        <w:rPr>
          <w:lang w:val="en-GB"/>
        </w:rPr>
        <w:t xml:space="preserve">to </w:t>
      </w:r>
      <w:proofErr w:type="spellStart"/>
      <w:r w:rsidR="006323A1" w:rsidRPr="00DA764B">
        <w:rPr>
          <w:lang w:val="en-GB"/>
        </w:rPr>
        <w:t>isoindolinone</w:t>
      </w:r>
      <w:proofErr w:type="spellEnd"/>
      <w:r w:rsidR="006323A1" w:rsidRPr="00DA764B">
        <w:rPr>
          <w:lang w:val="en-GB"/>
        </w:rPr>
        <w:t xml:space="preserve"> </w:t>
      </w:r>
      <w:r w:rsidR="006323A1">
        <w:rPr>
          <w:lang w:val="en-GB"/>
        </w:rPr>
        <w:t>was found at 4</w:t>
      </w:r>
      <w:r w:rsidR="006323A1" w:rsidRPr="006323A1">
        <w:rPr>
          <w:lang w:val="en-GB"/>
        </w:rPr>
        <w:t xml:space="preserve"> </w:t>
      </w:r>
      <w:r w:rsidR="006323A1">
        <w:rPr>
          <w:lang w:val="en-GB"/>
        </w:rPr>
        <w:t>Fmol</w:t>
      </w:r>
      <w:r w:rsidR="006323A1" w:rsidRPr="001124C0">
        <w:rPr>
          <w:vertAlign w:val="superscript"/>
          <w:lang w:val="en-GB"/>
        </w:rPr>
        <w:t>-1</w:t>
      </w:r>
      <w:r w:rsidR="00497D36">
        <w:rPr>
          <w:lang w:val="en-GB"/>
        </w:rPr>
        <w:t xml:space="preserve"> with the prepared catalyst, which </w:t>
      </w:r>
      <w:r w:rsidR="00AE733C">
        <w:rPr>
          <w:lang w:val="en-GB"/>
        </w:rPr>
        <w:t xml:space="preserve">works </w:t>
      </w:r>
      <w:r w:rsidR="00497D36">
        <w:rPr>
          <w:lang w:val="en-GB"/>
        </w:rPr>
        <w:t>better than Pt cathode</w:t>
      </w:r>
      <w:r w:rsidR="001E223A">
        <w:rPr>
          <w:lang w:val="en-GB"/>
        </w:rPr>
        <w:t>. The role of the base was also explored and elucidated.</w:t>
      </w:r>
    </w:p>
    <w:p w:rsidR="00600535" w:rsidRPr="00B57B36" w:rsidRDefault="00600535" w:rsidP="00600535">
      <w:pPr>
        <w:pStyle w:val="CETReference"/>
      </w:pPr>
      <w:r w:rsidRPr="00B57B36">
        <w:t>References</w:t>
      </w:r>
    </w:p>
    <w:p w:rsidR="00475FD7" w:rsidRDefault="00475FD7" w:rsidP="00574444">
      <w:pPr>
        <w:pStyle w:val="CETReferencetext"/>
      </w:pPr>
      <w:r w:rsidRPr="00C25B3F">
        <w:t>Ali I</w:t>
      </w:r>
      <w:r>
        <w:t>.</w:t>
      </w:r>
      <w:r w:rsidRPr="00C25B3F">
        <w:t xml:space="preserve"> A. I.</w:t>
      </w:r>
      <w:r>
        <w:t xml:space="preserve">, </w:t>
      </w:r>
      <w:r w:rsidRPr="00C25B3F">
        <w:t>2014, Synthesis of 3-substituted N-</w:t>
      </w:r>
      <w:proofErr w:type="spellStart"/>
      <w:r w:rsidRPr="00C25B3F">
        <w:t>allylisoindolinone</w:t>
      </w:r>
      <w:proofErr w:type="spellEnd"/>
      <w:r w:rsidRPr="00C25B3F">
        <w:t xml:space="preserve"> derivatives by the acetate method</w:t>
      </w:r>
      <w:r>
        <w:t xml:space="preserve">, </w:t>
      </w:r>
      <w:proofErr w:type="spellStart"/>
      <w:r w:rsidRPr="00C25B3F">
        <w:t>Monatshefte</w:t>
      </w:r>
      <w:proofErr w:type="spellEnd"/>
      <w:r w:rsidRPr="00C25B3F">
        <w:t xml:space="preserve"> </w:t>
      </w:r>
      <w:proofErr w:type="spellStart"/>
      <w:r w:rsidRPr="00C25B3F">
        <w:t>für</w:t>
      </w:r>
      <w:proofErr w:type="spellEnd"/>
      <w:r w:rsidRPr="00C25B3F">
        <w:t xml:space="preserve"> </w:t>
      </w:r>
      <w:proofErr w:type="spellStart"/>
      <w:r w:rsidRPr="00C25B3F">
        <w:t>Chemie</w:t>
      </w:r>
      <w:proofErr w:type="spellEnd"/>
      <w:r>
        <w:t xml:space="preserve">, </w:t>
      </w:r>
      <w:r w:rsidRPr="00C25B3F">
        <w:t>145, 803–810</w:t>
      </w:r>
      <w:r>
        <w:t>.</w:t>
      </w:r>
    </w:p>
    <w:p w:rsidR="00475FD7" w:rsidRDefault="00475FD7" w:rsidP="00604A75">
      <w:pPr>
        <w:pStyle w:val="CETReferencetext"/>
      </w:pPr>
      <w:r>
        <w:t>Chen</w:t>
      </w:r>
      <w:r w:rsidRPr="00604A75">
        <w:t xml:space="preserve"> </w:t>
      </w:r>
      <w:r>
        <w:t>M., Liu</w:t>
      </w:r>
      <w:r w:rsidRPr="00604A75">
        <w:t xml:space="preserve"> </w:t>
      </w:r>
      <w:r>
        <w:t>J.P., Sun</w:t>
      </w:r>
      <w:r w:rsidRPr="00604A75">
        <w:t xml:space="preserve"> </w:t>
      </w:r>
      <w:r>
        <w:t xml:space="preserve">S., 2004, One-step synthesis of </w:t>
      </w:r>
      <w:proofErr w:type="spellStart"/>
      <w:r>
        <w:t>FePt</w:t>
      </w:r>
      <w:proofErr w:type="spellEnd"/>
      <w:r>
        <w:t xml:space="preserve"> nanoparticles with </w:t>
      </w:r>
      <w:proofErr w:type="spellStart"/>
      <w:r>
        <w:t>tunable</w:t>
      </w:r>
      <w:proofErr w:type="spellEnd"/>
      <w:r>
        <w:t xml:space="preserve"> size, </w:t>
      </w:r>
      <w:r w:rsidRPr="00604A75">
        <w:t>Journal of</w:t>
      </w:r>
      <w:r>
        <w:t xml:space="preserve"> the American Chemical Society, 126, 8394–8395.</w:t>
      </w:r>
    </w:p>
    <w:p w:rsidR="00475FD7" w:rsidRDefault="00475FD7" w:rsidP="00032B85">
      <w:pPr>
        <w:pStyle w:val="CETReferencetext"/>
      </w:pPr>
      <w:proofErr w:type="spellStart"/>
      <w:r w:rsidRPr="005E5FFF">
        <w:t>Csende</w:t>
      </w:r>
      <w:proofErr w:type="spellEnd"/>
      <w:r w:rsidRPr="002D2EDE">
        <w:t xml:space="preserve"> </w:t>
      </w:r>
      <w:r w:rsidRPr="005E5FFF">
        <w:t>F</w:t>
      </w:r>
      <w:r>
        <w:t>.</w:t>
      </w:r>
      <w:r w:rsidRPr="005E5FFF">
        <w:t xml:space="preserve">, </w:t>
      </w:r>
      <w:proofErr w:type="spellStart"/>
      <w:r w:rsidRPr="005E5FFF">
        <w:t>Stajer</w:t>
      </w:r>
      <w:proofErr w:type="spellEnd"/>
      <w:r w:rsidRPr="002D2EDE">
        <w:t xml:space="preserve"> </w:t>
      </w:r>
      <w:r w:rsidRPr="005E5FFF">
        <w:t>G</w:t>
      </w:r>
      <w:r>
        <w:t>., 2005,</w:t>
      </w:r>
      <w:r w:rsidRPr="005E5FFF">
        <w:t xml:space="preserve"> Approaches to the Formation of Condensed </w:t>
      </w:r>
      <w:proofErr w:type="spellStart"/>
      <w:r w:rsidRPr="005E5FFF">
        <w:t>Isoindolones</w:t>
      </w:r>
      <w:proofErr w:type="spellEnd"/>
      <w:r>
        <w:t xml:space="preserve">, </w:t>
      </w:r>
      <w:r w:rsidRPr="0099631B">
        <w:t>Current Organic Chemistry</w:t>
      </w:r>
      <w:r>
        <w:t xml:space="preserve">, 9, </w:t>
      </w:r>
      <w:r w:rsidRPr="0099631B">
        <w:t>1261</w:t>
      </w:r>
      <w:r w:rsidRPr="0083641C">
        <w:t>–</w:t>
      </w:r>
      <w:r w:rsidRPr="0099631B">
        <w:t>1276</w:t>
      </w:r>
      <w:r>
        <w:t>.</w:t>
      </w:r>
    </w:p>
    <w:p w:rsidR="00475FD7" w:rsidRDefault="00475FD7" w:rsidP="00574444">
      <w:pPr>
        <w:pStyle w:val="CETReferencetext"/>
      </w:pPr>
      <w:r w:rsidRPr="00574444">
        <w:t>Enders D</w:t>
      </w:r>
      <w:r>
        <w:t>.</w:t>
      </w:r>
      <w:r w:rsidRPr="00574444">
        <w:t xml:space="preserve">, </w:t>
      </w:r>
      <w:proofErr w:type="spellStart"/>
      <w:r w:rsidRPr="00574444">
        <w:t>Braig</w:t>
      </w:r>
      <w:proofErr w:type="spellEnd"/>
      <w:r w:rsidRPr="00574444">
        <w:t xml:space="preserve"> V</w:t>
      </w:r>
      <w:r>
        <w:t>.</w:t>
      </w:r>
      <w:r w:rsidRPr="00574444">
        <w:t xml:space="preserve">, </w:t>
      </w:r>
      <w:proofErr w:type="spellStart"/>
      <w:r w:rsidRPr="00574444">
        <w:t>Raabe</w:t>
      </w:r>
      <w:proofErr w:type="spellEnd"/>
      <w:r w:rsidRPr="00574444">
        <w:t xml:space="preserve"> G</w:t>
      </w:r>
      <w:r>
        <w:t xml:space="preserve">., </w:t>
      </w:r>
      <w:r w:rsidRPr="00574444">
        <w:t>2001,</w:t>
      </w:r>
      <w:r>
        <w:t xml:space="preserve"> Asymmetric synthesis of 3-aryl-substituted 2,3-dihydro-1H-isoindol-1-ones, </w:t>
      </w:r>
      <w:r w:rsidRPr="00574444">
        <w:t>Canadian Journal of Chemistry, 79</w:t>
      </w:r>
      <w:r>
        <w:t>,</w:t>
      </w:r>
      <w:r w:rsidRPr="00574444">
        <w:t xml:space="preserve"> 1528</w:t>
      </w:r>
      <w:r w:rsidRPr="0083641C">
        <w:t>–</w:t>
      </w:r>
      <w:r w:rsidRPr="00574444">
        <w:t>1535</w:t>
      </w:r>
      <w:r>
        <w:t>.</w:t>
      </w:r>
    </w:p>
    <w:p w:rsidR="00475FD7" w:rsidRPr="00E4322C" w:rsidRDefault="00475FD7" w:rsidP="00E4322C">
      <w:pPr>
        <w:pStyle w:val="CETReferencetext"/>
      </w:pPr>
      <w:r w:rsidRPr="00E4322C">
        <w:t>G</w:t>
      </w:r>
      <w:r>
        <w:t>.</w:t>
      </w:r>
      <w:r w:rsidRPr="00E4322C">
        <w:t xml:space="preserve"> Yang</w:t>
      </w:r>
      <w:r>
        <w:t>,</w:t>
      </w:r>
      <w:r w:rsidRPr="00E4322C">
        <w:t xml:space="preserve"> W</w:t>
      </w:r>
      <w:r>
        <w:t>.</w:t>
      </w:r>
      <w:r w:rsidRPr="00E4322C">
        <w:t xml:space="preserve"> Zhang</w:t>
      </w:r>
      <w:r>
        <w:t xml:space="preserve">, </w:t>
      </w:r>
      <w:r w:rsidRPr="00E4322C">
        <w:t>2012,</w:t>
      </w:r>
      <w:r>
        <w:t xml:space="preserve"> </w:t>
      </w:r>
      <w:proofErr w:type="spellStart"/>
      <w:r w:rsidRPr="00E4322C">
        <w:t>Regioselective</w:t>
      </w:r>
      <w:proofErr w:type="spellEnd"/>
      <w:r w:rsidRPr="00E4322C">
        <w:t xml:space="preserve"> </w:t>
      </w:r>
      <w:proofErr w:type="spellStart"/>
      <w:r w:rsidRPr="00E4322C">
        <w:t>Pd-Catalyzed</w:t>
      </w:r>
      <w:proofErr w:type="spellEnd"/>
      <w:r w:rsidRPr="00E4322C">
        <w:t xml:space="preserve"> Aerobic Aza-Wacker Cyclization for Preparation of </w:t>
      </w:r>
      <w:proofErr w:type="spellStart"/>
      <w:r w:rsidRPr="00E4322C">
        <w:t>Isoindolinones</w:t>
      </w:r>
      <w:proofErr w:type="spellEnd"/>
      <w:r w:rsidRPr="00E4322C">
        <w:t xml:space="preserve"> and Isoquinolin-1(2H)-ones</w:t>
      </w:r>
      <w:r>
        <w:t xml:space="preserve">, </w:t>
      </w:r>
      <w:r w:rsidRPr="00E4322C">
        <w:t>Organic Letters</w:t>
      </w:r>
      <w:r>
        <w:t>, 14,</w:t>
      </w:r>
      <w:r w:rsidRPr="00E4322C">
        <w:t xml:space="preserve"> 268-271</w:t>
      </w:r>
      <w:r>
        <w:t>.</w:t>
      </w:r>
    </w:p>
    <w:p w:rsidR="00475FD7" w:rsidRPr="000D56D6" w:rsidRDefault="00475FD7" w:rsidP="00354CD7">
      <w:pPr>
        <w:pStyle w:val="CETReferencetext"/>
      </w:pPr>
      <w:proofErr w:type="spellStart"/>
      <w:r w:rsidRPr="00053CE7">
        <w:t>Gurau</w:t>
      </w:r>
      <w:proofErr w:type="spellEnd"/>
      <w:r w:rsidRPr="00354CD7">
        <w:t xml:space="preserve"> </w:t>
      </w:r>
      <w:r w:rsidRPr="00053CE7">
        <w:t>B., Viswanathan</w:t>
      </w:r>
      <w:r w:rsidRPr="00354CD7">
        <w:t xml:space="preserve"> </w:t>
      </w:r>
      <w:r w:rsidRPr="00053CE7">
        <w:t>R., Liu</w:t>
      </w:r>
      <w:r w:rsidRPr="00354CD7">
        <w:t xml:space="preserve"> </w:t>
      </w:r>
      <w:r w:rsidRPr="00053CE7">
        <w:t xml:space="preserve">R., </w:t>
      </w:r>
      <w:proofErr w:type="spellStart"/>
      <w:r w:rsidRPr="00053CE7">
        <w:t>Lafrenz</w:t>
      </w:r>
      <w:proofErr w:type="spellEnd"/>
      <w:r w:rsidRPr="00354CD7">
        <w:t xml:space="preserve"> </w:t>
      </w:r>
      <w:r w:rsidRPr="00053CE7">
        <w:t>T.J., Ley</w:t>
      </w:r>
      <w:r w:rsidRPr="00354CD7">
        <w:t xml:space="preserve"> </w:t>
      </w:r>
      <w:r w:rsidRPr="00053CE7">
        <w:t xml:space="preserve">K.L., </w:t>
      </w:r>
      <w:proofErr w:type="spellStart"/>
      <w:r w:rsidRPr="00053CE7">
        <w:t>Smotkin</w:t>
      </w:r>
      <w:proofErr w:type="spellEnd"/>
      <w:r w:rsidRPr="00354CD7">
        <w:t xml:space="preserve"> </w:t>
      </w:r>
      <w:r w:rsidRPr="00053CE7">
        <w:t>E.S.</w:t>
      </w:r>
      <w:r>
        <w:t xml:space="preserve">, 1998, Structural </w:t>
      </w:r>
      <w:r w:rsidRPr="00053CE7">
        <w:t>and electrochemical characterization of binary, t</w:t>
      </w:r>
      <w:r>
        <w:t xml:space="preserve">ernary, and quaternary platinum </w:t>
      </w:r>
      <w:r w:rsidRPr="00053CE7">
        <w:t>alloy catalysts for methanol electro-oxidati</w:t>
      </w:r>
      <w:r>
        <w:t xml:space="preserve">on, </w:t>
      </w:r>
      <w:r w:rsidRPr="00354CD7">
        <w:t>Journal of Physical Chemistry B</w:t>
      </w:r>
      <w:r>
        <w:t>,</w:t>
      </w:r>
      <w:r w:rsidRPr="00354CD7">
        <w:t xml:space="preserve"> </w:t>
      </w:r>
      <w:r>
        <w:t xml:space="preserve">102, </w:t>
      </w:r>
      <w:r w:rsidRPr="00053CE7">
        <w:t>9997–10003.</w:t>
      </w:r>
    </w:p>
    <w:p w:rsidR="00475FD7" w:rsidRDefault="00475FD7" w:rsidP="003F7EB0">
      <w:pPr>
        <w:pStyle w:val="CETReferencetext"/>
      </w:pPr>
      <w:r w:rsidRPr="003F7EB0">
        <w:t>Horn E</w:t>
      </w:r>
      <w:r>
        <w:t>.</w:t>
      </w:r>
      <w:r w:rsidRPr="003F7EB0">
        <w:t xml:space="preserve"> J., </w:t>
      </w:r>
      <w:r>
        <w:t>Rosen</w:t>
      </w:r>
      <w:r w:rsidRPr="003F7EB0">
        <w:t xml:space="preserve"> B</w:t>
      </w:r>
      <w:r>
        <w:t xml:space="preserve">. R., </w:t>
      </w:r>
      <w:proofErr w:type="spellStart"/>
      <w:r>
        <w:t>Baran</w:t>
      </w:r>
      <w:proofErr w:type="spellEnd"/>
      <w:r w:rsidRPr="003F7EB0">
        <w:t xml:space="preserve"> </w:t>
      </w:r>
      <w:r>
        <w:t xml:space="preserve">P. S., </w:t>
      </w:r>
      <w:r w:rsidRPr="003F7EB0">
        <w:t>2016,</w:t>
      </w:r>
      <w:r>
        <w:t xml:space="preserve"> </w:t>
      </w:r>
      <w:r w:rsidRPr="003F7EB0">
        <w:t>Synthetic Organic Electrochemistry: An Enabling and Innately Sustainable Method</w:t>
      </w:r>
      <w:r>
        <w:t xml:space="preserve">, </w:t>
      </w:r>
      <w:r w:rsidRPr="00A41C39">
        <w:t>ACS Central Science</w:t>
      </w:r>
      <w:r>
        <w:t xml:space="preserve">, 2, </w:t>
      </w:r>
      <w:r w:rsidRPr="003F7EB0">
        <w:t>302–308</w:t>
      </w:r>
      <w:r>
        <w:t>.</w:t>
      </w:r>
    </w:p>
    <w:p w:rsidR="00475FD7" w:rsidRDefault="00475FD7" w:rsidP="00032B85">
      <w:pPr>
        <w:pStyle w:val="CETReferencetext"/>
      </w:pPr>
      <w:r w:rsidRPr="006C70C9">
        <w:t>Hunter R</w:t>
      </w:r>
      <w:r>
        <w:t xml:space="preserve">., </w:t>
      </w:r>
      <w:r w:rsidRPr="006C70C9">
        <w:t>Richards P</w:t>
      </w:r>
      <w:r>
        <w:t>.,</w:t>
      </w:r>
      <w:r w:rsidRPr="006C70C9">
        <w:t xml:space="preserve"> 2003,</w:t>
      </w:r>
      <w:r>
        <w:t xml:space="preserve"> </w:t>
      </w:r>
      <w:proofErr w:type="spellStart"/>
      <w:r w:rsidRPr="006C70C9">
        <w:t>Stereoselective</w:t>
      </w:r>
      <w:proofErr w:type="spellEnd"/>
      <w:r w:rsidRPr="006C70C9">
        <w:t xml:space="preserve"> </w:t>
      </w:r>
      <w:proofErr w:type="spellStart"/>
      <w:r w:rsidRPr="006C70C9">
        <w:t>tetrapyrido</w:t>
      </w:r>
      <w:proofErr w:type="spellEnd"/>
      <w:r w:rsidRPr="006C70C9">
        <w:t>[2,1-a]</w:t>
      </w:r>
      <w:proofErr w:type="spellStart"/>
      <w:r w:rsidRPr="006C70C9">
        <w:t>isoindolone</w:t>
      </w:r>
      <w:proofErr w:type="spellEnd"/>
      <w:r w:rsidRPr="006C70C9">
        <w:t xml:space="preserve"> synthesis via </w:t>
      </w:r>
      <w:proofErr w:type="spellStart"/>
      <w:r w:rsidRPr="006C70C9">
        <w:t>carbanionic</w:t>
      </w:r>
      <w:proofErr w:type="spellEnd"/>
      <w:r w:rsidRPr="006C70C9">
        <w:t xml:space="preserve"> and radical intermediates: a model study for the </w:t>
      </w:r>
      <w:proofErr w:type="spellStart"/>
      <w:r w:rsidRPr="006C70C9">
        <w:t>Tacaman</w:t>
      </w:r>
      <w:proofErr w:type="spellEnd"/>
      <w:r w:rsidRPr="006C70C9">
        <w:t xml:space="preserve"> alkaloid D/E ring fusion</w:t>
      </w:r>
      <w:r>
        <w:t xml:space="preserve">, </w:t>
      </w:r>
      <w:r w:rsidRPr="000203AF">
        <w:t>Organic &amp; Biomolecular Chemistry</w:t>
      </w:r>
      <w:r>
        <w:t xml:space="preserve">, </w:t>
      </w:r>
      <w:r w:rsidRPr="006C70C9">
        <w:t>1, 2348</w:t>
      </w:r>
      <w:r w:rsidRPr="0083641C">
        <w:t>–</w:t>
      </w:r>
      <w:r w:rsidRPr="006C70C9">
        <w:t>2356</w:t>
      </w:r>
      <w:r>
        <w:t>.</w:t>
      </w:r>
    </w:p>
    <w:p w:rsidR="00475FD7" w:rsidRDefault="00475FD7" w:rsidP="00574444">
      <w:pPr>
        <w:pStyle w:val="CETReferencetext"/>
      </w:pPr>
      <w:proofErr w:type="spellStart"/>
      <w:r>
        <w:t>Kise</w:t>
      </w:r>
      <w:proofErr w:type="spellEnd"/>
      <w:r w:rsidRPr="0057771B">
        <w:t xml:space="preserve"> </w:t>
      </w:r>
      <w:r>
        <w:t>N.</w:t>
      </w:r>
      <w:r w:rsidRPr="0057771B">
        <w:t>, Kawano Y</w:t>
      </w:r>
      <w:r>
        <w:t>.</w:t>
      </w:r>
      <w:r w:rsidRPr="0057771B">
        <w:t>, Sakurai T</w:t>
      </w:r>
      <w:r>
        <w:t xml:space="preserve">., </w:t>
      </w:r>
      <w:r w:rsidRPr="00502F56">
        <w:t xml:space="preserve">2013, Reductive Coupling of </w:t>
      </w:r>
      <w:proofErr w:type="spellStart"/>
      <w:r w:rsidRPr="00502F56">
        <w:t>Phthalimides</w:t>
      </w:r>
      <w:proofErr w:type="spellEnd"/>
      <w:r w:rsidRPr="00502F56">
        <w:t xml:space="preserve"> with Ketones and Aldehydes by Low-Valent Titanium: One-Pot Synthesis of Alkylideneisoindolin-1-ones</w:t>
      </w:r>
      <w:r>
        <w:t xml:space="preserve">, </w:t>
      </w:r>
      <w:r w:rsidRPr="00502F56">
        <w:t>The Journal of Organic Chemistry</w:t>
      </w:r>
      <w:r>
        <w:t xml:space="preserve">, </w:t>
      </w:r>
      <w:r w:rsidRPr="00502F56">
        <w:t>78, 12453</w:t>
      </w:r>
      <w:r w:rsidRPr="0083641C">
        <w:t>–</w:t>
      </w:r>
      <w:r w:rsidRPr="00502F56">
        <w:t>12459</w:t>
      </w:r>
      <w:r>
        <w:t>.</w:t>
      </w:r>
    </w:p>
    <w:p w:rsidR="00475FD7" w:rsidRDefault="00475FD7" w:rsidP="006B4888">
      <w:pPr>
        <w:pStyle w:val="CETReferencetext"/>
      </w:pPr>
      <w:proofErr w:type="spellStart"/>
      <w:r w:rsidRPr="00604A75">
        <w:t>Mourdikoudis</w:t>
      </w:r>
      <w:proofErr w:type="spellEnd"/>
      <w:r w:rsidRPr="00604A75">
        <w:t xml:space="preserve"> S., Liz-</w:t>
      </w:r>
      <w:proofErr w:type="spellStart"/>
      <w:r w:rsidRPr="00604A75">
        <w:t>Marzán</w:t>
      </w:r>
      <w:proofErr w:type="spellEnd"/>
      <w:r w:rsidRPr="00604A75">
        <w:t xml:space="preserve"> L.M., 2013, Oleylamine in nanoparticle synthesis, Chemistry of Materials, 25, 1465–1476.</w:t>
      </w:r>
    </w:p>
    <w:p w:rsidR="00475FD7" w:rsidRDefault="00475FD7" w:rsidP="006F2524">
      <w:pPr>
        <w:pStyle w:val="CETReferencetext"/>
      </w:pPr>
      <w:proofErr w:type="spellStart"/>
      <w:r w:rsidRPr="00053CE7">
        <w:t>Quaino</w:t>
      </w:r>
      <w:proofErr w:type="spellEnd"/>
      <w:r w:rsidRPr="00053CE7">
        <w:t xml:space="preserve"> P., Juarez F., Santos E., </w:t>
      </w:r>
      <w:proofErr w:type="spellStart"/>
      <w:r w:rsidRPr="00053CE7">
        <w:t>Schmickler</w:t>
      </w:r>
      <w:proofErr w:type="spellEnd"/>
      <w:r w:rsidRPr="00053CE7">
        <w:t xml:space="preserve"> W.</w:t>
      </w:r>
      <w:r>
        <w:t xml:space="preserve">, </w:t>
      </w:r>
      <w:r w:rsidRPr="00053CE7">
        <w:t>2014</w:t>
      </w:r>
      <w:r>
        <w:t xml:space="preserve">, Volcano plots in hydrogen </w:t>
      </w:r>
      <w:proofErr w:type="spellStart"/>
      <w:r w:rsidRPr="00053CE7">
        <w:t>electrocatalysis</w:t>
      </w:r>
      <w:proofErr w:type="spellEnd"/>
      <w:r w:rsidRPr="00053CE7">
        <w:t xml:space="preserve"> – uses and abuses, </w:t>
      </w:r>
      <w:proofErr w:type="spellStart"/>
      <w:r w:rsidRPr="00053CE7">
        <w:t>Beilstein</w:t>
      </w:r>
      <w:proofErr w:type="spellEnd"/>
      <w:r w:rsidRPr="00053CE7">
        <w:t xml:space="preserve"> Journal of Nanotechnology</w:t>
      </w:r>
      <w:r>
        <w:t>,</w:t>
      </w:r>
      <w:r w:rsidRPr="00053CE7">
        <w:t xml:space="preserve"> </w:t>
      </w:r>
      <w:r>
        <w:t>5,</w:t>
      </w:r>
      <w:r w:rsidRPr="00053CE7">
        <w:t xml:space="preserve"> 846–</w:t>
      </w:r>
      <w:r>
        <w:t>854.</w:t>
      </w:r>
    </w:p>
    <w:p w:rsidR="00475FD7" w:rsidRDefault="00475FD7" w:rsidP="00EA02DD">
      <w:pPr>
        <w:pStyle w:val="CETReferencetext"/>
      </w:pPr>
      <w:proofErr w:type="spellStart"/>
      <w:r>
        <w:t>Sarno</w:t>
      </w:r>
      <w:proofErr w:type="spellEnd"/>
      <w:r>
        <w:t xml:space="preserve"> M., </w:t>
      </w:r>
      <w:proofErr w:type="spellStart"/>
      <w:r>
        <w:t>Cirillo</w:t>
      </w:r>
      <w:proofErr w:type="spellEnd"/>
      <w:r>
        <w:t xml:space="preserve"> C., </w:t>
      </w:r>
      <w:proofErr w:type="spellStart"/>
      <w:r>
        <w:t>Ponticorvo</w:t>
      </w:r>
      <w:proofErr w:type="spellEnd"/>
      <w:r>
        <w:t xml:space="preserve"> E., Ciambelli P., 2015a, Synthesis and Characterization of Mo</w:t>
      </w:r>
      <w:r w:rsidRPr="001C1CBD">
        <w:rPr>
          <w:vertAlign w:val="subscript"/>
        </w:rPr>
        <w:t>2</w:t>
      </w:r>
      <w:r>
        <w:t>C/MoO</w:t>
      </w:r>
      <w:r w:rsidRPr="001C1CBD">
        <w:rPr>
          <w:vertAlign w:val="subscript"/>
        </w:rPr>
        <w:t>3</w:t>
      </w:r>
      <w:r>
        <w:t xml:space="preserve"> </w:t>
      </w:r>
      <w:proofErr w:type="spellStart"/>
      <w:r>
        <w:t>Nanohybrid</w:t>
      </w:r>
      <w:proofErr w:type="spellEnd"/>
      <w:r>
        <w:t xml:space="preserve"> as </w:t>
      </w:r>
      <w:proofErr w:type="spellStart"/>
      <w:r>
        <w:t>Electrocatalyst</w:t>
      </w:r>
      <w:proofErr w:type="spellEnd"/>
      <w:r>
        <w:t xml:space="preserve"> for Hydrogen Evolution Reaction, Chemical Engineering Transactions, 43, 943–948 DOI: 10.3303/CET1543158</w:t>
      </w:r>
    </w:p>
    <w:p w:rsidR="00475FD7" w:rsidRDefault="00475FD7" w:rsidP="009B27A3">
      <w:pPr>
        <w:pStyle w:val="CETReferencetext"/>
      </w:pPr>
      <w:proofErr w:type="spellStart"/>
      <w:r>
        <w:t>Sarno</w:t>
      </w:r>
      <w:proofErr w:type="spellEnd"/>
      <w:r>
        <w:t xml:space="preserve"> M., </w:t>
      </w:r>
      <w:proofErr w:type="spellStart"/>
      <w:r>
        <w:t>Cirillo</w:t>
      </w:r>
      <w:proofErr w:type="spellEnd"/>
      <w:r>
        <w:t xml:space="preserve"> C., </w:t>
      </w:r>
      <w:proofErr w:type="spellStart"/>
      <w:r>
        <w:t>Ponticorvo</w:t>
      </w:r>
      <w:proofErr w:type="spellEnd"/>
      <w:r>
        <w:t xml:space="preserve"> E., Ciambelli P., 2015b, Synthesis and Characterization of FLG/Fe</w:t>
      </w:r>
      <w:r w:rsidRPr="009B27A3">
        <w:rPr>
          <w:vertAlign w:val="subscript"/>
        </w:rPr>
        <w:t>3</w:t>
      </w:r>
      <w:r>
        <w:t>O</w:t>
      </w:r>
      <w:r w:rsidRPr="009B27A3">
        <w:rPr>
          <w:vertAlign w:val="subscript"/>
        </w:rPr>
        <w:t>4</w:t>
      </w:r>
      <w:r>
        <w:t xml:space="preserve"> </w:t>
      </w:r>
      <w:proofErr w:type="spellStart"/>
      <w:r>
        <w:t>Nanohybrid</w:t>
      </w:r>
      <w:proofErr w:type="spellEnd"/>
      <w:r>
        <w:t xml:space="preserve"> Supercapacitor, Chemical Engineering Transactions, 43, 272–735 DOI: 10.3303/CET1543122</w:t>
      </w:r>
    </w:p>
    <w:p w:rsidR="00475FD7" w:rsidRDefault="00475FD7" w:rsidP="00032B85">
      <w:pPr>
        <w:pStyle w:val="CETReferencetext"/>
      </w:pPr>
      <w:proofErr w:type="spellStart"/>
      <w:r>
        <w:t>Sarno</w:t>
      </w:r>
      <w:proofErr w:type="spellEnd"/>
      <w:r>
        <w:t xml:space="preserve"> M., </w:t>
      </w:r>
      <w:proofErr w:type="spellStart"/>
      <w:r>
        <w:t>Ponticorvo</w:t>
      </w:r>
      <w:proofErr w:type="spellEnd"/>
      <w:r>
        <w:t xml:space="preserve"> E., </w:t>
      </w:r>
      <w:r w:rsidRPr="0083641C">
        <w:t>2018</w:t>
      </w:r>
      <w:r>
        <w:t>a, Continuous flow HER and MOR evaluation of a new Pt/</w:t>
      </w:r>
      <w:proofErr w:type="spellStart"/>
      <w:r>
        <w:t>Pd</w:t>
      </w:r>
      <w:proofErr w:type="spellEnd"/>
      <w:r>
        <w:t xml:space="preserve">/Co </w:t>
      </w:r>
      <w:proofErr w:type="spellStart"/>
      <w:r>
        <w:t>nano</w:t>
      </w:r>
      <w:proofErr w:type="spellEnd"/>
      <w:r>
        <w:t xml:space="preserve"> </w:t>
      </w:r>
      <w:proofErr w:type="spellStart"/>
      <w:r>
        <w:t>electrocatalyst</w:t>
      </w:r>
      <w:proofErr w:type="spellEnd"/>
      <w:r>
        <w:t xml:space="preserve">, </w:t>
      </w:r>
      <w:r w:rsidRPr="0083641C">
        <w:t>Applied Surface Science</w:t>
      </w:r>
      <w:r>
        <w:t xml:space="preserve">, 459, </w:t>
      </w:r>
      <w:r w:rsidRPr="0083641C">
        <w:t>105–113</w:t>
      </w:r>
      <w:r>
        <w:t>.</w:t>
      </w:r>
    </w:p>
    <w:p w:rsidR="00475FD7" w:rsidRDefault="00475FD7" w:rsidP="00C60772">
      <w:pPr>
        <w:pStyle w:val="CETReferencetext"/>
      </w:pPr>
      <w:proofErr w:type="spellStart"/>
      <w:r>
        <w:t>Sarno</w:t>
      </w:r>
      <w:proofErr w:type="spellEnd"/>
      <w:r>
        <w:t xml:space="preserve"> M., </w:t>
      </w:r>
      <w:proofErr w:type="spellStart"/>
      <w:r>
        <w:t>Ponticorvo</w:t>
      </w:r>
      <w:proofErr w:type="spellEnd"/>
      <w:r>
        <w:t xml:space="preserve"> E., </w:t>
      </w:r>
      <w:r w:rsidRPr="0083641C">
        <w:t>201</w:t>
      </w:r>
      <w:r>
        <w:t>9, High hydrogen production rate on RuS</w:t>
      </w:r>
      <w:r w:rsidRPr="004C3830">
        <w:rPr>
          <w:vertAlign w:val="subscript"/>
        </w:rPr>
        <w:t>2</w:t>
      </w:r>
      <w:r>
        <w:t>@MoS</w:t>
      </w:r>
      <w:r w:rsidRPr="004C3830">
        <w:rPr>
          <w:vertAlign w:val="subscript"/>
        </w:rPr>
        <w:t>2</w:t>
      </w:r>
      <w:r>
        <w:t xml:space="preserve"> hybrid </w:t>
      </w:r>
      <w:proofErr w:type="spellStart"/>
      <w:r>
        <w:t>nanocatalyst</w:t>
      </w:r>
      <w:proofErr w:type="spellEnd"/>
      <w:r>
        <w:t xml:space="preserve"> by PEM electrolysis, </w:t>
      </w:r>
      <w:r w:rsidRPr="00A8639F">
        <w:t>International Journal of Hydrogen Energy</w:t>
      </w:r>
      <w:r>
        <w:t>, 44, 439</w:t>
      </w:r>
      <w:r w:rsidRPr="00A8639F">
        <w:t>8</w:t>
      </w:r>
      <w:r w:rsidRPr="0083641C">
        <w:t>–</w:t>
      </w:r>
      <w:r>
        <w:t>440</w:t>
      </w:r>
      <w:r w:rsidRPr="00A8639F">
        <w:t>5</w:t>
      </w:r>
      <w:r>
        <w:t>.</w:t>
      </w:r>
    </w:p>
    <w:p w:rsidR="00475FD7" w:rsidRDefault="00475FD7" w:rsidP="000B620A">
      <w:pPr>
        <w:pStyle w:val="CETReferencetext"/>
      </w:pPr>
      <w:proofErr w:type="spellStart"/>
      <w:r>
        <w:t>Sarno</w:t>
      </w:r>
      <w:proofErr w:type="spellEnd"/>
      <w:r>
        <w:t xml:space="preserve"> M., </w:t>
      </w:r>
      <w:proofErr w:type="spellStart"/>
      <w:r>
        <w:t>Ponticorvo</w:t>
      </w:r>
      <w:proofErr w:type="spellEnd"/>
      <w:r>
        <w:t xml:space="preserve"> E., </w:t>
      </w:r>
      <w:proofErr w:type="spellStart"/>
      <w:r>
        <w:t>Cirillo</w:t>
      </w:r>
      <w:proofErr w:type="spellEnd"/>
      <w:r>
        <w:t xml:space="preserve"> C., Ciambelli P., 2016, </w:t>
      </w:r>
      <w:r w:rsidRPr="000B620A">
        <w:t>Magnetic Nanoparticles for PAHs Solid Phase Extraction</w:t>
      </w:r>
      <w:r>
        <w:t xml:space="preserve">, </w:t>
      </w:r>
      <w:r w:rsidRPr="000B620A">
        <w:t>Chemical Engineering Transactions, 47, 313-318 DOI: 10.3303/CET1647053</w:t>
      </w:r>
    </w:p>
    <w:p w:rsidR="00475FD7" w:rsidRDefault="00475FD7" w:rsidP="006D1AF7">
      <w:pPr>
        <w:pStyle w:val="CETReferencetext"/>
      </w:pPr>
      <w:proofErr w:type="spellStart"/>
      <w:r>
        <w:t>Sarno</w:t>
      </w:r>
      <w:proofErr w:type="spellEnd"/>
      <w:r>
        <w:t xml:space="preserve"> M., </w:t>
      </w:r>
      <w:proofErr w:type="spellStart"/>
      <w:r>
        <w:t>Ponticorvo</w:t>
      </w:r>
      <w:proofErr w:type="spellEnd"/>
      <w:r>
        <w:t xml:space="preserve"> E., </w:t>
      </w:r>
      <w:proofErr w:type="spellStart"/>
      <w:r>
        <w:t>Scarpa</w:t>
      </w:r>
      <w:proofErr w:type="spellEnd"/>
      <w:r>
        <w:t xml:space="preserve"> D., </w:t>
      </w:r>
      <w:r w:rsidRPr="0083641C">
        <w:t>201</w:t>
      </w:r>
      <w:r>
        <w:t>8b</w:t>
      </w:r>
      <w:r>
        <w:t xml:space="preserve">, </w:t>
      </w:r>
      <w:proofErr w:type="spellStart"/>
      <w:r w:rsidRPr="006D1AF7">
        <w:t>PtRh</w:t>
      </w:r>
      <w:proofErr w:type="spellEnd"/>
      <w:r w:rsidRPr="006D1AF7">
        <w:t xml:space="preserve"> and </w:t>
      </w:r>
      <w:proofErr w:type="spellStart"/>
      <w:r w:rsidRPr="006D1AF7">
        <w:t>PtRh</w:t>
      </w:r>
      <w:proofErr w:type="spellEnd"/>
      <w:r w:rsidRPr="006D1AF7">
        <w:t>/MoS</w:t>
      </w:r>
      <w:r w:rsidRPr="006D1AF7">
        <w:rPr>
          <w:vertAlign w:val="subscript"/>
        </w:rPr>
        <w:t>2</w:t>
      </w:r>
      <w:r w:rsidRPr="006D1AF7">
        <w:t xml:space="preserve"> </w:t>
      </w:r>
      <w:proofErr w:type="spellStart"/>
      <w:r w:rsidRPr="006D1AF7">
        <w:t>nano-electrocatalysts</w:t>
      </w:r>
      <w:proofErr w:type="spellEnd"/>
      <w:r w:rsidRPr="006D1AF7">
        <w:t xml:space="preserve"> for methanol oxidation and hydrogen evolution reactions</w:t>
      </w:r>
      <w:r>
        <w:t xml:space="preserve">, </w:t>
      </w:r>
      <w:r w:rsidRPr="006D1AF7">
        <w:t>Chemical Engineering Journal</w:t>
      </w:r>
      <w:r>
        <w:t xml:space="preserve">, </w:t>
      </w:r>
      <w:r w:rsidRPr="006D1AF7">
        <w:rPr>
          <w:i/>
        </w:rPr>
        <w:t>in press</w:t>
      </w:r>
      <w:r>
        <w:t xml:space="preserve"> </w:t>
      </w:r>
      <w:r w:rsidRPr="000B620A">
        <w:t>DOI:</w:t>
      </w:r>
      <w:r>
        <w:t xml:space="preserve"> </w:t>
      </w:r>
      <w:r w:rsidRPr="006D1AF7">
        <w:t>10.1016/j.cej.2018.12.060</w:t>
      </w:r>
      <w:r>
        <w:t>.</w:t>
      </w:r>
    </w:p>
    <w:p w:rsidR="00475FD7" w:rsidRDefault="00475FD7" w:rsidP="006F2524">
      <w:pPr>
        <w:pStyle w:val="CETReferencetext"/>
      </w:pPr>
      <w:proofErr w:type="spellStart"/>
      <w:r w:rsidRPr="005E5FFF">
        <w:t>Stajer</w:t>
      </w:r>
      <w:proofErr w:type="spellEnd"/>
      <w:r w:rsidRPr="002D2EDE">
        <w:t xml:space="preserve"> </w:t>
      </w:r>
      <w:r w:rsidRPr="005E5FFF">
        <w:t>G</w:t>
      </w:r>
      <w:r>
        <w:t xml:space="preserve">., </w:t>
      </w:r>
      <w:proofErr w:type="spellStart"/>
      <w:r w:rsidRPr="005E5FFF">
        <w:t>Csende</w:t>
      </w:r>
      <w:proofErr w:type="spellEnd"/>
      <w:r w:rsidRPr="002D2EDE">
        <w:t xml:space="preserve"> </w:t>
      </w:r>
      <w:r w:rsidRPr="005E5FFF">
        <w:t>F</w:t>
      </w:r>
      <w:r>
        <w:t>.</w:t>
      </w:r>
      <w:r w:rsidRPr="005E5FFF">
        <w:t xml:space="preserve">, </w:t>
      </w:r>
      <w:r>
        <w:t>2005,</w:t>
      </w:r>
      <w:r w:rsidRPr="005E5FFF">
        <w:t xml:space="preserve"> </w:t>
      </w:r>
      <w:r w:rsidRPr="00F140A6">
        <w:t>Advanced Methods for the Synthesis of 3-Substituted 1H-Isoindol-1-Ones</w:t>
      </w:r>
      <w:r>
        <w:t xml:space="preserve">, </w:t>
      </w:r>
      <w:r w:rsidRPr="0099631B">
        <w:t>Current Organic Chemistry</w:t>
      </w:r>
      <w:r>
        <w:t xml:space="preserve">, 9, </w:t>
      </w:r>
      <w:r w:rsidRPr="0099631B">
        <w:t>12</w:t>
      </w:r>
      <w:r>
        <w:t>77</w:t>
      </w:r>
      <w:r w:rsidRPr="0083641C">
        <w:t>–</w:t>
      </w:r>
      <w:r w:rsidRPr="0099631B">
        <w:t>12</w:t>
      </w:r>
      <w:r>
        <w:t>8</w:t>
      </w:r>
      <w:r w:rsidRPr="0099631B">
        <w:t>6</w:t>
      </w:r>
      <w:r>
        <w:t>.</w:t>
      </w:r>
    </w:p>
    <w:p w:rsidR="00475FD7" w:rsidRDefault="00475FD7" w:rsidP="001E11ED">
      <w:pPr>
        <w:pStyle w:val="CETReferencetext"/>
      </w:pPr>
      <w:r>
        <w:t>Van Santen</w:t>
      </w:r>
      <w:r w:rsidRPr="001E11ED">
        <w:t xml:space="preserve"> </w:t>
      </w:r>
      <w:r>
        <w:t xml:space="preserve">R.A., De </w:t>
      </w:r>
      <w:proofErr w:type="spellStart"/>
      <w:r>
        <w:t>Koster</w:t>
      </w:r>
      <w:proofErr w:type="spellEnd"/>
      <w:r w:rsidRPr="001E11ED">
        <w:t xml:space="preserve"> </w:t>
      </w:r>
      <w:r>
        <w:t>A., Koerts</w:t>
      </w:r>
      <w:r w:rsidRPr="001E11ED">
        <w:t xml:space="preserve"> </w:t>
      </w:r>
      <w:r>
        <w:t>T., 1990, The quantum chemical basis of the Fischer-</w:t>
      </w:r>
      <w:proofErr w:type="spellStart"/>
      <w:r>
        <w:t>Tropsch</w:t>
      </w:r>
      <w:proofErr w:type="spellEnd"/>
      <w:r>
        <w:t xml:space="preserve"> reaction, </w:t>
      </w:r>
      <w:r w:rsidRPr="001E11ED">
        <w:t>Catalysis Letters</w:t>
      </w:r>
      <w:r>
        <w:t>, 7, 1–14.</w:t>
      </w:r>
    </w:p>
    <w:p w:rsidR="00475FD7" w:rsidRDefault="00475FD7" w:rsidP="00AF27F9">
      <w:pPr>
        <w:pStyle w:val="CETReferencetext"/>
      </w:pPr>
      <w:r w:rsidRPr="00894E7A">
        <w:t>Washburn E. W., 1926</w:t>
      </w:r>
      <w:r>
        <w:t xml:space="preserve">, </w:t>
      </w:r>
      <w:r w:rsidRPr="00894E7A">
        <w:t>International Critical Tables of Numerical Data, Physics, Chemistry and Technology, National Academy of Sciences, McGraw Hill, New York</w:t>
      </w:r>
      <w:r>
        <w:t>.</w:t>
      </w:r>
    </w:p>
    <w:sectPr w:rsidR="00475FD7" w:rsidSect="0077098D">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0B6" w:rsidRDefault="00E610B6" w:rsidP="004F5E36">
      <w:r>
        <w:separator/>
      </w:r>
    </w:p>
  </w:endnote>
  <w:endnote w:type="continuationSeparator" w:id="0">
    <w:p w:rsidR="00E610B6" w:rsidRDefault="00E610B6"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AdvPS_TTR">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0B6" w:rsidRDefault="00E610B6" w:rsidP="004F5E36">
      <w:r>
        <w:separator/>
      </w:r>
    </w:p>
  </w:footnote>
  <w:footnote w:type="continuationSeparator" w:id="0">
    <w:p w:rsidR="00E610B6" w:rsidRDefault="00E610B6" w:rsidP="004F5E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7">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6"/>
  </w:num>
  <w:num w:numId="13">
    <w:abstractNumId w:val="12"/>
  </w:num>
  <w:num w:numId="14">
    <w:abstractNumId w:val="17"/>
  </w:num>
  <w:num w:numId="15">
    <w:abstractNumId w:val="19"/>
  </w:num>
  <w:num w:numId="16">
    <w:abstractNumId w:val="18"/>
  </w:num>
  <w:num w:numId="17">
    <w:abstractNumId w:val="11"/>
  </w:num>
  <w:num w:numId="18">
    <w:abstractNumId w:val="12"/>
    <w:lvlOverride w:ilvl="0">
      <w:startOverride w:val="1"/>
    </w:lvlOverride>
  </w:num>
  <w:num w:numId="19">
    <w:abstractNumId w:val="15"/>
  </w:num>
  <w:num w:numId="20">
    <w:abstractNumId w:val="14"/>
  </w:num>
  <w:num w:numId="21">
    <w:abstractNumId w:val="13"/>
  </w:num>
  <w:num w:numId="22">
    <w:abstractNumId w:val="1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LockTheme/>
  <w:styleLockQFSet/>
  <w:defaultTabStop w:val="708"/>
  <w:hyphenationZone w:val="283"/>
  <w:clickAndTypeStyle w:val="CETBodytext"/>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47E3"/>
    <w:rsid w:val="000052FB"/>
    <w:rsid w:val="00010F40"/>
    <w:rsid w:val="000117CB"/>
    <w:rsid w:val="000203AF"/>
    <w:rsid w:val="00021A6B"/>
    <w:rsid w:val="0003148D"/>
    <w:rsid w:val="00032B85"/>
    <w:rsid w:val="00043DFB"/>
    <w:rsid w:val="00047D7F"/>
    <w:rsid w:val="00051566"/>
    <w:rsid w:val="000523E4"/>
    <w:rsid w:val="00053CE7"/>
    <w:rsid w:val="0005474E"/>
    <w:rsid w:val="000560F4"/>
    <w:rsid w:val="00062A9A"/>
    <w:rsid w:val="00065058"/>
    <w:rsid w:val="000663BC"/>
    <w:rsid w:val="00070212"/>
    <w:rsid w:val="00070B21"/>
    <w:rsid w:val="00086C39"/>
    <w:rsid w:val="0009369D"/>
    <w:rsid w:val="000A03B2"/>
    <w:rsid w:val="000A3B79"/>
    <w:rsid w:val="000A6C3B"/>
    <w:rsid w:val="000B620A"/>
    <w:rsid w:val="000C6855"/>
    <w:rsid w:val="000C7643"/>
    <w:rsid w:val="000D34BE"/>
    <w:rsid w:val="000E102F"/>
    <w:rsid w:val="000E36F1"/>
    <w:rsid w:val="000E3A73"/>
    <w:rsid w:val="000E414A"/>
    <w:rsid w:val="000F093C"/>
    <w:rsid w:val="000F16BD"/>
    <w:rsid w:val="000F31AE"/>
    <w:rsid w:val="000F48F8"/>
    <w:rsid w:val="000F787B"/>
    <w:rsid w:val="00100E23"/>
    <w:rsid w:val="001124C0"/>
    <w:rsid w:val="00117153"/>
    <w:rsid w:val="0012091F"/>
    <w:rsid w:val="00126BC2"/>
    <w:rsid w:val="00126CCE"/>
    <w:rsid w:val="001308B6"/>
    <w:rsid w:val="00130FE1"/>
    <w:rsid w:val="0013121F"/>
    <w:rsid w:val="00131FAB"/>
    <w:rsid w:val="00131FE6"/>
    <w:rsid w:val="0013263F"/>
    <w:rsid w:val="00134DE4"/>
    <w:rsid w:val="0014034D"/>
    <w:rsid w:val="00140696"/>
    <w:rsid w:val="00150E59"/>
    <w:rsid w:val="00152DE3"/>
    <w:rsid w:val="001603E7"/>
    <w:rsid w:val="00162642"/>
    <w:rsid w:val="00163686"/>
    <w:rsid w:val="00164CF9"/>
    <w:rsid w:val="00184AD6"/>
    <w:rsid w:val="001A77DB"/>
    <w:rsid w:val="001B0349"/>
    <w:rsid w:val="001B65C1"/>
    <w:rsid w:val="001B7558"/>
    <w:rsid w:val="001B7E5C"/>
    <w:rsid w:val="001B7EBA"/>
    <w:rsid w:val="001C684B"/>
    <w:rsid w:val="001D53FC"/>
    <w:rsid w:val="001D6854"/>
    <w:rsid w:val="001E11ED"/>
    <w:rsid w:val="001E223A"/>
    <w:rsid w:val="001E3C22"/>
    <w:rsid w:val="001F42A5"/>
    <w:rsid w:val="001F7B9D"/>
    <w:rsid w:val="00202C80"/>
    <w:rsid w:val="002224B4"/>
    <w:rsid w:val="0023330A"/>
    <w:rsid w:val="0023798C"/>
    <w:rsid w:val="002447EF"/>
    <w:rsid w:val="00247FD1"/>
    <w:rsid w:val="00251550"/>
    <w:rsid w:val="00252C1A"/>
    <w:rsid w:val="00254FE9"/>
    <w:rsid w:val="002618CF"/>
    <w:rsid w:val="00263B05"/>
    <w:rsid w:val="0027221A"/>
    <w:rsid w:val="00275B61"/>
    <w:rsid w:val="0027638B"/>
    <w:rsid w:val="00276A9B"/>
    <w:rsid w:val="002816E4"/>
    <w:rsid w:val="00282656"/>
    <w:rsid w:val="00296B83"/>
    <w:rsid w:val="002B7322"/>
    <w:rsid w:val="002B78CE"/>
    <w:rsid w:val="002C1FEE"/>
    <w:rsid w:val="002C2FB6"/>
    <w:rsid w:val="002D2EDE"/>
    <w:rsid w:val="002D45A5"/>
    <w:rsid w:val="002D5BCD"/>
    <w:rsid w:val="002D76B9"/>
    <w:rsid w:val="002F3FBF"/>
    <w:rsid w:val="002F64C3"/>
    <w:rsid w:val="003009B7"/>
    <w:rsid w:val="00300E56"/>
    <w:rsid w:val="0030469C"/>
    <w:rsid w:val="003055A5"/>
    <w:rsid w:val="0031331C"/>
    <w:rsid w:val="00321CA6"/>
    <w:rsid w:val="00323BDE"/>
    <w:rsid w:val="00334C09"/>
    <w:rsid w:val="003365E3"/>
    <w:rsid w:val="00353BA3"/>
    <w:rsid w:val="00354CD7"/>
    <w:rsid w:val="00357642"/>
    <w:rsid w:val="003658F6"/>
    <w:rsid w:val="003674E1"/>
    <w:rsid w:val="0036799E"/>
    <w:rsid w:val="003723D4"/>
    <w:rsid w:val="00377B63"/>
    <w:rsid w:val="00384CC8"/>
    <w:rsid w:val="003871FD"/>
    <w:rsid w:val="003953F5"/>
    <w:rsid w:val="003A1E30"/>
    <w:rsid w:val="003A7363"/>
    <w:rsid w:val="003A7D1C"/>
    <w:rsid w:val="003B11F0"/>
    <w:rsid w:val="003B204D"/>
    <w:rsid w:val="003B304B"/>
    <w:rsid w:val="003B3146"/>
    <w:rsid w:val="003B60F3"/>
    <w:rsid w:val="003D0C4E"/>
    <w:rsid w:val="003D4DD5"/>
    <w:rsid w:val="003D69C1"/>
    <w:rsid w:val="003F015E"/>
    <w:rsid w:val="003F7EB0"/>
    <w:rsid w:val="00400414"/>
    <w:rsid w:val="0040600A"/>
    <w:rsid w:val="0041446B"/>
    <w:rsid w:val="004162FE"/>
    <w:rsid w:val="00432B72"/>
    <w:rsid w:val="0043633B"/>
    <w:rsid w:val="0044329C"/>
    <w:rsid w:val="00444EA4"/>
    <w:rsid w:val="004522A6"/>
    <w:rsid w:val="0045705B"/>
    <w:rsid w:val="004577FE"/>
    <w:rsid w:val="00457B9C"/>
    <w:rsid w:val="0046164A"/>
    <w:rsid w:val="00461DA9"/>
    <w:rsid w:val="004628D2"/>
    <w:rsid w:val="00462DCD"/>
    <w:rsid w:val="004648AD"/>
    <w:rsid w:val="004703A9"/>
    <w:rsid w:val="004737B8"/>
    <w:rsid w:val="00475FD7"/>
    <w:rsid w:val="004760DE"/>
    <w:rsid w:val="00476D1F"/>
    <w:rsid w:val="00485713"/>
    <w:rsid w:val="00490FC2"/>
    <w:rsid w:val="00497D36"/>
    <w:rsid w:val="004A004E"/>
    <w:rsid w:val="004A24CF"/>
    <w:rsid w:val="004B3227"/>
    <w:rsid w:val="004B6721"/>
    <w:rsid w:val="004C3D1D"/>
    <w:rsid w:val="004C7913"/>
    <w:rsid w:val="004E0F77"/>
    <w:rsid w:val="004E2120"/>
    <w:rsid w:val="004E4DD6"/>
    <w:rsid w:val="004F5E36"/>
    <w:rsid w:val="00502F56"/>
    <w:rsid w:val="00507B47"/>
    <w:rsid w:val="00507CC9"/>
    <w:rsid w:val="005119A5"/>
    <w:rsid w:val="00522DA7"/>
    <w:rsid w:val="00524F6E"/>
    <w:rsid w:val="005278B7"/>
    <w:rsid w:val="00532016"/>
    <w:rsid w:val="005323DE"/>
    <w:rsid w:val="005346C8"/>
    <w:rsid w:val="00540377"/>
    <w:rsid w:val="00543E7D"/>
    <w:rsid w:val="00546B05"/>
    <w:rsid w:val="00547A68"/>
    <w:rsid w:val="00550FFE"/>
    <w:rsid w:val="005531C9"/>
    <w:rsid w:val="00574444"/>
    <w:rsid w:val="0057771B"/>
    <w:rsid w:val="005B2110"/>
    <w:rsid w:val="005B61E6"/>
    <w:rsid w:val="005C25DB"/>
    <w:rsid w:val="005C77E1"/>
    <w:rsid w:val="005D06FC"/>
    <w:rsid w:val="005D6A2F"/>
    <w:rsid w:val="005E1A82"/>
    <w:rsid w:val="005E5FFF"/>
    <w:rsid w:val="005E794C"/>
    <w:rsid w:val="005F0A28"/>
    <w:rsid w:val="005F0E5E"/>
    <w:rsid w:val="005F4DF1"/>
    <w:rsid w:val="00600535"/>
    <w:rsid w:val="00604A75"/>
    <w:rsid w:val="00610CD6"/>
    <w:rsid w:val="00613FA3"/>
    <w:rsid w:val="00620DEE"/>
    <w:rsid w:val="00621F92"/>
    <w:rsid w:val="00623366"/>
    <w:rsid w:val="00625639"/>
    <w:rsid w:val="00631B33"/>
    <w:rsid w:val="006323A1"/>
    <w:rsid w:val="0064184D"/>
    <w:rsid w:val="006422CC"/>
    <w:rsid w:val="00660E3E"/>
    <w:rsid w:val="00662E74"/>
    <w:rsid w:val="006651A3"/>
    <w:rsid w:val="00667BDD"/>
    <w:rsid w:val="00680C23"/>
    <w:rsid w:val="00693766"/>
    <w:rsid w:val="006A3281"/>
    <w:rsid w:val="006A37F5"/>
    <w:rsid w:val="006B4888"/>
    <w:rsid w:val="006C2E45"/>
    <w:rsid w:val="006C359C"/>
    <w:rsid w:val="006C4742"/>
    <w:rsid w:val="006C5579"/>
    <w:rsid w:val="006C70C9"/>
    <w:rsid w:val="006D1AF7"/>
    <w:rsid w:val="006E737D"/>
    <w:rsid w:val="006F2524"/>
    <w:rsid w:val="0070195D"/>
    <w:rsid w:val="0071099E"/>
    <w:rsid w:val="00720A24"/>
    <w:rsid w:val="00722F0F"/>
    <w:rsid w:val="00723D78"/>
    <w:rsid w:val="00723E44"/>
    <w:rsid w:val="00724CF2"/>
    <w:rsid w:val="00732386"/>
    <w:rsid w:val="007447F3"/>
    <w:rsid w:val="0075499F"/>
    <w:rsid w:val="0076594E"/>
    <w:rsid w:val="007661C8"/>
    <w:rsid w:val="007672ED"/>
    <w:rsid w:val="0077098D"/>
    <w:rsid w:val="0078097A"/>
    <w:rsid w:val="00783918"/>
    <w:rsid w:val="007931FA"/>
    <w:rsid w:val="007A7BBA"/>
    <w:rsid w:val="007B0A58"/>
    <w:rsid w:val="007B0C50"/>
    <w:rsid w:val="007B6483"/>
    <w:rsid w:val="007C11B7"/>
    <w:rsid w:val="007C1A43"/>
    <w:rsid w:val="007E1DC6"/>
    <w:rsid w:val="007F28C4"/>
    <w:rsid w:val="007F5E01"/>
    <w:rsid w:val="00813288"/>
    <w:rsid w:val="008168FC"/>
    <w:rsid w:val="00830996"/>
    <w:rsid w:val="008345F1"/>
    <w:rsid w:val="00837A10"/>
    <w:rsid w:val="00853D71"/>
    <w:rsid w:val="00865B07"/>
    <w:rsid w:val="008667EA"/>
    <w:rsid w:val="00867B0C"/>
    <w:rsid w:val="0087060D"/>
    <w:rsid w:val="0087637F"/>
    <w:rsid w:val="008904B9"/>
    <w:rsid w:val="00892AD5"/>
    <w:rsid w:val="00892EEC"/>
    <w:rsid w:val="00894E7A"/>
    <w:rsid w:val="008A013A"/>
    <w:rsid w:val="008A1512"/>
    <w:rsid w:val="008C1A84"/>
    <w:rsid w:val="008C37D1"/>
    <w:rsid w:val="008C78C1"/>
    <w:rsid w:val="008D32B9"/>
    <w:rsid w:val="008D433B"/>
    <w:rsid w:val="008E566E"/>
    <w:rsid w:val="008E75E0"/>
    <w:rsid w:val="008E77A1"/>
    <w:rsid w:val="00900BAD"/>
    <w:rsid w:val="0090161A"/>
    <w:rsid w:val="00901EB6"/>
    <w:rsid w:val="00904C62"/>
    <w:rsid w:val="00924DAC"/>
    <w:rsid w:val="00925D66"/>
    <w:rsid w:val="00927058"/>
    <w:rsid w:val="00941231"/>
    <w:rsid w:val="009450CE"/>
    <w:rsid w:val="00947179"/>
    <w:rsid w:val="00950A35"/>
    <w:rsid w:val="00950E00"/>
    <w:rsid w:val="0095164B"/>
    <w:rsid w:val="0095191A"/>
    <w:rsid w:val="0095238A"/>
    <w:rsid w:val="009524CF"/>
    <w:rsid w:val="00953098"/>
    <w:rsid w:val="00954090"/>
    <w:rsid w:val="009573E7"/>
    <w:rsid w:val="009635B9"/>
    <w:rsid w:val="00963E05"/>
    <w:rsid w:val="00967D54"/>
    <w:rsid w:val="00983F1B"/>
    <w:rsid w:val="00992EF4"/>
    <w:rsid w:val="0099631B"/>
    <w:rsid w:val="00996483"/>
    <w:rsid w:val="00996F5A"/>
    <w:rsid w:val="0099725E"/>
    <w:rsid w:val="009A0A3E"/>
    <w:rsid w:val="009B041A"/>
    <w:rsid w:val="009B27A3"/>
    <w:rsid w:val="009C7C86"/>
    <w:rsid w:val="009D2FF7"/>
    <w:rsid w:val="009D6AF5"/>
    <w:rsid w:val="009E7884"/>
    <w:rsid w:val="009E788A"/>
    <w:rsid w:val="009F0E08"/>
    <w:rsid w:val="009F66D0"/>
    <w:rsid w:val="00A13D77"/>
    <w:rsid w:val="00A1763D"/>
    <w:rsid w:val="00A17CEC"/>
    <w:rsid w:val="00A26E1F"/>
    <w:rsid w:val="00A27EF0"/>
    <w:rsid w:val="00A41C39"/>
    <w:rsid w:val="00A435FE"/>
    <w:rsid w:val="00A50B20"/>
    <w:rsid w:val="00A50BCB"/>
    <w:rsid w:val="00A51390"/>
    <w:rsid w:val="00A51C4E"/>
    <w:rsid w:val="00A605D9"/>
    <w:rsid w:val="00A60D13"/>
    <w:rsid w:val="00A72745"/>
    <w:rsid w:val="00A760DB"/>
    <w:rsid w:val="00A76EBA"/>
    <w:rsid w:val="00A76EFC"/>
    <w:rsid w:val="00A9100F"/>
    <w:rsid w:val="00A91010"/>
    <w:rsid w:val="00A97271"/>
    <w:rsid w:val="00A97F29"/>
    <w:rsid w:val="00AA560E"/>
    <w:rsid w:val="00AA702E"/>
    <w:rsid w:val="00AB0964"/>
    <w:rsid w:val="00AB5011"/>
    <w:rsid w:val="00AC7368"/>
    <w:rsid w:val="00AD16B9"/>
    <w:rsid w:val="00AD61A2"/>
    <w:rsid w:val="00AE377D"/>
    <w:rsid w:val="00AE6D0C"/>
    <w:rsid w:val="00AE733C"/>
    <w:rsid w:val="00AE7F87"/>
    <w:rsid w:val="00AF27F9"/>
    <w:rsid w:val="00AF670E"/>
    <w:rsid w:val="00B10BDC"/>
    <w:rsid w:val="00B1142A"/>
    <w:rsid w:val="00B17FBD"/>
    <w:rsid w:val="00B315A6"/>
    <w:rsid w:val="00B31813"/>
    <w:rsid w:val="00B32D74"/>
    <w:rsid w:val="00B33365"/>
    <w:rsid w:val="00B42AF6"/>
    <w:rsid w:val="00B44696"/>
    <w:rsid w:val="00B57B36"/>
    <w:rsid w:val="00B8686D"/>
    <w:rsid w:val="00B92CA9"/>
    <w:rsid w:val="00B93664"/>
    <w:rsid w:val="00BB2141"/>
    <w:rsid w:val="00BC30C9"/>
    <w:rsid w:val="00BC3636"/>
    <w:rsid w:val="00BC3F1A"/>
    <w:rsid w:val="00BC4551"/>
    <w:rsid w:val="00BE03FF"/>
    <w:rsid w:val="00BE1FA6"/>
    <w:rsid w:val="00BE3E58"/>
    <w:rsid w:val="00BE7BD7"/>
    <w:rsid w:val="00C01616"/>
    <w:rsid w:val="00C0162B"/>
    <w:rsid w:val="00C021A9"/>
    <w:rsid w:val="00C02AE4"/>
    <w:rsid w:val="00C02CF9"/>
    <w:rsid w:val="00C1136F"/>
    <w:rsid w:val="00C25B3F"/>
    <w:rsid w:val="00C345B1"/>
    <w:rsid w:val="00C40142"/>
    <w:rsid w:val="00C57182"/>
    <w:rsid w:val="00C57863"/>
    <w:rsid w:val="00C60772"/>
    <w:rsid w:val="00C655FD"/>
    <w:rsid w:val="00C80FE8"/>
    <w:rsid w:val="00C870A8"/>
    <w:rsid w:val="00C87AD8"/>
    <w:rsid w:val="00C94434"/>
    <w:rsid w:val="00CA0D75"/>
    <w:rsid w:val="00CA1C95"/>
    <w:rsid w:val="00CA215A"/>
    <w:rsid w:val="00CA5A9C"/>
    <w:rsid w:val="00CB4F2F"/>
    <w:rsid w:val="00CD3517"/>
    <w:rsid w:val="00CD47D4"/>
    <w:rsid w:val="00CD5A00"/>
    <w:rsid w:val="00CD5FE2"/>
    <w:rsid w:val="00CE7044"/>
    <w:rsid w:val="00CE7C68"/>
    <w:rsid w:val="00CF1DA3"/>
    <w:rsid w:val="00D0218F"/>
    <w:rsid w:val="00D02B4C"/>
    <w:rsid w:val="00D040C4"/>
    <w:rsid w:val="00D108CB"/>
    <w:rsid w:val="00D30CAA"/>
    <w:rsid w:val="00D3142B"/>
    <w:rsid w:val="00D3537D"/>
    <w:rsid w:val="00D360F9"/>
    <w:rsid w:val="00D51459"/>
    <w:rsid w:val="00D57C84"/>
    <w:rsid w:val="00D6057D"/>
    <w:rsid w:val="00D63E1C"/>
    <w:rsid w:val="00D84576"/>
    <w:rsid w:val="00D9219A"/>
    <w:rsid w:val="00DA0B31"/>
    <w:rsid w:val="00DA1399"/>
    <w:rsid w:val="00DA24C6"/>
    <w:rsid w:val="00DA4D7B"/>
    <w:rsid w:val="00DA764B"/>
    <w:rsid w:val="00DE264A"/>
    <w:rsid w:val="00DF32D4"/>
    <w:rsid w:val="00DF7E8B"/>
    <w:rsid w:val="00E02D18"/>
    <w:rsid w:val="00E041E7"/>
    <w:rsid w:val="00E05C77"/>
    <w:rsid w:val="00E07782"/>
    <w:rsid w:val="00E23CA1"/>
    <w:rsid w:val="00E26995"/>
    <w:rsid w:val="00E409A8"/>
    <w:rsid w:val="00E4322C"/>
    <w:rsid w:val="00E50C12"/>
    <w:rsid w:val="00E610B6"/>
    <w:rsid w:val="00E65B91"/>
    <w:rsid w:val="00E7209D"/>
    <w:rsid w:val="00E77223"/>
    <w:rsid w:val="00E82286"/>
    <w:rsid w:val="00E8528B"/>
    <w:rsid w:val="00E85B94"/>
    <w:rsid w:val="00E978D0"/>
    <w:rsid w:val="00EA02DD"/>
    <w:rsid w:val="00EA08C4"/>
    <w:rsid w:val="00EA4613"/>
    <w:rsid w:val="00EA7F91"/>
    <w:rsid w:val="00EB1523"/>
    <w:rsid w:val="00EB2A7B"/>
    <w:rsid w:val="00EC0E49"/>
    <w:rsid w:val="00ED5516"/>
    <w:rsid w:val="00ED7564"/>
    <w:rsid w:val="00EE0131"/>
    <w:rsid w:val="00EE0A0C"/>
    <w:rsid w:val="00EE24F1"/>
    <w:rsid w:val="00EF1FBA"/>
    <w:rsid w:val="00EF1FEE"/>
    <w:rsid w:val="00F03D39"/>
    <w:rsid w:val="00F140A6"/>
    <w:rsid w:val="00F155B2"/>
    <w:rsid w:val="00F26408"/>
    <w:rsid w:val="00F30C64"/>
    <w:rsid w:val="00F32CDB"/>
    <w:rsid w:val="00F63A70"/>
    <w:rsid w:val="00F66C4C"/>
    <w:rsid w:val="00F8055F"/>
    <w:rsid w:val="00F834BB"/>
    <w:rsid w:val="00F91654"/>
    <w:rsid w:val="00F92928"/>
    <w:rsid w:val="00F94D03"/>
    <w:rsid w:val="00FA0F51"/>
    <w:rsid w:val="00FA21D0"/>
    <w:rsid w:val="00FA5F5F"/>
    <w:rsid w:val="00FB25CA"/>
    <w:rsid w:val="00FB3B88"/>
    <w:rsid w:val="00FB68D1"/>
    <w:rsid w:val="00FB730C"/>
    <w:rsid w:val="00FC2695"/>
    <w:rsid w:val="00FC3E03"/>
    <w:rsid w:val="00FC3FC1"/>
    <w:rsid w:val="00FD7686"/>
    <w:rsid w:val="00FE2A97"/>
    <w:rsid w:val="00FE7A01"/>
  </w:rsids>
  <m:mathPr>
    <m:mathFont m:val="Cambria Math"/>
    <m:brkBin m:val="before"/>
    <m:brkBinSub m:val="--"/>
    <m:smallFrac/>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locked="1"/>
    <w:lsdException w:name="Title" w:semiHidden="0" w:uiPriority="10" w:unhideWhenUsed="0"/>
    <w:lsdException w:name="Default Paragraph Font" w:uiPriority="1"/>
    <w:lsdException w:name="Subtitle" w:semiHidden="0" w:uiPriority="11" w:unhideWhenUsed="0"/>
    <w:lsdException w:name="Hyperlink" w:locked="1"/>
    <w:lsdException w:name="Strong" w:semiHidden="0" w:uiPriority="22" w:unhideWhenUsed="0"/>
    <w:lsdException w:name="Emphasis" w:semiHidden="0" w:uiPriority="20" w:unhideWhenUsed="0"/>
    <w:lsdException w:name="Table Simple 1"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9E788A"/>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9E788A"/>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252C1A"/>
    <w:pPr>
      <w:numPr>
        <w:ilvl w:val="0"/>
        <w:numId w:val="0"/>
      </w:numPr>
      <w:spacing w:after="0"/>
    </w:pPr>
  </w:style>
  <w:style w:type="character" w:customStyle="1" w:styleId="CETHeadingxxChar">
    <w:name w:val="CET Headingxx Char"/>
    <w:basedOn w:val="CETheadingxCarattere"/>
    <w:link w:val="CETHeadingxx"/>
    <w:rsid w:val="00252C1A"/>
    <w:rPr>
      <w:rFonts w:ascii="Arial" w:eastAsia="Times New Roman" w:hAnsi="Arial" w:cs="Times New Roman"/>
      <w:b/>
      <w:sz w:val="18"/>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locked="1"/>
    <w:lsdException w:name="Title" w:semiHidden="0" w:uiPriority="10" w:unhideWhenUsed="0"/>
    <w:lsdException w:name="Default Paragraph Font" w:uiPriority="1"/>
    <w:lsdException w:name="Subtitle" w:semiHidden="0" w:uiPriority="11" w:unhideWhenUsed="0"/>
    <w:lsdException w:name="Hyperlink" w:locked="1"/>
    <w:lsdException w:name="Strong" w:semiHidden="0" w:uiPriority="22" w:unhideWhenUsed="0"/>
    <w:lsdException w:name="Emphasis" w:semiHidden="0" w:uiPriority="20" w:unhideWhenUsed="0"/>
    <w:lsdException w:name="Table Simple 1"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9E788A"/>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9E788A"/>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252C1A"/>
    <w:pPr>
      <w:numPr>
        <w:ilvl w:val="0"/>
        <w:numId w:val="0"/>
      </w:numPr>
      <w:spacing w:after="0"/>
    </w:pPr>
  </w:style>
  <w:style w:type="character" w:customStyle="1" w:styleId="CETHeadingxxChar">
    <w:name w:val="CET Headingxx Char"/>
    <w:basedOn w:val="CETheadingxCarattere"/>
    <w:link w:val="CETHeadingxx"/>
    <w:rsid w:val="00252C1A"/>
    <w:rPr>
      <w:rFonts w:ascii="Arial" w:eastAsia="Times New Roman" w:hAnsi="Arial" w:cs="Times New Roman"/>
      <w:b/>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035883">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400279">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99873">
      <w:bodyDiv w:val="1"/>
      <w:marLeft w:val="0"/>
      <w:marRight w:val="0"/>
      <w:marTop w:val="0"/>
      <w:marBottom w:val="0"/>
      <w:divBdr>
        <w:top w:val="none" w:sz="0" w:space="0" w:color="auto"/>
        <w:left w:val="none" w:sz="0" w:space="0" w:color="auto"/>
        <w:bottom w:val="none" w:sz="0" w:space="0" w:color="auto"/>
        <w:right w:val="none" w:sz="0" w:space="0" w:color="auto"/>
      </w:divBdr>
      <w:divsChild>
        <w:div w:id="578053317">
          <w:marLeft w:val="0"/>
          <w:marRight w:val="0"/>
          <w:marTop w:val="0"/>
          <w:marBottom w:val="0"/>
          <w:divBdr>
            <w:top w:val="none" w:sz="0" w:space="0" w:color="auto"/>
            <w:left w:val="none" w:sz="0" w:space="0" w:color="auto"/>
            <w:bottom w:val="none" w:sz="0" w:space="0" w:color="auto"/>
            <w:right w:val="none" w:sz="0" w:space="0" w:color="auto"/>
          </w:divBdr>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sarno@unisa.it" TargetMode="External"/><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image" Target="media/image2.jpeg"/><Relationship Id="rId19" Type="http://schemas.openxmlformats.org/officeDocument/2006/relationships/image" Target="media/image9.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85761-C5E9-4D7D-8B89-8A35DA6AC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6</Pages>
  <Words>2569</Words>
  <Characters>14645</Characters>
  <Application>Microsoft Office Word</Application>
  <DocSecurity>0</DocSecurity>
  <Lines>122</Lines>
  <Paragraphs>34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17180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Utente Principale</cp:lastModifiedBy>
  <cp:revision>56</cp:revision>
  <cp:lastPrinted>2019-02-15T17:24:00Z</cp:lastPrinted>
  <dcterms:created xsi:type="dcterms:W3CDTF">2019-02-15T17:27:00Z</dcterms:created>
  <dcterms:modified xsi:type="dcterms:W3CDTF">2019-04-12T10:44:00Z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