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3661F1" w:rsidP="00E978D0">
      <w:pPr>
        <w:pStyle w:val="CETTitle"/>
      </w:pPr>
      <w:r w:rsidRPr="003661F1">
        <w:t>Numerical Simulation of Multi-Component LNG Pool Fire</w:t>
      </w:r>
    </w:p>
    <w:p w:rsidR="00E978D0" w:rsidRPr="00B57B36" w:rsidRDefault="003661F1" w:rsidP="00AB5011">
      <w:pPr>
        <w:pStyle w:val="CETAuthors"/>
      </w:pPr>
      <w:r w:rsidRPr="003661F1">
        <w:t>Valerio Cozzani</w:t>
      </w:r>
      <w:r w:rsidRPr="003661F1">
        <w:rPr>
          <w:vertAlign w:val="superscript"/>
        </w:rPr>
        <w:t>a</w:t>
      </w:r>
      <w:r w:rsidRPr="003661F1">
        <w:t>, Gianmaria Pio</w:t>
      </w:r>
      <w:r w:rsidRPr="003661F1">
        <w:rPr>
          <w:vertAlign w:val="superscript"/>
        </w:rPr>
        <w:t>a</w:t>
      </w:r>
      <w:r w:rsidRPr="003661F1">
        <w:t>, Ernesto Salzano</w:t>
      </w:r>
      <w:r w:rsidRPr="003661F1">
        <w:rPr>
          <w:vertAlign w:val="superscript"/>
        </w:rPr>
        <w:t>a</w:t>
      </w:r>
      <w:r w:rsidRPr="003661F1">
        <w:t>*</w:t>
      </w:r>
    </w:p>
    <w:p w:rsidR="00E978D0" w:rsidRPr="00B57B36" w:rsidRDefault="00E978D0" w:rsidP="00E978D0">
      <w:pPr>
        <w:pStyle w:val="CETAddress"/>
      </w:pPr>
      <w:r w:rsidRPr="00B57B36">
        <w:rPr>
          <w:vertAlign w:val="superscript"/>
        </w:rPr>
        <w:t>a</w:t>
      </w:r>
      <w:r w:rsidR="003661F1" w:rsidRPr="003661F1">
        <w:t>Dipartimento di Ingegneria Civile, Chimica, Ambientale e dei Materiali, Università di Bologna, via Terracini 28, Bologna 40131, Italy</w:t>
      </w:r>
    </w:p>
    <w:p w:rsidR="00E978D0" w:rsidRPr="00B57B36" w:rsidRDefault="003661F1" w:rsidP="00E978D0">
      <w:pPr>
        <w:pStyle w:val="CETemail"/>
      </w:pPr>
      <w:r w:rsidRPr="003661F1">
        <w:t>ernesto.salzano@unibo.it</w:t>
      </w:r>
    </w:p>
    <w:p w:rsidR="003661F1" w:rsidRPr="00347EB5" w:rsidRDefault="003661F1" w:rsidP="003661F1">
      <w:pPr>
        <w:pStyle w:val="CETBodytext"/>
      </w:pPr>
      <w:bookmarkStart w:id="0" w:name="OLE_LINK9"/>
      <w:r w:rsidRPr="00B83B3F">
        <w:t xml:space="preserve">The release of large amount of </w:t>
      </w:r>
      <w:r>
        <w:t>l</w:t>
      </w:r>
      <w:r w:rsidRPr="00B83B3F">
        <w:t xml:space="preserve">iquefied </w:t>
      </w:r>
      <w:r>
        <w:t>n</w:t>
      </w:r>
      <w:r w:rsidRPr="00B83B3F">
        <w:t xml:space="preserve">atural </w:t>
      </w:r>
      <w:r>
        <w:t>g</w:t>
      </w:r>
      <w:r w:rsidRPr="00B83B3F">
        <w:t xml:space="preserve">as from fixed or mobile equipment may induce </w:t>
      </w:r>
      <w:r>
        <w:t xml:space="preserve">to </w:t>
      </w:r>
      <w:r w:rsidRPr="00B83B3F">
        <w:t xml:space="preserve">pool fire when </w:t>
      </w:r>
      <w:r>
        <w:t xml:space="preserve">immediate </w:t>
      </w:r>
      <w:r w:rsidRPr="00B83B3F">
        <w:t>ignited. The prediction and simulation of this phenomenon is very complex because several premixed, convective and diffusive burning phenomena, and rapid phase evaporation, are involved</w:t>
      </w:r>
      <w:r>
        <w:t xml:space="preserve"> simultaneously</w:t>
      </w:r>
      <w:r w:rsidRPr="00B83B3F">
        <w:t>. Nevertheless, the use of Reynolds-</w:t>
      </w:r>
      <w:r>
        <w:t>a</w:t>
      </w:r>
      <w:r w:rsidRPr="00B83B3F">
        <w:t xml:space="preserve">veraged Navier-Stokes (RANS) equations with k-ε model for turbulence and classical models are still adopted, </w:t>
      </w:r>
      <w:r>
        <w:t xml:space="preserve">although </w:t>
      </w:r>
      <w:r w:rsidRPr="00B83B3F">
        <w:t>strong uncertainties and over-simplifications</w:t>
      </w:r>
      <w:r>
        <w:t xml:space="preserve"> with respect to the real scenario</w:t>
      </w:r>
      <w:r w:rsidRPr="00B83B3F">
        <w:t xml:space="preserve">. More recently </w:t>
      </w:r>
      <w:r>
        <w:t>l</w:t>
      </w:r>
      <w:r w:rsidRPr="00B83B3F">
        <w:t>arge-</w:t>
      </w:r>
      <w:r>
        <w:t>e</w:t>
      </w:r>
      <w:r w:rsidRPr="00B83B3F">
        <w:t xml:space="preserve">ddy </w:t>
      </w:r>
      <w:r>
        <w:t>s</w:t>
      </w:r>
      <w:r w:rsidRPr="00B83B3F">
        <w:t xml:space="preserve">imulation (LES) modeling, as adopted in some codes as FLUENT or FDS, has been adopted. LES methodology is able to introduce more detailed information on the chemical kinetic of the oxidation reactions. Again, however, poor kinetic combustion </w:t>
      </w:r>
      <w:r>
        <w:t>mechanisms suitable for the implementation in computational fluid dynamic (CFD) codes</w:t>
      </w:r>
      <w:r w:rsidRPr="00B83B3F">
        <w:t>, and simpl</w:t>
      </w:r>
      <w:r>
        <w:t>ified</w:t>
      </w:r>
      <w:r w:rsidRPr="00B83B3F">
        <w:t xml:space="preserve"> composition for the LNG - often treated as pure methane - are typically adopted. In this </w:t>
      </w:r>
      <w:r>
        <w:t>work</w:t>
      </w:r>
      <w:r w:rsidRPr="00B83B3F">
        <w:t xml:space="preserve">, the simulation of a LNG pool fire </w:t>
      </w:r>
      <w:r>
        <w:t xml:space="preserve">was </w:t>
      </w:r>
      <w:r w:rsidRPr="00B83B3F">
        <w:t xml:space="preserve">performed by detailed (reduced) kinetic model validated for multi-component LNG compositions by using FDS. Results </w:t>
      </w:r>
      <w:r>
        <w:t xml:space="preserve">were </w:t>
      </w:r>
      <w:r w:rsidRPr="00B83B3F">
        <w:t>compared with both experimental and numerical analyses retrieved from literature. This approach has the potential to correctly estimate the heat radiation and the production rates of the main reaction products, including soot.</w:t>
      </w:r>
    </w:p>
    <w:bookmarkEnd w:id="0"/>
    <w:p w:rsidR="00600535" w:rsidRPr="00B57B36" w:rsidRDefault="00600535" w:rsidP="00600535">
      <w:pPr>
        <w:pStyle w:val="CETHeading1"/>
        <w:rPr>
          <w:lang w:val="en-GB"/>
        </w:rPr>
      </w:pPr>
      <w:r w:rsidRPr="00B57B36">
        <w:rPr>
          <w:lang w:val="en-GB"/>
        </w:rPr>
        <w:t>Introduction</w:t>
      </w:r>
    </w:p>
    <w:p w:rsidR="003661F1" w:rsidRDefault="003661F1" w:rsidP="003661F1">
      <w:pPr>
        <w:pStyle w:val="ListParagraph"/>
        <w:ind w:left="0"/>
      </w:pPr>
      <w:r>
        <w:t>Pool fires are typically represented as an inclined cylindrical flame over the fuel liquid surface, thermal radiation is estimated by surface emitter model, considering its magnitude proportional to the flame temperature and emissivity, as described by the Boltzmann law</w:t>
      </w:r>
      <w:r w:rsidR="002E1DA3">
        <w:t xml:space="preserve"> </w:t>
      </w:r>
      <w:r w:rsidR="002E1DA3">
        <w:fldChar w:fldCharType="begin" w:fldLock="1"/>
      </w:r>
      <w:r w:rsidR="002E1DA3">
        <w:instrText>ADDIN CSL_CITATION {"citationItems":[{"id":"ITEM-1","itemData":{"DOI":"10.3303/CET1653012","ISBN":"978-88-95608-44-0","ISSN":"2283-9216","abstract":"The calculation of the consequences associated with a pool fire consists in a stepwise procedure where a number of parameters must be characterized, which depend on the geometrical size and shape of the flame. A number of calculation models exists in the literature, characterized by different levels of accuracy and complexity. In the present work we will focus on the characterization of the geometrical configuration of the flame generated from a pool fire: some of the most commonly adopted models will be shortly recalled, and compared against experimental data taken from the literature. It is expected that this would provide useful information about the range of applicability and the level of accuracy of these models. Also, it will help improve the quality of the results, and reduce the time required for carrying out important applications such as consequence assessment and risk analysis, where a large number of calculations must be run.","author":[{"dropping-particle":"","family":"Bubbico","given":"Roberto","non-dropping-particle":"","parse-names":false,"suffix":""},{"dropping-particle":"","family":"Dusserre","given":"Gilles","non-dropping-particle":"","parse-names":false,"suffix":""},{"dropping-particle":"","family":"Mazzarotta","given":"Barbara","non-dropping-particle":"","parse-names":false,"suffix":""}],"container-title":"Chemical Engineering Transactions","id":"ITEM-1","issued":{"date-parts":[["2016"]]},"page":"67-72","title":"Calculation of the Flame Size from Burning Liquid Pools","type":"article-journal","volume":"53"},"uris":["http://www.mendeley.com/documents/?uuid=11306b93-9570-3dba-b545-865e9fca4069"]}],"mendeley":{"formattedCitation":"(Bubbico et al., 2016)","plainTextFormattedCitation":"(Bubbico et al., 2016)","previouslyFormattedCitation":"(Bubbico et al., 2016)"},"properties":{"noteIndex":0},"schema":"https://github.com/citation-style-language/schema/raw/master/csl-citation.json"}</w:instrText>
      </w:r>
      <w:r w:rsidR="002E1DA3">
        <w:fldChar w:fldCharType="separate"/>
      </w:r>
      <w:r w:rsidR="002E1DA3" w:rsidRPr="002E1DA3">
        <w:rPr>
          <w:noProof/>
        </w:rPr>
        <w:t>(Bubbico et al., 2016)</w:t>
      </w:r>
      <w:r w:rsidR="002E1DA3">
        <w:fldChar w:fldCharType="end"/>
      </w:r>
      <w:r>
        <w:t xml:space="preserve">. Several empirical and semi-empirical </w:t>
      </w:r>
      <w:r w:rsidR="002E1DA3">
        <w:t>correlations</w:t>
      </w:r>
      <w:r>
        <w:t xml:space="preserve"> to estimate the geometrical dimensions of the pool fire (height, diameter, tilt angle in the wind direction), thermal radiation and burning rate are presented in the current literature </w:t>
      </w:r>
      <w:r>
        <w:fldChar w:fldCharType="begin" w:fldLock="1"/>
      </w:r>
      <w:r w:rsidR="002E1DA3">
        <w:instrText>ADDIN CSL_CITATION {"citationItems":[{"id":"ITEM-1","itemData":{"DOI":"10.1007/BF02380810","ISBN":"0015-2684","ISSN":"00152684","abstract":"Data for estimating the burning rate and heat output of large pool fires (diameter â‰³ 0.2 m) are compiled and computational equations presented. Since a large scatter in the reported data is noted, attention is also focused on areas where further research is most needed in order to improve predictability. Â© 1983 The National Fire Protection Association.","author":[{"dropping-particle":"","family":"Babrauskas","given":"Vytenis","non-dropping-particle":"","parse-names":false,"suffix":""}],"container-title":"Fire Technology","id":"ITEM-1","issue":"4","issued":{"date-parts":[["1983"]]},"note":"Table 1\nFigure 1. Gasoline pool burning rates (dopo 2 m si raggiunge il valore finale)\nFigure 2 LNG pool burning rates. (è molto più instabile rispetto alla figura precedente)","page":"251-261","title":"Estimating large pool fire burning rates","type":"article-journal","volume":"19"},"uris":["http://www.mendeley.com/documents/?uuid=5740356e-b742-421e-8fbb-95e4aac2f901"]}],"mendeley":{"formattedCitation":"(Babrauskas, 1983)","plainTextFormattedCitation":"(Babrauskas, 1983)","previouslyFormattedCitation":"(Babrauskas, 1983)"},"properties":{"noteIndex":0},"schema":"https://github.com/citation-style-language/schema/raw/master/csl-citation.json"}</w:instrText>
      </w:r>
      <w:r>
        <w:fldChar w:fldCharType="separate"/>
      </w:r>
      <w:r w:rsidR="002E1DA3" w:rsidRPr="002E1DA3">
        <w:rPr>
          <w:noProof/>
        </w:rPr>
        <w:t>(Babrauskas, 1983)</w:t>
      </w:r>
      <w:r>
        <w:fldChar w:fldCharType="end"/>
      </w:r>
      <w:r>
        <w:fldChar w:fldCharType="begin" w:fldLock="1"/>
      </w:r>
      <w:r w:rsidR="002E1DA3">
        <w:instrText>ADDIN CSL_CITATION {"citationItems":[{"id":"ITEM-1","itemData":{"author":[{"dropping-particle":"","family":"Drysdale","given":"","non-dropping-particle":"","parse-names":false,"suffix":""}],"edition":"3rd Editio","id":"ITEM-1","issued":{"date-parts":[["2011"]]},"publisher":"John Wiley and Sons","title":"An Introduction to Fire Dynamics","type":"book"},"uris":["http://www.mendeley.com/documents/?uuid=0d3b418b-3ba4-4327-af14-c4e41e749b67"]}],"mendeley":{"formattedCitation":"(Drysdale, 2011)","plainTextFormattedCitation":"(Drysdale, 2011)","previouslyFormattedCitation":"(Drysdale, 2011)"},"properties":{"noteIndex":0},"schema":"https://github.com/citation-style-language/schema/raw/master/csl-citation.json"}</w:instrText>
      </w:r>
      <w:r>
        <w:fldChar w:fldCharType="separate"/>
      </w:r>
      <w:r w:rsidR="002E1DA3" w:rsidRPr="002E1DA3">
        <w:rPr>
          <w:noProof/>
        </w:rPr>
        <w:t>(Drysdale, 2011)</w:t>
      </w:r>
      <w:r>
        <w:fldChar w:fldCharType="end"/>
      </w:r>
      <w:r>
        <w:t xml:space="preserve">. Computational fluid dynamics (CFD) is often applied to assess the evolution and the thermal effects of the pool fire. To this aim, large eddy simulation (LES) are currently considered an optimized tool from the technical and economical point of view. In this study, fire dynamic simulator (FDS) was adopted, because utilized models have been extensively validated and commonly used for the pool fire scenarios </w:t>
      </w:r>
      <w:r>
        <w:fldChar w:fldCharType="begin" w:fldLock="1"/>
      </w:r>
      <w:r w:rsidR="002E1DA3">
        <w:instrText>ADDIN CSL_CITATION {"citationItems":[{"id":"ITEM-1","itemData":{"DOI":"10.6028/NIST.SP.1018","ISBN":"NIST Special Publication 1018","author":[{"dropping-particle":"","family":"McGrattan","given":"Kevin","non-dropping-particle":"","parse-names":false,"suffix":""},{"dropping-particle":"","family":"Hostikka","given":"Simo","non-dropping-particle":"","parse-names":false,"suffix":""},{"dropping-particle":"","family":"McDermott","given":"Randall","non-dropping-particle":"","parse-names":false,"suffix":""},{"dropping-particle":"","family":"Floyd","given":"Jason","non-dropping-particle":"","parse-names":false,"suffix":""},{"dropping-particle":"","family":"Weinschenk","given":"Craig","non-dropping-particle":"","parse-names":false,"suffix":""},{"dropping-particle":"","family":"Overholt","given":"Kristopher","non-dropping-particle":"","parse-names":false,"suffix":""}],"container-title":"NIST Special Publication 1018-1","id":"ITEM-1","issued":{"date-parts":[["2017"]]},"title":"Fire Dynamics Simulator Technical Reference Guide Volume 1: Mathematical Model","type":"article-journal","volume":"1"},"uris":["http://www.mendeley.com/documents/?uuid=abb53c51-2411-4add-836f-82d5fd716ab4"]}],"mendeley":{"formattedCitation":"(McGrattan et al., 2017)","plainTextFormattedCitation":"(McGrattan et al., 2017)","previouslyFormattedCitation":"(McGrattan et al., 2017)"},"properties":{"noteIndex":0},"schema":"https://github.com/citation-style-language/schema/raw/master/csl-citation.json"}</w:instrText>
      </w:r>
      <w:r>
        <w:fldChar w:fldCharType="separate"/>
      </w:r>
      <w:r w:rsidR="002E1DA3" w:rsidRPr="002E1DA3">
        <w:rPr>
          <w:noProof/>
        </w:rPr>
        <w:t>(McGrattan et al., 2017)</w:t>
      </w:r>
      <w:r>
        <w:fldChar w:fldCharType="end"/>
      </w:r>
      <w:r>
        <w:t>. However, the use of simplified kinetic model represents a strong limitation in case</w:t>
      </w:r>
      <w:r w:rsidR="00FF4C91">
        <w:t xml:space="preserve"> of non-standardized conditions. Indeed,</w:t>
      </w:r>
      <w:r>
        <w:t xml:space="preserve"> single-step, mixing controlled combustion model (Eq. 1) need</w:t>
      </w:r>
      <w:r w:rsidR="00FF4C91">
        <w:t>s</w:t>
      </w:r>
      <w:r>
        <w:t xml:space="preserve"> the </w:t>
      </w:r>
      <w:r w:rsidR="00FF4C91">
        <w:t xml:space="preserve">definition of </w:t>
      </w:r>
      <w:r>
        <w:t>product yields for the studied species as input data. However, comprehensive database or empirical-based correlations to consider the composition and ambient conditions including ventilation does not exist.</w:t>
      </w:r>
    </w:p>
    <w:tbl>
      <w:tblPr>
        <w:tblW w:w="5000" w:type="pct"/>
        <w:tblLook w:val="04A0" w:firstRow="1" w:lastRow="0" w:firstColumn="1" w:lastColumn="0" w:noHBand="0" w:noVBand="1"/>
      </w:tblPr>
      <w:tblGrid>
        <w:gridCol w:w="7088"/>
        <w:gridCol w:w="1699"/>
      </w:tblGrid>
      <w:tr w:rsidR="003661F1" w:rsidRPr="007A5F29" w:rsidTr="00F31B49">
        <w:tc>
          <w:tcPr>
            <w:tcW w:w="7088" w:type="dxa"/>
            <w:shd w:val="clear" w:color="auto" w:fill="auto"/>
            <w:vAlign w:val="center"/>
          </w:tcPr>
          <w:p w:rsidR="003661F1" w:rsidRPr="00BD358C" w:rsidRDefault="00395D75" w:rsidP="00A23C3E">
            <w:pPr>
              <w:pStyle w:val="CETBodytext"/>
              <w:spacing w:before="120" w:after="120"/>
              <w:rPr>
                <w:lang w:val="en-GB"/>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x</m:t>
                    </m:r>
                  </m:sub>
                </m:sSub>
                <m:sSub>
                  <m:sSubPr>
                    <m:ctrlPr>
                      <w:rPr>
                        <w:rFonts w:ascii="Cambria Math" w:hAnsi="Cambria Math"/>
                        <w:i/>
                      </w:rPr>
                    </m:ctrlPr>
                  </m:sSubPr>
                  <m:e>
                    <m:r>
                      <w:rPr>
                        <w:rFonts w:ascii="Cambria Math" w:hAnsi="Cambria Math"/>
                      </w:rPr>
                      <m:t>H</m:t>
                    </m:r>
                  </m:e>
                  <m:sub>
                    <m:r>
                      <w:rPr>
                        <w:rFonts w:ascii="Cambria Math" w:hAnsi="Cambria Math"/>
                      </w:rPr>
                      <m:t>y</m:t>
                    </m:r>
                  </m:sub>
                </m:sSub>
                <m:sSub>
                  <m:sSubPr>
                    <m:ctrlPr>
                      <w:rPr>
                        <w:rFonts w:ascii="Cambria Math" w:hAnsi="Cambria Math"/>
                        <w:i/>
                      </w:rPr>
                    </m:ctrlPr>
                  </m:sSubPr>
                  <m:e>
                    <m:r>
                      <w:rPr>
                        <w:rFonts w:ascii="Cambria Math" w:hAnsi="Cambria Math"/>
                      </w:rPr>
                      <m:t>O</m:t>
                    </m:r>
                  </m:e>
                  <m:sub>
                    <m:r>
                      <w:rPr>
                        <w:rFonts w:ascii="Cambria Math" w:hAnsi="Cambria Math"/>
                      </w:rPr>
                      <m:t>z</m:t>
                    </m:r>
                  </m:sub>
                </m:sSub>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 xml:space="preserve">+ </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+α</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υ</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m:t>
                </m:r>
                <m:sSub>
                  <m:sSubPr>
                    <m:ctrlPr>
                      <w:rPr>
                        <w:rFonts w:ascii="Cambria Math" w:hAnsi="Cambria Math"/>
                        <w:i/>
                      </w:rPr>
                    </m:ctrlPr>
                  </m:sSubPr>
                  <m:e>
                    <m:r>
                      <w:rPr>
                        <w:rFonts w:ascii="Cambria Math" w:hAnsi="Cambria Math"/>
                      </w:rPr>
                      <m:t>υ</m:t>
                    </m:r>
                  </m:e>
                  <m:sub>
                    <m:r>
                      <w:rPr>
                        <w:rFonts w:ascii="Cambria Math" w:hAnsi="Cambria Math"/>
                      </w:rPr>
                      <m:t>CO</m:t>
                    </m:r>
                  </m:sub>
                </m:sSub>
                <m:r>
                  <w:rPr>
                    <w:rFonts w:ascii="Cambria Math" w:hAnsi="Cambria Math"/>
                  </w:rPr>
                  <m:t>CO +</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 xml:space="preserve">Soot + </m:t>
                </m:r>
                <m:sSub>
                  <m:sSubPr>
                    <m:ctrlPr>
                      <w:rPr>
                        <w:rFonts w:ascii="Cambria Math" w:hAnsi="Cambria Math"/>
                        <w:i/>
                      </w:rPr>
                    </m:ctrlPr>
                  </m:sSubPr>
                  <m:e>
                    <m:r>
                      <w:rPr>
                        <w:rFonts w:ascii="Cambria Math" w:hAnsi="Cambria Math"/>
                      </w:rPr>
                      <m:t>υ</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c>
          <w:tcPr>
            <w:tcW w:w="1699" w:type="dxa"/>
            <w:shd w:val="clear" w:color="auto" w:fill="auto"/>
            <w:vAlign w:val="center"/>
          </w:tcPr>
          <w:p w:rsidR="003661F1" w:rsidRPr="007A5F29" w:rsidRDefault="003661F1" w:rsidP="00F31B49">
            <w:pPr>
              <w:pStyle w:val="CETBodytext"/>
              <w:spacing w:before="120" w:after="120"/>
              <w:jc w:val="right"/>
              <w:rPr>
                <w:lang w:val="en-GB"/>
              </w:rPr>
            </w:pPr>
            <w:r w:rsidRPr="007A5F29">
              <w:rPr>
                <w:lang w:val="en-GB"/>
              </w:rPr>
              <w:t>(1)</w:t>
            </w:r>
          </w:p>
        </w:tc>
      </w:tr>
    </w:tbl>
    <w:p w:rsidR="003661F1" w:rsidRDefault="003661F1" w:rsidP="003661F1">
      <w:pPr>
        <w:pStyle w:val="ListParagraph"/>
        <w:ind w:left="0"/>
      </w:pPr>
      <w:r w:rsidRPr="003661F1">
        <w:rPr>
          <w:rFonts w:ascii="Calibri" w:hAnsi="Calibri" w:cs="Calibri"/>
        </w:rPr>
        <w:t>ν</w:t>
      </w:r>
      <w:r>
        <w:t xml:space="preserve"> represents the stoichiometric coefficient of the corresponding chemical species in the overall reaction, and soot is commonly considered as a pure substance having the ration C/H = 10. On the other hand, the LES methodology has the potential to include kinetic models suitable for the description of the chemistry occurring in the presence of flame. On this regard, several detailed kinetic models suitable for a wide range of conditions in terms of temperature, pressure and composition are available in the current literature. However, the number </w:t>
      </w:r>
      <w:r>
        <w:lastRenderedPageBreak/>
        <w:t xml:space="preserve">of reactions and species considered in these mechanisms, although in the reduced or skeletal versions, limits the implementation in CFD codes when describing realistic and complex scenarios </w:t>
      </w:r>
      <w:r>
        <w:fldChar w:fldCharType="begin" w:fldLock="1"/>
      </w:r>
      <w:r w:rsidR="002E1DA3">
        <w:instrText>ADDIN CSL_CITATION {"citationItems":[{"id":"ITEM-1","itemData":{"DOI":"10.1016/j.pecs.2008.10.002","ISSN":"0360-1285","author":[{"dropping-particle":"","family":"Lu","given":"Tianfeng","non-dropping-particle":"","parse-names":false,"suffix":""},{"dropping-particle":"","family":"Law","given":"Chung K","non-dropping-particle":"","parse-names":false,"suffix":""}],"container-title":"Progress in Energy and Combustion Science","id":"ITEM-1","issue":"2","issued":{"date-parts":[["2009"]]},"page":"192-215","publisher":"Elsevier Ltd","title":"Toward accommodating realistic fuel chemistry in large-scale computations","type":"article-journal","volume":"35"},"uris":["http://www.mendeley.com/documents/?uuid=9edb3b9a-3a5d-4c34-9ca9-6f97e1f8d939"]}],"mendeley":{"formattedCitation":"(Lu and Law, 2009)","plainTextFormattedCitation":"(Lu and Law, 2009)","previouslyFormattedCitation":"(Lu and Law, 2009)"},"properties":{"noteIndex":0},"schema":"https://github.com/citation-style-language/schema/raw/master/csl-citation.json"}</w:instrText>
      </w:r>
      <w:r>
        <w:fldChar w:fldCharType="separate"/>
      </w:r>
      <w:r w:rsidR="002E1DA3" w:rsidRPr="002E1DA3">
        <w:rPr>
          <w:noProof/>
        </w:rPr>
        <w:t>(Lu and Law, 2009)</w:t>
      </w:r>
      <w:r>
        <w:fldChar w:fldCharType="end"/>
      </w:r>
      <w:r>
        <w:t>. Several tools</w:t>
      </w:r>
      <w:r w:rsidR="00FF4C91">
        <w:t>,</w:t>
      </w:r>
      <w:r>
        <w:t xml:space="preserve"> such as the sensitivity analysis</w:t>
      </w:r>
      <w:r w:rsidR="00FF4C91">
        <w:t>,</w:t>
      </w:r>
      <w:r>
        <w:t xml:space="preserve"> were commonly adopted to individuate the main reactions involved in the studied conditions. As well-known, the production of soot particles produced in non-negligible quantity by diffusion flames affects the human health and environment, summoning the researcher’s attention for the development of accurate models to estimate and reduce the production </w:t>
      </w:r>
      <w:r>
        <w:fldChar w:fldCharType="begin" w:fldLock="1"/>
      </w:r>
      <w:r w:rsidR="002E1DA3">
        <w:instrText>ADDIN CSL_CITATION {"citationItems":[{"id":"ITEM-1","itemData":{"DOI":"10.1016/j.proci.2018.06.100","ISSN":"15407489","author":[{"dropping-particle":"","family":"Schulz","given":"Fabian","non-dropping-particle":"","parse-names":false,"suffix":""},{"dropping-particle":"","family":"Commodo","given":"Mario","non-dropping-particle":"","parse-names":false,"suffix":""},{"dropping-particle":"","family":"Kaiser","given":"Katharina","non-dropping-particle":"","parse-names":false,"suffix":""},{"dropping-particle":"","family":"Falco","given":"Gianluigi","non-dropping-particle":"De","parse-names":false,"suffix":""},{"dropping-particle":"","family":"Minutolo","given":"Patrizia","non-dropping-particle":"","parse-names":false,"suffix":""},{"dropping-particle":"","family":"Meyer","given":"Gerhard","non-dropping-particle":"","parse-names":false,"suffix":""},{"dropping-particle":"","family":"D`Anna","given":"Andrea","non-dropping-particle":"","parse-names":false,"suffix":""},{"dropping-particle":"","family":"Gross","given":"Leo","non-dropping-particle":"","parse-names":false,"suffix":""}],"container-title":"Proceedings of the Combustion Institute","id":"ITEM-1","issued":{"date-parts":[["2018"]]},"page":"1-8","publisher":"Elsevier Inc.","title":"Insights into incipient soot formation by atomic force microscopy","type":"article-journal","volume":"000"},"uris":["http://www.mendeley.com/documents/?uuid=573ba2f6-8e0c-4390-8aab-0014764939c7"]}],"mendeley":{"formattedCitation":"(Schulz et al., 2018)","plainTextFormattedCitation":"(Schulz et al., 2018)","previouslyFormattedCitation":"(Schulz et al., 2018)"},"properties":{"noteIndex":0},"schema":"https://github.com/citation-style-language/schema/raw/master/csl-citation.json"}</w:instrText>
      </w:r>
      <w:r>
        <w:fldChar w:fldCharType="separate"/>
      </w:r>
      <w:r w:rsidR="002E1DA3" w:rsidRPr="002E1DA3">
        <w:rPr>
          <w:noProof/>
        </w:rPr>
        <w:t>(Schulz et al., 2018)</w:t>
      </w:r>
      <w:r>
        <w:fldChar w:fldCharType="end"/>
      </w:r>
      <w:r>
        <w:t xml:space="preserve">. However, understanding the soot formation process requires suitable gas-phase kinetic models for fuel rich chemistry and physical models for the description of particle formation, heterogeneous growth and agglomeration. This process is commonly divided in four different phases: the formation of soot precursors, also referred as soot particle inception, the particles aggregation, the surface growth and the oxidation of produced particles. The commonly adopted approach to model the first step is the estimation of the production rate of polycyclic aromatic hydrocarbons (PAHs), assumed as precursors of soot particles in the gaseous mixture </w:t>
      </w:r>
      <w:r>
        <w:fldChar w:fldCharType="begin" w:fldLock="1"/>
      </w:r>
      <w:r w:rsidR="002E1DA3">
        <w:instrText>ADDIN CSL_CITATION {"citationItems":[{"id":"ITEM-1","itemData":{"DOI":"10.1021/ef300749q","ISSN":"08870624","abstract":"The formation of soot and polycyclic aromatic hydrocarbons (PAHs) has been studied during the pyrolysis of acetylene and ethylene at different reaction temperatures (1073?1423 K) in a tubular flow reactor at atmospheric pressure. The 16 PAHs classified by the United States Environmental Protection Agency (U.S. EPA) as priority compounds, together with light gases present at the outlet gas stream, were quantified by a chromatographic method. Soot formed was collected on a filter at the reactor outlet and later quantified. In this way, the relationship between PAH, gas, and soot formation can be discussed. The distribution of the target PAHs in the different phases (at the gas phase, adsorbed on soot, and/or sticked on reactor walls) is also analyzed. The speciation of the individual PAH compounds was achieved by a combination of Soxhlet extraction, extract concentration by a rotary evaporator, and gas chromatography coupled to mass spectrometry (GC?MS). The present study shows that, in the pyrolysis of both acetylene and ethylene, while soot formation is enhanced by increasing the temperature, the PAH yield exhibits a maximum in the evaluated temperature range, and such a maximum value depends upon the hydrocarbon used (ethylene or acetylene). However, the PAH distribution in the different phases does not seem to be influenced by hydrocarbon used. PAHs from ethylene and acetylene pyrolysis are seen to be mainly adsorbed on soot preferably than on other places, except for naphthalene (NAPH) in the pyrolysis of ethylene, in which case a higher concentration was found at the gas phase.\\nThe formation of soot and polycyclic aromatic hydrocarbons (PAHs) has been studied during the pyrolysis of acetylene and ethylene at different reaction temperatures (1073?1423 K) in a tubular flow reactor at atmospheric pressure. The 16 PAHs classified by the United States Environmental Protection Agency (U.S. EPA) as priority compounds, together with light gases present at the outlet gas stream, were quantified by a chromatographic method. Soot formed was collected on a filter at the reactor outlet and later quantified. In this way, the relationship between PAH, gas, and soot formation can be discussed. The distribution of the target PAHs in the different phases (at the gas phase, adsorbed on soot, and/or sticked on reactor walls) is also analyzed. The speciation of the individual PAH compounds was achieved by a combination of Soxhlet extraction, extract concentration by a …","author":[{"dropping-particle":"","family":"Sánchez","given":"Nazly E.","non-dropping-particle":"","parse-names":false,"suffix":""},{"dropping-particle":"","family":"Callejas","given":"Alicia","non-dropping-particle":"","parse-names":false,"suffix":""},{"dropping-particle":"","family":"Millera","given":"Ángela","non-dropping-particle":"","parse-names":false,"suffix":""},{"dropping-particle":"","family":"Bilbao","given":"Rafael","non-dropping-particle":"","parse-names":false,"suffix":""},{"dropping-particle":"","family":"Alzueta","given":"María U.","non-dropping-particle":"","parse-names":false,"suffix":""}],"container-title":"Energy and Fuels","id":"ITEM-1","issue":"8","issued":{"date-parts":[["2012"]]},"page":"4823-4829","title":"Polycyclic aromatic hydrocarbon (PAH) and soot formation in the pyrolysis of acetylene and ethylene: Effect of the reaction temperature","type":"article-journal","volume":"26"},"uris":["http://www.mendeley.com/documents/?uuid=53b7d46b-5003-4d9c-bc5e-7f302550687b"]}],"mendeley":{"formattedCitation":"(Sánchez et al., 2012)","plainTextFormattedCitation":"(Sánchez et al., 2012)","previouslyFormattedCitation":"(Sánchez et al., 2012)"},"properties":{"noteIndex":0},"schema":"https://github.com/citation-style-language/schema/raw/master/csl-citation.json"}</w:instrText>
      </w:r>
      <w:r>
        <w:fldChar w:fldCharType="separate"/>
      </w:r>
      <w:r w:rsidR="002E1DA3" w:rsidRPr="002E1DA3">
        <w:rPr>
          <w:noProof/>
        </w:rPr>
        <w:t>(Sánchez et al., 2012)</w:t>
      </w:r>
      <w:r>
        <w:fldChar w:fldCharType="end"/>
      </w:r>
      <w:r>
        <w:t xml:space="preserve">. Quite clearly, the PAH production rate is sensible to the fuel composition. However, the particle size distribution is qualitatively similar for light hydrocarbons flames </w:t>
      </w:r>
      <w:r>
        <w:fldChar w:fldCharType="begin" w:fldLock="1"/>
      </w:r>
      <w:r w:rsidR="002E1DA3">
        <w:instrText>ADDIN CSL_CITATION {"citationItems":[{"id":"ITEM-1","itemData":{"DOI":"10.1016/j.combustflame.2018.03.002","ISSN":"15562921","abstract":"The fuel mixing effect on soot formation was investigated based on a premixed propene flame, in which the C/O mole ratio was 0.6 and the maximum flame temperature was 1829 K. Different proportions of methane, ethane, propane and ethylene were mixed into the propene flame, with the constant C/O mole ratio and similar maximum flame temperatures and temperature–time histories. The particle size distribution function (PSDF) was measured in the burner stabilized stagnation (BSS) flame configuration, using the micro-orifice probe sampling technique and the scanning mobility particle sizer (SMPS). It was observed that the PSDF of the propene flame was not sensitive to methane, ethane or propane addition, while the number density of small nucleated particles was strengthened with ethylene addition. The particle growth in flame with a small amount of ethylene addition was stronger than that of either the pure propene or ethylene flame, indicating the synergistic effect between propene and ethylene on soot formation.","author":[{"dropping-particle":"","family":"Lin","given":"Baiyang","non-dropping-particle":"","parse-names":false,"suffix":""},{"dropping-particle":"","family":"Gu","given":"Hao","non-dropping-particle":"","parse-names":false,"suffix":""},{"dropping-particle":"","family":"Ni","given":"Hong","non-dropping-particle":"","parse-names":false,"suffix":""},{"dropping-particle":"","family":"Guan","given":"Bin","non-dropping-particle":"","parse-names":false,"suffix":""},{"dropping-particle":"","family":"Li","given":"Zhongzhao","non-dropping-particle":"","parse-names":false,"suffix":""},{"dropping-particle":"","family":"Han","given":"Dong","non-dropping-particle":"","parse-names":false,"suffix":""},{"dropping-particle":"","family":"Gu","given":"Chen","non-dropping-particle":"","parse-names":false,"suffix":""},{"dropping-particle":"","family":"Shao","given":"Can","non-dropping-particle":"","parse-names":false,"suffix":""},{"dropping-particle":"","family":"Huang","given":"Zhen","non-dropping-particle":"","parse-names":false,"suffix":""},{"dropping-particle":"","family":"Lin","given":"He","non-dropping-particle":"","parse-names":false,"suffix":""}],"container-title":"Combustion and Flame","id":"ITEM-1","issued":{"date-parts":[["2018"]]},"page":"54-60","publisher":"Elsevier Inc.","title":"Effect of mixing methane, ethane, propane and ethylene on the soot particle size distribution in a premixed propene flame","type":"article-journal","volume":"193"},"uris":["http://www.mendeley.com/documents/?uuid=3206d136-2f83-4783-98c8-5658fd40c10b"]}],"mendeley":{"formattedCitation":"(Lin et al., 2018)","plainTextFormattedCitation":"(Lin et al., 2018)","previouslyFormattedCitation":"(Lin et al., 2018)"},"properties":{"noteIndex":0},"schema":"https://github.com/citation-style-language/schema/raw/master/csl-citation.json"}</w:instrText>
      </w:r>
      <w:r>
        <w:fldChar w:fldCharType="separate"/>
      </w:r>
      <w:r w:rsidR="002E1DA3" w:rsidRPr="002E1DA3">
        <w:rPr>
          <w:noProof/>
        </w:rPr>
        <w:t>(Lin et al., 2018)</w:t>
      </w:r>
      <w:r>
        <w:fldChar w:fldCharType="end"/>
      </w:r>
      <w:r>
        <w:t xml:space="preserve">, thus the chemical aspects have significant effect on the precursors formation only. Another important issue concerning the modelling of pool fire is the accurate prediction of the evaporation rate as a function of atmospheric conditions, release conditions and scale. Several empirical models have been developed and are available in the current literature. However, a limited number of these models can be successful applied to the cryogenic scenarios, where the peculiarity of the studied conditions required tailor made experiments to validate and enlarge the validity of these correlations. Indeed, complex physics like LNG flashing could not be evaluated by means of phenomenological models, whereas the application of integral models (e.g. PHAST) fail when the assumption of uniform pool thickness cannot be applied or in case of scenarios involving obstacles </w:t>
      </w:r>
      <w:r>
        <w:fldChar w:fldCharType="begin" w:fldLock="1"/>
      </w:r>
      <w:r w:rsidR="002E1DA3">
        <w:instrText>ADDIN CSL_CITATION {"citationItems":[{"id":"ITEM-1","itemData":{"DOI":"10.1016/j.jhazmat.2017.04.025","ISSN":"18733336","abstract":"The investigation of pool spreading and vaporization phenomenon is an essential part of consequence analysis to determine the severity of LNG spills on water. In this study, release of LNG on water during marine operations is studied through experimental and numerical methods The study involves emulation of an LNG leak from transfer arms during side by side loading operations. The experimental part involves flow of LNG in a narrow trench filled with water and subsequent measurement of pool spreading and vaporization parameters. The numerical part involves CFD simulation using a three dimensional hybrid homogenous Eulerian multiphase solver to model the pool spreading and vaporization phenomenon. In this method, LNG is modeled as dispersed phase droplets which can interact with continuous phases − water and air through interphase models. The numerical study also employs a novel user-defined routine for capturing the LNG vaporization process. The CFD solver was capable of capturing the salient features of LNG pool spreading and vaporization phenomena. It was observed from experiment and CFD simulation that wind influenced both pool spreading and vaporization phenomenon through entrainment and convection.","author":[{"dropping-particle":"","family":"Gopalaswami","given":"Nirupama","non-dropping-particle":"","parse-names":false,"suffix":""},{"dropping-particle":"","family":"Kakosimos","given":"Konstantinos","non-dropping-particle":"","parse-names":false,"suffix":""},{"dropping-particle":"","family":"Zhang","given":"Bin","non-dropping-particle":"","parse-names":false,"suffix":""},{"dropping-particle":"","family":"Liu","given":"Yi","non-dropping-particle":"","parse-names":false,"suffix":""},{"dropping-particle":"","family":"Mentzer","given":"R.","non-dropping-particle":"","parse-names":false,"suffix":""},{"dropping-particle":"","family":"Mannan","given":"M. Sam","non-dropping-particle":"","parse-names":false,"suffix":""}],"container-title":"Journal of Hazardous Materials","id":"ITEM-1","issued":{"date-parts":[["2017"]]},"title":"Experimental and numerical study of liquefied natural gas (LNG) pool spreading and vaporization on water","type":"article-journal"},"uris":["http://www.mendeley.com/documents/?uuid=a6b11ab1-50d9-3868-b63a-9756a44530f3"]}],"mendeley":{"formattedCitation":"(Gopalaswami et al., 2017)","plainTextFormattedCitation":"(Gopalaswami et al., 2017)","previouslyFormattedCitation":"(Gopalaswami et al., 2017)"},"properties":{"noteIndex":0},"schema":"https://github.com/citation-style-language/schema/raw/master/csl-citation.json"}</w:instrText>
      </w:r>
      <w:r>
        <w:fldChar w:fldCharType="separate"/>
      </w:r>
      <w:r w:rsidR="002E1DA3" w:rsidRPr="002E1DA3">
        <w:rPr>
          <w:noProof/>
        </w:rPr>
        <w:t>(Gopalaswami et al., 2017)</w:t>
      </w:r>
      <w:r>
        <w:fldChar w:fldCharType="end"/>
      </w:r>
      <w:r>
        <w:t xml:space="preserve">. In contrast with the case where pure methane was adopted it should be also considered that the evaluation of realistic compositions for LNG affects the evaporation rate, because the remaining liquid composition is dependent on the time, resulting in variations of the boiling temperature and the heat of vaporization; as well as vapour composition, affecting the heat transfer coefficient, and the boiling regime at the later stages. These observations result in significant discrepancies among pure methane and LNG vaporization rate, especially at the later stage of the spill </w:t>
      </w:r>
      <w:r>
        <w:fldChar w:fldCharType="begin" w:fldLock="1"/>
      </w:r>
      <w:r w:rsidR="002E1DA3">
        <w:instrText>ADDIN CSL_CITATION {"citationItems":[{"id":"ITEM-1","itemData":{"DOI":"10.1016/S0009-2509(00)00110-X","ISSN":"00092509","abstract":"A model is proposed for estimating the rate of vaporisation of LNG and LPG cryogen mixtures spreading on unconfined water surfaces. The model is used to examine the influence of chemical composition on the vaporisation rate of LNG and LPG during spreading. Calculations have been performed whereby the vaporisation rate of the LNG and LPG mixtures has been compared to the vaporisation of pure methane and propane, respectively, under the same initial conditions. The detailed results indicate that the vaporisation rate of LNG mixture is markedly different to that of pure methane, while the vaporisation rate of LPG mixture is similar to that of pure propane. The difference can be attributed primarily to the contributions of the direct and indirect component of the total, differential, isobaric latent heat to the boiling process. For LNG, as the liquid mixture gets rich in ethane, the total, differential, isobaric latent heat increases rapidly, leading to a large decrease in the vaporisation of LNG compared to pure methane. For LPG, because of the shape of the phase envelope, only a small increase of the total latent heat and the boiling temperature is observed and consequently the change in the vaporisation rate is marginal. The overall results suggest that treating an LNG spill as a pure methane spill results in underestimation of the total spillage time of the order of 10-15% and in qualitatively wrong dynamics of the rate of vapour formation; thus, warranting a full treatment of the thermodynamics of the mixture. (C) 2000 Elsevier Science Ltd. All rights reserved.","author":[{"dropping-particle":"","family":"Conrado","given":"C.","non-dropping-particle":"","parse-names":false,"suffix":""},{"dropping-particle":"","family":"Vesovic","given":"V.","non-dropping-particle":"","parse-names":false,"suffix":""}],"container-title":"Chemical Engineering Science","id":"ITEM-1","issued":{"date-parts":[["2000"]]},"title":"The influence of chemical composition on vaporisation of LNG and LPG on unconfined water surfaces","type":"article-journal"},"uris":["http://www.mendeley.com/documents/?uuid=a038484c-5ce9-385b-b829-75f563ad9408"]}],"mendeley":{"formattedCitation":"(Conrado and Vesovic, 2000)","plainTextFormattedCitation":"(Conrado and Vesovic, 2000)","previouslyFormattedCitation":"(Conrado and Vesovic, 2000)"},"properties":{"noteIndex":0},"schema":"https://github.com/citation-style-language/schema/raw/master/csl-citation.json"}</w:instrText>
      </w:r>
      <w:r>
        <w:fldChar w:fldCharType="separate"/>
      </w:r>
      <w:r w:rsidR="002E1DA3" w:rsidRPr="002E1DA3">
        <w:rPr>
          <w:noProof/>
        </w:rPr>
        <w:t>(Conrado and Vesovic, 2000)</w:t>
      </w:r>
      <w:r>
        <w:fldChar w:fldCharType="end"/>
      </w:r>
      <w:r>
        <w:t>.</w:t>
      </w:r>
    </w:p>
    <w:p w:rsidR="00600535" w:rsidRPr="003661F1" w:rsidRDefault="003661F1" w:rsidP="00D01ED7">
      <w:pPr>
        <w:pStyle w:val="CETHeading1"/>
        <w:jc w:val="both"/>
        <w:rPr>
          <w:lang w:val="en-GB"/>
        </w:rPr>
      </w:pPr>
      <w:r w:rsidRPr="003661F1">
        <w:rPr>
          <w:lang w:val="en-GB"/>
        </w:rPr>
        <w:t>Methods</w:t>
      </w:r>
    </w:p>
    <w:p w:rsidR="003661F1" w:rsidRDefault="003661F1" w:rsidP="003661F1">
      <w:pPr>
        <w:pStyle w:val="CETBodytext"/>
        <w:spacing w:after="120"/>
      </w:pPr>
      <w:r>
        <w:t xml:space="preserve">Three different compositions of LNG were investigated to assess the effect of the addition of light alkanes (i.e. ethane and propane) to methane combustion at cryogenic conditions. The compositions were individuated assuming the maximum allowed content of ethane and propane, as indicated in the </w:t>
      </w:r>
      <w:r>
        <w:fldChar w:fldCharType="begin" w:fldLock="1"/>
      </w:r>
      <w:r w:rsidR="002E1DA3">
        <w:instrText>ADDIN CSL_CITATION {"citationItems":[{"id":"ITEM-1","itemData":{"DOI":"10.1520/E0681-09R15.2","abstract":"This standard is issued under the fixed designation E681; the number immediately following the designation indicates the year of original adoption or, in the case of revision, the year of last revision. A number in parentheses indicates the year of last reapproval. A superscript epsilon) indicates an editorial change since the last revision or reapproval.","author":[{"dropping-particle":"","family":"ASTM E-681","given":"","non-dropping-particle":"","parse-names":false,"suffix":""}],"container-title":"American Society for Testing and Materials","id":"ITEM-1","issue":"Reapproved","issued":{"date-parts":[["2015"]]},"page":"1-12","title":"Standard Test Method for Concentration Limits of Flammability of Chemicals ( Vapors and Gases )","type":"article-journal","volume":"09"},"uris":["http://www.mendeley.com/documents/?uuid=cc83f3bc-ed98-4caa-b488-0f4e12214527"]}],"mendeley":{"formattedCitation":"(ASTM E-681, 2015)","manualFormatting":"ASTM E-681: 2015","plainTextFormattedCitation":"(ASTM E-681, 2015)","previouslyFormattedCitation":"(ASTM E-681, 2015)"},"properties":{"noteIndex":0},"schema":"https://github.com/citation-style-language/schema/raw/master/csl-citation.json"}</w:instrText>
      </w:r>
      <w:r>
        <w:fldChar w:fldCharType="separate"/>
      </w:r>
      <w:r>
        <w:rPr>
          <w:noProof/>
        </w:rPr>
        <w:t>ASTM E-681:</w:t>
      </w:r>
      <w:r w:rsidRPr="00D8236F">
        <w:rPr>
          <w:noProof/>
        </w:rPr>
        <w:t xml:space="preserve"> 2015</w:t>
      </w:r>
      <w:r>
        <w:fldChar w:fldCharType="end"/>
      </w:r>
      <w:r>
        <w:t xml:space="preserve">. More specifically, binary fuel mixture containing 10 % v/v of ethane in methane (Mix 2) and ternary fuel mixture consisting of 10 % v/v of propane, 10 % v/v of ethane in methane (Mix 3) were analyzed (Table 1). </w:t>
      </w:r>
    </w:p>
    <w:p w:rsidR="003661F1" w:rsidRPr="00A05343" w:rsidRDefault="003661F1" w:rsidP="003661F1">
      <w:pPr>
        <w:pStyle w:val="Els-table-text"/>
        <w:rPr>
          <w:rFonts w:ascii="Arial" w:hAnsi="Arial"/>
          <w:i/>
          <w:sz w:val="18"/>
          <w:lang w:val="en-GB" w:eastAsia="en-US"/>
        </w:rPr>
      </w:pPr>
      <w:r w:rsidRPr="00A05343">
        <w:rPr>
          <w:rFonts w:ascii="Arial" w:hAnsi="Arial"/>
          <w:i/>
          <w:sz w:val="18"/>
          <w:lang w:val="en-GB" w:eastAsia="en-US"/>
        </w:rPr>
        <w:t xml:space="preserve">Table 1 Summary of the mixture composition </w:t>
      </w:r>
      <w:r w:rsidR="0044318E" w:rsidRPr="00A05343">
        <w:rPr>
          <w:rFonts w:ascii="Arial" w:hAnsi="Arial"/>
          <w:i/>
          <w:sz w:val="18"/>
          <w:lang w:val="en-GB" w:eastAsia="en-US"/>
        </w:rPr>
        <w:t>analysed</w:t>
      </w:r>
      <w:r w:rsidRPr="00A05343">
        <w:rPr>
          <w:rFonts w:ascii="Arial" w:hAnsi="Arial"/>
          <w:i/>
          <w:sz w:val="18"/>
          <w:lang w:val="en-GB" w:eastAsia="en-US"/>
        </w:rPr>
        <w:t xml:space="preserve"> in this work.</w:t>
      </w:r>
    </w:p>
    <w:tbl>
      <w:tblPr>
        <w:tblW w:w="497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06"/>
        <w:gridCol w:w="1946"/>
        <w:gridCol w:w="1941"/>
        <w:gridCol w:w="2743"/>
      </w:tblGrid>
      <w:tr w:rsidR="003661F1" w:rsidRPr="007A5F29" w:rsidTr="00F31B49">
        <w:trPr>
          <w:trHeight w:val="90"/>
        </w:trPr>
        <w:tc>
          <w:tcPr>
            <w:tcW w:w="1205" w:type="pct"/>
            <w:tcBorders>
              <w:top w:val="single" w:sz="12" w:space="0" w:color="008000"/>
              <w:bottom w:val="single" w:sz="6" w:space="0" w:color="008000"/>
            </w:tcBorders>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Mixture</w:t>
            </w:r>
          </w:p>
        </w:tc>
        <w:tc>
          <w:tcPr>
            <w:tcW w:w="1114" w:type="pct"/>
            <w:tcBorders>
              <w:top w:val="single" w:sz="12" w:space="0" w:color="008000"/>
              <w:bottom w:val="single" w:sz="6" w:space="0" w:color="008000"/>
            </w:tcBorders>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CH</w:t>
            </w:r>
            <w:r w:rsidRPr="00A05343">
              <w:rPr>
                <w:rFonts w:ascii="Arial" w:hAnsi="Arial" w:cs="Arial"/>
                <w:sz w:val="18"/>
                <w:szCs w:val="18"/>
                <w:vertAlign w:val="subscript"/>
              </w:rPr>
              <w:t xml:space="preserve">4 </w:t>
            </w:r>
            <w:r w:rsidRPr="00A05343">
              <w:rPr>
                <w:rFonts w:ascii="Arial" w:hAnsi="Arial" w:cs="Arial"/>
                <w:sz w:val="18"/>
                <w:szCs w:val="18"/>
              </w:rPr>
              <w:t>[% v/v]</w:t>
            </w:r>
          </w:p>
        </w:tc>
        <w:tc>
          <w:tcPr>
            <w:tcW w:w="1111" w:type="pct"/>
            <w:tcBorders>
              <w:top w:val="single" w:sz="12" w:space="0" w:color="008000"/>
              <w:bottom w:val="single" w:sz="6" w:space="0" w:color="008000"/>
            </w:tcBorders>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C</w:t>
            </w:r>
            <w:r w:rsidRPr="00A05343">
              <w:rPr>
                <w:rFonts w:ascii="Arial" w:hAnsi="Arial" w:cs="Arial"/>
                <w:sz w:val="18"/>
                <w:szCs w:val="18"/>
                <w:vertAlign w:val="subscript"/>
              </w:rPr>
              <w:t>2</w:t>
            </w:r>
            <w:r w:rsidRPr="00A05343">
              <w:rPr>
                <w:rFonts w:ascii="Arial" w:hAnsi="Arial" w:cs="Arial"/>
                <w:sz w:val="18"/>
                <w:szCs w:val="18"/>
              </w:rPr>
              <w:t>H</w:t>
            </w:r>
            <w:r w:rsidRPr="00A05343">
              <w:rPr>
                <w:rFonts w:ascii="Arial" w:hAnsi="Arial" w:cs="Arial"/>
                <w:sz w:val="18"/>
                <w:szCs w:val="18"/>
                <w:vertAlign w:val="subscript"/>
              </w:rPr>
              <w:t>6</w:t>
            </w:r>
            <w:r w:rsidRPr="00A05343">
              <w:rPr>
                <w:rFonts w:ascii="Arial" w:hAnsi="Arial" w:cs="Arial"/>
                <w:sz w:val="18"/>
                <w:szCs w:val="18"/>
              </w:rPr>
              <w:t xml:space="preserve"> [% v/v]</w:t>
            </w:r>
          </w:p>
        </w:tc>
        <w:tc>
          <w:tcPr>
            <w:tcW w:w="1570" w:type="pct"/>
            <w:tcBorders>
              <w:top w:val="single" w:sz="12" w:space="0" w:color="008000"/>
              <w:bottom w:val="single" w:sz="6" w:space="0" w:color="008000"/>
            </w:tcBorders>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C</w:t>
            </w:r>
            <w:r w:rsidRPr="00A05343">
              <w:rPr>
                <w:rFonts w:ascii="Arial" w:hAnsi="Arial" w:cs="Arial"/>
                <w:sz w:val="18"/>
                <w:szCs w:val="18"/>
                <w:vertAlign w:val="subscript"/>
              </w:rPr>
              <w:t>3</w:t>
            </w:r>
            <w:r w:rsidRPr="00A05343">
              <w:rPr>
                <w:rFonts w:ascii="Arial" w:hAnsi="Arial" w:cs="Arial"/>
                <w:sz w:val="18"/>
                <w:szCs w:val="18"/>
              </w:rPr>
              <w:t>H</w:t>
            </w:r>
            <w:r w:rsidRPr="00A05343">
              <w:rPr>
                <w:rFonts w:ascii="Arial" w:hAnsi="Arial" w:cs="Arial"/>
                <w:sz w:val="18"/>
                <w:szCs w:val="18"/>
                <w:vertAlign w:val="subscript"/>
              </w:rPr>
              <w:t>8</w:t>
            </w:r>
            <w:r w:rsidRPr="00A05343">
              <w:rPr>
                <w:rFonts w:ascii="Arial" w:hAnsi="Arial" w:cs="Arial"/>
                <w:sz w:val="18"/>
                <w:szCs w:val="18"/>
              </w:rPr>
              <w:t xml:space="preserve"> [% v/v]</w:t>
            </w:r>
          </w:p>
        </w:tc>
      </w:tr>
      <w:tr w:rsidR="003661F1" w:rsidRPr="007A5F29" w:rsidTr="00F31B49">
        <w:trPr>
          <w:trHeight w:val="90"/>
        </w:trPr>
        <w:tc>
          <w:tcPr>
            <w:tcW w:w="1205"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Mix 1</w:t>
            </w:r>
          </w:p>
        </w:tc>
        <w:tc>
          <w:tcPr>
            <w:tcW w:w="1114"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100</w:t>
            </w:r>
          </w:p>
        </w:tc>
        <w:tc>
          <w:tcPr>
            <w:tcW w:w="1111"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0</w:t>
            </w:r>
          </w:p>
        </w:tc>
        <w:tc>
          <w:tcPr>
            <w:tcW w:w="1570"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0</w:t>
            </w:r>
          </w:p>
        </w:tc>
      </w:tr>
      <w:tr w:rsidR="003661F1" w:rsidRPr="007A5F29" w:rsidTr="00F31B49">
        <w:trPr>
          <w:trHeight w:val="94"/>
        </w:trPr>
        <w:tc>
          <w:tcPr>
            <w:tcW w:w="1205"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Mix 2</w:t>
            </w:r>
          </w:p>
        </w:tc>
        <w:tc>
          <w:tcPr>
            <w:tcW w:w="1114"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90</w:t>
            </w:r>
          </w:p>
        </w:tc>
        <w:tc>
          <w:tcPr>
            <w:tcW w:w="1111"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10</w:t>
            </w:r>
          </w:p>
        </w:tc>
        <w:tc>
          <w:tcPr>
            <w:tcW w:w="1570"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0</w:t>
            </w:r>
          </w:p>
        </w:tc>
      </w:tr>
      <w:tr w:rsidR="003661F1" w:rsidRPr="007A5F29" w:rsidTr="0044318E">
        <w:trPr>
          <w:trHeight w:val="53"/>
        </w:trPr>
        <w:tc>
          <w:tcPr>
            <w:tcW w:w="1205"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Mix 3</w:t>
            </w:r>
          </w:p>
        </w:tc>
        <w:tc>
          <w:tcPr>
            <w:tcW w:w="1114"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80</w:t>
            </w:r>
          </w:p>
        </w:tc>
        <w:tc>
          <w:tcPr>
            <w:tcW w:w="1111"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10</w:t>
            </w:r>
          </w:p>
        </w:tc>
        <w:tc>
          <w:tcPr>
            <w:tcW w:w="1570" w:type="pct"/>
            <w:shd w:val="clear" w:color="auto" w:fill="FFFFFF"/>
          </w:tcPr>
          <w:p w:rsidR="003661F1" w:rsidRPr="00A05343" w:rsidRDefault="003661F1" w:rsidP="0044318E">
            <w:pPr>
              <w:pStyle w:val="Els-table-text"/>
              <w:spacing w:after="0" w:line="240" w:lineRule="auto"/>
              <w:rPr>
                <w:rFonts w:ascii="Arial" w:hAnsi="Arial" w:cs="Arial"/>
                <w:sz w:val="18"/>
                <w:szCs w:val="18"/>
              </w:rPr>
            </w:pPr>
            <w:r w:rsidRPr="00A05343">
              <w:rPr>
                <w:rFonts w:ascii="Arial" w:hAnsi="Arial" w:cs="Arial"/>
                <w:sz w:val="18"/>
                <w:szCs w:val="18"/>
              </w:rPr>
              <w:t>10</w:t>
            </w:r>
          </w:p>
        </w:tc>
      </w:tr>
    </w:tbl>
    <w:p w:rsidR="003661F1" w:rsidRDefault="003661F1" w:rsidP="00A23C3E">
      <w:pPr>
        <w:pStyle w:val="CETBodytext"/>
        <w:spacing w:before="120"/>
      </w:pPr>
      <w:r>
        <w:t xml:space="preserve">A detailed kinetic model, entitled KIBO, has been recently produced by the current authors </w:t>
      </w:r>
      <w:r>
        <w:fldChar w:fldCharType="begin" w:fldLock="1"/>
      </w:r>
      <w:r w:rsidR="002E1DA3">
        <w:instrText>ADDIN CSL_CITATION {"citationItems":[{"id":"ITEM-1","itemData":{"author":[{"dropping-particle":"","family":"Pio","given":"Gianmaria","non-dropping-particle":"","parse-names":false,"suffix":""},{"dropping-particle":"","family":"Palma","given":"Vincenzo","non-dropping-particle":"","parse-names":false,"suffix":""},{"dropping-particle":"","family":"Salzano","given":"Ernesto","non-dropping-particle":"","parse-names":false,"suffix":""}],"container-title":"Ind. Eng. Chem. Res.","id":"ITEM-1","issued":{"date-parts":[["2018"]]},"page":"7130-7135","title":"Comparison and validation of detailed kinetic models for the oxidation of light alkenes","type":"article-journal","volume":"57"},"uris":["http://www.mendeley.com/documents/?uuid=8802e080-40e8-4730-9486-bc40eeea2a96"]}],"mendeley":{"formattedCitation":"(Pio et al., 2018)","plainTextFormattedCitation":"(Pio et al., 2018)","previouslyFormattedCitation":"(Pio et al., 2018)"},"properties":{"noteIndex":0},"schema":"https://github.com/citation-style-language/schema/raw/master/csl-citation.json"}</w:instrText>
      </w:r>
      <w:r>
        <w:fldChar w:fldCharType="separate"/>
      </w:r>
      <w:r w:rsidR="002E1DA3" w:rsidRPr="002E1DA3">
        <w:rPr>
          <w:noProof/>
        </w:rPr>
        <w:t>(Pio et al., 2018)</w:t>
      </w:r>
      <w:r>
        <w:fldChar w:fldCharType="end"/>
      </w:r>
      <w:r>
        <w:t>, proven as the optimized mechanism for the prediction of C</w:t>
      </w:r>
      <w:r w:rsidRPr="00BD358C">
        <w:rPr>
          <w:vertAlign w:val="subscript"/>
        </w:rPr>
        <w:t>0</w:t>
      </w:r>
      <w:r>
        <w:t>–C</w:t>
      </w:r>
      <w:r w:rsidRPr="00BD358C">
        <w:rPr>
          <w:vertAlign w:val="subscript"/>
        </w:rPr>
        <w:t>4</w:t>
      </w:r>
      <w:r>
        <w:t xml:space="preserve"> oxidative reactions at the investigated conditions </w:t>
      </w:r>
      <w:r>
        <w:fldChar w:fldCharType="begin" w:fldLock="1"/>
      </w:r>
      <w:r w:rsidR="002E1DA3">
        <w:instrText>ADDIN CSL_CITATION {"citationItems":[{"id":"ITEM-1","itemData":{"DOI":"10.1021/acs.energyfuels.8b01796","author":[{"dropping-particle":"","family":"Pio","given":"G.","non-dropping-particle":"","parse-names":false,"suffix":""},{"dropping-particle":"","family":"Salzano","given":"E.","non-dropping-particle":"","parse-names":false,"suffix":""}],"container-title":"Energy &amp; Fuels","id":"ITEM-1","issued":{"date-parts":[["2018"]]},"page":"8830-8836","title":"Laminar Burning Velocity of Methane, Hydrogen and Their Mixtures at Extremely Low Temperature Conditions","type":"article-journal","volume":"32"},"uris":["http://www.mendeley.com/documents/?uuid=0dd30436-7232-49a1-9df1-2c6cfba77823"]}],"mendeley":{"formattedCitation":"(Pio and Salzano, 2018)","manualFormatting":"(Pio and Salzano, 2018a)","plainTextFormattedCitation":"(Pio and Salzano, 2018)","previouslyFormattedCitation":"(Pio and Salzano, 2018)"},"properties":{"noteIndex":0},"schema":"https://github.com/citation-style-language/schema/raw/master/csl-citation.json"}</w:instrText>
      </w:r>
      <w:r>
        <w:fldChar w:fldCharType="separate"/>
      </w:r>
      <w:r w:rsidRPr="00D8236F">
        <w:rPr>
          <w:noProof/>
        </w:rPr>
        <w:t>(Pio and Salzano, 2018</w:t>
      </w:r>
      <w:r>
        <w:rPr>
          <w:noProof/>
        </w:rPr>
        <w:t>a</w:t>
      </w:r>
      <w:r w:rsidRPr="00D8236F">
        <w:rPr>
          <w:noProof/>
        </w:rPr>
        <w:t>)</w:t>
      </w:r>
      <w:r>
        <w:fldChar w:fldCharType="end"/>
      </w:r>
      <w:r>
        <w:t xml:space="preserve"> and validated for the evaluation of safety parameters and system reactivity for methane-based fuels </w:t>
      </w:r>
      <w:r>
        <w:fldChar w:fldCharType="begin" w:fldLock="1"/>
      </w:r>
      <w:r w:rsidR="002E1DA3">
        <w:instrText>ADDIN CSL_CITATION {"citationItems":[{"id":"ITEM-1","itemData":{"DOI":"10.1016/j.fuel.2018.07.110","ISSN":"00162361","abstract":"The effect of a hydrogen addition to the combustion chemistry of light alkanes was evaluated by the experimental and numerical determination of the laminar burning velocity of methane/propane/hydrogen mixtures in air at different equivalence ratios and fuel compositions by using a heat flux burner. The experimental results have been compared with additional data selected for the main experimental rig commonly adopted in current literature. The obtained set of data was used for the validation of the detailed kinetic model developed by the University of Bologna. Subsequently, an in-depth analysis on the reaction system was carried out in order to evaluate the effects of a low hydrogen content on the reaction paths, concentrations profiles of the main combustion products and temperature profiles with respect to the distance from the burner. Thus, additional information was obtained by means of a sensitivity analysis, evaluating the relative relevance of each reaction on the laminar burning velocity and comparing obtained the results for all the investigated conditions.","author":[{"dropping-particle":"","family":"Salzano","given":"Ernesto","non-dropping-particle":"","parse-names":false,"suffix":""},{"dropping-particle":"","family":"Pio","given":"Gianmaria","non-dropping-particle":"","parse-names":false,"suffix":""},{"dropping-particle":"","family":"Ricca","given":"Antonio","non-dropping-particle":"","parse-names":false,"suffix":""},{"dropping-particle":"","family":"Palma","given":"Vincenzo","non-dropping-particle":"","parse-names":false,"suffix":""}],"container-title":"Fuel","id":"ITEM-1","issue":"May","issued":{"date-parts":[["2018"]]},"page":"1064-1070","title":"The effect of a hydrogen addition to the premixed flame structure of light alkanes","type":"article-journal","volume":"234"},"uris":["http://www.mendeley.com/documents/?uuid=db34bdd6-533d-4f18-a92d-9ad3ea8f2aa4"]}],"mendeley":{"formattedCitation":"(Salzano et al., 2018)","manualFormatting":"(Salzano et al., 2018)","plainTextFormattedCitation":"(Salzano et al., 2018)","previouslyFormattedCitation":"(Salzano et al., 2018)"},"properties":{"noteIndex":0},"schema":"https://github.com/citation-style-language/schema/raw/master/csl-citation.json"}</w:instrText>
      </w:r>
      <w:r>
        <w:fldChar w:fldCharType="separate"/>
      </w:r>
      <w:r>
        <w:rPr>
          <w:noProof/>
        </w:rPr>
        <w:t>(Salzano</w:t>
      </w:r>
      <w:r w:rsidRPr="00D8236F">
        <w:rPr>
          <w:noProof/>
        </w:rPr>
        <w:t xml:space="preserve"> et al., 2018)</w:t>
      </w:r>
      <w:r>
        <w:fldChar w:fldCharType="end"/>
      </w:r>
      <w:r>
        <w:fldChar w:fldCharType="begin" w:fldLock="1"/>
      </w:r>
      <w:r w:rsidR="002E1DA3">
        <w:instrText>ADDIN CSL_CITATION {"citationItems":[{"id":"ITEM-1","itemData":{"DOI":"10.1016/j.jhazmat.2018.09.018","ISSN":"03043894","author":[{"dropping-particle":"","family":"Pio","given":"Gianmaria","non-dropping-particle":"","parse-names":false,"suffix":""},{"dropping-particle":"","family":"Salzano","given":"Ernesto","non-dropping-particle":"","parse-names":false,"suffix":""}],"container-title":"Journal of Hazardous Materials","id":"ITEM-1","issued":{"date-parts":[["2019"]]},"page":"224-229","title":"The effect of ultra-low temperature on the flammability limits of a methane/air/diluent mixtures","type":"article-journal","volume":"362"},"uris":["http://www.mendeley.com/documents/?uuid=9115e7f8-9474-340a-9a29-aa298322a9d2"]}],"mendeley":{"formattedCitation":"(Pio and Salzano, 2019)","plainTextFormattedCitation":"(Pio and Salzano, 2019)","previouslyFormattedCitation":"(Pio and Salzano, 2019)"},"properties":{"noteIndex":0},"schema":"https://github.com/citation-style-language/schema/raw/master/csl-citation.json"}</w:instrText>
      </w:r>
      <w:r>
        <w:fldChar w:fldCharType="separate"/>
      </w:r>
      <w:r w:rsidR="002E1DA3" w:rsidRPr="002E1DA3">
        <w:rPr>
          <w:noProof/>
        </w:rPr>
        <w:t>(Pio and Salzano, 2019)</w:t>
      </w:r>
      <w:r>
        <w:fldChar w:fldCharType="end"/>
      </w:r>
      <w:r>
        <w:t>. In order to reduce the number of reactions and compounds considered without relevant reduction in the estimation quality of kinetic model and main combustion products distribution (e.g. CO</w:t>
      </w:r>
      <w:r w:rsidRPr="00BD358C">
        <w:rPr>
          <w:vertAlign w:val="subscript"/>
        </w:rPr>
        <w:t>2</w:t>
      </w:r>
      <w:r>
        <w:t>, H</w:t>
      </w:r>
      <w:r w:rsidRPr="00BD358C">
        <w:rPr>
          <w:vertAlign w:val="subscript"/>
        </w:rPr>
        <w:t>2</w:t>
      </w:r>
      <w:r>
        <w:t xml:space="preserve">O, CO and soot), a sensitivity analysis and reaction path analysis were performed at different temperatures and equivalence ratio by using the open source code Cantera </w:t>
      </w:r>
      <w:r>
        <w:fldChar w:fldCharType="begin" w:fldLock="1"/>
      </w:r>
      <w:r w:rsidR="002E1DA3">
        <w:instrText>ADDIN CSL_CITATION {"citationItems":[{"id":"ITEM-1","itemData":{"ISBN":"1566773784","abstract":"Numerical simulation has come to play a central role alongside experiment in CVD research, and, like experiment, requires sophisticated tools in order to be used most effectively. In this paper, a suite of open-source, freely-available software tools for problems involving coupled kinetic and transport processes is discussed. The suite, known as Cantera, is designed to efficiently simulate problems with large elementary reaction mechanisms, and includes tools to model stirred reactor networks and stagna- tion flows with surface chemistry, to compute chemical equilibrium, and to generate reaction path diagrams automatically, among many others. It can be used on all com- mon platforms, and interfaces are provided for MATLAB, Python, Fortran 90, and C++. INTRODUCTION","author":[{"dropping-particle":"","family":"Goodwin","given":"David G","non-dropping-particle":"","parse-names":false,"suffix":""}],"container-title":"Interfaces","id":"ITEM-1","issue":"626","issued":{"date-parts":[["2003"]]},"number-of-pages":"1-9","title":"An Open Source, Extensible Software Suite FOR CVD Process Simulation","type":"report"},"uris":["http://www.mendeley.com/documents/?uuid=4956a1e8-f21c-47d2-9f81-dc0716faa416"]}],"mendeley":{"formattedCitation":"(Goodwin, 2003)","plainTextFormattedCitation":"(Goodwin, 2003)","previouslyFormattedCitation":"(Goodwin, 2003)"},"properties":{"noteIndex":0},"schema":"https://github.com/citation-style-language/schema/raw/master/csl-citation.json"}</w:instrText>
      </w:r>
      <w:r>
        <w:fldChar w:fldCharType="separate"/>
      </w:r>
      <w:r w:rsidR="002E1DA3" w:rsidRPr="002E1DA3">
        <w:rPr>
          <w:noProof/>
        </w:rPr>
        <w:t>(Goodwin, 2003)</w:t>
      </w:r>
      <w:r>
        <w:fldChar w:fldCharType="end"/>
      </w:r>
      <w:r>
        <w:t xml:space="preserve">. The main combustion products and the resulting reactions were </w:t>
      </w:r>
      <w:r w:rsidR="00FF4C91">
        <w:t>sorted</w:t>
      </w:r>
      <w:r>
        <w:t xml:space="preserve"> according to their relevance in the reaction system, expressed in terms of normalized </w:t>
      </w:r>
      <w:r w:rsidR="00FF4C91">
        <w:t>sensitivity coefficients (NSCs);</w:t>
      </w:r>
      <w:r>
        <w:t xml:space="preserve"> i.e. the absolute value of the NSC of each reaction was calculated and adopted as sorting crit</w:t>
      </w:r>
      <w:r w:rsidR="00FF4C91">
        <w:t>eria for each studied condition.</w:t>
      </w:r>
      <w:r>
        <w:t xml:space="preserve"> </w:t>
      </w:r>
      <w:r w:rsidR="00FF4C91">
        <w:t>T</w:t>
      </w:r>
      <w:r>
        <w:t>hen</w:t>
      </w:r>
      <w:r w:rsidR="00FF4C91">
        <w:t>,</w:t>
      </w:r>
      <w:r>
        <w:t xml:space="preserve"> values corresponding to the obtained ranking were attributed, summed and utilized to sort the reactions. Further information on the adopted procedure can be found elsewhere (Pio and Salzano, 2018b). The evaporation rate for cryogenic liquid was modeled assuming that it was governed by Stefan diffusion, as described in the Equation 2</w:t>
      </w:r>
    </w:p>
    <w:tbl>
      <w:tblPr>
        <w:tblW w:w="5000" w:type="pct"/>
        <w:tblLook w:val="04A0" w:firstRow="1" w:lastRow="0" w:firstColumn="1" w:lastColumn="0" w:noHBand="0" w:noVBand="1"/>
      </w:tblPr>
      <w:tblGrid>
        <w:gridCol w:w="7088"/>
        <w:gridCol w:w="1699"/>
      </w:tblGrid>
      <w:tr w:rsidR="003661F1" w:rsidRPr="007A5F29" w:rsidTr="00F31B49">
        <w:tc>
          <w:tcPr>
            <w:tcW w:w="7088" w:type="dxa"/>
            <w:shd w:val="clear" w:color="auto" w:fill="auto"/>
            <w:vAlign w:val="center"/>
          </w:tcPr>
          <w:p w:rsidR="003661F1" w:rsidRPr="00BD358C" w:rsidRDefault="00395D75" w:rsidP="00F31B49">
            <w:pPr>
              <w:pStyle w:val="CETBodytext"/>
              <w:spacing w:before="120" w:after="120"/>
              <w:rPr>
                <w:lang w:val="en-GB"/>
              </w:rPr>
            </w:pPr>
            <m:oMathPara>
              <m:oMathParaPr>
                <m:jc m:val="left"/>
              </m:oMathParaPr>
              <m:oMath>
                <m:sSup>
                  <m:sSupPr>
                    <m:ctrlPr>
                      <w:rPr>
                        <w:rFonts w:ascii="Cambria Math" w:hAnsi="Cambria Math"/>
                        <w:i/>
                      </w:rPr>
                    </m:ctrlPr>
                  </m:sSupPr>
                  <m:e>
                    <m:acc>
                      <m:accPr>
                        <m:chr m:val="̇"/>
                        <m:ctrlPr>
                          <w:rPr>
                            <w:rFonts w:ascii="Cambria Math" w:hAnsi="Cambria Math"/>
                            <w:i/>
                          </w:rPr>
                        </m:ctrlPr>
                      </m:accPr>
                      <m:e>
                        <m:r>
                          <w:rPr>
                            <w:rFonts w:ascii="Cambria Math" w:hAnsi="Cambria Math"/>
                          </w:rPr>
                          <m:t>m</m:t>
                        </m:r>
                      </m:e>
                    </m:acc>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m:t>
                    </m:r>
                  </m:sub>
                </m:sSub>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W</m:t>
                            </m:r>
                          </m:e>
                          <m:sub>
                            <m:r>
                              <w:rPr>
                                <w:rFonts w:ascii="Cambria Math" w:hAnsi="Cambria Math"/>
                              </w:rPr>
                              <m:t>f</m:t>
                            </m:r>
                          </m:sub>
                        </m:sSub>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g</m:t>
                            </m:r>
                          </m:sub>
                        </m:sSub>
                      </m:den>
                    </m:f>
                    <m:r>
                      <w:rPr>
                        <w:rFonts w:ascii="Cambria Math" w:hAnsi="Cambria Math"/>
                      </w:rPr>
                      <m:t xml:space="preserve"> </m:t>
                    </m:r>
                  </m:e>
                </m:d>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f,g</m:t>
                            </m:r>
                          </m:sub>
                        </m:sSub>
                        <m:r>
                          <w:rPr>
                            <w:rFonts w:ascii="Cambria Math"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f,l</m:t>
                            </m:r>
                          </m:sub>
                        </m:sSub>
                        <m:r>
                          <w:rPr>
                            <w:rFonts w:ascii="Cambria Math" w:hAnsi="Cambria Math"/>
                          </w:rPr>
                          <m:t>-1</m:t>
                        </m:r>
                      </m:den>
                    </m:f>
                  </m:e>
                </m:d>
              </m:oMath>
            </m:oMathPara>
          </w:p>
        </w:tc>
        <w:tc>
          <w:tcPr>
            <w:tcW w:w="1699" w:type="dxa"/>
            <w:shd w:val="clear" w:color="auto" w:fill="auto"/>
            <w:vAlign w:val="center"/>
          </w:tcPr>
          <w:p w:rsidR="003661F1" w:rsidRPr="007A5F29" w:rsidRDefault="003661F1" w:rsidP="00F31B49">
            <w:pPr>
              <w:pStyle w:val="CETBodytext"/>
              <w:spacing w:before="120" w:after="120"/>
              <w:jc w:val="right"/>
              <w:rPr>
                <w:lang w:val="en-GB"/>
              </w:rPr>
            </w:pPr>
            <w:r>
              <w:rPr>
                <w:lang w:val="en-GB"/>
              </w:rPr>
              <w:t>(2</w:t>
            </w:r>
            <w:r w:rsidRPr="007A5F29">
              <w:rPr>
                <w:lang w:val="en-GB"/>
              </w:rPr>
              <w:t>)</w:t>
            </w:r>
          </w:p>
        </w:tc>
      </w:tr>
    </w:tbl>
    <w:p w:rsidR="003661F1" w:rsidRDefault="003661F1" w:rsidP="00A23C3E">
      <w:pPr>
        <w:pStyle w:val="CETBodytext"/>
      </w:pPr>
      <w:r>
        <w:t>where P stands for pressure, T</w:t>
      </w:r>
      <w:r w:rsidRPr="0056148B">
        <w:rPr>
          <w:vertAlign w:val="subscript"/>
        </w:rPr>
        <w:t>g</w:t>
      </w:r>
      <w:r>
        <w:t xml:space="preserve"> for gas temperature, x</w:t>
      </w:r>
      <w:r w:rsidRPr="00BD358C">
        <w:rPr>
          <w:vertAlign w:val="subscript"/>
        </w:rPr>
        <w:t>f,g</w:t>
      </w:r>
      <w:r>
        <w:t xml:space="preserve"> for the fuel vapor volume fraction in the grid cell adjacent to the pool surface, x</w:t>
      </w:r>
      <w:r w:rsidRPr="00BD358C">
        <w:rPr>
          <w:vertAlign w:val="subscript"/>
        </w:rPr>
        <w:t>f,l</w:t>
      </w:r>
      <w:r>
        <w:t xml:space="preserve"> for the fuel volume fraction in the liquid mixture, W</w:t>
      </w:r>
      <w:r w:rsidRPr="00BD358C">
        <w:rPr>
          <w:vertAlign w:val="subscript"/>
        </w:rPr>
        <w:t>f</w:t>
      </w:r>
      <w:r>
        <w:t xml:space="preserve"> for the molecular weight of the fuel gas, R for the ideal gas constant and h</w:t>
      </w:r>
      <w:r w:rsidRPr="00BD358C">
        <w:rPr>
          <w:vertAlign w:val="subscript"/>
        </w:rPr>
        <w:t>m</w:t>
      </w:r>
      <w:r>
        <w:t xml:space="preserve"> is the convective mass transfer coefficient calculated by using the correlation (Equation 3) expressed in terms of the dimensionless number Sherwood (Sh), Schmidt (Sc) and Reynolds (Re), </w:t>
      </w:r>
    </w:p>
    <w:tbl>
      <w:tblPr>
        <w:tblW w:w="5000" w:type="pct"/>
        <w:tblLook w:val="04A0" w:firstRow="1" w:lastRow="0" w:firstColumn="1" w:lastColumn="0" w:noHBand="0" w:noVBand="1"/>
      </w:tblPr>
      <w:tblGrid>
        <w:gridCol w:w="7088"/>
        <w:gridCol w:w="1699"/>
      </w:tblGrid>
      <w:tr w:rsidR="003661F1" w:rsidRPr="007A5F29" w:rsidTr="00F31B49">
        <w:tc>
          <w:tcPr>
            <w:tcW w:w="7088" w:type="dxa"/>
            <w:shd w:val="clear" w:color="auto" w:fill="auto"/>
            <w:vAlign w:val="center"/>
          </w:tcPr>
          <w:p w:rsidR="003661F1" w:rsidRPr="00BD358C" w:rsidRDefault="003661F1" w:rsidP="00F31B49">
            <w:pPr>
              <w:pStyle w:val="CETBodytext"/>
              <w:spacing w:before="120" w:after="120"/>
              <w:rPr>
                <w:lang w:val="en-GB"/>
              </w:rPr>
            </w:pPr>
            <m:oMathPara>
              <m:oMathParaPr>
                <m:jc m:val="left"/>
              </m:oMathParaPr>
              <m:oMath>
                <m:r>
                  <w:rPr>
                    <w:rFonts w:ascii="Cambria Math" w:hAnsi="Cambria Math"/>
                  </w:rPr>
                  <m:t xml:space="preserve">Sh= </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m</m:t>
                        </m:r>
                      </m:sub>
                    </m:sSub>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l,g</m:t>
                        </m:r>
                      </m:sub>
                    </m:sSub>
                  </m:den>
                </m:f>
                <m:r>
                  <w:rPr>
                    <w:rFonts w:ascii="Cambria Math" w:hAnsi="Cambria Math"/>
                  </w:rPr>
                  <m:t>=0.037∙</m:t>
                </m:r>
                <m:sSup>
                  <m:sSupPr>
                    <m:ctrlPr>
                      <w:rPr>
                        <w:rFonts w:ascii="Cambria Math" w:hAnsi="Cambria Math"/>
                        <w:i/>
                      </w:rPr>
                    </m:ctrlPr>
                  </m:sSupPr>
                  <m:e>
                    <m:r>
                      <w:rPr>
                        <w:rFonts w:ascii="Cambria Math" w:hAnsi="Cambria Math"/>
                      </w:rPr>
                      <m:t>Sc</m:t>
                    </m:r>
                  </m:e>
                  <m:sup>
                    <m:r>
                      <w:rPr>
                        <w:rFonts w:ascii="Cambria Math" w:hAnsi="Cambria Math"/>
                      </w:rPr>
                      <m:t>1/3</m:t>
                    </m:r>
                  </m:sup>
                </m:sSup>
                <m:r>
                  <w:rPr>
                    <w:rFonts w:ascii="Cambria Math" w:hAnsi="Cambria Math"/>
                  </w:rPr>
                  <m:t>∙</m:t>
                </m:r>
                <m:sSup>
                  <m:sSupPr>
                    <m:ctrlPr>
                      <w:rPr>
                        <w:rFonts w:ascii="Cambria Math" w:hAnsi="Cambria Math"/>
                        <w:i/>
                      </w:rPr>
                    </m:ctrlPr>
                  </m:sSupPr>
                  <m:e>
                    <m:r>
                      <w:rPr>
                        <w:rFonts w:ascii="Cambria Math" w:hAnsi="Cambria Math"/>
                      </w:rPr>
                      <m:t>Re</m:t>
                    </m:r>
                  </m:e>
                  <m:sup>
                    <m:r>
                      <w:rPr>
                        <w:rFonts w:ascii="Cambria Math" w:hAnsi="Cambria Math"/>
                      </w:rPr>
                      <m:t>4/5</m:t>
                    </m:r>
                  </m:sup>
                </m:sSup>
              </m:oMath>
            </m:oMathPara>
          </w:p>
        </w:tc>
        <w:tc>
          <w:tcPr>
            <w:tcW w:w="1699" w:type="dxa"/>
            <w:shd w:val="clear" w:color="auto" w:fill="auto"/>
            <w:vAlign w:val="center"/>
          </w:tcPr>
          <w:p w:rsidR="003661F1" w:rsidRPr="007A5F29" w:rsidRDefault="003661F1" w:rsidP="00F31B49">
            <w:pPr>
              <w:pStyle w:val="CETBodytext"/>
              <w:spacing w:before="120" w:after="120"/>
              <w:jc w:val="right"/>
              <w:rPr>
                <w:lang w:val="en-GB"/>
              </w:rPr>
            </w:pPr>
            <w:r>
              <w:rPr>
                <w:lang w:val="en-GB"/>
              </w:rPr>
              <w:t>(3</w:t>
            </w:r>
            <w:r w:rsidRPr="007A5F29">
              <w:rPr>
                <w:lang w:val="en-GB"/>
              </w:rPr>
              <w:t>)</w:t>
            </w:r>
          </w:p>
        </w:tc>
      </w:tr>
    </w:tbl>
    <w:p w:rsidR="003661F1" w:rsidRDefault="003661F1" w:rsidP="00A23C3E">
      <w:pPr>
        <w:pStyle w:val="CETBodytext"/>
      </w:pPr>
      <w:r>
        <w:t>where L is the length scale and D</w:t>
      </w:r>
      <w:r w:rsidRPr="002A0385">
        <w:rPr>
          <w:vertAlign w:val="subscript"/>
        </w:rPr>
        <w:t>l</w:t>
      </w:r>
      <w:r>
        <w:t>,</w:t>
      </w:r>
      <w:r w:rsidRPr="00BD358C">
        <w:rPr>
          <w:vertAlign w:val="subscript"/>
        </w:rPr>
        <w:t>g</w:t>
      </w:r>
      <w:r>
        <w:t xml:space="preserve"> the mass diffusivity. Physical properties of the analyzed species (i.e. methane, ethane, propane, carbon monoxide, carbon dioxide, nitrogen, oxygen, water and soot) and their dependence on the temperature were estimated by using the thermodynamic and transport coefficient databases included in the KIBO mechanism, for LNG compounds, and default values included in the FDS package for the other species, since negligible discrepancies were observed among these data at temperature above the room temperature. Further information regarding the adopted models for the dispersion of the LNG vapor can be found elsewhere </w:t>
      </w:r>
      <w:r w:rsidR="00FF4C91">
        <w:fldChar w:fldCharType="begin" w:fldLock="1"/>
      </w:r>
      <w:r w:rsidR="002E1DA3">
        <w:instrText>ADDIN CSL_CITATION {"citationItems":[{"id":"ITEM-1","itemData":{"DOI":"10.6028/NIST.SP.1018","ISBN":"NIST Special Publication 1018","author":[{"dropping-particle":"","family":"McGrattan","given":"Kevin","non-dropping-particle":"","parse-names":false,"suffix":""},{"dropping-particle":"","family":"Hostikka","given":"Simo","non-dropping-particle":"","parse-names":false,"suffix":""},{"dropping-particle":"","family":"McDermott","given":"Randall","non-dropping-particle":"","parse-names":false,"suffix":""},{"dropping-particle":"","family":"Floyd","given":"Jason","non-dropping-particle":"","parse-names":false,"suffix":""},{"dropping-particle":"","family":"Weinschenk","given":"Craig","non-dropping-particle":"","parse-names":false,"suffix":""},{"dropping-particle":"","family":"Overholt","given":"Kristopher","non-dropping-particle":"","parse-names":false,"suffix":""}],"container-title":"NIST Special Publication 1018-1","id":"ITEM-1","issued":{"date-parts":[["2017"]]},"title":"Fire Dynamics Simulator Technical Reference Guide Volume 1: Mathematical Model","type":"article-journal","volume":"1"},"uris":["http://www.mendeley.com/documents/?uuid=abb53c51-2411-4add-836f-82d5fd716ab4"]}],"mendeley":{"formattedCitation":"(McGrattan et al., 2017)","plainTextFormattedCitation":"(McGrattan et al., 2017)","previouslyFormattedCitation":"(McGrattan et al., 2017)"},"properties":{"noteIndex":0},"schema":"https://github.com/citation-style-language/schema/raw/master/csl-citation.json"}</w:instrText>
      </w:r>
      <w:r w:rsidR="00FF4C91">
        <w:fldChar w:fldCharType="separate"/>
      </w:r>
      <w:r w:rsidR="002E1DA3" w:rsidRPr="002E1DA3">
        <w:rPr>
          <w:noProof/>
        </w:rPr>
        <w:t>(McGrattan et al., 2017)</w:t>
      </w:r>
      <w:r w:rsidR="00FF4C91">
        <w:fldChar w:fldCharType="end"/>
      </w:r>
      <w:r>
        <w:t>. By combining these approaches, the LNG pool fire scenario was evaluated for the aforementioned fuel compositions, at homogeneous initial room temperature of 20 °C. A pool of 1 m x 1 m x 0.01 m was modelled to evaluate the small-scale case, assuming open field, absence of obstacles and wind. For the sake of computational time reduction, a symmetry plane was considered, so that the system was simplified to a 2-dimensional domain. Suitable devices were placed at several distances from the pool to evaluate the distribution of temperature, reactants and main combustion products (i.e. CO, CO</w:t>
      </w:r>
      <w:r w:rsidRPr="00542EB7">
        <w:rPr>
          <w:vertAlign w:val="subscript"/>
        </w:rPr>
        <w:t>2</w:t>
      </w:r>
      <w:r>
        <w:t xml:space="preserve"> and H</w:t>
      </w:r>
      <w:r w:rsidRPr="00542EB7">
        <w:rPr>
          <w:vertAlign w:val="subscript"/>
        </w:rPr>
        <w:t>2</w:t>
      </w:r>
      <w:r>
        <w:t xml:space="preserve">O) volume fraction and heat radiation with respect to the position and time. Finally, the floor was modelled as concrete having thermal conductivity of 1.65 W/(mK), as reported in the international standard </w:t>
      </w:r>
      <w:r>
        <w:fldChar w:fldCharType="begin" w:fldLock="1"/>
      </w:r>
      <w:r w:rsidR="002E1DA3">
        <w:instrText>ADDIN CSL_CITATION {"citationItems":[{"id":"ITEM-1","itemData":{"DOI":"10.1017/CBO9781107415324.004","ISBN":"9788578110796","ISSN":"1098-6596","PMID":"15612810","abstract":"Matériaux et produits pour le bâtiment — Propriétés hygrothermiques — Valeurs utiles tabulées et procédures pour la détermination des valeurs thermiques déclarées et utiles ISO/FDIS 10456:2007(E)","author":[{"dropping-particle":"","family":"International Organization for Standardization","given":"","non-dropping-particle":"","parse-names":false,"suffix":""}],"container-title":"CEN","id":"ITEM-1","issued":{"date-parts":[["2007"]]},"title":"ISO 10456:2007 (E) : Building materials and products - Hygrothermal properties -Tabulated design values and procedures for determining declared and design thermal values","type":"book"},"uris":["http://www.mendeley.com/documents/?uuid=035d5db2-a920-48c7-8f06-7614697699c9"]}],"mendeley":{"formattedCitation":"(International Organization for Standardization, 2007)","manualFormatting":"EN-ISO 10456:2007","plainTextFormattedCitation":"(International Organization for Standardization, 2007)","previouslyFormattedCitation":"(International Organization for Standardization, 2007)"},"properties":{"noteIndex":0},"schema":"https://github.com/citation-style-language/schema/raw/master/csl-citation.json"}</w:instrText>
      </w:r>
      <w:r>
        <w:fldChar w:fldCharType="separate"/>
      </w:r>
      <w:r>
        <w:rPr>
          <w:noProof/>
        </w:rPr>
        <w:t>EN-ISO 10456:2007</w:t>
      </w:r>
      <w:r>
        <w:fldChar w:fldCharType="end"/>
      </w:r>
      <w:r>
        <w:t>. To perform quantitative comparison of the soot formation between the investigated mixture, the total mass of produced soot (Δm</w:t>
      </w:r>
      <w:r w:rsidRPr="00542EB7">
        <w:rPr>
          <w:vertAlign w:val="subscript"/>
        </w:rPr>
        <w:t>s</w:t>
      </w:r>
      <w:r>
        <w:t>) was estimated and utilized to calculate the soot yield (Y</w:t>
      </w:r>
      <w:r w:rsidRPr="00542EB7">
        <w:rPr>
          <w:vertAlign w:val="subscript"/>
        </w:rPr>
        <w:t>s</w:t>
      </w:r>
      <w:r>
        <w:t>) by dividing for the total mass of fuel consumed (∑Δm</w:t>
      </w:r>
      <w:r w:rsidRPr="00542EB7">
        <w:rPr>
          <w:vertAlign w:val="subscript"/>
        </w:rPr>
        <w:t>f</w:t>
      </w:r>
      <w:r>
        <w:t>) as defined in the Equation 4.</w:t>
      </w:r>
    </w:p>
    <w:tbl>
      <w:tblPr>
        <w:tblW w:w="5000" w:type="pct"/>
        <w:tblLook w:val="04A0" w:firstRow="1" w:lastRow="0" w:firstColumn="1" w:lastColumn="0" w:noHBand="0" w:noVBand="1"/>
      </w:tblPr>
      <w:tblGrid>
        <w:gridCol w:w="7088"/>
        <w:gridCol w:w="1699"/>
      </w:tblGrid>
      <w:tr w:rsidR="003661F1" w:rsidRPr="007A5F29" w:rsidTr="00F31B49">
        <w:tc>
          <w:tcPr>
            <w:tcW w:w="7088" w:type="dxa"/>
            <w:shd w:val="clear" w:color="auto" w:fill="auto"/>
            <w:vAlign w:val="center"/>
          </w:tcPr>
          <w:p w:rsidR="003661F1" w:rsidRPr="00BD358C" w:rsidRDefault="00395D75" w:rsidP="00F31B49">
            <w:pPr>
              <w:pStyle w:val="CETBodytext"/>
              <w:spacing w:before="120" w:after="120"/>
              <w:rPr>
                <w:lang w:val="en-GB"/>
              </w:rPr>
            </w:pPr>
            <m:oMathPara>
              <m:oMathParaPr>
                <m:jc m:val="left"/>
              </m:oMathParaPr>
              <m:oMath>
                <m:sSub>
                  <m:sSubPr>
                    <m:ctrlPr>
                      <w:rPr>
                        <w:rFonts w:ascii="Cambria Math" w:hAnsi="Cambria Math"/>
                        <w:i/>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s</m:t>
                    </m:r>
                  </m:sub>
                </m:sSub>
                <m:r>
                  <m:rPr>
                    <m:sty m:val="p"/>
                  </m:rPr>
                  <w:rPr>
                    <w:rFonts w:ascii="Cambria Math" w:hAnsi="Cambria Math"/>
                    <w:color w:val="000000" w:themeColor="text1"/>
                  </w:rPr>
                  <m:t xml:space="preserve">= </m:t>
                </m:r>
                <m:f>
                  <m:fPr>
                    <m:ctrlPr>
                      <w:rPr>
                        <w:rFonts w:ascii="Cambria Math" w:hAnsi="Cambria Math"/>
                        <w:color w:val="000000" w:themeColor="text1"/>
                        <w:szCs w:val="28"/>
                      </w:rPr>
                    </m:ctrlPr>
                  </m:fPr>
                  <m:num>
                    <m:r>
                      <m:rPr>
                        <m:sty m:val="p"/>
                      </m:rPr>
                      <w:rPr>
                        <w:rFonts w:ascii="Cambria Math" w:hAnsi="Cambria Math"/>
                        <w:color w:val="000000" w:themeColor="text1"/>
                        <w:szCs w:val="28"/>
                      </w:rPr>
                      <m:t>Δ</m:t>
                    </m:r>
                    <m:sSub>
                      <m:sSubPr>
                        <m:ctrlPr>
                          <w:rPr>
                            <w:rFonts w:ascii="Cambria Math" w:hAnsi="Cambria Math"/>
                            <w:i/>
                            <w:color w:val="000000" w:themeColor="text1"/>
                            <w:szCs w:val="28"/>
                          </w:rPr>
                        </m:ctrlPr>
                      </m:sSubPr>
                      <m:e>
                        <m:r>
                          <w:rPr>
                            <w:rFonts w:ascii="Cambria Math" w:hAnsi="Cambria Math"/>
                            <w:color w:val="000000" w:themeColor="text1"/>
                            <w:szCs w:val="28"/>
                          </w:rPr>
                          <m:t>m</m:t>
                        </m:r>
                      </m:e>
                      <m:sub>
                        <m:r>
                          <w:rPr>
                            <w:rFonts w:ascii="Cambria Math" w:hAnsi="Cambria Math"/>
                            <w:color w:val="000000" w:themeColor="text1"/>
                            <w:szCs w:val="28"/>
                          </w:rPr>
                          <m:t>s</m:t>
                        </m:r>
                      </m:sub>
                    </m:sSub>
                  </m:num>
                  <m:den>
                    <m:nary>
                      <m:naryPr>
                        <m:chr m:val="∑"/>
                        <m:limLoc m:val="undOvr"/>
                        <m:subHide m:val="1"/>
                        <m:supHide m:val="1"/>
                        <m:ctrlPr>
                          <w:rPr>
                            <w:rFonts w:ascii="Cambria Math" w:hAnsi="Cambria Math"/>
                            <w:i/>
                            <w:color w:val="000000" w:themeColor="text1"/>
                            <w:szCs w:val="28"/>
                          </w:rPr>
                        </m:ctrlPr>
                      </m:naryPr>
                      <m:sub/>
                      <m:sup/>
                      <m:e>
                        <m:sSub>
                          <m:sSubPr>
                            <m:ctrlPr>
                              <w:rPr>
                                <w:rFonts w:ascii="Cambria Math" w:hAnsi="Cambria Math"/>
                                <w:i/>
                                <w:color w:val="000000" w:themeColor="text1"/>
                                <w:szCs w:val="28"/>
                              </w:rPr>
                            </m:ctrlPr>
                          </m:sSubPr>
                          <m:e>
                            <m:r>
                              <m:rPr>
                                <m:sty m:val="p"/>
                              </m:rPr>
                              <w:rPr>
                                <w:rFonts w:ascii="Cambria Math" w:hAnsi="Cambria Math"/>
                                <w:color w:val="000000" w:themeColor="text1"/>
                                <w:szCs w:val="28"/>
                              </w:rPr>
                              <m:t>Δ</m:t>
                            </m:r>
                            <m:r>
                              <w:rPr>
                                <w:rFonts w:ascii="Cambria Math" w:hAnsi="Cambria Math"/>
                                <w:color w:val="000000" w:themeColor="text1"/>
                                <w:szCs w:val="28"/>
                              </w:rPr>
                              <m:t>m</m:t>
                            </m:r>
                          </m:e>
                          <m:sub>
                            <m:r>
                              <w:rPr>
                                <w:rFonts w:ascii="Cambria Math" w:hAnsi="Cambria Math"/>
                                <w:color w:val="000000" w:themeColor="text1"/>
                                <w:szCs w:val="28"/>
                              </w:rPr>
                              <m:t>f</m:t>
                            </m:r>
                          </m:sub>
                        </m:sSub>
                      </m:e>
                    </m:nary>
                  </m:den>
                </m:f>
              </m:oMath>
            </m:oMathPara>
          </w:p>
        </w:tc>
        <w:tc>
          <w:tcPr>
            <w:tcW w:w="1699" w:type="dxa"/>
            <w:shd w:val="clear" w:color="auto" w:fill="auto"/>
            <w:vAlign w:val="center"/>
          </w:tcPr>
          <w:p w:rsidR="003661F1" w:rsidRPr="007A5F29" w:rsidRDefault="003661F1" w:rsidP="00F31B49">
            <w:pPr>
              <w:pStyle w:val="CETBodytext"/>
              <w:spacing w:before="120" w:after="120"/>
              <w:jc w:val="right"/>
              <w:rPr>
                <w:lang w:val="en-GB"/>
              </w:rPr>
            </w:pPr>
            <w:r>
              <w:rPr>
                <w:lang w:val="en-GB"/>
              </w:rPr>
              <w:t>(4</w:t>
            </w:r>
            <w:r w:rsidRPr="007A5F29">
              <w:rPr>
                <w:lang w:val="en-GB"/>
              </w:rPr>
              <w:t>)</w:t>
            </w:r>
          </w:p>
        </w:tc>
      </w:tr>
    </w:tbl>
    <w:p w:rsidR="00600535" w:rsidRPr="00B57B36" w:rsidRDefault="003661F1" w:rsidP="00FA5F5F">
      <w:pPr>
        <w:pStyle w:val="CETheadingx"/>
      </w:pPr>
      <w:r>
        <w:t>Kinetic model reduction</w:t>
      </w:r>
    </w:p>
    <w:p w:rsidR="003661F1" w:rsidRDefault="003661F1" w:rsidP="003661F1">
      <w:pPr>
        <w:pStyle w:val="CETBodytext"/>
        <w:spacing w:before="120" w:after="120"/>
      </w:pPr>
      <w:r>
        <w:t>For the sake of clarity, the sensitivity analysis results were reported for 20 reactions only, selected by considering the NSC and the sorting procedure described in the previous paragraph. Moreover, stoichiometric composition in air at 298 K were reported, since no significant variations were observed at lower temperatures, with except of the obvious reduction of reactivity expressed in terms NSC for all the investigated reactions (Figure 1).</w:t>
      </w:r>
    </w:p>
    <w:p w:rsidR="003661F1" w:rsidRDefault="003661F1" w:rsidP="003661F1">
      <w:pPr>
        <w:pStyle w:val="CETBodytext"/>
        <w:tabs>
          <w:tab w:val="left" w:pos="1701"/>
        </w:tabs>
        <w:spacing w:before="120"/>
      </w:pPr>
      <w:r w:rsidRPr="008B64A1">
        <w:rPr>
          <w:noProof/>
          <w:lang w:val="it-IT" w:eastAsia="it-IT"/>
        </w:rPr>
        <w:drawing>
          <wp:inline distT="0" distB="0" distL="0" distR="0" wp14:anchorId="44F1A263" wp14:editId="04EF80BE">
            <wp:extent cx="3085711" cy="21600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01" t="2296" r="1079" b="2262"/>
                    <a:stretch/>
                  </pic:blipFill>
                  <pic:spPr bwMode="auto">
                    <a:xfrm>
                      <a:off x="0" y="0"/>
                      <a:ext cx="3085711"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3661F1" w:rsidRPr="008B64A1" w:rsidRDefault="003661F1" w:rsidP="003661F1">
      <w:pPr>
        <w:pStyle w:val="CETBodytext"/>
        <w:spacing w:after="120"/>
        <w:rPr>
          <w:i/>
          <w:lang w:val="en-GB"/>
        </w:rPr>
      </w:pPr>
      <w:r w:rsidRPr="008B64A1">
        <w:rPr>
          <w:i/>
          <w:lang w:val="en-GB"/>
        </w:rPr>
        <w:t>Figure 1</w:t>
      </w:r>
      <w:r>
        <w:rPr>
          <w:i/>
          <w:lang w:val="en-GB"/>
        </w:rPr>
        <w:t>:</w:t>
      </w:r>
      <w:r w:rsidRPr="008B64A1">
        <w:rPr>
          <w:i/>
          <w:lang w:val="en-GB"/>
        </w:rPr>
        <w:t xml:space="preserve"> Sensitivity analysis for stoichiometric mixture of LNG/air for different fuel composition.</w:t>
      </w:r>
    </w:p>
    <w:p w:rsidR="003661F1" w:rsidRDefault="003661F1" w:rsidP="003661F1">
      <w:pPr>
        <w:pStyle w:val="CETBodytext"/>
        <w:spacing w:before="120" w:after="120"/>
        <w:rPr>
          <w:rFonts w:cs="Arial"/>
          <w:szCs w:val="18"/>
        </w:rPr>
      </w:pPr>
      <w:r>
        <w:t>It is worth noting that the coexistence of propane and ethane (Mix 3) reduces the effect of ethane (Mix 2) on the system, as indicated by the similar NSC of Mix 1 and Mix 3 for all the reactions included in the model, but different from the corresponding NSC of Mix 2. In particular, the reaction H + O</w:t>
      </w:r>
      <w:r w:rsidRPr="00A05343">
        <w:rPr>
          <w:vertAlign w:val="subscript"/>
        </w:rPr>
        <w:t>2</w:t>
      </w:r>
      <w:r>
        <w:t xml:space="preserve"> ↔ O + OH, commonly considered as the ruling radical reaction for the characterization of reactivity of hydrocarbons in oxidant </w:t>
      </w:r>
      <w:r>
        <w:lastRenderedPageBreak/>
        <w:t xml:space="preserve">environment </w:t>
      </w:r>
      <w:r>
        <w:fldChar w:fldCharType="begin" w:fldLock="1"/>
      </w:r>
      <w:r w:rsidR="002E1DA3">
        <w:instrText>ADDIN CSL_CITATION {"citationItems":[{"id":"ITEM-1","itemData":{"DOI":"10.1016/j.energy.2011.11.006","ISSN":"03605442","abstract":"Present work aims at evaluation of contemporary comprehensive detailed kinetic mechanisms for ethylene combustion, including the Konnov mechanism, LLNL nButane mechanism, San Diego (UCSD) mechanism and USC mechanism. These models have been validated by extensive comparison with available experimental data on ethylene ignition and flame propagation. The experimental data from the literature have been carefully examined to accurately assess the models' predicting performance. Noticeable differences in the predictions of ethylene ignition and flame propagation under a variety of conditions have been observed. Moreover, sensitivity analysis has been conducted to identify important reactions for the prediction of ethylene ignition and flames. For ethylene ignition, it was found that C 2H 4 consumption reactions with radicals OH, O and subsequent reactions of vinyl with oxygen have dominant effect on predicted ignition delays. The pathway analysis has also been performed for each mechanism to identify different reaction pathways in ethylene ignition process. For ethylene flames, sensitivity analysis shows that H-O and C 1 chemistry reactions significantly influence the laminar burning velocity in lean ethylene/air flames, while C 2 chemistry reactions become of increasing importance in fuel-rich flames. Furthermore, to better understand the models' predicting behavior, the differences in the reaction rate constants and routes of C 2H 4 and vinyl chemistry have been analyzed and discussed. ?? 2011 Elsevier Ltd.","author":[{"dropping-particle":"","family":"Xu","given":"Chaoqi","non-dropping-particle":"","parse-names":false,"suffix":""},{"dropping-particle":"","family":"Konnov","given":"Alexander A.","non-dropping-particle":"","parse-names":false,"suffix":""}],"container-title":"Energy","id":"ITEM-1","issue":"1","issued":{"date-parts":[["2012"]]},"page":"19-29","publisher":"Elsevier Ltd","title":"Validation and analysis of detailed kinetic models for ethylene combustion","type":"article-journal","volume":"43"},"uris":["http://www.mendeley.com/documents/?uuid=20dbe64a-1d41-4777-8d6f-6b733ecd7161"]}],"mendeley":{"formattedCitation":"(Xu and Konnov, 2012)","plainTextFormattedCitation":"(Xu and Konnov, 2012)","previouslyFormattedCitation":"(Xu and Konnov, 2012)"},"properties":{"noteIndex":0},"schema":"https://github.com/citation-style-language/schema/raw/master/csl-citation.json"}</w:instrText>
      </w:r>
      <w:r>
        <w:fldChar w:fldCharType="separate"/>
      </w:r>
      <w:r w:rsidR="002E1DA3" w:rsidRPr="002E1DA3">
        <w:rPr>
          <w:noProof/>
        </w:rPr>
        <w:t>(Xu and Konnov, 2012)</w:t>
      </w:r>
      <w:r>
        <w:fldChar w:fldCharType="end"/>
      </w:r>
      <w:r>
        <w:t xml:space="preserve">, shows lower NSC for Mix 1 and Mix 3 with respect to Mix 2. </w:t>
      </w:r>
      <w:r w:rsidRPr="0078070C">
        <w:rPr>
          <w:rFonts w:cs="Arial"/>
          <w:szCs w:val="18"/>
        </w:rPr>
        <w:t xml:space="preserve">These phenomena can be attributed to the combined effect of higher reactivity of ethane than methane and propane, as demonstrated by the fundamental burning velocity of these alkanes in air of 42 cm/s, 38 cm/s and 39 cm/s, respectively </w:t>
      </w:r>
      <w:r>
        <w:rPr>
          <w:rFonts w:cs="Arial"/>
          <w:szCs w:val="18"/>
        </w:rPr>
        <w:fldChar w:fldCharType="begin" w:fldLock="1"/>
      </w:r>
      <w:r w:rsidR="002E1DA3">
        <w:rPr>
          <w:rFonts w:cs="Arial"/>
          <w:szCs w:val="18"/>
        </w:rPr>
        <w:instrText>ADDIN CSL_CITATION {"citationItems":[{"id":"ITEM-1","itemData":{"author":[{"dropping-particle":"","family":"Dirrenberger","given":"Patricia","non-dropping-particle":"","parse-names":false,"suffix":""},{"dropping-particle":"","family":"Gall","given":"Herve","non-dropping-particle":"Le","parse-names":false,"suffix":""},{"dropping-particle":"","family":"Bournaceur","given":"Roda","non-dropping-particle":"","parse-names":false,"suffix":""},{"dropping-particle":"","family":"Herbinet","given":"Olivier","non-dropping-particle":"","parse-names":false,"suffix":""},{"dropping-particle":"","family":"Glaude","given":"Pierre-alexandre","non-dropping-particle":"","parse-names":false,"suffix":""},{"dropping-particle":"","family":"Konnov","given":"Alexander","non-dropping-particle":"","parse-names":false,"suffix":""},{"dropping-particle":"","family":"Battin-leclerc","given":"Frederique","non-dropping-particle":"","parse-names":false,"suffix":""}],"id":"ITEM-1","issued":{"date-parts":[["2011"]]},"note":"Table 1 Composition of Different Natural Gases\n\nFig 4 (b)\n\nEq 3 e 4 dimostrano che i contributi dei composti sono indipendenti (non ci sono parametri per misurare l'interazione tra etano e propano nelle miscele ternarie)\n\nFig 7 LBV NG reali","page":"3875-3884","title":"Measurements of Laminar Flame Velocity for Components of Natural Gas","type":"article-journal"},"uris":["http://www.mendeley.com/documents/?uuid=35d01884-6b14-4f82-9098-086ff559cac0"]}],"mendeley":{"formattedCitation":"(Dirrenberger et al., 2011)","plainTextFormattedCitation":"(Dirrenberger et al., 2011)","previouslyFormattedCitation":"(Dirrenberger et al., 2011)"},"properties":{"noteIndex":0},"schema":"https://github.com/citation-style-language/schema/raw/master/csl-citation.json"}</w:instrText>
      </w:r>
      <w:r>
        <w:rPr>
          <w:rFonts w:cs="Arial"/>
          <w:szCs w:val="18"/>
        </w:rPr>
        <w:fldChar w:fldCharType="separate"/>
      </w:r>
      <w:r w:rsidR="002E1DA3" w:rsidRPr="002E1DA3">
        <w:rPr>
          <w:rFonts w:cs="Arial"/>
          <w:noProof/>
          <w:szCs w:val="18"/>
        </w:rPr>
        <w:t>(Dirrenberger et al., 2011)</w:t>
      </w:r>
      <w:r>
        <w:rPr>
          <w:rFonts w:cs="Arial"/>
          <w:szCs w:val="18"/>
        </w:rPr>
        <w:fldChar w:fldCharType="end"/>
      </w:r>
      <w:r w:rsidRPr="0078070C">
        <w:rPr>
          <w:rFonts w:cs="Arial"/>
          <w:szCs w:val="18"/>
        </w:rPr>
        <w:t>, with the increased stability of the system related to the presence of substances with higher number of carbon atoms.</w:t>
      </w:r>
      <w:r>
        <w:rPr>
          <w:rFonts w:cs="Arial"/>
          <w:szCs w:val="18"/>
        </w:rPr>
        <w:t xml:space="preserve"> </w:t>
      </w:r>
      <w:r w:rsidRPr="0078070C">
        <w:rPr>
          <w:rFonts w:cs="Arial"/>
          <w:szCs w:val="18"/>
        </w:rPr>
        <w:t>The sensitivity analysis indicates as the first step of the methane oxidation the formation of the CH</w:t>
      </w:r>
      <w:r w:rsidRPr="0078070C">
        <w:rPr>
          <w:rFonts w:cs="Arial"/>
          <w:szCs w:val="18"/>
          <w:vertAlign w:val="subscript"/>
        </w:rPr>
        <w:t>3</w:t>
      </w:r>
      <w:r w:rsidRPr="0078070C">
        <w:rPr>
          <w:rFonts w:cs="Arial"/>
          <w:szCs w:val="18"/>
        </w:rPr>
        <w:t xml:space="preserve"> by means of OH and H radicals, resulting, at the end, in the formation of CO and so CO</w:t>
      </w:r>
      <w:r w:rsidRPr="0078070C">
        <w:rPr>
          <w:rFonts w:cs="Arial"/>
          <w:szCs w:val="18"/>
          <w:vertAlign w:val="subscript"/>
        </w:rPr>
        <w:t>2</w:t>
      </w:r>
      <w:r w:rsidRPr="0078070C">
        <w:rPr>
          <w:rFonts w:cs="Arial"/>
          <w:szCs w:val="18"/>
        </w:rPr>
        <w:t>. T</w:t>
      </w:r>
      <w:r>
        <w:rPr>
          <w:rFonts w:cs="Arial"/>
          <w:szCs w:val="18"/>
        </w:rPr>
        <w:t>hus t</w:t>
      </w:r>
      <w:r w:rsidRPr="0078070C">
        <w:rPr>
          <w:rFonts w:cs="Arial"/>
          <w:szCs w:val="18"/>
        </w:rPr>
        <w:t>he methane oxidation path can be simplified by considering CH</w:t>
      </w:r>
      <w:r w:rsidRPr="0078070C">
        <w:rPr>
          <w:rFonts w:cs="Arial"/>
          <w:szCs w:val="18"/>
          <w:vertAlign w:val="subscript"/>
        </w:rPr>
        <w:t>3</w:t>
      </w:r>
      <w:r w:rsidRPr="0078070C">
        <w:rPr>
          <w:rFonts w:cs="Arial"/>
          <w:szCs w:val="18"/>
        </w:rPr>
        <w:t>O, CH</w:t>
      </w:r>
      <w:r w:rsidRPr="0078070C">
        <w:rPr>
          <w:rFonts w:cs="Arial"/>
          <w:szCs w:val="18"/>
          <w:vertAlign w:val="subscript"/>
        </w:rPr>
        <w:t>2</w:t>
      </w:r>
      <w:r w:rsidRPr="0078070C">
        <w:rPr>
          <w:rFonts w:cs="Arial"/>
          <w:szCs w:val="18"/>
        </w:rPr>
        <w:t>O, HCO, CO, CO</w:t>
      </w:r>
      <w:r w:rsidRPr="0078070C">
        <w:rPr>
          <w:rFonts w:cs="Arial"/>
          <w:szCs w:val="18"/>
          <w:vertAlign w:val="subscript"/>
        </w:rPr>
        <w:t>2</w:t>
      </w:r>
      <w:r>
        <w:rPr>
          <w:rFonts w:cs="Arial"/>
          <w:szCs w:val="18"/>
        </w:rPr>
        <w:t xml:space="preserve">. </w:t>
      </w:r>
      <w:r w:rsidRPr="0078070C">
        <w:rPr>
          <w:rFonts w:cs="Arial"/>
          <w:szCs w:val="18"/>
        </w:rPr>
        <w:t>Similarly the ethane and propane combustion could be reduced to three steps mechanisms as well, where the intermediate C</w:t>
      </w:r>
      <w:r w:rsidRPr="0078070C">
        <w:rPr>
          <w:rFonts w:cs="Arial"/>
          <w:szCs w:val="18"/>
          <w:vertAlign w:val="subscript"/>
        </w:rPr>
        <w:t>2</w:t>
      </w:r>
      <w:r w:rsidRPr="0078070C">
        <w:rPr>
          <w:rFonts w:cs="Arial"/>
          <w:szCs w:val="18"/>
        </w:rPr>
        <w:t>H</w:t>
      </w:r>
      <w:r w:rsidRPr="0078070C">
        <w:rPr>
          <w:rFonts w:cs="Arial"/>
          <w:szCs w:val="18"/>
          <w:vertAlign w:val="subscript"/>
        </w:rPr>
        <w:t>5</w:t>
      </w:r>
      <w:r w:rsidRPr="0078070C">
        <w:rPr>
          <w:rFonts w:cs="Arial"/>
          <w:szCs w:val="18"/>
        </w:rPr>
        <w:t>, C</w:t>
      </w:r>
      <w:r w:rsidRPr="0078070C">
        <w:rPr>
          <w:rFonts w:cs="Arial"/>
          <w:szCs w:val="18"/>
          <w:vertAlign w:val="subscript"/>
        </w:rPr>
        <w:t>2</w:t>
      </w:r>
      <w:r w:rsidRPr="0078070C">
        <w:rPr>
          <w:rFonts w:cs="Arial"/>
          <w:szCs w:val="18"/>
        </w:rPr>
        <w:t>H</w:t>
      </w:r>
      <w:r w:rsidRPr="0078070C">
        <w:rPr>
          <w:rFonts w:cs="Arial"/>
          <w:szCs w:val="18"/>
          <w:vertAlign w:val="subscript"/>
        </w:rPr>
        <w:t xml:space="preserve">4 </w:t>
      </w:r>
      <w:r w:rsidRPr="0078070C">
        <w:rPr>
          <w:rFonts w:cs="Arial"/>
          <w:szCs w:val="18"/>
        </w:rPr>
        <w:t>and CO for ethane and N-C</w:t>
      </w:r>
      <w:r w:rsidRPr="0078070C">
        <w:rPr>
          <w:rFonts w:cs="Arial"/>
          <w:szCs w:val="18"/>
          <w:vertAlign w:val="subscript"/>
        </w:rPr>
        <w:t>3</w:t>
      </w:r>
      <w:r w:rsidRPr="0078070C">
        <w:rPr>
          <w:rFonts w:cs="Arial"/>
          <w:szCs w:val="18"/>
        </w:rPr>
        <w:t>H</w:t>
      </w:r>
      <w:r w:rsidRPr="0078070C">
        <w:rPr>
          <w:rFonts w:cs="Arial"/>
          <w:szCs w:val="18"/>
          <w:vertAlign w:val="subscript"/>
        </w:rPr>
        <w:t>7</w:t>
      </w:r>
      <w:r w:rsidRPr="0078070C">
        <w:rPr>
          <w:rFonts w:cs="Arial"/>
          <w:szCs w:val="18"/>
        </w:rPr>
        <w:t>, C</w:t>
      </w:r>
      <w:r w:rsidRPr="0078070C">
        <w:rPr>
          <w:rFonts w:cs="Arial"/>
          <w:szCs w:val="18"/>
          <w:vertAlign w:val="subscript"/>
        </w:rPr>
        <w:t>3</w:t>
      </w:r>
      <w:r w:rsidRPr="0078070C">
        <w:rPr>
          <w:rFonts w:cs="Arial"/>
          <w:szCs w:val="18"/>
        </w:rPr>
        <w:t>H</w:t>
      </w:r>
      <w:r w:rsidRPr="0078070C">
        <w:rPr>
          <w:rFonts w:cs="Arial"/>
          <w:szCs w:val="18"/>
          <w:vertAlign w:val="subscript"/>
        </w:rPr>
        <w:t xml:space="preserve">6 </w:t>
      </w:r>
      <w:r w:rsidRPr="0078070C">
        <w:rPr>
          <w:rFonts w:cs="Arial"/>
          <w:szCs w:val="18"/>
        </w:rPr>
        <w:t>and CO for propane</w:t>
      </w:r>
      <w:r>
        <w:rPr>
          <w:rFonts w:cs="Arial"/>
          <w:szCs w:val="18"/>
        </w:rPr>
        <w:t xml:space="preserve"> were formed</w:t>
      </w:r>
      <w:r w:rsidRPr="0078070C">
        <w:rPr>
          <w:rFonts w:cs="Arial"/>
          <w:szCs w:val="18"/>
        </w:rPr>
        <w:t>. The production of C</w:t>
      </w:r>
      <w:r w:rsidRPr="0078070C">
        <w:rPr>
          <w:rFonts w:cs="Arial"/>
          <w:szCs w:val="18"/>
          <w:vertAlign w:val="subscript"/>
        </w:rPr>
        <w:t>3</w:t>
      </w:r>
      <w:r w:rsidRPr="0078070C">
        <w:rPr>
          <w:rFonts w:cs="Arial"/>
          <w:szCs w:val="18"/>
        </w:rPr>
        <w:t xml:space="preserve"> species </w:t>
      </w:r>
      <w:r>
        <w:rPr>
          <w:rFonts w:cs="Arial"/>
          <w:szCs w:val="18"/>
        </w:rPr>
        <w:t>from</w:t>
      </w:r>
      <w:r w:rsidRPr="0078070C">
        <w:rPr>
          <w:rFonts w:cs="Arial"/>
          <w:szCs w:val="18"/>
        </w:rPr>
        <w:t xml:space="preserve"> ethane indicates the existence </w:t>
      </w:r>
      <w:r>
        <w:rPr>
          <w:rFonts w:cs="Arial"/>
          <w:szCs w:val="18"/>
        </w:rPr>
        <w:t xml:space="preserve">shared </w:t>
      </w:r>
      <w:r w:rsidRPr="0078070C">
        <w:rPr>
          <w:rFonts w:cs="Arial"/>
          <w:szCs w:val="18"/>
        </w:rPr>
        <w:t xml:space="preserve">intermediate species with </w:t>
      </w:r>
      <w:r>
        <w:rPr>
          <w:rFonts w:cs="Arial"/>
          <w:szCs w:val="18"/>
        </w:rPr>
        <w:t xml:space="preserve">propane. This is </w:t>
      </w:r>
      <w:r w:rsidRPr="0078070C">
        <w:rPr>
          <w:rFonts w:cs="Arial"/>
          <w:szCs w:val="18"/>
        </w:rPr>
        <w:t xml:space="preserve">a possible explanation for the aforementioned limited impact of ethane on Mix 3 chemistry. </w:t>
      </w:r>
      <w:r>
        <w:rPr>
          <w:rFonts w:cs="Arial"/>
          <w:szCs w:val="18"/>
        </w:rPr>
        <w:t xml:space="preserve">Fuel rich composition results </w:t>
      </w:r>
      <w:r w:rsidRPr="0078070C">
        <w:rPr>
          <w:rFonts w:cs="Arial"/>
          <w:szCs w:val="18"/>
        </w:rPr>
        <w:t>indicate C</w:t>
      </w:r>
      <w:r w:rsidRPr="0078070C">
        <w:rPr>
          <w:rFonts w:cs="Arial"/>
          <w:szCs w:val="18"/>
          <w:vertAlign w:val="subscript"/>
        </w:rPr>
        <w:t>2</w:t>
      </w:r>
      <w:r w:rsidRPr="0078070C">
        <w:rPr>
          <w:rFonts w:cs="Arial"/>
          <w:szCs w:val="18"/>
        </w:rPr>
        <w:t>H</w:t>
      </w:r>
      <w:r w:rsidRPr="0078070C">
        <w:rPr>
          <w:rFonts w:cs="Arial"/>
          <w:szCs w:val="18"/>
          <w:vertAlign w:val="subscript"/>
        </w:rPr>
        <w:t>2</w:t>
      </w:r>
      <w:r w:rsidRPr="0078070C">
        <w:rPr>
          <w:rFonts w:cs="Arial"/>
          <w:szCs w:val="18"/>
        </w:rPr>
        <w:t xml:space="preserve"> and C</w:t>
      </w:r>
      <w:r w:rsidRPr="0078070C">
        <w:rPr>
          <w:rFonts w:cs="Arial"/>
          <w:szCs w:val="18"/>
          <w:vertAlign w:val="subscript"/>
        </w:rPr>
        <w:t>3</w:t>
      </w:r>
      <w:r w:rsidRPr="0078070C">
        <w:rPr>
          <w:rFonts w:cs="Arial"/>
          <w:szCs w:val="18"/>
        </w:rPr>
        <w:t>H</w:t>
      </w:r>
      <w:r w:rsidRPr="0078070C">
        <w:rPr>
          <w:rFonts w:cs="Arial"/>
          <w:szCs w:val="18"/>
          <w:vertAlign w:val="subscript"/>
        </w:rPr>
        <w:t xml:space="preserve">3 </w:t>
      </w:r>
      <w:r w:rsidRPr="0078070C">
        <w:rPr>
          <w:rFonts w:cs="Arial"/>
          <w:szCs w:val="18"/>
        </w:rPr>
        <w:t xml:space="preserve">as key soot </w:t>
      </w:r>
      <w:r>
        <w:rPr>
          <w:rFonts w:cs="Arial"/>
          <w:szCs w:val="18"/>
        </w:rPr>
        <w:t xml:space="preserve">precursors, in agreement with </w:t>
      </w:r>
      <w:r>
        <w:rPr>
          <w:rFonts w:cs="Arial"/>
          <w:szCs w:val="18"/>
        </w:rPr>
        <w:fldChar w:fldCharType="begin" w:fldLock="1"/>
      </w:r>
      <w:r w:rsidR="002E1DA3">
        <w:rPr>
          <w:rFonts w:cs="Arial"/>
          <w:szCs w:val="18"/>
        </w:rPr>
        <w:instrText>ADDIN CSL_CITATION {"citationItems":[{"id":"ITEM-1","itemData":{"DOI":"10.1016/j.proci.2006.07.191","ISBN":"1540-7489","ISSN":"15407489","abstract":"A new detailed kinetic model of soot formation in shock tube pyrolysis and oxidation of aliphatic and aromatic hydrocarbons is proposed. The model is based on the comprehensive kinetic model of PAH formation and growth [H. Richter, J.B. Howard, Phys. Chem. Chem. Phys. 4 (2002) 2038-2055; H. Richter, S. Granata, W.H. Green, J.B. Howard, Proc. Combust. Inst. 30 (2005) 1397-1405; J. Appel, H. Bockhorn, M. Frenklach, Combust. Flame 121 (2000) 122-136; M. Frenklach, D.W. Clary, T. Yuan, W.C. Gardiner, Jr., S.E. Stein, Combust. Sci. Tech. 50 (1986) 79-115; M. Frenklach, J. Warnatz, Combust. Sci. Tech. 51 (1987) 265-283; M.S. Skjøth-Rasmussen, P. Glarborg, M. Østberg, J.T. Johannessen, H. Livbjerg, A.D. Jensen, T.S. Christensen, Combust. Flame 136 (2004) 91-128], on the new concepts of soot particle nucleation [A. Violi, Combust. Flame 139 (2004) 279-287; A. Violi, A.F. Sarofim, G.A. Voth, Combust. Sci. Tech. 176 (2004) 991-1005; A. D'Alessio, A. D'Anna, P. Minutolo, L.A. Sgro, A. Violi, Proc. Combust. Inst. 28 (2000) 2547-2554; A. D'Anna, A. Violi, A.D'Alessio, A.F. Sarofim, Combust. Flame 127 (2001) 1995-2003] and the traditional H-abstraction/C2H2-addition (HACA) route of PAH and soot particles surface growth [H. Wang, M. Frenklach, Combust. Flame 110 (1997) 173-221; J. Appel, H. Bockhorn, M. Frenklach, Combust. Flame 121 (2000) 122-136]. The gas-phase kinetic scheme was validated against the experimentally measured concentration profiles of the main gas-phase species formed during toluene pyrolysis and H and OH radicals during benzene and phenol pyrolysis and toluene oxidation behind reflected shock waves. The model describes the main characteristics of soot formation in pyrolysis and oxidation of toluene and n-heptane oxidation under conditions typical of shock tube experiments. Both hydrocarbons have the same number of carbon atoms but different structures, which causes different behavior of the systems. The discrete Galerkin technique was applied for direct counting of the mean number of active sites formed on the surface of soot precursors and soot particles in reactions of activation, deactivation, and surface growth. © 2006 The Combustion Institute. Published by Elsevier Inc. All rights reserved.","author":[{"dropping-particle":"","family":"Agafonov","given":"G. L.","non-dropping-particle":"","parse-names":false,"suffix":""},{"dropping-particle":"","family":"Naydenova","given":"I.","non-dropping-particle":"","parse-names":false,"suffix":""},{"dropping-particle":"","family":"Vlasov","given":"P. A.","non-dropping-particle":"","parse-names":false,"suffix":""},{"dropping-particle":"","family":"Warnatz","given":"J.","non-dropping-particle":"","parse-names":false,"suffix":""}],"container-title":"Proceedings of the Combustion Institute","id":"ITEM-1","issued":{"date-parts":[["2007"]]},"page":"575-583","title":"Detailed kinetic modeling of soot formation in shock tube pyrolysis and oxidation of toluene and n-heptane","type":"article-journal","volume":"31 I"},"uris":["http://www.mendeley.com/documents/?uuid=3a7c5b85-2aff-425e-a7ed-86874524243a"]}],"mendeley":{"formattedCitation":"(Agafonov et al., 2007)","manualFormatting":"Agafonov et al. (2007)","plainTextFormattedCitation":"(Agafonov et al., 2007)","previouslyFormattedCitation":"(Agafonov et al., 2007)"},"properties":{"noteIndex":0},"schema":"https://github.com/citation-style-language/schema/raw/master/csl-citation.json"}</w:instrText>
      </w:r>
      <w:r>
        <w:rPr>
          <w:rFonts w:cs="Arial"/>
          <w:szCs w:val="18"/>
        </w:rPr>
        <w:fldChar w:fldCharType="separate"/>
      </w:r>
      <w:r>
        <w:rPr>
          <w:rFonts w:cs="Arial"/>
          <w:noProof/>
          <w:szCs w:val="18"/>
        </w:rPr>
        <w:t>Agafonov et al.</w:t>
      </w:r>
      <w:r w:rsidRPr="00254607">
        <w:rPr>
          <w:rFonts w:cs="Arial"/>
          <w:noProof/>
          <w:szCs w:val="18"/>
        </w:rPr>
        <w:t xml:space="preserve"> </w:t>
      </w:r>
      <w:r>
        <w:rPr>
          <w:rFonts w:cs="Arial"/>
          <w:noProof/>
          <w:szCs w:val="18"/>
        </w:rPr>
        <w:t>(</w:t>
      </w:r>
      <w:r w:rsidRPr="00254607">
        <w:rPr>
          <w:rFonts w:cs="Arial"/>
          <w:noProof/>
          <w:szCs w:val="18"/>
        </w:rPr>
        <w:t>2007)</w:t>
      </w:r>
      <w:r>
        <w:rPr>
          <w:rFonts w:cs="Arial"/>
          <w:szCs w:val="18"/>
        </w:rPr>
        <w:fldChar w:fldCharType="end"/>
      </w:r>
      <w:r>
        <w:rPr>
          <w:rFonts w:cs="Arial"/>
          <w:szCs w:val="18"/>
        </w:rPr>
        <w:t xml:space="preserve"> and </w:t>
      </w:r>
      <w:r>
        <w:rPr>
          <w:rFonts w:cs="Arial"/>
          <w:szCs w:val="18"/>
        </w:rPr>
        <w:fldChar w:fldCharType="begin" w:fldLock="1"/>
      </w:r>
      <w:r w:rsidR="002E1DA3">
        <w:rPr>
          <w:rFonts w:cs="Arial"/>
          <w:szCs w:val="18"/>
        </w:rPr>
        <w:instrText>ADDIN CSL_CITATION {"citationItems":[{"id":"ITEM-1","itemData":{"DOI":"10.1016/j.combustflame.2009.09.002","ISSN":"00102180","abstract":"A kinetic model is developed to describe combustion of n-propanol and iso-propanol. It is validated by comparing predictions made using this kinetic model with new experimental data on structures of counterflow non-premixed flames and previously reported data over a wide range of configurations and conditions. The elementary pyrolysis reactions of methanol and ethanol are well-known and were used as a starting point for extension to propanol. A detailed description leading to evaluation of rate constants for initiation reactions, metathesis reactions, decomposition reactions, and four-center molecular dehydration reactions are given. Decomposition and oxidation of primary intermediate products are described using a previously developed semi-detailed kinetic model for hydrocarbon fuels. The kinetic mechanism is made up of more than 7000 reactions among 300 species. The structures of counterflow non-premixed flames were measured by removing gas samples from the flame and analyzing the samples using a gas chromatograph. The flame structures were measured under similar conditions for both fuels to elucidate the similarities and differences in combustion characteristics of the two isomers. The profiles measured include those of formaldehyde, acetaldehyde, propanal, and acetone. These species are considered to be pollutants. Validation of the kinetic model was first performed by comparing predictions with experimental data reported in the literature obtained in flow reactors and shock tubes. In these configurations, combustion is not influenced by molecular transport. The agreement between the kinetic model and experimental data was satisfactory. The predictions of the kinetic model were then compared with new and previously reported experimental data on structures of counterflow non-premixed flames of both isomers. The agreement between the kinetic model and experimental data was again satisfactory. Satisfactory agreement was also obtained when the predictions of the kinetic model were compared with experimental data obtained on low pressure burner stabilized premixed flames. The kinetic model was thus validated over a wide range of temperatures (from 900 K to 2000 K), and configurations. In general the structures and overall combustion characteristics of n-propanol flames and iso-propanol flames are similar. Acetone is formed under all conditions in iso-propanol flames, while propanal is formed in n-propanol flames. © 2009 The Combustion Institute.","author":[{"dropping-particle":"","family":"Frassoldati","given":"Alessio","non-dropping-particle":"","parse-names":false,"suffix":""},{"dropping-particle":"","family":"Cuoci","given":"Alberto","non-dropping-particle":"","parse-names":false,"suffix":""},{"dropping-particle":"","family":"Faravelli","given":"Tiziano","non-dropping-particle":"","parse-names":false,"suffix":""},{"dropping-particle":"","family":"Niemann","given":"Ulrich","non-dropping-particle":"","parse-names":false,"suffix":""},{"dropping-particle":"","family":"Ranzi","given":"Eliseo","non-dropping-particle":"","parse-names":false,"suffix":""},{"dropping-particle":"","family":"Seiser","given":"Reinhard","non-dropping-particle":"","parse-names":false,"suffix":""},{"dropping-particle":"","family":"Seshadri","given":"Kalyanasundaram","non-dropping-particle":"","parse-names":false,"suffix":""}],"container-title":"Combustion and Flame","id":"ITEM-1","issued":{"date-parts":[["2010"]]},"page":"2-16","title":"An experimental and kinetic modeling study of n-propanol and iso-propanol combustion","type":"article-journal","volume":"157"},"uris":["http://www.mendeley.com/documents/?uuid=2fc0652b-354a-3fd0-8192-4fb377b59821"]}],"mendeley":{"formattedCitation":"(Frassoldati et al., 2010)","manualFormatting":"Frassoldati et al. (2010)","plainTextFormattedCitation":"(Frassoldati et al., 2010)","previouslyFormattedCitation":"(Frassoldati et al., 2010)"},"properties":{"noteIndex":0},"schema":"https://github.com/citation-style-language/schema/raw/master/csl-citation.json"}</w:instrText>
      </w:r>
      <w:r>
        <w:rPr>
          <w:rFonts w:cs="Arial"/>
          <w:szCs w:val="18"/>
        </w:rPr>
        <w:fldChar w:fldCharType="separate"/>
      </w:r>
      <w:r>
        <w:rPr>
          <w:rFonts w:cs="Arial"/>
          <w:noProof/>
          <w:szCs w:val="18"/>
        </w:rPr>
        <w:t>Frassoldati et al. (</w:t>
      </w:r>
      <w:r w:rsidRPr="00254607">
        <w:rPr>
          <w:rFonts w:cs="Arial"/>
          <w:noProof/>
          <w:szCs w:val="18"/>
        </w:rPr>
        <w:t>2010)</w:t>
      </w:r>
      <w:r>
        <w:rPr>
          <w:rFonts w:cs="Arial"/>
          <w:szCs w:val="18"/>
        </w:rPr>
        <w:fldChar w:fldCharType="end"/>
      </w:r>
      <w:r>
        <w:rPr>
          <w:rFonts w:cs="Arial"/>
          <w:szCs w:val="18"/>
        </w:rPr>
        <w:t xml:space="preserve"> observations</w:t>
      </w:r>
      <w:r w:rsidRPr="0078070C">
        <w:rPr>
          <w:rFonts w:cs="Arial"/>
          <w:szCs w:val="18"/>
        </w:rPr>
        <w:t xml:space="preserve">. </w:t>
      </w:r>
      <w:r>
        <w:rPr>
          <w:rFonts w:cs="Arial"/>
          <w:szCs w:val="18"/>
        </w:rPr>
        <w:t>T</w:t>
      </w:r>
      <w:r w:rsidRPr="002007DC">
        <w:rPr>
          <w:rFonts w:cs="Arial"/>
          <w:szCs w:val="18"/>
        </w:rPr>
        <w:t xml:space="preserve">he presence of </w:t>
      </w:r>
      <w:r>
        <w:rPr>
          <w:rFonts w:cs="Arial"/>
          <w:szCs w:val="18"/>
        </w:rPr>
        <w:t xml:space="preserve">both </w:t>
      </w:r>
      <w:r w:rsidRPr="002007DC">
        <w:rPr>
          <w:rFonts w:cs="Arial"/>
          <w:szCs w:val="18"/>
        </w:rPr>
        <w:t xml:space="preserve">ethane </w:t>
      </w:r>
      <w:r>
        <w:rPr>
          <w:rFonts w:cs="Arial"/>
          <w:szCs w:val="18"/>
        </w:rPr>
        <w:t xml:space="preserve">and propane </w:t>
      </w:r>
      <w:r w:rsidRPr="002007DC">
        <w:rPr>
          <w:rFonts w:cs="Arial"/>
          <w:szCs w:val="18"/>
        </w:rPr>
        <w:t xml:space="preserve">increases the production rate of soot precursors, </w:t>
      </w:r>
      <w:r>
        <w:rPr>
          <w:rFonts w:cs="Arial"/>
          <w:szCs w:val="18"/>
        </w:rPr>
        <w:t xml:space="preserve">as experimentally observed </w:t>
      </w:r>
      <w:r w:rsidRPr="002007DC">
        <w:rPr>
          <w:rFonts w:cs="Arial"/>
          <w:szCs w:val="18"/>
        </w:rPr>
        <w:t>for methane/air non premixed flames doped with C</w:t>
      </w:r>
      <w:r w:rsidRPr="002007DC">
        <w:rPr>
          <w:rFonts w:cs="Arial"/>
          <w:szCs w:val="18"/>
          <w:vertAlign w:val="subscript"/>
        </w:rPr>
        <w:t xml:space="preserve">3 </w:t>
      </w:r>
      <w:r w:rsidRPr="002007DC">
        <w:rPr>
          <w:rFonts w:cs="Arial"/>
          <w:szCs w:val="18"/>
        </w:rPr>
        <w:t>hydrocarbons</w:t>
      </w:r>
      <w:r>
        <w:rPr>
          <w:rFonts w:cs="Arial"/>
          <w:szCs w:val="18"/>
        </w:rPr>
        <w:t>(</w:t>
      </w:r>
      <w:r w:rsidRPr="002007DC">
        <w:rPr>
          <w:rFonts w:cs="Arial"/>
          <w:szCs w:val="18"/>
        </w:rPr>
        <w:fldChar w:fldCharType="begin" w:fldLock="1"/>
      </w:r>
      <w:r w:rsidR="002E1DA3">
        <w:rPr>
          <w:rFonts w:cs="Arial"/>
          <w:szCs w:val="18"/>
        </w:rPr>
        <w:instrText>ADDIN CSL_CITATION {"citationItems":[{"id":"ITEM-1","itemData":{"author":[{"dropping-particle":"","family":"Mcenally","given":"Charles S","non-dropping-particle":"","parse-names":false,"suffix":""},{"dropping-particle":"","family":"Pfefferle","given":"Lisa D","non-dropping-particle":"","parse-names":false,"suffix":""}],"container-title":"Combustion and Flame","id":"ITEM-1","issue":"4","issued":{"date-parts":[["1998"]]},"page":"545-558","title":"Soot Formation in Methane / Air Nonpremixed Flames Doped With Small Quantities of C3 Hydrocarbons","type":"article-journal","volume":"112"},"uris":["http://www.mendeley.com/documents/?uuid=c0a70b04-9664-48c7-8c39-5c20e6ffa7f7"]}],"mendeley":{"formattedCitation":"(Mcenally and Pfefferle, 1998)","manualFormatting":"Mcenally and Pfefferle, 1998)","plainTextFormattedCitation":"(Mcenally and Pfefferle, 1998)","previouslyFormattedCitation":"(Mcenally and Pfefferle, 1998)"},"properties":{"noteIndex":0},"schema":"https://github.com/citation-style-language/schema/raw/master/csl-citation.json"}</w:instrText>
      </w:r>
      <w:r w:rsidRPr="002007DC">
        <w:rPr>
          <w:rFonts w:cs="Arial"/>
          <w:szCs w:val="18"/>
        </w:rPr>
        <w:fldChar w:fldCharType="separate"/>
      </w:r>
      <w:r>
        <w:rPr>
          <w:rFonts w:cs="Arial"/>
          <w:noProof/>
          <w:szCs w:val="18"/>
        </w:rPr>
        <w:t xml:space="preserve">Mcenally and Pfefferle, </w:t>
      </w:r>
      <w:r w:rsidRPr="002007DC">
        <w:rPr>
          <w:rFonts w:cs="Arial"/>
          <w:noProof/>
          <w:szCs w:val="18"/>
        </w:rPr>
        <w:t>1998)</w:t>
      </w:r>
      <w:r w:rsidRPr="002007DC">
        <w:rPr>
          <w:rFonts w:cs="Arial"/>
          <w:szCs w:val="18"/>
        </w:rPr>
        <w:fldChar w:fldCharType="end"/>
      </w:r>
      <w:r w:rsidRPr="002007DC">
        <w:rPr>
          <w:rFonts w:cs="Arial"/>
          <w:szCs w:val="18"/>
        </w:rPr>
        <w:t>. Eventually, a skeletal reaction mechanism consisting in 18 species (i.e. N</w:t>
      </w:r>
      <w:r w:rsidRPr="002007DC">
        <w:rPr>
          <w:rFonts w:cs="Arial"/>
          <w:szCs w:val="18"/>
          <w:vertAlign w:val="subscript"/>
        </w:rPr>
        <w:t>2</w:t>
      </w:r>
      <w:r w:rsidRPr="002007DC">
        <w:rPr>
          <w:rFonts w:cs="Arial"/>
          <w:szCs w:val="18"/>
        </w:rPr>
        <w:t>, H</w:t>
      </w:r>
      <w:r w:rsidRPr="002007DC">
        <w:rPr>
          <w:rFonts w:cs="Arial"/>
          <w:szCs w:val="18"/>
          <w:vertAlign w:val="subscript"/>
        </w:rPr>
        <w:t>2</w:t>
      </w:r>
      <w:r w:rsidRPr="002007DC">
        <w:rPr>
          <w:rFonts w:cs="Arial"/>
          <w:szCs w:val="18"/>
        </w:rPr>
        <w:t>, CH</w:t>
      </w:r>
      <w:r w:rsidRPr="002007DC">
        <w:rPr>
          <w:rFonts w:cs="Arial"/>
          <w:szCs w:val="18"/>
          <w:vertAlign w:val="subscript"/>
        </w:rPr>
        <w:t>4</w:t>
      </w:r>
      <w:r w:rsidRPr="002007DC">
        <w:rPr>
          <w:rFonts w:cs="Arial"/>
          <w:szCs w:val="18"/>
        </w:rPr>
        <w:t>, C</w:t>
      </w:r>
      <w:r w:rsidRPr="002007DC">
        <w:rPr>
          <w:rFonts w:cs="Arial"/>
          <w:szCs w:val="18"/>
          <w:vertAlign w:val="subscript"/>
        </w:rPr>
        <w:t>2</w:t>
      </w:r>
      <w:r w:rsidRPr="002007DC">
        <w:rPr>
          <w:rFonts w:cs="Arial"/>
          <w:szCs w:val="18"/>
        </w:rPr>
        <w:t>H</w:t>
      </w:r>
      <w:r w:rsidRPr="002007DC">
        <w:rPr>
          <w:rFonts w:cs="Arial"/>
          <w:szCs w:val="18"/>
          <w:vertAlign w:val="subscript"/>
        </w:rPr>
        <w:t>6</w:t>
      </w:r>
      <w:r w:rsidRPr="002007DC">
        <w:rPr>
          <w:rFonts w:cs="Arial"/>
          <w:szCs w:val="18"/>
        </w:rPr>
        <w:t>, C</w:t>
      </w:r>
      <w:r w:rsidRPr="002007DC">
        <w:rPr>
          <w:rFonts w:cs="Arial"/>
          <w:szCs w:val="18"/>
          <w:vertAlign w:val="subscript"/>
        </w:rPr>
        <w:t>3</w:t>
      </w:r>
      <w:r w:rsidRPr="002007DC">
        <w:rPr>
          <w:rFonts w:cs="Arial"/>
          <w:szCs w:val="18"/>
        </w:rPr>
        <w:t>H</w:t>
      </w:r>
      <w:r w:rsidRPr="002007DC">
        <w:rPr>
          <w:rFonts w:cs="Arial"/>
          <w:szCs w:val="18"/>
          <w:vertAlign w:val="subscript"/>
        </w:rPr>
        <w:t>8</w:t>
      </w:r>
      <w:r w:rsidRPr="002007DC">
        <w:rPr>
          <w:rFonts w:cs="Arial"/>
          <w:szCs w:val="18"/>
        </w:rPr>
        <w:t>, H, CH</w:t>
      </w:r>
      <w:r w:rsidRPr="002007DC">
        <w:rPr>
          <w:rFonts w:cs="Arial"/>
          <w:szCs w:val="18"/>
          <w:vertAlign w:val="subscript"/>
        </w:rPr>
        <w:t>3</w:t>
      </w:r>
      <w:r w:rsidRPr="002007DC">
        <w:rPr>
          <w:rFonts w:cs="Arial"/>
          <w:szCs w:val="18"/>
        </w:rPr>
        <w:t>, C</w:t>
      </w:r>
      <w:r w:rsidRPr="002007DC">
        <w:rPr>
          <w:rFonts w:cs="Arial"/>
          <w:szCs w:val="18"/>
          <w:vertAlign w:val="subscript"/>
        </w:rPr>
        <w:t>2</w:t>
      </w:r>
      <w:r w:rsidRPr="002007DC">
        <w:rPr>
          <w:rFonts w:cs="Arial"/>
          <w:szCs w:val="18"/>
        </w:rPr>
        <w:t>H</w:t>
      </w:r>
      <w:r w:rsidRPr="002007DC">
        <w:rPr>
          <w:rFonts w:cs="Arial"/>
          <w:szCs w:val="18"/>
          <w:vertAlign w:val="subscript"/>
        </w:rPr>
        <w:t>5</w:t>
      </w:r>
      <w:r w:rsidRPr="002007DC">
        <w:rPr>
          <w:rFonts w:cs="Arial"/>
          <w:szCs w:val="18"/>
        </w:rPr>
        <w:t>, N-C</w:t>
      </w:r>
      <w:r w:rsidRPr="002007DC">
        <w:rPr>
          <w:rFonts w:cs="Arial"/>
          <w:szCs w:val="18"/>
          <w:vertAlign w:val="subscript"/>
        </w:rPr>
        <w:t>3</w:t>
      </w:r>
      <w:r w:rsidRPr="002007DC">
        <w:rPr>
          <w:rFonts w:cs="Arial"/>
          <w:szCs w:val="18"/>
        </w:rPr>
        <w:t>H</w:t>
      </w:r>
      <w:r w:rsidRPr="002007DC">
        <w:rPr>
          <w:rFonts w:cs="Arial"/>
          <w:szCs w:val="18"/>
          <w:vertAlign w:val="subscript"/>
        </w:rPr>
        <w:t>7</w:t>
      </w:r>
      <w:r w:rsidRPr="002007DC">
        <w:rPr>
          <w:rFonts w:cs="Arial"/>
          <w:szCs w:val="18"/>
        </w:rPr>
        <w:t>,</w:t>
      </w:r>
      <w:r w:rsidRPr="002007DC">
        <w:rPr>
          <w:rFonts w:cs="Arial"/>
          <w:szCs w:val="18"/>
          <w:vertAlign w:val="subscript"/>
        </w:rPr>
        <w:t xml:space="preserve"> </w:t>
      </w:r>
      <w:r w:rsidRPr="002007DC">
        <w:rPr>
          <w:rFonts w:cs="Arial"/>
          <w:szCs w:val="18"/>
        </w:rPr>
        <w:t>O</w:t>
      </w:r>
      <w:r w:rsidRPr="002007DC">
        <w:rPr>
          <w:rFonts w:cs="Arial"/>
          <w:szCs w:val="18"/>
          <w:vertAlign w:val="subscript"/>
        </w:rPr>
        <w:t>2</w:t>
      </w:r>
      <w:r w:rsidRPr="002007DC">
        <w:rPr>
          <w:rFonts w:cs="Arial"/>
          <w:szCs w:val="18"/>
        </w:rPr>
        <w:t>, CO, CO</w:t>
      </w:r>
      <w:r w:rsidRPr="002007DC">
        <w:rPr>
          <w:rFonts w:cs="Arial"/>
          <w:szCs w:val="18"/>
          <w:vertAlign w:val="subscript"/>
        </w:rPr>
        <w:t>2</w:t>
      </w:r>
      <w:r w:rsidRPr="002007DC">
        <w:rPr>
          <w:rFonts w:cs="Arial"/>
          <w:szCs w:val="18"/>
        </w:rPr>
        <w:t>, H</w:t>
      </w:r>
      <w:r w:rsidRPr="002007DC">
        <w:rPr>
          <w:rFonts w:cs="Arial"/>
          <w:szCs w:val="18"/>
          <w:vertAlign w:val="subscript"/>
        </w:rPr>
        <w:t>2</w:t>
      </w:r>
      <w:r w:rsidRPr="002007DC">
        <w:rPr>
          <w:rFonts w:cs="Arial"/>
          <w:szCs w:val="18"/>
        </w:rPr>
        <w:t>O, O, OH, C</w:t>
      </w:r>
      <w:r w:rsidRPr="002007DC">
        <w:rPr>
          <w:rFonts w:cs="Arial"/>
          <w:szCs w:val="18"/>
          <w:vertAlign w:val="subscript"/>
        </w:rPr>
        <w:t>2</w:t>
      </w:r>
      <w:r w:rsidRPr="002007DC">
        <w:rPr>
          <w:rFonts w:cs="Arial"/>
          <w:szCs w:val="18"/>
        </w:rPr>
        <w:t>H</w:t>
      </w:r>
      <w:r w:rsidRPr="002007DC">
        <w:rPr>
          <w:rFonts w:cs="Arial"/>
          <w:szCs w:val="18"/>
          <w:vertAlign w:val="subscript"/>
        </w:rPr>
        <w:t>2</w:t>
      </w:r>
      <w:r w:rsidRPr="002007DC">
        <w:rPr>
          <w:rFonts w:cs="Arial"/>
          <w:szCs w:val="18"/>
        </w:rPr>
        <w:t>, C</w:t>
      </w:r>
      <w:r w:rsidRPr="002007DC">
        <w:rPr>
          <w:rFonts w:cs="Arial"/>
          <w:szCs w:val="18"/>
          <w:vertAlign w:val="subscript"/>
        </w:rPr>
        <w:t>3</w:t>
      </w:r>
      <w:r w:rsidRPr="002007DC">
        <w:rPr>
          <w:rFonts w:cs="Arial"/>
          <w:szCs w:val="18"/>
        </w:rPr>
        <w:t>H</w:t>
      </w:r>
      <w:r w:rsidRPr="002007DC">
        <w:rPr>
          <w:rFonts w:cs="Arial"/>
          <w:szCs w:val="18"/>
          <w:vertAlign w:val="subscript"/>
        </w:rPr>
        <w:t>3</w:t>
      </w:r>
      <w:r w:rsidRPr="002007DC">
        <w:rPr>
          <w:rFonts w:cs="Arial"/>
          <w:szCs w:val="18"/>
        </w:rPr>
        <w:t xml:space="preserve"> and Soot) and 12 reactions was developed and implemented in the FDS (Figure 2).</w:t>
      </w:r>
    </w:p>
    <w:p w:rsidR="003661F1" w:rsidRDefault="003661F1" w:rsidP="003661F1">
      <w:pPr>
        <w:pStyle w:val="CETBodytext"/>
      </w:pPr>
      <w:r w:rsidRPr="008B64A1">
        <w:rPr>
          <w:noProof/>
          <w:lang w:val="it-IT" w:eastAsia="it-IT"/>
        </w:rPr>
        <w:drawing>
          <wp:inline distT="0" distB="0" distL="0" distR="0" wp14:anchorId="732AA527" wp14:editId="460EC8D9">
            <wp:extent cx="2436945" cy="21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6945" cy="2160000"/>
                    </a:xfrm>
                    <a:prstGeom prst="rect">
                      <a:avLst/>
                    </a:prstGeom>
                    <a:noFill/>
                    <a:ln>
                      <a:noFill/>
                    </a:ln>
                  </pic:spPr>
                </pic:pic>
              </a:graphicData>
            </a:graphic>
          </wp:inline>
        </w:drawing>
      </w:r>
    </w:p>
    <w:p w:rsidR="003661F1" w:rsidRPr="00F72C8A" w:rsidRDefault="003661F1" w:rsidP="003661F1">
      <w:pPr>
        <w:pStyle w:val="CETBodytext"/>
        <w:spacing w:after="120"/>
        <w:rPr>
          <w:i/>
          <w:lang w:val="en-GB"/>
        </w:rPr>
      </w:pPr>
      <w:r w:rsidRPr="008B64A1">
        <w:rPr>
          <w:i/>
          <w:lang w:val="en-GB"/>
        </w:rPr>
        <w:t xml:space="preserve">Figure </w:t>
      </w:r>
      <w:r>
        <w:rPr>
          <w:i/>
          <w:lang w:val="en-GB"/>
        </w:rPr>
        <w:t>2:</w:t>
      </w:r>
      <w:r w:rsidRPr="008B64A1">
        <w:rPr>
          <w:i/>
          <w:lang w:val="en-GB"/>
        </w:rPr>
        <w:t xml:space="preserve"> Schematic representation of the KIBO skeletal mechanism.</w:t>
      </w:r>
    </w:p>
    <w:p w:rsidR="003661F1" w:rsidRDefault="003661F1" w:rsidP="003661F1">
      <w:pPr>
        <w:pStyle w:val="CETheadingx"/>
        <w:tabs>
          <w:tab w:val="right" w:pos="7100"/>
        </w:tabs>
        <w:spacing w:after="0"/>
        <w:jc w:val="both"/>
      </w:pPr>
      <w:r>
        <w:t>Pool fire scenario</w:t>
      </w:r>
    </w:p>
    <w:p w:rsidR="00A23C3E" w:rsidRDefault="003661F1" w:rsidP="00A23C3E">
      <w:pPr>
        <w:pStyle w:val="Els-body-text"/>
        <w:spacing w:after="120"/>
        <w:ind w:firstLine="0"/>
        <w:rPr>
          <w:rFonts w:ascii="Arial" w:hAnsi="Arial" w:cs="Arial"/>
          <w:sz w:val="18"/>
        </w:rPr>
      </w:pPr>
      <w:r>
        <w:rPr>
          <w:rFonts w:ascii="Arial" w:hAnsi="Arial" w:cs="Arial"/>
          <w:sz w:val="18"/>
        </w:rPr>
        <w:t>T</w:t>
      </w:r>
      <w:r w:rsidRPr="0042572C">
        <w:rPr>
          <w:rFonts w:ascii="Arial" w:hAnsi="Arial" w:cs="Arial"/>
          <w:sz w:val="18"/>
        </w:rPr>
        <w:t xml:space="preserve">he simple chemistry (SC) approach and kinetic model (KM) implementation in CFD code were compared </w:t>
      </w:r>
      <w:r>
        <w:rPr>
          <w:rFonts w:ascii="Arial" w:hAnsi="Arial" w:cs="Arial"/>
          <w:sz w:val="18"/>
        </w:rPr>
        <w:t xml:space="preserve">in terms of temperature distribution and </w:t>
      </w:r>
      <w:r w:rsidRPr="0042572C">
        <w:rPr>
          <w:rFonts w:ascii="Arial" w:hAnsi="Arial" w:cs="Arial"/>
          <w:sz w:val="18"/>
        </w:rPr>
        <w:t>surface emitter power (SEP)</w:t>
      </w:r>
      <w:r>
        <w:rPr>
          <w:rFonts w:ascii="Arial" w:hAnsi="Arial" w:cs="Arial"/>
          <w:sz w:val="18"/>
        </w:rPr>
        <w:t>, for Mix 1 as first.</w:t>
      </w:r>
      <w:r w:rsidRPr="0042572C">
        <w:rPr>
          <w:rFonts w:ascii="Arial" w:hAnsi="Arial" w:cs="Arial"/>
          <w:sz w:val="18"/>
        </w:rPr>
        <w:t xml:space="preserve"> It is worth noting that the differences between SC and KM </w:t>
      </w:r>
      <w:r>
        <w:rPr>
          <w:rFonts w:ascii="Arial" w:hAnsi="Arial" w:cs="Arial"/>
          <w:sz w:val="18"/>
        </w:rPr>
        <w:t xml:space="preserve">average temperature at pseudo-steady state </w:t>
      </w:r>
      <w:r w:rsidRPr="0042572C">
        <w:rPr>
          <w:rFonts w:ascii="Arial" w:hAnsi="Arial" w:cs="Arial"/>
          <w:sz w:val="18"/>
        </w:rPr>
        <w:t xml:space="preserve">are reduced at higher distance from the pool, suggesting that the effect of detailed kinetic is limited to the reacting zone. Instantaneous hot spots showing temperature within the range 1600 – 1800 °C were reported in both cases. Small discrepancies in the </w:t>
      </w:r>
      <w:r>
        <w:rPr>
          <w:rFonts w:ascii="Arial" w:hAnsi="Arial" w:cs="Arial"/>
          <w:sz w:val="18"/>
        </w:rPr>
        <w:t xml:space="preserve">SEP </w:t>
      </w:r>
      <w:r w:rsidRPr="0042572C">
        <w:rPr>
          <w:rFonts w:ascii="Arial" w:hAnsi="Arial" w:cs="Arial"/>
          <w:sz w:val="18"/>
        </w:rPr>
        <w:t>values were found, being equal to 52.2 and 51.8 kW/m</w:t>
      </w:r>
      <w:r w:rsidRPr="0042572C">
        <w:rPr>
          <w:rFonts w:ascii="Arial" w:hAnsi="Arial" w:cs="Arial"/>
          <w:sz w:val="18"/>
          <w:vertAlign w:val="superscript"/>
        </w:rPr>
        <w:t>2</w:t>
      </w:r>
      <w:r w:rsidRPr="0042572C">
        <w:rPr>
          <w:rFonts w:ascii="Arial" w:hAnsi="Arial" w:cs="Arial"/>
          <w:sz w:val="18"/>
        </w:rPr>
        <w:t>, for KM and SC, respectively. This values are in line with CFD analysis performed for small scale LNG pool fire, where temperature range from 1527 and 1888 °C and SEP of 55 kW/m</w:t>
      </w:r>
      <w:r w:rsidRPr="0042572C">
        <w:rPr>
          <w:rFonts w:ascii="Arial" w:hAnsi="Arial" w:cs="Arial"/>
          <w:sz w:val="18"/>
          <w:vertAlign w:val="superscript"/>
        </w:rPr>
        <w:t>2</w:t>
      </w:r>
      <w:r w:rsidRPr="0042572C">
        <w:rPr>
          <w:rFonts w:ascii="Arial" w:hAnsi="Arial" w:cs="Arial"/>
          <w:sz w:val="18"/>
        </w:rPr>
        <w:t xml:space="preserve"> were reported </w:t>
      </w:r>
      <w:r>
        <w:rPr>
          <w:rFonts w:ascii="Arial" w:hAnsi="Arial" w:cs="Arial"/>
          <w:sz w:val="18"/>
        </w:rPr>
        <w:fldChar w:fldCharType="begin" w:fldLock="1"/>
      </w:r>
      <w:r w:rsidR="002E1DA3">
        <w:rPr>
          <w:rFonts w:ascii="Arial" w:hAnsi="Arial" w:cs="Arial"/>
          <w:sz w:val="18"/>
        </w:rPr>
        <w:instrText>ADDIN CSL_CITATION {"citationItems":[{"id":"ITEM-1","itemData":{"DOI":"10.13140/2.1.1181.0565","author":[{"dropping-particle":"","family":"Schalike","given":"S.","non-dropping-particle":"","parse-names":false,"suffix":""},{"dropping-particle":"","family":"Wehrstedt","given":"K.-D.","non-dropping-particle":"","parse-names":false,"suffix":""},{"dropping-particle":"","family":"Schonbucher","given":"A.","non-dropping-particle":"","parse-names":false,"suffix":""}],"container-title":"Proceedings of the European Combustion Meeting 2011","id":"ITEM-1","issue":"7","issued":{"date-parts":[["2011"]]},"page":"1-6","title":"CFD simulation to predict the thermal radiation of large LNG pool fire","type":"article-journal"},"uris":["http://www.mendeley.com/documents/?uuid=1ebcd61f-6443-422a-afdb-da039922be62"]}],"mendeley":{"formattedCitation":"(Schalike et al., 2011)","plainTextFormattedCitation":"(Schalike et al., 2011)","previouslyFormattedCitation":"(Schalike et al., 2011)"},"properties":{"noteIndex":0},"schema":"https://github.com/citation-style-language/schema/raw/master/csl-citation.json"}</w:instrText>
      </w:r>
      <w:r>
        <w:rPr>
          <w:rFonts w:ascii="Arial" w:hAnsi="Arial" w:cs="Arial"/>
          <w:sz w:val="18"/>
        </w:rPr>
        <w:fldChar w:fldCharType="separate"/>
      </w:r>
      <w:r w:rsidR="002E1DA3" w:rsidRPr="002E1DA3">
        <w:rPr>
          <w:rFonts w:ascii="Arial" w:hAnsi="Arial" w:cs="Arial"/>
          <w:noProof/>
          <w:sz w:val="18"/>
        </w:rPr>
        <w:t>(Schalike et al., 2011)</w:t>
      </w:r>
      <w:r>
        <w:rPr>
          <w:rFonts w:ascii="Arial" w:hAnsi="Arial" w:cs="Arial"/>
          <w:sz w:val="18"/>
        </w:rPr>
        <w:fldChar w:fldCharType="end"/>
      </w:r>
      <w:r w:rsidRPr="0042572C">
        <w:rPr>
          <w:rFonts w:ascii="Arial" w:hAnsi="Arial" w:cs="Arial"/>
          <w:sz w:val="18"/>
        </w:rPr>
        <w:t>. Thus, it should be concluded that negligible differences are expected for pure methane pool fire consequence analysis, as well. The limited impact on pool fire modelling observed for the applied procedures can be associated to the elevated efficiency and ideality of the methane/air combustion system, as confirmed by the negligible amount of produced soot, i.e. the overall soot yield obtained in this case was 6.64·10</w:t>
      </w:r>
      <w:r w:rsidRPr="0042572C">
        <w:rPr>
          <w:rFonts w:ascii="Arial" w:hAnsi="Arial" w:cs="Arial"/>
          <w:sz w:val="18"/>
          <w:vertAlign w:val="superscript"/>
        </w:rPr>
        <w:t>-4</w:t>
      </w:r>
      <w:r w:rsidRPr="0042572C">
        <w:rPr>
          <w:rFonts w:ascii="Arial" w:hAnsi="Arial" w:cs="Arial"/>
          <w:sz w:val="18"/>
        </w:rPr>
        <w:t>. Similarly the soot yield was calculated for Mix 2 and Mix 3, resulting in 8.41·10</w:t>
      </w:r>
      <w:r w:rsidRPr="0042572C">
        <w:rPr>
          <w:rFonts w:ascii="Arial" w:hAnsi="Arial" w:cs="Arial"/>
          <w:sz w:val="18"/>
          <w:vertAlign w:val="superscript"/>
        </w:rPr>
        <w:t>-4</w:t>
      </w:r>
      <w:r w:rsidRPr="0042572C">
        <w:rPr>
          <w:rFonts w:ascii="Arial" w:hAnsi="Arial" w:cs="Arial"/>
          <w:sz w:val="18"/>
        </w:rPr>
        <w:t xml:space="preserve"> in 1.11·10</w:t>
      </w:r>
      <w:r w:rsidRPr="0042572C">
        <w:rPr>
          <w:rFonts w:ascii="Arial" w:hAnsi="Arial" w:cs="Arial"/>
          <w:sz w:val="18"/>
          <w:vertAlign w:val="superscript"/>
        </w:rPr>
        <w:t>-3</w:t>
      </w:r>
      <w:r w:rsidRPr="0042572C">
        <w:rPr>
          <w:rFonts w:ascii="Arial" w:hAnsi="Arial" w:cs="Arial"/>
          <w:sz w:val="18"/>
        </w:rPr>
        <w:t xml:space="preserve">, respectively. </w:t>
      </w:r>
      <w:r>
        <w:rPr>
          <w:rFonts w:ascii="Arial" w:hAnsi="Arial" w:cs="Arial"/>
          <w:sz w:val="18"/>
        </w:rPr>
        <w:t xml:space="preserve">Considering that </w:t>
      </w:r>
      <w:r w:rsidRPr="0042572C">
        <w:rPr>
          <w:rFonts w:ascii="Arial" w:hAnsi="Arial" w:cs="Arial"/>
          <w:sz w:val="18"/>
        </w:rPr>
        <w:t xml:space="preserve">fuel pockets due to local non-homogeneous conditions </w:t>
      </w:r>
      <w:r>
        <w:rPr>
          <w:rFonts w:ascii="Arial" w:hAnsi="Arial" w:cs="Arial"/>
          <w:sz w:val="18"/>
        </w:rPr>
        <w:t xml:space="preserve">are </w:t>
      </w:r>
      <w:r w:rsidRPr="0042572C">
        <w:rPr>
          <w:rFonts w:ascii="Arial" w:hAnsi="Arial" w:cs="Arial"/>
          <w:sz w:val="18"/>
        </w:rPr>
        <w:t xml:space="preserve">more frequent at elevated pool diameter, the effect of fuel composition should be more relevant for large scale scenarios </w:t>
      </w:r>
      <w:r>
        <w:rPr>
          <w:rFonts w:ascii="Arial" w:hAnsi="Arial" w:cs="Arial"/>
          <w:sz w:val="18"/>
        </w:rPr>
        <w:fldChar w:fldCharType="begin" w:fldLock="1"/>
      </w:r>
      <w:r w:rsidR="002E1DA3">
        <w:rPr>
          <w:rFonts w:ascii="Arial" w:hAnsi="Arial" w:cs="Arial"/>
          <w:sz w:val="18"/>
        </w:rPr>
        <w:instrText>ADDIN CSL_CITATION {"citationItems":[{"id":"ITEM-1","itemData":{"DOI":"10.1016/j.jhazmat.2006.08.057","ISBN":"0304-3894","ISSN":"03043894","PMID":"17018245","abstract":"In a recent paper [P.K. Raj, Large LNG fire thermal radiation-modeling issues and hazard criteria revisited, Process Safety Progr., 24 (3) (2005)] it was shown that large, turbulent fires on hydrocarbon liquid pools display several characteristics including, pulsating burning, production of smoke, and reduced thermal radiation, with increasing size. In this paper, a semi-empirical mathematical model is proposed which considers several of these important fire characteristics. Also included in this paper are the experimental results for the variation of the fire radiance from bottom to top of the fire (and their statistical distribution) from the largest land spill LNG pool fire test conducted to date. The purpose of the model described in this paper is to predict the variation of thermal radiation output along the fire plume and to estimate the overall thermal emission from the fire as a function its size taking into consideration the smoke effects. The model utilizes experimentally measured data for different parameters and uses correlations developed from laboratory and field tests with different fuels. The fire dynamics and combustion of the fuel are modeled using known entrainment and combustion efficiency parameter values. The mean emissive power data from field tests are compared with model predictions. Model results for the average emissive powers of large, hypothetical LNG fires are indicated. © 2006 Elsevier B.V. All rights reserved.","author":[{"dropping-particle":"","family":"Raj","given":"Phani K.","non-dropping-particle":"","parse-names":false,"suffix":""}],"container-title":"Journal of Hazardous Materials","id":"ITEM-1","issued":{"date-parts":[["2007"]]},"title":"Large hydrocarbon fuel pool fires: Physical characteristics and thermal emission variations with height","type":"article-journal"},"uris":["http://www.mendeley.com/documents/?uuid=eac96ed8-6dbf-3a6c-93bd-69a8ee184314"]}],"mendeley":{"formattedCitation":"(Raj, 2007)","plainTextFormattedCitation":"(Raj, 2007)","previouslyFormattedCitation":"(Raj, 2007)"},"properties":{"noteIndex":0},"schema":"https://github.com/citation-style-language/schema/raw/master/csl-citation.json"}</w:instrText>
      </w:r>
      <w:r>
        <w:rPr>
          <w:rFonts w:ascii="Arial" w:hAnsi="Arial" w:cs="Arial"/>
          <w:sz w:val="18"/>
        </w:rPr>
        <w:fldChar w:fldCharType="separate"/>
      </w:r>
      <w:r w:rsidR="002E1DA3" w:rsidRPr="002E1DA3">
        <w:rPr>
          <w:rFonts w:ascii="Arial" w:hAnsi="Arial" w:cs="Arial"/>
          <w:noProof/>
          <w:sz w:val="18"/>
        </w:rPr>
        <w:t>(Raj, 2007)</w:t>
      </w:r>
      <w:r>
        <w:rPr>
          <w:rFonts w:ascii="Arial" w:hAnsi="Arial" w:cs="Arial"/>
          <w:sz w:val="18"/>
        </w:rPr>
        <w:fldChar w:fldCharType="end"/>
      </w:r>
      <w:r w:rsidRPr="0042572C">
        <w:rPr>
          <w:rFonts w:ascii="Arial" w:hAnsi="Arial" w:cs="Arial"/>
          <w:sz w:val="18"/>
        </w:rPr>
        <w:t>.</w:t>
      </w:r>
      <w:r>
        <w:rPr>
          <w:rFonts w:ascii="Arial" w:hAnsi="Arial" w:cs="Arial"/>
          <w:sz w:val="18"/>
        </w:rPr>
        <w:t xml:space="preserve"> </w:t>
      </w:r>
      <w:r w:rsidRPr="0042572C">
        <w:rPr>
          <w:rFonts w:ascii="Arial" w:hAnsi="Arial" w:cs="Arial"/>
          <w:sz w:val="18"/>
        </w:rPr>
        <w:t>The effect of fuel composition on SEP is reported</w:t>
      </w:r>
      <w:r>
        <w:rPr>
          <w:rFonts w:ascii="Arial" w:hAnsi="Arial" w:cs="Arial"/>
          <w:sz w:val="18"/>
        </w:rPr>
        <w:t xml:space="preserve"> in Table 2.</w:t>
      </w:r>
    </w:p>
    <w:p w:rsidR="003661F1" w:rsidRPr="00347EB5" w:rsidRDefault="003661F1" w:rsidP="00A23C3E">
      <w:pPr>
        <w:pStyle w:val="Els-body-text"/>
        <w:ind w:firstLine="0"/>
        <w:rPr>
          <w:lang w:val="en-GB"/>
        </w:rPr>
      </w:pPr>
      <w:r>
        <w:rPr>
          <w:lang w:val="en-GB"/>
        </w:rPr>
        <w:t>Table 2</w:t>
      </w:r>
      <w:r w:rsidRPr="00347EB5">
        <w:rPr>
          <w:lang w:val="en-GB"/>
        </w:rPr>
        <w:t xml:space="preserve">: </w:t>
      </w:r>
      <w:r>
        <w:t>Comparison of surface emitter power (SEP) with respect to fuel composition and applied approach.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098"/>
        <w:gridCol w:w="2098"/>
        <w:gridCol w:w="2098"/>
      </w:tblGrid>
      <w:tr w:rsidR="003661F1" w:rsidRPr="007A5F29" w:rsidTr="00F31B49">
        <w:trPr>
          <w:trHeight w:val="201"/>
        </w:trPr>
        <w:tc>
          <w:tcPr>
            <w:tcW w:w="2268" w:type="dxa"/>
            <w:tcBorders>
              <w:top w:val="single" w:sz="12" w:space="0" w:color="008000"/>
              <w:bottom w:val="single" w:sz="6" w:space="0" w:color="008000"/>
            </w:tcBorders>
            <w:shd w:val="clear" w:color="auto" w:fill="FFFFFF"/>
            <w:vAlign w:val="center"/>
          </w:tcPr>
          <w:p w:rsidR="003661F1" w:rsidRPr="0056148B" w:rsidRDefault="003661F1" w:rsidP="0044318E">
            <w:pPr>
              <w:pStyle w:val="Els-table-text"/>
              <w:spacing w:after="0" w:line="240" w:lineRule="auto"/>
              <w:rPr>
                <w:rFonts w:ascii="Arial" w:hAnsi="Arial" w:cs="Arial"/>
              </w:rPr>
            </w:pPr>
          </w:p>
        </w:tc>
        <w:tc>
          <w:tcPr>
            <w:tcW w:w="2098" w:type="dxa"/>
            <w:tcBorders>
              <w:top w:val="single" w:sz="12" w:space="0" w:color="008000"/>
              <w:bottom w:val="single" w:sz="6" w:space="0" w:color="008000"/>
            </w:tcBorders>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Mix 1</w:t>
            </w:r>
          </w:p>
        </w:tc>
        <w:tc>
          <w:tcPr>
            <w:tcW w:w="2098" w:type="dxa"/>
            <w:tcBorders>
              <w:top w:val="single" w:sz="12" w:space="0" w:color="008000"/>
              <w:bottom w:val="single" w:sz="6" w:space="0" w:color="008000"/>
            </w:tcBorders>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Mix 2</w:t>
            </w:r>
          </w:p>
        </w:tc>
        <w:tc>
          <w:tcPr>
            <w:tcW w:w="2098" w:type="dxa"/>
            <w:tcBorders>
              <w:top w:val="single" w:sz="12" w:space="0" w:color="008000"/>
              <w:bottom w:val="single" w:sz="6" w:space="0" w:color="008000"/>
            </w:tcBorders>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Mix 3</w:t>
            </w:r>
          </w:p>
        </w:tc>
      </w:tr>
      <w:tr w:rsidR="003661F1" w:rsidRPr="007A5F29" w:rsidTr="00F31B49">
        <w:trPr>
          <w:trHeight w:val="209"/>
        </w:trPr>
        <w:tc>
          <w:tcPr>
            <w:tcW w:w="226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SC [kW/m</w:t>
            </w:r>
            <w:r w:rsidRPr="0056148B">
              <w:rPr>
                <w:rFonts w:ascii="Arial" w:hAnsi="Arial" w:cs="Arial"/>
                <w:vertAlign w:val="superscript"/>
              </w:rPr>
              <w:t>2</w:t>
            </w:r>
            <w:r w:rsidRPr="0056148B">
              <w:rPr>
                <w:rFonts w:ascii="Arial" w:hAnsi="Arial" w:cs="Arial"/>
              </w:rPr>
              <w:t>]</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51.80</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86.63</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78.33</w:t>
            </w:r>
          </w:p>
        </w:tc>
      </w:tr>
      <w:tr w:rsidR="003661F1" w:rsidRPr="007A5F29" w:rsidTr="00F31B49">
        <w:trPr>
          <w:trHeight w:val="201"/>
        </w:trPr>
        <w:tc>
          <w:tcPr>
            <w:tcW w:w="226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KM [kW/m</w:t>
            </w:r>
            <w:r w:rsidRPr="0056148B">
              <w:rPr>
                <w:rFonts w:ascii="Arial" w:hAnsi="Arial" w:cs="Arial"/>
                <w:vertAlign w:val="superscript"/>
              </w:rPr>
              <w:t>2</w:t>
            </w:r>
            <w:r w:rsidRPr="0056148B">
              <w:rPr>
                <w:rFonts w:ascii="Arial" w:hAnsi="Arial" w:cs="Arial"/>
              </w:rPr>
              <w:t>]</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52.20</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89.41</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80.20</w:t>
            </w:r>
          </w:p>
        </w:tc>
      </w:tr>
      <w:tr w:rsidR="003661F1" w:rsidRPr="007A5F29" w:rsidTr="0044318E">
        <w:trPr>
          <w:trHeight w:val="121"/>
        </w:trPr>
        <w:tc>
          <w:tcPr>
            <w:tcW w:w="226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Δ [%]</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0.72</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3.20</w:t>
            </w:r>
          </w:p>
        </w:tc>
        <w:tc>
          <w:tcPr>
            <w:tcW w:w="2098" w:type="dxa"/>
            <w:shd w:val="clear" w:color="auto" w:fill="FFFFFF"/>
            <w:vAlign w:val="center"/>
          </w:tcPr>
          <w:p w:rsidR="003661F1" w:rsidRPr="0056148B" w:rsidRDefault="003661F1" w:rsidP="0044318E">
            <w:pPr>
              <w:pStyle w:val="Els-table-text"/>
              <w:spacing w:after="0" w:line="240" w:lineRule="auto"/>
              <w:rPr>
                <w:rFonts w:ascii="Arial" w:hAnsi="Arial" w:cs="Arial"/>
              </w:rPr>
            </w:pPr>
            <w:r w:rsidRPr="0056148B">
              <w:rPr>
                <w:rFonts w:ascii="Arial" w:hAnsi="Arial" w:cs="Arial"/>
              </w:rPr>
              <w:t>2.39</w:t>
            </w:r>
          </w:p>
        </w:tc>
      </w:tr>
    </w:tbl>
    <w:p w:rsidR="00A23C3E" w:rsidRDefault="00A23C3E" w:rsidP="003661F1">
      <w:pPr>
        <w:pStyle w:val="Els-body-text"/>
        <w:spacing w:before="120"/>
        <w:ind w:firstLine="0"/>
        <w:rPr>
          <w:rFonts w:ascii="Arial" w:hAnsi="Arial" w:cs="Arial"/>
          <w:sz w:val="18"/>
        </w:rPr>
      </w:pPr>
    </w:p>
    <w:p w:rsidR="003661F1" w:rsidRDefault="00A23C3E" w:rsidP="003661F1">
      <w:pPr>
        <w:pStyle w:val="Els-body-text"/>
        <w:spacing w:before="120"/>
        <w:ind w:firstLine="0"/>
        <w:rPr>
          <w:rFonts w:ascii="Arial" w:hAnsi="Arial" w:cs="Arial"/>
          <w:sz w:val="18"/>
        </w:rPr>
      </w:pPr>
      <w:r>
        <w:rPr>
          <w:noProof/>
          <w:lang w:val="it-IT"/>
        </w:rPr>
        <w:lastRenderedPageBreak/>
        <w:drawing>
          <wp:anchor distT="0" distB="0" distL="114300" distR="114300" simplePos="0" relativeHeight="251659264" behindDoc="0" locked="0" layoutInCell="1" allowOverlap="1" wp14:anchorId="2A311D2D" wp14:editId="3939016B">
            <wp:simplePos x="0" y="0"/>
            <wp:positionH relativeFrom="margin">
              <wp:align>left</wp:align>
            </wp:positionH>
            <wp:positionV relativeFrom="paragraph">
              <wp:posOffset>994410</wp:posOffset>
            </wp:positionV>
            <wp:extent cx="3828196" cy="216000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918" r="1225" b="3957"/>
                    <a:stretch/>
                  </pic:blipFill>
                  <pic:spPr bwMode="auto">
                    <a:xfrm>
                      <a:off x="0" y="0"/>
                      <a:ext cx="3828196"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1F1" w:rsidRPr="0042572C">
        <w:rPr>
          <w:rFonts w:ascii="Arial" w:hAnsi="Arial" w:cs="Arial"/>
          <w:sz w:val="18"/>
        </w:rPr>
        <w:t xml:space="preserve">Noteworthy, the </w:t>
      </w:r>
      <w:r w:rsidR="003661F1">
        <w:rPr>
          <w:rFonts w:ascii="Arial" w:hAnsi="Arial" w:cs="Arial"/>
          <w:sz w:val="18"/>
        </w:rPr>
        <w:t xml:space="preserve">discrepancies of the </w:t>
      </w:r>
      <w:r w:rsidR="003661F1" w:rsidRPr="0042572C">
        <w:rPr>
          <w:rFonts w:ascii="Arial" w:hAnsi="Arial" w:cs="Arial"/>
          <w:sz w:val="18"/>
        </w:rPr>
        <w:t xml:space="preserve">two approaches are enlarged by the presence of ethane </w:t>
      </w:r>
      <w:r w:rsidR="003661F1">
        <w:rPr>
          <w:rFonts w:ascii="Arial" w:hAnsi="Arial" w:cs="Arial"/>
          <w:sz w:val="18"/>
        </w:rPr>
        <w:t>and</w:t>
      </w:r>
      <w:r w:rsidR="003661F1" w:rsidRPr="0042572C">
        <w:rPr>
          <w:rFonts w:ascii="Arial" w:hAnsi="Arial" w:cs="Arial"/>
          <w:sz w:val="18"/>
        </w:rPr>
        <w:t xml:space="preserve"> reduced by the addition of propane</w:t>
      </w:r>
      <w:r w:rsidR="003661F1">
        <w:rPr>
          <w:rFonts w:ascii="Arial" w:hAnsi="Arial" w:cs="Arial"/>
          <w:sz w:val="18"/>
        </w:rPr>
        <w:t>,</w:t>
      </w:r>
      <w:r w:rsidR="003661F1" w:rsidRPr="0042572C">
        <w:rPr>
          <w:rFonts w:ascii="Arial" w:hAnsi="Arial" w:cs="Arial"/>
          <w:sz w:val="18"/>
        </w:rPr>
        <w:t xml:space="preserve"> although negligible variations are reported </w:t>
      </w:r>
      <w:r w:rsidR="003661F1">
        <w:rPr>
          <w:rFonts w:ascii="Arial" w:hAnsi="Arial" w:cs="Arial"/>
          <w:sz w:val="18"/>
        </w:rPr>
        <w:t xml:space="preserve">in terms of </w:t>
      </w:r>
      <w:r w:rsidR="003661F1" w:rsidRPr="0042572C">
        <w:rPr>
          <w:rFonts w:ascii="Arial" w:hAnsi="Arial" w:cs="Arial"/>
          <w:sz w:val="18"/>
        </w:rPr>
        <w:t xml:space="preserve">flame temperature </w:t>
      </w:r>
      <w:r w:rsidR="003661F1">
        <w:rPr>
          <w:rFonts w:ascii="Arial" w:hAnsi="Arial" w:cs="Arial"/>
          <w:sz w:val="18"/>
        </w:rPr>
        <w:t xml:space="preserve">at </w:t>
      </w:r>
      <w:r w:rsidR="003661F1" w:rsidRPr="0042572C">
        <w:rPr>
          <w:rFonts w:ascii="Arial" w:hAnsi="Arial" w:cs="Arial"/>
          <w:sz w:val="18"/>
        </w:rPr>
        <w:t>steady state cond</w:t>
      </w:r>
      <w:r w:rsidR="003661F1">
        <w:rPr>
          <w:rFonts w:ascii="Arial" w:hAnsi="Arial" w:cs="Arial"/>
          <w:sz w:val="18"/>
        </w:rPr>
        <w:t xml:space="preserve">ition. This trend clearly indicates </w:t>
      </w:r>
      <w:r w:rsidR="003661F1" w:rsidRPr="0042572C">
        <w:rPr>
          <w:rFonts w:ascii="Arial" w:hAnsi="Arial" w:cs="Arial"/>
          <w:sz w:val="18"/>
        </w:rPr>
        <w:t>that the simplified chemistry should not be adopted for complex mixture evaluation, since it is unable to evaluate the interactions between the fuel combustion processes.</w:t>
      </w:r>
      <w:r w:rsidR="003661F1">
        <w:rPr>
          <w:rFonts w:ascii="Arial" w:hAnsi="Arial" w:cs="Arial"/>
          <w:sz w:val="18"/>
        </w:rPr>
        <w:t xml:space="preserve"> </w:t>
      </w:r>
      <w:r w:rsidR="003661F1" w:rsidRPr="0042572C">
        <w:rPr>
          <w:rFonts w:ascii="Arial" w:hAnsi="Arial" w:cs="Arial"/>
          <w:sz w:val="18"/>
        </w:rPr>
        <w:t>To this regard, further considerations can be proposed by comparing the evolution of temperature at a given position as a function of time</w:t>
      </w:r>
      <w:r w:rsidR="003661F1">
        <w:rPr>
          <w:rFonts w:ascii="Arial" w:hAnsi="Arial" w:cs="Arial"/>
          <w:sz w:val="18"/>
        </w:rPr>
        <w:t xml:space="preserve"> (Figure 3).</w:t>
      </w:r>
      <w:r w:rsidR="003661F1" w:rsidRPr="0042572C">
        <w:rPr>
          <w:rFonts w:ascii="Arial" w:hAnsi="Arial" w:cs="Arial"/>
          <w:sz w:val="18"/>
        </w:rPr>
        <w:t xml:space="preserve"> </w:t>
      </w:r>
    </w:p>
    <w:p w:rsidR="003661F1" w:rsidRPr="003661F1" w:rsidRDefault="003661F1" w:rsidP="003661F1">
      <w:pPr>
        <w:pStyle w:val="Caption"/>
        <w:rPr>
          <w:b w:val="0"/>
          <w:bCs w:val="0"/>
          <w:i/>
          <w:color w:val="auto"/>
          <w:szCs w:val="20"/>
        </w:rPr>
      </w:pPr>
      <w:r w:rsidRPr="003661F1">
        <w:rPr>
          <w:b w:val="0"/>
          <w:bCs w:val="0"/>
          <w:i/>
          <w:color w:val="auto"/>
          <w:szCs w:val="20"/>
        </w:rPr>
        <w:t>Figure 3: Temperature evolution with respect to simulation time as a function of fuel composition for KM approach at 0; 0; 2·D position.</w:t>
      </w:r>
    </w:p>
    <w:p w:rsidR="003661F1" w:rsidRPr="0042572C" w:rsidRDefault="003661F1" w:rsidP="003661F1">
      <w:pPr>
        <w:pStyle w:val="Els-body-text"/>
        <w:spacing w:before="120"/>
        <w:ind w:firstLine="0"/>
        <w:rPr>
          <w:rFonts w:ascii="Arial" w:hAnsi="Arial" w:cs="Arial"/>
          <w:sz w:val="16"/>
        </w:rPr>
      </w:pPr>
      <w:r w:rsidRPr="0042572C">
        <w:rPr>
          <w:rFonts w:ascii="Arial" w:hAnsi="Arial" w:cs="Arial"/>
          <w:sz w:val="18"/>
        </w:rPr>
        <w:t>In accordance with the well-known theory and modelling for pool fire an initial step, where the temperature suddenly arises after a certain delay time, a pseudo steady state resulting in a fast decrease of temperature in case of complete consumption of the fuel, is observed for Mix 1, whereas multiple pseudo steady states are observed for Mix 2 and Mix</w:t>
      </w:r>
      <w:r w:rsidR="00FF4C91">
        <w:rPr>
          <w:rFonts w:ascii="Arial" w:hAnsi="Arial" w:cs="Arial"/>
          <w:sz w:val="18"/>
        </w:rPr>
        <w:t xml:space="preserve"> </w:t>
      </w:r>
      <w:r w:rsidRPr="0042572C">
        <w:rPr>
          <w:rFonts w:ascii="Arial" w:hAnsi="Arial" w:cs="Arial"/>
          <w:sz w:val="18"/>
        </w:rPr>
        <w:t>3 attributable to the difference in the vapor composition with respect to the time. Moreover, it should be considered that significant differences in terms of both duration and intensity were reported. Quite clearly the time shift reported for all the investigated mixtures for SC approach respect to KM indicates that the mixing controlled chemistry does not take into account of additional phenomena increasing the igniti</w:t>
      </w:r>
      <w:r>
        <w:rPr>
          <w:rFonts w:ascii="Arial" w:hAnsi="Arial" w:cs="Arial"/>
          <w:sz w:val="18"/>
        </w:rPr>
        <w:t>on delay time of cryogenic vapo</w:t>
      </w:r>
      <w:r w:rsidRPr="0042572C">
        <w:rPr>
          <w:rFonts w:ascii="Arial" w:hAnsi="Arial" w:cs="Arial"/>
          <w:sz w:val="18"/>
        </w:rPr>
        <w:t>rs. However, once the vapors are ignited reaction rate are comparable and equilibrium conditions are suddenly achieved within the flame core, thus the temporal evolution and the final value of temperature are comparable. Eventually, a kinetically-controlled ignition is followed by diffusion-controlled or instantaneous phenomena.</w:t>
      </w:r>
    </w:p>
    <w:p w:rsidR="00600535" w:rsidRPr="00B57B36" w:rsidRDefault="00600535" w:rsidP="00600535">
      <w:pPr>
        <w:pStyle w:val="CETHeading1"/>
        <w:rPr>
          <w:lang w:val="en-GB"/>
        </w:rPr>
      </w:pPr>
      <w:r w:rsidRPr="00B57B36">
        <w:rPr>
          <w:lang w:val="en-GB"/>
        </w:rPr>
        <w:t>Conclusions</w:t>
      </w:r>
    </w:p>
    <w:p w:rsidR="003661F1" w:rsidRPr="00542EB7" w:rsidRDefault="003661F1" w:rsidP="003661F1">
      <w:pPr>
        <w:pStyle w:val="Els-body-text"/>
        <w:numPr>
          <w:ilvl w:val="0"/>
          <w:numId w:val="1"/>
        </w:numPr>
        <w:rPr>
          <w:rFonts w:ascii="Arial" w:hAnsi="Arial"/>
          <w:sz w:val="18"/>
          <w:lang w:eastAsia="en-US"/>
        </w:rPr>
      </w:pPr>
      <w:r w:rsidRPr="00542EB7">
        <w:rPr>
          <w:rFonts w:ascii="Arial" w:hAnsi="Arial"/>
          <w:sz w:val="18"/>
          <w:lang w:eastAsia="en-US"/>
        </w:rPr>
        <w:t>In this work, a detailed kinetic model developed by the University of Bologna, suitable for light hydrocarbons at cryogenic conditions and atmospheric pressure, has been reduced and validated against experimental and numerical data, for the sake of implementation in CFD codes suitable for the prediction of the LNG pool fire scenario. To this aim, sensitivity analysis and reaction path analysis were performed at different temperatures, fuel compositions and fuel air ratios, resulting in a skeletal mechanism consisting in 18 compounds and 12 reactions. The formation of chemical precursors for soot formation was included in this analysis. The reduced model was implemented in an open source CFD code, FDS, to evaluate the safety aspects involving the LNG pool fire scenarios at different fuel composition, in terms of methane, ethane and propane. The obtained data were compared against the results obtained by the default approach, commonly referred as simple chemistry, where the chemical phenomena are estimated by empirical rules. It was found that both approaches give similar results in terms of temperature and heat radiation at several distance with respect to the pool fire, being the heat release, the burning rate and heat of combustion inserted in the FDS database empirical-based values, already validated for cryogenic conditions, as well. However, it should be considered that the simple chemistry approach does not allow for the accurate evaluation of ignition delay time, CO and soot formation, since no sufficient data are available for the yield at investigated conditions. This is particularly relevant for the evaluation of fire in under-ventilated enclosures. On the other hand, the assumption of pure methane composition for LNG pool seems to be oversimplified, because the presence of ethane and propane clearly affects the pool fire in terms of SEP, especially at later stage from the ignition. Indeed, the heat release rate and flame temperature variate during the simulation, being the fuel</w:t>
      </w:r>
      <w:r>
        <w:rPr>
          <w:rFonts w:ascii="Arial" w:hAnsi="Arial"/>
          <w:sz w:val="18"/>
          <w:lang w:eastAsia="en-US"/>
        </w:rPr>
        <w:t xml:space="preserve"> vapo</w:t>
      </w:r>
      <w:r w:rsidRPr="00542EB7">
        <w:rPr>
          <w:rFonts w:ascii="Arial" w:hAnsi="Arial"/>
          <w:sz w:val="18"/>
          <w:lang w:eastAsia="en-US"/>
        </w:rPr>
        <w:t xml:space="preserve">r composition a function of </w:t>
      </w:r>
      <w:r w:rsidRPr="00542EB7">
        <w:rPr>
          <w:rFonts w:ascii="Arial" w:hAnsi="Arial"/>
          <w:sz w:val="18"/>
          <w:lang w:eastAsia="en-US"/>
        </w:rPr>
        <w:lastRenderedPageBreak/>
        <w:t xml:space="preserve">the time. Negligible discrepancies between pure methane and LNG surrogate mixtures where found in the first stage only, where the </w:t>
      </w:r>
      <w:r>
        <w:rPr>
          <w:rFonts w:ascii="Arial" w:hAnsi="Arial"/>
          <w:sz w:val="18"/>
          <w:lang w:eastAsia="en-US"/>
        </w:rPr>
        <w:t>fuel vapo</w:t>
      </w:r>
      <w:r w:rsidRPr="00542EB7">
        <w:rPr>
          <w:rFonts w:ascii="Arial" w:hAnsi="Arial"/>
          <w:sz w:val="18"/>
          <w:lang w:eastAsia="en-US"/>
        </w:rPr>
        <w:t>r are rich in light species, then the evaporation of ethane, at first, and propane, at later stage, leads to significant variation in fire duration and intensity with respect to the simulation time. This study highlights the significance of fuel composition on LNG pool fire scenario evaluation and proposes an innovative approach to evaluate the plume composition, particularly relevant for confined scenarios and LNG bunkering vessel systems. The application of the proposed procedure should be extended to large scale scenario, where the application of phenomenological models, such as the reduced kinetic model, assumes additional relevance due to the non-ideal mixing locally observed. Indeed, the formation of fuel pockets and hotspots requires particular attention for the sake of accurate model results.</w:t>
      </w:r>
    </w:p>
    <w:p w:rsidR="00600535" w:rsidRPr="00B57B36" w:rsidRDefault="00600535" w:rsidP="00600535">
      <w:pPr>
        <w:pStyle w:val="CETReference"/>
      </w:pPr>
      <w:r w:rsidRPr="00B57B36">
        <w:t>References</w:t>
      </w:r>
    </w:p>
    <w:p w:rsidR="003661F1" w:rsidRDefault="003661F1" w:rsidP="003661F1">
      <w:pPr>
        <w:widowControl w:val="0"/>
        <w:autoSpaceDE w:val="0"/>
        <w:autoSpaceDN w:val="0"/>
        <w:adjustRightInd w:val="0"/>
        <w:spacing w:line="240" w:lineRule="auto"/>
        <w:ind w:left="480" w:hanging="480"/>
        <w:rPr>
          <w:rFonts w:cs="Arial"/>
          <w:noProof/>
          <w:szCs w:val="24"/>
        </w:rPr>
      </w:pPr>
      <w:r w:rsidRPr="00F84AE1">
        <w:rPr>
          <w:rFonts w:cs="Arial"/>
          <w:noProof/>
          <w:szCs w:val="24"/>
        </w:rPr>
        <w:t xml:space="preserve">Agafonov, G.L., Naydenova, I., Vlasov, P.A., Warnatz, J., 2007. Detailed kinetic modeling of soot formation in shock tube pyrolysis and oxidation of toluene and n-heptane. Proc. Combust. Inst. 31 I, 575–583. </w:t>
      </w:r>
    </w:p>
    <w:p w:rsidR="003661F1" w:rsidRDefault="003661F1" w:rsidP="003661F1">
      <w:pPr>
        <w:widowControl w:val="0"/>
        <w:autoSpaceDE w:val="0"/>
        <w:autoSpaceDN w:val="0"/>
        <w:adjustRightInd w:val="0"/>
        <w:spacing w:line="240" w:lineRule="auto"/>
        <w:ind w:left="480" w:hanging="480"/>
      </w:pPr>
      <w:r>
        <w:t xml:space="preserve">ASTM E-681, 2015. Standard Test Method for Concentration Limits of Flammability of Chemicals (Vapors and Gases). Am. Soc. Test. Mater. 09, 1–12. </w:t>
      </w:r>
    </w:p>
    <w:p w:rsidR="003661F1" w:rsidRDefault="003661F1" w:rsidP="003661F1">
      <w:pPr>
        <w:widowControl w:val="0"/>
        <w:autoSpaceDE w:val="0"/>
        <w:autoSpaceDN w:val="0"/>
        <w:adjustRightInd w:val="0"/>
        <w:spacing w:line="240" w:lineRule="auto"/>
        <w:ind w:left="480" w:hanging="480"/>
      </w:pPr>
      <w:r>
        <w:t xml:space="preserve">Babrauskas, V., 1983. Estimating large pool fire burning rates. Fire Technol. 19, 251–261. </w:t>
      </w:r>
    </w:p>
    <w:p w:rsidR="002E1DA3" w:rsidRDefault="002E1DA3" w:rsidP="002E1DA3">
      <w:pPr>
        <w:widowControl w:val="0"/>
        <w:autoSpaceDE w:val="0"/>
        <w:autoSpaceDN w:val="0"/>
        <w:adjustRightInd w:val="0"/>
        <w:spacing w:line="240" w:lineRule="auto"/>
        <w:ind w:left="480" w:hanging="480"/>
        <w:rPr>
          <w:lang w:val="it-IT"/>
        </w:rPr>
      </w:pPr>
      <w:r w:rsidRPr="002E1DA3">
        <w:rPr>
          <w:lang w:val="it-IT"/>
        </w:rPr>
        <w:t>Bubbico, R</w:t>
      </w:r>
      <w:r>
        <w:rPr>
          <w:lang w:val="it-IT"/>
        </w:rPr>
        <w:t xml:space="preserve">., </w:t>
      </w:r>
      <w:r w:rsidRPr="002E1DA3">
        <w:rPr>
          <w:lang w:val="it-IT"/>
        </w:rPr>
        <w:t>Dusserre, G</w:t>
      </w:r>
      <w:r>
        <w:rPr>
          <w:lang w:val="it-IT"/>
        </w:rPr>
        <w:t xml:space="preserve">., </w:t>
      </w:r>
      <w:r w:rsidRPr="002E1DA3">
        <w:rPr>
          <w:lang w:val="it-IT"/>
        </w:rPr>
        <w:t>Mazzarotta, B</w:t>
      </w:r>
      <w:r>
        <w:rPr>
          <w:lang w:val="it-IT"/>
        </w:rPr>
        <w:t xml:space="preserve">., 2016. </w:t>
      </w:r>
      <w:r w:rsidRPr="002E1DA3">
        <w:rPr>
          <w:lang w:val="it-IT"/>
        </w:rPr>
        <w:t>Calculation of the Flame Size from Burning Liquid Pools</w:t>
      </w:r>
      <w:r>
        <w:rPr>
          <w:lang w:val="it-IT"/>
        </w:rPr>
        <w:t>. Chem. Eng. Trans., 53, 67-72.</w:t>
      </w:r>
    </w:p>
    <w:p w:rsidR="003661F1" w:rsidRDefault="003661F1" w:rsidP="002E1DA3">
      <w:pPr>
        <w:widowControl w:val="0"/>
        <w:autoSpaceDE w:val="0"/>
        <w:autoSpaceDN w:val="0"/>
        <w:adjustRightInd w:val="0"/>
        <w:spacing w:line="240" w:lineRule="auto"/>
        <w:ind w:left="480" w:hanging="480"/>
      </w:pPr>
      <w:r>
        <w:t>Conrado, C., Vesovic, V., 2000. The influence of chemical composition on vaporisation of LNG and LPG on unconfined water surfaces. Chem. Eng. Sci. 55, 4549-4562.</w:t>
      </w:r>
    </w:p>
    <w:p w:rsidR="003661F1" w:rsidRDefault="003661F1" w:rsidP="003661F1">
      <w:pPr>
        <w:widowControl w:val="0"/>
        <w:autoSpaceDE w:val="0"/>
        <w:autoSpaceDN w:val="0"/>
        <w:adjustRightInd w:val="0"/>
        <w:spacing w:line="240" w:lineRule="auto"/>
        <w:ind w:left="480" w:hanging="480"/>
      </w:pPr>
      <w:r>
        <w:t>Dirrenberger, P., Le Gall, H., Bournaceur, R., Herbinet, O., Glaude, P., Konnov, A., Battin-leclerc, F., 2011. Measurements of Laminar Flame Velocity for Components of Natural Gas. Energy Fuel. 25, 3875–3884.</w:t>
      </w:r>
    </w:p>
    <w:p w:rsidR="003661F1" w:rsidRDefault="003661F1" w:rsidP="003661F1">
      <w:pPr>
        <w:widowControl w:val="0"/>
        <w:autoSpaceDE w:val="0"/>
        <w:autoSpaceDN w:val="0"/>
        <w:adjustRightInd w:val="0"/>
        <w:spacing w:line="240" w:lineRule="auto"/>
        <w:ind w:left="480" w:hanging="480"/>
      </w:pPr>
      <w:r>
        <w:t>Drysdale, 2011. An Introduction to Fire Dynamics, 3rd. ed. John Wiley and Sons.</w:t>
      </w:r>
    </w:p>
    <w:p w:rsidR="003661F1" w:rsidRDefault="003661F1" w:rsidP="003661F1">
      <w:pPr>
        <w:widowControl w:val="0"/>
        <w:autoSpaceDE w:val="0"/>
        <w:autoSpaceDN w:val="0"/>
        <w:adjustRightInd w:val="0"/>
        <w:spacing w:line="240" w:lineRule="auto"/>
        <w:ind w:left="480" w:hanging="480"/>
      </w:pPr>
      <w:r w:rsidRPr="009C6177">
        <w:rPr>
          <w:lang w:val="it-IT"/>
        </w:rPr>
        <w:t xml:space="preserve">Frassoldati, A., Cuoci, A., Faravelli, T., Niemann, U., Ranzi, E., Seiser, R., Seshadri, K., 2010. </w:t>
      </w:r>
      <w:r>
        <w:t>An experimental and kinetic modeling study of n-propanol and iso-propanol combustion. Combust. Flame 157, 2–16.</w:t>
      </w:r>
    </w:p>
    <w:p w:rsidR="003661F1" w:rsidRDefault="003661F1" w:rsidP="003661F1">
      <w:pPr>
        <w:widowControl w:val="0"/>
        <w:autoSpaceDE w:val="0"/>
        <w:autoSpaceDN w:val="0"/>
        <w:adjustRightInd w:val="0"/>
        <w:spacing w:line="240" w:lineRule="auto"/>
        <w:ind w:left="480" w:hanging="480"/>
      </w:pPr>
      <w:r>
        <w:t>Goodwin, D.G., 2003. An Open Source, Extensible Software Suite FOR CVD Process Simulation, Interfaces.</w:t>
      </w:r>
    </w:p>
    <w:p w:rsidR="003661F1" w:rsidRDefault="003661F1" w:rsidP="003661F1">
      <w:pPr>
        <w:widowControl w:val="0"/>
        <w:autoSpaceDE w:val="0"/>
        <w:autoSpaceDN w:val="0"/>
        <w:adjustRightInd w:val="0"/>
        <w:spacing w:line="240" w:lineRule="auto"/>
        <w:ind w:left="480" w:hanging="480"/>
      </w:pPr>
      <w:r>
        <w:t xml:space="preserve">Gopalaswami, N., Kakosimos, K., Zhang, B., Liu, Y., Mentzer, R., Mannan, M.S., 2017. Experimental and numerical study of liquefied natural gas (LNG) pool spreading and vaporization on water. J. Hazard. Mater. 334, 244-255 </w:t>
      </w:r>
    </w:p>
    <w:p w:rsidR="003661F1" w:rsidRDefault="003661F1" w:rsidP="003661F1">
      <w:pPr>
        <w:widowControl w:val="0"/>
        <w:autoSpaceDE w:val="0"/>
        <w:autoSpaceDN w:val="0"/>
        <w:adjustRightInd w:val="0"/>
        <w:spacing w:line="240" w:lineRule="auto"/>
        <w:ind w:left="480" w:hanging="480"/>
      </w:pPr>
      <w:r>
        <w:t>International Organization for Standardization, 2007. ISO 10456:2007 (E) : Building materials and products - Hygrothermal properties -Tabulated design values and procedures for determining declared and design thermal values, CEN.</w:t>
      </w:r>
    </w:p>
    <w:p w:rsidR="003661F1" w:rsidRDefault="003661F1" w:rsidP="003661F1">
      <w:pPr>
        <w:widowControl w:val="0"/>
        <w:autoSpaceDE w:val="0"/>
        <w:autoSpaceDN w:val="0"/>
        <w:adjustRightInd w:val="0"/>
        <w:spacing w:line="240" w:lineRule="auto"/>
        <w:ind w:left="480" w:hanging="480"/>
      </w:pPr>
      <w:r>
        <w:t>Lin, B., Gu, H., Ni, H., Guan, B., Li, Z., Han, D., Gu, C., Shao, C., Huang, Z., Lin, H., 2018. Effect of mixing methane, ethane, propane and ethylene on the soot particle size distribution in a premixed propene flame. Combust. Flame 193, 54–60.</w:t>
      </w:r>
    </w:p>
    <w:p w:rsidR="003661F1" w:rsidRDefault="003661F1" w:rsidP="003661F1">
      <w:pPr>
        <w:widowControl w:val="0"/>
        <w:autoSpaceDE w:val="0"/>
        <w:autoSpaceDN w:val="0"/>
        <w:adjustRightInd w:val="0"/>
        <w:spacing w:line="240" w:lineRule="auto"/>
        <w:ind w:left="480" w:hanging="480"/>
      </w:pPr>
      <w:r>
        <w:t>Lu, T., Law, C.K., 2009. Toward accommodating realistic fuel chemistry in large-scale computations. Prog. Energy Combust. Sci. 35, 192–215. https://doi.org/10.1016/j.pecs.2008.10.002</w:t>
      </w:r>
    </w:p>
    <w:p w:rsidR="003661F1" w:rsidRDefault="003661F1" w:rsidP="003661F1">
      <w:pPr>
        <w:widowControl w:val="0"/>
        <w:autoSpaceDE w:val="0"/>
        <w:autoSpaceDN w:val="0"/>
        <w:adjustRightInd w:val="0"/>
        <w:spacing w:line="240" w:lineRule="auto"/>
        <w:ind w:left="480" w:hanging="480"/>
      </w:pPr>
      <w:r>
        <w:t>Mcenally, C.S., Pfefferle, L.D., 1998. Soot Formation in Methane / Air Nonpremixed Flames Doped With Small Quantities of C3 Hydrocarbons. Combust. Flame 112, 545–558.</w:t>
      </w:r>
    </w:p>
    <w:p w:rsidR="003661F1" w:rsidRDefault="003661F1" w:rsidP="003661F1">
      <w:pPr>
        <w:widowControl w:val="0"/>
        <w:autoSpaceDE w:val="0"/>
        <w:autoSpaceDN w:val="0"/>
        <w:adjustRightInd w:val="0"/>
        <w:spacing w:line="240" w:lineRule="auto"/>
        <w:ind w:left="480" w:hanging="480"/>
      </w:pPr>
      <w:r>
        <w:t>McGrattan, K., Hostikka, S., McDermott, R., Floyd, J., Weinschenk, C., Overholt, K., 2017. Fire Dynamics Simulator Technical Reference Guide Volume 1: Mathematical Model. NIST Spec. Publ. 1018-1 1.</w:t>
      </w:r>
    </w:p>
    <w:p w:rsidR="003661F1" w:rsidRDefault="003661F1" w:rsidP="003661F1">
      <w:pPr>
        <w:widowControl w:val="0"/>
        <w:autoSpaceDE w:val="0"/>
        <w:autoSpaceDN w:val="0"/>
        <w:adjustRightInd w:val="0"/>
        <w:spacing w:line="240" w:lineRule="auto"/>
        <w:ind w:left="480" w:hanging="480"/>
      </w:pPr>
      <w:r w:rsidRPr="009C6177">
        <w:rPr>
          <w:lang w:val="it-IT"/>
        </w:rPr>
        <w:t xml:space="preserve">Pio, G., Palma, V., Salzano, E., 2018. </w:t>
      </w:r>
      <w:r>
        <w:t>Comparison and validation of detailed kinetic models for the oxidation of light alkenes. Ind. Eng. Chem. Res. 57, 7130–7135.</w:t>
      </w:r>
    </w:p>
    <w:p w:rsidR="003661F1" w:rsidRDefault="003661F1" w:rsidP="003661F1">
      <w:pPr>
        <w:widowControl w:val="0"/>
        <w:autoSpaceDE w:val="0"/>
        <w:autoSpaceDN w:val="0"/>
        <w:adjustRightInd w:val="0"/>
        <w:spacing w:line="240" w:lineRule="auto"/>
        <w:ind w:left="480" w:hanging="480"/>
      </w:pPr>
      <w:r w:rsidRPr="009C6177">
        <w:rPr>
          <w:lang w:val="it-IT"/>
        </w:rPr>
        <w:t xml:space="preserve">Pio, G., Salzano, E., 2018a. </w:t>
      </w:r>
      <w:r>
        <w:t>Laminar Burning Velocity of Methane, Hydrogen and Their Mixtures at Extremely Low Temperature Conditions. Energy Fuels 32, 8830–8836.</w:t>
      </w:r>
    </w:p>
    <w:p w:rsidR="003661F1" w:rsidRDefault="003661F1" w:rsidP="003661F1">
      <w:pPr>
        <w:widowControl w:val="0"/>
        <w:autoSpaceDE w:val="0"/>
        <w:autoSpaceDN w:val="0"/>
        <w:adjustRightInd w:val="0"/>
        <w:spacing w:line="240" w:lineRule="auto"/>
        <w:ind w:left="480" w:hanging="480"/>
      </w:pPr>
      <w:r>
        <w:t xml:space="preserve">Pio, G., Salzano, E., 2018b. </w:t>
      </w:r>
      <w:r w:rsidRPr="00121262">
        <w:t>Flammability parameters of liqu</w:t>
      </w:r>
      <w:r>
        <w:t>e</w:t>
      </w:r>
      <w:r w:rsidRPr="00121262">
        <w:t>fied natural gas</w:t>
      </w:r>
      <w:r>
        <w:t xml:space="preserve">. </w:t>
      </w:r>
      <w:r w:rsidRPr="00F02C3A">
        <w:t>J Loss Prevent Proc</w:t>
      </w:r>
      <w:r>
        <w:t>. 56, 424-429.</w:t>
      </w:r>
    </w:p>
    <w:p w:rsidR="003661F1" w:rsidRDefault="003661F1" w:rsidP="003661F1">
      <w:pPr>
        <w:widowControl w:val="0"/>
        <w:autoSpaceDE w:val="0"/>
        <w:autoSpaceDN w:val="0"/>
        <w:adjustRightInd w:val="0"/>
        <w:spacing w:line="240" w:lineRule="auto"/>
        <w:ind w:left="480" w:hanging="480"/>
      </w:pPr>
      <w:r>
        <w:t>Pio, G., Salzano, E., 2019. The effect of ultra-low temperature on the flammability limits of a methane/air/diluent mixtures. J. Hazard. Mater. 362, 224-229.</w:t>
      </w:r>
    </w:p>
    <w:p w:rsidR="003661F1" w:rsidRPr="009C6177" w:rsidRDefault="003661F1" w:rsidP="003661F1">
      <w:pPr>
        <w:widowControl w:val="0"/>
        <w:autoSpaceDE w:val="0"/>
        <w:autoSpaceDN w:val="0"/>
        <w:adjustRightInd w:val="0"/>
        <w:spacing w:line="240" w:lineRule="auto"/>
        <w:ind w:left="480" w:hanging="480"/>
        <w:rPr>
          <w:lang w:val="it-IT"/>
        </w:rPr>
      </w:pPr>
      <w:r>
        <w:t xml:space="preserve">Raj, P.K., 2007. Large hydrocarbon fuel pool fires: Physical characteristics and thermal emission variations with height. </w:t>
      </w:r>
      <w:r w:rsidRPr="009C6177">
        <w:rPr>
          <w:lang w:val="it-IT"/>
        </w:rPr>
        <w:t>J. Hazard. Mater. 140, 280-292.</w:t>
      </w:r>
    </w:p>
    <w:p w:rsidR="003661F1" w:rsidRPr="009C6177" w:rsidRDefault="003661F1" w:rsidP="003661F1">
      <w:pPr>
        <w:widowControl w:val="0"/>
        <w:autoSpaceDE w:val="0"/>
        <w:autoSpaceDN w:val="0"/>
        <w:adjustRightInd w:val="0"/>
        <w:spacing w:line="240" w:lineRule="auto"/>
        <w:ind w:left="480" w:hanging="480"/>
        <w:rPr>
          <w:lang w:val="it-IT"/>
        </w:rPr>
      </w:pPr>
      <w:r w:rsidRPr="009C6177">
        <w:rPr>
          <w:lang w:val="it-IT"/>
        </w:rPr>
        <w:t xml:space="preserve">Salzano E., Pio G., Ricca A., Palma V., 2018. </w:t>
      </w:r>
      <w:r>
        <w:t xml:space="preserve">The effect of a hydrogen addition to the premixed flame structure of light alkanes. </w:t>
      </w:r>
      <w:r w:rsidRPr="009C6177">
        <w:rPr>
          <w:lang w:val="it-IT"/>
        </w:rPr>
        <w:t xml:space="preserve">Fuel 234, 1064–1070. </w:t>
      </w:r>
    </w:p>
    <w:p w:rsidR="003661F1" w:rsidRDefault="003661F1" w:rsidP="003661F1">
      <w:pPr>
        <w:widowControl w:val="0"/>
        <w:autoSpaceDE w:val="0"/>
        <w:autoSpaceDN w:val="0"/>
        <w:adjustRightInd w:val="0"/>
        <w:spacing w:line="240" w:lineRule="auto"/>
        <w:ind w:left="480" w:hanging="480"/>
      </w:pPr>
      <w:r w:rsidRPr="009C6177">
        <w:rPr>
          <w:lang w:val="it-IT"/>
        </w:rPr>
        <w:t xml:space="preserve">Sánchez, N.E., Callejas, A., Millera, Á., Bilbao, R., Alzueta, M.U., 2012. </w:t>
      </w:r>
      <w:r>
        <w:t xml:space="preserve">Polycyclic aromatic hydrocarbon (PAH) and soot formation in the pyrolysis of acetylene and ethylene: Effect of the reaction temperature. Energy Fuel 26, 4823–4829. </w:t>
      </w:r>
    </w:p>
    <w:p w:rsidR="003661F1" w:rsidRDefault="003661F1" w:rsidP="003661F1">
      <w:pPr>
        <w:widowControl w:val="0"/>
        <w:autoSpaceDE w:val="0"/>
        <w:autoSpaceDN w:val="0"/>
        <w:adjustRightInd w:val="0"/>
        <w:spacing w:line="240" w:lineRule="auto"/>
        <w:ind w:left="480" w:hanging="480"/>
      </w:pPr>
      <w:r>
        <w:t xml:space="preserve">Schalike, S., Wehrstedt, K.-D., Schonbucher, A., 2011. CFD simulation to predict the thermal radiation of large LNG pool fire. Proc. Eur. Combust. Meet. 2011 1–6. </w:t>
      </w:r>
    </w:p>
    <w:p w:rsidR="003661F1" w:rsidRDefault="003661F1" w:rsidP="003661F1">
      <w:pPr>
        <w:widowControl w:val="0"/>
        <w:autoSpaceDE w:val="0"/>
        <w:autoSpaceDN w:val="0"/>
        <w:adjustRightInd w:val="0"/>
        <w:spacing w:line="240" w:lineRule="auto"/>
        <w:ind w:left="480" w:hanging="480"/>
      </w:pPr>
      <w:r>
        <w:t xml:space="preserve">Schulz, F., Commodo, M., Kaiser, K., De Falco, G., Minutolo, P., Meyer, G., D`Anna, A., Gross, L., 2018. Insights into incipient soot formation by atomic force microscopy. Proc. Combust. Inst. 000, 1–8. </w:t>
      </w:r>
    </w:p>
    <w:p w:rsidR="003661F1" w:rsidRDefault="003661F1" w:rsidP="003661F1">
      <w:pPr>
        <w:widowControl w:val="0"/>
        <w:autoSpaceDE w:val="0"/>
        <w:autoSpaceDN w:val="0"/>
        <w:adjustRightInd w:val="0"/>
        <w:spacing w:line="240" w:lineRule="auto"/>
        <w:ind w:left="480" w:hanging="480"/>
      </w:pPr>
      <w:r>
        <w:t xml:space="preserve">Xu, C., Konnov, A.A., 2012. Validation and analysis of detailed kinetic models for ethylene combustion. Energy 43, 19–29. </w:t>
      </w:r>
      <w:bookmarkStart w:id="1" w:name="_GoBack"/>
      <w:bookmarkEnd w:id="1"/>
    </w:p>
    <w:sectPr w:rsidR="003661F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75" w:rsidRDefault="00395D75" w:rsidP="004F5E36">
      <w:r>
        <w:separator/>
      </w:r>
    </w:p>
  </w:endnote>
  <w:endnote w:type="continuationSeparator" w:id="0">
    <w:p w:rsidR="00395D75" w:rsidRDefault="00395D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75" w:rsidRDefault="00395D75" w:rsidP="004F5E36">
      <w:r>
        <w:separator/>
      </w:r>
    </w:p>
  </w:footnote>
  <w:footnote w:type="continuationSeparator" w:id="0">
    <w:p w:rsidR="00395D75" w:rsidRDefault="00395D7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903A1"/>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D5BCD"/>
    <w:rsid w:val="002E1DA3"/>
    <w:rsid w:val="003009B7"/>
    <w:rsid w:val="00300E56"/>
    <w:rsid w:val="0030469C"/>
    <w:rsid w:val="00321CA6"/>
    <w:rsid w:val="00334C09"/>
    <w:rsid w:val="003365E3"/>
    <w:rsid w:val="003661F1"/>
    <w:rsid w:val="003723D4"/>
    <w:rsid w:val="00375437"/>
    <w:rsid w:val="00384CC8"/>
    <w:rsid w:val="003871FD"/>
    <w:rsid w:val="00395D75"/>
    <w:rsid w:val="003A1E30"/>
    <w:rsid w:val="003A7D1C"/>
    <w:rsid w:val="003B304B"/>
    <w:rsid w:val="003B3146"/>
    <w:rsid w:val="003B60F3"/>
    <w:rsid w:val="003F015E"/>
    <w:rsid w:val="00400414"/>
    <w:rsid w:val="0041446B"/>
    <w:rsid w:val="0044318E"/>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3C3E"/>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63A70"/>
    <w:rsid w:val="00FA21D0"/>
    <w:rsid w:val="00FA5F5F"/>
    <w:rsid w:val="00FB730C"/>
    <w:rsid w:val="00FC2695"/>
    <w:rsid w:val="00FC3E03"/>
    <w:rsid w:val="00FC3FC1"/>
    <w:rsid w:val="00FF4C9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Paragraph">
    <w:name w:val="List Paragraph"/>
    <w:basedOn w:val="Normal"/>
    <w:uiPriority w:val="34"/>
    <w:rsid w:val="003661F1"/>
    <w:pPr>
      <w:ind w:left="720"/>
      <w:contextualSpacing/>
    </w:pPr>
  </w:style>
  <w:style w:type="paragraph" w:customStyle="1" w:styleId="Els-table-text">
    <w:name w:val="Els-table-text"/>
    <w:rsid w:val="003661F1"/>
    <w:pPr>
      <w:keepNext/>
      <w:spacing w:after="80" w:line="200" w:lineRule="exact"/>
    </w:pPr>
    <w:rPr>
      <w:rFonts w:ascii="Times New Roman" w:eastAsia="Times New Roman" w:hAnsi="Times New Roman" w:cs="Times New Roman"/>
      <w:sz w:val="16"/>
      <w:szCs w:val="20"/>
      <w:lang w:val="en-US" w:eastAsia="it-IT"/>
    </w:rPr>
  </w:style>
  <w:style w:type="paragraph" w:customStyle="1" w:styleId="CET-table-title">
    <w:name w:val="CET-table-title"/>
    <w:rsid w:val="003661F1"/>
    <w:pPr>
      <w:keepNext/>
      <w:spacing w:before="240" w:after="80" w:line="240" w:lineRule="exact"/>
    </w:pPr>
    <w:rPr>
      <w:rFonts w:ascii="Arial" w:eastAsia="Times New Roman" w:hAnsi="Arial" w:cs="Times New Roman"/>
      <w:i/>
      <w:sz w:val="18"/>
      <w:szCs w:val="20"/>
      <w:lang w:val="en-US"/>
    </w:rPr>
  </w:style>
  <w:style w:type="paragraph" w:customStyle="1" w:styleId="Els-body-text">
    <w:name w:val="Els-body-text"/>
    <w:rsid w:val="003661F1"/>
    <w:pPr>
      <w:spacing w:after="0" w:line="240" w:lineRule="exact"/>
      <w:ind w:firstLine="240"/>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618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BFFF-E9CD-4E06-9F26-41423AFC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11015</Words>
  <Characters>62792</Characters>
  <Application>Microsoft Office Word</Application>
  <DocSecurity>0</DocSecurity>
  <Lines>523</Lines>
  <Paragraphs>147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Gianmaria Pio</cp:lastModifiedBy>
  <cp:revision>5</cp:revision>
  <cp:lastPrinted>2015-05-12T18:31:00Z</cp:lastPrinted>
  <dcterms:created xsi:type="dcterms:W3CDTF">2019-01-28T14:40:00Z</dcterms:created>
  <dcterms:modified xsi:type="dcterms:W3CDTF">2019-04-02T12:50:00Z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vt:lpwstr>
  </property>
  <property fmtid="{D5CDD505-2E9C-101B-9397-08002B2CF9AE}" pid="6" name="Mendeley Recent Style Id 1_1">
    <vt:lpwstr>http://csl.mendeley.com/styles/448197871/CET</vt:lpwstr>
  </property>
  <property fmtid="{D5CDD505-2E9C-101B-9397-08002B2CF9AE}" pid="7" name="Mendeley Recent Style Name 1_1">
    <vt:lpwstr>CET</vt:lpwstr>
  </property>
  <property fmtid="{D5CDD505-2E9C-101B-9397-08002B2CF9AE}" pid="8" name="Mendeley Recent Style Id 2_1">
    <vt:lpwstr>http://www.zotero.org/styles/chemical-engineering-science</vt:lpwstr>
  </property>
  <property fmtid="{D5CDD505-2E9C-101B-9397-08002B2CF9AE}" pid="9" name="Mendeley Recent Style Name 2_1">
    <vt:lpwstr>Chemical Engineering Science</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http://www.zotero.org/styles/elsevier-harvard</vt:lpwstr>
  </property>
  <property fmtid="{D5CDD505-2E9C-101B-9397-08002B2CF9AE}" pid="13" name="Mendeley Recent Style Name 4_1">
    <vt:lpwstr>Elsevier - Harvard (with titles)</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http://csl.mendeley.com/styles/448197871/IEEEGP</vt:lpwstr>
  </property>
  <property fmtid="{D5CDD505-2E9C-101B-9397-08002B2CF9AE}" pid="17" name="Mendeley Recent Style Name 6_1">
    <vt:lpwstr>IEEE - Gianmaria Pio, Master degree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3add2eb4-ab1d-37c1-86b5-7eb84d927b37</vt:lpwstr>
  </property>
  <property fmtid="{D5CDD505-2E9C-101B-9397-08002B2CF9AE}" pid="26" name="Mendeley Citation Style_1">
    <vt:lpwstr>http://www.zotero.org/styles/chemical-engineering-science</vt:lpwstr>
  </property>
</Properties>
</file>