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fr-FR" w:eastAsia="fr-F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5B2BFD" w:rsidP="00E978D0">
      <w:pPr>
        <w:pStyle w:val="CETTitle"/>
      </w:pPr>
      <w:r>
        <w:lastRenderedPageBreak/>
        <w:t>A Study on Production of Biodiesel f</w:t>
      </w:r>
      <w:r w:rsidR="0078537B">
        <w:t>rom Waste Frying Oil</w:t>
      </w:r>
    </w:p>
    <w:p w:rsidR="00E978D0" w:rsidRPr="00863053" w:rsidRDefault="005B2BFD" w:rsidP="00AB5011">
      <w:pPr>
        <w:pStyle w:val="CETAuthors"/>
        <w:rPr>
          <w:lang w:val="pt-BR"/>
        </w:rPr>
      </w:pPr>
      <w:r w:rsidRPr="00863053">
        <w:rPr>
          <w:lang w:val="pt-BR"/>
        </w:rPr>
        <w:t>Jéssica S.A. Costa*, Oscar J</w:t>
      </w:r>
      <w:r w:rsidR="00542791">
        <w:rPr>
          <w:lang w:val="pt-BR"/>
        </w:rPr>
        <w:t xml:space="preserve">. </w:t>
      </w:r>
      <w:r w:rsidRPr="00863053">
        <w:rPr>
          <w:lang w:val="pt-BR"/>
        </w:rPr>
        <w:t>C</w:t>
      </w:r>
      <w:r w:rsidR="00542791">
        <w:rPr>
          <w:lang w:val="pt-BR"/>
        </w:rPr>
        <w:t>.</w:t>
      </w:r>
      <w:r w:rsidRPr="00863053">
        <w:rPr>
          <w:lang w:val="pt-BR"/>
        </w:rPr>
        <w:t xml:space="preserve"> Ariza, Luciana B. Lima</w:t>
      </w:r>
    </w:p>
    <w:p w:rsidR="00863053" w:rsidRPr="003D04F8" w:rsidRDefault="00863053" w:rsidP="00863053">
      <w:pPr>
        <w:pStyle w:val="CETAddress"/>
        <w:rPr>
          <w:lang w:val="pt-BR"/>
        </w:rPr>
      </w:pPr>
      <w:r>
        <w:rPr>
          <w:lang w:val="pt-BR"/>
        </w:rPr>
        <w:t>E</w:t>
      </w:r>
      <w:r w:rsidRPr="003D04F8">
        <w:rPr>
          <w:lang w:val="pt-BR"/>
        </w:rPr>
        <w:t>stácio de Sá</w:t>
      </w:r>
      <w:r>
        <w:rPr>
          <w:lang w:val="pt-BR"/>
        </w:rPr>
        <w:t xml:space="preserve"> University</w:t>
      </w:r>
      <w:r w:rsidRPr="003D04F8">
        <w:rPr>
          <w:lang w:val="pt-BR"/>
        </w:rPr>
        <w:t>, Rio de Janeiro-RJ, Brazi</w:t>
      </w:r>
      <w:r>
        <w:rPr>
          <w:lang w:val="pt-BR"/>
        </w:rPr>
        <w:t>l</w:t>
      </w:r>
      <w:r w:rsidRPr="003D04F8">
        <w:rPr>
          <w:lang w:val="pt-BR"/>
        </w:rPr>
        <w:t xml:space="preserve"> </w:t>
      </w:r>
    </w:p>
    <w:p w:rsidR="00E978D0" w:rsidRPr="003C590D" w:rsidRDefault="00290349" w:rsidP="00E978D0">
      <w:pPr>
        <w:pStyle w:val="CETemail"/>
        <w:rPr>
          <w:lang w:val="en-US"/>
        </w:rPr>
      </w:pPr>
      <w:r w:rsidRPr="003C590D">
        <w:rPr>
          <w:lang w:val="en-US"/>
        </w:rPr>
        <w:t xml:space="preserve">jessica.eng.pet@gmail.com </w:t>
      </w:r>
    </w:p>
    <w:p w:rsidR="00290349" w:rsidRPr="003C590D" w:rsidRDefault="00290349" w:rsidP="00290349">
      <w:pPr>
        <w:pStyle w:val="CETListbullets"/>
        <w:rPr>
          <w:lang w:val="en-US"/>
        </w:rPr>
      </w:pPr>
    </w:p>
    <w:p w:rsidR="00290349" w:rsidRDefault="00290349" w:rsidP="00290349">
      <w:pPr>
        <w:pStyle w:val="CETBodytext"/>
      </w:pPr>
      <w:r>
        <w:t xml:space="preserve">Biodiesel is a highly effective fuel with the same efficiency such as diesel oil derivative only accompanied by moderate engine modifications. This type of biofuel can be obtained from renewable sources such as vegetable, animal or frying oils. In this context, waste frying oils transesterification was studied to obtain the maximum value of biodiesel. Transesterification reactions were carried out between 70 to 90 min using waste frying oils (WFOs), methanol, and sodium hydroxide as catalyst. In order to determine the best conditions for biodiesel production, a series of experiments were carried out, using catalyst percent and temperatures in a range of 0.16 to 1.84% and 40 to 90°C, respectively. The highest biodiesel production was obtained using catalyst percent, temperature and reaction time of 0.5%, 80°C and 90 min, respectively. By statistical experimental design was possible to determine a mathematical model to predict the best operational conditions to maximize biodiesel production.     </w:t>
      </w:r>
    </w:p>
    <w:p w:rsidR="00290349" w:rsidRDefault="00290349" w:rsidP="00290349">
      <w:pPr>
        <w:pStyle w:val="CETListbullets"/>
        <w:ind w:firstLine="0"/>
      </w:pPr>
    </w:p>
    <w:p w:rsidR="00600535" w:rsidRPr="00B57B36" w:rsidRDefault="00600535" w:rsidP="00600535">
      <w:pPr>
        <w:pStyle w:val="CETHeading1"/>
        <w:rPr>
          <w:lang w:val="en-GB"/>
        </w:rPr>
      </w:pPr>
      <w:r w:rsidRPr="00B57B36">
        <w:rPr>
          <w:lang w:val="en-GB"/>
        </w:rPr>
        <w:t>Introduction</w:t>
      </w:r>
    </w:p>
    <w:p w:rsidR="00F94162" w:rsidRPr="00F94162" w:rsidRDefault="00F94162" w:rsidP="00F94162">
      <w:pPr>
        <w:pStyle w:val="CETBodytext"/>
        <w:rPr>
          <w:lang w:val="en-GB"/>
        </w:rPr>
      </w:pPr>
    </w:p>
    <w:p w:rsidR="00D56EDF" w:rsidRDefault="00E1173C" w:rsidP="00F94162">
      <w:pPr>
        <w:pStyle w:val="CETBodytext"/>
        <w:rPr>
          <w:lang w:val="en-GB"/>
        </w:rPr>
      </w:pPr>
      <w:r w:rsidRPr="00E1173C">
        <w:rPr>
          <w:lang w:val="en-GB"/>
        </w:rPr>
        <w:t xml:space="preserve">In Brazil, the main raw material used for the biodiesel process is soybean. According to Ministry of Agriculture soybean production has been exceeded 82 million tons which could lead Brazil to be largest producer of biodiesel in the </w:t>
      </w:r>
      <w:r w:rsidRPr="00AF39DE">
        <w:rPr>
          <w:lang w:val="en-GB"/>
        </w:rPr>
        <w:t>world (</w:t>
      </w:r>
      <w:r w:rsidR="00AF39DE" w:rsidRPr="00AF39DE">
        <w:rPr>
          <w:lang w:val="en-GB"/>
        </w:rPr>
        <w:t xml:space="preserve">Silva et al., </w:t>
      </w:r>
      <w:r w:rsidRPr="00AF39DE">
        <w:rPr>
          <w:lang w:val="en-GB"/>
        </w:rPr>
        <w:t>201</w:t>
      </w:r>
      <w:r w:rsidR="00AF39DE" w:rsidRPr="00AF39DE">
        <w:rPr>
          <w:lang w:val="en-GB"/>
        </w:rPr>
        <w:t>8</w:t>
      </w:r>
      <w:r w:rsidRPr="00AF39DE">
        <w:rPr>
          <w:lang w:val="en-GB"/>
        </w:rPr>
        <w:t>).</w:t>
      </w:r>
      <w:r w:rsidRPr="00E1173C">
        <w:t xml:space="preserve"> </w:t>
      </w:r>
      <w:r w:rsidRPr="00E1173C">
        <w:rPr>
          <w:lang w:val="en-GB"/>
        </w:rPr>
        <w:t>However, many negative factors have been interfered to increase the production such as large land for planting and its impact with the food industry.</w:t>
      </w:r>
      <w:r w:rsidR="00563B6C" w:rsidRPr="00563B6C">
        <w:t xml:space="preserve"> </w:t>
      </w:r>
      <w:r w:rsidR="00563B6C" w:rsidRPr="00563B6C">
        <w:rPr>
          <w:lang w:val="en-GB"/>
        </w:rPr>
        <w:t>Therefore, other raw material alternatives have gained prominence as frying oil</w:t>
      </w:r>
      <w:r w:rsidR="006D46E9">
        <w:rPr>
          <w:lang w:val="en-GB"/>
        </w:rPr>
        <w:t xml:space="preserve"> </w:t>
      </w:r>
      <w:r w:rsidR="006D46E9" w:rsidRPr="0058488A">
        <w:rPr>
          <w:lang w:val="en-GB"/>
        </w:rPr>
        <w:t>(</w:t>
      </w:r>
      <w:r w:rsidR="0058488A" w:rsidRPr="0058488A">
        <w:rPr>
          <w:lang w:val="en-GB"/>
        </w:rPr>
        <w:t>Silva Filho et al, 2018</w:t>
      </w:r>
      <w:r w:rsidR="006D46E9" w:rsidRPr="0058488A">
        <w:rPr>
          <w:lang w:val="en-GB"/>
        </w:rPr>
        <w:t>)</w:t>
      </w:r>
      <w:r w:rsidR="00563B6C" w:rsidRPr="0058488A">
        <w:rPr>
          <w:lang w:val="en-GB"/>
        </w:rPr>
        <w:t>.</w:t>
      </w:r>
      <w:r w:rsidR="00563B6C" w:rsidRPr="00563B6C">
        <w:rPr>
          <w:lang w:val="en-GB"/>
        </w:rPr>
        <w:t xml:space="preserve"> This type of residue has excellent technical </w:t>
      </w:r>
      <w:r w:rsidR="00A0684C" w:rsidRPr="00A0684C">
        <w:rPr>
          <w:lang w:val="en-GB"/>
        </w:rPr>
        <w:t>characteristics</w:t>
      </w:r>
      <w:r w:rsidR="00563B6C" w:rsidRPr="00563B6C">
        <w:rPr>
          <w:lang w:val="en-GB"/>
        </w:rPr>
        <w:t xml:space="preserve"> such as low economical value, easy storage, many pre-</w:t>
      </w:r>
      <w:r w:rsidR="00A0684C" w:rsidRPr="00563B6C">
        <w:rPr>
          <w:lang w:val="en-GB"/>
        </w:rPr>
        <w:t>treatment</w:t>
      </w:r>
      <w:r w:rsidR="00563B6C" w:rsidRPr="00563B6C">
        <w:rPr>
          <w:lang w:val="en-GB"/>
        </w:rPr>
        <w:t xml:space="preserve"> processes with same biodiesel production scheme from soybean oil.</w:t>
      </w:r>
      <w:r w:rsidR="00DB77B7">
        <w:rPr>
          <w:lang w:val="en-GB"/>
        </w:rPr>
        <w:t xml:space="preserve"> </w:t>
      </w:r>
      <w:r w:rsidR="00DB77B7" w:rsidRPr="00DB77B7">
        <w:rPr>
          <w:lang w:val="en-GB"/>
        </w:rPr>
        <w:t xml:space="preserve">Daily, waste frying oil are discarded, almost totally in sanitary sewers without control water pollution and this generate an impact environmental. Moreover, the waste oil causes a reduction in the diameter of ducts due to solidification and </w:t>
      </w:r>
      <w:r w:rsidR="00D60271" w:rsidRPr="00D60271">
        <w:rPr>
          <w:lang w:val="en-GB"/>
        </w:rPr>
        <w:t>sewer obstruction</w:t>
      </w:r>
      <w:r w:rsidR="00DB77B7" w:rsidRPr="00DB77B7">
        <w:rPr>
          <w:lang w:val="en-GB"/>
        </w:rPr>
        <w:t xml:space="preserve">. </w:t>
      </w:r>
    </w:p>
    <w:p w:rsidR="00D56EDF" w:rsidRDefault="00D56EDF" w:rsidP="00F94162">
      <w:pPr>
        <w:pStyle w:val="CETBodytext"/>
        <w:rPr>
          <w:lang w:val="en-GB"/>
        </w:rPr>
      </w:pPr>
    </w:p>
    <w:p w:rsidR="00E1173C" w:rsidRDefault="00DB77B7" w:rsidP="00F94162">
      <w:pPr>
        <w:pStyle w:val="CETBodytext"/>
        <w:rPr>
          <w:lang w:val="en-GB"/>
        </w:rPr>
      </w:pPr>
      <w:r w:rsidRPr="00DB77B7">
        <w:rPr>
          <w:lang w:val="en-GB"/>
        </w:rPr>
        <w:t>In cases when is discarded in landfill reaches the water table, water resources, rivers, streams and dams.</w:t>
      </w:r>
      <w:r w:rsidR="00E357FE">
        <w:rPr>
          <w:lang w:val="en-GB"/>
        </w:rPr>
        <w:t xml:space="preserve"> </w:t>
      </w:r>
      <w:r w:rsidR="00E357FE" w:rsidRPr="00E357FE">
        <w:rPr>
          <w:lang w:val="en-GB"/>
        </w:rPr>
        <w:t xml:space="preserve">Studies has reported for one </w:t>
      </w:r>
      <w:r w:rsidR="00A72869" w:rsidRPr="00E357FE">
        <w:rPr>
          <w:lang w:val="en-GB"/>
        </w:rPr>
        <w:t>litter</w:t>
      </w:r>
      <w:r w:rsidR="00E357FE" w:rsidRPr="00E357FE">
        <w:rPr>
          <w:lang w:val="en-GB"/>
        </w:rPr>
        <w:t xml:space="preserve"> of waste frying oil can contaminate about 25,000 </w:t>
      </w:r>
      <w:r w:rsidR="00A72869" w:rsidRPr="00E357FE">
        <w:rPr>
          <w:lang w:val="en-GB"/>
        </w:rPr>
        <w:t>litters</w:t>
      </w:r>
      <w:r w:rsidR="00E357FE" w:rsidRPr="00E357FE">
        <w:rPr>
          <w:lang w:val="en-GB"/>
        </w:rPr>
        <w:t xml:space="preserve"> of water </w:t>
      </w:r>
      <w:r w:rsidR="00E357FE" w:rsidRPr="00464071">
        <w:rPr>
          <w:lang w:val="en-GB"/>
        </w:rPr>
        <w:t>(</w:t>
      </w:r>
      <w:proofErr w:type="spellStart"/>
      <w:r w:rsidR="00464071" w:rsidRPr="00464071">
        <w:rPr>
          <w:lang w:val="en-GB"/>
        </w:rPr>
        <w:t>Bimendra</w:t>
      </w:r>
      <w:proofErr w:type="spellEnd"/>
      <w:r w:rsidR="00464071" w:rsidRPr="00464071">
        <w:rPr>
          <w:lang w:val="en-GB"/>
        </w:rPr>
        <w:t xml:space="preserve"> et al.,</w:t>
      </w:r>
      <w:r w:rsidR="00E357FE" w:rsidRPr="00464071">
        <w:rPr>
          <w:lang w:val="en-GB"/>
        </w:rPr>
        <w:t xml:space="preserve"> 201</w:t>
      </w:r>
      <w:r w:rsidR="00464071" w:rsidRPr="00464071">
        <w:rPr>
          <w:lang w:val="en-GB"/>
        </w:rPr>
        <w:t>7</w:t>
      </w:r>
      <w:r w:rsidR="00E357FE" w:rsidRPr="00464071">
        <w:rPr>
          <w:lang w:val="en-GB"/>
        </w:rPr>
        <w:t>).</w:t>
      </w:r>
      <w:r w:rsidR="00D56EDF">
        <w:rPr>
          <w:lang w:val="en-GB"/>
        </w:rPr>
        <w:t xml:space="preserve"> </w:t>
      </w:r>
      <w:r w:rsidR="00C84E8B" w:rsidRPr="00C84E8B">
        <w:rPr>
          <w:lang w:val="en-GB"/>
        </w:rPr>
        <w:t>Accordi</w:t>
      </w:r>
      <w:r w:rsidR="00DB7941">
        <w:rPr>
          <w:lang w:val="en-GB"/>
        </w:rPr>
        <w:t>ng</w:t>
      </w:r>
      <w:r w:rsidR="00C84E8B" w:rsidRPr="00C84E8B">
        <w:rPr>
          <w:lang w:val="en-GB"/>
        </w:rPr>
        <w:t xml:space="preserve"> to </w:t>
      </w:r>
      <w:r w:rsidR="00676F86" w:rsidRPr="00D56EDF">
        <w:rPr>
          <w:lang w:val="en-GB"/>
        </w:rPr>
        <w:t>Da Silva et al.,</w:t>
      </w:r>
      <w:r w:rsidR="00C84E8B" w:rsidRPr="00D56EDF">
        <w:rPr>
          <w:lang w:val="en-GB"/>
        </w:rPr>
        <w:t xml:space="preserve"> (201</w:t>
      </w:r>
      <w:r w:rsidR="00676F86" w:rsidRPr="00D56EDF">
        <w:rPr>
          <w:lang w:val="en-GB"/>
        </w:rPr>
        <w:t>7</w:t>
      </w:r>
      <w:r w:rsidR="00C84E8B" w:rsidRPr="00D56EDF">
        <w:rPr>
          <w:lang w:val="en-GB"/>
        </w:rPr>
        <w:t>),</w:t>
      </w:r>
      <w:r w:rsidR="00C84E8B" w:rsidRPr="00C84E8B">
        <w:rPr>
          <w:lang w:val="en-GB"/>
        </w:rPr>
        <w:t xml:space="preserve"> in Brazil about 2 % of waste frying oil is collected, that is, 98% of this material is irregularly discarded in sewerage. Several governmental entities with private companies are organized to incentive for waste frying oil collection programs from the </w:t>
      </w:r>
      <w:r w:rsidR="00DB7941" w:rsidRPr="00C84E8B">
        <w:rPr>
          <w:lang w:val="en-GB"/>
        </w:rPr>
        <w:t>Brazilian</w:t>
      </w:r>
      <w:r w:rsidR="00C84E8B" w:rsidRPr="00C84E8B">
        <w:rPr>
          <w:lang w:val="en-GB"/>
        </w:rPr>
        <w:t xml:space="preserve"> population.</w:t>
      </w:r>
    </w:p>
    <w:p w:rsidR="00D56EDF" w:rsidRDefault="00D56EDF" w:rsidP="00F94162">
      <w:pPr>
        <w:pStyle w:val="CETBodytext"/>
        <w:rPr>
          <w:lang w:val="en-GB"/>
        </w:rPr>
      </w:pPr>
    </w:p>
    <w:p w:rsidR="001A350C" w:rsidRDefault="001A350C" w:rsidP="00F94162">
      <w:pPr>
        <w:pStyle w:val="CETBodytext"/>
        <w:rPr>
          <w:lang w:val="en-GB"/>
        </w:rPr>
      </w:pPr>
      <w:r w:rsidRPr="001A350C">
        <w:rPr>
          <w:lang w:val="en-GB"/>
        </w:rPr>
        <w:t>For this reason, in this work is study the operational variables effects to aim biodiesel production from waste frying oil by experimental methodology.</w:t>
      </w:r>
    </w:p>
    <w:p w:rsidR="00597D8A" w:rsidRDefault="00597D8A" w:rsidP="00F94162">
      <w:pPr>
        <w:pStyle w:val="CETBodytext"/>
        <w:rPr>
          <w:lang w:val="en-GB"/>
        </w:rPr>
      </w:pPr>
    </w:p>
    <w:p w:rsidR="003C590D" w:rsidRPr="003C590D" w:rsidRDefault="003C590D" w:rsidP="003C590D">
      <w:pPr>
        <w:pStyle w:val="CETHeading1"/>
      </w:pPr>
      <w:r w:rsidRPr="003C590D">
        <w:t>Materials and experimental methodology</w:t>
      </w:r>
    </w:p>
    <w:p w:rsidR="003C590D" w:rsidRDefault="003C590D" w:rsidP="009B0C7E">
      <w:pPr>
        <w:pStyle w:val="CETBodytext"/>
        <w:rPr>
          <w:lang w:val="en-GB"/>
        </w:rPr>
      </w:pPr>
    </w:p>
    <w:p w:rsidR="003C590D" w:rsidRDefault="003C590D" w:rsidP="009B0C7E">
      <w:pPr>
        <w:pStyle w:val="CETBodytext"/>
        <w:rPr>
          <w:lang w:val="en-GB"/>
        </w:rPr>
      </w:pPr>
      <w:r w:rsidRPr="003C590D">
        <w:rPr>
          <w:lang w:val="en-GB"/>
        </w:rPr>
        <w:t xml:space="preserve">Waste Frying oil samples were obtained from a local restaurant at Rio de Janeiro City. The experimental procedure was carried out in three stages: pre-treatment, </w:t>
      </w:r>
      <w:r w:rsidR="00CB1632">
        <w:rPr>
          <w:lang w:val="en-GB"/>
        </w:rPr>
        <w:t>p</w:t>
      </w:r>
      <w:r w:rsidR="00CB1632" w:rsidRPr="00CB1632">
        <w:rPr>
          <w:lang w:val="en-GB"/>
        </w:rPr>
        <w:t xml:space="preserve">hysicochemical </w:t>
      </w:r>
      <w:r w:rsidR="00CB1632">
        <w:rPr>
          <w:lang w:val="en-GB"/>
        </w:rPr>
        <w:t>c</w:t>
      </w:r>
      <w:r w:rsidR="00CB1632" w:rsidRPr="00CB1632">
        <w:rPr>
          <w:lang w:val="en-GB"/>
        </w:rPr>
        <w:t>haracterization</w:t>
      </w:r>
      <w:r w:rsidR="00CB1632">
        <w:rPr>
          <w:lang w:val="en-GB"/>
        </w:rPr>
        <w:t xml:space="preserve"> </w:t>
      </w:r>
      <w:r w:rsidRPr="003C590D">
        <w:rPr>
          <w:lang w:val="en-GB"/>
        </w:rPr>
        <w:t>and transesterification reaction.</w:t>
      </w:r>
    </w:p>
    <w:p w:rsidR="003C590D" w:rsidRDefault="003C590D" w:rsidP="009B0C7E">
      <w:pPr>
        <w:pStyle w:val="CETBodytext"/>
        <w:rPr>
          <w:lang w:val="en-GB"/>
        </w:rPr>
      </w:pPr>
    </w:p>
    <w:p w:rsidR="00861A5D" w:rsidRDefault="00861A5D" w:rsidP="00861A5D">
      <w:pPr>
        <w:pStyle w:val="CETBodytext"/>
        <w:numPr>
          <w:ilvl w:val="2"/>
          <w:numId w:val="1"/>
        </w:numPr>
        <w:rPr>
          <w:b/>
          <w:lang w:val="en-GB"/>
        </w:rPr>
      </w:pPr>
      <w:r w:rsidRPr="00861A5D">
        <w:rPr>
          <w:b/>
          <w:lang w:val="en-GB"/>
        </w:rPr>
        <w:t>Pre-treatment</w:t>
      </w:r>
    </w:p>
    <w:p w:rsidR="00861A5D" w:rsidRDefault="00861A5D" w:rsidP="00861A5D">
      <w:pPr>
        <w:pStyle w:val="CETBodytext"/>
        <w:rPr>
          <w:lang w:val="en-GB"/>
        </w:rPr>
      </w:pPr>
    </w:p>
    <w:p w:rsidR="002B18B9" w:rsidRDefault="002B18B9" w:rsidP="00861A5D">
      <w:pPr>
        <w:pStyle w:val="CETBodytext"/>
        <w:rPr>
          <w:lang w:val="en-GB"/>
        </w:rPr>
      </w:pPr>
      <w:r w:rsidRPr="002B18B9">
        <w:rPr>
          <w:lang w:val="en-GB"/>
        </w:rPr>
        <w:t>Samples has contained several contaminants such as water, free fatty acids, particulates and</w:t>
      </w:r>
      <w:r w:rsidR="00C35509" w:rsidRPr="00C35509">
        <w:t xml:space="preserve"> </w:t>
      </w:r>
      <w:r w:rsidR="00D50EB1" w:rsidRPr="00C35509">
        <w:rPr>
          <w:lang w:val="en-GB"/>
        </w:rPr>
        <w:t>phospholipi</w:t>
      </w:r>
      <w:r w:rsidR="00D50EB1">
        <w:rPr>
          <w:lang w:val="en-GB"/>
        </w:rPr>
        <w:t>ds</w:t>
      </w:r>
      <w:r w:rsidRPr="002B18B9">
        <w:rPr>
          <w:lang w:val="en-GB"/>
        </w:rPr>
        <w:t xml:space="preserve">. First, sample were dried and filtered to eliminate water and solid particulates. </w:t>
      </w:r>
      <w:r w:rsidR="00C35509">
        <w:rPr>
          <w:lang w:val="en-GB"/>
        </w:rPr>
        <w:t>After that</w:t>
      </w:r>
      <w:r w:rsidRPr="002B18B9">
        <w:rPr>
          <w:lang w:val="en-GB"/>
        </w:rPr>
        <w:t>, free fatty acid (FFA) were measured by acid-base titration as number of potassium hydroxide (KOH) milligrams required to neutralize the FFA present in 1 g of sample.</w:t>
      </w:r>
      <w:r w:rsidR="00545491">
        <w:rPr>
          <w:lang w:val="en-GB"/>
        </w:rPr>
        <w:t xml:space="preserve"> </w:t>
      </w:r>
      <w:r w:rsidR="00545491" w:rsidRPr="00545491">
        <w:rPr>
          <w:lang w:val="en-GB"/>
        </w:rPr>
        <w:t xml:space="preserve">Finally, </w:t>
      </w:r>
      <w:proofErr w:type="gramStart"/>
      <w:r w:rsidR="00545491" w:rsidRPr="00545491">
        <w:rPr>
          <w:lang w:val="en-GB"/>
        </w:rPr>
        <w:t xml:space="preserve">density of </w:t>
      </w:r>
      <w:r w:rsidR="00545491">
        <w:rPr>
          <w:lang w:val="en-GB"/>
        </w:rPr>
        <w:t>samples</w:t>
      </w:r>
      <w:r w:rsidR="00545491" w:rsidRPr="00545491">
        <w:rPr>
          <w:lang w:val="en-GB"/>
        </w:rPr>
        <w:t xml:space="preserve"> were</w:t>
      </w:r>
      <w:proofErr w:type="gramEnd"/>
      <w:r w:rsidR="00545491" w:rsidRPr="00545491">
        <w:rPr>
          <w:lang w:val="en-GB"/>
        </w:rPr>
        <w:t xml:space="preserve"> calculated.</w:t>
      </w:r>
    </w:p>
    <w:p w:rsidR="002B18B9" w:rsidRDefault="002B18B9" w:rsidP="00861A5D">
      <w:pPr>
        <w:pStyle w:val="CETBodytext"/>
        <w:rPr>
          <w:lang w:val="en-GB"/>
        </w:rPr>
      </w:pPr>
    </w:p>
    <w:p w:rsidR="00A42AA5" w:rsidRDefault="00A42AA5" w:rsidP="00A42AA5">
      <w:pPr>
        <w:pStyle w:val="CETBodytext"/>
        <w:numPr>
          <w:ilvl w:val="2"/>
          <w:numId w:val="1"/>
        </w:numPr>
        <w:rPr>
          <w:b/>
          <w:lang w:val="en-GB"/>
        </w:rPr>
      </w:pPr>
      <w:r w:rsidRPr="00A42AA5">
        <w:rPr>
          <w:b/>
          <w:lang w:val="en-GB"/>
        </w:rPr>
        <w:t xml:space="preserve">Transesterification reaction </w:t>
      </w:r>
    </w:p>
    <w:p w:rsidR="00A42AA5" w:rsidRDefault="00A42AA5" w:rsidP="009B0C7E">
      <w:pPr>
        <w:pStyle w:val="CETBodytext"/>
        <w:rPr>
          <w:lang w:val="en-GB"/>
        </w:rPr>
      </w:pPr>
    </w:p>
    <w:p w:rsidR="00A42AA5" w:rsidRDefault="00A42AA5" w:rsidP="009B0C7E">
      <w:pPr>
        <w:pStyle w:val="CETBodytext"/>
        <w:rPr>
          <w:lang w:val="en-GB"/>
        </w:rPr>
      </w:pPr>
      <w:r w:rsidRPr="00A42AA5">
        <w:rPr>
          <w:lang w:val="en-GB"/>
        </w:rPr>
        <w:t xml:space="preserve">The effect of catalyst, temperature and reaction time and their quadratic and cubic interactions on the yield of biodiesel and glycerine of waste frying oil samples has been investigated. The catalyst percentage, </w:t>
      </w:r>
      <w:r w:rsidR="00FB1B75" w:rsidRPr="00A42AA5">
        <w:rPr>
          <w:lang w:val="en-GB"/>
        </w:rPr>
        <w:t>temperature</w:t>
      </w:r>
      <w:r w:rsidRPr="00A42AA5">
        <w:rPr>
          <w:lang w:val="en-GB"/>
        </w:rPr>
        <w:t xml:space="preserve"> and reaction time were carried out in the range of </w:t>
      </w:r>
      <w:r w:rsidR="00FB1B75">
        <w:rPr>
          <w:lang w:val="en-GB"/>
        </w:rPr>
        <w:t>0.5</w:t>
      </w:r>
      <w:r w:rsidRPr="00A42AA5">
        <w:rPr>
          <w:lang w:val="en-GB"/>
        </w:rPr>
        <w:t xml:space="preserve"> – </w:t>
      </w:r>
      <w:r w:rsidR="00FB1B75">
        <w:rPr>
          <w:lang w:val="en-GB"/>
        </w:rPr>
        <w:t>1.0</w:t>
      </w:r>
      <w:r w:rsidRPr="00A42AA5">
        <w:rPr>
          <w:lang w:val="en-GB"/>
        </w:rPr>
        <w:t xml:space="preserve"> </w:t>
      </w:r>
      <w:r w:rsidR="00FB1B75">
        <w:rPr>
          <w:lang w:val="en-GB"/>
        </w:rPr>
        <w:t>% w</w:t>
      </w:r>
      <w:r w:rsidRPr="00A42AA5">
        <w:rPr>
          <w:lang w:val="en-GB"/>
        </w:rPr>
        <w:t xml:space="preserve">, </w:t>
      </w:r>
      <w:r w:rsidR="00AD298C">
        <w:rPr>
          <w:lang w:val="en-GB"/>
        </w:rPr>
        <w:t>50</w:t>
      </w:r>
      <w:r w:rsidRPr="00A42AA5">
        <w:rPr>
          <w:lang w:val="en-GB"/>
        </w:rPr>
        <w:t xml:space="preserve"> – </w:t>
      </w:r>
      <w:r w:rsidR="00AD298C">
        <w:rPr>
          <w:lang w:val="en-GB"/>
        </w:rPr>
        <w:t>80</w:t>
      </w:r>
      <w:r w:rsidRPr="00A42AA5">
        <w:rPr>
          <w:lang w:val="en-GB"/>
        </w:rPr>
        <w:t xml:space="preserve"> </w:t>
      </w:r>
      <w:r w:rsidR="00AD298C">
        <w:rPr>
          <w:lang w:val="en-GB"/>
        </w:rPr>
        <w:t>°C and</w:t>
      </w:r>
      <w:r w:rsidRPr="00A42AA5">
        <w:rPr>
          <w:lang w:val="en-GB"/>
        </w:rPr>
        <w:t xml:space="preserve"> </w:t>
      </w:r>
      <w:r w:rsidR="00AD298C">
        <w:rPr>
          <w:lang w:val="en-GB"/>
        </w:rPr>
        <w:t>70</w:t>
      </w:r>
      <w:r w:rsidRPr="00A42AA5">
        <w:rPr>
          <w:lang w:val="en-GB"/>
        </w:rPr>
        <w:t xml:space="preserve"> – </w:t>
      </w:r>
      <w:r w:rsidR="00AD298C">
        <w:rPr>
          <w:lang w:val="en-GB"/>
        </w:rPr>
        <w:t>9</w:t>
      </w:r>
      <w:r w:rsidRPr="00A42AA5">
        <w:rPr>
          <w:lang w:val="en-GB"/>
        </w:rPr>
        <w:t xml:space="preserve">0 </w:t>
      </w:r>
      <w:r w:rsidR="00AD298C">
        <w:rPr>
          <w:lang w:val="en-GB"/>
        </w:rPr>
        <w:t>min</w:t>
      </w:r>
      <w:r w:rsidRPr="00A42AA5">
        <w:rPr>
          <w:lang w:val="en-GB"/>
        </w:rPr>
        <w:t xml:space="preserve">, respectively.   Table 1 shows the experimental statistical planning with the process variables. The statistical software STATISTICA 7 from </w:t>
      </w:r>
      <w:proofErr w:type="spellStart"/>
      <w:r w:rsidRPr="00A42AA5">
        <w:rPr>
          <w:lang w:val="en-GB"/>
        </w:rPr>
        <w:t>Statsoft</w:t>
      </w:r>
      <w:proofErr w:type="spellEnd"/>
      <w:r w:rsidRPr="00A42AA5">
        <w:rPr>
          <w:lang w:val="en-GB"/>
        </w:rPr>
        <w:t xml:space="preserve"> </w:t>
      </w:r>
      <w:proofErr w:type="spellStart"/>
      <w:r w:rsidRPr="00A42AA5">
        <w:rPr>
          <w:lang w:val="en-GB"/>
        </w:rPr>
        <w:t>Inc</w:t>
      </w:r>
      <w:proofErr w:type="spellEnd"/>
      <w:r w:rsidRPr="00A42AA5">
        <w:rPr>
          <w:lang w:val="en-GB"/>
        </w:rPr>
        <w:t xml:space="preserve"> was used to create the design matrix.</w:t>
      </w:r>
    </w:p>
    <w:p w:rsidR="00370123" w:rsidRPr="002D25D7" w:rsidRDefault="00370123" w:rsidP="00A8625A">
      <w:pPr>
        <w:pStyle w:val="CETTabletitle"/>
      </w:pPr>
      <w:r w:rsidRPr="002D25D7">
        <w:t xml:space="preserve">Table 1: </w:t>
      </w:r>
      <w:r w:rsidR="00AD298C">
        <w:t>Design matrix with independent process variables</w:t>
      </w:r>
    </w:p>
    <w:tbl>
      <w:tblPr>
        <w:tblW w:w="510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25"/>
        <w:gridCol w:w="1243"/>
        <w:gridCol w:w="1701"/>
        <w:gridCol w:w="1134"/>
      </w:tblGrid>
      <w:tr w:rsidR="00AD298C" w:rsidRPr="002D25D7" w:rsidTr="00AD298C">
        <w:tc>
          <w:tcPr>
            <w:tcW w:w="1025" w:type="dxa"/>
            <w:tcBorders>
              <w:top w:val="single" w:sz="12" w:space="0" w:color="008000"/>
              <w:bottom w:val="single" w:sz="6" w:space="0" w:color="008000"/>
            </w:tcBorders>
            <w:shd w:val="clear" w:color="auto" w:fill="FFFFFF"/>
          </w:tcPr>
          <w:p w:rsidR="00AD298C" w:rsidRPr="002D25D7" w:rsidRDefault="00AD298C" w:rsidP="00A8625A">
            <w:pPr>
              <w:pStyle w:val="CETBodytext"/>
              <w:jc w:val="left"/>
              <w:rPr>
                <w:lang w:val="en-GB"/>
              </w:rPr>
            </w:pPr>
            <w:r>
              <w:t>Experiment</w:t>
            </w:r>
          </w:p>
        </w:tc>
        <w:tc>
          <w:tcPr>
            <w:tcW w:w="1243" w:type="dxa"/>
            <w:tcBorders>
              <w:top w:val="single" w:sz="12" w:space="0" w:color="008000"/>
              <w:bottom w:val="single" w:sz="6" w:space="0" w:color="008000"/>
            </w:tcBorders>
            <w:shd w:val="clear" w:color="auto" w:fill="FFFFFF"/>
          </w:tcPr>
          <w:p w:rsidR="00AD298C" w:rsidRPr="002D25D7" w:rsidRDefault="00AD298C" w:rsidP="00A8625A">
            <w:pPr>
              <w:pStyle w:val="CETBodytext"/>
              <w:jc w:val="left"/>
              <w:rPr>
                <w:lang w:val="en-GB"/>
              </w:rPr>
            </w:pPr>
            <w:r>
              <w:rPr>
                <w:lang w:val="en-GB"/>
              </w:rPr>
              <w:t>Catalyst (%w)</w:t>
            </w:r>
          </w:p>
        </w:tc>
        <w:tc>
          <w:tcPr>
            <w:tcW w:w="1701" w:type="dxa"/>
            <w:tcBorders>
              <w:top w:val="single" w:sz="12" w:space="0" w:color="008000"/>
              <w:bottom w:val="single" w:sz="6" w:space="0" w:color="008000"/>
            </w:tcBorders>
            <w:shd w:val="clear" w:color="auto" w:fill="FFFFFF"/>
          </w:tcPr>
          <w:p w:rsidR="00AD298C" w:rsidRPr="002D25D7" w:rsidRDefault="00AD298C" w:rsidP="00A8625A">
            <w:pPr>
              <w:pStyle w:val="CETBodytext"/>
              <w:jc w:val="left"/>
              <w:rPr>
                <w:lang w:val="en-GB"/>
              </w:rPr>
            </w:pPr>
            <w:r>
              <w:rPr>
                <w:lang w:val="en-GB"/>
              </w:rPr>
              <w:t xml:space="preserve">Temperature </w:t>
            </w:r>
            <w:r w:rsidRPr="002D25D7">
              <w:rPr>
                <w:lang w:val="en-GB"/>
              </w:rPr>
              <w:t>(°C)</w:t>
            </w:r>
          </w:p>
        </w:tc>
        <w:tc>
          <w:tcPr>
            <w:tcW w:w="1134" w:type="dxa"/>
            <w:tcBorders>
              <w:top w:val="single" w:sz="12" w:space="0" w:color="008000"/>
              <w:bottom w:val="single" w:sz="6" w:space="0" w:color="008000"/>
            </w:tcBorders>
            <w:shd w:val="clear" w:color="auto" w:fill="FFFFFF"/>
          </w:tcPr>
          <w:p w:rsidR="00AD298C" w:rsidRPr="002D25D7" w:rsidRDefault="00AD298C" w:rsidP="00A8625A">
            <w:pPr>
              <w:pStyle w:val="CETBodytext"/>
              <w:ind w:right="141"/>
              <w:jc w:val="left"/>
              <w:rPr>
                <w:rFonts w:cs="Arial"/>
                <w:szCs w:val="18"/>
                <w:lang w:val="en-GB"/>
              </w:rPr>
            </w:pPr>
            <w:r>
              <w:rPr>
                <w:rFonts w:cs="Arial"/>
                <w:szCs w:val="18"/>
                <w:lang w:val="en-GB"/>
              </w:rPr>
              <w:t>Time(min)</w:t>
            </w:r>
          </w:p>
        </w:tc>
      </w:tr>
      <w:tr w:rsidR="00AD298C" w:rsidRPr="002D25D7" w:rsidTr="00AD298C">
        <w:tc>
          <w:tcPr>
            <w:tcW w:w="1025" w:type="dxa"/>
            <w:shd w:val="clear" w:color="auto" w:fill="FFFFFF"/>
          </w:tcPr>
          <w:p w:rsidR="00AD298C" w:rsidRDefault="00AD298C" w:rsidP="00A8625A">
            <w:pPr>
              <w:pStyle w:val="CETBodytext"/>
              <w:jc w:val="left"/>
              <w:rPr>
                <w:lang w:val="en-GB"/>
              </w:rPr>
            </w:pPr>
            <w:r>
              <w:rPr>
                <w:lang w:val="en-GB"/>
              </w:rPr>
              <w:t>1</w:t>
            </w:r>
          </w:p>
          <w:p w:rsidR="00AD298C" w:rsidRDefault="00AD298C" w:rsidP="00A8625A">
            <w:pPr>
              <w:pStyle w:val="CETBodytext"/>
              <w:jc w:val="left"/>
              <w:rPr>
                <w:lang w:val="en-GB"/>
              </w:rPr>
            </w:pPr>
            <w:r>
              <w:rPr>
                <w:lang w:val="en-GB"/>
              </w:rPr>
              <w:t>2</w:t>
            </w:r>
          </w:p>
          <w:p w:rsidR="00AD298C" w:rsidRDefault="00AD298C" w:rsidP="00A8625A">
            <w:pPr>
              <w:pStyle w:val="CETBodytext"/>
              <w:jc w:val="left"/>
              <w:rPr>
                <w:lang w:val="en-GB"/>
              </w:rPr>
            </w:pPr>
            <w:r>
              <w:rPr>
                <w:lang w:val="en-GB"/>
              </w:rPr>
              <w:t>3</w:t>
            </w:r>
          </w:p>
          <w:p w:rsidR="00AD298C" w:rsidRDefault="00AD298C" w:rsidP="00A8625A">
            <w:pPr>
              <w:pStyle w:val="CETBodytext"/>
              <w:jc w:val="left"/>
              <w:rPr>
                <w:lang w:val="en-GB"/>
              </w:rPr>
            </w:pPr>
            <w:r>
              <w:rPr>
                <w:lang w:val="en-GB"/>
              </w:rPr>
              <w:t>4</w:t>
            </w:r>
          </w:p>
          <w:p w:rsidR="00AD298C" w:rsidRDefault="00AD298C" w:rsidP="00A8625A">
            <w:pPr>
              <w:pStyle w:val="CETBodytext"/>
              <w:jc w:val="left"/>
              <w:rPr>
                <w:lang w:val="en-GB"/>
              </w:rPr>
            </w:pPr>
            <w:r>
              <w:rPr>
                <w:lang w:val="en-GB"/>
              </w:rPr>
              <w:t>5</w:t>
            </w:r>
          </w:p>
          <w:p w:rsidR="00AD298C" w:rsidRDefault="00AD298C" w:rsidP="00A8625A">
            <w:pPr>
              <w:pStyle w:val="CETBodytext"/>
              <w:jc w:val="left"/>
              <w:rPr>
                <w:lang w:val="en-GB"/>
              </w:rPr>
            </w:pPr>
            <w:r>
              <w:rPr>
                <w:lang w:val="en-GB"/>
              </w:rPr>
              <w:t>6</w:t>
            </w:r>
          </w:p>
          <w:p w:rsidR="00AD298C" w:rsidRDefault="00AD298C" w:rsidP="00A8625A">
            <w:pPr>
              <w:pStyle w:val="CETBodytext"/>
              <w:jc w:val="left"/>
              <w:rPr>
                <w:lang w:val="en-GB"/>
              </w:rPr>
            </w:pPr>
            <w:r>
              <w:rPr>
                <w:lang w:val="en-GB"/>
              </w:rPr>
              <w:t>7</w:t>
            </w:r>
          </w:p>
          <w:p w:rsidR="00AD298C" w:rsidRDefault="00AD298C" w:rsidP="00A8625A">
            <w:pPr>
              <w:pStyle w:val="CETBodytext"/>
              <w:jc w:val="left"/>
              <w:rPr>
                <w:lang w:val="en-GB"/>
              </w:rPr>
            </w:pPr>
            <w:r>
              <w:rPr>
                <w:lang w:val="en-GB"/>
              </w:rPr>
              <w:t>8</w:t>
            </w:r>
          </w:p>
          <w:p w:rsidR="00AD298C" w:rsidRDefault="00AD298C" w:rsidP="00A8625A">
            <w:pPr>
              <w:pStyle w:val="CETBodytext"/>
              <w:jc w:val="left"/>
              <w:rPr>
                <w:lang w:val="en-GB"/>
              </w:rPr>
            </w:pPr>
            <w:r>
              <w:rPr>
                <w:lang w:val="en-GB"/>
              </w:rPr>
              <w:t>9</w:t>
            </w:r>
          </w:p>
          <w:p w:rsidR="00AD298C" w:rsidRDefault="00AD298C" w:rsidP="00A8625A">
            <w:pPr>
              <w:pStyle w:val="CETBodytext"/>
              <w:jc w:val="left"/>
              <w:rPr>
                <w:lang w:val="en-GB"/>
              </w:rPr>
            </w:pPr>
            <w:r>
              <w:rPr>
                <w:lang w:val="en-GB"/>
              </w:rPr>
              <w:t>10</w:t>
            </w:r>
          </w:p>
          <w:p w:rsidR="00AD298C" w:rsidRDefault="00AD298C" w:rsidP="00A8625A">
            <w:pPr>
              <w:pStyle w:val="CETBodytext"/>
              <w:jc w:val="left"/>
              <w:rPr>
                <w:lang w:val="en-GB"/>
              </w:rPr>
            </w:pPr>
            <w:r>
              <w:rPr>
                <w:lang w:val="en-GB"/>
              </w:rPr>
              <w:t>11</w:t>
            </w:r>
          </w:p>
          <w:p w:rsidR="00AD298C" w:rsidRDefault="00AD298C" w:rsidP="00A8625A">
            <w:pPr>
              <w:pStyle w:val="CETBodytext"/>
              <w:jc w:val="left"/>
              <w:rPr>
                <w:lang w:val="en-GB"/>
              </w:rPr>
            </w:pPr>
            <w:r>
              <w:rPr>
                <w:lang w:val="en-GB"/>
              </w:rPr>
              <w:t>12</w:t>
            </w:r>
          </w:p>
          <w:p w:rsidR="00AD298C" w:rsidRDefault="00AD298C" w:rsidP="00A8625A">
            <w:pPr>
              <w:pStyle w:val="CETBodytext"/>
              <w:jc w:val="left"/>
              <w:rPr>
                <w:lang w:val="en-GB"/>
              </w:rPr>
            </w:pPr>
            <w:r>
              <w:rPr>
                <w:lang w:val="en-GB"/>
              </w:rPr>
              <w:t>13</w:t>
            </w:r>
          </w:p>
          <w:p w:rsidR="00AD298C" w:rsidRDefault="00AD298C" w:rsidP="00A8625A">
            <w:pPr>
              <w:pStyle w:val="CETBodytext"/>
              <w:jc w:val="left"/>
              <w:rPr>
                <w:lang w:val="en-GB"/>
              </w:rPr>
            </w:pPr>
            <w:r>
              <w:rPr>
                <w:lang w:val="en-GB"/>
              </w:rPr>
              <w:t>14</w:t>
            </w:r>
          </w:p>
          <w:p w:rsidR="00AD298C" w:rsidRDefault="00AD298C" w:rsidP="00A8625A">
            <w:pPr>
              <w:pStyle w:val="CETBodytext"/>
              <w:jc w:val="left"/>
              <w:rPr>
                <w:lang w:val="en-GB"/>
              </w:rPr>
            </w:pPr>
            <w:r>
              <w:rPr>
                <w:lang w:val="en-GB"/>
              </w:rPr>
              <w:t>15</w:t>
            </w:r>
          </w:p>
          <w:p w:rsidR="00AD298C" w:rsidRDefault="00AD298C" w:rsidP="00A8625A">
            <w:pPr>
              <w:pStyle w:val="CETBodytext"/>
              <w:jc w:val="left"/>
              <w:rPr>
                <w:lang w:val="en-GB"/>
              </w:rPr>
            </w:pPr>
            <w:r>
              <w:rPr>
                <w:lang w:val="en-GB"/>
              </w:rPr>
              <w:t>16</w:t>
            </w:r>
          </w:p>
          <w:p w:rsidR="00AD298C" w:rsidRPr="002D25D7" w:rsidRDefault="00AD298C" w:rsidP="00A8625A">
            <w:pPr>
              <w:pStyle w:val="CETBodytext"/>
              <w:jc w:val="left"/>
              <w:rPr>
                <w:lang w:val="en-GB"/>
              </w:rPr>
            </w:pPr>
            <w:r>
              <w:rPr>
                <w:lang w:val="en-GB"/>
              </w:rPr>
              <w:t>17</w:t>
            </w:r>
          </w:p>
        </w:tc>
        <w:tc>
          <w:tcPr>
            <w:tcW w:w="1243" w:type="dxa"/>
            <w:shd w:val="clear" w:color="auto" w:fill="FFFFFF"/>
          </w:tcPr>
          <w:p w:rsidR="00AD298C" w:rsidRPr="003351B9" w:rsidRDefault="00AD298C" w:rsidP="00A8625A">
            <w:pPr>
              <w:pStyle w:val="CETBodytext"/>
              <w:jc w:val="left"/>
              <w:rPr>
                <w:lang w:val="en-GB"/>
              </w:rPr>
            </w:pPr>
            <w:r w:rsidRPr="003351B9">
              <w:rPr>
                <w:lang w:val="en-GB"/>
              </w:rPr>
              <w:t>0,5</w:t>
            </w:r>
          </w:p>
          <w:p w:rsidR="00AD298C" w:rsidRPr="003351B9" w:rsidRDefault="00AD298C" w:rsidP="00A8625A">
            <w:pPr>
              <w:pStyle w:val="CETBodytext"/>
              <w:jc w:val="left"/>
              <w:rPr>
                <w:lang w:val="en-GB"/>
              </w:rPr>
            </w:pPr>
            <w:r w:rsidRPr="003351B9">
              <w:rPr>
                <w:lang w:val="en-GB"/>
              </w:rPr>
              <w:t>0,5</w:t>
            </w:r>
          </w:p>
          <w:p w:rsidR="00AD298C" w:rsidRPr="003351B9" w:rsidRDefault="00AD298C" w:rsidP="00A8625A">
            <w:pPr>
              <w:pStyle w:val="CETBodytext"/>
              <w:jc w:val="left"/>
              <w:rPr>
                <w:lang w:val="en-GB"/>
              </w:rPr>
            </w:pPr>
            <w:r w:rsidRPr="003351B9">
              <w:rPr>
                <w:lang w:val="en-GB"/>
              </w:rPr>
              <w:t>0,5</w:t>
            </w:r>
          </w:p>
          <w:p w:rsidR="00AD298C" w:rsidRPr="003351B9" w:rsidRDefault="00AD298C" w:rsidP="00A8625A">
            <w:pPr>
              <w:pStyle w:val="CETBodytext"/>
              <w:jc w:val="left"/>
              <w:rPr>
                <w:lang w:val="en-GB"/>
              </w:rPr>
            </w:pPr>
            <w:r w:rsidRPr="003351B9">
              <w:rPr>
                <w:lang w:val="en-GB"/>
              </w:rPr>
              <w:t>0,5</w:t>
            </w:r>
          </w:p>
          <w:p w:rsidR="00AD298C" w:rsidRPr="003351B9" w:rsidRDefault="00AD298C" w:rsidP="00A8625A">
            <w:pPr>
              <w:pStyle w:val="CETBodytext"/>
              <w:jc w:val="left"/>
              <w:rPr>
                <w:lang w:val="en-GB"/>
              </w:rPr>
            </w:pPr>
            <w:r w:rsidRPr="003351B9">
              <w:rPr>
                <w:lang w:val="en-GB"/>
              </w:rPr>
              <w:t>1,5</w:t>
            </w:r>
          </w:p>
          <w:p w:rsidR="00AD298C" w:rsidRPr="003351B9" w:rsidRDefault="00AD298C" w:rsidP="00A8625A">
            <w:pPr>
              <w:pStyle w:val="CETBodytext"/>
              <w:jc w:val="left"/>
              <w:rPr>
                <w:lang w:val="en-GB"/>
              </w:rPr>
            </w:pPr>
            <w:r w:rsidRPr="003351B9">
              <w:rPr>
                <w:lang w:val="en-GB"/>
              </w:rPr>
              <w:t>1,5</w:t>
            </w:r>
          </w:p>
          <w:p w:rsidR="00AD298C" w:rsidRPr="003351B9" w:rsidRDefault="00AD298C" w:rsidP="00A8625A">
            <w:pPr>
              <w:pStyle w:val="CETBodytext"/>
              <w:jc w:val="left"/>
              <w:rPr>
                <w:lang w:val="en-GB"/>
              </w:rPr>
            </w:pPr>
            <w:r w:rsidRPr="003351B9">
              <w:rPr>
                <w:lang w:val="en-GB"/>
              </w:rPr>
              <w:t>1,5</w:t>
            </w:r>
          </w:p>
          <w:p w:rsidR="00AD298C" w:rsidRPr="003351B9" w:rsidRDefault="00AD298C" w:rsidP="00A8625A">
            <w:pPr>
              <w:pStyle w:val="CETBodytext"/>
              <w:jc w:val="left"/>
              <w:rPr>
                <w:lang w:val="en-GB"/>
              </w:rPr>
            </w:pPr>
            <w:r w:rsidRPr="003351B9">
              <w:rPr>
                <w:lang w:val="en-GB"/>
              </w:rPr>
              <w:t>1,5</w:t>
            </w:r>
          </w:p>
          <w:p w:rsidR="00AD298C" w:rsidRPr="003351B9" w:rsidRDefault="00AD298C" w:rsidP="00A8625A">
            <w:pPr>
              <w:pStyle w:val="CETBodytext"/>
              <w:jc w:val="left"/>
              <w:rPr>
                <w:lang w:val="en-GB"/>
              </w:rPr>
            </w:pPr>
            <w:r w:rsidRPr="003351B9">
              <w:rPr>
                <w:lang w:val="en-GB"/>
              </w:rPr>
              <w:t>0,16</w:t>
            </w:r>
          </w:p>
          <w:p w:rsidR="00AD298C" w:rsidRPr="003351B9" w:rsidRDefault="00AD298C" w:rsidP="00A8625A">
            <w:pPr>
              <w:pStyle w:val="CETBodytext"/>
              <w:jc w:val="left"/>
              <w:rPr>
                <w:lang w:val="en-GB"/>
              </w:rPr>
            </w:pPr>
            <w:r w:rsidRPr="003351B9">
              <w:rPr>
                <w:lang w:val="en-GB"/>
              </w:rPr>
              <w:t>1,84</w:t>
            </w:r>
          </w:p>
          <w:p w:rsidR="00AD298C" w:rsidRPr="003351B9" w:rsidRDefault="00AD298C" w:rsidP="00A8625A">
            <w:pPr>
              <w:pStyle w:val="CETBodytext"/>
              <w:jc w:val="left"/>
              <w:rPr>
                <w:lang w:val="en-GB"/>
              </w:rPr>
            </w:pPr>
            <w:r w:rsidRPr="003351B9">
              <w:rPr>
                <w:lang w:val="en-GB"/>
              </w:rPr>
              <w:t>1</w:t>
            </w:r>
          </w:p>
          <w:p w:rsidR="00AD298C" w:rsidRPr="003351B9" w:rsidRDefault="00AD298C" w:rsidP="00A8625A">
            <w:pPr>
              <w:pStyle w:val="CETBodytext"/>
              <w:jc w:val="left"/>
              <w:rPr>
                <w:lang w:val="en-GB"/>
              </w:rPr>
            </w:pPr>
            <w:r w:rsidRPr="003351B9">
              <w:rPr>
                <w:lang w:val="en-GB"/>
              </w:rPr>
              <w:t>1</w:t>
            </w:r>
          </w:p>
          <w:p w:rsidR="00AD298C" w:rsidRPr="003351B9" w:rsidRDefault="00AD298C" w:rsidP="00A8625A">
            <w:pPr>
              <w:pStyle w:val="CETBodytext"/>
              <w:jc w:val="left"/>
              <w:rPr>
                <w:lang w:val="en-GB"/>
              </w:rPr>
            </w:pPr>
            <w:r w:rsidRPr="003351B9">
              <w:rPr>
                <w:lang w:val="en-GB"/>
              </w:rPr>
              <w:t>1</w:t>
            </w:r>
          </w:p>
          <w:p w:rsidR="00AD298C" w:rsidRPr="003351B9" w:rsidRDefault="00AD298C" w:rsidP="00A8625A">
            <w:pPr>
              <w:pStyle w:val="CETBodytext"/>
              <w:jc w:val="left"/>
              <w:rPr>
                <w:lang w:val="en-GB"/>
              </w:rPr>
            </w:pPr>
            <w:r w:rsidRPr="003351B9">
              <w:rPr>
                <w:lang w:val="en-GB"/>
              </w:rPr>
              <w:t>1</w:t>
            </w:r>
          </w:p>
          <w:p w:rsidR="00AD298C" w:rsidRPr="003351B9" w:rsidRDefault="00AD298C" w:rsidP="00A8625A">
            <w:pPr>
              <w:pStyle w:val="CETBodytext"/>
              <w:jc w:val="left"/>
              <w:rPr>
                <w:lang w:val="en-GB"/>
              </w:rPr>
            </w:pPr>
            <w:r w:rsidRPr="003351B9">
              <w:rPr>
                <w:lang w:val="en-GB"/>
              </w:rPr>
              <w:t>1</w:t>
            </w:r>
          </w:p>
          <w:p w:rsidR="00AD298C" w:rsidRPr="003351B9" w:rsidRDefault="00AD298C" w:rsidP="00A8625A">
            <w:pPr>
              <w:pStyle w:val="CETBodytext"/>
              <w:jc w:val="left"/>
              <w:rPr>
                <w:lang w:val="en-GB"/>
              </w:rPr>
            </w:pPr>
            <w:r w:rsidRPr="003351B9">
              <w:rPr>
                <w:lang w:val="en-GB"/>
              </w:rPr>
              <w:t>1</w:t>
            </w:r>
          </w:p>
          <w:p w:rsidR="00AD298C" w:rsidRPr="002D25D7" w:rsidRDefault="00AD298C" w:rsidP="00A8625A">
            <w:pPr>
              <w:pStyle w:val="CETBodytext"/>
              <w:jc w:val="left"/>
              <w:rPr>
                <w:lang w:val="en-GB"/>
              </w:rPr>
            </w:pPr>
            <w:r w:rsidRPr="003351B9">
              <w:rPr>
                <w:lang w:val="en-GB"/>
              </w:rPr>
              <w:t>1</w:t>
            </w:r>
          </w:p>
        </w:tc>
        <w:tc>
          <w:tcPr>
            <w:tcW w:w="1701" w:type="dxa"/>
            <w:shd w:val="clear" w:color="auto" w:fill="FFFFFF"/>
          </w:tcPr>
          <w:p w:rsidR="00AD298C" w:rsidRPr="003351B9" w:rsidRDefault="00AD298C" w:rsidP="00A8625A">
            <w:pPr>
              <w:pStyle w:val="CETBodytext"/>
              <w:jc w:val="left"/>
              <w:rPr>
                <w:lang w:val="en-GB"/>
              </w:rPr>
            </w:pPr>
            <w:r w:rsidRPr="003351B9">
              <w:rPr>
                <w:lang w:val="en-GB"/>
              </w:rPr>
              <w:t>50</w:t>
            </w:r>
          </w:p>
          <w:p w:rsidR="00AD298C" w:rsidRPr="003351B9" w:rsidRDefault="00AD298C" w:rsidP="00A8625A">
            <w:pPr>
              <w:pStyle w:val="CETBodytext"/>
              <w:jc w:val="left"/>
              <w:rPr>
                <w:lang w:val="en-GB"/>
              </w:rPr>
            </w:pPr>
            <w:r w:rsidRPr="003351B9">
              <w:rPr>
                <w:lang w:val="en-GB"/>
              </w:rPr>
              <w:t>50</w:t>
            </w:r>
          </w:p>
          <w:p w:rsidR="00AD298C" w:rsidRPr="003351B9" w:rsidRDefault="00AD298C" w:rsidP="00A8625A">
            <w:pPr>
              <w:pStyle w:val="CETBodytext"/>
              <w:jc w:val="left"/>
              <w:rPr>
                <w:lang w:val="en-GB"/>
              </w:rPr>
            </w:pPr>
            <w:r w:rsidRPr="003351B9">
              <w:rPr>
                <w:lang w:val="en-GB"/>
              </w:rPr>
              <w:t>80</w:t>
            </w:r>
          </w:p>
          <w:p w:rsidR="00AD298C" w:rsidRPr="003351B9" w:rsidRDefault="00AD298C" w:rsidP="00A8625A">
            <w:pPr>
              <w:pStyle w:val="CETBodytext"/>
              <w:jc w:val="left"/>
              <w:rPr>
                <w:lang w:val="en-GB"/>
              </w:rPr>
            </w:pPr>
            <w:r w:rsidRPr="003351B9">
              <w:rPr>
                <w:lang w:val="en-GB"/>
              </w:rPr>
              <w:t>80</w:t>
            </w:r>
          </w:p>
          <w:p w:rsidR="00AD298C" w:rsidRPr="003351B9" w:rsidRDefault="00AD298C" w:rsidP="00A8625A">
            <w:pPr>
              <w:pStyle w:val="CETBodytext"/>
              <w:jc w:val="left"/>
              <w:rPr>
                <w:lang w:val="en-GB"/>
              </w:rPr>
            </w:pPr>
            <w:r w:rsidRPr="003351B9">
              <w:rPr>
                <w:lang w:val="en-GB"/>
              </w:rPr>
              <w:t>50</w:t>
            </w:r>
          </w:p>
          <w:p w:rsidR="00AD298C" w:rsidRPr="003351B9" w:rsidRDefault="00AD298C" w:rsidP="00A8625A">
            <w:pPr>
              <w:pStyle w:val="CETBodytext"/>
              <w:jc w:val="left"/>
              <w:rPr>
                <w:lang w:val="en-GB"/>
              </w:rPr>
            </w:pPr>
            <w:r w:rsidRPr="003351B9">
              <w:rPr>
                <w:lang w:val="en-GB"/>
              </w:rPr>
              <w:t>50</w:t>
            </w:r>
          </w:p>
          <w:p w:rsidR="00AD298C" w:rsidRPr="003351B9" w:rsidRDefault="00AD298C" w:rsidP="00A8625A">
            <w:pPr>
              <w:pStyle w:val="CETBodytext"/>
              <w:jc w:val="left"/>
              <w:rPr>
                <w:lang w:val="en-GB"/>
              </w:rPr>
            </w:pPr>
            <w:r w:rsidRPr="003351B9">
              <w:rPr>
                <w:lang w:val="en-GB"/>
              </w:rPr>
              <w:t>80</w:t>
            </w:r>
          </w:p>
          <w:p w:rsidR="00AD298C" w:rsidRPr="003351B9" w:rsidRDefault="00AD298C" w:rsidP="00A8625A">
            <w:pPr>
              <w:pStyle w:val="CETBodytext"/>
              <w:jc w:val="left"/>
              <w:rPr>
                <w:lang w:val="en-GB"/>
              </w:rPr>
            </w:pPr>
            <w:r w:rsidRPr="003351B9">
              <w:rPr>
                <w:lang w:val="en-GB"/>
              </w:rPr>
              <w:t>80</w:t>
            </w:r>
          </w:p>
          <w:p w:rsidR="00AD298C" w:rsidRPr="003351B9" w:rsidRDefault="00AD298C" w:rsidP="00A8625A">
            <w:pPr>
              <w:pStyle w:val="CETBodytext"/>
              <w:jc w:val="left"/>
              <w:rPr>
                <w:lang w:val="en-GB"/>
              </w:rPr>
            </w:pPr>
            <w:r w:rsidRPr="003351B9">
              <w:rPr>
                <w:lang w:val="en-GB"/>
              </w:rPr>
              <w:t>65</w:t>
            </w:r>
          </w:p>
          <w:p w:rsidR="00AD298C" w:rsidRPr="003351B9" w:rsidRDefault="00AD298C" w:rsidP="00A8625A">
            <w:pPr>
              <w:pStyle w:val="CETBodytext"/>
              <w:jc w:val="left"/>
              <w:rPr>
                <w:lang w:val="en-GB"/>
              </w:rPr>
            </w:pPr>
            <w:r w:rsidRPr="003351B9">
              <w:rPr>
                <w:lang w:val="en-GB"/>
              </w:rPr>
              <w:t>65</w:t>
            </w:r>
          </w:p>
          <w:p w:rsidR="00AD298C" w:rsidRPr="003351B9" w:rsidRDefault="00AD298C" w:rsidP="00A8625A">
            <w:pPr>
              <w:pStyle w:val="CETBodytext"/>
              <w:jc w:val="left"/>
              <w:rPr>
                <w:lang w:val="en-GB"/>
              </w:rPr>
            </w:pPr>
            <w:r w:rsidRPr="003351B9">
              <w:rPr>
                <w:lang w:val="en-GB"/>
              </w:rPr>
              <w:t>40</w:t>
            </w:r>
          </w:p>
          <w:p w:rsidR="00AD298C" w:rsidRPr="003351B9" w:rsidRDefault="00AD298C" w:rsidP="00A8625A">
            <w:pPr>
              <w:pStyle w:val="CETBodytext"/>
              <w:jc w:val="left"/>
              <w:rPr>
                <w:lang w:val="en-GB"/>
              </w:rPr>
            </w:pPr>
            <w:r w:rsidRPr="003351B9">
              <w:rPr>
                <w:lang w:val="en-GB"/>
              </w:rPr>
              <w:t>90</w:t>
            </w:r>
          </w:p>
          <w:p w:rsidR="00AD298C" w:rsidRPr="003351B9" w:rsidRDefault="00AD298C" w:rsidP="00A8625A">
            <w:pPr>
              <w:pStyle w:val="CETBodytext"/>
              <w:jc w:val="left"/>
              <w:rPr>
                <w:lang w:val="en-GB"/>
              </w:rPr>
            </w:pPr>
            <w:r w:rsidRPr="003351B9">
              <w:rPr>
                <w:lang w:val="en-GB"/>
              </w:rPr>
              <w:t>65</w:t>
            </w:r>
          </w:p>
          <w:p w:rsidR="00AD298C" w:rsidRPr="003351B9" w:rsidRDefault="00AD298C" w:rsidP="00A8625A">
            <w:pPr>
              <w:pStyle w:val="CETBodytext"/>
              <w:jc w:val="left"/>
              <w:rPr>
                <w:lang w:val="en-GB"/>
              </w:rPr>
            </w:pPr>
            <w:r w:rsidRPr="003351B9">
              <w:rPr>
                <w:lang w:val="en-GB"/>
              </w:rPr>
              <w:t>65</w:t>
            </w:r>
          </w:p>
          <w:p w:rsidR="00AD298C" w:rsidRPr="003351B9" w:rsidRDefault="00AD298C" w:rsidP="00A8625A">
            <w:pPr>
              <w:pStyle w:val="CETBodytext"/>
              <w:jc w:val="left"/>
              <w:rPr>
                <w:lang w:val="en-GB"/>
              </w:rPr>
            </w:pPr>
            <w:r w:rsidRPr="003351B9">
              <w:rPr>
                <w:lang w:val="en-GB"/>
              </w:rPr>
              <w:t>65</w:t>
            </w:r>
          </w:p>
          <w:p w:rsidR="00AD298C" w:rsidRPr="003351B9" w:rsidRDefault="00AD298C" w:rsidP="00A8625A">
            <w:pPr>
              <w:pStyle w:val="CETBodytext"/>
              <w:jc w:val="left"/>
              <w:rPr>
                <w:lang w:val="en-GB"/>
              </w:rPr>
            </w:pPr>
            <w:r w:rsidRPr="003351B9">
              <w:rPr>
                <w:lang w:val="en-GB"/>
              </w:rPr>
              <w:t>65</w:t>
            </w:r>
          </w:p>
          <w:p w:rsidR="00AD298C" w:rsidRPr="002D25D7" w:rsidRDefault="00AD298C" w:rsidP="00A8625A">
            <w:pPr>
              <w:pStyle w:val="CETBodytext"/>
              <w:jc w:val="left"/>
              <w:rPr>
                <w:lang w:val="en-GB"/>
              </w:rPr>
            </w:pPr>
            <w:r w:rsidRPr="003351B9">
              <w:rPr>
                <w:lang w:val="en-GB"/>
              </w:rPr>
              <w:t>65</w:t>
            </w:r>
          </w:p>
        </w:tc>
        <w:tc>
          <w:tcPr>
            <w:tcW w:w="1134" w:type="dxa"/>
            <w:shd w:val="clear" w:color="auto" w:fill="FFFFFF"/>
          </w:tcPr>
          <w:p w:rsidR="00AD298C" w:rsidRPr="003351B9" w:rsidRDefault="00AD298C" w:rsidP="00A8625A">
            <w:pPr>
              <w:pStyle w:val="CETBodytext"/>
              <w:ind w:right="-1"/>
              <w:jc w:val="left"/>
              <w:rPr>
                <w:rFonts w:cs="Arial"/>
                <w:szCs w:val="18"/>
                <w:lang w:val="en-GB"/>
              </w:rPr>
            </w:pPr>
            <w:r w:rsidRPr="003351B9">
              <w:rPr>
                <w:rFonts w:cs="Arial"/>
                <w:szCs w:val="18"/>
                <w:lang w:val="en-GB"/>
              </w:rPr>
              <w:t>70</w:t>
            </w:r>
          </w:p>
          <w:p w:rsidR="00AD298C" w:rsidRPr="003351B9" w:rsidRDefault="00AD298C" w:rsidP="00A8625A">
            <w:pPr>
              <w:pStyle w:val="CETBodytext"/>
              <w:ind w:right="-1"/>
              <w:jc w:val="left"/>
              <w:rPr>
                <w:rFonts w:cs="Arial"/>
                <w:szCs w:val="18"/>
                <w:lang w:val="en-GB"/>
              </w:rPr>
            </w:pPr>
            <w:r w:rsidRPr="003351B9">
              <w:rPr>
                <w:rFonts w:cs="Arial"/>
                <w:szCs w:val="18"/>
                <w:lang w:val="en-GB"/>
              </w:rPr>
              <w:t>90</w:t>
            </w:r>
          </w:p>
          <w:p w:rsidR="00AD298C" w:rsidRPr="003351B9" w:rsidRDefault="00AD298C" w:rsidP="00A8625A">
            <w:pPr>
              <w:pStyle w:val="CETBodytext"/>
              <w:ind w:right="-1"/>
              <w:jc w:val="left"/>
              <w:rPr>
                <w:rFonts w:cs="Arial"/>
                <w:szCs w:val="18"/>
                <w:lang w:val="en-GB"/>
              </w:rPr>
            </w:pPr>
            <w:r w:rsidRPr="003351B9">
              <w:rPr>
                <w:rFonts w:cs="Arial"/>
                <w:szCs w:val="18"/>
                <w:lang w:val="en-GB"/>
              </w:rPr>
              <w:t>70</w:t>
            </w:r>
          </w:p>
          <w:p w:rsidR="00AD298C" w:rsidRPr="003351B9" w:rsidRDefault="00AD298C" w:rsidP="00A8625A">
            <w:pPr>
              <w:pStyle w:val="CETBodytext"/>
              <w:ind w:right="-1"/>
              <w:jc w:val="left"/>
              <w:rPr>
                <w:rFonts w:cs="Arial"/>
                <w:szCs w:val="18"/>
                <w:lang w:val="en-GB"/>
              </w:rPr>
            </w:pPr>
            <w:r w:rsidRPr="003351B9">
              <w:rPr>
                <w:rFonts w:cs="Arial"/>
                <w:szCs w:val="18"/>
                <w:lang w:val="en-GB"/>
              </w:rPr>
              <w:t>90</w:t>
            </w:r>
          </w:p>
          <w:p w:rsidR="00AD298C" w:rsidRPr="003351B9" w:rsidRDefault="00AD298C" w:rsidP="00A8625A">
            <w:pPr>
              <w:pStyle w:val="CETBodytext"/>
              <w:ind w:right="-1"/>
              <w:jc w:val="left"/>
              <w:rPr>
                <w:rFonts w:cs="Arial"/>
                <w:szCs w:val="18"/>
                <w:lang w:val="en-GB"/>
              </w:rPr>
            </w:pPr>
            <w:r w:rsidRPr="003351B9">
              <w:rPr>
                <w:rFonts w:cs="Arial"/>
                <w:szCs w:val="18"/>
                <w:lang w:val="en-GB"/>
              </w:rPr>
              <w:t>70</w:t>
            </w:r>
          </w:p>
          <w:p w:rsidR="00AD298C" w:rsidRPr="003351B9" w:rsidRDefault="00AD298C" w:rsidP="00A8625A">
            <w:pPr>
              <w:pStyle w:val="CETBodytext"/>
              <w:ind w:right="-1"/>
              <w:jc w:val="left"/>
              <w:rPr>
                <w:rFonts w:cs="Arial"/>
                <w:szCs w:val="18"/>
                <w:lang w:val="en-GB"/>
              </w:rPr>
            </w:pPr>
            <w:r w:rsidRPr="003351B9">
              <w:rPr>
                <w:rFonts w:cs="Arial"/>
                <w:szCs w:val="18"/>
                <w:lang w:val="en-GB"/>
              </w:rPr>
              <w:t>90</w:t>
            </w:r>
          </w:p>
          <w:p w:rsidR="00AD298C" w:rsidRPr="003351B9" w:rsidRDefault="00AD298C" w:rsidP="00A8625A">
            <w:pPr>
              <w:pStyle w:val="CETBodytext"/>
              <w:ind w:right="-1"/>
              <w:jc w:val="left"/>
              <w:rPr>
                <w:rFonts w:cs="Arial"/>
                <w:szCs w:val="18"/>
                <w:lang w:val="en-GB"/>
              </w:rPr>
            </w:pPr>
            <w:r w:rsidRPr="003351B9">
              <w:rPr>
                <w:rFonts w:cs="Arial"/>
                <w:szCs w:val="18"/>
                <w:lang w:val="en-GB"/>
              </w:rPr>
              <w:t>70</w:t>
            </w:r>
          </w:p>
          <w:p w:rsidR="00AD298C" w:rsidRPr="003351B9" w:rsidRDefault="00AD298C" w:rsidP="00A8625A">
            <w:pPr>
              <w:pStyle w:val="CETBodytext"/>
              <w:ind w:right="-1"/>
              <w:jc w:val="left"/>
              <w:rPr>
                <w:rFonts w:cs="Arial"/>
                <w:szCs w:val="18"/>
                <w:lang w:val="en-GB"/>
              </w:rPr>
            </w:pPr>
            <w:r w:rsidRPr="003351B9">
              <w:rPr>
                <w:rFonts w:cs="Arial"/>
                <w:szCs w:val="18"/>
                <w:lang w:val="en-GB"/>
              </w:rPr>
              <w:t>90</w:t>
            </w:r>
          </w:p>
          <w:p w:rsidR="00AD298C" w:rsidRPr="003351B9" w:rsidRDefault="00AD298C" w:rsidP="00A8625A">
            <w:pPr>
              <w:pStyle w:val="CETBodytext"/>
              <w:ind w:right="-1"/>
              <w:jc w:val="left"/>
              <w:rPr>
                <w:rFonts w:cs="Arial"/>
                <w:szCs w:val="18"/>
                <w:lang w:val="en-GB"/>
              </w:rPr>
            </w:pPr>
            <w:r w:rsidRPr="003351B9">
              <w:rPr>
                <w:rFonts w:cs="Arial"/>
                <w:szCs w:val="18"/>
                <w:lang w:val="en-GB"/>
              </w:rPr>
              <w:t>80</w:t>
            </w:r>
          </w:p>
          <w:p w:rsidR="00AD298C" w:rsidRPr="003351B9" w:rsidRDefault="00AD298C" w:rsidP="00A8625A">
            <w:pPr>
              <w:pStyle w:val="CETBodytext"/>
              <w:ind w:right="-1"/>
              <w:jc w:val="left"/>
              <w:rPr>
                <w:rFonts w:cs="Arial"/>
                <w:szCs w:val="18"/>
                <w:lang w:val="en-GB"/>
              </w:rPr>
            </w:pPr>
            <w:r w:rsidRPr="003351B9">
              <w:rPr>
                <w:rFonts w:cs="Arial"/>
                <w:szCs w:val="18"/>
                <w:lang w:val="en-GB"/>
              </w:rPr>
              <w:t>80</w:t>
            </w:r>
          </w:p>
          <w:p w:rsidR="00AD298C" w:rsidRPr="003351B9" w:rsidRDefault="00AD298C" w:rsidP="00A8625A">
            <w:pPr>
              <w:pStyle w:val="CETBodytext"/>
              <w:ind w:right="-1"/>
              <w:jc w:val="left"/>
              <w:rPr>
                <w:rFonts w:cs="Arial"/>
                <w:szCs w:val="18"/>
                <w:lang w:val="en-GB"/>
              </w:rPr>
            </w:pPr>
            <w:r w:rsidRPr="003351B9">
              <w:rPr>
                <w:rFonts w:cs="Arial"/>
                <w:szCs w:val="18"/>
                <w:lang w:val="en-GB"/>
              </w:rPr>
              <w:t>80</w:t>
            </w:r>
          </w:p>
          <w:p w:rsidR="00AD298C" w:rsidRPr="003351B9" w:rsidRDefault="00AD298C" w:rsidP="00A8625A">
            <w:pPr>
              <w:pStyle w:val="CETBodytext"/>
              <w:ind w:right="-1"/>
              <w:jc w:val="left"/>
              <w:rPr>
                <w:rFonts w:cs="Arial"/>
                <w:szCs w:val="18"/>
                <w:lang w:val="en-GB"/>
              </w:rPr>
            </w:pPr>
            <w:r w:rsidRPr="003351B9">
              <w:rPr>
                <w:rFonts w:cs="Arial"/>
                <w:szCs w:val="18"/>
                <w:lang w:val="en-GB"/>
              </w:rPr>
              <w:t>80</w:t>
            </w:r>
          </w:p>
          <w:p w:rsidR="00AD298C" w:rsidRPr="003351B9" w:rsidRDefault="00AD298C" w:rsidP="00A8625A">
            <w:pPr>
              <w:pStyle w:val="CETBodytext"/>
              <w:ind w:right="-1"/>
              <w:jc w:val="left"/>
              <w:rPr>
                <w:rFonts w:cs="Arial"/>
                <w:szCs w:val="18"/>
                <w:lang w:val="en-GB"/>
              </w:rPr>
            </w:pPr>
            <w:r w:rsidRPr="003351B9">
              <w:rPr>
                <w:rFonts w:cs="Arial"/>
                <w:szCs w:val="18"/>
                <w:lang w:val="en-GB"/>
              </w:rPr>
              <w:t>63</w:t>
            </w:r>
          </w:p>
          <w:p w:rsidR="00AD298C" w:rsidRPr="003351B9" w:rsidRDefault="00AD298C" w:rsidP="00A8625A">
            <w:pPr>
              <w:pStyle w:val="CETBodytext"/>
              <w:ind w:right="-1"/>
              <w:jc w:val="left"/>
              <w:rPr>
                <w:rFonts w:cs="Arial"/>
                <w:szCs w:val="18"/>
                <w:lang w:val="en-GB"/>
              </w:rPr>
            </w:pPr>
            <w:r w:rsidRPr="003351B9">
              <w:rPr>
                <w:rFonts w:cs="Arial"/>
                <w:szCs w:val="18"/>
                <w:lang w:val="en-GB"/>
              </w:rPr>
              <w:t>97</w:t>
            </w:r>
          </w:p>
          <w:p w:rsidR="00AD298C" w:rsidRPr="003351B9" w:rsidRDefault="00AD298C" w:rsidP="00A8625A">
            <w:pPr>
              <w:pStyle w:val="CETBodytext"/>
              <w:ind w:right="-1"/>
              <w:jc w:val="left"/>
              <w:rPr>
                <w:rFonts w:cs="Arial"/>
                <w:szCs w:val="18"/>
                <w:lang w:val="en-GB"/>
              </w:rPr>
            </w:pPr>
            <w:r w:rsidRPr="003351B9">
              <w:rPr>
                <w:rFonts w:cs="Arial"/>
                <w:szCs w:val="18"/>
                <w:lang w:val="en-GB"/>
              </w:rPr>
              <w:t>80</w:t>
            </w:r>
          </w:p>
          <w:p w:rsidR="00AD298C" w:rsidRPr="003351B9" w:rsidRDefault="00AD298C" w:rsidP="00A8625A">
            <w:pPr>
              <w:pStyle w:val="CETBodytext"/>
              <w:ind w:right="-1"/>
              <w:jc w:val="left"/>
              <w:rPr>
                <w:rFonts w:cs="Arial"/>
                <w:szCs w:val="18"/>
                <w:lang w:val="en-GB"/>
              </w:rPr>
            </w:pPr>
            <w:r w:rsidRPr="003351B9">
              <w:rPr>
                <w:rFonts w:cs="Arial"/>
                <w:szCs w:val="18"/>
                <w:lang w:val="en-GB"/>
              </w:rPr>
              <w:t>80</w:t>
            </w:r>
          </w:p>
          <w:p w:rsidR="00AD298C" w:rsidRPr="002D25D7" w:rsidRDefault="00AD298C" w:rsidP="00A8625A">
            <w:pPr>
              <w:pStyle w:val="CETBodytext"/>
              <w:ind w:right="-1"/>
              <w:jc w:val="left"/>
              <w:rPr>
                <w:rFonts w:cs="Arial"/>
                <w:szCs w:val="18"/>
                <w:lang w:val="en-GB"/>
              </w:rPr>
            </w:pPr>
            <w:r w:rsidRPr="003351B9">
              <w:rPr>
                <w:rFonts w:cs="Arial"/>
                <w:szCs w:val="18"/>
                <w:lang w:val="en-GB"/>
              </w:rPr>
              <w:t>80</w:t>
            </w:r>
          </w:p>
        </w:tc>
      </w:tr>
    </w:tbl>
    <w:p w:rsidR="000904D1" w:rsidRDefault="002320BF" w:rsidP="000904D1">
      <w:pPr>
        <w:pStyle w:val="CETBodytext"/>
        <w:rPr>
          <w:rStyle w:val="IlustraoChar"/>
          <w:b w:val="0"/>
          <w:sz w:val="18"/>
          <w:szCs w:val="18"/>
          <w:lang w:val="en-GB"/>
        </w:rPr>
      </w:pPr>
      <w:r>
        <w:br/>
      </w:r>
      <w:r w:rsidR="0046409A" w:rsidRPr="0046409A">
        <w:rPr>
          <w:rStyle w:val="IlustraoChar"/>
          <w:b w:val="0"/>
          <w:sz w:val="18"/>
          <w:szCs w:val="18"/>
          <w:lang w:val="en-GB"/>
        </w:rPr>
        <w:t xml:space="preserve">For each experiment 300 ml of oil and 60 ml of methanol anhydrous (high purity) were used. Moreover, catalyst </w:t>
      </w:r>
      <w:r w:rsidR="00E15F2E">
        <w:rPr>
          <w:rStyle w:val="IlustraoChar"/>
          <w:b w:val="0"/>
          <w:sz w:val="18"/>
          <w:szCs w:val="18"/>
          <w:lang w:val="en-GB"/>
        </w:rPr>
        <w:t xml:space="preserve">and methanol </w:t>
      </w:r>
      <w:r w:rsidR="0046409A" w:rsidRPr="0046409A">
        <w:rPr>
          <w:rStyle w:val="IlustraoChar"/>
          <w:b w:val="0"/>
          <w:sz w:val="18"/>
          <w:szCs w:val="18"/>
          <w:lang w:val="en-GB"/>
        </w:rPr>
        <w:t>w</w:t>
      </w:r>
      <w:r w:rsidR="00E15F2E">
        <w:rPr>
          <w:rStyle w:val="IlustraoChar"/>
          <w:b w:val="0"/>
          <w:sz w:val="18"/>
          <w:szCs w:val="18"/>
          <w:lang w:val="en-GB"/>
        </w:rPr>
        <w:t>ere</w:t>
      </w:r>
      <w:r w:rsidR="0046409A" w:rsidRPr="0046409A">
        <w:rPr>
          <w:rStyle w:val="IlustraoChar"/>
          <w:b w:val="0"/>
          <w:sz w:val="18"/>
          <w:szCs w:val="18"/>
          <w:lang w:val="en-GB"/>
        </w:rPr>
        <w:t xml:space="preserve"> mixed. The percentage of catalyst is proportional to grams of 300 ml of oil. In the other hand, alcohol and catalyst</w:t>
      </w:r>
      <w:r w:rsidR="00E15F2E">
        <w:rPr>
          <w:rStyle w:val="IlustraoChar"/>
          <w:b w:val="0"/>
          <w:sz w:val="18"/>
          <w:szCs w:val="18"/>
          <w:lang w:val="en-GB"/>
        </w:rPr>
        <w:t xml:space="preserve"> mixture</w:t>
      </w:r>
      <w:r w:rsidR="0046409A" w:rsidRPr="0046409A">
        <w:rPr>
          <w:rStyle w:val="IlustraoChar"/>
          <w:b w:val="0"/>
          <w:sz w:val="18"/>
          <w:szCs w:val="18"/>
          <w:lang w:val="en-GB"/>
        </w:rPr>
        <w:t xml:space="preserve"> w</w:t>
      </w:r>
      <w:r w:rsidR="00E15F2E">
        <w:rPr>
          <w:rStyle w:val="IlustraoChar"/>
          <w:b w:val="0"/>
          <w:sz w:val="18"/>
          <w:szCs w:val="18"/>
          <w:lang w:val="en-GB"/>
        </w:rPr>
        <w:t>as</w:t>
      </w:r>
      <w:r w:rsidR="0046409A" w:rsidRPr="0046409A">
        <w:rPr>
          <w:rStyle w:val="IlustraoChar"/>
          <w:b w:val="0"/>
          <w:sz w:val="18"/>
          <w:szCs w:val="18"/>
          <w:lang w:val="en-GB"/>
        </w:rPr>
        <w:t xml:space="preserve"> carried out at 50 ° C in a closed </w:t>
      </w:r>
      <w:r w:rsidR="00E15F2E">
        <w:rPr>
          <w:rStyle w:val="IlustraoChar"/>
          <w:b w:val="0"/>
          <w:sz w:val="18"/>
          <w:szCs w:val="18"/>
          <w:lang w:val="en-GB"/>
        </w:rPr>
        <w:t>E</w:t>
      </w:r>
      <w:r w:rsidR="00E15F2E" w:rsidRPr="0046409A">
        <w:rPr>
          <w:rStyle w:val="IlustraoChar"/>
          <w:b w:val="0"/>
          <w:sz w:val="18"/>
          <w:szCs w:val="18"/>
          <w:lang w:val="en-GB"/>
        </w:rPr>
        <w:t>rlenmeyer</w:t>
      </w:r>
      <w:r w:rsidR="0046409A" w:rsidRPr="0046409A">
        <w:rPr>
          <w:rStyle w:val="IlustraoChar"/>
          <w:b w:val="0"/>
          <w:sz w:val="18"/>
          <w:szCs w:val="18"/>
          <w:lang w:val="en-GB"/>
        </w:rPr>
        <w:t xml:space="preserve"> flask prior to mix with the oil.  After the oil was heated to desire temperature, alcohol and catalyst </w:t>
      </w:r>
      <w:r w:rsidR="00E15F2E" w:rsidRPr="0046409A">
        <w:rPr>
          <w:rStyle w:val="IlustraoChar"/>
          <w:b w:val="0"/>
          <w:sz w:val="18"/>
          <w:szCs w:val="18"/>
          <w:lang w:val="en-GB"/>
        </w:rPr>
        <w:t>mixture</w:t>
      </w:r>
      <w:r w:rsidR="0046409A" w:rsidRPr="0046409A">
        <w:rPr>
          <w:rStyle w:val="IlustraoChar"/>
          <w:b w:val="0"/>
          <w:sz w:val="18"/>
          <w:szCs w:val="18"/>
          <w:lang w:val="en-GB"/>
        </w:rPr>
        <w:t xml:space="preserve"> were added to flask on the reaction time according to experimental statistical planning. Finally, </w:t>
      </w:r>
      <w:r w:rsidR="00E15F2E" w:rsidRPr="0046409A">
        <w:rPr>
          <w:rStyle w:val="IlustraoChar"/>
          <w:b w:val="0"/>
          <w:sz w:val="18"/>
          <w:szCs w:val="18"/>
          <w:lang w:val="en-GB"/>
        </w:rPr>
        <w:t>transesterification</w:t>
      </w:r>
      <w:r w:rsidR="0046409A" w:rsidRPr="0046409A">
        <w:rPr>
          <w:rStyle w:val="IlustraoChar"/>
          <w:b w:val="0"/>
          <w:sz w:val="18"/>
          <w:szCs w:val="18"/>
          <w:lang w:val="en-GB"/>
        </w:rPr>
        <w:t xml:space="preserve"> </w:t>
      </w:r>
      <w:r w:rsidR="00E15F2E" w:rsidRPr="0046409A">
        <w:rPr>
          <w:rStyle w:val="IlustraoChar"/>
          <w:b w:val="0"/>
          <w:sz w:val="18"/>
          <w:szCs w:val="18"/>
          <w:lang w:val="en-GB"/>
        </w:rPr>
        <w:t>product was</w:t>
      </w:r>
      <w:r w:rsidR="0046409A" w:rsidRPr="0046409A">
        <w:rPr>
          <w:rStyle w:val="IlustraoChar"/>
          <w:b w:val="0"/>
          <w:sz w:val="18"/>
          <w:szCs w:val="18"/>
          <w:lang w:val="en-GB"/>
        </w:rPr>
        <w:t xml:space="preserve"> </w:t>
      </w:r>
      <w:r w:rsidR="00E15F2E" w:rsidRPr="0046409A">
        <w:rPr>
          <w:rStyle w:val="IlustraoChar"/>
          <w:b w:val="0"/>
          <w:sz w:val="18"/>
          <w:szCs w:val="18"/>
          <w:lang w:val="en-GB"/>
        </w:rPr>
        <w:t>transferred</w:t>
      </w:r>
      <w:r w:rsidR="0046409A" w:rsidRPr="0046409A">
        <w:rPr>
          <w:rStyle w:val="IlustraoChar"/>
          <w:b w:val="0"/>
          <w:sz w:val="18"/>
          <w:szCs w:val="18"/>
          <w:lang w:val="en-GB"/>
        </w:rPr>
        <w:t xml:space="preserve"> </w:t>
      </w:r>
      <w:r w:rsidR="00E15F2E" w:rsidRPr="0046409A">
        <w:rPr>
          <w:rStyle w:val="IlustraoChar"/>
          <w:b w:val="0"/>
          <w:sz w:val="18"/>
          <w:szCs w:val="18"/>
          <w:lang w:val="en-GB"/>
        </w:rPr>
        <w:t>to separatory</w:t>
      </w:r>
      <w:r w:rsidR="0046409A" w:rsidRPr="0046409A">
        <w:rPr>
          <w:rStyle w:val="IlustraoChar"/>
          <w:b w:val="0"/>
          <w:sz w:val="18"/>
          <w:szCs w:val="18"/>
          <w:lang w:val="en-GB"/>
        </w:rPr>
        <w:t xml:space="preserve"> funnel about 24 hours until form two phases</w:t>
      </w:r>
      <w:r w:rsidR="00BC5AC9">
        <w:rPr>
          <w:rStyle w:val="IlustraoChar"/>
          <w:b w:val="0"/>
          <w:sz w:val="18"/>
          <w:szCs w:val="18"/>
          <w:lang w:val="en-GB"/>
        </w:rPr>
        <w:t xml:space="preserve"> (Figure </w:t>
      </w:r>
      <w:r w:rsidR="00D04D2A">
        <w:rPr>
          <w:rStyle w:val="IlustraoChar"/>
          <w:b w:val="0"/>
          <w:sz w:val="18"/>
          <w:szCs w:val="18"/>
          <w:lang w:val="en-GB"/>
        </w:rPr>
        <w:t>1</w:t>
      </w:r>
      <w:r w:rsidR="00BC5AC9">
        <w:rPr>
          <w:rStyle w:val="IlustraoChar"/>
          <w:b w:val="0"/>
          <w:sz w:val="18"/>
          <w:szCs w:val="18"/>
          <w:lang w:val="en-GB"/>
        </w:rPr>
        <w:t>)</w:t>
      </w:r>
      <w:r w:rsidR="0046409A" w:rsidRPr="0046409A">
        <w:rPr>
          <w:rStyle w:val="IlustraoChar"/>
          <w:b w:val="0"/>
          <w:sz w:val="18"/>
          <w:szCs w:val="18"/>
          <w:lang w:val="en-GB"/>
        </w:rPr>
        <w:t xml:space="preserve">. Biodiesel and </w:t>
      </w:r>
      <w:proofErr w:type="spellStart"/>
      <w:r w:rsidR="00E15F2E" w:rsidRPr="0046409A">
        <w:rPr>
          <w:rStyle w:val="IlustraoChar"/>
          <w:b w:val="0"/>
          <w:sz w:val="18"/>
          <w:szCs w:val="18"/>
          <w:lang w:val="en-GB"/>
        </w:rPr>
        <w:t>glycerin</w:t>
      </w:r>
      <w:proofErr w:type="spellEnd"/>
      <w:r w:rsidR="0046409A" w:rsidRPr="0046409A">
        <w:rPr>
          <w:rStyle w:val="IlustraoChar"/>
          <w:b w:val="0"/>
          <w:sz w:val="18"/>
          <w:szCs w:val="18"/>
          <w:lang w:val="en-GB"/>
        </w:rPr>
        <w:t xml:space="preserve"> from each experiment were collected and weighed.</w:t>
      </w:r>
    </w:p>
    <w:p w:rsidR="00B05AB4" w:rsidRDefault="00B05AB4" w:rsidP="000904D1">
      <w:pPr>
        <w:pStyle w:val="CETBodytext"/>
        <w:rPr>
          <w:rStyle w:val="IlustraoChar"/>
          <w:lang w:val="en-GB"/>
        </w:rPr>
      </w:pPr>
    </w:p>
    <w:p w:rsidR="00025FEC" w:rsidRDefault="00926E11" w:rsidP="00025FEC">
      <w:pPr>
        <w:pStyle w:val="CETBodytext"/>
        <w:rPr>
          <w:rStyle w:val="IlustraoChar"/>
          <w:lang w:val="en-GB"/>
        </w:rPr>
      </w:pPr>
      <w:r>
        <w:rPr>
          <w:rStyle w:val="IlustraoChar"/>
          <w:lang w:val="en-GB"/>
        </w:rPr>
        <w:lastRenderedPageBreak/>
        <w:t xml:space="preserve">             </w:t>
      </w:r>
      <w:r w:rsidR="00BC5AC9">
        <w:rPr>
          <w:noProof/>
          <w:lang w:val="fr-FR" w:eastAsia="fr-FR"/>
        </w:rPr>
        <w:drawing>
          <wp:inline distT="0" distB="0" distL="0" distR="0" wp14:anchorId="7C34824A" wp14:editId="05774C4B">
            <wp:extent cx="1735015" cy="3184013"/>
            <wp:effectExtent l="0" t="0" r="0" b="0"/>
            <wp:docPr id="24" name="Imagem 23" descr="IMG_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43.jpg"/>
                    <pic:cNvPicPr/>
                  </pic:nvPicPr>
                  <pic:blipFill>
                    <a:blip r:embed="rId11" cstate="print"/>
                    <a:stretch>
                      <a:fillRect/>
                    </a:stretch>
                  </pic:blipFill>
                  <pic:spPr>
                    <a:xfrm>
                      <a:off x="0" y="0"/>
                      <a:ext cx="1736212" cy="3186209"/>
                    </a:xfrm>
                    <a:prstGeom prst="rect">
                      <a:avLst/>
                    </a:prstGeom>
                  </pic:spPr>
                </pic:pic>
              </a:graphicData>
            </a:graphic>
          </wp:inline>
        </w:drawing>
      </w:r>
      <w:r>
        <w:rPr>
          <w:rStyle w:val="IlustraoChar"/>
          <w:lang w:val="en-GB"/>
        </w:rPr>
        <w:t xml:space="preserve">                          </w:t>
      </w:r>
      <w:r w:rsidR="00BC5AC9">
        <w:rPr>
          <w:noProof/>
          <w:lang w:val="fr-FR" w:eastAsia="fr-FR"/>
        </w:rPr>
        <w:drawing>
          <wp:inline distT="0" distB="0" distL="0" distR="0" wp14:anchorId="2C624BBB" wp14:editId="52000C6A">
            <wp:extent cx="1735015" cy="3179130"/>
            <wp:effectExtent l="0" t="0" r="0" b="2540"/>
            <wp:docPr id="25" name="Imagem 24" descr="IMG_3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46.jpg"/>
                    <pic:cNvPicPr/>
                  </pic:nvPicPr>
                  <pic:blipFill>
                    <a:blip r:embed="rId12" cstate="print"/>
                    <a:stretch>
                      <a:fillRect/>
                    </a:stretch>
                  </pic:blipFill>
                  <pic:spPr>
                    <a:xfrm>
                      <a:off x="0" y="0"/>
                      <a:ext cx="1735200" cy="3179469"/>
                    </a:xfrm>
                    <a:prstGeom prst="rect">
                      <a:avLst/>
                    </a:prstGeom>
                  </pic:spPr>
                </pic:pic>
              </a:graphicData>
            </a:graphic>
          </wp:inline>
        </w:drawing>
      </w:r>
      <w:r w:rsidR="00025FEC" w:rsidRPr="00025FEC">
        <w:rPr>
          <w:rStyle w:val="IlustraoChar"/>
          <w:lang w:val="en-GB"/>
        </w:rPr>
        <w:t xml:space="preserve"> </w:t>
      </w:r>
    </w:p>
    <w:p w:rsidR="00B21FE3" w:rsidRDefault="00926E11" w:rsidP="00926E11">
      <w:pPr>
        <w:pStyle w:val="CETBodytext"/>
        <w:numPr>
          <w:ilvl w:val="0"/>
          <w:numId w:val="23"/>
        </w:numPr>
        <w:tabs>
          <w:tab w:val="clear" w:pos="7100"/>
          <w:tab w:val="left" w:pos="1957"/>
          <w:tab w:val="left" w:pos="6092"/>
        </w:tabs>
        <w:rPr>
          <w:rStyle w:val="IlustraoChar"/>
          <w:b w:val="0"/>
          <w:i/>
          <w:sz w:val="18"/>
          <w:szCs w:val="18"/>
          <w:lang w:val="en-GB"/>
        </w:rPr>
      </w:pPr>
      <w:r>
        <w:rPr>
          <w:rStyle w:val="IlustraoChar"/>
          <w:b w:val="0"/>
          <w:i/>
          <w:sz w:val="18"/>
          <w:szCs w:val="18"/>
          <w:lang w:val="en-GB"/>
        </w:rPr>
        <w:t>(b)</w:t>
      </w:r>
    </w:p>
    <w:p w:rsidR="00926E11" w:rsidRDefault="00926E11" w:rsidP="00926E11">
      <w:pPr>
        <w:pStyle w:val="CETBodytext"/>
        <w:tabs>
          <w:tab w:val="clear" w:pos="7100"/>
          <w:tab w:val="left" w:pos="1957"/>
          <w:tab w:val="left" w:pos="6092"/>
        </w:tabs>
        <w:rPr>
          <w:rStyle w:val="IlustraoChar"/>
          <w:b w:val="0"/>
          <w:i/>
          <w:sz w:val="18"/>
          <w:szCs w:val="18"/>
          <w:lang w:val="en-GB"/>
        </w:rPr>
      </w:pPr>
    </w:p>
    <w:p w:rsidR="00926E11" w:rsidRDefault="00926E11" w:rsidP="00926E11">
      <w:pPr>
        <w:pStyle w:val="CETBodytext"/>
        <w:tabs>
          <w:tab w:val="clear" w:pos="7100"/>
          <w:tab w:val="left" w:pos="1957"/>
          <w:tab w:val="left" w:pos="6092"/>
        </w:tabs>
        <w:ind w:left="6096"/>
        <w:rPr>
          <w:rStyle w:val="IlustraoChar"/>
          <w:b w:val="0"/>
          <w:i/>
          <w:sz w:val="18"/>
          <w:szCs w:val="18"/>
          <w:lang w:val="en-GB"/>
        </w:rPr>
      </w:pPr>
    </w:p>
    <w:p w:rsidR="00025FEC" w:rsidRDefault="00025FEC" w:rsidP="00025FEC">
      <w:pPr>
        <w:pStyle w:val="CETBodytext"/>
        <w:rPr>
          <w:rStyle w:val="IlustraoChar"/>
          <w:b w:val="0"/>
          <w:i/>
          <w:sz w:val="18"/>
          <w:szCs w:val="18"/>
          <w:lang w:val="en-GB"/>
        </w:rPr>
      </w:pPr>
      <w:r w:rsidRPr="000A13BF">
        <w:rPr>
          <w:rStyle w:val="IlustraoChar"/>
          <w:b w:val="0"/>
          <w:i/>
          <w:sz w:val="18"/>
          <w:szCs w:val="18"/>
          <w:lang w:val="en-GB"/>
        </w:rPr>
        <w:t xml:space="preserve">Figure </w:t>
      </w:r>
      <w:r w:rsidR="00D04D2A" w:rsidRPr="000A13BF">
        <w:rPr>
          <w:rStyle w:val="IlustraoChar"/>
          <w:b w:val="0"/>
          <w:i/>
          <w:sz w:val="18"/>
          <w:szCs w:val="18"/>
          <w:lang w:val="en-GB"/>
        </w:rPr>
        <w:t>1</w:t>
      </w:r>
      <w:r w:rsidRPr="000A13BF">
        <w:rPr>
          <w:rStyle w:val="IlustraoChar"/>
          <w:b w:val="0"/>
          <w:i/>
          <w:sz w:val="18"/>
          <w:szCs w:val="18"/>
          <w:lang w:val="en-GB"/>
        </w:rPr>
        <w:t>: transesterification reaction products</w:t>
      </w:r>
      <w:r w:rsidR="00926E11" w:rsidRPr="000A13BF">
        <w:rPr>
          <w:rStyle w:val="IlustraoChar"/>
          <w:b w:val="0"/>
          <w:i/>
          <w:sz w:val="18"/>
          <w:szCs w:val="18"/>
          <w:lang w:val="en-GB"/>
        </w:rPr>
        <w:t>:</w:t>
      </w:r>
      <w:r w:rsidRPr="000A13BF">
        <w:rPr>
          <w:rStyle w:val="IlustraoChar"/>
          <w:b w:val="0"/>
          <w:i/>
          <w:sz w:val="18"/>
          <w:szCs w:val="18"/>
          <w:lang w:val="en-GB"/>
        </w:rPr>
        <w:t xml:space="preserve"> (</w:t>
      </w:r>
      <w:r w:rsidR="00926E11" w:rsidRPr="000A13BF">
        <w:rPr>
          <w:rStyle w:val="IlustraoChar"/>
          <w:b w:val="0"/>
          <w:i/>
          <w:sz w:val="18"/>
          <w:szCs w:val="18"/>
          <w:lang w:val="en-GB"/>
        </w:rPr>
        <w:t>a) glycerine phases; (b) biodiesel.</w:t>
      </w:r>
    </w:p>
    <w:p w:rsidR="00F52969" w:rsidRPr="009E33F8" w:rsidRDefault="00F52969" w:rsidP="00F52969">
      <w:pPr>
        <w:pStyle w:val="CETHeading1"/>
        <w:tabs>
          <w:tab w:val="clear" w:pos="360"/>
          <w:tab w:val="right" w:pos="7100"/>
        </w:tabs>
        <w:jc w:val="both"/>
      </w:pPr>
      <w:r w:rsidRPr="009E33F8">
        <w:t xml:space="preserve">Results and discussion </w:t>
      </w:r>
    </w:p>
    <w:p w:rsidR="00CE612F" w:rsidRDefault="00CE612F" w:rsidP="00340676">
      <w:pPr>
        <w:pStyle w:val="CETListbullets"/>
        <w:ind w:firstLine="0"/>
        <w:rPr>
          <w:highlight w:val="yellow"/>
        </w:rPr>
      </w:pPr>
    </w:p>
    <w:p w:rsidR="00155700" w:rsidRDefault="00534DCE" w:rsidP="00155700">
      <w:pPr>
        <w:pStyle w:val="CETBodytext"/>
      </w:pPr>
      <w:r w:rsidRPr="00745D31">
        <w:rPr>
          <w:lang w:val="en-GB"/>
        </w:rPr>
        <w:t xml:space="preserve">The analysis of </w:t>
      </w:r>
      <w:r>
        <w:rPr>
          <w:lang w:val="en-GB"/>
        </w:rPr>
        <w:t xml:space="preserve">statistical design of </w:t>
      </w:r>
      <w:r w:rsidRPr="00745D31">
        <w:rPr>
          <w:lang w:val="en-GB"/>
        </w:rPr>
        <w:t xml:space="preserve">experiment to identify the significant variables was performed </w:t>
      </w:r>
      <w:r>
        <w:rPr>
          <w:lang w:val="en-GB"/>
        </w:rPr>
        <w:t xml:space="preserve">by </w:t>
      </w:r>
      <w:proofErr w:type="spellStart"/>
      <w:r w:rsidRPr="00745D31">
        <w:rPr>
          <w:lang w:val="en-GB"/>
        </w:rPr>
        <w:t>Statistica</w:t>
      </w:r>
      <w:proofErr w:type="spellEnd"/>
      <w:r w:rsidRPr="00745D31">
        <w:rPr>
          <w:lang w:val="en-GB"/>
        </w:rPr>
        <w:t xml:space="preserve"> 7.0</w:t>
      </w:r>
      <w:r>
        <w:rPr>
          <w:lang w:val="en-GB"/>
        </w:rPr>
        <w:t xml:space="preserve"> </w:t>
      </w:r>
      <w:r w:rsidRPr="00745D31">
        <w:rPr>
          <w:lang w:val="en-GB"/>
        </w:rPr>
        <w:t>® software.</w:t>
      </w:r>
      <w:r>
        <w:rPr>
          <w:lang w:val="en-GB"/>
        </w:rPr>
        <w:t xml:space="preserve"> </w:t>
      </w:r>
      <w:r w:rsidR="00155700" w:rsidRPr="00155700">
        <w:t>The linear and quadratic effect of the temperature as well as the quadratic effects of the catalyst and time was most significant at a 95% confidence level. The linear effect of the catalyst and the combination between Temperature and catalyst are not significant.</w:t>
      </w:r>
      <w:r w:rsidR="00B05AB4">
        <w:t xml:space="preserve"> </w:t>
      </w:r>
      <w:r w:rsidR="00B05AB4" w:rsidRPr="00B05AB4">
        <w:t>Table 2 shows the results of density, yield of biodiesel and glycerin of the waste frying oil transesterification reaction.</w:t>
      </w:r>
    </w:p>
    <w:p w:rsidR="00FD4D8A" w:rsidRDefault="00FD4D8A" w:rsidP="00155700">
      <w:pPr>
        <w:pStyle w:val="CETBodytext"/>
      </w:pPr>
    </w:p>
    <w:p w:rsidR="00FD4D8A" w:rsidRPr="00FD4D8A" w:rsidRDefault="00FD4D8A" w:rsidP="00155700">
      <w:pPr>
        <w:pStyle w:val="CETBodytext"/>
        <w:rPr>
          <w:i/>
        </w:rPr>
      </w:pPr>
      <w:r w:rsidRPr="00FD4D8A">
        <w:rPr>
          <w:i/>
        </w:rPr>
        <w:t>Table 2: Density, yield of biodiesel and glycerin of the waste frying oil transesterification reaction</w:t>
      </w:r>
    </w:p>
    <w:tbl>
      <w:tblPr>
        <w:tblW w:w="2823"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6"/>
        <w:gridCol w:w="1276"/>
        <w:gridCol w:w="1416"/>
      </w:tblGrid>
      <w:tr w:rsidR="00FD4D8A" w:rsidRPr="002D25D7" w:rsidTr="00FD4D8A">
        <w:trPr>
          <w:trHeight w:val="158"/>
        </w:trPr>
        <w:tc>
          <w:tcPr>
            <w:tcW w:w="1001" w:type="pct"/>
            <w:tcBorders>
              <w:top w:val="single" w:sz="12" w:space="0" w:color="008000"/>
              <w:bottom w:val="single" w:sz="6" w:space="0" w:color="008000"/>
            </w:tcBorders>
            <w:shd w:val="clear" w:color="auto" w:fill="FFFFFF"/>
          </w:tcPr>
          <w:p w:rsidR="00FD4D8A" w:rsidRPr="002D25D7" w:rsidRDefault="00FD4D8A" w:rsidP="00FD4D8A">
            <w:pPr>
              <w:pStyle w:val="CETBodytext"/>
              <w:spacing w:line="240" w:lineRule="auto"/>
              <w:jc w:val="left"/>
              <w:rPr>
                <w:lang w:val="en-GB"/>
              </w:rPr>
            </w:pPr>
            <w:r>
              <w:t>Experiment</w:t>
            </w:r>
          </w:p>
        </w:tc>
        <w:tc>
          <w:tcPr>
            <w:tcW w:w="1286" w:type="pct"/>
            <w:tcBorders>
              <w:top w:val="single" w:sz="12" w:space="0" w:color="008000"/>
              <w:bottom w:val="single" w:sz="6" w:space="0" w:color="008000"/>
            </w:tcBorders>
            <w:shd w:val="clear" w:color="auto" w:fill="FFFFFF"/>
          </w:tcPr>
          <w:p w:rsidR="00FD4D8A" w:rsidRPr="002D25D7" w:rsidRDefault="00FD4D8A" w:rsidP="00FD4D8A">
            <w:pPr>
              <w:pStyle w:val="CETBodytext"/>
              <w:spacing w:line="240" w:lineRule="auto"/>
              <w:jc w:val="left"/>
              <w:rPr>
                <w:rFonts w:cs="Arial"/>
                <w:szCs w:val="18"/>
                <w:lang w:val="en-GB"/>
              </w:rPr>
            </w:pPr>
            <w:r>
              <w:rPr>
                <w:rFonts w:cs="Arial"/>
                <w:szCs w:val="18"/>
                <w:lang w:val="en-GB"/>
              </w:rPr>
              <w:t>Biodiesel (% w)</w:t>
            </w:r>
          </w:p>
        </w:tc>
        <w:tc>
          <w:tcPr>
            <w:tcW w:w="1286" w:type="pct"/>
            <w:tcBorders>
              <w:top w:val="single" w:sz="12" w:space="0" w:color="008000"/>
              <w:bottom w:val="single" w:sz="6" w:space="0" w:color="008000"/>
            </w:tcBorders>
            <w:shd w:val="clear" w:color="auto" w:fill="FFFFFF"/>
          </w:tcPr>
          <w:p w:rsidR="00FD4D8A" w:rsidRDefault="000A13BF" w:rsidP="00FD4D8A">
            <w:pPr>
              <w:spacing w:line="240" w:lineRule="auto"/>
              <w:jc w:val="left"/>
              <w:rPr>
                <w:rFonts w:cs="Arial"/>
                <w:szCs w:val="18"/>
              </w:rPr>
            </w:pPr>
            <w:r>
              <w:t>Glycerine</w:t>
            </w:r>
            <w:r w:rsidR="00FD4D8A">
              <w:t xml:space="preserve"> (% w)</w:t>
            </w:r>
          </w:p>
        </w:tc>
        <w:tc>
          <w:tcPr>
            <w:tcW w:w="1428" w:type="pct"/>
            <w:tcBorders>
              <w:top w:val="single" w:sz="12" w:space="0" w:color="008000"/>
              <w:bottom w:val="single" w:sz="6" w:space="0" w:color="008000"/>
            </w:tcBorders>
            <w:shd w:val="clear" w:color="auto" w:fill="FFFFFF"/>
          </w:tcPr>
          <w:p w:rsidR="00FD4D8A" w:rsidRDefault="00FD4D8A" w:rsidP="00FD4D8A">
            <w:pPr>
              <w:spacing w:line="240" w:lineRule="auto"/>
              <w:jc w:val="left"/>
            </w:pPr>
            <w:r>
              <w:t>Density (g / ml)</w:t>
            </w:r>
          </w:p>
        </w:tc>
      </w:tr>
      <w:tr w:rsidR="00FD4D8A" w:rsidRPr="002D25D7" w:rsidTr="00FD4D8A">
        <w:tc>
          <w:tcPr>
            <w:tcW w:w="1001" w:type="pct"/>
            <w:shd w:val="clear" w:color="auto" w:fill="FFFFFF"/>
          </w:tcPr>
          <w:p w:rsidR="00FD4D8A" w:rsidRDefault="00FD4D8A" w:rsidP="000D4DA5">
            <w:pPr>
              <w:pStyle w:val="CETBodytext"/>
              <w:jc w:val="left"/>
              <w:rPr>
                <w:lang w:val="en-GB"/>
              </w:rPr>
            </w:pPr>
            <w:r>
              <w:rPr>
                <w:lang w:val="en-GB"/>
              </w:rPr>
              <w:t>1</w:t>
            </w:r>
          </w:p>
          <w:p w:rsidR="00FD4D8A" w:rsidRDefault="00FD4D8A" w:rsidP="000D4DA5">
            <w:pPr>
              <w:pStyle w:val="CETBodytext"/>
              <w:jc w:val="left"/>
              <w:rPr>
                <w:lang w:val="en-GB"/>
              </w:rPr>
            </w:pPr>
            <w:r>
              <w:rPr>
                <w:lang w:val="en-GB"/>
              </w:rPr>
              <w:t>2</w:t>
            </w:r>
          </w:p>
          <w:p w:rsidR="00FD4D8A" w:rsidRDefault="00FD4D8A" w:rsidP="000D4DA5">
            <w:pPr>
              <w:pStyle w:val="CETBodytext"/>
              <w:jc w:val="left"/>
              <w:rPr>
                <w:lang w:val="en-GB"/>
              </w:rPr>
            </w:pPr>
            <w:r>
              <w:rPr>
                <w:lang w:val="en-GB"/>
              </w:rPr>
              <w:t>3</w:t>
            </w:r>
          </w:p>
          <w:p w:rsidR="00FD4D8A" w:rsidRDefault="00FD4D8A" w:rsidP="000D4DA5">
            <w:pPr>
              <w:pStyle w:val="CETBodytext"/>
              <w:jc w:val="left"/>
              <w:rPr>
                <w:lang w:val="en-GB"/>
              </w:rPr>
            </w:pPr>
            <w:r>
              <w:rPr>
                <w:lang w:val="en-GB"/>
              </w:rPr>
              <w:t>4</w:t>
            </w:r>
          </w:p>
          <w:p w:rsidR="00FD4D8A" w:rsidRDefault="00FD4D8A" w:rsidP="000D4DA5">
            <w:pPr>
              <w:pStyle w:val="CETBodytext"/>
              <w:jc w:val="left"/>
              <w:rPr>
                <w:lang w:val="en-GB"/>
              </w:rPr>
            </w:pPr>
            <w:r>
              <w:rPr>
                <w:lang w:val="en-GB"/>
              </w:rPr>
              <w:t>5</w:t>
            </w:r>
          </w:p>
          <w:p w:rsidR="00FD4D8A" w:rsidRDefault="00FD4D8A" w:rsidP="000D4DA5">
            <w:pPr>
              <w:pStyle w:val="CETBodytext"/>
              <w:jc w:val="left"/>
              <w:rPr>
                <w:lang w:val="en-GB"/>
              </w:rPr>
            </w:pPr>
            <w:r>
              <w:rPr>
                <w:lang w:val="en-GB"/>
              </w:rPr>
              <w:t>6</w:t>
            </w:r>
          </w:p>
          <w:p w:rsidR="00FD4D8A" w:rsidRDefault="00FD4D8A" w:rsidP="000D4DA5">
            <w:pPr>
              <w:pStyle w:val="CETBodytext"/>
              <w:jc w:val="left"/>
              <w:rPr>
                <w:lang w:val="en-GB"/>
              </w:rPr>
            </w:pPr>
            <w:r>
              <w:rPr>
                <w:lang w:val="en-GB"/>
              </w:rPr>
              <w:t>7</w:t>
            </w:r>
          </w:p>
          <w:p w:rsidR="00FD4D8A" w:rsidRDefault="00FD4D8A" w:rsidP="000D4DA5">
            <w:pPr>
              <w:pStyle w:val="CETBodytext"/>
              <w:jc w:val="left"/>
              <w:rPr>
                <w:lang w:val="en-GB"/>
              </w:rPr>
            </w:pPr>
            <w:r>
              <w:rPr>
                <w:lang w:val="en-GB"/>
              </w:rPr>
              <w:t>8</w:t>
            </w:r>
          </w:p>
          <w:p w:rsidR="00FD4D8A" w:rsidRDefault="00FD4D8A" w:rsidP="000D4DA5">
            <w:pPr>
              <w:pStyle w:val="CETBodytext"/>
              <w:jc w:val="left"/>
              <w:rPr>
                <w:lang w:val="en-GB"/>
              </w:rPr>
            </w:pPr>
            <w:r>
              <w:rPr>
                <w:lang w:val="en-GB"/>
              </w:rPr>
              <w:t>9</w:t>
            </w:r>
          </w:p>
          <w:p w:rsidR="00FD4D8A" w:rsidRDefault="00FD4D8A" w:rsidP="000D4DA5">
            <w:pPr>
              <w:pStyle w:val="CETBodytext"/>
              <w:jc w:val="left"/>
              <w:rPr>
                <w:lang w:val="en-GB"/>
              </w:rPr>
            </w:pPr>
            <w:r>
              <w:rPr>
                <w:lang w:val="en-GB"/>
              </w:rPr>
              <w:t>10</w:t>
            </w:r>
          </w:p>
          <w:p w:rsidR="00FD4D8A" w:rsidRDefault="00FD4D8A" w:rsidP="000D4DA5">
            <w:pPr>
              <w:pStyle w:val="CETBodytext"/>
              <w:jc w:val="left"/>
              <w:rPr>
                <w:lang w:val="en-GB"/>
              </w:rPr>
            </w:pPr>
            <w:r>
              <w:rPr>
                <w:lang w:val="en-GB"/>
              </w:rPr>
              <w:t>11</w:t>
            </w:r>
          </w:p>
          <w:p w:rsidR="00FD4D8A" w:rsidRDefault="00FD4D8A" w:rsidP="000D4DA5">
            <w:pPr>
              <w:pStyle w:val="CETBodytext"/>
              <w:jc w:val="left"/>
              <w:rPr>
                <w:lang w:val="en-GB"/>
              </w:rPr>
            </w:pPr>
            <w:r>
              <w:rPr>
                <w:lang w:val="en-GB"/>
              </w:rPr>
              <w:t>12</w:t>
            </w:r>
          </w:p>
          <w:p w:rsidR="00FD4D8A" w:rsidRDefault="00FD4D8A" w:rsidP="000D4DA5">
            <w:pPr>
              <w:pStyle w:val="CETBodytext"/>
              <w:jc w:val="left"/>
              <w:rPr>
                <w:lang w:val="en-GB"/>
              </w:rPr>
            </w:pPr>
            <w:r>
              <w:rPr>
                <w:lang w:val="en-GB"/>
              </w:rPr>
              <w:t>13</w:t>
            </w:r>
          </w:p>
          <w:p w:rsidR="00FD4D8A" w:rsidRDefault="00FD4D8A" w:rsidP="000D4DA5">
            <w:pPr>
              <w:pStyle w:val="CETBodytext"/>
              <w:jc w:val="left"/>
              <w:rPr>
                <w:lang w:val="en-GB"/>
              </w:rPr>
            </w:pPr>
            <w:r>
              <w:rPr>
                <w:lang w:val="en-GB"/>
              </w:rPr>
              <w:t>14</w:t>
            </w:r>
          </w:p>
          <w:p w:rsidR="00FD4D8A" w:rsidRDefault="00FD4D8A" w:rsidP="000D4DA5">
            <w:pPr>
              <w:pStyle w:val="CETBodytext"/>
              <w:jc w:val="left"/>
              <w:rPr>
                <w:lang w:val="en-GB"/>
              </w:rPr>
            </w:pPr>
            <w:r>
              <w:rPr>
                <w:lang w:val="en-GB"/>
              </w:rPr>
              <w:t>15</w:t>
            </w:r>
          </w:p>
          <w:p w:rsidR="00FD4D8A" w:rsidRDefault="00FD4D8A" w:rsidP="000D4DA5">
            <w:pPr>
              <w:pStyle w:val="CETBodytext"/>
              <w:jc w:val="left"/>
              <w:rPr>
                <w:lang w:val="en-GB"/>
              </w:rPr>
            </w:pPr>
            <w:r>
              <w:rPr>
                <w:lang w:val="en-GB"/>
              </w:rPr>
              <w:t>16</w:t>
            </w:r>
          </w:p>
          <w:p w:rsidR="00FD4D8A" w:rsidRPr="002D25D7" w:rsidRDefault="00FD4D8A" w:rsidP="000D4DA5">
            <w:pPr>
              <w:pStyle w:val="CETBodytext"/>
              <w:jc w:val="left"/>
              <w:rPr>
                <w:lang w:val="en-GB"/>
              </w:rPr>
            </w:pPr>
            <w:r>
              <w:rPr>
                <w:lang w:val="en-GB"/>
              </w:rPr>
              <w:t>17</w:t>
            </w:r>
          </w:p>
        </w:tc>
        <w:tc>
          <w:tcPr>
            <w:tcW w:w="1286" w:type="pct"/>
            <w:shd w:val="clear" w:color="auto" w:fill="FFFFFF"/>
          </w:tcPr>
          <w:p w:rsidR="00FD4D8A" w:rsidRPr="00370123" w:rsidRDefault="00FD4D8A" w:rsidP="000D4DA5">
            <w:pPr>
              <w:pStyle w:val="CETBodytext"/>
              <w:ind w:right="-1"/>
              <w:jc w:val="left"/>
              <w:rPr>
                <w:rFonts w:cs="Arial"/>
                <w:szCs w:val="18"/>
                <w:lang w:val="en-GB"/>
              </w:rPr>
            </w:pPr>
            <w:r w:rsidRPr="00370123">
              <w:rPr>
                <w:rFonts w:cs="Arial"/>
                <w:szCs w:val="18"/>
                <w:lang w:val="en-GB"/>
              </w:rPr>
              <w:t>9,87</w:t>
            </w:r>
          </w:p>
          <w:p w:rsidR="00FD4D8A" w:rsidRPr="00370123" w:rsidRDefault="00FD4D8A" w:rsidP="000D4DA5">
            <w:pPr>
              <w:pStyle w:val="CETBodytext"/>
              <w:ind w:right="-1"/>
              <w:jc w:val="left"/>
              <w:rPr>
                <w:rFonts w:cs="Arial"/>
                <w:szCs w:val="18"/>
                <w:lang w:val="en-GB"/>
              </w:rPr>
            </w:pPr>
            <w:r w:rsidRPr="00370123">
              <w:rPr>
                <w:rFonts w:cs="Arial"/>
                <w:szCs w:val="18"/>
                <w:lang w:val="en-GB"/>
              </w:rPr>
              <w:t>9,54</w:t>
            </w:r>
          </w:p>
          <w:p w:rsidR="00FD4D8A" w:rsidRPr="00370123" w:rsidRDefault="00FD4D8A" w:rsidP="000D4DA5">
            <w:pPr>
              <w:pStyle w:val="CETBodytext"/>
              <w:ind w:right="-1"/>
              <w:jc w:val="left"/>
              <w:rPr>
                <w:rFonts w:cs="Arial"/>
                <w:szCs w:val="18"/>
                <w:lang w:val="en-GB"/>
              </w:rPr>
            </w:pPr>
            <w:r w:rsidRPr="00370123">
              <w:rPr>
                <w:rFonts w:cs="Arial"/>
                <w:szCs w:val="18"/>
                <w:lang w:val="en-GB"/>
              </w:rPr>
              <w:t>60,23</w:t>
            </w:r>
          </w:p>
          <w:p w:rsidR="00FD4D8A" w:rsidRPr="00370123" w:rsidRDefault="00FD4D8A" w:rsidP="000D4DA5">
            <w:pPr>
              <w:pStyle w:val="CETBodytext"/>
              <w:ind w:right="-1"/>
              <w:jc w:val="left"/>
              <w:rPr>
                <w:rFonts w:cs="Arial"/>
                <w:szCs w:val="18"/>
                <w:lang w:val="en-GB"/>
              </w:rPr>
            </w:pPr>
            <w:r w:rsidRPr="00370123">
              <w:rPr>
                <w:rFonts w:cs="Arial"/>
                <w:szCs w:val="18"/>
                <w:lang w:val="en-GB"/>
              </w:rPr>
              <w:t>98,43</w:t>
            </w:r>
          </w:p>
          <w:p w:rsidR="00FD4D8A" w:rsidRPr="00370123" w:rsidRDefault="00FD4D8A" w:rsidP="000D4DA5">
            <w:pPr>
              <w:pStyle w:val="CETBodytext"/>
              <w:ind w:right="-1"/>
              <w:jc w:val="left"/>
              <w:rPr>
                <w:rFonts w:cs="Arial"/>
                <w:szCs w:val="18"/>
                <w:lang w:val="en-GB"/>
              </w:rPr>
            </w:pPr>
            <w:r w:rsidRPr="00370123">
              <w:rPr>
                <w:rFonts w:cs="Arial"/>
                <w:szCs w:val="18"/>
                <w:lang w:val="en-GB"/>
              </w:rPr>
              <w:t>14,61</w:t>
            </w:r>
          </w:p>
          <w:p w:rsidR="00FD4D8A" w:rsidRPr="00370123" w:rsidRDefault="00FD4D8A" w:rsidP="000D4DA5">
            <w:pPr>
              <w:pStyle w:val="CETBodytext"/>
              <w:ind w:right="-1"/>
              <w:jc w:val="left"/>
              <w:rPr>
                <w:rFonts w:cs="Arial"/>
                <w:szCs w:val="18"/>
                <w:lang w:val="en-GB"/>
              </w:rPr>
            </w:pPr>
            <w:r w:rsidRPr="00370123">
              <w:rPr>
                <w:rFonts w:cs="Arial"/>
                <w:szCs w:val="18"/>
                <w:lang w:val="en-GB"/>
              </w:rPr>
              <w:t>9,83</w:t>
            </w:r>
          </w:p>
          <w:p w:rsidR="00FD4D8A" w:rsidRPr="00370123" w:rsidRDefault="00FD4D8A" w:rsidP="000D4DA5">
            <w:pPr>
              <w:pStyle w:val="CETBodytext"/>
              <w:ind w:right="-1"/>
              <w:jc w:val="left"/>
              <w:rPr>
                <w:rFonts w:cs="Arial"/>
                <w:szCs w:val="18"/>
                <w:lang w:val="en-GB"/>
              </w:rPr>
            </w:pPr>
            <w:r w:rsidRPr="00370123">
              <w:rPr>
                <w:rFonts w:cs="Arial"/>
                <w:szCs w:val="18"/>
                <w:lang w:val="en-GB"/>
              </w:rPr>
              <w:t>79,76</w:t>
            </w:r>
          </w:p>
          <w:p w:rsidR="00FD4D8A" w:rsidRPr="00370123" w:rsidRDefault="00FD4D8A" w:rsidP="000D4DA5">
            <w:pPr>
              <w:pStyle w:val="CETBodytext"/>
              <w:ind w:right="-1"/>
              <w:jc w:val="left"/>
              <w:rPr>
                <w:rFonts w:cs="Arial"/>
                <w:szCs w:val="18"/>
                <w:lang w:val="en-GB"/>
              </w:rPr>
            </w:pPr>
            <w:r w:rsidRPr="00370123">
              <w:rPr>
                <w:rFonts w:cs="Arial"/>
                <w:szCs w:val="18"/>
                <w:lang w:val="en-GB"/>
              </w:rPr>
              <w:t>78,62</w:t>
            </w:r>
          </w:p>
          <w:p w:rsidR="00FD4D8A" w:rsidRPr="00370123" w:rsidRDefault="00FD4D8A" w:rsidP="000D4DA5">
            <w:pPr>
              <w:pStyle w:val="CETBodytext"/>
              <w:ind w:right="-1"/>
              <w:jc w:val="left"/>
              <w:rPr>
                <w:rFonts w:cs="Arial"/>
                <w:szCs w:val="18"/>
                <w:lang w:val="en-GB"/>
              </w:rPr>
            </w:pPr>
            <w:r w:rsidRPr="00370123">
              <w:rPr>
                <w:rFonts w:cs="Arial"/>
                <w:szCs w:val="18"/>
                <w:lang w:val="en-GB"/>
              </w:rPr>
              <w:t>13,47</w:t>
            </w:r>
          </w:p>
          <w:p w:rsidR="00FD4D8A" w:rsidRPr="00370123" w:rsidRDefault="00FD4D8A" w:rsidP="000D4DA5">
            <w:pPr>
              <w:pStyle w:val="CETBodytext"/>
              <w:ind w:right="-1"/>
              <w:jc w:val="left"/>
              <w:rPr>
                <w:rFonts w:cs="Arial"/>
                <w:szCs w:val="18"/>
                <w:lang w:val="en-GB"/>
              </w:rPr>
            </w:pPr>
            <w:r w:rsidRPr="00370123">
              <w:rPr>
                <w:rFonts w:cs="Arial"/>
                <w:szCs w:val="18"/>
                <w:lang w:val="en-GB"/>
              </w:rPr>
              <w:t>16,46</w:t>
            </w:r>
          </w:p>
          <w:p w:rsidR="00FD4D8A" w:rsidRPr="00370123" w:rsidRDefault="00FD4D8A" w:rsidP="000D4DA5">
            <w:pPr>
              <w:pStyle w:val="CETBodytext"/>
              <w:ind w:right="-1"/>
              <w:jc w:val="left"/>
              <w:rPr>
                <w:rFonts w:cs="Arial"/>
                <w:szCs w:val="18"/>
                <w:lang w:val="en-GB"/>
              </w:rPr>
            </w:pPr>
            <w:r w:rsidRPr="00370123">
              <w:rPr>
                <w:rFonts w:cs="Arial"/>
                <w:szCs w:val="18"/>
                <w:lang w:val="en-GB"/>
              </w:rPr>
              <w:t>10,25</w:t>
            </w:r>
          </w:p>
          <w:p w:rsidR="00FD4D8A" w:rsidRPr="00370123" w:rsidRDefault="00FD4D8A" w:rsidP="000D4DA5">
            <w:pPr>
              <w:pStyle w:val="CETBodytext"/>
              <w:ind w:right="-1"/>
              <w:jc w:val="left"/>
              <w:rPr>
                <w:rFonts w:cs="Arial"/>
                <w:szCs w:val="18"/>
                <w:lang w:val="en-GB"/>
              </w:rPr>
            </w:pPr>
            <w:r w:rsidRPr="00370123">
              <w:rPr>
                <w:rFonts w:cs="Arial"/>
                <w:szCs w:val="18"/>
                <w:lang w:val="en-GB"/>
              </w:rPr>
              <w:t>61,86</w:t>
            </w:r>
          </w:p>
          <w:p w:rsidR="00FD4D8A" w:rsidRPr="00370123" w:rsidRDefault="00FD4D8A" w:rsidP="000D4DA5">
            <w:pPr>
              <w:pStyle w:val="CETBodytext"/>
              <w:ind w:right="-1"/>
              <w:jc w:val="left"/>
              <w:rPr>
                <w:rFonts w:cs="Arial"/>
                <w:szCs w:val="18"/>
                <w:lang w:val="en-GB"/>
              </w:rPr>
            </w:pPr>
            <w:r w:rsidRPr="00370123">
              <w:rPr>
                <w:rFonts w:cs="Arial"/>
                <w:szCs w:val="18"/>
                <w:lang w:val="en-GB"/>
              </w:rPr>
              <w:t>14,59</w:t>
            </w:r>
          </w:p>
          <w:p w:rsidR="00FD4D8A" w:rsidRPr="00370123" w:rsidRDefault="00FD4D8A" w:rsidP="000D4DA5">
            <w:pPr>
              <w:pStyle w:val="CETBodytext"/>
              <w:ind w:right="-1"/>
              <w:jc w:val="left"/>
              <w:rPr>
                <w:rFonts w:cs="Arial"/>
                <w:szCs w:val="18"/>
                <w:lang w:val="en-GB"/>
              </w:rPr>
            </w:pPr>
            <w:r w:rsidRPr="00370123">
              <w:rPr>
                <w:rFonts w:cs="Arial"/>
                <w:szCs w:val="18"/>
                <w:lang w:val="en-GB"/>
              </w:rPr>
              <w:t>10,07</w:t>
            </w:r>
          </w:p>
          <w:p w:rsidR="00FD4D8A" w:rsidRPr="00370123" w:rsidRDefault="00FD4D8A" w:rsidP="000D4DA5">
            <w:pPr>
              <w:pStyle w:val="CETBodytext"/>
              <w:ind w:right="-1"/>
              <w:jc w:val="left"/>
              <w:rPr>
                <w:rFonts w:cs="Arial"/>
                <w:szCs w:val="18"/>
                <w:lang w:val="en-GB"/>
              </w:rPr>
            </w:pPr>
            <w:r w:rsidRPr="00370123">
              <w:rPr>
                <w:rFonts w:cs="Arial"/>
                <w:szCs w:val="18"/>
                <w:lang w:val="en-GB"/>
              </w:rPr>
              <w:t>11,63</w:t>
            </w:r>
          </w:p>
          <w:p w:rsidR="00FD4D8A" w:rsidRPr="00370123" w:rsidRDefault="00FD4D8A" w:rsidP="000D4DA5">
            <w:pPr>
              <w:pStyle w:val="CETBodytext"/>
              <w:ind w:right="-1"/>
              <w:jc w:val="left"/>
              <w:rPr>
                <w:rFonts w:cs="Arial"/>
                <w:szCs w:val="18"/>
                <w:lang w:val="en-GB"/>
              </w:rPr>
            </w:pPr>
            <w:r w:rsidRPr="00370123">
              <w:rPr>
                <w:rFonts w:cs="Arial"/>
                <w:szCs w:val="18"/>
                <w:lang w:val="en-GB"/>
              </w:rPr>
              <w:t>8,97</w:t>
            </w:r>
          </w:p>
          <w:p w:rsidR="00FD4D8A" w:rsidRPr="002D25D7" w:rsidRDefault="00FD4D8A" w:rsidP="000D4DA5">
            <w:pPr>
              <w:pStyle w:val="CETBodytext"/>
              <w:ind w:right="-1"/>
              <w:jc w:val="left"/>
              <w:rPr>
                <w:rFonts w:cs="Arial"/>
                <w:szCs w:val="18"/>
                <w:lang w:val="en-GB"/>
              </w:rPr>
            </w:pPr>
            <w:r w:rsidRPr="00370123">
              <w:rPr>
                <w:rFonts w:cs="Arial"/>
                <w:szCs w:val="18"/>
                <w:lang w:val="en-GB"/>
              </w:rPr>
              <w:t>11,49</w:t>
            </w:r>
          </w:p>
        </w:tc>
        <w:tc>
          <w:tcPr>
            <w:tcW w:w="1286" w:type="pct"/>
            <w:shd w:val="clear" w:color="auto" w:fill="FFFFFF"/>
          </w:tcPr>
          <w:p w:rsidR="00FD4D8A" w:rsidRPr="00370123" w:rsidRDefault="00FD4D8A" w:rsidP="000D4DA5">
            <w:pPr>
              <w:pStyle w:val="CETBodytext"/>
              <w:ind w:left="115" w:right="-1"/>
              <w:jc w:val="left"/>
              <w:rPr>
                <w:rFonts w:cs="Arial"/>
                <w:szCs w:val="18"/>
                <w:lang w:val="en-GB"/>
              </w:rPr>
            </w:pPr>
            <w:r w:rsidRPr="00370123">
              <w:rPr>
                <w:rFonts w:cs="Arial"/>
                <w:szCs w:val="18"/>
                <w:lang w:val="en-GB"/>
              </w:rPr>
              <w:t>90,20</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91,39</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40,60</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13,60</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87,24</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91,41</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30,39</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30,98</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88,34</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85,58</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90,43</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40,95</w:t>
            </w:r>
          </w:p>
          <w:p w:rsidR="00FD4D8A" w:rsidRPr="00370123" w:rsidRDefault="00FD4D8A" w:rsidP="000D4DA5">
            <w:pPr>
              <w:pStyle w:val="CETBodytext"/>
              <w:ind w:left="115" w:right="141"/>
              <w:jc w:val="left"/>
              <w:rPr>
                <w:rFonts w:cs="Arial"/>
                <w:szCs w:val="18"/>
                <w:lang w:val="en-GB"/>
              </w:rPr>
            </w:pPr>
            <w:r w:rsidRPr="00370123">
              <w:rPr>
                <w:rFonts w:cs="Arial"/>
                <w:szCs w:val="18"/>
                <w:lang w:val="en-GB"/>
              </w:rPr>
              <w:t>87,20</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90,89</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89,87</w:t>
            </w:r>
          </w:p>
          <w:p w:rsidR="00FD4D8A" w:rsidRPr="00370123" w:rsidRDefault="00FD4D8A" w:rsidP="000D4DA5">
            <w:pPr>
              <w:pStyle w:val="CETBodytext"/>
              <w:ind w:left="115" w:right="-1"/>
              <w:jc w:val="left"/>
              <w:rPr>
                <w:rFonts w:cs="Arial"/>
                <w:szCs w:val="18"/>
                <w:lang w:val="en-GB"/>
              </w:rPr>
            </w:pPr>
            <w:r w:rsidRPr="00370123">
              <w:rPr>
                <w:rFonts w:cs="Arial"/>
                <w:szCs w:val="18"/>
                <w:lang w:val="en-GB"/>
              </w:rPr>
              <w:t>92,21</w:t>
            </w:r>
          </w:p>
          <w:p w:rsidR="00FD4D8A" w:rsidRPr="002D25D7" w:rsidRDefault="00FD4D8A" w:rsidP="000D4DA5">
            <w:pPr>
              <w:pStyle w:val="CETBodytext"/>
              <w:ind w:left="115" w:right="-1"/>
              <w:jc w:val="left"/>
              <w:rPr>
                <w:rFonts w:cs="Arial"/>
                <w:szCs w:val="18"/>
                <w:lang w:val="en-GB"/>
              </w:rPr>
            </w:pPr>
            <w:r w:rsidRPr="00370123">
              <w:rPr>
                <w:rFonts w:cs="Arial"/>
                <w:szCs w:val="18"/>
                <w:lang w:val="en-GB"/>
              </w:rPr>
              <w:t>90,03</w:t>
            </w:r>
          </w:p>
        </w:tc>
        <w:tc>
          <w:tcPr>
            <w:tcW w:w="1428" w:type="pct"/>
            <w:shd w:val="clear" w:color="auto" w:fill="FFFFFF"/>
          </w:tcPr>
          <w:p w:rsidR="00FD4D8A" w:rsidRPr="00370123" w:rsidRDefault="00FD4D8A" w:rsidP="000D4DA5">
            <w:pPr>
              <w:pStyle w:val="CETBodytext"/>
              <w:ind w:left="142" w:right="-1"/>
              <w:jc w:val="left"/>
              <w:rPr>
                <w:rFonts w:cs="Arial"/>
                <w:szCs w:val="18"/>
                <w:lang w:val="en-GB"/>
              </w:rPr>
            </w:pPr>
            <w:r w:rsidRPr="00370123">
              <w:rPr>
                <w:rFonts w:cs="Arial"/>
                <w:szCs w:val="18"/>
                <w:lang w:val="en-GB"/>
              </w:rPr>
              <w:t>0,870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0,860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0,970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0,960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0,880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0,880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0,940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0,930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0,880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0,900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0,850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0,970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0,900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0,880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0,870</w:t>
            </w:r>
          </w:p>
          <w:p w:rsidR="00FD4D8A" w:rsidRPr="00370123" w:rsidRDefault="00FD4D8A" w:rsidP="000D4DA5">
            <w:pPr>
              <w:pStyle w:val="CETBodytext"/>
              <w:ind w:left="142" w:right="-1"/>
              <w:jc w:val="left"/>
              <w:rPr>
                <w:rFonts w:cs="Arial"/>
                <w:szCs w:val="18"/>
                <w:lang w:val="en-GB"/>
              </w:rPr>
            </w:pPr>
            <w:r w:rsidRPr="00370123">
              <w:rPr>
                <w:rFonts w:cs="Arial"/>
                <w:szCs w:val="18"/>
                <w:lang w:val="en-GB"/>
              </w:rPr>
              <w:t>0,870</w:t>
            </w:r>
          </w:p>
          <w:p w:rsidR="00FD4D8A" w:rsidRPr="002D25D7" w:rsidRDefault="00FD4D8A" w:rsidP="00FD4D8A">
            <w:pPr>
              <w:pStyle w:val="CETBodytext"/>
              <w:ind w:left="142" w:right="-1"/>
              <w:jc w:val="left"/>
              <w:rPr>
                <w:rFonts w:cs="Arial"/>
                <w:szCs w:val="18"/>
                <w:lang w:val="en-GB"/>
              </w:rPr>
            </w:pPr>
            <w:r w:rsidRPr="00370123">
              <w:rPr>
                <w:rFonts w:cs="Arial"/>
                <w:szCs w:val="18"/>
                <w:lang w:val="en-GB"/>
              </w:rPr>
              <w:t>0,870</w:t>
            </w:r>
          </w:p>
        </w:tc>
      </w:tr>
    </w:tbl>
    <w:p w:rsidR="007A31F6" w:rsidRDefault="007A31F6" w:rsidP="00340676">
      <w:pPr>
        <w:pStyle w:val="CETBodytext"/>
        <w:rPr>
          <w:lang w:val="en-GB"/>
        </w:rPr>
      </w:pPr>
    </w:p>
    <w:p w:rsidR="007A31F6" w:rsidRDefault="007A31F6" w:rsidP="007A31F6">
      <w:pPr>
        <w:pStyle w:val="CETBodytext"/>
        <w:rPr>
          <w:lang w:val="en-GB"/>
        </w:rPr>
      </w:pPr>
      <w:r w:rsidRPr="00E236AC">
        <w:rPr>
          <w:lang w:val="en-GB"/>
        </w:rPr>
        <w:t xml:space="preserve">Figure </w:t>
      </w:r>
      <w:r>
        <w:rPr>
          <w:lang w:val="en-GB"/>
        </w:rPr>
        <w:t>2</w:t>
      </w:r>
      <w:r w:rsidRPr="00E236AC">
        <w:rPr>
          <w:lang w:val="en-GB"/>
        </w:rPr>
        <w:t xml:space="preserve"> shows the results of response surface as a function of most significant term to</w:t>
      </w:r>
      <w:r>
        <w:rPr>
          <w:lang w:val="en-GB"/>
        </w:rPr>
        <w:t xml:space="preserve"> biodiesel and </w:t>
      </w:r>
      <w:r w:rsidR="000415F3">
        <w:rPr>
          <w:lang w:val="en-GB"/>
        </w:rPr>
        <w:t>glycerine</w:t>
      </w:r>
      <w:r w:rsidRPr="00E236AC">
        <w:rPr>
          <w:lang w:val="en-GB"/>
        </w:rPr>
        <w:t>, respectively.</w:t>
      </w:r>
    </w:p>
    <w:p w:rsidR="007A31F6" w:rsidRDefault="007A31F6" w:rsidP="007A31F6">
      <w:pPr>
        <w:pStyle w:val="CETBodytext"/>
        <w:rPr>
          <w:lang w:val="en-GB"/>
        </w:rPr>
      </w:pPr>
    </w:p>
    <w:p w:rsidR="007A31F6" w:rsidRDefault="007A31F6" w:rsidP="007A31F6">
      <w:pPr>
        <w:pStyle w:val="CETBodytext"/>
        <w:rPr>
          <w:lang w:val="en-GB"/>
        </w:rPr>
      </w:pPr>
    </w:p>
    <w:p w:rsidR="007A31F6" w:rsidRDefault="007A31F6" w:rsidP="007A31F6">
      <w:pPr>
        <w:pStyle w:val="CETBodytext"/>
        <w:rPr>
          <w:lang w:val="en-GB"/>
        </w:rPr>
      </w:pPr>
      <w:r>
        <w:rPr>
          <w:noProof/>
          <w:lang w:val="fr-FR" w:eastAsia="fr-FR"/>
        </w:rPr>
        <w:drawing>
          <wp:inline distT="0" distB="0" distL="0" distR="0">
            <wp:extent cx="2880937" cy="252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937" cy="2520000"/>
                    </a:xfrm>
                    <a:prstGeom prst="rect">
                      <a:avLst/>
                    </a:prstGeom>
                    <a:noFill/>
                    <a:ln>
                      <a:noFill/>
                    </a:ln>
                  </pic:spPr>
                </pic:pic>
              </a:graphicData>
            </a:graphic>
          </wp:inline>
        </w:drawing>
      </w:r>
      <w:r w:rsidR="00A676B1">
        <w:rPr>
          <w:noProof/>
          <w:lang w:val="fr-FR" w:eastAsia="fr-FR"/>
        </w:rPr>
        <w:drawing>
          <wp:inline distT="0" distB="0" distL="0" distR="0">
            <wp:extent cx="2537480" cy="252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7480" cy="2520000"/>
                    </a:xfrm>
                    <a:prstGeom prst="rect">
                      <a:avLst/>
                    </a:prstGeom>
                    <a:noFill/>
                    <a:ln>
                      <a:noFill/>
                    </a:ln>
                  </pic:spPr>
                </pic:pic>
              </a:graphicData>
            </a:graphic>
          </wp:inline>
        </w:drawing>
      </w:r>
    </w:p>
    <w:p w:rsidR="00A676B1" w:rsidRDefault="00520D0E" w:rsidP="00D04D2A">
      <w:pPr>
        <w:pStyle w:val="CETBodytext"/>
        <w:numPr>
          <w:ilvl w:val="0"/>
          <w:numId w:val="22"/>
        </w:numPr>
        <w:rPr>
          <w:lang w:val="en-GB"/>
        </w:rPr>
      </w:pPr>
      <w:r>
        <w:rPr>
          <w:lang w:val="en-GB"/>
        </w:rPr>
        <w:t xml:space="preserve">  </w:t>
      </w:r>
      <w:r w:rsidR="00D04D2A">
        <w:rPr>
          <w:lang w:val="en-GB"/>
        </w:rPr>
        <w:t xml:space="preserve">                                                           </w:t>
      </w:r>
      <w:r>
        <w:rPr>
          <w:lang w:val="en-GB"/>
        </w:rPr>
        <w:t xml:space="preserve">                                </w:t>
      </w:r>
      <w:r w:rsidR="00D04D2A">
        <w:rPr>
          <w:lang w:val="en-GB"/>
        </w:rPr>
        <w:t>(b)</w:t>
      </w:r>
    </w:p>
    <w:p w:rsidR="00A676B1" w:rsidRDefault="00A676B1" w:rsidP="007A31F6">
      <w:pPr>
        <w:pStyle w:val="CETBodytext"/>
        <w:rPr>
          <w:lang w:val="en-GB"/>
        </w:rPr>
      </w:pPr>
      <w:r>
        <w:rPr>
          <w:noProof/>
          <w:lang w:val="fr-FR" w:eastAsia="fr-FR"/>
        </w:rPr>
        <w:drawing>
          <wp:inline distT="0" distB="0" distL="0" distR="0">
            <wp:extent cx="2655417" cy="2738786"/>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1848" cy="2745419"/>
                    </a:xfrm>
                    <a:prstGeom prst="rect">
                      <a:avLst/>
                    </a:prstGeom>
                    <a:noFill/>
                    <a:ln>
                      <a:noFill/>
                    </a:ln>
                  </pic:spPr>
                </pic:pic>
              </a:graphicData>
            </a:graphic>
          </wp:inline>
        </w:drawing>
      </w:r>
      <w:r>
        <w:rPr>
          <w:noProof/>
          <w:lang w:val="fr-FR" w:eastAsia="fr-FR"/>
        </w:rPr>
        <w:drawing>
          <wp:inline distT="0" distB="0" distL="0" distR="0">
            <wp:extent cx="2728570" cy="2737968"/>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3805" cy="2743221"/>
                    </a:xfrm>
                    <a:prstGeom prst="rect">
                      <a:avLst/>
                    </a:prstGeom>
                    <a:noFill/>
                    <a:ln>
                      <a:noFill/>
                    </a:ln>
                  </pic:spPr>
                </pic:pic>
              </a:graphicData>
            </a:graphic>
          </wp:inline>
        </w:drawing>
      </w:r>
    </w:p>
    <w:p w:rsidR="00D04D2A" w:rsidRDefault="00D04D2A" w:rsidP="00D04D2A">
      <w:pPr>
        <w:pStyle w:val="CETBodytext"/>
        <w:ind w:left="1635"/>
        <w:rPr>
          <w:lang w:val="en-GB"/>
        </w:rPr>
      </w:pPr>
      <w:r>
        <w:rPr>
          <w:lang w:val="en-GB"/>
        </w:rPr>
        <w:t xml:space="preserve">(c)                                                  </w:t>
      </w:r>
      <w:r w:rsidR="00520D0E">
        <w:rPr>
          <w:lang w:val="en-GB"/>
        </w:rPr>
        <w:t xml:space="preserve">                                          </w:t>
      </w:r>
      <w:r>
        <w:rPr>
          <w:lang w:val="en-GB"/>
        </w:rPr>
        <w:t xml:space="preserve">   (</w:t>
      </w:r>
      <w:proofErr w:type="gramStart"/>
      <w:r>
        <w:rPr>
          <w:lang w:val="en-GB"/>
        </w:rPr>
        <w:t>d</w:t>
      </w:r>
      <w:proofErr w:type="gramEnd"/>
      <w:r>
        <w:rPr>
          <w:lang w:val="en-GB"/>
        </w:rPr>
        <w:t>)</w:t>
      </w:r>
    </w:p>
    <w:p w:rsidR="007A31F6" w:rsidRPr="00534DCE" w:rsidRDefault="00D04D2A" w:rsidP="00D04D2A">
      <w:pPr>
        <w:pStyle w:val="CETBodytext"/>
        <w:ind w:left="1635"/>
        <w:rPr>
          <w:lang w:val="en-GB"/>
        </w:rPr>
      </w:pPr>
      <w:r w:rsidRPr="00534DCE">
        <w:rPr>
          <w:lang w:val="en-GB"/>
        </w:rPr>
        <w:t xml:space="preserve">            </w:t>
      </w:r>
    </w:p>
    <w:p w:rsidR="005142A4" w:rsidRPr="00534DCE" w:rsidRDefault="00D04D2A" w:rsidP="00340676">
      <w:pPr>
        <w:pStyle w:val="CETBodytext"/>
        <w:rPr>
          <w:lang w:val="en-GB"/>
        </w:rPr>
      </w:pPr>
      <w:r w:rsidRPr="00534DCE">
        <w:rPr>
          <w:i/>
        </w:rPr>
        <w:t>Figure 2: Response surface for biodiesel and glycerin (</w:t>
      </w:r>
      <w:proofErr w:type="spellStart"/>
      <w:r w:rsidRPr="00534DCE">
        <w:rPr>
          <w:i/>
        </w:rPr>
        <w:t>w</w:t>
      </w:r>
      <w:r w:rsidR="00702D54">
        <w:rPr>
          <w:i/>
        </w:rPr>
        <w:t>t</w:t>
      </w:r>
      <w:proofErr w:type="spellEnd"/>
      <w:r w:rsidRPr="00534DCE">
        <w:rPr>
          <w:i/>
        </w:rPr>
        <w:t xml:space="preserve"> %) of waste frying oil transesterification reaction: (a) biodiesel yield: temperature vs catalyst; (b) biodiesel yield: temperature vs reaction time; (c) glycerin yield: temperature vs catalyst; (d) glycerin yield: reaction time vs catalyst.</w:t>
      </w:r>
    </w:p>
    <w:p w:rsidR="005142A4" w:rsidRPr="00534DCE" w:rsidRDefault="005142A4" w:rsidP="00340676">
      <w:pPr>
        <w:pStyle w:val="CETBodytext"/>
        <w:rPr>
          <w:lang w:val="en-GB"/>
        </w:rPr>
      </w:pPr>
    </w:p>
    <w:p w:rsidR="00D04D2A" w:rsidRDefault="009A317C" w:rsidP="00AB7F5E">
      <w:pPr>
        <w:pStyle w:val="CETBodytext"/>
        <w:rPr>
          <w:shd w:val="clear" w:color="auto" w:fill="FFFFFF"/>
        </w:rPr>
      </w:pPr>
      <w:r w:rsidRPr="00534DCE">
        <w:rPr>
          <w:lang w:val="en-GB"/>
        </w:rPr>
        <w:t>According to statistic results, the linear effect of catalyst percent is not significant. In order to optimize the biodiesel production, the reaction must be operated in a range of temperature of 60 - 90 °C.</w:t>
      </w:r>
      <w:r w:rsidR="002D27CD" w:rsidRPr="00534DCE">
        <w:rPr>
          <w:lang w:val="en-GB"/>
        </w:rPr>
        <w:t xml:space="preserve"> </w:t>
      </w:r>
      <w:r w:rsidR="00534DCE" w:rsidRPr="00534DCE">
        <w:rPr>
          <w:lang w:val="en-GB"/>
        </w:rPr>
        <w:t xml:space="preserve">In other hand, maximum </w:t>
      </w:r>
      <w:proofErr w:type="spellStart"/>
      <w:r w:rsidR="00534DCE" w:rsidRPr="00534DCE">
        <w:rPr>
          <w:lang w:val="en-GB"/>
        </w:rPr>
        <w:t>glycerin</w:t>
      </w:r>
      <w:proofErr w:type="spellEnd"/>
      <w:r w:rsidR="00534DCE" w:rsidRPr="00534DCE">
        <w:rPr>
          <w:lang w:val="en-GB"/>
        </w:rPr>
        <w:t xml:space="preserve"> production could be obtained at 50 °C and 1 w% of catalyst.</w:t>
      </w:r>
      <w:r w:rsidR="00AB7F5E">
        <w:rPr>
          <w:lang w:val="en-GB"/>
        </w:rPr>
        <w:t xml:space="preserve"> </w:t>
      </w:r>
      <w:r w:rsidR="00AB7F5E" w:rsidRPr="00AB7F5E">
        <w:rPr>
          <w:shd w:val="clear" w:color="auto" w:fill="FFFFFF"/>
        </w:rPr>
        <w:t xml:space="preserve">moreover, from Figure 2(d), it is observed that the response surface reaches its maximum point (optimum) in a combination of catalyst in a range between 0.6-1.0 </w:t>
      </w:r>
      <w:proofErr w:type="spellStart"/>
      <w:r w:rsidR="00AB7F5E" w:rsidRPr="00AB7F5E">
        <w:rPr>
          <w:shd w:val="clear" w:color="auto" w:fill="FFFFFF"/>
        </w:rPr>
        <w:t>wt</w:t>
      </w:r>
      <w:proofErr w:type="spellEnd"/>
      <w:r w:rsidR="00AB7F5E" w:rsidRPr="00AB7F5E">
        <w:rPr>
          <w:shd w:val="clear" w:color="auto" w:fill="FFFFFF"/>
        </w:rPr>
        <w:t>% with reaction time about 60-70 min.</w:t>
      </w:r>
    </w:p>
    <w:p w:rsidR="00AB7F5E" w:rsidRPr="00AB7F5E" w:rsidRDefault="00AB7F5E" w:rsidP="00AB7F5E">
      <w:pPr>
        <w:pStyle w:val="CETBodytext"/>
        <w:rPr>
          <w:lang w:val="en-GB"/>
        </w:rPr>
      </w:pPr>
    </w:p>
    <w:p w:rsidR="00534DCE" w:rsidRPr="002C3B72" w:rsidRDefault="00534DCE" w:rsidP="00534DCE">
      <w:pPr>
        <w:pStyle w:val="CETBodytext"/>
        <w:rPr>
          <w:lang w:val="en-GB"/>
        </w:rPr>
      </w:pPr>
      <w:r w:rsidRPr="00F632A7">
        <w:rPr>
          <w:lang w:val="en-GB"/>
        </w:rPr>
        <w:t xml:space="preserve">Linear and quadratic terms of </w:t>
      </w:r>
      <w:r w:rsidR="00582077">
        <w:rPr>
          <w:lang w:val="en-GB"/>
        </w:rPr>
        <w:t>temperature</w:t>
      </w:r>
      <w:r w:rsidRPr="00F632A7">
        <w:rPr>
          <w:lang w:val="en-GB"/>
        </w:rPr>
        <w:t xml:space="preserve"> (</w:t>
      </w:r>
      <w:r w:rsidR="00582077">
        <w:rPr>
          <w:lang w:val="en-GB"/>
        </w:rPr>
        <w:t>T</w:t>
      </w:r>
      <w:r w:rsidRPr="00F632A7">
        <w:rPr>
          <w:lang w:val="en-GB"/>
        </w:rPr>
        <w:t>)</w:t>
      </w:r>
      <w:r w:rsidR="00E972CF">
        <w:rPr>
          <w:lang w:val="en-GB"/>
        </w:rPr>
        <w:t xml:space="preserve"> and time (t)</w:t>
      </w:r>
      <w:r w:rsidR="00582077">
        <w:rPr>
          <w:lang w:val="en-GB"/>
        </w:rPr>
        <w:t xml:space="preserve">, quadratic term of catalyst (C) percent </w:t>
      </w:r>
      <w:r w:rsidR="00582077" w:rsidRPr="00F632A7">
        <w:rPr>
          <w:lang w:val="en-GB"/>
        </w:rPr>
        <w:t>and</w:t>
      </w:r>
      <w:r w:rsidRPr="00F632A7">
        <w:rPr>
          <w:lang w:val="en-GB"/>
        </w:rPr>
        <w:t xml:space="preserve"> </w:t>
      </w:r>
      <w:r w:rsidR="00582077">
        <w:rPr>
          <w:lang w:val="en-GB"/>
        </w:rPr>
        <w:t>two-factor interaction of catalyst/time and temperature/t</w:t>
      </w:r>
      <w:r w:rsidR="00FC1C09">
        <w:rPr>
          <w:lang w:val="en-GB"/>
        </w:rPr>
        <w:t>ime</w:t>
      </w:r>
      <w:r w:rsidR="00582077">
        <w:rPr>
          <w:lang w:val="en-GB"/>
        </w:rPr>
        <w:t xml:space="preserve"> </w:t>
      </w:r>
      <w:r w:rsidRPr="00F632A7">
        <w:rPr>
          <w:lang w:val="en-GB"/>
        </w:rPr>
        <w:t>are significant effects for</w:t>
      </w:r>
      <w:r>
        <w:rPr>
          <w:lang w:val="en-GB"/>
        </w:rPr>
        <w:t xml:space="preserve"> </w:t>
      </w:r>
      <w:r w:rsidR="00582077">
        <w:rPr>
          <w:lang w:val="en-GB"/>
        </w:rPr>
        <w:t>biodiesel yield</w:t>
      </w:r>
      <w:r>
        <w:rPr>
          <w:lang w:val="en-GB"/>
        </w:rPr>
        <w:t xml:space="preserve"> </w:t>
      </w:r>
      <w:r w:rsidRPr="00F632A7">
        <w:rPr>
          <w:lang w:val="en-GB"/>
        </w:rPr>
        <w:t>model (</w:t>
      </w:r>
      <w:r w:rsidR="00582077">
        <w:rPr>
          <w:lang w:val="en-GB"/>
        </w:rPr>
        <w:t>%</w:t>
      </w:r>
      <w:proofErr w:type="spellStart"/>
      <w:r w:rsidR="00582077">
        <w:rPr>
          <w:lang w:val="en-GB"/>
        </w:rPr>
        <w:t>C</w:t>
      </w:r>
      <w:r w:rsidR="00582077">
        <w:rPr>
          <w:vertAlign w:val="subscript"/>
          <w:lang w:val="en-GB"/>
        </w:rPr>
        <w:t>biodiesel</w:t>
      </w:r>
      <w:proofErr w:type="spellEnd"/>
      <w:r w:rsidRPr="00F632A7">
        <w:rPr>
          <w:lang w:val="en-GB"/>
        </w:rPr>
        <w:t>).</w:t>
      </w:r>
      <w:r>
        <w:rPr>
          <w:lang w:val="en-GB"/>
        </w:rPr>
        <w:t xml:space="preserve"> </w:t>
      </w:r>
      <w:r w:rsidRPr="00241322">
        <w:rPr>
          <w:lang w:val="en-GB"/>
        </w:rPr>
        <w:t xml:space="preserve">In addition, </w:t>
      </w:r>
      <w:r w:rsidR="002C3B72">
        <w:rPr>
          <w:lang w:val="en-GB"/>
        </w:rPr>
        <w:t>l</w:t>
      </w:r>
      <w:r w:rsidR="002C3B72" w:rsidRPr="002C3B72">
        <w:rPr>
          <w:lang w:val="en-GB"/>
        </w:rPr>
        <w:t>inear and quadratic terms of temperature (T)</w:t>
      </w:r>
      <w:r w:rsidR="002C3B72">
        <w:rPr>
          <w:lang w:val="en-GB"/>
        </w:rPr>
        <w:t xml:space="preserve">, quadratic terms of catalyst (C) percent and reaction time, </w:t>
      </w:r>
      <w:r w:rsidRPr="00241322">
        <w:rPr>
          <w:lang w:val="en-GB"/>
        </w:rPr>
        <w:t xml:space="preserve">two-factor interaction of </w:t>
      </w:r>
      <w:r w:rsidR="002C3B72">
        <w:rPr>
          <w:lang w:val="en-GB"/>
        </w:rPr>
        <w:t xml:space="preserve">catalyst/time </w:t>
      </w:r>
      <w:r w:rsidRPr="00241322">
        <w:rPr>
          <w:lang w:val="en-GB"/>
        </w:rPr>
        <w:t xml:space="preserve">and </w:t>
      </w:r>
      <w:r w:rsidR="002C3B72">
        <w:rPr>
          <w:lang w:val="en-GB"/>
        </w:rPr>
        <w:t>time/temperature</w:t>
      </w:r>
      <w:r w:rsidRPr="00241322">
        <w:rPr>
          <w:lang w:val="en-GB"/>
        </w:rPr>
        <w:t xml:space="preserve"> are significant effects for </w:t>
      </w:r>
      <w:proofErr w:type="spellStart"/>
      <w:r w:rsidR="002C3B72">
        <w:rPr>
          <w:lang w:val="en-GB"/>
        </w:rPr>
        <w:t>glycerin</w:t>
      </w:r>
      <w:proofErr w:type="spellEnd"/>
      <w:r w:rsidR="002C3B72">
        <w:rPr>
          <w:lang w:val="en-GB"/>
        </w:rPr>
        <w:t xml:space="preserve"> yield</w:t>
      </w:r>
      <w:r w:rsidRPr="00241322">
        <w:rPr>
          <w:lang w:val="en-GB"/>
        </w:rPr>
        <w:t xml:space="preserve"> model (</w:t>
      </w:r>
      <w:r w:rsidR="002C3B72">
        <w:rPr>
          <w:lang w:val="en-GB"/>
        </w:rPr>
        <w:t>%</w:t>
      </w:r>
      <w:proofErr w:type="spellStart"/>
      <w:r w:rsidR="002C3B72">
        <w:rPr>
          <w:lang w:val="en-GB"/>
        </w:rPr>
        <w:t>C</w:t>
      </w:r>
      <w:r w:rsidR="002C3B72">
        <w:rPr>
          <w:vertAlign w:val="subscript"/>
          <w:lang w:val="en-GB"/>
        </w:rPr>
        <w:t>glycerin</w:t>
      </w:r>
      <w:proofErr w:type="spellEnd"/>
      <w:r w:rsidRPr="00241322">
        <w:rPr>
          <w:lang w:val="en-GB"/>
        </w:rPr>
        <w:t>).</w:t>
      </w:r>
      <w:r>
        <w:rPr>
          <w:lang w:val="en-GB"/>
        </w:rPr>
        <w:t xml:space="preserve"> </w:t>
      </w:r>
      <w:r w:rsidRPr="00D74337">
        <w:rPr>
          <w:lang w:val="en-GB"/>
        </w:rPr>
        <w:t>Table 3 shows the final mathematical models in terms of coded factors by statistical design of experiment with a confidence interval of 9</w:t>
      </w:r>
      <w:r w:rsidR="00B4625A">
        <w:rPr>
          <w:lang w:val="en-GB"/>
        </w:rPr>
        <w:t>5</w:t>
      </w:r>
      <w:r w:rsidRPr="00D74337">
        <w:rPr>
          <w:lang w:val="en-GB"/>
        </w:rPr>
        <w:t xml:space="preserve"> %.</w:t>
      </w:r>
      <w:r>
        <w:rPr>
          <w:lang w:val="en-GB"/>
        </w:rPr>
        <w:t xml:space="preserve">  </w:t>
      </w:r>
      <w:r w:rsidRPr="00ED113E">
        <w:rPr>
          <w:lang w:val="en-GB"/>
        </w:rPr>
        <w:t>Adjusted R-squared (R</w:t>
      </w:r>
      <w:r w:rsidRPr="00ED113E">
        <w:rPr>
          <w:vertAlign w:val="superscript"/>
          <w:lang w:val="en-GB"/>
        </w:rPr>
        <w:t>2</w:t>
      </w:r>
      <w:r w:rsidRPr="00ED113E">
        <w:rPr>
          <w:lang w:val="en-GB"/>
        </w:rPr>
        <w:t xml:space="preserve">) for the </w:t>
      </w:r>
      <w:r w:rsidR="00B4625A">
        <w:rPr>
          <w:lang w:val="en-GB"/>
        </w:rPr>
        <w:t>biodiesel and glycerine</w:t>
      </w:r>
      <w:r w:rsidRPr="00ED113E">
        <w:rPr>
          <w:lang w:val="en-GB"/>
        </w:rPr>
        <w:t xml:space="preserve"> models shows in the table below was </w:t>
      </w:r>
      <w:r w:rsidR="00B4625A">
        <w:rPr>
          <w:lang w:val="en-GB"/>
        </w:rPr>
        <w:t>0.79713</w:t>
      </w:r>
      <w:r w:rsidRPr="00ED113E">
        <w:rPr>
          <w:lang w:val="en-GB"/>
        </w:rPr>
        <w:t xml:space="preserve"> and 0.</w:t>
      </w:r>
      <w:r w:rsidR="00B4625A">
        <w:rPr>
          <w:lang w:val="en-GB"/>
        </w:rPr>
        <w:t>79052</w:t>
      </w:r>
      <w:r w:rsidRPr="00ED113E">
        <w:rPr>
          <w:lang w:val="en-GB"/>
        </w:rPr>
        <w:t>, respectively.</w:t>
      </w:r>
    </w:p>
    <w:p w:rsidR="00534DCE" w:rsidRPr="00534DCE" w:rsidRDefault="00534DCE" w:rsidP="00597D8A">
      <w:pPr>
        <w:pStyle w:val="CETBodytext"/>
        <w:rPr>
          <w:lang w:val="en-GB"/>
        </w:rPr>
      </w:pPr>
    </w:p>
    <w:p w:rsidR="004C102D" w:rsidRPr="00B57B36" w:rsidRDefault="004C102D" w:rsidP="004C102D">
      <w:pPr>
        <w:pStyle w:val="CETTabletitle"/>
      </w:pPr>
      <w:r w:rsidRPr="00B57B36">
        <w:lastRenderedPageBreak/>
        <w:t xml:space="preserve">Table </w:t>
      </w:r>
      <w:r>
        <w:t>3</w:t>
      </w:r>
      <w:r w:rsidRPr="00B57B36">
        <w:t xml:space="preserve">: </w:t>
      </w:r>
      <w:r>
        <w:t xml:space="preserve">Mathematical models for biodiesel and </w:t>
      </w:r>
      <w:proofErr w:type="spellStart"/>
      <w:r>
        <w:t>glycerin</w:t>
      </w:r>
      <w:proofErr w:type="spellEnd"/>
      <w:r>
        <w:t xml:space="preserve"> yield</w:t>
      </w:r>
      <w:r w:rsidRPr="009B73CE">
        <w:t xml:space="preserve"> (</w:t>
      </w:r>
      <w:proofErr w:type="spellStart"/>
      <w:r w:rsidRPr="009B73CE">
        <w:t>wt</w:t>
      </w:r>
      <w:proofErr w:type="spellEnd"/>
      <w:r w:rsidRPr="009B73CE">
        <w:t xml:space="preserve">%) </w:t>
      </w:r>
      <w:r w:rsidRPr="00534DCE">
        <w:t>waste frying oil transesterification reaction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6334"/>
        <w:gridCol w:w="752"/>
      </w:tblGrid>
      <w:tr w:rsidR="004C102D" w:rsidRPr="0002473E" w:rsidTr="000D4DA5">
        <w:trPr>
          <w:trHeight w:val="505"/>
        </w:trPr>
        <w:tc>
          <w:tcPr>
            <w:tcW w:w="968" w:type="pct"/>
            <w:tcBorders>
              <w:top w:val="single" w:sz="12" w:space="0" w:color="008000"/>
              <w:bottom w:val="single" w:sz="6" w:space="0" w:color="008000"/>
            </w:tcBorders>
            <w:shd w:val="clear" w:color="auto" w:fill="FFFFFF"/>
          </w:tcPr>
          <w:p w:rsidR="004C102D" w:rsidRPr="0002473E" w:rsidRDefault="004C102D" w:rsidP="000D4DA5">
            <w:pPr>
              <w:pStyle w:val="CETBodytext"/>
              <w:jc w:val="center"/>
              <w:rPr>
                <w:rFonts w:cs="Arial"/>
                <w:sz w:val="16"/>
                <w:szCs w:val="16"/>
                <w:lang w:val="en-GB"/>
              </w:rPr>
            </w:pPr>
            <w:r w:rsidRPr="0002473E">
              <w:rPr>
                <w:rFonts w:cs="Arial"/>
                <w:sz w:val="16"/>
                <w:szCs w:val="16"/>
                <w:lang w:val="en-GB"/>
              </w:rPr>
              <w:t>Response term</w:t>
            </w:r>
          </w:p>
        </w:tc>
        <w:tc>
          <w:tcPr>
            <w:tcW w:w="3604" w:type="pct"/>
            <w:tcBorders>
              <w:top w:val="single" w:sz="12" w:space="0" w:color="008000"/>
              <w:bottom w:val="single" w:sz="6" w:space="0" w:color="008000"/>
            </w:tcBorders>
            <w:shd w:val="clear" w:color="auto" w:fill="FFFFFF"/>
          </w:tcPr>
          <w:p w:rsidR="004C102D" w:rsidRPr="0002473E" w:rsidRDefault="004C102D" w:rsidP="000D4DA5">
            <w:pPr>
              <w:pStyle w:val="CETBodytext"/>
              <w:jc w:val="center"/>
              <w:rPr>
                <w:rFonts w:cs="Arial"/>
                <w:sz w:val="16"/>
                <w:szCs w:val="16"/>
                <w:lang w:val="en-GB"/>
              </w:rPr>
            </w:pPr>
            <w:r w:rsidRPr="0002473E">
              <w:rPr>
                <w:rFonts w:cs="Arial"/>
                <w:sz w:val="16"/>
                <w:szCs w:val="16"/>
                <w:lang w:val="en-GB"/>
              </w:rPr>
              <w:t>Mathematical model</w:t>
            </w:r>
          </w:p>
        </w:tc>
        <w:tc>
          <w:tcPr>
            <w:tcW w:w="428" w:type="pct"/>
            <w:tcBorders>
              <w:top w:val="single" w:sz="12" w:space="0" w:color="008000"/>
              <w:bottom w:val="single" w:sz="6" w:space="0" w:color="008000"/>
            </w:tcBorders>
            <w:shd w:val="clear" w:color="auto" w:fill="FFFFFF"/>
          </w:tcPr>
          <w:p w:rsidR="004C102D" w:rsidRPr="0002473E" w:rsidRDefault="004C102D" w:rsidP="000D4DA5">
            <w:pPr>
              <w:pStyle w:val="CETBodytext"/>
              <w:jc w:val="center"/>
              <w:rPr>
                <w:rFonts w:cs="Arial"/>
                <w:sz w:val="16"/>
                <w:szCs w:val="16"/>
                <w:lang w:val="en-GB"/>
              </w:rPr>
            </w:pPr>
            <w:r w:rsidRPr="0002473E">
              <w:rPr>
                <w:rFonts w:cs="Arial"/>
                <w:sz w:val="16"/>
                <w:szCs w:val="16"/>
                <w:lang w:val="en-GB"/>
              </w:rPr>
              <w:t>Equation number</w:t>
            </w:r>
          </w:p>
        </w:tc>
      </w:tr>
      <w:tr w:rsidR="004C102D" w:rsidRPr="0002473E" w:rsidTr="000D4DA5">
        <w:trPr>
          <w:trHeight w:val="770"/>
        </w:trPr>
        <w:tc>
          <w:tcPr>
            <w:tcW w:w="968" w:type="pct"/>
            <w:shd w:val="clear" w:color="auto" w:fill="FFFFFF"/>
          </w:tcPr>
          <w:p w:rsidR="004C102D" w:rsidRPr="0002473E" w:rsidRDefault="004C102D" w:rsidP="000D4DA5">
            <w:pPr>
              <w:pStyle w:val="CETBodytext"/>
              <w:rPr>
                <w:rFonts w:cs="Arial"/>
                <w:sz w:val="16"/>
                <w:szCs w:val="16"/>
                <w:lang w:val="en-GB"/>
              </w:rPr>
            </w:pPr>
            <w:r>
              <w:rPr>
                <w:rFonts w:cs="Arial"/>
                <w:sz w:val="16"/>
                <w:szCs w:val="16"/>
                <w:lang w:val="en-GB"/>
              </w:rPr>
              <w:t>Biodiesel</w:t>
            </w:r>
            <w:r w:rsidRPr="0002473E">
              <w:rPr>
                <w:rFonts w:cs="Arial"/>
                <w:sz w:val="16"/>
                <w:szCs w:val="16"/>
                <w:lang w:val="en-GB"/>
              </w:rPr>
              <w:t xml:space="preserve"> (</w:t>
            </w:r>
            <w:proofErr w:type="spellStart"/>
            <w:r>
              <w:rPr>
                <w:rFonts w:cs="Arial"/>
                <w:sz w:val="16"/>
                <w:szCs w:val="16"/>
                <w:lang w:val="en-GB"/>
              </w:rPr>
              <w:t>wt</w:t>
            </w:r>
            <w:proofErr w:type="spellEnd"/>
            <w:r>
              <w:rPr>
                <w:rFonts w:cs="Arial"/>
                <w:sz w:val="16"/>
                <w:szCs w:val="16"/>
                <w:lang w:val="en-GB"/>
              </w:rPr>
              <w:t>%</w:t>
            </w:r>
            <w:r w:rsidRPr="0002473E">
              <w:rPr>
                <w:rFonts w:cs="Arial"/>
                <w:sz w:val="16"/>
                <w:szCs w:val="16"/>
                <w:lang w:val="en-GB"/>
              </w:rPr>
              <w:t>)</w:t>
            </w:r>
          </w:p>
        </w:tc>
        <w:tc>
          <w:tcPr>
            <w:tcW w:w="3604" w:type="pct"/>
            <w:shd w:val="clear" w:color="auto" w:fill="FFFFFF"/>
          </w:tcPr>
          <w:p w:rsidR="004C102D" w:rsidRPr="004C102D" w:rsidRDefault="004C102D" w:rsidP="000D4DA5">
            <w:pPr>
              <w:spacing w:before="120" w:after="120" w:line="360" w:lineRule="auto"/>
              <w:ind w:right="-567"/>
              <w:jc w:val="left"/>
              <w:rPr>
                <w:rFonts w:cs="Arial"/>
                <w:sz w:val="16"/>
                <w:szCs w:val="16"/>
              </w:rPr>
            </w:pPr>
            <m:oMathPara>
              <m:oMath>
                <m:r>
                  <m:rPr>
                    <m:sty m:val="p"/>
                  </m:rPr>
                  <w:rPr>
                    <w:rFonts w:ascii="Cambria Math" w:hAnsi="Cambria Math"/>
                    <w:sz w:val="16"/>
                    <w:szCs w:val="16"/>
                  </w:rPr>
                  <m:t>%</m:t>
                </m:r>
                <m:sSub>
                  <m:sSubPr>
                    <m:ctrlPr>
                      <w:rPr>
                        <w:rFonts w:ascii="Cambria Math" w:hAnsi="Cambria Math"/>
                        <w:iCs/>
                        <w:sz w:val="16"/>
                        <w:szCs w:val="16"/>
                      </w:rPr>
                    </m:ctrlPr>
                  </m:sSubPr>
                  <m:e>
                    <m:r>
                      <w:rPr>
                        <w:rFonts w:ascii="Cambria Math" w:hAnsi="Cambria Math"/>
                        <w:sz w:val="16"/>
                        <w:szCs w:val="16"/>
                      </w:rPr>
                      <m:t>C</m:t>
                    </m:r>
                  </m:e>
                  <m:sub>
                    <m:r>
                      <w:rPr>
                        <w:rFonts w:ascii="Cambria Math" w:hAnsi="Cambria Math"/>
                        <w:sz w:val="16"/>
                        <w:szCs w:val="16"/>
                      </w:rPr>
                      <m:t>biodiesel</m:t>
                    </m:r>
                  </m:sub>
                </m:sSub>
                <m:r>
                  <m:rPr>
                    <m:sty m:val="p"/>
                  </m:rPr>
                  <w:rPr>
                    <w:rFonts w:ascii="Cambria Math" w:hAnsi="Cambria Math"/>
                    <w:sz w:val="16"/>
                    <w:szCs w:val="16"/>
                  </w:rPr>
                  <m:t>=673,0705+29,4030</m:t>
                </m:r>
                <m:sSup>
                  <m:sSupPr>
                    <m:ctrlPr>
                      <w:rPr>
                        <w:rFonts w:ascii="Cambria Math" w:hAnsi="Cambria Math"/>
                        <w:iCs/>
                        <w:sz w:val="16"/>
                        <w:szCs w:val="16"/>
                      </w:rPr>
                    </m:ctrlPr>
                  </m:sSupPr>
                  <m:e>
                    <m:r>
                      <w:rPr>
                        <w:rFonts w:ascii="Cambria Math" w:hAnsi="Cambria Math"/>
                        <w:sz w:val="16"/>
                        <w:szCs w:val="16"/>
                      </w:rPr>
                      <m:t>C</m:t>
                    </m:r>
                  </m:e>
                  <m:sup>
                    <m:r>
                      <m:rPr>
                        <m:sty m:val="p"/>
                      </m:rPr>
                      <w:rPr>
                        <w:rFonts w:ascii="Cambria Math" w:hAnsi="Cambria Math"/>
                        <w:sz w:val="16"/>
                        <w:szCs w:val="16"/>
                      </w:rPr>
                      <m:t>2</m:t>
                    </m:r>
                  </m:sup>
                </m:sSup>
                <m:r>
                  <m:rPr>
                    <m:sty m:val="p"/>
                  </m:rPr>
                  <w:rPr>
                    <w:rFonts w:ascii="Cambria Math" w:hAnsi="Cambria Math"/>
                    <w:sz w:val="16"/>
                    <w:szCs w:val="16"/>
                  </w:rPr>
                  <m:t>-9,5136</m:t>
                </m:r>
                <m:r>
                  <w:rPr>
                    <w:rFonts w:ascii="Cambria Math" w:hAnsi="Cambria Math"/>
                    <w:sz w:val="16"/>
                    <w:szCs w:val="16"/>
                  </w:rPr>
                  <m:t>T</m:t>
                </m:r>
                <m:r>
                  <m:rPr>
                    <m:sty m:val="p"/>
                  </m:rPr>
                  <w:rPr>
                    <w:rFonts w:ascii="Cambria Math" w:hAnsi="Cambria Math"/>
                    <w:sz w:val="16"/>
                    <w:szCs w:val="16"/>
                  </w:rPr>
                  <m:t>+0,0651</m:t>
                </m:r>
                <m:sSup>
                  <m:sSupPr>
                    <m:ctrlPr>
                      <w:rPr>
                        <w:rFonts w:ascii="Cambria Math" w:hAnsi="Cambria Math"/>
                        <w:iCs/>
                        <w:sz w:val="16"/>
                        <w:szCs w:val="16"/>
                      </w:rPr>
                    </m:ctrlPr>
                  </m:sSupPr>
                  <m:e>
                    <m:r>
                      <w:rPr>
                        <w:rFonts w:ascii="Cambria Math" w:hAnsi="Cambria Math"/>
                        <w:sz w:val="16"/>
                        <w:szCs w:val="16"/>
                      </w:rPr>
                      <m:t>T</m:t>
                    </m:r>
                  </m:e>
                  <m:sup>
                    <m:r>
                      <m:rPr>
                        <m:sty m:val="p"/>
                      </m:rPr>
                      <w:rPr>
                        <w:rFonts w:ascii="Cambria Math" w:hAnsi="Cambria Math"/>
                        <w:sz w:val="16"/>
                        <w:szCs w:val="16"/>
                      </w:rPr>
                      <m:t>2</m:t>
                    </m:r>
                  </m:sup>
                </m:sSup>
                <m:r>
                  <m:rPr>
                    <m:sty m:val="p"/>
                  </m:rPr>
                  <w:rPr>
                    <w:rFonts w:ascii="Cambria Math" w:hAnsi="Cambria Math"/>
                    <w:sz w:val="16"/>
                    <w:szCs w:val="16"/>
                  </w:rPr>
                  <m:t>-10,5139</m:t>
                </m:r>
                <m:r>
                  <w:rPr>
                    <w:rFonts w:ascii="Cambria Math" w:hAnsi="Cambria Math"/>
                    <w:sz w:val="16"/>
                    <w:szCs w:val="16"/>
                  </w:rPr>
                  <m:t>t</m:t>
                </m:r>
                <m:r>
                  <m:rPr>
                    <m:sty m:val="p"/>
                  </m:rPr>
                  <w:rPr>
                    <w:rFonts w:ascii="Cambria Math" w:hAnsi="Cambria Math"/>
                    <w:sz w:val="16"/>
                    <w:szCs w:val="16"/>
                  </w:rPr>
                  <m:t>+0,0570</m:t>
                </m:r>
                <m:sSup>
                  <m:sSupPr>
                    <m:ctrlPr>
                      <w:rPr>
                        <w:rFonts w:ascii="Cambria Math" w:hAnsi="Cambria Math"/>
                        <w:iCs/>
                        <w:sz w:val="16"/>
                        <w:szCs w:val="16"/>
                      </w:rPr>
                    </m:ctrlPr>
                  </m:sSupPr>
                  <m:e>
                    <m:r>
                      <w:rPr>
                        <w:rFonts w:ascii="Cambria Math" w:hAnsi="Cambria Math"/>
                        <w:sz w:val="16"/>
                        <w:szCs w:val="16"/>
                      </w:rPr>
                      <m:t>t</m:t>
                    </m:r>
                  </m:e>
                  <m:sup>
                    <m:r>
                      <m:rPr>
                        <m:sty m:val="p"/>
                      </m:rPr>
                      <w:rPr>
                        <w:rFonts w:ascii="Cambria Math" w:hAnsi="Cambria Math"/>
                        <w:sz w:val="16"/>
                        <w:szCs w:val="16"/>
                      </w:rPr>
                      <m:t>2</m:t>
                    </m:r>
                  </m:sup>
                </m:sSup>
                <m:r>
                  <m:rPr>
                    <m:sty m:val="p"/>
                  </m:rPr>
                  <w:rPr>
                    <w:rFonts w:ascii="Cambria Math" w:hAnsi="Cambria Math"/>
                    <w:sz w:val="16"/>
                    <w:szCs w:val="16"/>
                  </w:rPr>
                  <m:t>-0,7206</m:t>
                </m:r>
                <m:r>
                  <w:rPr>
                    <w:rFonts w:ascii="Cambria Math" w:hAnsi="Cambria Math"/>
                    <w:sz w:val="16"/>
                    <w:szCs w:val="16"/>
                  </w:rPr>
                  <m:t>C</m:t>
                </m:r>
                <m:r>
                  <m:rPr>
                    <m:sty m:val="p"/>
                  </m:rPr>
                  <w:rPr>
                    <w:rFonts w:ascii="Cambria Math" w:hAnsi="Cambria Math"/>
                    <w:sz w:val="16"/>
                    <w:szCs w:val="16"/>
                  </w:rPr>
                  <m:t>∙</m:t>
                </m:r>
                <m:r>
                  <w:rPr>
                    <w:rFonts w:ascii="Cambria Math" w:hAnsi="Cambria Math"/>
                    <w:sz w:val="16"/>
                    <w:szCs w:val="16"/>
                  </w:rPr>
                  <m:t>t</m:t>
                </m:r>
                <m:r>
                  <m:rPr>
                    <m:sty m:val="p"/>
                  </m:rPr>
                  <w:rPr>
                    <w:rFonts w:ascii="Cambria Math" w:hAnsi="Cambria Math"/>
                    <w:sz w:val="16"/>
                    <w:szCs w:val="16"/>
                  </w:rPr>
                  <m:t>+0,0351</m:t>
                </m:r>
                <m:r>
                  <w:rPr>
                    <w:rFonts w:ascii="Cambria Math" w:hAnsi="Cambria Math"/>
                    <w:sz w:val="16"/>
                    <w:szCs w:val="16"/>
                  </w:rPr>
                  <m:t>T</m:t>
                </m:r>
                <m:r>
                  <m:rPr>
                    <m:sty m:val="p"/>
                  </m:rPr>
                  <w:rPr>
                    <w:rFonts w:ascii="Cambria Math" w:hAnsi="Cambria Math"/>
                    <w:sz w:val="16"/>
                    <w:szCs w:val="16"/>
                  </w:rPr>
                  <m:t>∙</m:t>
                </m:r>
                <m:r>
                  <w:rPr>
                    <w:rFonts w:ascii="Cambria Math" w:hAnsi="Cambria Math"/>
                    <w:sz w:val="16"/>
                    <w:szCs w:val="16"/>
                  </w:rPr>
                  <m:t>t</m:t>
                </m:r>
              </m:oMath>
            </m:oMathPara>
          </w:p>
        </w:tc>
        <w:tc>
          <w:tcPr>
            <w:tcW w:w="428" w:type="pct"/>
            <w:shd w:val="clear" w:color="auto" w:fill="FFFFFF"/>
          </w:tcPr>
          <w:p w:rsidR="004C102D" w:rsidRPr="0002473E" w:rsidRDefault="004C102D" w:rsidP="000D4DA5">
            <w:pPr>
              <w:pStyle w:val="CETBodytext"/>
              <w:jc w:val="center"/>
              <w:rPr>
                <w:rFonts w:cs="Arial"/>
                <w:sz w:val="16"/>
                <w:szCs w:val="16"/>
                <w:lang w:val="en-GB"/>
              </w:rPr>
            </w:pPr>
            <w:r w:rsidRPr="0002473E">
              <w:rPr>
                <w:rFonts w:cs="Arial"/>
                <w:sz w:val="16"/>
                <w:szCs w:val="16"/>
                <w:lang w:val="en-GB"/>
              </w:rPr>
              <w:t>(</w:t>
            </w:r>
            <w:r>
              <w:rPr>
                <w:rFonts w:cs="Arial"/>
                <w:sz w:val="16"/>
                <w:szCs w:val="16"/>
                <w:lang w:val="en-GB"/>
              </w:rPr>
              <w:t>1</w:t>
            </w:r>
            <w:r w:rsidRPr="0002473E">
              <w:rPr>
                <w:rFonts w:cs="Arial"/>
                <w:sz w:val="16"/>
                <w:szCs w:val="16"/>
                <w:lang w:val="en-GB"/>
              </w:rPr>
              <w:t>)</w:t>
            </w:r>
          </w:p>
        </w:tc>
      </w:tr>
      <w:tr w:rsidR="004C102D" w:rsidRPr="0002473E" w:rsidTr="000D4DA5">
        <w:trPr>
          <w:trHeight w:val="253"/>
        </w:trPr>
        <w:tc>
          <w:tcPr>
            <w:tcW w:w="968" w:type="pct"/>
            <w:shd w:val="clear" w:color="auto" w:fill="FFFFFF"/>
          </w:tcPr>
          <w:p w:rsidR="004C102D" w:rsidRPr="0002473E" w:rsidRDefault="004C102D" w:rsidP="000D4DA5">
            <w:pPr>
              <w:pStyle w:val="CETBodytext"/>
              <w:ind w:right="-1"/>
              <w:rPr>
                <w:rFonts w:cs="Arial"/>
                <w:sz w:val="16"/>
                <w:szCs w:val="16"/>
                <w:lang w:val="en-GB"/>
              </w:rPr>
            </w:pPr>
            <w:proofErr w:type="spellStart"/>
            <w:r>
              <w:rPr>
                <w:rFonts w:cs="Arial"/>
                <w:sz w:val="16"/>
                <w:szCs w:val="16"/>
                <w:lang w:val="en-GB"/>
              </w:rPr>
              <w:t>Glycerin</w:t>
            </w:r>
            <w:proofErr w:type="spellEnd"/>
            <w:r w:rsidRPr="0002473E">
              <w:rPr>
                <w:rFonts w:cs="Arial"/>
                <w:sz w:val="16"/>
                <w:szCs w:val="16"/>
                <w:lang w:val="en-GB"/>
              </w:rPr>
              <w:t xml:space="preserve"> (</w:t>
            </w:r>
            <w:proofErr w:type="spellStart"/>
            <w:r w:rsidRPr="0002473E">
              <w:rPr>
                <w:rFonts w:cs="Arial"/>
                <w:sz w:val="16"/>
                <w:szCs w:val="16"/>
                <w:lang w:val="en-GB"/>
              </w:rPr>
              <w:t>wt</w:t>
            </w:r>
            <w:proofErr w:type="spellEnd"/>
            <w:r w:rsidRPr="0002473E">
              <w:rPr>
                <w:rFonts w:cs="Arial"/>
                <w:sz w:val="16"/>
                <w:szCs w:val="16"/>
                <w:lang w:val="en-GB"/>
              </w:rPr>
              <w:t>%)</w:t>
            </w:r>
          </w:p>
        </w:tc>
        <w:tc>
          <w:tcPr>
            <w:tcW w:w="3604" w:type="pct"/>
            <w:shd w:val="clear" w:color="auto" w:fill="FFFFFF"/>
          </w:tcPr>
          <w:p w:rsidR="004C102D" w:rsidRPr="004C102D" w:rsidRDefault="004C102D" w:rsidP="000D4DA5">
            <w:pPr>
              <w:pStyle w:val="CETBodytext"/>
              <w:ind w:right="-1"/>
              <w:jc w:val="left"/>
              <w:rPr>
                <w:rFonts w:cs="Arial"/>
                <w:sz w:val="16"/>
                <w:szCs w:val="16"/>
                <w:lang w:val="en-GB"/>
              </w:rPr>
            </w:pPr>
            <m:oMathPara>
              <m:oMath>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C</m:t>
                    </m:r>
                  </m:e>
                  <m:sub>
                    <m:r>
                      <w:rPr>
                        <w:rFonts w:ascii="Cambria Math" w:hAnsi="Cambria Math"/>
                        <w:sz w:val="16"/>
                        <w:szCs w:val="16"/>
                      </w:rPr>
                      <m:t>glicerina</m:t>
                    </m:r>
                  </m:sub>
                </m:sSub>
                <m:r>
                  <m:rPr>
                    <m:sty m:val="p"/>
                  </m:rPr>
                  <w:rPr>
                    <w:rFonts w:ascii="Cambria Math" w:hAnsi="Cambria Math"/>
                    <w:sz w:val="16"/>
                    <w:szCs w:val="16"/>
                  </w:rPr>
                  <m:t>=-67,8249-20,2296</m:t>
                </m:r>
                <m:sSup>
                  <m:sSupPr>
                    <m:ctrlPr>
                      <w:rPr>
                        <w:rFonts w:ascii="Cambria Math" w:hAnsi="Cambria Math"/>
                        <w:sz w:val="16"/>
                        <w:szCs w:val="16"/>
                      </w:rPr>
                    </m:ctrlPr>
                  </m:sSupPr>
                  <m:e>
                    <m:r>
                      <w:rPr>
                        <w:rFonts w:ascii="Cambria Math" w:hAnsi="Cambria Math"/>
                        <w:sz w:val="16"/>
                        <w:szCs w:val="16"/>
                      </w:rPr>
                      <m:t>C</m:t>
                    </m:r>
                  </m:e>
                  <m:sup>
                    <m:r>
                      <m:rPr>
                        <m:sty m:val="p"/>
                      </m:rPr>
                      <w:rPr>
                        <w:rFonts w:ascii="Cambria Math" w:hAnsi="Cambria Math"/>
                        <w:sz w:val="16"/>
                        <w:szCs w:val="16"/>
                      </w:rPr>
                      <m:t>2</m:t>
                    </m:r>
                  </m:sup>
                </m:sSup>
                <m:r>
                  <m:rPr>
                    <m:sty m:val="p"/>
                  </m:rPr>
                  <w:rPr>
                    <w:rFonts w:ascii="Cambria Math" w:hAnsi="Cambria Math"/>
                    <w:sz w:val="16"/>
                    <w:szCs w:val="16"/>
                  </w:rPr>
                  <m:t>+6,5105</m:t>
                </m:r>
                <m:r>
                  <w:rPr>
                    <w:rFonts w:ascii="Cambria Math" w:hAnsi="Cambria Math"/>
                    <w:sz w:val="16"/>
                    <w:szCs w:val="16"/>
                  </w:rPr>
                  <m:t>T</m:t>
                </m:r>
                <m:r>
                  <m:rPr>
                    <m:sty m:val="p"/>
                  </m:rPr>
                  <w:rPr>
                    <w:rFonts w:ascii="Cambria Math" w:hAnsi="Cambria Math"/>
                    <w:sz w:val="16"/>
                    <w:szCs w:val="16"/>
                  </w:rPr>
                  <m:t>-0,0547</m:t>
                </m:r>
                <m:sSup>
                  <m:sSupPr>
                    <m:ctrlPr>
                      <w:rPr>
                        <w:rFonts w:ascii="Cambria Math" w:hAnsi="Cambria Math"/>
                        <w:sz w:val="16"/>
                        <w:szCs w:val="16"/>
                      </w:rPr>
                    </m:ctrlPr>
                  </m:sSupPr>
                  <m:e>
                    <m:r>
                      <w:rPr>
                        <w:rFonts w:ascii="Cambria Math" w:hAnsi="Cambria Math"/>
                        <w:sz w:val="16"/>
                        <w:szCs w:val="16"/>
                      </w:rPr>
                      <m:t>T</m:t>
                    </m:r>
                  </m:e>
                  <m:sup>
                    <m:r>
                      <m:rPr>
                        <m:sty m:val="p"/>
                      </m:rPr>
                      <w:rPr>
                        <w:rFonts w:ascii="Cambria Math" w:hAnsi="Cambria Math"/>
                        <w:sz w:val="16"/>
                        <w:szCs w:val="16"/>
                      </w:rPr>
                      <m:t>2</m:t>
                    </m:r>
                  </m:sup>
                </m:sSup>
                <m:r>
                  <m:rPr>
                    <m:sty m:val="p"/>
                  </m:rPr>
                  <w:rPr>
                    <w:rFonts w:ascii="Cambria Math" w:hAnsi="Cambria Math"/>
                    <w:sz w:val="16"/>
                    <w:szCs w:val="16"/>
                  </w:rPr>
                  <m:t>+0,0011</m:t>
                </m:r>
                <m:sSup>
                  <m:sSupPr>
                    <m:ctrlPr>
                      <w:rPr>
                        <w:rFonts w:ascii="Cambria Math" w:hAnsi="Cambria Math"/>
                        <w:sz w:val="16"/>
                        <w:szCs w:val="16"/>
                      </w:rPr>
                    </m:ctrlPr>
                  </m:sSupPr>
                  <m:e>
                    <m:r>
                      <w:rPr>
                        <w:rFonts w:ascii="Cambria Math" w:hAnsi="Cambria Math"/>
                        <w:sz w:val="16"/>
                        <w:szCs w:val="16"/>
                      </w:rPr>
                      <m:t>t</m:t>
                    </m:r>
                  </m:e>
                  <m:sup>
                    <m:r>
                      <m:rPr>
                        <m:sty m:val="p"/>
                      </m:rPr>
                      <w:rPr>
                        <w:rFonts w:ascii="Cambria Math" w:hAnsi="Cambria Math"/>
                        <w:sz w:val="16"/>
                        <w:szCs w:val="16"/>
                      </w:rPr>
                      <m:t>2</m:t>
                    </m:r>
                  </m:sup>
                </m:sSup>
                <m:r>
                  <m:rPr>
                    <m:sty m:val="p"/>
                  </m:rPr>
                  <w:rPr>
                    <w:rFonts w:ascii="Cambria Math" w:hAnsi="Cambria Math"/>
                    <w:sz w:val="16"/>
                    <w:szCs w:val="16"/>
                  </w:rPr>
                  <m:t>+0,5091</m:t>
                </m:r>
                <m:r>
                  <w:rPr>
                    <w:rFonts w:ascii="Cambria Math" w:hAnsi="Cambria Math"/>
                    <w:sz w:val="16"/>
                    <w:szCs w:val="16"/>
                  </w:rPr>
                  <m:t>C</m:t>
                </m:r>
                <m:r>
                  <m:rPr>
                    <m:sty m:val="p"/>
                  </m:rPr>
                  <w:rPr>
                    <w:rFonts w:ascii="Cambria Math" w:hAnsi="Cambria Math"/>
                    <w:sz w:val="16"/>
                    <w:szCs w:val="16"/>
                  </w:rPr>
                  <m:t>∙</m:t>
                </m:r>
                <m:r>
                  <w:rPr>
                    <w:rFonts w:ascii="Cambria Math" w:hAnsi="Cambria Math"/>
                    <w:sz w:val="16"/>
                    <w:szCs w:val="16"/>
                  </w:rPr>
                  <m:t>t</m:t>
                </m:r>
                <m:r>
                  <m:rPr>
                    <m:sty m:val="p"/>
                  </m:rPr>
                  <w:rPr>
                    <w:rFonts w:ascii="Cambria Math" w:hAnsi="Cambria Math"/>
                    <w:sz w:val="16"/>
                    <w:szCs w:val="16"/>
                  </w:rPr>
                  <m:t>-0,0126</m:t>
                </m:r>
                <m:r>
                  <w:rPr>
                    <w:rFonts w:ascii="Cambria Math" w:hAnsi="Cambria Math"/>
                    <w:sz w:val="16"/>
                    <w:szCs w:val="16"/>
                  </w:rPr>
                  <m:t>T</m:t>
                </m:r>
                <m:r>
                  <m:rPr>
                    <m:sty m:val="p"/>
                  </m:rPr>
                  <w:rPr>
                    <w:rFonts w:ascii="Cambria Math" w:hAnsi="Cambria Math"/>
                    <w:sz w:val="16"/>
                    <w:szCs w:val="16"/>
                  </w:rPr>
                  <m:t>∙</m:t>
                </m:r>
                <m:r>
                  <w:rPr>
                    <w:rFonts w:ascii="Cambria Math" w:hAnsi="Cambria Math"/>
                    <w:sz w:val="16"/>
                    <w:szCs w:val="16"/>
                  </w:rPr>
                  <m:t>t</m:t>
                </m:r>
              </m:oMath>
            </m:oMathPara>
          </w:p>
        </w:tc>
        <w:tc>
          <w:tcPr>
            <w:tcW w:w="428" w:type="pct"/>
            <w:shd w:val="clear" w:color="auto" w:fill="FFFFFF"/>
          </w:tcPr>
          <w:p w:rsidR="004C102D" w:rsidRPr="0002473E" w:rsidRDefault="004C102D" w:rsidP="000D4DA5">
            <w:pPr>
              <w:pStyle w:val="CETBodytext"/>
              <w:ind w:right="-1"/>
              <w:jc w:val="center"/>
              <w:rPr>
                <w:rFonts w:cs="Arial"/>
                <w:sz w:val="16"/>
                <w:szCs w:val="16"/>
                <w:lang w:val="en-GB"/>
              </w:rPr>
            </w:pPr>
            <w:r w:rsidRPr="0002473E">
              <w:rPr>
                <w:rFonts w:cs="Arial"/>
                <w:sz w:val="16"/>
                <w:szCs w:val="16"/>
                <w:lang w:val="en-GB"/>
              </w:rPr>
              <w:t>(</w:t>
            </w:r>
            <w:r>
              <w:rPr>
                <w:rFonts w:cs="Arial"/>
                <w:sz w:val="16"/>
                <w:szCs w:val="16"/>
                <w:lang w:val="en-GB"/>
              </w:rPr>
              <w:t>2</w:t>
            </w:r>
            <w:r w:rsidRPr="0002473E">
              <w:rPr>
                <w:rFonts w:cs="Arial"/>
                <w:sz w:val="16"/>
                <w:szCs w:val="16"/>
                <w:lang w:val="en-GB"/>
              </w:rPr>
              <w:t>)</w:t>
            </w:r>
          </w:p>
        </w:tc>
      </w:tr>
    </w:tbl>
    <w:p w:rsidR="004C102D" w:rsidRDefault="004C102D" w:rsidP="008D7EF3">
      <w:pPr>
        <w:pStyle w:val="CETBodytext"/>
      </w:pPr>
    </w:p>
    <w:p w:rsidR="00600535" w:rsidRPr="00B57B36" w:rsidRDefault="00600535" w:rsidP="00600535">
      <w:pPr>
        <w:pStyle w:val="CETHeading1"/>
        <w:rPr>
          <w:lang w:val="en-GB"/>
        </w:rPr>
      </w:pPr>
      <w:r w:rsidRPr="00B57B36">
        <w:rPr>
          <w:lang w:val="en-GB"/>
        </w:rPr>
        <w:t>Conclusions</w:t>
      </w:r>
    </w:p>
    <w:p w:rsidR="00702D54" w:rsidRDefault="00AE7D10" w:rsidP="00702D54">
      <w:pPr>
        <w:pStyle w:val="CETBodytext"/>
      </w:pPr>
      <w:r w:rsidRPr="00AE7D10">
        <w:rPr>
          <w:lang w:val="en-GB"/>
        </w:rPr>
        <w:t>The study of the transesterification reaction with base catalysis was performed by 17 experiments with different operational variables (temperature, catalyst percent and reaction time).  The highest biodiesel production was obtained using catalyst percent, temperature and reaction time of 0.5%, 80°C and 90 min, respectively.</w:t>
      </w:r>
      <w:r w:rsidR="00702D54">
        <w:rPr>
          <w:lang w:val="en-GB"/>
        </w:rPr>
        <w:t xml:space="preserve"> </w:t>
      </w:r>
      <w:r w:rsidR="00AF39DE">
        <w:t xml:space="preserve">By statistical experimental design was possible to determine a mathematical model to predict the best operational conditions to maximize biodiesel production. </w:t>
      </w:r>
      <w:r w:rsidR="00702D54">
        <w:rPr>
          <w:lang w:val="en-GB"/>
        </w:rPr>
        <w:t>I</w:t>
      </w:r>
      <w:r w:rsidR="00702D54" w:rsidRPr="00826430">
        <w:rPr>
          <w:lang w:val="en-GB"/>
        </w:rPr>
        <w:t xml:space="preserve">n this analysis, higher production of </w:t>
      </w:r>
      <w:proofErr w:type="spellStart"/>
      <w:r w:rsidR="00702D54">
        <w:rPr>
          <w:lang w:val="en-GB"/>
        </w:rPr>
        <w:t>glycerin</w:t>
      </w:r>
      <w:proofErr w:type="spellEnd"/>
      <w:r w:rsidR="00702D54" w:rsidRPr="00826430">
        <w:rPr>
          <w:lang w:val="en-GB"/>
        </w:rPr>
        <w:t xml:space="preserve"> (about </w:t>
      </w:r>
      <w:r w:rsidR="00AF39DE">
        <w:rPr>
          <w:lang w:val="en-GB"/>
        </w:rPr>
        <w:t>1.2</w:t>
      </w:r>
      <w:r w:rsidR="00702D54" w:rsidRPr="00826430">
        <w:rPr>
          <w:lang w:val="en-GB"/>
        </w:rPr>
        <w:t xml:space="preserve"> </w:t>
      </w:r>
      <w:proofErr w:type="spellStart"/>
      <w:r w:rsidR="00702D54" w:rsidRPr="00826430">
        <w:rPr>
          <w:lang w:val="en-GB"/>
        </w:rPr>
        <w:t>wt</w:t>
      </w:r>
      <w:proofErr w:type="spellEnd"/>
      <w:r w:rsidR="00702D54">
        <w:rPr>
          <w:lang w:val="en-GB"/>
        </w:rPr>
        <w:t>%</w:t>
      </w:r>
      <w:r w:rsidR="00702D54" w:rsidRPr="00826430">
        <w:rPr>
          <w:lang w:val="en-GB"/>
        </w:rPr>
        <w:t xml:space="preserve">) could be obtain in a </w:t>
      </w:r>
      <w:r w:rsidR="00AF39DE">
        <w:rPr>
          <w:lang w:val="en-GB"/>
        </w:rPr>
        <w:t>temperature</w:t>
      </w:r>
      <w:r w:rsidR="00702D54" w:rsidRPr="00826430">
        <w:rPr>
          <w:lang w:val="en-GB"/>
        </w:rPr>
        <w:t xml:space="preserve"> and </w:t>
      </w:r>
      <w:r w:rsidR="00AF39DE">
        <w:rPr>
          <w:lang w:val="en-GB"/>
        </w:rPr>
        <w:t xml:space="preserve">catalyst percent </w:t>
      </w:r>
      <w:r w:rsidR="00702D54" w:rsidRPr="00826430">
        <w:rPr>
          <w:lang w:val="en-GB"/>
        </w:rPr>
        <w:t xml:space="preserve">of </w:t>
      </w:r>
      <w:r w:rsidR="00AF39DE">
        <w:rPr>
          <w:lang w:val="en-GB"/>
        </w:rPr>
        <w:t>50 °C</w:t>
      </w:r>
      <w:r w:rsidR="00702D54" w:rsidRPr="00826430">
        <w:rPr>
          <w:lang w:val="en-GB"/>
        </w:rPr>
        <w:t xml:space="preserve"> and </w:t>
      </w:r>
      <w:r w:rsidR="00AF39DE">
        <w:rPr>
          <w:lang w:val="en-GB"/>
        </w:rPr>
        <w:t xml:space="preserve">1 </w:t>
      </w:r>
      <w:proofErr w:type="spellStart"/>
      <w:r w:rsidR="00AF39DE">
        <w:rPr>
          <w:lang w:val="en-GB"/>
        </w:rPr>
        <w:t>wt</w:t>
      </w:r>
      <w:proofErr w:type="spellEnd"/>
      <w:r w:rsidR="00AF39DE">
        <w:rPr>
          <w:lang w:val="en-GB"/>
        </w:rPr>
        <w:t>%</w:t>
      </w:r>
      <w:r w:rsidR="00702D54" w:rsidRPr="00826430">
        <w:rPr>
          <w:lang w:val="en-GB"/>
        </w:rPr>
        <w:t xml:space="preserve">, respectively. </w:t>
      </w:r>
      <w:r w:rsidR="00702D54">
        <w:rPr>
          <w:lang w:val="en-GB"/>
        </w:rPr>
        <w:t xml:space="preserve"> </w:t>
      </w:r>
      <w:r w:rsidR="00702D54" w:rsidRPr="00613658">
        <w:t>Finally, the developed mathematical models are accurate as the percentages of error in prediction are in good agreement.</w:t>
      </w:r>
    </w:p>
    <w:p w:rsidR="00702D54" w:rsidRDefault="00702D54" w:rsidP="00597D8A">
      <w:pPr>
        <w:pStyle w:val="CETBodytext"/>
        <w:rPr>
          <w:lang w:val="en-GB"/>
        </w:rPr>
      </w:pPr>
    </w:p>
    <w:p w:rsidR="00AE7D10" w:rsidRPr="000A13BF" w:rsidRDefault="00AE7D10" w:rsidP="00EC0953">
      <w:pPr>
        <w:pStyle w:val="CETBodytext"/>
        <w:rPr>
          <w:highlight w:val="yellow"/>
        </w:rPr>
      </w:pPr>
    </w:p>
    <w:p w:rsidR="00600535" w:rsidRPr="000A13BF" w:rsidRDefault="00600535" w:rsidP="00EC0953">
      <w:pPr>
        <w:pStyle w:val="CETBodytext"/>
        <w:rPr>
          <w:b/>
        </w:rPr>
      </w:pPr>
      <w:r w:rsidRPr="000A13BF">
        <w:rPr>
          <w:b/>
        </w:rPr>
        <w:t>References</w:t>
      </w:r>
    </w:p>
    <w:p w:rsidR="00597D8A" w:rsidRPr="000A13BF" w:rsidRDefault="00597D8A" w:rsidP="00597D8A">
      <w:pPr>
        <w:pStyle w:val="CETReferencetext"/>
        <w:rPr>
          <w:lang w:val="en-US"/>
        </w:rPr>
      </w:pPr>
    </w:p>
    <w:p w:rsidR="00AF39DE" w:rsidRPr="00464071" w:rsidRDefault="00464071" w:rsidP="0088320A">
      <w:pPr>
        <w:pStyle w:val="CETReferencetext"/>
        <w:rPr>
          <w:lang w:val="en-US"/>
        </w:rPr>
      </w:pPr>
      <w:proofErr w:type="spellStart"/>
      <w:r w:rsidRPr="00464071">
        <w:rPr>
          <w:lang w:val="en-US"/>
        </w:rPr>
        <w:t>Bimendra</w:t>
      </w:r>
      <w:proofErr w:type="spellEnd"/>
      <w:r w:rsidRPr="00464071">
        <w:rPr>
          <w:lang w:val="en-US"/>
        </w:rPr>
        <w:t xml:space="preserve"> U., </w:t>
      </w:r>
      <w:proofErr w:type="spellStart"/>
      <w:r w:rsidRPr="00464071">
        <w:rPr>
          <w:lang w:val="en-US"/>
        </w:rPr>
        <w:t>Bandara</w:t>
      </w:r>
      <w:proofErr w:type="spellEnd"/>
      <w:r w:rsidRPr="00464071">
        <w:rPr>
          <w:lang w:val="en-US"/>
        </w:rPr>
        <w:t xml:space="preserve"> J., 2017, Fabrication of hi</w:t>
      </w:r>
      <w:r>
        <w:rPr>
          <w:lang w:val="en-US"/>
        </w:rPr>
        <w:t>ghly hydrophilic filter using natural and hydrothermally treated mica nanoparticles for efficient waste oi-water separation, Journal of environmental management, 191, 96-104.</w:t>
      </w:r>
    </w:p>
    <w:p w:rsidR="006C4EAA" w:rsidRPr="000415F3" w:rsidRDefault="00676F86" w:rsidP="006E58D9">
      <w:pPr>
        <w:pStyle w:val="CETReferencetext"/>
        <w:rPr>
          <w:lang w:val="en-US"/>
        </w:rPr>
      </w:pPr>
      <w:r w:rsidRPr="000415F3">
        <w:rPr>
          <w:lang w:val="en-US"/>
        </w:rPr>
        <w:t xml:space="preserve">Da Silva A., </w:t>
      </w:r>
      <w:proofErr w:type="spellStart"/>
      <w:r w:rsidRPr="000415F3">
        <w:rPr>
          <w:lang w:val="en-US"/>
        </w:rPr>
        <w:t>Werderits</w:t>
      </w:r>
      <w:proofErr w:type="spellEnd"/>
      <w:r w:rsidRPr="000415F3">
        <w:rPr>
          <w:lang w:val="en-US"/>
        </w:rPr>
        <w:t xml:space="preserve"> D. E., Leal G., Silva R. C., 2017, The potential of waste cooking oil as supply for the Brazilian biodiesel chain, Renewable and sustainable energy reviews, 72, 246-253.</w:t>
      </w:r>
    </w:p>
    <w:p w:rsidR="006E58D9" w:rsidRPr="000415F3" w:rsidRDefault="00A624E9" w:rsidP="00A624E9">
      <w:pPr>
        <w:pStyle w:val="CETReferencetext"/>
        <w:ind w:left="0" w:firstLine="0"/>
        <w:rPr>
          <w:lang w:val="pt-BR"/>
        </w:rPr>
      </w:pPr>
      <w:r w:rsidRPr="000415F3">
        <w:rPr>
          <w:lang w:val="en-US"/>
        </w:rPr>
        <w:t xml:space="preserve">KNOTHE, G. et al. Biodiesel Manual. </w:t>
      </w:r>
      <w:r w:rsidRPr="000415F3">
        <w:rPr>
          <w:lang w:val="pt-BR"/>
        </w:rPr>
        <w:t xml:space="preserve">São Paulo, Brazil: Edgard Blucher Ltda., 2006. </w:t>
      </w:r>
      <w:bookmarkStart w:id="0" w:name="_GoBack"/>
      <w:bookmarkEnd w:id="0"/>
    </w:p>
    <w:p w:rsidR="006C4EAA" w:rsidRPr="000415F3" w:rsidRDefault="00A624E9" w:rsidP="00A624E9">
      <w:pPr>
        <w:pStyle w:val="CETReferencetext"/>
        <w:ind w:left="0" w:firstLine="0"/>
        <w:rPr>
          <w:lang w:val="pt-BR"/>
        </w:rPr>
      </w:pPr>
      <w:r w:rsidRPr="000415F3">
        <w:rPr>
          <w:lang w:val="es-ES"/>
        </w:rPr>
        <w:t xml:space="preserve">LORA, E. E. S.; VENTURINI, O. J. </w:t>
      </w:r>
      <w:proofErr w:type="spellStart"/>
      <w:r w:rsidRPr="000415F3">
        <w:rPr>
          <w:lang w:val="es-ES"/>
        </w:rPr>
        <w:t>Biofuels</w:t>
      </w:r>
      <w:proofErr w:type="spellEnd"/>
      <w:r w:rsidRPr="000415F3">
        <w:rPr>
          <w:lang w:val="es-ES"/>
        </w:rPr>
        <w:t xml:space="preserve">. </w:t>
      </w:r>
      <w:r w:rsidRPr="000415F3">
        <w:rPr>
          <w:lang w:val="pt-BR"/>
        </w:rPr>
        <w:t xml:space="preserve">Rio de janeiro, Brazil: INTERCIÊNCIA, 2012.  </w:t>
      </w:r>
    </w:p>
    <w:p w:rsidR="006E58D9" w:rsidRPr="000415F3" w:rsidRDefault="006E58D9" w:rsidP="006E58D9">
      <w:pPr>
        <w:pStyle w:val="CETReferencetext"/>
        <w:rPr>
          <w:lang w:val="pt-BR"/>
        </w:rPr>
      </w:pPr>
      <w:r w:rsidRPr="000415F3">
        <w:rPr>
          <w:lang w:val="en-US"/>
        </w:rPr>
        <w:t xml:space="preserve">MAIA, R. R. da S. Biodiesel in Brazil: Cost-benefit analysis. </w:t>
      </w:r>
      <w:r w:rsidRPr="000415F3">
        <w:rPr>
          <w:lang w:val="pt-BR"/>
        </w:rPr>
        <w:t>Curitiba, Brazil: Editora e Livraria Appris Ltda.2015.</w:t>
      </w:r>
    </w:p>
    <w:p w:rsidR="006E58D9" w:rsidRPr="000415F3" w:rsidRDefault="00A624E9" w:rsidP="00A624E9">
      <w:pPr>
        <w:pStyle w:val="CETReferencetext"/>
        <w:rPr>
          <w:lang w:val="en-US"/>
        </w:rPr>
      </w:pPr>
      <w:r w:rsidRPr="000415F3">
        <w:rPr>
          <w:lang w:val="en-US"/>
        </w:rPr>
        <w:t xml:space="preserve">PINTO, L. F. R. Microalga growth study </w:t>
      </w:r>
      <w:proofErr w:type="spellStart"/>
      <w:r w:rsidRPr="000415F3">
        <w:rPr>
          <w:lang w:val="en-US"/>
        </w:rPr>
        <w:t>Desmodesmus</w:t>
      </w:r>
      <w:proofErr w:type="spellEnd"/>
      <w:r w:rsidRPr="000415F3">
        <w:rPr>
          <w:lang w:val="en-US"/>
        </w:rPr>
        <w:t xml:space="preserve"> sp. aiming at the production of biodiesel CAMPINAS. 2014. 139 p. </w:t>
      </w:r>
      <w:proofErr w:type="spellStart"/>
      <w:r w:rsidRPr="000415F3">
        <w:rPr>
          <w:lang w:val="en-US"/>
        </w:rPr>
        <w:t>Tese</w:t>
      </w:r>
      <w:proofErr w:type="spellEnd"/>
      <w:r w:rsidRPr="000415F3">
        <w:rPr>
          <w:lang w:val="en-US"/>
        </w:rPr>
        <w:t xml:space="preserve"> (CHEMICAL ENGINEERING) — CAMPINAS STATE UNIVERSITY, Campinas, Brazil. </w:t>
      </w:r>
    </w:p>
    <w:p w:rsidR="00A624E9" w:rsidRDefault="006E58D9" w:rsidP="00A624E9">
      <w:pPr>
        <w:pStyle w:val="CETReferencetext"/>
        <w:rPr>
          <w:lang w:val="pt-BR"/>
        </w:rPr>
      </w:pPr>
      <w:r w:rsidRPr="000415F3">
        <w:rPr>
          <w:lang w:val="en-US"/>
        </w:rPr>
        <w:t xml:space="preserve">ROSA, A. V. D. Renewable Energy Processes. </w:t>
      </w:r>
      <w:r w:rsidRPr="000415F3">
        <w:rPr>
          <w:lang w:val="pt-BR"/>
        </w:rPr>
        <w:t xml:space="preserve">Rio de Janeiro, Brazil: ELSEVIER, 2013.  </w:t>
      </w:r>
    </w:p>
    <w:p w:rsidR="00CF2296" w:rsidRDefault="00CF2296" w:rsidP="00CF2296">
      <w:pPr>
        <w:pStyle w:val="CETReferencetext"/>
        <w:rPr>
          <w:lang w:val="en-US"/>
        </w:rPr>
      </w:pPr>
      <w:r w:rsidRPr="00AF39DE">
        <w:rPr>
          <w:lang w:val="en-US"/>
        </w:rPr>
        <w:t xml:space="preserve">Silva A., </w:t>
      </w:r>
      <w:proofErr w:type="spellStart"/>
      <w:r w:rsidRPr="00AF39DE">
        <w:rPr>
          <w:lang w:val="en-US"/>
        </w:rPr>
        <w:t>Conejero</w:t>
      </w:r>
      <w:proofErr w:type="spellEnd"/>
      <w:r w:rsidRPr="00AF39DE">
        <w:rPr>
          <w:lang w:val="en-US"/>
        </w:rPr>
        <w:t xml:space="preserve"> M. A., Barros E. C., </w:t>
      </w:r>
      <w:proofErr w:type="spellStart"/>
      <w:r w:rsidRPr="00AF39DE">
        <w:rPr>
          <w:lang w:val="en-US"/>
        </w:rPr>
        <w:t>Batalha</w:t>
      </w:r>
      <w:proofErr w:type="spellEnd"/>
      <w:r w:rsidRPr="00AF39DE">
        <w:rPr>
          <w:lang w:val="en-US"/>
        </w:rPr>
        <w:t xml:space="preserve"> M.O., 2018, Competitiveness analysis of “social soybeans” in biodiesel pro</w:t>
      </w:r>
      <w:r>
        <w:rPr>
          <w:lang w:val="en-US"/>
        </w:rPr>
        <w:t xml:space="preserve">duction in Brazil, Renewable Energy, </w:t>
      </w:r>
      <w:r w:rsidRPr="00AF39DE">
        <w:rPr>
          <w:lang w:val="en-US"/>
        </w:rPr>
        <w:t>1147-1157</w:t>
      </w:r>
      <w:r>
        <w:rPr>
          <w:lang w:val="en-US"/>
        </w:rPr>
        <w:t>.</w:t>
      </w:r>
    </w:p>
    <w:p w:rsidR="00CF2296" w:rsidRPr="00CF2296" w:rsidRDefault="00CF2296" w:rsidP="00CF2296">
      <w:pPr>
        <w:pStyle w:val="CETReferencetext"/>
        <w:rPr>
          <w:lang w:val="en-US"/>
        </w:rPr>
      </w:pPr>
      <w:r w:rsidRPr="0058488A">
        <w:rPr>
          <w:lang w:val="en-US"/>
        </w:rPr>
        <w:t xml:space="preserve">Silva </w:t>
      </w:r>
      <w:proofErr w:type="spellStart"/>
      <w:r w:rsidRPr="0058488A">
        <w:rPr>
          <w:lang w:val="en-US"/>
        </w:rPr>
        <w:t>Filho</w:t>
      </w:r>
      <w:proofErr w:type="spellEnd"/>
      <w:r w:rsidRPr="0058488A">
        <w:rPr>
          <w:lang w:val="en-US"/>
        </w:rPr>
        <w:t xml:space="preserve"> S. C., </w:t>
      </w:r>
      <w:proofErr w:type="spellStart"/>
      <w:r w:rsidRPr="0058488A">
        <w:rPr>
          <w:lang w:val="en-US"/>
        </w:rPr>
        <w:t>Carvalho</w:t>
      </w:r>
      <w:proofErr w:type="spellEnd"/>
      <w:r w:rsidRPr="0058488A">
        <w:rPr>
          <w:lang w:val="en-US"/>
        </w:rPr>
        <w:t xml:space="preserve"> A. C., Farias T. A., </w:t>
      </w:r>
      <w:proofErr w:type="spellStart"/>
      <w:r w:rsidRPr="0058488A">
        <w:rPr>
          <w:lang w:val="en-US"/>
        </w:rPr>
        <w:t>Araújo</w:t>
      </w:r>
      <w:proofErr w:type="spellEnd"/>
      <w:r w:rsidRPr="0058488A">
        <w:rPr>
          <w:lang w:val="en-US"/>
        </w:rPr>
        <w:t xml:space="preserve"> F., Rodrigues R., </w:t>
      </w:r>
      <w:proofErr w:type="spellStart"/>
      <w:r w:rsidRPr="0058488A">
        <w:rPr>
          <w:lang w:val="en-US"/>
        </w:rPr>
        <w:t>Curvelo</w:t>
      </w:r>
      <w:proofErr w:type="spellEnd"/>
      <w:r w:rsidRPr="0058488A">
        <w:rPr>
          <w:lang w:val="en-US"/>
        </w:rPr>
        <w:t xml:space="preserve"> J. C., </w:t>
      </w:r>
      <w:proofErr w:type="spellStart"/>
      <w:r w:rsidRPr="0058488A">
        <w:rPr>
          <w:lang w:val="en-US"/>
        </w:rPr>
        <w:t>Basile</w:t>
      </w:r>
      <w:proofErr w:type="spellEnd"/>
      <w:r w:rsidRPr="0058488A">
        <w:rPr>
          <w:lang w:val="en-US"/>
        </w:rPr>
        <w:t xml:space="preserve"> E., 2018, Environmental and techno-economic considerations on biodiesel product</w:t>
      </w:r>
      <w:r>
        <w:rPr>
          <w:lang w:val="en-US"/>
        </w:rPr>
        <w:t>ion from waste frying oil in São Paulo City, Journal of cleaner production, 183, 1034-1042.</w:t>
      </w:r>
    </w:p>
    <w:p w:rsidR="00A624E9" w:rsidRPr="00676F86" w:rsidRDefault="00214C35" w:rsidP="00214C35">
      <w:pPr>
        <w:pStyle w:val="CETReferencetext"/>
        <w:rPr>
          <w:lang w:val="en-US"/>
        </w:rPr>
      </w:pPr>
      <w:proofErr w:type="gramStart"/>
      <w:r w:rsidRPr="000415F3">
        <w:rPr>
          <w:lang w:val="en-US"/>
        </w:rPr>
        <w:t>UBRABIO.</w:t>
      </w:r>
      <w:proofErr w:type="gramEnd"/>
      <w:r w:rsidRPr="000415F3">
        <w:rPr>
          <w:lang w:val="en-US"/>
        </w:rPr>
        <w:t xml:space="preserve"> Biodiesel in Focus - ENERGY TO COMBAT CLIMATE CHANGE. Brasília, Brazil: UBRABIO, 2016.</w:t>
      </w:r>
      <w:r w:rsidRPr="00214C35">
        <w:rPr>
          <w:lang w:val="en-US"/>
        </w:rPr>
        <w:t xml:space="preserve">  </w:t>
      </w:r>
    </w:p>
    <w:sectPr w:rsidR="00A624E9" w:rsidRPr="00676F86" w:rsidSect="002320B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9F" w:rsidRDefault="001C1A9F" w:rsidP="004F5E36">
      <w:r>
        <w:separator/>
      </w:r>
    </w:p>
  </w:endnote>
  <w:endnote w:type="continuationSeparator" w:id="0">
    <w:p w:rsidR="001C1A9F" w:rsidRDefault="001C1A9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9F" w:rsidRDefault="001C1A9F" w:rsidP="004F5E36">
      <w:r>
        <w:separator/>
      </w:r>
    </w:p>
  </w:footnote>
  <w:footnote w:type="continuationSeparator" w:id="0">
    <w:p w:rsidR="001C1A9F" w:rsidRDefault="001C1A9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0654618"/>
    <w:multiLevelType w:val="hybridMultilevel"/>
    <w:tmpl w:val="A24CB914"/>
    <w:lvl w:ilvl="0" w:tplc="789A24BC">
      <w:start w:val="1"/>
      <w:numFmt w:val="lowerLetter"/>
      <w:lvlText w:val="(%1)"/>
      <w:lvlJc w:val="left"/>
      <w:pPr>
        <w:ind w:left="1995" w:hanging="360"/>
      </w:pPr>
      <w:rPr>
        <w:rFonts w:hint="default"/>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F75463F"/>
    <w:multiLevelType w:val="hybridMultilevel"/>
    <w:tmpl w:val="A53EE0D2"/>
    <w:lvl w:ilvl="0" w:tplc="F7646D96">
      <w:start w:val="1"/>
      <w:numFmt w:val="lowerLetter"/>
      <w:lvlText w:val="(%1)"/>
      <w:lvlJc w:val="left"/>
      <w:pPr>
        <w:ind w:left="6096" w:hanging="4140"/>
      </w:pPr>
      <w:rPr>
        <w:rFonts w:hint="default"/>
      </w:rPr>
    </w:lvl>
    <w:lvl w:ilvl="1" w:tplc="040C0019" w:tentative="1">
      <w:start w:val="1"/>
      <w:numFmt w:val="lowerLetter"/>
      <w:lvlText w:val="%2."/>
      <w:lvlJc w:val="left"/>
      <w:pPr>
        <w:ind w:left="3036" w:hanging="360"/>
      </w:pPr>
    </w:lvl>
    <w:lvl w:ilvl="2" w:tplc="040C001B" w:tentative="1">
      <w:start w:val="1"/>
      <w:numFmt w:val="lowerRoman"/>
      <w:lvlText w:val="%3."/>
      <w:lvlJc w:val="right"/>
      <w:pPr>
        <w:ind w:left="3756" w:hanging="180"/>
      </w:pPr>
    </w:lvl>
    <w:lvl w:ilvl="3" w:tplc="040C000F" w:tentative="1">
      <w:start w:val="1"/>
      <w:numFmt w:val="decimal"/>
      <w:lvlText w:val="%4."/>
      <w:lvlJc w:val="left"/>
      <w:pPr>
        <w:ind w:left="4476" w:hanging="360"/>
      </w:pPr>
    </w:lvl>
    <w:lvl w:ilvl="4" w:tplc="040C0019" w:tentative="1">
      <w:start w:val="1"/>
      <w:numFmt w:val="lowerLetter"/>
      <w:lvlText w:val="%5."/>
      <w:lvlJc w:val="left"/>
      <w:pPr>
        <w:ind w:left="5196" w:hanging="360"/>
      </w:pPr>
    </w:lvl>
    <w:lvl w:ilvl="5" w:tplc="040C001B" w:tentative="1">
      <w:start w:val="1"/>
      <w:numFmt w:val="lowerRoman"/>
      <w:lvlText w:val="%6."/>
      <w:lvlJc w:val="right"/>
      <w:pPr>
        <w:ind w:left="5916" w:hanging="180"/>
      </w:pPr>
    </w:lvl>
    <w:lvl w:ilvl="6" w:tplc="040C000F" w:tentative="1">
      <w:start w:val="1"/>
      <w:numFmt w:val="decimal"/>
      <w:lvlText w:val="%7."/>
      <w:lvlJc w:val="left"/>
      <w:pPr>
        <w:ind w:left="6636" w:hanging="360"/>
      </w:pPr>
    </w:lvl>
    <w:lvl w:ilvl="7" w:tplc="040C0019" w:tentative="1">
      <w:start w:val="1"/>
      <w:numFmt w:val="lowerLetter"/>
      <w:lvlText w:val="%8."/>
      <w:lvlJc w:val="left"/>
      <w:pPr>
        <w:ind w:left="7356" w:hanging="360"/>
      </w:pPr>
    </w:lvl>
    <w:lvl w:ilvl="8" w:tplc="040C001B" w:tentative="1">
      <w:start w:val="1"/>
      <w:numFmt w:val="lowerRoman"/>
      <w:lvlText w:val="%9."/>
      <w:lvlJc w:val="right"/>
      <w:pPr>
        <w:ind w:left="8076" w:hanging="180"/>
      </w:p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5FEC"/>
    <w:rsid w:val="0003148D"/>
    <w:rsid w:val="000415F3"/>
    <w:rsid w:val="00047D7F"/>
    <w:rsid w:val="00051566"/>
    <w:rsid w:val="00062A9A"/>
    <w:rsid w:val="00065058"/>
    <w:rsid w:val="00086C39"/>
    <w:rsid w:val="000904D1"/>
    <w:rsid w:val="000A03B2"/>
    <w:rsid w:val="000A13BF"/>
    <w:rsid w:val="000A3B79"/>
    <w:rsid w:val="000C67E9"/>
    <w:rsid w:val="000D34BE"/>
    <w:rsid w:val="000E102F"/>
    <w:rsid w:val="000E36F1"/>
    <w:rsid w:val="000E3A73"/>
    <w:rsid w:val="000E414A"/>
    <w:rsid w:val="000E6F1D"/>
    <w:rsid w:val="000F093C"/>
    <w:rsid w:val="000F16BD"/>
    <w:rsid w:val="000F787B"/>
    <w:rsid w:val="00106A5E"/>
    <w:rsid w:val="0012091F"/>
    <w:rsid w:val="00126BC2"/>
    <w:rsid w:val="001308B6"/>
    <w:rsid w:val="0013121F"/>
    <w:rsid w:val="00131FAB"/>
    <w:rsid w:val="00131FE6"/>
    <w:rsid w:val="001323E3"/>
    <w:rsid w:val="0013263F"/>
    <w:rsid w:val="00134DE4"/>
    <w:rsid w:val="0014034D"/>
    <w:rsid w:val="001428B1"/>
    <w:rsid w:val="001474C1"/>
    <w:rsid w:val="00150E59"/>
    <w:rsid w:val="00152DE3"/>
    <w:rsid w:val="00155700"/>
    <w:rsid w:val="00164CF9"/>
    <w:rsid w:val="00184AD6"/>
    <w:rsid w:val="00185645"/>
    <w:rsid w:val="001A350C"/>
    <w:rsid w:val="001B0349"/>
    <w:rsid w:val="001B61AD"/>
    <w:rsid w:val="001B65C1"/>
    <w:rsid w:val="001C1A9F"/>
    <w:rsid w:val="001C684B"/>
    <w:rsid w:val="001D53FC"/>
    <w:rsid w:val="001F375F"/>
    <w:rsid w:val="001F42A5"/>
    <w:rsid w:val="001F7B9D"/>
    <w:rsid w:val="00214C35"/>
    <w:rsid w:val="00215CF9"/>
    <w:rsid w:val="002224B4"/>
    <w:rsid w:val="002320BF"/>
    <w:rsid w:val="002447EF"/>
    <w:rsid w:val="00251550"/>
    <w:rsid w:val="00252C1A"/>
    <w:rsid w:val="00263B05"/>
    <w:rsid w:val="0027221A"/>
    <w:rsid w:val="00275B61"/>
    <w:rsid w:val="00282656"/>
    <w:rsid w:val="00290349"/>
    <w:rsid w:val="00296B83"/>
    <w:rsid w:val="002B18B9"/>
    <w:rsid w:val="002B2474"/>
    <w:rsid w:val="002B78CE"/>
    <w:rsid w:val="002C2FB6"/>
    <w:rsid w:val="002C3B72"/>
    <w:rsid w:val="002D25D7"/>
    <w:rsid w:val="002D27CD"/>
    <w:rsid w:val="002D5BCD"/>
    <w:rsid w:val="002E1612"/>
    <w:rsid w:val="002E6A4D"/>
    <w:rsid w:val="002F739D"/>
    <w:rsid w:val="003009B7"/>
    <w:rsid w:val="00300E56"/>
    <w:rsid w:val="0030469C"/>
    <w:rsid w:val="00321CA6"/>
    <w:rsid w:val="00334C09"/>
    <w:rsid w:val="003351B9"/>
    <w:rsid w:val="003355AF"/>
    <w:rsid w:val="003365E3"/>
    <w:rsid w:val="00340676"/>
    <w:rsid w:val="00370123"/>
    <w:rsid w:val="003723D4"/>
    <w:rsid w:val="00384CC8"/>
    <w:rsid w:val="003871FD"/>
    <w:rsid w:val="003A1E30"/>
    <w:rsid w:val="003A7D1C"/>
    <w:rsid w:val="003B304B"/>
    <w:rsid w:val="003B3146"/>
    <w:rsid w:val="003B60F3"/>
    <w:rsid w:val="003C590D"/>
    <w:rsid w:val="003E7812"/>
    <w:rsid w:val="003F015E"/>
    <w:rsid w:val="00400414"/>
    <w:rsid w:val="00412C77"/>
    <w:rsid w:val="0041446B"/>
    <w:rsid w:val="0044329C"/>
    <w:rsid w:val="004577FE"/>
    <w:rsid w:val="00457B9C"/>
    <w:rsid w:val="0046164A"/>
    <w:rsid w:val="004628D2"/>
    <w:rsid w:val="00462DCD"/>
    <w:rsid w:val="00464071"/>
    <w:rsid w:val="0046409A"/>
    <w:rsid w:val="004648AD"/>
    <w:rsid w:val="004703A9"/>
    <w:rsid w:val="004760DE"/>
    <w:rsid w:val="004824D1"/>
    <w:rsid w:val="00494C86"/>
    <w:rsid w:val="004A004E"/>
    <w:rsid w:val="004A07C2"/>
    <w:rsid w:val="004A24CF"/>
    <w:rsid w:val="004A2E35"/>
    <w:rsid w:val="004B6721"/>
    <w:rsid w:val="004C102D"/>
    <w:rsid w:val="004C3D1D"/>
    <w:rsid w:val="004C4D62"/>
    <w:rsid w:val="004C7913"/>
    <w:rsid w:val="004E4DD6"/>
    <w:rsid w:val="004F5E36"/>
    <w:rsid w:val="00503566"/>
    <w:rsid w:val="00507B47"/>
    <w:rsid w:val="00507CC9"/>
    <w:rsid w:val="005119A5"/>
    <w:rsid w:val="005142A4"/>
    <w:rsid w:val="00520D0E"/>
    <w:rsid w:val="00522DA7"/>
    <w:rsid w:val="005278B7"/>
    <w:rsid w:val="00532016"/>
    <w:rsid w:val="005346C8"/>
    <w:rsid w:val="00534DCE"/>
    <w:rsid w:val="00542791"/>
    <w:rsid w:val="00543E7D"/>
    <w:rsid w:val="00545491"/>
    <w:rsid w:val="00546B05"/>
    <w:rsid w:val="00547A68"/>
    <w:rsid w:val="005531C9"/>
    <w:rsid w:val="00563B6C"/>
    <w:rsid w:val="00582077"/>
    <w:rsid w:val="0058488A"/>
    <w:rsid w:val="00597D8A"/>
    <w:rsid w:val="005B2110"/>
    <w:rsid w:val="005B2BFD"/>
    <w:rsid w:val="005B61E6"/>
    <w:rsid w:val="005C77E1"/>
    <w:rsid w:val="005D6A2F"/>
    <w:rsid w:val="005E1A82"/>
    <w:rsid w:val="005E34A0"/>
    <w:rsid w:val="005E794C"/>
    <w:rsid w:val="005F0A28"/>
    <w:rsid w:val="005F0E5E"/>
    <w:rsid w:val="00600535"/>
    <w:rsid w:val="00610CD6"/>
    <w:rsid w:val="00620DEE"/>
    <w:rsid w:val="00621F92"/>
    <w:rsid w:val="00625639"/>
    <w:rsid w:val="00631B33"/>
    <w:rsid w:val="0064184D"/>
    <w:rsid w:val="006422CC"/>
    <w:rsid w:val="00660E3E"/>
    <w:rsid w:val="00662E74"/>
    <w:rsid w:val="0066427F"/>
    <w:rsid w:val="00676F86"/>
    <w:rsid w:val="00680C23"/>
    <w:rsid w:val="00693766"/>
    <w:rsid w:val="006A3281"/>
    <w:rsid w:val="006B4888"/>
    <w:rsid w:val="006C2E45"/>
    <w:rsid w:val="006C359C"/>
    <w:rsid w:val="006C4EAA"/>
    <w:rsid w:val="006C5579"/>
    <w:rsid w:val="006D37C5"/>
    <w:rsid w:val="006D46E9"/>
    <w:rsid w:val="006D54C1"/>
    <w:rsid w:val="006E58D9"/>
    <w:rsid w:val="006E737D"/>
    <w:rsid w:val="0070195D"/>
    <w:rsid w:val="00702D54"/>
    <w:rsid w:val="00720A24"/>
    <w:rsid w:val="00732386"/>
    <w:rsid w:val="00736B14"/>
    <w:rsid w:val="007447F3"/>
    <w:rsid w:val="0075499F"/>
    <w:rsid w:val="007661C8"/>
    <w:rsid w:val="0077098D"/>
    <w:rsid w:val="0078537B"/>
    <w:rsid w:val="007931FA"/>
    <w:rsid w:val="007A31F6"/>
    <w:rsid w:val="007A7BBA"/>
    <w:rsid w:val="007B0C50"/>
    <w:rsid w:val="007B44CE"/>
    <w:rsid w:val="007C1A43"/>
    <w:rsid w:val="007C28DC"/>
    <w:rsid w:val="007E1DC6"/>
    <w:rsid w:val="00813288"/>
    <w:rsid w:val="008168FC"/>
    <w:rsid w:val="00830996"/>
    <w:rsid w:val="008345F1"/>
    <w:rsid w:val="00844EDB"/>
    <w:rsid w:val="00861A5D"/>
    <w:rsid w:val="00863053"/>
    <w:rsid w:val="00865B07"/>
    <w:rsid w:val="008667EA"/>
    <w:rsid w:val="0087637F"/>
    <w:rsid w:val="0088320A"/>
    <w:rsid w:val="008904B9"/>
    <w:rsid w:val="00892AD5"/>
    <w:rsid w:val="008A1512"/>
    <w:rsid w:val="008C78C1"/>
    <w:rsid w:val="008D32B9"/>
    <w:rsid w:val="008D433B"/>
    <w:rsid w:val="008D7EF3"/>
    <w:rsid w:val="008E566E"/>
    <w:rsid w:val="008F1F51"/>
    <w:rsid w:val="0090161A"/>
    <w:rsid w:val="00901EB6"/>
    <w:rsid w:val="00904C62"/>
    <w:rsid w:val="00924DAC"/>
    <w:rsid w:val="00926E11"/>
    <w:rsid w:val="00927058"/>
    <w:rsid w:val="009450CE"/>
    <w:rsid w:val="00947179"/>
    <w:rsid w:val="0095164B"/>
    <w:rsid w:val="00954090"/>
    <w:rsid w:val="009573E7"/>
    <w:rsid w:val="009635B9"/>
    <w:rsid w:val="00963E05"/>
    <w:rsid w:val="00967D54"/>
    <w:rsid w:val="00996483"/>
    <w:rsid w:val="00996F5A"/>
    <w:rsid w:val="009A0A3E"/>
    <w:rsid w:val="009A317C"/>
    <w:rsid w:val="009B041A"/>
    <w:rsid w:val="009B0C7E"/>
    <w:rsid w:val="009C7C86"/>
    <w:rsid w:val="009D2FF7"/>
    <w:rsid w:val="009E7884"/>
    <w:rsid w:val="009E788A"/>
    <w:rsid w:val="009F0E08"/>
    <w:rsid w:val="00A0684C"/>
    <w:rsid w:val="00A15CEA"/>
    <w:rsid w:val="00A1763D"/>
    <w:rsid w:val="00A17CEC"/>
    <w:rsid w:val="00A25801"/>
    <w:rsid w:val="00A27EF0"/>
    <w:rsid w:val="00A42AA5"/>
    <w:rsid w:val="00A50B20"/>
    <w:rsid w:val="00A51390"/>
    <w:rsid w:val="00A60D13"/>
    <w:rsid w:val="00A624E9"/>
    <w:rsid w:val="00A676B1"/>
    <w:rsid w:val="00A71B1C"/>
    <w:rsid w:val="00A72745"/>
    <w:rsid w:val="00A72869"/>
    <w:rsid w:val="00A76EFC"/>
    <w:rsid w:val="00A8625A"/>
    <w:rsid w:val="00A91010"/>
    <w:rsid w:val="00A9755F"/>
    <w:rsid w:val="00A97F29"/>
    <w:rsid w:val="00AA702E"/>
    <w:rsid w:val="00AB0964"/>
    <w:rsid w:val="00AB5011"/>
    <w:rsid w:val="00AB7F5E"/>
    <w:rsid w:val="00AC7368"/>
    <w:rsid w:val="00AD16B9"/>
    <w:rsid w:val="00AD298C"/>
    <w:rsid w:val="00AD4108"/>
    <w:rsid w:val="00AE377D"/>
    <w:rsid w:val="00AE7D10"/>
    <w:rsid w:val="00AE7DD6"/>
    <w:rsid w:val="00AF39DE"/>
    <w:rsid w:val="00B05AB4"/>
    <w:rsid w:val="00B17FBD"/>
    <w:rsid w:val="00B21FE3"/>
    <w:rsid w:val="00B315A6"/>
    <w:rsid w:val="00B31813"/>
    <w:rsid w:val="00B33365"/>
    <w:rsid w:val="00B40FB7"/>
    <w:rsid w:val="00B4625A"/>
    <w:rsid w:val="00B57B36"/>
    <w:rsid w:val="00B8686D"/>
    <w:rsid w:val="00BC30C9"/>
    <w:rsid w:val="00BC5AC9"/>
    <w:rsid w:val="00BE3E58"/>
    <w:rsid w:val="00C01616"/>
    <w:rsid w:val="00C0162B"/>
    <w:rsid w:val="00C345B1"/>
    <w:rsid w:val="00C35509"/>
    <w:rsid w:val="00C40142"/>
    <w:rsid w:val="00C57182"/>
    <w:rsid w:val="00C57863"/>
    <w:rsid w:val="00C655FD"/>
    <w:rsid w:val="00C77EB1"/>
    <w:rsid w:val="00C84E8B"/>
    <w:rsid w:val="00C870A8"/>
    <w:rsid w:val="00C94434"/>
    <w:rsid w:val="00CA0D75"/>
    <w:rsid w:val="00CA1C95"/>
    <w:rsid w:val="00CA5A9C"/>
    <w:rsid w:val="00CB1632"/>
    <w:rsid w:val="00CB5D61"/>
    <w:rsid w:val="00CD3517"/>
    <w:rsid w:val="00CD5A00"/>
    <w:rsid w:val="00CD5FE2"/>
    <w:rsid w:val="00CE612F"/>
    <w:rsid w:val="00CE7C68"/>
    <w:rsid w:val="00CF2296"/>
    <w:rsid w:val="00D01D6D"/>
    <w:rsid w:val="00D02B4C"/>
    <w:rsid w:val="00D040C4"/>
    <w:rsid w:val="00D04D2A"/>
    <w:rsid w:val="00D50EB1"/>
    <w:rsid w:val="00D56EDF"/>
    <w:rsid w:val="00D57C84"/>
    <w:rsid w:val="00D60271"/>
    <w:rsid w:val="00D6057D"/>
    <w:rsid w:val="00D76CDF"/>
    <w:rsid w:val="00D84576"/>
    <w:rsid w:val="00D8475D"/>
    <w:rsid w:val="00D85927"/>
    <w:rsid w:val="00DA1399"/>
    <w:rsid w:val="00DA24C6"/>
    <w:rsid w:val="00DA4D7B"/>
    <w:rsid w:val="00DB77B7"/>
    <w:rsid w:val="00DB7941"/>
    <w:rsid w:val="00DD5800"/>
    <w:rsid w:val="00DE264A"/>
    <w:rsid w:val="00E02D18"/>
    <w:rsid w:val="00E041E7"/>
    <w:rsid w:val="00E1173C"/>
    <w:rsid w:val="00E15F2E"/>
    <w:rsid w:val="00E23CA1"/>
    <w:rsid w:val="00E357FE"/>
    <w:rsid w:val="00E409A8"/>
    <w:rsid w:val="00E50C12"/>
    <w:rsid w:val="00E65B91"/>
    <w:rsid w:val="00E7209D"/>
    <w:rsid w:val="00E77223"/>
    <w:rsid w:val="00E8528B"/>
    <w:rsid w:val="00E85B94"/>
    <w:rsid w:val="00E86969"/>
    <w:rsid w:val="00E959BD"/>
    <w:rsid w:val="00E972CF"/>
    <w:rsid w:val="00E978D0"/>
    <w:rsid w:val="00EA4613"/>
    <w:rsid w:val="00EA7F91"/>
    <w:rsid w:val="00EB1523"/>
    <w:rsid w:val="00EC0953"/>
    <w:rsid w:val="00EC0E49"/>
    <w:rsid w:val="00EE0131"/>
    <w:rsid w:val="00F132AA"/>
    <w:rsid w:val="00F155B2"/>
    <w:rsid w:val="00F30C64"/>
    <w:rsid w:val="00F32532"/>
    <w:rsid w:val="00F32CDB"/>
    <w:rsid w:val="00F52969"/>
    <w:rsid w:val="00F63A70"/>
    <w:rsid w:val="00F94162"/>
    <w:rsid w:val="00FA21D0"/>
    <w:rsid w:val="00FA5F5F"/>
    <w:rsid w:val="00FB1B75"/>
    <w:rsid w:val="00FB730C"/>
    <w:rsid w:val="00FC1C09"/>
    <w:rsid w:val="00FC2695"/>
    <w:rsid w:val="00FC3E03"/>
    <w:rsid w:val="00FC3FC1"/>
    <w:rsid w:val="00FD4D8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40676"/>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4067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14">
    <w:name w:val="s14"/>
    <w:basedOn w:val="Normal"/>
    <w:rsid w:val="00290349"/>
    <w:pPr>
      <w:tabs>
        <w:tab w:val="clear" w:pos="7100"/>
      </w:tabs>
      <w:spacing w:before="100" w:beforeAutospacing="1" w:after="100" w:afterAutospacing="1" w:line="240" w:lineRule="auto"/>
      <w:jc w:val="left"/>
    </w:pPr>
    <w:rPr>
      <w:rFonts w:ascii="Times New Roman" w:eastAsiaTheme="minorEastAsia" w:hAnsi="Times New Roman"/>
      <w:sz w:val="24"/>
      <w:szCs w:val="24"/>
      <w:lang w:val="pt-BR" w:eastAsia="pt-BR"/>
    </w:rPr>
  </w:style>
  <w:style w:type="character" w:customStyle="1" w:styleId="FiguraChar">
    <w:name w:val="Figura Char"/>
    <w:basedOn w:val="Policepardfaut"/>
    <w:link w:val="Figura"/>
    <w:locked/>
    <w:rsid w:val="002B2474"/>
    <w:rPr>
      <w:rFonts w:ascii="Arial" w:eastAsia="Calibri" w:hAnsi="Arial" w:cs="Times New Roman"/>
      <w:bCs/>
      <w:sz w:val="20"/>
      <w:szCs w:val="18"/>
    </w:rPr>
  </w:style>
  <w:style w:type="paragraph" w:customStyle="1" w:styleId="Figura">
    <w:name w:val="Figura"/>
    <w:link w:val="FiguraChar"/>
    <w:qFormat/>
    <w:rsid w:val="002B2474"/>
    <w:pPr>
      <w:spacing w:after="0" w:line="240" w:lineRule="auto"/>
      <w:jc w:val="both"/>
    </w:pPr>
    <w:rPr>
      <w:rFonts w:ascii="Arial" w:eastAsia="Calibri" w:hAnsi="Arial" w:cs="Times New Roman"/>
      <w:bCs/>
      <w:sz w:val="20"/>
      <w:szCs w:val="18"/>
    </w:rPr>
  </w:style>
  <w:style w:type="paragraph" w:customStyle="1" w:styleId="Ilustrao">
    <w:name w:val="Ilustração"/>
    <w:basedOn w:val="Normal"/>
    <w:link w:val="IlustraoChar"/>
    <w:rsid w:val="001428B1"/>
    <w:pPr>
      <w:tabs>
        <w:tab w:val="clear" w:pos="7100"/>
      </w:tabs>
      <w:overflowPunct w:val="0"/>
      <w:autoSpaceDE w:val="0"/>
      <w:spacing w:before="120" w:afterLines="70" w:line="360" w:lineRule="auto"/>
      <w:ind w:firstLine="709"/>
      <w:jc w:val="center"/>
      <w:textAlignment w:val="baseline"/>
    </w:pPr>
    <w:rPr>
      <w:rFonts w:cs="Arial"/>
      <w:b/>
      <w:bCs/>
      <w:sz w:val="20"/>
      <w:lang w:val="pt-BR" w:eastAsia="ar-SA"/>
    </w:rPr>
  </w:style>
  <w:style w:type="character" w:customStyle="1" w:styleId="IlustraoChar">
    <w:name w:val="Ilustração Char"/>
    <w:basedOn w:val="Policepardfaut"/>
    <w:link w:val="Ilustrao"/>
    <w:rsid w:val="001428B1"/>
    <w:rPr>
      <w:rFonts w:ascii="Arial" w:eastAsia="Times New Roman" w:hAnsi="Arial" w:cs="Arial"/>
      <w:b/>
      <w:bCs/>
      <w:sz w:val="20"/>
      <w:szCs w:val="20"/>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40676"/>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4067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14">
    <w:name w:val="s14"/>
    <w:basedOn w:val="Normal"/>
    <w:rsid w:val="00290349"/>
    <w:pPr>
      <w:tabs>
        <w:tab w:val="clear" w:pos="7100"/>
      </w:tabs>
      <w:spacing w:before="100" w:beforeAutospacing="1" w:after="100" w:afterAutospacing="1" w:line="240" w:lineRule="auto"/>
      <w:jc w:val="left"/>
    </w:pPr>
    <w:rPr>
      <w:rFonts w:ascii="Times New Roman" w:eastAsiaTheme="minorEastAsia" w:hAnsi="Times New Roman"/>
      <w:sz w:val="24"/>
      <w:szCs w:val="24"/>
      <w:lang w:val="pt-BR" w:eastAsia="pt-BR"/>
    </w:rPr>
  </w:style>
  <w:style w:type="character" w:customStyle="1" w:styleId="FiguraChar">
    <w:name w:val="Figura Char"/>
    <w:basedOn w:val="Policepardfaut"/>
    <w:link w:val="Figura"/>
    <w:locked/>
    <w:rsid w:val="002B2474"/>
    <w:rPr>
      <w:rFonts w:ascii="Arial" w:eastAsia="Calibri" w:hAnsi="Arial" w:cs="Times New Roman"/>
      <w:bCs/>
      <w:sz w:val="20"/>
      <w:szCs w:val="18"/>
    </w:rPr>
  </w:style>
  <w:style w:type="paragraph" w:customStyle="1" w:styleId="Figura">
    <w:name w:val="Figura"/>
    <w:link w:val="FiguraChar"/>
    <w:qFormat/>
    <w:rsid w:val="002B2474"/>
    <w:pPr>
      <w:spacing w:after="0" w:line="240" w:lineRule="auto"/>
      <w:jc w:val="both"/>
    </w:pPr>
    <w:rPr>
      <w:rFonts w:ascii="Arial" w:eastAsia="Calibri" w:hAnsi="Arial" w:cs="Times New Roman"/>
      <w:bCs/>
      <w:sz w:val="20"/>
      <w:szCs w:val="18"/>
    </w:rPr>
  </w:style>
  <w:style w:type="paragraph" w:customStyle="1" w:styleId="Ilustrao">
    <w:name w:val="Ilustração"/>
    <w:basedOn w:val="Normal"/>
    <w:link w:val="IlustraoChar"/>
    <w:rsid w:val="001428B1"/>
    <w:pPr>
      <w:tabs>
        <w:tab w:val="clear" w:pos="7100"/>
      </w:tabs>
      <w:overflowPunct w:val="0"/>
      <w:autoSpaceDE w:val="0"/>
      <w:spacing w:before="120" w:afterLines="70" w:line="360" w:lineRule="auto"/>
      <w:ind w:firstLine="709"/>
      <w:jc w:val="center"/>
      <w:textAlignment w:val="baseline"/>
    </w:pPr>
    <w:rPr>
      <w:rFonts w:cs="Arial"/>
      <w:b/>
      <w:bCs/>
      <w:sz w:val="20"/>
      <w:lang w:val="pt-BR" w:eastAsia="ar-SA"/>
    </w:rPr>
  </w:style>
  <w:style w:type="character" w:customStyle="1" w:styleId="IlustraoChar">
    <w:name w:val="Ilustração Char"/>
    <w:basedOn w:val="Policepardfaut"/>
    <w:link w:val="Ilustrao"/>
    <w:rsid w:val="001428B1"/>
    <w:rPr>
      <w:rFonts w:ascii="Arial" w:eastAsia="Times New Roman" w:hAnsi="Arial" w:cs="Arial"/>
      <w:b/>
      <w:bCs/>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964">
      <w:bodyDiv w:val="1"/>
      <w:marLeft w:val="0"/>
      <w:marRight w:val="0"/>
      <w:marTop w:val="0"/>
      <w:marBottom w:val="0"/>
      <w:divBdr>
        <w:top w:val="none" w:sz="0" w:space="0" w:color="auto"/>
        <w:left w:val="none" w:sz="0" w:space="0" w:color="auto"/>
        <w:bottom w:val="none" w:sz="0" w:space="0" w:color="auto"/>
        <w:right w:val="none" w:sz="0" w:space="0" w:color="auto"/>
      </w:divBdr>
    </w:div>
    <w:div w:id="131749230">
      <w:bodyDiv w:val="1"/>
      <w:marLeft w:val="0"/>
      <w:marRight w:val="0"/>
      <w:marTop w:val="0"/>
      <w:marBottom w:val="0"/>
      <w:divBdr>
        <w:top w:val="none" w:sz="0" w:space="0" w:color="auto"/>
        <w:left w:val="none" w:sz="0" w:space="0" w:color="auto"/>
        <w:bottom w:val="none" w:sz="0" w:space="0" w:color="auto"/>
        <w:right w:val="none" w:sz="0" w:space="0" w:color="auto"/>
      </w:divBdr>
    </w:div>
    <w:div w:id="166017666">
      <w:bodyDiv w:val="1"/>
      <w:marLeft w:val="0"/>
      <w:marRight w:val="0"/>
      <w:marTop w:val="0"/>
      <w:marBottom w:val="0"/>
      <w:divBdr>
        <w:top w:val="none" w:sz="0" w:space="0" w:color="auto"/>
        <w:left w:val="none" w:sz="0" w:space="0" w:color="auto"/>
        <w:bottom w:val="none" w:sz="0" w:space="0" w:color="auto"/>
        <w:right w:val="none" w:sz="0" w:space="0" w:color="auto"/>
      </w:divBdr>
    </w:div>
    <w:div w:id="173612274">
      <w:bodyDiv w:val="1"/>
      <w:marLeft w:val="0"/>
      <w:marRight w:val="0"/>
      <w:marTop w:val="0"/>
      <w:marBottom w:val="0"/>
      <w:divBdr>
        <w:top w:val="none" w:sz="0" w:space="0" w:color="auto"/>
        <w:left w:val="none" w:sz="0" w:space="0" w:color="auto"/>
        <w:bottom w:val="none" w:sz="0" w:space="0" w:color="auto"/>
        <w:right w:val="none" w:sz="0" w:space="0" w:color="auto"/>
      </w:divBdr>
    </w:div>
    <w:div w:id="200095554">
      <w:bodyDiv w:val="1"/>
      <w:marLeft w:val="0"/>
      <w:marRight w:val="0"/>
      <w:marTop w:val="0"/>
      <w:marBottom w:val="0"/>
      <w:divBdr>
        <w:top w:val="none" w:sz="0" w:space="0" w:color="auto"/>
        <w:left w:val="none" w:sz="0" w:space="0" w:color="auto"/>
        <w:bottom w:val="none" w:sz="0" w:space="0" w:color="auto"/>
        <w:right w:val="none" w:sz="0" w:space="0" w:color="auto"/>
      </w:divBdr>
    </w:div>
    <w:div w:id="381639210">
      <w:bodyDiv w:val="1"/>
      <w:marLeft w:val="0"/>
      <w:marRight w:val="0"/>
      <w:marTop w:val="0"/>
      <w:marBottom w:val="0"/>
      <w:divBdr>
        <w:top w:val="none" w:sz="0" w:space="0" w:color="auto"/>
        <w:left w:val="none" w:sz="0" w:space="0" w:color="auto"/>
        <w:bottom w:val="none" w:sz="0" w:space="0" w:color="auto"/>
        <w:right w:val="none" w:sz="0" w:space="0" w:color="auto"/>
      </w:divBdr>
    </w:div>
    <w:div w:id="585725340">
      <w:bodyDiv w:val="1"/>
      <w:marLeft w:val="0"/>
      <w:marRight w:val="0"/>
      <w:marTop w:val="0"/>
      <w:marBottom w:val="0"/>
      <w:divBdr>
        <w:top w:val="none" w:sz="0" w:space="0" w:color="auto"/>
        <w:left w:val="none" w:sz="0" w:space="0" w:color="auto"/>
        <w:bottom w:val="none" w:sz="0" w:space="0" w:color="auto"/>
        <w:right w:val="none" w:sz="0" w:space="0" w:color="auto"/>
      </w:divBdr>
    </w:div>
    <w:div w:id="618298761">
      <w:bodyDiv w:val="1"/>
      <w:marLeft w:val="0"/>
      <w:marRight w:val="0"/>
      <w:marTop w:val="0"/>
      <w:marBottom w:val="0"/>
      <w:divBdr>
        <w:top w:val="none" w:sz="0" w:space="0" w:color="auto"/>
        <w:left w:val="none" w:sz="0" w:space="0" w:color="auto"/>
        <w:bottom w:val="none" w:sz="0" w:space="0" w:color="auto"/>
        <w:right w:val="none" w:sz="0" w:space="0" w:color="auto"/>
      </w:divBdr>
    </w:div>
    <w:div w:id="724523976">
      <w:bodyDiv w:val="1"/>
      <w:marLeft w:val="0"/>
      <w:marRight w:val="0"/>
      <w:marTop w:val="0"/>
      <w:marBottom w:val="0"/>
      <w:divBdr>
        <w:top w:val="none" w:sz="0" w:space="0" w:color="auto"/>
        <w:left w:val="none" w:sz="0" w:space="0" w:color="auto"/>
        <w:bottom w:val="none" w:sz="0" w:space="0" w:color="auto"/>
        <w:right w:val="none" w:sz="0" w:space="0" w:color="auto"/>
      </w:divBdr>
    </w:div>
    <w:div w:id="730345713">
      <w:bodyDiv w:val="1"/>
      <w:marLeft w:val="0"/>
      <w:marRight w:val="0"/>
      <w:marTop w:val="0"/>
      <w:marBottom w:val="0"/>
      <w:divBdr>
        <w:top w:val="none" w:sz="0" w:space="0" w:color="auto"/>
        <w:left w:val="none" w:sz="0" w:space="0" w:color="auto"/>
        <w:bottom w:val="none" w:sz="0" w:space="0" w:color="auto"/>
        <w:right w:val="none" w:sz="0" w:space="0" w:color="auto"/>
      </w:divBdr>
    </w:div>
    <w:div w:id="74364781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750">
      <w:bodyDiv w:val="1"/>
      <w:marLeft w:val="0"/>
      <w:marRight w:val="0"/>
      <w:marTop w:val="0"/>
      <w:marBottom w:val="0"/>
      <w:divBdr>
        <w:top w:val="none" w:sz="0" w:space="0" w:color="auto"/>
        <w:left w:val="none" w:sz="0" w:space="0" w:color="auto"/>
        <w:bottom w:val="none" w:sz="0" w:space="0" w:color="auto"/>
        <w:right w:val="none" w:sz="0" w:space="0" w:color="auto"/>
      </w:divBdr>
    </w:div>
    <w:div w:id="799032648">
      <w:bodyDiv w:val="1"/>
      <w:marLeft w:val="0"/>
      <w:marRight w:val="0"/>
      <w:marTop w:val="0"/>
      <w:marBottom w:val="0"/>
      <w:divBdr>
        <w:top w:val="none" w:sz="0" w:space="0" w:color="auto"/>
        <w:left w:val="none" w:sz="0" w:space="0" w:color="auto"/>
        <w:bottom w:val="none" w:sz="0" w:space="0" w:color="auto"/>
        <w:right w:val="none" w:sz="0" w:space="0" w:color="auto"/>
      </w:divBdr>
    </w:div>
    <w:div w:id="811563324">
      <w:bodyDiv w:val="1"/>
      <w:marLeft w:val="0"/>
      <w:marRight w:val="0"/>
      <w:marTop w:val="0"/>
      <w:marBottom w:val="0"/>
      <w:divBdr>
        <w:top w:val="none" w:sz="0" w:space="0" w:color="auto"/>
        <w:left w:val="none" w:sz="0" w:space="0" w:color="auto"/>
        <w:bottom w:val="none" w:sz="0" w:space="0" w:color="auto"/>
        <w:right w:val="none" w:sz="0" w:space="0" w:color="auto"/>
      </w:divBdr>
    </w:div>
    <w:div w:id="83009670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67313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336">
      <w:bodyDiv w:val="1"/>
      <w:marLeft w:val="0"/>
      <w:marRight w:val="0"/>
      <w:marTop w:val="0"/>
      <w:marBottom w:val="0"/>
      <w:divBdr>
        <w:top w:val="none" w:sz="0" w:space="0" w:color="auto"/>
        <w:left w:val="none" w:sz="0" w:space="0" w:color="auto"/>
        <w:bottom w:val="none" w:sz="0" w:space="0" w:color="auto"/>
        <w:right w:val="none" w:sz="0" w:space="0" w:color="auto"/>
      </w:divBdr>
    </w:div>
    <w:div w:id="1084378940">
      <w:bodyDiv w:val="1"/>
      <w:marLeft w:val="0"/>
      <w:marRight w:val="0"/>
      <w:marTop w:val="0"/>
      <w:marBottom w:val="0"/>
      <w:divBdr>
        <w:top w:val="none" w:sz="0" w:space="0" w:color="auto"/>
        <w:left w:val="none" w:sz="0" w:space="0" w:color="auto"/>
        <w:bottom w:val="none" w:sz="0" w:space="0" w:color="auto"/>
        <w:right w:val="none" w:sz="0" w:space="0" w:color="auto"/>
      </w:divBdr>
    </w:div>
    <w:div w:id="1153446683">
      <w:bodyDiv w:val="1"/>
      <w:marLeft w:val="0"/>
      <w:marRight w:val="0"/>
      <w:marTop w:val="0"/>
      <w:marBottom w:val="0"/>
      <w:divBdr>
        <w:top w:val="none" w:sz="0" w:space="0" w:color="auto"/>
        <w:left w:val="none" w:sz="0" w:space="0" w:color="auto"/>
        <w:bottom w:val="none" w:sz="0" w:space="0" w:color="auto"/>
        <w:right w:val="none" w:sz="0" w:space="0" w:color="auto"/>
      </w:divBdr>
    </w:div>
    <w:div w:id="1206871309">
      <w:bodyDiv w:val="1"/>
      <w:marLeft w:val="0"/>
      <w:marRight w:val="0"/>
      <w:marTop w:val="0"/>
      <w:marBottom w:val="0"/>
      <w:divBdr>
        <w:top w:val="none" w:sz="0" w:space="0" w:color="auto"/>
        <w:left w:val="none" w:sz="0" w:space="0" w:color="auto"/>
        <w:bottom w:val="none" w:sz="0" w:space="0" w:color="auto"/>
        <w:right w:val="none" w:sz="0" w:space="0" w:color="auto"/>
      </w:divBdr>
    </w:div>
    <w:div w:id="1219054846">
      <w:bodyDiv w:val="1"/>
      <w:marLeft w:val="0"/>
      <w:marRight w:val="0"/>
      <w:marTop w:val="0"/>
      <w:marBottom w:val="0"/>
      <w:divBdr>
        <w:top w:val="none" w:sz="0" w:space="0" w:color="auto"/>
        <w:left w:val="none" w:sz="0" w:space="0" w:color="auto"/>
        <w:bottom w:val="none" w:sz="0" w:space="0" w:color="auto"/>
        <w:right w:val="none" w:sz="0" w:space="0" w:color="auto"/>
      </w:divBdr>
    </w:div>
    <w:div w:id="1288314499">
      <w:bodyDiv w:val="1"/>
      <w:marLeft w:val="0"/>
      <w:marRight w:val="0"/>
      <w:marTop w:val="0"/>
      <w:marBottom w:val="0"/>
      <w:divBdr>
        <w:top w:val="none" w:sz="0" w:space="0" w:color="auto"/>
        <w:left w:val="none" w:sz="0" w:space="0" w:color="auto"/>
        <w:bottom w:val="none" w:sz="0" w:space="0" w:color="auto"/>
        <w:right w:val="none" w:sz="0" w:space="0" w:color="auto"/>
      </w:divBdr>
    </w:div>
    <w:div w:id="1293638322">
      <w:bodyDiv w:val="1"/>
      <w:marLeft w:val="0"/>
      <w:marRight w:val="0"/>
      <w:marTop w:val="0"/>
      <w:marBottom w:val="0"/>
      <w:divBdr>
        <w:top w:val="none" w:sz="0" w:space="0" w:color="auto"/>
        <w:left w:val="none" w:sz="0" w:space="0" w:color="auto"/>
        <w:bottom w:val="none" w:sz="0" w:space="0" w:color="auto"/>
        <w:right w:val="none" w:sz="0" w:space="0" w:color="auto"/>
      </w:divBdr>
    </w:div>
    <w:div w:id="1315139620">
      <w:bodyDiv w:val="1"/>
      <w:marLeft w:val="0"/>
      <w:marRight w:val="0"/>
      <w:marTop w:val="0"/>
      <w:marBottom w:val="0"/>
      <w:divBdr>
        <w:top w:val="none" w:sz="0" w:space="0" w:color="auto"/>
        <w:left w:val="none" w:sz="0" w:space="0" w:color="auto"/>
        <w:bottom w:val="none" w:sz="0" w:space="0" w:color="auto"/>
        <w:right w:val="none" w:sz="0" w:space="0" w:color="auto"/>
      </w:divBdr>
    </w:div>
    <w:div w:id="1334182569">
      <w:bodyDiv w:val="1"/>
      <w:marLeft w:val="0"/>
      <w:marRight w:val="0"/>
      <w:marTop w:val="0"/>
      <w:marBottom w:val="0"/>
      <w:divBdr>
        <w:top w:val="none" w:sz="0" w:space="0" w:color="auto"/>
        <w:left w:val="none" w:sz="0" w:space="0" w:color="auto"/>
        <w:bottom w:val="none" w:sz="0" w:space="0" w:color="auto"/>
        <w:right w:val="none" w:sz="0" w:space="0" w:color="auto"/>
      </w:divBdr>
    </w:div>
    <w:div w:id="1476095831">
      <w:bodyDiv w:val="1"/>
      <w:marLeft w:val="0"/>
      <w:marRight w:val="0"/>
      <w:marTop w:val="0"/>
      <w:marBottom w:val="0"/>
      <w:divBdr>
        <w:top w:val="none" w:sz="0" w:space="0" w:color="auto"/>
        <w:left w:val="none" w:sz="0" w:space="0" w:color="auto"/>
        <w:bottom w:val="none" w:sz="0" w:space="0" w:color="auto"/>
        <w:right w:val="none" w:sz="0" w:space="0" w:color="auto"/>
      </w:divBdr>
    </w:div>
    <w:div w:id="1478954946">
      <w:bodyDiv w:val="1"/>
      <w:marLeft w:val="0"/>
      <w:marRight w:val="0"/>
      <w:marTop w:val="0"/>
      <w:marBottom w:val="0"/>
      <w:divBdr>
        <w:top w:val="none" w:sz="0" w:space="0" w:color="auto"/>
        <w:left w:val="none" w:sz="0" w:space="0" w:color="auto"/>
        <w:bottom w:val="none" w:sz="0" w:space="0" w:color="auto"/>
        <w:right w:val="none" w:sz="0" w:space="0" w:color="auto"/>
      </w:divBdr>
    </w:div>
    <w:div w:id="1493526907">
      <w:bodyDiv w:val="1"/>
      <w:marLeft w:val="0"/>
      <w:marRight w:val="0"/>
      <w:marTop w:val="0"/>
      <w:marBottom w:val="0"/>
      <w:divBdr>
        <w:top w:val="none" w:sz="0" w:space="0" w:color="auto"/>
        <w:left w:val="none" w:sz="0" w:space="0" w:color="auto"/>
        <w:bottom w:val="none" w:sz="0" w:space="0" w:color="auto"/>
        <w:right w:val="none" w:sz="0" w:space="0" w:color="auto"/>
      </w:divBdr>
    </w:div>
    <w:div w:id="1545169309">
      <w:bodyDiv w:val="1"/>
      <w:marLeft w:val="0"/>
      <w:marRight w:val="0"/>
      <w:marTop w:val="0"/>
      <w:marBottom w:val="0"/>
      <w:divBdr>
        <w:top w:val="none" w:sz="0" w:space="0" w:color="auto"/>
        <w:left w:val="none" w:sz="0" w:space="0" w:color="auto"/>
        <w:bottom w:val="none" w:sz="0" w:space="0" w:color="auto"/>
        <w:right w:val="none" w:sz="0" w:space="0" w:color="auto"/>
      </w:divBdr>
    </w:div>
    <w:div w:id="1588230760">
      <w:bodyDiv w:val="1"/>
      <w:marLeft w:val="0"/>
      <w:marRight w:val="0"/>
      <w:marTop w:val="0"/>
      <w:marBottom w:val="0"/>
      <w:divBdr>
        <w:top w:val="none" w:sz="0" w:space="0" w:color="auto"/>
        <w:left w:val="none" w:sz="0" w:space="0" w:color="auto"/>
        <w:bottom w:val="none" w:sz="0" w:space="0" w:color="auto"/>
        <w:right w:val="none" w:sz="0" w:space="0" w:color="auto"/>
      </w:divBdr>
    </w:div>
    <w:div w:id="162831487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2403">
      <w:bodyDiv w:val="1"/>
      <w:marLeft w:val="0"/>
      <w:marRight w:val="0"/>
      <w:marTop w:val="0"/>
      <w:marBottom w:val="0"/>
      <w:divBdr>
        <w:top w:val="none" w:sz="0" w:space="0" w:color="auto"/>
        <w:left w:val="none" w:sz="0" w:space="0" w:color="auto"/>
        <w:bottom w:val="none" w:sz="0" w:space="0" w:color="auto"/>
        <w:right w:val="none" w:sz="0" w:space="0" w:color="auto"/>
      </w:divBdr>
    </w:div>
    <w:div w:id="1953856273">
      <w:bodyDiv w:val="1"/>
      <w:marLeft w:val="0"/>
      <w:marRight w:val="0"/>
      <w:marTop w:val="0"/>
      <w:marBottom w:val="0"/>
      <w:divBdr>
        <w:top w:val="none" w:sz="0" w:space="0" w:color="auto"/>
        <w:left w:val="none" w:sz="0" w:space="0" w:color="auto"/>
        <w:bottom w:val="none" w:sz="0" w:space="0" w:color="auto"/>
        <w:right w:val="none" w:sz="0" w:space="0" w:color="auto"/>
      </w:divBdr>
    </w:div>
    <w:div w:id="2005355442">
      <w:bodyDiv w:val="1"/>
      <w:marLeft w:val="0"/>
      <w:marRight w:val="0"/>
      <w:marTop w:val="0"/>
      <w:marBottom w:val="0"/>
      <w:divBdr>
        <w:top w:val="none" w:sz="0" w:space="0" w:color="auto"/>
        <w:left w:val="none" w:sz="0" w:space="0" w:color="auto"/>
        <w:bottom w:val="none" w:sz="0" w:space="0" w:color="auto"/>
        <w:right w:val="none" w:sz="0" w:space="0" w:color="auto"/>
      </w:divBdr>
    </w:div>
    <w:div w:id="2085570499">
      <w:bodyDiv w:val="1"/>
      <w:marLeft w:val="0"/>
      <w:marRight w:val="0"/>
      <w:marTop w:val="0"/>
      <w:marBottom w:val="0"/>
      <w:divBdr>
        <w:top w:val="none" w:sz="0" w:space="0" w:color="auto"/>
        <w:left w:val="none" w:sz="0" w:space="0" w:color="auto"/>
        <w:bottom w:val="none" w:sz="0" w:space="0" w:color="auto"/>
        <w:right w:val="none" w:sz="0" w:space="0" w:color="auto"/>
      </w:divBdr>
    </w:div>
    <w:div w:id="2103647443">
      <w:bodyDiv w:val="1"/>
      <w:marLeft w:val="0"/>
      <w:marRight w:val="0"/>
      <w:marTop w:val="0"/>
      <w:marBottom w:val="0"/>
      <w:divBdr>
        <w:top w:val="none" w:sz="0" w:space="0" w:color="auto"/>
        <w:left w:val="none" w:sz="0" w:space="0" w:color="auto"/>
        <w:bottom w:val="none" w:sz="0" w:space="0" w:color="auto"/>
        <w:right w:val="none" w:sz="0" w:space="0" w:color="auto"/>
      </w:divBdr>
    </w:div>
    <w:div w:id="210556500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1F09-35B4-4F74-B4FD-B17E535B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4569</TotalTime>
  <Pages>5</Pages>
  <Words>1731</Words>
  <Characters>9521</Characters>
  <Application>Microsoft Office Word</Application>
  <DocSecurity>0</DocSecurity>
  <Lines>79</Lines>
  <Paragraphs>22</Paragraphs>
  <ScaleCrop>false</ScaleCrop>
  <HeadingPairs>
    <vt:vector size="8" baseType="variant">
      <vt:variant>
        <vt:lpstr>Titre</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rahif sabbagh</cp:lastModifiedBy>
  <cp:revision>65</cp:revision>
  <cp:lastPrinted>2015-05-12T18:31:00Z</cp:lastPrinted>
  <dcterms:created xsi:type="dcterms:W3CDTF">2019-01-15T10:55:00Z</dcterms:created>
  <dcterms:modified xsi:type="dcterms:W3CDTF">2019-04-15T16:46:00Z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