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E9A60D8" w14:textId="77777777">
        <w:trPr>
          <w:trHeight w:val="852"/>
          <w:jc w:val="center"/>
        </w:trPr>
        <w:tc>
          <w:tcPr>
            <w:tcW w:w="6946" w:type="dxa"/>
            <w:vMerge w:val="restart"/>
            <w:tcBorders>
              <w:right w:val="single" w:sz="4" w:space="0" w:color="auto"/>
            </w:tcBorders>
          </w:tcPr>
          <w:p w14:paraId="2C62614A" w14:textId="77777777" w:rsidR="000A03B2" w:rsidRPr="00B57B36" w:rsidRDefault="000A03B2" w:rsidP="00F32415">
            <w:pPr>
              <w:widowControl w:val="0"/>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268BD592" wp14:editId="5D8D133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53B1359" w14:textId="77777777" w:rsidR="000A03B2" w:rsidRPr="00B57B36" w:rsidRDefault="00A76EFC" w:rsidP="00F32415">
            <w:pPr>
              <w:widowControl w:val="0"/>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6621167" w14:textId="77777777" w:rsidR="000A03B2" w:rsidRPr="00B57B36" w:rsidRDefault="000A03B2" w:rsidP="00F32415">
            <w:pPr>
              <w:widowControl w:val="0"/>
              <w:spacing w:line="140" w:lineRule="atLeast"/>
              <w:jc w:val="right"/>
              <w:rPr>
                <w:rFonts w:cs="Arial"/>
                <w:sz w:val="14"/>
                <w:szCs w:val="14"/>
              </w:rPr>
            </w:pPr>
            <w:r w:rsidRPr="00B57B36">
              <w:rPr>
                <w:rFonts w:cs="Arial"/>
                <w:sz w:val="14"/>
                <w:szCs w:val="14"/>
              </w:rPr>
              <w:t>A publication of</w:t>
            </w:r>
          </w:p>
          <w:p w14:paraId="0B426E9E" w14:textId="77777777" w:rsidR="000A03B2" w:rsidRPr="00B57B36" w:rsidRDefault="000A03B2" w:rsidP="00F32415">
            <w:pPr>
              <w:widowControl w:val="0"/>
              <w:jc w:val="right"/>
            </w:pPr>
            <w:r w:rsidRPr="00B57B36">
              <w:rPr>
                <w:noProof/>
                <w:lang w:val="it-IT" w:eastAsia="it-IT"/>
              </w:rPr>
              <w:drawing>
                <wp:inline distT="0" distB="0" distL="0" distR="0" wp14:anchorId="08272958" wp14:editId="6169D69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36BA4F0" w14:textId="77777777">
        <w:trPr>
          <w:trHeight w:val="567"/>
          <w:jc w:val="center"/>
        </w:trPr>
        <w:tc>
          <w:tcPr>
            <w:tcW w:w="6946" w:type="dxa"/>
            <w:vMerge/>
            <w:tcBorders>
              <w:right w:val="single" w:sz="4" w:space="0" w:color="auto"/>
            </w:tcBorders>
          </w:tcPr>
          <w:p w14:paraId="5381EFD8" w14:textId="77777777" w:rsidR="000A03B2" w:rsidRPr="00B57B36" w:rsidRDefault="000A03B2" w:rsidP="00F32415">
            <w:pPr>
              <w:widowControl w:val="0"/>
              <w:tabs>
                <w:tab w:val="left" w:pos="-108"/>
              </w:tabs>
            </w:pPr>
          </w:p>
        </w:tc>
        <w:tc>
          <w:tcPr>
            <w:tcW w:w="1843" w:type="dxa"/>
            <w:tcBorders>
              <w:left w:val="single" w:sz="4" w:space="0" w:color="auto"/>
              <w:bottom w:val="nil"/>
              <w:right w:val="single" w:sz="4" w:space="0" w:color="auto"/>
            </w:tcBorders>
          </w:tcPr>
          <w:p w14:paraId="3ADB2635" w14:textId="77777777" w:rsidR="000A03B2" w:rsidRPr="00B57B36" w:rsidRDefault="000A03B2" w:rsidP="00F32415">
            <w:pPr>
              <w:widowControl w:val="0"/>
              <w:spacing w:line="140" w:lineRule="atLeast"/>
              <w:jc w:val="right"/>
              <w:rPr>
                <w:rFonts w:cs="Arial"/>
                <w:sz w:val="14"/>
                <w:szCs w:val="14"/>
              </w:rPr>
            </w:pPr>
            <w:r w:rsidRPr="00B57B36">
              <w:rPr>
                <w:rFonts w:cs="Arial"/>
                <w:sz w:val="14"/>
                <w:szCs w:val="14"/>
              </w:rPr>
              <w:t>The Italian Association</w:t>
            </w:r>
          </w:p>
          <w:p w14:paraId="045598F2" w14:textId="77777777" w:rsidR="000A03B2" w:rsidRPr="00B57B36" w:rsidRDefault="000A03B2" w:rsidP="00F32415">
            <w:pPr>
              <w:widowControl w:val="0"/>
              <w:spacing w:line="140" w:lineRule="atLeast"/>
              <w:jc w:val="right"/>
              <w:rPr>
                <w:rFonts w:cs="Arial"/>
                <w:sz w:val="14"/>
                <w:szCs w:val="14"/>
              </w:rPr>
            </w:pPr>
            <w:r w:rsidRPr="00B57B36">
              <w:rPr>
                <w:rFonts w:cs="Arial"/>
                <w:sz w:val="14"/>
                <w:szCs w:val="14"/>
              </w:rPr>
              <w:t>of Chemical Engineering</w:t>
            </w:r>
          </w:p>
          <w:p w14:paraId="62D93FA6" w14:textId="77777777" w:rsidR="000A03B2" w:rsidRPr="00B57B36" w:rsidRDefault="000A03B2" w:rsidP="00F32415">
            <w:pPr>
              <w:widowControl w:val="0"/>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28BCA69" w14:textId="77777777">
        <w:trPr>
          <w:trHeight w:val="68"/>
          <w:jc w:val="center"/>
        </w:trPr>
        <w:tc>
          <w:tcPr>
            <w:tcW w:w="8789" w:type="dxa"/>
            <w:gridSpan w:val="2"/>
          </w:tcPr>
          <w:p w14:paraId="13A358AB" w14:textId="77777777" w:rsidR="00300E56" w:rsidRPr="00252C1A" w:rsidRDefault="00300E56" w:rsidP="00F32415">
            <w:pPr>
              <w:widowControl w:val="0"/>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C8D448D" w14:textId="77777777" w:rsidR="000A03B2" w:rsidRPr="00B57B36" w:rsidRDefault="00FA5F5F" w:rsidP="00F32415">
            <w:pPr>
              <w:widowControl w:val="0"/>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7E0FB47" w14:textId="77777777" w:rsidR="000A03B2" w:rsidRPr="00B57B36" w:rsidRDefault="000A03B2" w:rsidP="00F32415">
      <w:pPr>
        <w:pStyle w:val="CETAuthors"/>
        <w:keepNext w:val="0"/>
        <w:widowControl w:val="0"/>
        <w:sectPr w:rsidR="000A03B2" w:rsidRPr="00B57B36">
          <w:type w:val="continuous"/>
          <w:pgSz w:w="11906" w:h="16838" w:code="9"/>
          <w:pgMar w:top="1701" w:right="1418" w:bottom="1701" w:left="1701" w:header="1701" w:footer="0" w:gutter="0"/>
          <w:cols w:space="708"/>
          <w:titlePg/>
          <w:docGrid w:linePitch="360"/>
        </w:sectPr>
      </w:pPr>
    </w:p>
    <w:p w14:paraId="6D14CA87" w14:textId="77777777" w:rsidR="00E978D0" w:rsidRPr="00B57B36" w:rsidRDefault="008546A3" w:rsidP="00F32415">
      <w:pPr>
        <w:pStyle w:val="CETTitle"/>
        <w:widowControl w:val="0"/>
      </w:pPr>
      <w:r w:rsidRPr="008546A3">
        <w:rPr>
          <w:b/>
          <w:bCs/>
          <w:lang w:val="en-US"/>
        </w:rPr>
        <w:t>Photoreactors Design for Hydrogen Production</w:t>
      </w:r>
    </w:p>
    <w:p w14:paraId="51AA80EC" w14:textId="77777777" w:rsidR="00E978D0" w:rsidRPr="007879B6" w:rsidRDefault="008546A3" w:rsidP="00F32415">
      <w:pPr>
        <w:pStyle w:val="CETAuthors"/>
        <w:keepNext w:val="0"/>
        <w:widowControl w:val="0"/>
        <w:rPr>
          <w:lang w:val="en-US"/>
        </w:rPr>
      </w:pPr>
      <w:r w:rsidRPr="007879B6">
        <w:rPr>
          <w:bCs/>
          <w:lang w:val="en-US"/>
        </w:rPr>
        <w:t>Gianguido Ramis</w:t>
      </w:r>
      <w:r w:rsidRPr="007879B6">
        <w:rPr>
          <w:bCs/>
          <w:vertAlign w:val="superscript"/>
          <w:lang w:val="en-US"/>
        </w:rPr>
        <w:t>1,*</w:t>
      </w:r>
      <w:r w:rsidRPr="007879B6">
        <w:rPr>
          <w:bCs/>
          <w:lang w:val="en-US"/>
        </w:rPr>
        <w:t>, Elnaz Bahadori</w:t>
      </w:r>
      <w:r w:rsidRPr="007879B6">
        <w:rPr>
          <w:bCs/>
          <w:vertAlign w:val="superscript"/>
          <w:lang w:val="en-US"/>
        </w:rPr>
        <w:t>1</w:t>
      </w:r>
      <w:r w:rsidRPr="007879B6">
        <w:rPr>
          <w:bCs/>
          <w:lang w:val="en-US"/>
        </w:rPr>
        <w:t xml:space="preserve"> and Ilenia Rossetti</w:t>
      </w:r>
      <w:r w:rsidRPr="007879B6">
        <w:rPr>
          <w:bCs/>
          <w:vertAlign w:val="superscript"/>
          <w:lang w:val="en-US"/>
        </w:rPr>
        <w:t>2</w:t>
      </w:r>
    </w:p>
    <w:p w14:paraId="1520BC86" w14:textId="02C47D70" w:rsidR="00E978D0" w:rsidRPr="008546A3" w:rsidRDefault="00E978D0" w:rsidP="00F32415">
      <w:pPr>
        <w:pStyle w:val="CETAddress"/>
        <w:keepNext w:val="0"/>
        <w:widowControl w:val="0"/>
        <w:rPr>
          <w:lang w:val="it-IT"/>
        </w:rPr>
      </w:pPr>
      <w:r w:rsidRPr="008546A3">
        <w:rPr>
          <w:vertAlign w:val="superscript"/>
          <w:lang w:val="it-IT"/>
        </w:rPr>
        <w:t>a</w:t>
      </w:r>
      <w:r w:rsidR="008546A3" w:rsidRPr="008546A3">
        <w:rPr>
          <w:vertAlign w:val="superscript"/>
          <w:lang w:val="it-IT"/>
        </w:rPr>
        <w:t xml:space="preserve"> </w:t>
      </w:r>
      <w:r w:rsidR="008546A3" w:rsidRPr="008546A3">
        <w:rPr>
          <w:iCs/>
          <w:lang w:val="it-IT"/>
        </w:rPr>
        <w:t>Dip. Ing. Chimica, Civile ed Ambientale, Università degli Studi di Genova</w:t>
      </w:r>
      <w:r w:rsidR="008546A3" w:rsidRPr="008546A3">
        <w:rPr>
          <w:bCs/>
          <w:iCs/>
          <w:lang w:val="it-IT"/>
        </w:rPr>
        <w:t xml:space="preserve"> and INSTM Unit-Genova, Genoa, Italy</w:t>
      </w:r>
      <w:r w:rsidRPr="008546A3">
        <w:rPr>
          <w:lang w:val="it-IT"/>
        </w:rPr>
        <w:t xml:space="preserve"> </w:t>
      </w:r>
    </w:p>
    <w:p w14:paraId="23ED0B8A" w14:textId="77777777" w:rsidR="00E978D0" w:rsidRPr="008546A3" w:rsidRDefault="00E978D0" w:rsidP="00F32415">
      <w:pPr>
        <w:pStyle w:val="CETAddress"/>
        <w:keepNext w:val="0"/>
        <w:widowControl w:val="0"/>
        <w:rPr>
          <w:lang w:val="it-IT"/>
        </w:rPr>
      </w:pPr>
      <w:r w:rsidRPr="008546A3">
        <w:rPr>
          <w:vertAlign w:val="superscript"/>
          <w:lang w:val="it-IT"/>
        </w:rPr>
        <w:t>b</w:t>
      </w:r>
      <w:r w:rsidR="008546A3" w:rsidRPr="008546A3">
        <w:rPr>
          <w:vertAlign w:val="superscript"/>
          <w:lang w:val="it-IT"/>
        </w:rPr>
        <w:t xml:space="preserve"> </w:t>
      </w:r>
      <w:r w:rsidR="008546A3" w:rsidRPr="008546A3">
        <w:rPr>
          <w:bCs/>
          <w:iCs/>
          <w:lang w:val="it-IT"/>
        </w:rPr>
        <w:t>Chemical Plants and Industrial Chemistry Group, Dip</w:t>
      </w:r>
      <w:r w:rsidR="008546A3" w:rsidRPr="008546A3">
        <w:rPr>
          <w:iCs/>
          <w:lang w:val="it-IT"/>
        </w:rPr>
        <w:t>. di Chimica, Università degli Studi di Milano, Italy</w:t>
      </w:r>
      <w:r w:rsidRPr="008546A3">
        <w:rPr>
          <w:lang w:val="it-IT"/>
        </w:rPr>
        <w:t xml:space="preserve"> </w:t>
      </w:r>
    </w:p>
    <w:p w14:paraId="57E08313" w14:textId="77777777" w:rsidR="00E978D0" w:rsidRPr="00B57B36" w:rsidRDefault="00AB5011" w:rsidP="00F32415">
      <w:pPr>
        <w:pStyle w:val="CETemail"/>
        <w:widowControl w:val="0"/>
      </w:pPr>
      <w:r w:rsidRPr="008546A3">
        <w:rPr>
          <w:lang w:val="it-IT"/>
        </w:rPr>
        <w:t xml:space="preserve"> </w:t>
      </w:r>
      <w:r w:rsidR="008546A3">
        <w:t>gianguidoramis</w:t>
      </w:r>
      <w:r w:rsidR="00600535" w:rsidRPr="00B57B36">
        <w:t>@</w:t>
      </w:r>
      <w:r w:rsidR="008546A3">
        <w:t>unige.it</w:t>
      </w:r>
    </w:p>
    <w:p w14:paraId="5B1156DA" w14:textId="093C7519" w:rsidR="008546A3" w:rsidRDefault="008546A3" w:rsidP="00F32415">
      <w:pPr>
        <w:pStyle w:val="CETnumberingbullets"/>
        <w:widowControl w:val="0"/>
        <w:numPr>
          <w:ilvl w:val="0"/>
          <w:numId w:val="0"/>
        </w:numPr>
        <w:jc w:val="both"/>
      </w:pPr>
      <w:r>
        <w:t>The production of hydrogen through photoreforming of aqueous solutions of organic compounds is considered as a way to exploit solar energy storage in the form of hydrogen. The photocatalytic reforming can be promoted by a photocatalyst, optimally a solid semiconductor able to absorb the major quota of solar energy. In this work, glucose</w:t>
      </w:r>
      <w:r w:rsidR="007D64F6">
        <w:t xml:space="preserve"> was</w:t>
      </w:r>
      <w:r>
        <w:t xml:space="preserve"> used as</w:t>
      </w:r>
      <w:r w:rsidR="00B014CC">
        <w:t xml:space="preserve"> a</w:t>
      </w:r>
      <w:r>
        <w:t xml:space="preserve"> model substrate for photoreforming, </w:t>
      </w:r>
      <w:r w:rsidR="007D64F6">
        <w:t xml:space="preserve">possibly </w:t>
      </w:r>
      <w:r>
        <w:t xml:space="preserve">derived from the hydrolysis of waste biomass. </w:t>
      </w:r>
    </w:p>
    <w:p w14:paraId="433DD910" w14:textId="1750955E" w:rsidR="0035383D" w:rsidRDefault="008546A3" w:rsidP="00F32415">
      <w:pPr>
        <w:pStyle w:val="CETnumberingbullets"/>
        <w:widowControl w:val="0"/>
        <w:numPr>
          <w:ilvl w:val="0"/>
          <w:numId w:val="0"/>
        </w:numPr>
        <w:jc w:val="both"/>
      </w:pPr>
      <w:r>
        <w:t>The selected photocatalysts were based on TiO</w:t>
      </w:r>
      <w:r w:rsidRPr="0035383D">
        <w:rPr>
          <w:vertAlign w:val="subscript"/>
        </w:rPr>
        <w:t>2</w:t>
      </w:r>
      <w:r>
        <w:t>. The materials were prepared by</w:t>
      </w:r>
      <w:r w:rsidR="00650102">
        <w:t xml:space="preserve"> different methods, </w:t>
      </w:r>
      <w:r w:rsidR="00650102" w:rsidRPr="00650102">
        <w:rPr>
          <w:i/>
        </w:rPr>
        <w:t>e.g</w:t>
      </w:r>
      <w:r w:rsidR="00650102">
        <w:t>.</w:t>
      </w:r>
      <w:r>
        <w:t xml:space="preserve"> flame spray pyrolysis</w:t>
      </w:r>
      <w:r w:rsidR="00650102">
        <w:t xml:space="preserve">, precipitation and in mesoporous form through </w:t>
      </w:r>
      <w:r w:rsidR="007D64F6">
        <w:t xml:space="preserve">soft </w:t>
      </w:r>
      <w:r w:rsidR="00650102">
        <w:t>template synthesis,</w:t>
      </w:r>
      <w:r>
        <w:t xml:space="preserve"> and compared with commercial samples of nanostructured TiO</w:t>
      </w:r>
      <w:r w:rsidRPr="0035383D">
        <w:rPr>
          <w:vertAlign w:val="subscript"/>
        </w:rPr>
        <w:t>2</w:t>
      </w:r>
      <w:r>
        <w:t xml:space="preserve"> P25 by Evonik. </w:t>
      </w:r>
      <w:r w:rsidR="00650102">
        <w:t xml:space="preserve">0.1 mol% </w:t>
      </w:r>
      <w:r w:rsidR="0035383D">
        <w:t>Pt</w:t>
      </w:r>
      <w:r w:rsidR="00650102">
        <w:t xml:space="preserve"> was also </w:t>
      </w:r>
      <w:r>
        <w:t xml:space="preserve">added as co-catalyst. The role of the metal was that of electron sink, to inhibit the </w:t>
      </w:r>
      <w:r w:rsidR="0035383D">
        <w:t xml:space="preserve">recombination of the </w:t>
      </w:r>
      <w:r>
        <w:t>electron</w:t>
      </w:r>
      <w:r w:rsidR="007D64F6">
        <w:t>/</w:t>
      </w:r>
      <w:r>
        <w:t>hole</w:t>
      </w:r>
      <w:r w:rsidR="0035383D">
        <w:t xml:space="preserve"> couple obtained through light absorption.</w:t>
      </w:r>
      <w:r>
        <w:t xml:space="preserve"> </w:t>
      </w:r>
    </w:p>
    <w:p w14:paraId="36BD1BEC" w14:textId="6FC483A8" w:rsidR="008546A3" w:rsidRDefault="008546A3" w:rsidP="00F32415">
      <w:pPr>
        <w:pStyle w:val="CETnumberingbullets"/>
        <w:widowControl w:val="0"/>
        <w:numPr>
          <w:ilvl w:val="0"/>
          <w:numId w:val="0"/>
        </w:numPr>
        <w:jc w:val="both"/>
      </w:pPr>
      <w:r>
        <w:t>The photoreforming reaction was carried out in different prototypes of photoreactors</w:t>
      </w:r>
      <w:r w:rsidR="007D64F6">
        <w:t>,</w:t>
      </w:r>
      <w:r>
        <w:t xml:space="preserve"> specifically developed</w:t>
      </w:r>
      <w:r w:rsidR="007D64F6">
        <w:t xml:space="preserve"> and optimised</w:t>
      </w:r>
      <w:r>
        <w:t>.</w:t>
      </w:r>
      <w:r w:rsidR="0035383D">
        <w:t xml:space="preserve"> </w:t>
      </w:r>
      <w:r>
        <w:t xml:space="preserve">In one reactor configuration, an external 200 W lamp was used, with emission wavelengths centred around 365 nm. A first photoreactor was developed with internal capacity ca. 0.3 L, with big head space for gas collection and very efficient mixing of the suspension thanks to an optimized length/diameter ratio (L/D) </w:t>
      </w:r>
      <w:r w:rsidRPr="007D64F6">
        <w:rPr>
          <w:i/>
        </w:rPr>
        <w:t>ca</w:t>
      </w:r>
      <w:r>
        <w:t xml:space="preserve">. 2. A drawback was the poor irradiation efficiency of the suspension, which limited the overall productivity, irrespectively or the substrate. </w:t>
      </w:r>
      <w:r w:rsidR="0035383D">
        <w:t>A different</w:t>
      </w:r>
      <w:r>
        <w:t xml:space="preserve"> home</w:t>
      </w:r>
      <w:r w:rsidR="0035383D">
        <w:t>-</w:t>
      </w:r>
      <w:r>
        <w:t xml:space="preserve">designed photoreactor </w:t>
      </w:r>
      <w:r w:rsidR="0035383D">
        <w:t xml:space="preserve">was equipped </w:t>
      </w:r>
      <w:r>
        <w:t xml:space="preserve">with an immersion lamp, coaxial with the reactor. Two reactor sizes were tested, </w:t>
      </w:r>
      <w:r w:rsidR="007D64F6">
        <w:t>0.3 L</w:t>
      </w:r>
      <w:r>
        <w:t xml:space="preserve"> or 1.5 L. A significant amount of H</w:t>
      </w:r>
      <w:r w:rsidRPr="0035383D">
        <w:rPr>
          <w:vertAlign w:val="subscript"/>
        </w:rPr>
        <w:t>2</w:t>
      </w:r>
      <w:r>
        <w:t xml:space="preserve"> was obtained with </w:t>
      </w:r>
      <w:r w:rsidR="007D64F6">
        <w:t xml:space="preserve">these </w:t>
      </w:r>
      <w:r>
        <w:t xml:space="preserve">very simple catalyst formulations, </w:t>
      </w:r>
      <w:r w:rsidR="00650102" w:rsidRPr="00650102">
        <w:t>up to</w:t>
      </w:r>
      <w:r w:rsidR="00650102">
        <w:rPr>
          <w:i/>
        </w:rPr>
        <w:t xml:space="preserve"> </w:t>
      </w:r>
      <w:r w:rsidR="00650102" w:rsidRPr="00650102">
        <w:t>14.7</w:t>
      </w:r>
      <w:r w:rsidRPr="00650102">
        <w:t xml:space="preserve"> mol</w:t>
      </w:r>
      <w:r>
        <w:t xml:space="preserve"> kg</w:t>
      </w:r>
      <w:r w:rsidRPr="0035383D">
        <w:rPr>
          <w:vertAlign w:val="subscript"/>
        </w:rPr>
        <w:t>cat</w:t>
      </w:r>
      <w:r w:rsidRPr="0035383D">
        <w:rPr>
          <w:vertAlign w:val="superscript"/>
        </w:rPr>
        <w:t>-1</w:t>
      </w:r>
      <w:r>
        <w:t xml:space="preserve"> h</w:t>
      </w:r>
      <w:r w:rsidRPr="0035383D">
        <w:rPr>
          <w:vertAlign w:val="superscript"/>
        </w:rPr>
        <w:t>-1</w:t>
      </w:r>
      <w:r>
        <w:t xml:space="preserve"> over</w:t>
      </w:r>
      <w:r w:rsidR="00650102">
        <w:t xml:space="preserve"> the</w:t>
      </w:r>
      <w:r>
        <w:t xml:space="preserve"> </w:t>
      </w:r>
      <w:r w:rsidR="00650102">
        <w:t>Pt/</w:t>
      </w:r>
      <w:r>
        <w:t>TiO</w:t>
      </w:r>
      <w:r w:rsidRPr="0035383D">
        <w:rPr>
          <w:vertAlign w:val="subscript"/>
        </w:rPr>
        <w:t>2</w:t>
      </w:r>
      <w:r>
        <w:t xml:space="preserve"> sample and using glucose as substrate. This result is very remarkable </w:t>
      </w:r>
      <w:r w:rsidR="00B014CC">
        <w:t>concerning</w:t>
      </w:r>
      <w:r>
        <w:t xml:space="preserve"> to similar research in conventional photoreactors.</w:t>
      </w:r>
    </w:p>
    <w:p w14:paraId="0FE4EFCC" w14:textId="77777777" w:rsidR="00600535" w:rsidRPr="00B57B36" w:rsidRDefault="00600535" w:rsidP="00F32415">
      <w:pPr>
        <w:pStyle w:val="CETHeading1"/>
        <w:keepNext w:val="0"/>
        <w:widowControl w:val="0"/>
        <w:rPr>
          <w:lang w:val="en-GB"/>
        </w:rPr>
      </w:pPr>
      <w:r w:rsidRPr="00B57B36">
        <w:rPr>
          <w:lang w:val="en-GB"/>
        </w:rPr>
        <w:t>Introduction</w:t>
      </w:r>
    </w:p>
    <w:p w14:paraId="40937E63" w14:textId="67EAF780" w:rsidR="000A73FF" w:rsidRPr="000A73FF" w:rsidRDefault="00650102" w:rsidP="00A564BB">
      <w:pPr>
        <w:pStyle w:val="CETheadingx"/>
        <w:jc w:val="both"/>
        <w:rPr>
          <w:b w:val="0"/>
        </w:rPr>
      </w:pPr>
      <w:r w:rsidRPr="000A73FF">
        <w:rPr>
          <w:b w:val="0"/>
        </w:rPr>
        <w:t xml:space="preserve">Nowadays, </w:t>
      </w:r>
      <w:r w:rsidRPr="000A73FF">
        <w:rPr>
          <w:b w:val="0"/>
          <w:i/>
        </w:rPr>
        <w:t>ca.</w:t>
      </w:r>
      <w:r w:rsidRPr="000A73FF">
        <w:rPr>
          <w:b w:val="0"/>
        </w:rPr>
        <w:t xml:space="preserve"> 100 million metric tons of hydrogen are produced worldwide </w:t>
      </w:r>
      <w:r w:rsidR="008965E7">
        <w:rPr>
          <w:b w:val="0"/>
        </w:rPr>
        <w:t>(Armaroli &amp; Balzani, 2011)</w:t>
      </w:r>
      <w:r w:rsidRPr="000A73FF">
        <w:rPr>
          <w:b w:val="0"/>
        </w:rPr>
        <w:t>, which is less than 3</w:t>
      </w:r>
      <w:r w:rsidR="00A564BB">
        <w:rPr>
          <w:b w:val="0"/>
        </w:rPr>
        <w:t xml:space="preserve"> </w:t>
      </w:r>
      <w:r w:rsidRPr="000A73FF">
        <w:rPr>
          <w:b w:val="0"/>
        </w:rPr>
        <w:t>% of the world’s primary energy demand</w:t>
      </w:r>
      <w:r w:rsidR="009A59F1">
        <w:rPr>
          <w:b w:val="0"/>
        </w:rPr>
        <w:t xml:space="preserve"> and</w:t>
      </w:r>
      <w:r w:rsidRPr="000A73FF">
        <w:rPr>
          <w:b w:val="0"/>
        </w:rPr>
        <w:t xml:space="preserve"> more than 95% derives from fossil sources. A growing search for clean energy vectors, such as H</w:t>
      </w:r>
      <w:r w:rsidRPr="000A73FF">
        <w:rPr>
          <w:b w:val="0"/>
          <w:vertAlign w:val="subscript"/>
        </w:rPr>
        <w:t>2</w:t>
      </w:r>
      <w:r w:rsidRPr="000A73FF">
        <w:rPr>
          <w:b w:val="0"/>
        </w:rPr>
        <w:t>, exploded in recent years, including the investigation on solar based production of hydrogen. The first photocatalytic method for H</w:t>
      </w:r>
      <w:r w:rsidRPr="000A73FF">
        <w:rPr>
          <w:b w:val="0"/>
          <w:vertAlign w:val="subscript"/>
        </w:rPr>
        <w:t>2</w:t>
      </w:r>
      <w:r w:rsidRPr="000A73FF">
        <w:rPr>
          <w:b w:val="0"/>
        </w:rPr>
        <w:t xml:space="preserve"> production was the solar water splitting proposed by Fujishima and Honda in the 1970s </w:t>
      </w:r>
      <w:r w:rsidR="008965E7">
        <w:rPr>
          <w:b w:val="0"/>
        </w:rPr>
        <w:t>(Fujishima &amp; Honda, 1972).</w:t>
      </w:r>
      <w:r w:rsidRPr="000A73FF">
        <w:rPr>
          <w:b w:val="0"/>
        </w:rPr>
        <w:t xml:space="preserve"> The main drawback is that this process is thermodynamically limited by the high Gibbs free energy required to split water into its constituting elements (237 kJ/mol = 1.23 eV) and the rapid recombination of the produced H</w:t>
      </w:r>
      <w:r w:rsidRPr="000A73FF">
        <w:rPr>
          <w:b w:val="0"/>
          <w:vertAlign w:val="subscript"/>
        </w:rPr>
        <w:t>2</w:t>
      </w:r>
      <w:r w:rsidRPr="000A73FF">
        <w:rPr>
          <w:b w:val="0"/>
        </w:rPr>
        <w:t xml:space="preserve"> and O</w:t>
      </w:r>
      <w:r w:rsidRPr="000A73FF">
        <w:rPr>
          <w:b w:val="0"/>
          <w:vertAlign w:val="subscript"/>
        </w:rPr>
        <w:t>2</w:t>
      </w:r>
      <w:r w:rsidRPr="000A73FF">
        <w:rPr>
          <w:b w:val="0"/>
        </w:rPr>
        <w:t>. This latter point introduces additional complications to photoreactors design, requiring separate compartments for the evolution of the two products, which increases the kinetic losses.</w:t>
      </w:r>
      <w:r w:rsidR="00BB16E4" w:rsidRPr="000A73FF">
        <w:rPr>
          <w:b w:val="0"/>
        </w:rPr>
        <w:t xml:space="preserve"> The photocatalytic activity is based on the use of semiconductors that, upon irradiation with energy larger than the band gap, promote an electron from the valence to the conduction band. The efficiency of the catalyst strictly depends on its light</w:t>
      </w:r>
      <w:r w:rsidR="00B014CC">
        <w:rPr>
          <w:b w:val="0"/>
        </w:rPr>
        <w:t>-</w:t>
      </w:r>
      <w:r w:rsidR="00BB16E4" w:rsidRPr="000A73FF">
        <w:rPr>
          <w:b w:val="0"/>
        </w:rPr>
        <w:t xml:space="preserve">harvesting properties and on the capacity to preserve the hole/electron pair from recombination. </w:t>
      </w:r>
    </w:p>
    <w:p w14:paraId="4D4B59B5" w14:textId="237EFE51" w:rsidR="00650102" w:rsidRDefault="00BB16E4" w:rsidP="00A564BB">
      <w:pPr>
        <w:pStyle w:val="CETheadingx"/>
        <w:jc w:val="both"/>
        <w:rPr>
          <w:b w:val="0"/>
        </w:rPr>
      </w:pPr>
      <w:r w:rsidRPr="000A73FF">
        <w:rPr>
          <w:b w:val="0"/>
        </w:rPr>
        <w:t xml:space="preserve">The oxidation of water by holes is by far the slowest </w:t>
      </w:r>
      <w:r w:rsidR="00050129">
        <w:rPr>
          <w:b w:val="0"/>
        </w:rPr>
        <w:t>half reaction</w:t>
      </w:r>
      <w:r w:rsidRPr="000A73FF">
        <w:rPr>
          <w:b w:val="0"/>
        </w:rPr>
        <w:t xml:space="preserve">, so </w:t>
      </w:r>
      <w:r w:rsidR="00650102" w:rsidRPr="000A73FF">
        <w:rPr>
          <w:b w:val="0"/>
        </w:rPr>
        <w:t>a</w:t>
      </w:r>
      <w:r w:rsidRPr="000A73FF">
        <w:rPr>
          <w:b w:val="0"/>
        </w:rPr>
        <w:t xml:space="preserve"> sacrificial</w:t>
      </w:r>
      <w:r w:rsidR="00650102" w:rsidRPr="000A73FF">
        <w:rPr>
          <w:b w:val="0"/>
        </w:rPr>
        <w:t xml:space="preserve"> </w:t>
      </w:r>
      <w:r w:rsidRPr="000A73FF">
        <w:rPr>
          <w:b w:val="0"/>
        </w:rPr>
        <w:t>organic compound</w:t>
      </w:r>
      <w:r w:rsidR="00650102" w:rsidRPr="000A73FF">
        <w:rPr>
          <w:b w:val="0"/>
        </w:rPr>
        <w:t xml:space="preserve"> is </w:t>
      </w:r>
      <w:r w:rsidR="00050129">
        <w:rPr>
          <w:b w:val="0"/>
        </w:rPr>
        <w:t xml:space="preserve">often </w:t>
      </w:r>
      <w:r w:rsidR="00650102" w:rsidRPr="000A73FF">
        <w:rPr>
          <w:b w:val="0"/>
        </w:rPr>
        <w:t xml:space="preserve">added, called Hole Scavenger (HS). </w:t>
      </w:r>
      <w:r w:rsidRPr="000A73FF">
        <w:rPr>
          <w:b w:val="0"/>
        </w:rPr>
        <w:t xml:space="preserve">Besides accelerating the reaction, a further advantage is that </w:t>
      </w:r>
      <w:r w:rsidR="00650102" w:rsidRPr="000A73FF">
        <w:rPr>
          <w:b w:val="0"/>
        </w:rPr>
        <w:t>CO</w:t>
      </w:r>
      <w:r w:rsidR="00650102" w:rsidRPr="000A73FF">
        <w:rPr>
          <w:b w:val="0"/>
          <w:vertAlign w:val="subscript"/>
        </w:rPr>
        <w:t>2</w:t>
      </w:r>
      <w:r w:rsidR="00650102" w:rsidRPr="000A73FF">
        <w:rPr>
          <w:b w:val="0"/>
        </w:rPr>
        <w:t xml:space="preserve"> is formed </w:t>
      </w:r>
      <w:r w:rsidR="00050129">
        <w:rPr>
          <w:b w:val="0"/>
        </w:rPr>
        <w:t xml:space="preserve">from HS oxidation </w:t>
      </w:r>
      <w:r w:rsidR="00650102" w:rsidRPr="000A73FF">
        <w:rPr>
          <w:b w:val="0"/>
        </w:rPr>
        <w:t>instead of O</w:t>
      </w:r>
      <w:r w:rsidR="00650102" w:rsidRPr="000A73FF">
        <w:rPr>
          <w:b w:val="0"/>
          <w:vertAlign w:val="subscript"/>
        </w:rPr>
        <w:t>2</w:t>
      </w:r>
      <w:r w:rsidR="00650102" w:rsidRPr="000A73FF">
        <w:rPr>
          <w:b w:val="0"/>
        </w:rPr>
        <w:t>, avoiding its recombination with H</w:t>
      </w:r>
      <w:r w:rsidR="00650102" w:rsidRPr="000A73FF">
        <w:rPr>
          <w:b w:val="0"/>
          <w:vertAlign w:val="subscript"/>
        </w:rPr>
        <w:t>2</w:t>
      </w:r>
      <w:r w:rsidR="00D53B51" w:rsidRPr="000A73FF">
        <w:rPr>
          <w:b w:val="0"/>
        </w:rPr>
        <w:t xml:space="preserve"> and allowing the use of single compartment reactors.</w:t>
      </w:r>
      <w:r w:rsidR="00650102" w:rsidRPr="000A73FF">
        <w:rPr>
          <w:b w:val="0"/>
        </w:rPr>
        <w:t xml:space="preserve"> This alternative route is </w:t>
      </w:r>
      <w:r w:rsidR="00D53B51" w:rsidRPr="000A73FF">
        <w:rPr>
          <w:b w:val="0"/>
        </w:rPr>
        <w:t xml:space="preserve">conventionally </w:t>
      </w:r>
      <w:r w:rsidR="00650102" w:rsidRPr="000A73FF">
        <w:rPr>
          <w:b w:val="0"/>
        </w:rPr>
        <w:t>called photoreforming (PR)</w:t>
      </w:r>
      <w:r w:rsidR="00D53B51" w:rsidRPr="000A73FF">
        <w:rPr>
          <w:b w:val="0"/>
        </w:rPr>
        <w:t xml:space="preserve"> and finds </w:t>
      </w:r>
      <w:r w:rsidR="00B014CC">
        <w:rPr>
          <w:b w:val="0"/>
        </w:rPr>
        <w:t xml:space="preserve">a </w:t>
      </w:r>
      <w:r w:rsidR="00D53B51" w:rsidRPr="000A73FF">
        <w:rPr>
          <w:b w:val="0"/>
        </w:rPr>
        <w:t>particularly interesting application when waste organics are used as HS</w:t>
      </w:r>
      <w:r w:rsidR="00650102" w:rsidRPr="000A73FF">
        <w:rPr>
          <w:b w:val="0"/>
        </w:rPr>
        <w:t xml:space="preserve">. </w:t>
      </w:r>
      <w:r w:rsidR="00A96459" w:rsidRPr="000A73FF">
        <w:rPr>
          <w:b w:val="0"/>
        </w:rPr>
        <w:t>T</w:t>
      </w:r>
      <w:r w:rsidR="00650102" w:rsidRPr="000A73FF">
        <w:rPr>
          <w:b w:val="0"/>
        </w:rPr>
        <w:t xml:space="preserve">he </w:t>
      </w:r>
      <w:r w:rsidR="00A96459" w:rsidRPr="000A73FF">
        <w:rPr>
          <w:b w:val="0"/>
        </w:rPr>
        <w:t xml:space="preserve">general </w:t>
      </w:r>
      <w:r w:rsidR="00650102" w:rsidRPr="000A73FF">
        <w:rPr>
          <w:b w:val="0"/>
        </w:rPr>
        <w:t>stoichiometry of the reaction</w:t>
      </w:r>
      <w:r w:rsidR="00A96459" w:rsidRPr="000A73FF">
        <w:rPr>
          <w:b w:val="0"/>
        </w:rPr>
        <w:t xml:space="preserve"> is the following</w:t>
      </w:r>
      <w:r w:rsidR="00650102" w:rsidRPr="000A73FF">
        <w:rPr>
          <w:b w:val="0"/>
        </w:rPr>
        <w:t>:</w:t>
      </w:r>
    </w:p>
    <w:tbl>
      <w:tblPr>
        <w:tblpPr w:leftFromText="141" w:rightFromText="141" w:vertAnchor="text" w:horzAnchor="margin" w:tblpY="118"/>
        <w:tblW w:w="5000" w:type="pct"/>
        <w:tblLook w:val="04A0" w:firstRow="1" w:lastRow="0" w:firstColumn="1" w:lastColumn="0" w:noHBand="0" w:noVBand="1"/>
      </w:tblPr>
      <w:tblGrid>
        <w:gridCol w:w="7986"/>
        <w:gridCol w:w="801"/>
      </w:tblGrid>
      <w:tr w:rsidR="000A73FF" w:rsidRPr="00B57B36" w14:paraId="3DB96527" w14:textId="77777777" w:rsidTr="00E33D8A">
        <w:tc>
          <w:tcPr>
            <w:tcW w:w="7986" w:type="dxa"/>
            <w:shd w:val="clear" w:color="auto" w:fill="auto"/>
            <w:vAlign w:val="center"/>
          </w:tcPr>
          <w:p w14:paraId="71173513" w14:textId="762F68DB" w:rsidR="000A73FF" w:rsidRPr="00B57B36" w:rsidRDefault="000A73FF" w:rsidP="00F32415">
            <w:pPr>
              <w:pStyle w:val="CETEquation"/>
              <w:widowControl w:val="0"/>
            </w:pPr>
            <w:r w:rsidRPr="000A73FF">
              <w:lastRenderedPageBreak/>
              <w:t>C</w:t>
            </w:r>
            <w:r w:rsidRPr="000A73FF">
              <w:rPr>
                <w:i/>
                <w:iCs/>
                <w:vertAlign w:val="subscript"/>
              </w:rPr>
              <w:t>x</w:t>
            </w:r>
            <w:r w:rsidRPr="000A73FF">
              <w:t>H</w:t>
            </w:r>
            <w:r w:rsidRPr="000A73FF">
              <w:rPr>
                <w:i/>
                <w:iCs/>
                <w:vertAlign w:val="subscript"/>
              </w:rPr>
              <w:t>y</w:t>
            </w:r>
            <w:r w:rsidRPr="000A73FF">
              <w:t>O</w:t>
            </w:r>
            <w:r w:rsidRPr="000A73FF">
              <w:rPr>
                <w:i/>
                <w:iCs/>
                <w:vertAlign w:val="subscript"/>
              </w:rPr>
              <w:t>z</w:t>
            </w:r>
            <w:r w:rsidRPr="000A73FF">
              <w:rPr>
                <w:i/>
                <w:iCs/>
              </w:rPr>
              <w:t xml:space="preserve"> </w:t>
            </w:r>
            <w:r w:rsidRPr="000A73FF">
              <w:t>+ (2</w:t>
            </w:r>
            <w:r w:rsidRPr="000A73FF">
              <w:rPr>
                <w:i/>
                <w:iCs/>
              </w:rPr>
              <w:t xml:space="preserve">x </w:t>
            </w:r>
            <w:r w:rsidRPr="000A73FF">
              <w:t xml:space="preserve">− </w:t>
            </w:r>
            <w:r w:rsidRPr="000A73FF">
              <w:rPr>
                <w:i/>
                <w:iCs/>
              </w:rPr>
              <w:t>z</w:t>
            </w:r>
            <w:r w:rsidRPr="000A73FF">
              <w:t>) H</w:t>
            </w:r>
            <w:r w:rsidRPr="000A73FF">
              <w:rPr>
                <w:vertAlign w:val="subscript"/>
              </w:rPr>
              <w:t>2</w:t>
            </w:r>
            <w:r w:rsidRPr="000A73FF">
              <w:t xml:space="preserve">O → </w:t>
            </w:r>
            <w:r w:rsidRPr="000A73FF">
              <w:rPr>
                <w:i/>
                <w:iCs/>
              </w:rPr>
              <w:t xml:space="preserve">x </w:t>
            </w:r>
            <w:r w:rsidRPr="000A73FF">
              <w:t>CO</w:t>
            </w:r>
            <w:r w:rsidRPr="000A73FF">
              <w:rPr>
                <w:vertAlign w:val="subscript"/>
              </w:rPr>
              <w:t>2</w:t>
            </w:r>
            <w:r w:rsidRPr="000A73FF">
              <w:t xml:space="preserve"> + (2</w:t>
            </w:r>
            <w:r w:rsidRPr="000A73FF">
              <w:rPr>
                <w:i/>
                <w:iCs/>
              </w:rPr>
              <w:t xml:space="preserve">x </w:t>
            </w:r>
            <w:r w:rsidRPr="000A73FF">
              <w:t xml:space="preserve">− </w:t>
            </w:r>
            <w:r w:rsidRPr="000A73FF">
              <w:rPr>
                <w:i/>
                <w:iCs/>
              </w:rPr>
              <w:t xml:space="preserve">z </w:t>
            </w:r>
            <w:r w:rsidRPr="000A73FF">
              <w:t xml:space="preserve">+ </w:t>
            </w:r>
            <w:r w:rsidRPr="000A73FF">
              <w:rPr>
                <w:i/>
                <w:iCs/>
              </w:rPr>
              <w:t>y/</w:t>
            </w:r>
            <w:r w:rsidRPr="000A73FF">
              <w:t>2)</w:t>
            </w:r>
            <w:r w:rsidR="00A564BB">
              <w:t xml:space="preserve"> </w:t>
            </w:r>
            <w:r w:rsidRPr="000A73FF">
              <w:t>H</w:t>
            </w:r>
            <w:r w:rsidRPr="000A73FF">
              <w:rPr>
                <w:vertAlign w:val="subscript"/>
              </w:rPr>
              <w:t>2</w:t>
            </w:r>
            <w:r w:rsidRPr="000A73FF">
              <w:t xml:space="preserve">     </w:t>
            </w:r>
          </w:p>
        </w:tc>
        <w:tc>
          <w:tcPr>
            <w:tcW w:w="801" w:type="dxa"/>
            <w:shd w:val="clear" w:color="auto" w:fill="auto"/>
            <w:vAlign w:val="center"/>
          </w:tcPr>
          <w:p w14:paraId="225BFB03" w14:textId="1147C0D2" w:rsidR="000A73FF" w:rsidRPr="00B57B36" w:rsidRDefault="000A73FF" w:rsidP="009A59F1">
            <w:pPr>
              <w:pStyle w:val="CETEquation"/>
              <w:widowControl w:val="0"/>
              <w:jc w:val="right"/>
            </w:pPr>
            <w:r w:rsidRPr="00B57B36">
              <w:t>(</w:t>
            </w:r>
            <w:r w:rsidR="009A59F1">
              <w:t>1</w:t>
            </w:r>
            <w:r w:rsidRPr="00B57B36">
              <w:t>)</w:t>
            </w:r>
          </w:p>
        </w:tc>
      </w:tr>
    </w:tbl>
    <w:p w14:paraId="20C78005" w14:textId="2A38D0DB" w:rsidR="00650102" w:rsidRPr="000A73FF" w:rsidRDefault="00650102" w:rsidP="00F32415">
      <w:pPr>
        <w:pStyle w:val="CETheadingx"/>
        <w:rPr>
          <w:b w:val="0"/>
        </w:rPr>
      </w:pPr>
      <w:r w:rsidRPr="000A73FF">
        <w:rPr>
          <w:b w:val="0"/>
        </w:rPr>
        <w:t xml:space="preserve">This technology can be used </w:t>
      </w:r>
      <w:r w:rsidR="00A96459" w:rsidRPr="000A73FF">
        <w:rPr>
          <w:b w:val="0"/>
        </w:rPr>
        <w:t>to clean</w:t>
      </w:r>
      <w:r w:rsidRPr="000A73FF">
        <w:rPr>
          <w:b w:val="0"/>
        </w:rPr>
        <w:t xml:space="preserve"> waste water derived </w:t>
      </w:r>
      <w:r w:rsidR="00A96459" w:rsidRPr="000A73FF">
        <w:rPr>
          <w:b w:val="0"/>
          <w:i/>
        </w:rPr>
        <w:t>e.g</w:t>
      </w:r>
      <w:r w:rsidR="00A96459" w:rsidRPr="000A73FF">
        <w:rPr>
          <w:b w:val="0"/>
        </w:rPr>
        <w:t xml:space="preserve">. </w:t>
      </w:r>
      <w:r w:rsidRPr="000A73FF">
        <w:rPr>
          <w:b w:val="0"/>
        </w:rPr>
        <w:t xml:space="preserve">from food, wine or paper industry </w:t>
      </w:r>
      <w:r w:rsidR="008965E7">
        <w:rPr>
          <w:b w:val="0"/>
        </w:rPr>
        <w:t>(</w:t>
      </w:r>
      <w:r w:rsidR="008965E7" w:rsidRPr="008965E7">
        <w:rPr>
          <w:b w:val="0"/>
          <w:lang w:val="en-GB"/>
        </w:rPr>
        <w:t>Linsebigler</w:t>
      </w:r>
      <w:r w:rsidR="008965E7" w:rsidRPr="008965E7">
        <w:rPr>
          <w:lang w:val="en-GB"/>
        </w:rPr>
        <w:t xml:space="preserve"> </w:t>
      </w:r>
      <w:r w:rsidR="008965E7">
        <w:rPr>
          <w:lang w:val="en-GB"/>
        </w:rPr>
        <w:t xml:space="preserve"> </w:t>
      </w:r>
      <w:r w:rsidR="008965E7" w:rsidRPr="008965E7">
        <w:rPr>
          <w:b w:val="0"/>
          <w:lang w:val="en-GB"/>
        </w:rPr>
        <w:t>&amp; al. ,1995;</w:t>
      </w:r>
      <w:r w:rsidR="008965E7">
        <w:rPr>
          <w:b w:val="0"/>
        </w:rPr>
        <w:t xml:space="preserve"> </w:t>
      </w:r>
      <w:r w:rsidR="008965E7" w:rsidRPr="008965E7">
        <w:rPr>
          <w:b w:val="0"/>
          <w:lang w:val="en-GB"/>
        </w:rPr>
        <w:t>Gomathisankar</w:t>
      </w:r>
      <w:r w:rsidR="008965E7">
        <w:rPr>
          <w:b w:val="0"/>
          <w:lang w:val="en-GB"/>
        </w:rPr>
        <w:t xml:space="preserve"> &amp; al., 2016; Rossetti, 2012)</w:t>
      </w:r>
      <w:r w:rsidR="008965E7" w:rsidRPr="008965E7">
        <w:rPr>
          <w:b w:val="0"/>
        </w:rPr>
        <w:t xml:space="preserve"> </w:t>
      </w:r>
      <w:r w:rsidR="00A96459" w:rsidRPr="000A73FF">
        <w:rPr>
          <w:b w:val="0"/>
        </w:rPr>
        <w:t>using solar energy and coupling H</w:t>
      </w:r>
      <w:r w:rsidR="00A96459" w:rsidRPr="000A73FF">
        <w:rPr>
          <w:b w:val="0"/>
          <w:vertAlign w:val="subscript"/>
        </w:rPr>
        <w:t>2</w:t>
      </w:r>
      <w:r w:rsidR="00A96459" w:rsidRPr="000A73FF">
        <w:rPr>
          <w:b w:val="0"/>
        </w:rPr>
        <w:t xml:space="preserve"> production as an added value</w:t>
      </w:r>
      <w:r w:rsidRPr="000A73FF">
        <w:rPr>
          <w:b w:val="0"/>
        </w:rPr>
        <w:t>.</w:t>
      </w:r>
    </w:p>
    <w:p w14:paraId="4552A495" w14:textId="66E1B7CA" w:rsidR="00B326DD" w:rsidRDefault="00821C0A" w:rsidP="00A564BB">
      <w:pPr>
        <w:pStyle w:val="CETheadingx"/>
        <w:jc w:val="both"/>
        <w:rPr>
          <w:b w:val="0"/>
        </w:rPr>
      </w:pPr>
      <w:r w:rsidRPr="000A73FF">
        <w:rPr>
          <w:b w:val="0"/>
          <w:lang w:val="en-GB"/>
        </w:rPr>
        <w:t>TiO</w:t>
      </w:r>
      <w:r w:rsidRPr="000A73FF">
        <w:rPr>
          <w:b w:val="0"/>
          <w:vertAlign w:val="subscript"/>
          <w:lang w:val="en-GB"/>
        </w:rPr>
        <w:t>2</w:t>
      </w:r>
      <w:r w:rsidR="00650102" w:rsidRPr="000A73FF">
        <w:rPr>
          <w:b w:val="0"/>
        </w:rPr>
        <w:t xml:space="preserve"> is </w:t>
      </w:r>
      <w:r w:rsidRPr="000A73FF">
        <w:rPr>
          <w:b w:val="0"/>
        </w:rPr>
        <w:t>the semiconductor most used in photocatalysis because it is wide</w:t>
      </w:r>
      <w:r w:rsidR="00B014CC">
        <w:rPr>
          <w:b w:val="0"/>
        </w:rPr>
        <w:t>ly</w:t>
      </w:r>
      <w:r w:rsidRPr="000A73FF">
        <w:rPr>
          <w:b w:val="0"/>
        </w:rPr>
        <w:t xml:space="preserve"> available, non</w:t>
      </w:r>
      <w:r w:rsidR="00B014CC">
        <w:rPr>
          <w:b w:val="0"/>
        </w:rPr>
        <w:t>-</w:t>
      </w:r>
      <w:r w:rsidRPr="000A73FF">
        <w:rPr>
          <w:b w:val="0"/>
        </w:rPr>
        <w:t xml:space="preserve">toxic and inexpensive, though its efficiency is very poor with solar radiation since it absorbs in the UV range, which constitutes </w:t>
      </w:r>
      <w:r w:rsidRPr="00F32415">
        <w:rPr>
          <w:b w:val="0"/>
          <w:i/>
        </w:rPr>
        <w:t>ca</w:t>
      </w:r>
      <w:r w:rsidRPr="000A73FF">
        <w:rPr>
          <w:b w:val="0"/>
        </w:rPr>
        <w:t>. 5</w:t>
      </w:r>
      <w:r w:rsidR="00A564BB">
        <w:rPr>
          <w:b w:val="0"/>
        </w:rPr>
        <w:t xml:space="preserve"> </w:t>
      </w:r>
      <w:r w:rsidRPr="000A73FF">
        <w:rPr>
          <w:b w:val="0"/>
        </w:rPr>
        <w:t>% of the solar spectrum. TiO</w:t>
      </w:r>
      <w:r w:rsidRPr="000A73FF">
        <w:rPr>
          <w:b w:val="0"/>
          <w:vertAlign w:val="subscript"/>
        </w:rPr>
        <w:t>2</w:t>
      </w:r>
      <w:r w:rsidRPr="000A73FF">
        <w:rPr>
          <w:b w:val="0"/>
        </w:rPr>
        <w:t xml:space="preserve"> has been used </w:t>
      </w:r>
      <w:r w:rsidR="00527747" w:rsidRPr="000A73FF">
        <w:rPr>
          <w:b w:val="0"/>
        </w:rPr>
        <w:t>in this work</w:t>
      </w:r>
      <w:r w:rsidRPr="000A73FF">
        <w:rPr>
          <w:b w:val="0"/>
        </w:rPr>
        <w:t xml:space="preserve">, prepared by different methods, </w:t>
      </w:r>
      <w:r w:rsidRPr="000A73FF">
        <w:rPr>
          <w:b w:val="0"/>
          <w:i/>
        </w:rPr>
        <w:t>i.e</w:t>
      </w:r>
      <w:r w:rsidRPr="000A73FF">
        <w:rPr>
          <w:b w:val="0"/>
        </w:rPr>
        <w:t>. in dense nanoparticles form through flame spray pyrolysis (FSP</w:t>
      </w:r>
      <w:r w:rsidR="006536E9">
        <w:rPr>
          <w:b w:val="0"/>
        </w:rPr>
        <w:t xml:space="preserve"> (</w:t>
      </w:r>
      <w:bookmarkStart w:id="0" w:name="OLE_LINK488"/>
      <w:bookmarkStart w:id="1" w:name="OLE_LINK489"/>
      <w:r w:rsidR="006536E9">
        <w:rPr>
          <w:b w:val="0"/>
        </w:rPr>
        <w:t>Chiarello &amp; al</w:t>
      </w:r>
      <w:r w:rsidR="0045071F">
        <w:rPr>
          <w:b w:val="0"/>
        </w:rPr>
        <w:t>., 20</w:t>
      </w:r>
      <w:r w:rsidR="0089382D">
        <w:rPr>
          <w:b w:val="0"/>
        </w:rPr>
        <w:t>0</w:t>
      </w:r>
      <w:r w:rsidR="0045071F">
        <w:rPr>
          <w:b w:val="0"/>
        </w:rPr>
        <w:t>7a</w:t>
      </w:r>
      <w:bookmarkEnd w:id="0"/>
      <w:bookmarkEnd w:id="1"/>
      <w:r w:rsidR="0045071F">
        <w:rPr>
          <w:b w:val="0"/>
        </w:rPr>
        <w:t>; Chiarello &amp; al., 20</w:t>
      </w:r>
      <w:r w:rsidR="0089382D">
        <w:rPr>
          <w:b w:val="0"/>
        </w:rPr>
        <w:t>0</w:t>
      </w:r>
      <w:r w:rsidR="0045071F">
        <w:rPr>
          <w:b w:val="0"/>
        </w:rPr>
        <w:t>7b</w:t>
      </w:r>
      <w:r w:rsidRPr="000A73FF">
        <w:rPr>
          <w:b w:val="0"/>
        </w:rPr>
        <w:t>)</w:t>
      </w:r>
      <w:r w:rsidR="00527747" w:rsidRPr="000A73FF">
        <w:rPr>
          <w:b w:val="0"/>
        </w:rPr>
        <w:t xml:space="preserve">, in microporous form by precipitation, in mesoporous form by soft template synthesis </w:t>
      </w:r>
      <w:r w:rsidR="0045071F">
        <w:rPr>
          <w:b w:val="0"/>
        </w:rPr>
        <w:t>(</w:t>
      </w:r>
      <w:r w:rsidR="0089382D">
        <w:rPr>
          <w:b w:val="0"/>
        </w:rPr>
        <w:t>Freyria</w:t>
      </w:r>
      <w:r w:rsidR="0045071F">
        <w:rPr>
          <w:b w:val="0"/>
        </w:rPr>
        <w:t xml:space="preserve"> &amp; al., 201</w:t>
      </w:r>
      <w:r w:rsidR="0089382D">
        <w:rPr>
          <w:b w:val="0"/>
        </w:rPr>
        <w:t>7</w:t>
      </w:r>
      <w:r w:rsidR="0045071F">
        <w:rPr>
          <w:b w:val="0"/>
        </w:rPr>
        <w:t>)</w:t>
      </w:r>
      <w:r w:rsidR="00527747" w:rsidRPr="000A73FF">
        <w:rPr>
          <w:b w:val="0"/>
        </w:rPr>
        <w:t xml:space="preserve"> and compared with a commercial nanostructured compound (Evonik P25).</w:t>
      </w:r>
      <w:r w:rsidR="003A5517" w:rsidRPr="000A73FF">
        <w:rPr>
          <w:b w:val="0"/>
        </w:rPr>
        <w:t xml:space="preserve"> </w:t>
      </w:r>
      <w:r w:rsidR="00527747" w:rsidRPr="000A73FF">
        <w:rPr>
          <w:b w:val="0"/>
        </w:rPr>
        <w:t xml:space="preserve">Glucose has been used as </w:t>
      </w:r>
      <w:r w:rsidR="00B014CC">
        <w:rPr>
          <w:b w:val="0"/>
        </w:rPr>
        <w:t xml:space="preserve">a </w:t>
      </w:r>
      <w:r w:rsidR="00527747" w:rsidRPr="000A73FF">
        <w:rPr>
          <w:b w:val="0"/>
        </w:rPr>
        <w:t xml:space="preserve">model molecule to represent the case of carbohydrates rich solutions obtained by hydrolysis of waste cellulose or lignocellulosic biomass. </w:t>
      </w:r>
    </w:p>
    <w:p w14:paraId="0335DFE2" w14:textId="0BFE00FD" w:rsidR="00B326DD" w:rsidRPr="005B0FAA" w:rsidRDefault="007975A2" w:rsidP="00F32415">
      <w:pPr>
        <w:pStyle w:val="CETBodytext"/>
        <w:widowControl w:val="0"/>
      </w:pPr>
      <w:r>
        <w:t>While considerable attention is devoted to the development of innovative photocatalysts, the investigation on the role of the photoreactor and light distribution inside it is much lower</w:t>
      </w:r>
      <w:r w:rsidR="0045071F">
        <w:t xml:space="preserve"> (Heggo &amp; al., 2017; Ola &amp; Maroto-Valer, 2016</w:t>
      </w:r>
      <w:r w:rsidR="0089382D">
        <w:t>; Rossetti &amp; al., 2017; Rossetti &amp; al., 2018)</w:t>
      </w:r>
      <w:r>
        <w:t>.</w:t>
      </w:r>
      <w:r w:rsidR="00632C7F">
        <w:t xml:space="preserve"> To contribute to </w:t>
      </w:r>
      <w:r w:rsidR="00154580">
        <w:t xml:space="preserve">fill </w:t>
      </w:r>
      <w:r w:rsidR="00632C7F">
        <w:t>this gap, we have compared the performance of three reactors for the photoreforming of glucose over a commercial TiO</w:t>
      </w:r>
      <w:r w:rsidR="00632C7F">
        <w:rPr>
          <w:vertAlign w:val="subscript"/>
        </w:rPr>
        <w:t>2</w:t>
      </w:r>
      <w:r w:rsidR="00632C7F">
        <w:t xml:space="preserve"> catalyst.</w:t>
      </w:r>
      <w:r w:rsidR="00516C07">
        <w:t xml:space="preserve"> The effect of the lamp location in the reactor (co-axial immersed lamp or external irradiation</w:t>
      </w:r>
      <w:r w:rsidR="00050129" w:rsidRPr="00050129">
        <w:t xml:space="preserve"> </w:t>
      </w:r>
      <w:r w:rsidR="00050129">
        <w:t>from top</w:t>
      </w:r>
      <w:r w:rsidR="00516C07">
        <w:t xml:space="preserve">) and </w:t>
      </w:r>
      <w:r w:rsidR="005B0FAA">
        <w:t>of different TiO</w:t>
      </w:r>
      <w:r w:rsidR="005B0FAA">
        <w:rPr>
          <w:vertAlign w:val="subscript"/>
        </w:rPr>
        <w:t>2</w:t>
      </w:r>
      <w:r w:rsidR="005B0FAA">
        <w:t xml:space="preserve"> samples was investigated, considering H</w:t>
      </w:r>
      <w:r w:rsidR="005B0FAA">
        <w:rPr>
          <w:vertAlign w:val="subscript"/>
        </w:rPr>
        <w:t>2</w:t>
      </w:r>
      <w:r w:rsidR="005B0FAA">
        <w:t xml:space="preserve"> productivity and organics conversion.</w:t>
      </w:r>
    </w:p>
    <w:p w14:paraId="7C46666F" w14:textId="71E3A31C" w:rsidR="00600535" w:rsidRPr="00B57B36" w:rsidRDefault="000A73FF" w:rsidP="00F32415">
      <w:pPr>
        <w:pStyle w:val="CETHeading1"/>
        <w:keepNext w:val="0"/>
        <w:widowControl w:val="0"/>
        <w:tabs>
          <w:tab w:val="clear" w:pos="360"/>
          <w:tab w:val="right" w:pos="7100"/>
        </w:tabs>
        <w:jc w:val="both"/>
        <w:rPr>
          <w:lang w:val="en-GB"/>
        </w:rPr>
      </w:pPr>
      <w:r>
        <w:rPr>
          <w:lang w:val="en-GB"/>
        </w:rPr>
        <w:t>Materials and experimental apparatus</w:t>
      </w:r>
    </w:p>
    <w:p w14:paraId="36BD23EC" w14:textId="77777777" w:rsidR="000A73FF" w:rsidRDefault="000A73FF" w:rsidP="00F32415">
      <w:pPr>
        <w:pStyle w:val="CETheadingx"/>
      </w:pPr>
      <w:bookmarkStart w:id="2" w:name="OLE_LINK102"/>
      <w:bookmarkStart w:id="3" w:name="OLE_LINK103"/>
      <w:r>
        <w:t>Photocatalysts</w:t>
      </w:r>
    </w:p>
    <w:bookmarkEnd w:id="2"/>
    <w:bookmarkEnd w:id="3"/>
    <w:p w14:paraId="3901C4B7" w14:textId="5490E11A" w:rsidR="004321CB" w:rsidRPr="004321CB" w:rsidRDefault="000A73FF" w:rsidP="00A564BB">
      <w:pPr>
        <w:pStyle w:val="CETheadingx"/>
        <w:jc w:val="both"/>
        <w:rPr>
          <w:b w:val="0"/>
          <w:lang w:val="en-GB"/>
        </w:rPr>
      </w:pPr>
      <w:r w:rsidRPr="000A73FF">
        <w:rPr>
          <w:b w:val="0"/>
          <w:lang w:val="en-GB"/>
        </w:rPr>
        <w:t>Aeroxide TiO</w:t>
      </w:r>
      <w:r w:rsidRPr="000A73FF">
        <w:rPr>
          <w:b w:val="0"/>
          <w:vertAlign w:val="subscript"/>
          <w:lang w:val="en-GB"/>
        </w:rPr>
        <w:t>2</w:t>
      </w:r>
      <w:r w:rsidRPr="000A73FF">
        <w:rPr>
          <w:b w:val="0"/>
          <w:lang w:val="en-GB"/>
        </w:rPr>
        <w:t>, P25</w:t>
      </w:r>
      <w:r w:rsidR="00050129">
        <w:rPr>
          <w:b w:val="0"/>
          <w:lang w:val="en-GB"/>
        </w:rPr>
        <w:t xml:space="preserve"> </w:t>
      </w:r>
      <w:r w:rsidRPr="000A73FF">
        <w:rPr>
          <w:b w:val="0"/>
          <w:lang w:val="en-GB"/>
        </w:rPr>
        <w:t>(Evonik) is one of the most used types of titania for its high activity. P25 is composed by anatase (78-85</w:t>
      </w:r>
      <w:r w:rsidR="00A564BB">
        <w:rPr>
          <w:b w:val="0"/>
          <w:lang w:val="en-GB"/>
        </w:rPr>
        <w:t xml:space="preserve"> </w:t>
      </w:r>
      <w:r w:rsidRPr="000A73FF">
        <w:rPr>
          <w:b w:val="0"/>
          <w:lang w:val="en-GB"/>
        </w:rPr>
        <w:t>%) and rutile (14-17</w:t>
      </w:r>
      <w:r w:rsidR="00A564BB">
        <w:rPr>
          <w:b w:val="0"/>
          <w:lang w:val="en-GB"/>
        </w:rPr>
        <w:t xml:space="preserve"> </w:t>
      </w:r>
      <w:r w:rsidRPr="000A73FF">
        <w:rPr>
          <w:b w:val="0"/>
          <w:lang w:val="en-GB"/>
        </w:rPr>
        <w:t>%) phases, plus an amorphous phase (0-13</w:t>
      </w:r>
      <w:r w:rsidR="00A564BB">
        <w:rPr>
          <w:b w:val="0"/>
          <w:lang w:val="en-GB"/>
        </w:rPr>
        <w:t xml:space="preserve"> </w:t>
      </w:r>
      <w:r w:rsidRPr="000A73FF">
        <w:rPr>
          <w:b w:val="0"/>
          <w:lang w:val="en-GB"/>
        </w:rPr>
        <w:t xml:space="preserve">%) </w:t>
      </w:r>
      <w:r w:rsidR="0045071F">
        <w:rPr>
          <w:b w:val="0"/>
          <w:lang w:val="en-GB"/>
        </w:rPr>
        <w:t>(Ohtani &amp; al., 2010)</w:t>
      </w:r>
      <w:r w:rsidRPr="000A73FF">
        <w:rPr>
          <w:b w:val="0"/>
          <w:lang w:val="en-GB"/>
        </w:rPr>
        <w:t xml:space="preserve">. </w:t>
      </w:r>
      <w:r w:rsidR="004321CB">
        <w:rPr>
          <w:b w:val="0"/>
          <w:lang w:val="en-GB"/>
        </w:rPr>
        <w:t xml:space="preserve">The </w:t>
      </w:r>
      <w:r w:rsidR="004321CB" w:rsidRPr="000A73FF">
        <w:rPr>
          <w:b w:val="0"/>
          <w:lang w:val="en-GB"/>
        </w:rPr>
        <w:t>specific surface area (SSA)</w:t>
      </w:r>
      <w:r w:rsidR="004321CB">
        <w:rPr>
          <w:b w:val="0"/>
          <w:lang w:val="en-GB"/>
        </w:rPr>
        <w:t xml:space="preserve"> is </w:t>
      </w:r>
      <w:r w:rsidR="004321CB" w:rsidRPr="004321CB">
        <w:rPr>
          <w:b w:val="0"/>
          <w:i/>
          <w:lang w:val="en-GB"/>
        </w:rPr>
        <w:t>ca</w:t>
      </w:r>
      <w:r w:rsidR="004321CB">
        <w:rPr>
          <w:b w:val="0"/>
          <w:lang w:val="en-GB"/>
        </w:rPr>
        <w:t>. 48 m</w:t>
      </w:r>
      <w:r w:rsidR="004321CB">
        <w:rPr>
          <w:b w:val="0"/>
          <w:vertAlign w:val="superscript"/>
          <w:lang w:val="en-GB"/>
        </w:rPr>
        <w:t>2</w:t>
      </w:r>
      <w:r w:rsidR="004321CB">
        <w:rPr>
          <w:b w:val="0"/>
          <w:lang w:val="en-GB"/>
        </w:rPr>
        <w:t>/g and the particle size is nanometric (&lt; 100 nm).</w:t>
      </w:r>
    </w:p>
    <w:p w14:paraId="3B6D33CD" w14:textId="55C5D529" w:rsidR="000A73FF" w:rsidRPr="00E33D8A" w:rsidRDefault="004321CB" w:rsidP="00A564BB">
      <w:pPr>
        <w:pStyle w:val="CETheadingx"/>
        <w:jc w:val="both"/>
        <w:rPr>
          <w:b w:val="0"/>
        </w:rPr>
      </w:pPr>
      <w:r>
        <w:rPr>
          <w:b w:val="0"/>
          <w:lang w:val="en-GB"/>
        </w:rPr>
        <w:t>A m</w:t>
      </w:r>
      <w:r w:rsidR="000A73FF" w:rsidRPr="000A73FF">
        <w:rPr>
          <w:b w:val="0"/>
          <w:lang w:val="en-GB"/>
        </w:rPr>
        <w:t xml:space="preserve">esoporous titania </w:t>
      </w:r>
      <w:r>
        <w:rPr>
          <w:b w:val="0"/>
          <w:lang w:val="en-GB"/>
        </w:rPr>
        <w:t xml:space="preserve">sample (called </w:t>
      </w:r>
      <w:r w:rsidRPr="004321CB">
        <w:rPr>
          <w:b w:val="0"/>
          <w:i/>
          <w:lang w:val="en-GB"/>
        </w:rPr>
        <w:t>meso</w:t>
      </w:r>
      <w:r>
        <w:rPr>
          <w:b w:val="0"/>
          <w:lang w:val="en-GB"/>
        </w:rPr>
        <w:t xml:space="preserve">) </w:t>
      </w:r>
      <w:r w:rsidR="000A73FF" w:rsidRPr="000A73FF">
        <w:rPr>
          <w:b w:val="0"/>
          <w:lang w:val="en-GB"/>
        </w:rPr>
        <w:t xml:space="preserve">was </w:t>
      </w:r>
      <w:r>
        <w:rPr>
          <w:b w:val="0"/>
          <w:lang w:val="en-GB"/>
        </w:rPr>
        <w:t xml:space="preserve">prepared </w:t>
      </w:r>
      <w:r w:rsidR="00154580">
        <w:rPr>
          <w:b w:val="0"/>
          <w:lang w:val="en-GB"/>
        </w:rPr>
        <w:t xml:space="preserve">by sol-gel </w:t>
      </w:r>
      <w:r>
        <w:rPr>
          <w:b w:val="0"/>
          <w:lang w:val="en-GB"/>
        </w:rPr>
        <w:t>from</w:t>
      </w:r>
      <w:r w:rsidR="000A73FF" w:rsidRPr="000A73FF">
        <w:rPr>
          <w:b w:val="0"/>
          <w:lang w:val="en-GB"/>
        </w:rPr>
        <w:t xml:space="preserve"> two solutions:</w:t>
      </w:r>
      <w:r>
        <w:rPr>
          <w:b w:val="0"/>
          <w:lang w:val="en-GB"/>
        </w:rPr>
        <w:t xml:space="preserve"> </w:t>
      </w:r>
      <w:r w:rsidR="000A73FF" w:rsidRPr="000A73FF">
        <w:rPr>
          <w:b w:val="0"/>
          <w:lang w:val="en-GB"/>
        </w:rPr>
        <w:t>Solution (A)</w:t>
      </w:r>
      <w:r>
        <w:rPr>
          <w:b w:val="0"/>
          <w:lang w:val="en-GB"/>
        </w:rPr>
        <w:t>,</w:t>
      </w:r>
      <w:r w:rsidR="000A73FF" w:rsidRPr="000A73FF">
        <w:rPr>
          <w:b w:val="0"/>
          <w:lang w:val="en-GB"/>
        </w:rPr>
        <w:t xml:space="preserve"> prepared by drop-wise addition of 5.0 g Ti(OBut)</w:t>
      </w:r>
      <w:r w:rsidR="000A73FF" w:rsidRPr="004321CB">
        <w:rPr>
          <w:b w:val="0"/>
          <w:vertAlign w:val="subscript"/>
          <w:lang w:val="en-GB"/>
        </w:rPr>
        <w:t>4</w:t>
      </w:r>
      <w:r w:rsidR="000A73FF" w:rsidRPr="000A73FF">
        <w:rPr>
          <w:b w:val="0"/>
          <w:lang w:val="en-GB"/>
        </w:rPr>
        <w:t xml:space="preserve"> to 30.0 mL of an aqueous solution of acetic acid (20</w:t>
      </w:r>
      <w:r>
        <w:rPr>
          <w:b w:val="0"/>
          <w:lang w:val="en-GB"/>
        </w:rPr>
        <w:t xml:space="preserve"> vol</w:t>
      </w:r>
      <w:r w:rsidR="000A73FF" w:rsidRPr="000A73FF">
        <w:rPr>
          <w:b w:val="0"/>
          <w:lang w:val="en-GB"/>
        </w:rPr>
        <w:t xml:space="preserve">%) and by vigorous stirring for about 4h at </w:t>
      </w:r>
      <w:r w:rsidR="007C0CB9">
        <w:rPr>
          <w:b w:val="0"/>
          <w:lang w:val="en-GB"/>
        </w:rPr>
        <w:t>room temperature (</w:t>
      </w:r>
      <w:r>
        <w:rPr>
          <w:b w:val="0"/>
          <w:lang w:val="en-GB"/>
        </w:rPr>
        <w:t>r.t.</w:t>
      </w:r>
      <w:r w:rsidR="007C0CB9">
        <w:rPr>
          <w:b w:val="0"/>
          <w:lang w:val="en-GB"/>
        </w:rPr>
        <w:t>)</w:t>
      </w:r>
      <w:r>
        <w:rPr>
          <w:b w:val="0"/>
          <w:lang w:val="en-GB"/>
        </w:rPr>
        <w:t xml:space="preserve">; </w:t>
      </w:r>
      <w:r w:rsidR="000A73FF" w:rsidRPr="000A73FF">
        <w:rPr>
          <w:b w:val="0"/>
          <w:lang w:val="en-GB"/>
        </w:rPr>
        <w:t>Solution (B)</w:t>
      </w:r>
      <w:r>
        <w:rPr>
          <w:b w:val="0"/>
          <w:lang w:val="en-GB"/>
        </w:rPr>
        <w:t>,</w:t>
      </w:r>
      <w:r w:rsidR="000A73FF" w:rsidRPr="000A73FF">
        <w:rPr>
          <w:b w:val="0"/>
          <w:lang w:val="en-GB"/>
        </w:rPr>
        <w:t xml:space="preserve"> obtained by mixing 3.0 g Pluronic P123 and </w:t>
      </w:r>
      <w:r w:rsidR="000A73FF" w:rsidRPr="004321CB">
        <w:rPr>
          <w:b w:val="0"/>
          <w:i/>
          <w:lang w:val="en-GB"/>
        </w:rPr>
        <w:t>ca.</w:t>
      </w:r>
      <w:r w:rsidR="000A73FF" w:rsidRPr="000A73FF">
        <w:rPr>
          <w:b w:val="0"/>
          <w:lang w:val="en-GB"/>
        </w:rPr>
        <w:t xml:space="preserve"> 20.0 mL ethanol. Then the solution (B) was added to </w:t>
      </w:r>
      <w:r w:rsidR="00B014CC">
        <w:rPr>
          <w:b w:val="0"/>
          <w:lang w:val="en-GB"/>
        </w:rPr>
        <w:t xml:space="preserve">the </w:t>
      </w:r>
      <w:r w:rsidR="000A73FF" w:rsidRPr="000A73FF">
        <w:rPr>
          <w:b w:val="0"/>
          <w:lang w:val="en-GB"/>
        </w:rPr>
        <w:t>solution (A) using a drop</w:t>
      </w:r>
      <w:r w:rsidR="00B014CC">
        <w:rPr>
          <w:b w:val="0"/>
          <w:lang w:val="en-GB"/>
        </w:rPr>
        <w:t xml:space="preserve">ping </w:t>
      </w:r>
      <w:r w:rsidR="000A73FF" w:rsidRPr="000A73FF">
        <w:rPr>
          <w:b w:val="0"/>
          <w:lang w:val="en-GB"/>
        </w:rPr>
        <w:t>funnel.</w:t>
      </w:r>
      <w:r>
        <w:rPr>
          <w:b w:val="0"/>
          <w:lang w:val="en-GB"/>
        </w:rPr>
        <w:t xml:space="preserve"> </w:t>
      </w:r>
      <w:r w:rsidR="000A73FF" w:rsidRPr="000A73FF">
        <w:rPr>
          <w:b w:val="0"/>
          <w:lang w:val="en-GB"/>
        </w:rPr>
        <w:t xml:space="preserve">The obtained mixture was sealed and stirred for 24 h at </w:t>
      </w:r>
      <w:r>
        <w:rPr>
          <w:b w:val="0"/>
          <w:lang w:val="en-GB"/>
        </w:rPr>
        <w:t>r.t, then</w:t>
      </w:r>
      <w:r w:rsidR="000A73FF" w:rsidRPr="000A73FF">
        <w:rPr>
          <w:b w:val="0"/>
          <w:lang w:val="en-GB"/>
        </w:rPr>
        <w:t xml:space="preserve"> left in </w:t>
      </w:r>
      <w:r w:rsidR="00941FDF">
        <w:rPr>
          <w:b w:val="0"/>
          <w:lang w:val="en-GB"/>
        </w:rPr>
        <w:t xml:space="preserve">an </w:t>
      </w:r>
      <w:r w:rsidR="000A73FF" w:rsidRPr="000A73FF">
        <w:rPr>
          <w:b w:val="0"/>
          <w:lang w:val="en-GB"/>
        </w:rPr>
        <w:t xml:space="preserve">oven at 85 °C for 48 h inside a Teflon autoclave. The precipitate </w:t>
      </w:r>
      <w:r w:rsidR="000A73FF" w:rsidRPr="00E33D8A">
        <w:rPr>
          <w:b w:val="0"/>
        </w:rPr>
        <w:t>was filtered, dried at 80 °C and calcined at 450 °C in air for 4 h</w:t>
      </w:r>
      <w:r w:rsidR="0045071F">
        <w:rPr>
          <w:b w:val="0"/>
        </w:rPr>
        <w:t xml:space="preserve"> (</w:t>
      </w:r>
      <w:r w:rsidR="0089382D">
        <w:rPr>
          <w:b w:val="0"/>
        </w:rPr>
        <w:t>Freyria</w:t>
      </w:r>
      <w:r w:rsidR="0045071F">
        <w:rPr>
          <w:b w:val="0"/>
        </w:rPr>
        <w:t xml:space="preserve"> &amp; al., 201</w:t>
      </w:r>
      <w:r w:rsidR="0089382D">
        <w:rPr>
          <w:b w:val="0"/>
        </w:rPr>
        <w:t>7</w:t>
      </w:r>
      <w:r w:rsidR="0045071F">
        <w:rPr>
          <w:b w:val="0"/>
        </w:rPr>
        <w:t>)</w:t>
      </w:r>
      <w:r w:rsidR="000A73FF" w:rsidRPr="00E33D8A">
        <w:rPr>
          <w:b w:val="0"/>
        </w:rPr>
        <w:t xml:space="preserve">. </w:t>
      </w:r>
    </w:p>
    <w:p w14:paraId="12EFA76F" w14:textId="551876F7" w:rsidR="000A73FF" w:rsidRPr="00E33D8A" w:rsidRDefault="004321CB" w:rsidP="00A564BB">
      <w:pPr>
        <w:pStyle w:val="CETheadingx"/>
        <w:jc w:val="both"/>
        <w:rPr>
          <w:b w:val="0"/>
        </w:rPr>
      </w:pPr>
      <w:r w:rsidRPr="00E33D8A">
        <w:rPr>
          <w:b w:val="0"/>
        </w:rPr>
        <w:t>A comparative</w:t>
      </w:r>
      <w:r w:rsidRPr="004321CB">
        <w:rPr>
          <w:b w:val="0"/>
          <w:lang w:val="en-GB"/>
        </w:rPr>
        <w:t xml:space="preserve"> microporous sample</w:t>
      </w:r>
      <w:r>
        <w:rPr>
          <w:b w:val="0"/>
          <w:lang w:val="en-GB"/>
        </w:rPr>
        <w:t xml:space="preserve"> (named </w:t>
      </w:r>
      <w:r w:rsidRPr="004321CB">
        <w:rPr>
          <w:b w:val="0"/>
          <w:i/>
          <w:lang w:val="en-GB"/>
        </w:rPr>
        <w:t>prec</w:t>
      </w:r>
      <w:r>
        <w:rPr>
          <w:b w:val="0"/>
          <w:lang w:val="en-GB"/>
        </w:rPr>
        <w:t>)</w:t>
      </w:r>
      <w:r w:rsidRPr="004321CB">
        <w:rPr>
          <w:b w:val="0"/>
          <w:lang w:val="en-GB"/>
        </w:rPr>
        <w:t xml:space="preserve"> was prepared by precipitation </w:t>
      </w:r>
      <w:r w:rsidR="000A73FF" w:rsidRPr="000A73FF">
        <w:rPr>
          <w:b w:val="0"/>
          <w:lang w:val="en-GB"/>
        </w:rPr>
        <w:t>of TiOSO</w:t>
      </w:r>
      <w:r w:rsidR="000A73FF" w:rsidRPr="004321CB">
        <w:rPr>
          <w:b w:val="0"/>
          <w:vertAlign w:val="subscript"/>
          <w:lang w:val="en-GB"/>
        </w:rPr>
        <w:t>4</w:t>
      </w:r>
      <w:bookmarkStart w:id="4" w:name="OLE_LINK97"/>
      <w:bookmarkStart w:id="5" w:name="OLE_LINK98"/>
      <w:bookmarkStart w:id="6" w:name="OLE_LINK99"/>
      <w:r>
        <w:rPr>
          <w:b w:val="0"/>
          <w:lang w:val="en-GB"/>
        </w:rPr>
        <w:sym w:font="Symbol" w:char="F0B7"/>
      </w:r>
      <w:bookmarkEnd w:id="4"/>
      <w:bookmarkEnd w:id="5"/>
      <w:bookmarkEnd w:id="6"/>
      <w:r w:rsidR="000A73FF" w:rsidRPr="000A73FF">
        <w:rPr>
          <w:b w:val="0"/>
          <w:lang w:val="en-GB"/>
        </w:rPr>
        <w:t>xH</w:t>
      </w:r>
      <w:r w:rsidR="000A73FF" w:rsidRPr="004321CB">
        <w:rPr>
          <w:b w:val="0"/>
          <w:vertAlign w:val="subscript"/>
          <w:lang w:val="en-GB"/>
        </w:rPr>
        <w:t>2</w:t>
      </w:r>
      <w:r w:rsidR="000A73FF" w:rsidRPr="000A73FF">
        <w:rPr>
          <w:b w:val="0"/>
          <w:lang w:val="en-GB"/>
        </w:rPr>
        <w:t>SO</w:t>
      </w:r>
      <w:r w:rsidR="000A73FF" w:rsidRPr="004321CB">
        <w:rPr>
          <w:b w:val="0"/>
          <w:vertAlign w:val="subscript"/>
          <w:lang w:val="en-GB"/>
        </w:rPr>
        <w:t>4</w:t>
      </w:r>
      <w:r>
        <w:rPr>
          <w:b w:val="0"/>
          <w:lang w:val="en-GB"/>
        </w:rPr>
        <w:sym w:font="Symbol" w:char="F0B7"/>
      </w:r>
      <w:r w:rsidR="000A73FF" w:rsidRPr="000A73FF">
        <w:rPr>
          <w:b w:val="0"/>
          <w:lang w:val="en-GB"/>
        </w:rPr>
        <w:t>yH</w:t>
      </w:r>
      <w:r w:rsidR="000A73FF" w:rsidRPr="004321CB">
        <w:rPr>
          <w:b w:val="0"/>
          <w:vertAlign w:val="subscript"/>
          <w:lang w:val="en-GB"/>
        </w:rPr>
        <w:t>2</w:t>
      </w:r>
      <w:r w:rsidR="000A73FF" w:rsidRPr="000A73FF">
        <w:rPr>
          <w:b w:val="0"/>
          <w:lang w:val="en-GB"/>
        </w:rPr>
        <w:t xml:space="preserve">O in </w:t>
      </w:r>
      <w:r w:rsidR="000A73FF" w:rsidRPr="00E33D8A">
        <w:rPr>
          <w:b w:val="0"/>
        </w:rPr>
        <w:t>NaOH followed by calcination at 400</w:t>
      </w:r>
      <w:r w:rsidR="00A564BB">
        <w:rPr>
          <w:b w:val="0"/>
        </w:rPr>
        <w:t xml:space="preserve"> </w:t>
      </w:r>
      <w:r w:rsidR="000A73FF" w:rsidRPr="00E33D8A">
        <w:rPr>
          <w:b w:val="0"/>
        </w:rPr>
        <w:t>°C in airflow</w:t>
      </w:r>
      <w:r w:rsidR="0045071F">
        <w:rPr>
          <w:b w:val="0"/>
        </w:rPr>
        <w:t xml:space="preserve"> (Trevisan &amp; al., 2014)</w:t>
      </w:r>
      <w:r w:rsidR="000A73FF" w:rsidRPr="00E33D8A">
        <w:rPr>
          <w:b w:val="0"/>
        </w:rPr>
        <w:t>.</w:t>
      </w:r>
    </w:p>
    <w:p w14:paraId="31544D7D" w14:textId="05211449" w:rsidR="004E0132" w:rsidRPr="00E33D8A" w:rsidRDefault="000A73FF" w:rsidP="00A564BB">
      <w:pPr>
        <w:pStyle w:val="CETheadingx"/>
        <w:jc w:val="both"/>
        <w:rPr>
          <w:b w:val="0"/>
        </w:rPr>
      </w:pPr>
      <w:r w:rsidRPr="00E33D8A">
        <w:rPr>
          <w:b w:val="0"/>
        </w:rPr>
        <w:t>F</w:t>
      </w:r>
      <w:r w:rsidRPr="000A73FF">
        <w:rPr>
          <w:b w:val="0"/>
          <w:lang w:val="en-GB"/>
        </w:rPr>
        <w:t>lame spray pyrolysis is an innovative technique to synthe</w:t>
      </w:r>
      <w:r w:rsidR="00941FDF">
        <w:rPr>
          <w:b w:val="0"/>
          <w:lang w:val="en-GB"/>
        </w:rPr>
        <w:t>s</w:t>
      </w:r>
      <w:r w:rsidRPr="000A73FF">
        <w:rPr>
          <w:b w:val="0"/>
          <w:lang w:val="en-GB"/>
        </w:rPr>
        <w:t>ize high surface area solid oxide</w:t>
      </w:r>
      <w:r w:rsidR="004E0132">
        <w:rPr>
          <w:b w:val="0"/>
          <w:lang w:val="en-GB"/>
        </w:rPr>
        <w:t>s in a single ste</w:t>
      </w:r>
      <w:r w:rsidR="0045071F">
        <w:rPr>
          <w:b w:val="0"/>
          <w:lang w:val="en-GB"/>
        </w:rPr>
        <w:t>p</w:t>
      </w:r>
      <w:r w:rsidRPr="000A73FF">
        <w:rPr>
          <w:b w:val="0"/>
          <w:lang w:val="en-GB"/>
        </w:rPr>
        <w:t xml:space="preserve">. </w:t>
      </w:r>
      <w:r w:rsidR="004E0132">
        <w:rPr>
          <w:b w:val="0"/>
          <w:lang w:val="en-GB"/>
        </w:rPr>
        <w:t xml:space="preserve">The apparatus is extensively described elsewhere </w:t>
      </w:r>
      <w:r w:rsidR="0089382D">
        <w:rPr>
          <w:b w:val="0"/>
          <w:lang w:val="en-GB"/>
        </w:rPr>
        <w:t>(Compagnoni &amp; al., 2016)</w:t>
      </w:r>
      <w:r w:rsidR="004E0132">
        <w:rPr>
          <w:b w:val="0"/>
          <w:lang w:val="en-GB"/>
        </w:rPr>
        <w:t xml:space="preserve"> and essentially is based on a home-developed burner, fed with </w:t>
      </w:r>
      <w:r w:rsidR="00A564BB">
        <w:rPr>
          <w:b w:val="0"/>
          <w:lang w:val="en-GB"/>
        </w:rPr>
        <w:t>4.4</w:t>
      </w:r>
      <w:r w:rsidR="004E0132">
        <w:rPr>
          <w:b w:val="0"/>
          <w:lang w:val="en-GB"/>
        </w:rPr>
        <w:t xml:space="preserve"> mL/min of the oxide precursor solution and with 5 L/min of oxygen. The pressure drop at the burner nozzle is set at 1.5 bar. TiO</w:t>
      </w:r>
      <w:r w:rsidR="004E0132">
        <w:rPr>
          <w:b w:val="0"/>
          <w:vertAlign w:val="subscript"/>
          <w:lang w:val="en-GB"/>
        </w:rPr>
        <w:t>2</w:t>
      </w:r>
      <w:r w:rsidR="004E0132">
        <w:rPr>
          <w:b w:val="0"/>
          <w:lang w:val="en-GB"/>
        </w:rPr>
        <w:t xml:space="preserve"> (named </w:t>
      </w:r>
      <w:r w:rsidR="004E0132" w:rsidRPr="004E0132">
        <w:rPr>
          <w:b w:val="0"/>
          <w:i/>
          <w:lang w:val="en-GB"/>
        </w:rPr>
        <w:t>FSP</w:t>
      </w:r>
      <w:r w:rsidR="004E0132">
        <w:rPr>
          <w:b w:val="0"/>
          <w:lang w:val="en-GB"/>
        </w:rPr>
        <w:t>)</w:t>
      </w:r>
      <w:r w:rsidRPr="000A73FF">
        <w:rPr>
          <w:b w:val="0"/>
          <w:lang w:val="en-GB"/>
        </w:rPr>
        <w:t xml:space="preserve"> </w:t>
      </w:r>
      <w:r w:rsidR="004E0132">
        <w:rPr>
          <w:b w:val="0"/>
          <w:lang w:val="en-GB"/>
        </w:rPr>
        <w:t>wa</w:t>
      </w:r>
      <w:r w:rsidRPr="000A73FF">
        <w:rPr>
          <w:b w:val="0"/>
          <w:lang w:val="en-GB"/>
        </w:rPr>
        <w:t xml:space="preserve">s produced </w:t>
      </w:r>
      <w:r w:rsidR="004E0132">
        <w:rPr>
          <w:b w:val="0"/>
          <w:lang w:val="en-GB"/>
        </w:rPr>
        <w:t>from</w:t>
      </w:r>
      <w:r w:rsidRPr="000A73FF">
        <w:rPr>
          <w:b w:val="0"/>
          <w:lang w:val="en-GB"/>
        </w:rPr>
        <w:t xml:space="preserve"> titanium </w:t>
      </w:r>
      <w:r w:rsidR="004E0132">
        <w:rPr>
          <w:b w:val="0"/>
          <w:lang w:val="en-GB"/>
        </w:rPr>
        <w:t>iso</w:t>
      </w:r>
      <w:r w:rsidR="004E0132" w:rsidRPr="00E33D8A">
        <w:rPr>
          <w:b w:val="0"/>
        </w:rPr>
        <w:t>propoxide</w:t>
      </w:r>
      <w:r w:rsidRPr="00E33D8A">
        <w:rPr>
          <w:b w:val="0"/>
        </w:rPr>
        <w:t xml:space="preserve"> as precursor dissolved in a volumetric flask with o-xylene and propionic acid</w:t>
      </w:r>
      <w:r w:rsidR="004E0132" w:rsidRPr="00E33D8A">
        <w:rPr>
          <w:b w:val="0"/>
        </w:rPr>
        <w:t xml:space="preserve"> </w:t>
      </w:r>
      <w:r w:rsidR="0089382D">
        <w:rPr>
          <w:b w:val="0"/>
        </w:rPr>
        <w:t>(</w:t>
      </w:r>
      <w:bookmarkStart w:id="7" w:name="OLE_LINK515"/>
      <w:bookmarkStart w:id="8" w:name="OLE_LINK516"/>
      <w:bookmarkStart w:id="9" w:name="OLE_LINK517"/>
      <w:r w:rsidR="0089382D">
        <w:rPr>
          <w:b w:val="0"/>
        </w:rPr>
        <w:t>Chiarello &amp; al., 2007a</w:t>
      </w:r>
      <w:bookmarkEnd w:id="7"/>
      <w:bookmarkEnd w:id="8"/>
      <w:bookmarkEnd w:id="9"/>
      <w:r w:rsidR="0089382D">
        <w:rPr>
          <w:b w:val="0"/>
        </w:rPr>
        <w:t>; Chiarello &amp; al., 2007b)</w:t>
      </w:r>
      <w:r w:rsidRPr="00E33D8A">
        <w:rPr>
          <w:b w:val="0"/>
        </w:rPr>
        <w:t xml:space="preserve">.  </w:t>
      </w:r>
    </w:p>
    <w:p w14:paraId="4A7D2A98" w14:textId="2C11BE14" w:rsidR="004E0132" w:rsidRDefault="004E0132" w:rsidP="00A564BB">
      <w:pPr>
        <w:pStyle w:val="CETheadingx"/>
        <w:jc w:val="both"/>
        <w:rPr>
          <w:b w:val="0"/>
          <w:lang w:val="en-GB"/>
        </w:rPr>
      </w:pPr>
      <w:r w:rsidRPr="00E33D8A">
        <w:rPr>
          <w:b w:val="0"/>
        </w:rPr>
        <w:t>Pt</w:t>
      </w:r>
      <w:r w:rsidRPr="004E0132">
        <w:rPr>
          <w:b w:val="0"/>
          <w:lang w:val="en-GB"/>
        </w:rPr>
        <w:t xml:space="preserve"> was loaded on the P25 sample</w:t>
      </w:r>
      <w:r w:rsidR="000A73FF" w:rsidRPr="004E0132">
        <w:rPr>
          <w:b w:val="0"/>
          <w:lang w:val="en-GB"/>
        </w:rPr>
        <w:t xml:space="preserve"> </w:t>
      </w:r>
      <w:r w:rsidRPr="004E0132">
        <w:rPr>
          <w:b w:val="0"/>
          <w:lang w:val="en-GB"/>
        </w:rPr>
        <w:t xml:space="preserve">by </w:t>
      </w:r>
      <w:r w:rsidR="000A73FF" w:rsidRPr="004E0132">
        <w:rPr>
          <w:b w:val="0"/>
          <w:lang w:val="en-GB"/>
        </w:rPr>
        <w:t>wet impregnation</w:t>
      </w:r>
      <w:r w:rsidRPr="004E0132">
        <w:rPr>
          <w:b w:val="0"/>
          <w:lang w:val="en-GB"/>
        </w:rPr>
        <w:t>. T</w:t>
      </w:r>
      <w:r w:rsidR="000A73FF" w:rsidRPr="004E0132">
        <w:rPr>
          <w:b w:val="0"/>
          <w:lang w:val="en-GB"/>
        </w:rPr>
        <w:t>he semiconductor (3</w:t>
      </w:r>
      <w:r w:rsidRPr="004E0132">
        <w:rPr>
          <w:b w:val="0"/>
          <w:lang w:val="en-GB"/>
        </w:rPr>
        <w:t xml:space="preserve"> </w:t>
      </w:r>
      <w:r w:rsidR="000A73FF" w:rsidRPr="004E0132">
        <w:rPr>
          <w:b w:val="0"/>
          <w:lang w:val="en-GB"/>
        </w:rPr>
        <w:t xml:space="preserve">g) </w:t>
      </w:r>
      <w:r w:rsidRPr="004E0132">
        <w:rPr>
          <w:b w:val="0"/>
          <w:lang w:val="en-GB"/>
        </w:rPr>
        <w:t>wa</w:t>
      </w:r>
      <w:r w:rsidR="000A73FF" w:rsidRPr="004E0132">
        <w:rPr>
          <w:b w:val="0"/>
          <w:lang w:val="en-GB"/>
        </w:rPr>
        <w:t>s suspended in milliQ water under vigorous stirring. Then the desired amount of metal precursor (P</w:t>
      </w:r>
      <w:r w:rsidRPr="004E0132">
        <w:rPr>
          <w:b w:val="0"/>
          <w:lang w:val="en-GB"/>
        </w:rPr>
        <w:t>t</w:t>
      </w:r>
      <w:r w:rsidR="000A73FF" w:rsidRPr="004E0132">
        <w:rPr>
          <w:b w:val="0"/>
          <w:lang w:val="en-GB"/>
        </w:rPr>
        <w:t xml:space="preserve"> acetylacetonate, ≈</w:t>
      </w:r>
      <w:r w:rsidR="00A564BB">
        <w:rPr>
          <w:b w:val="0"/>
          <w:lang w:val="en-GB"/>
        </w:rPr>
        <w:t xml:space="preserve"> </w:t>
      </w:r>
      <w:r w:rsidR="000A73FF" w:rsidRPr="004E0132">
        <w:rPr>
          <w:b w:val="0"/>
          <w:lang w:val="en-GB"/>
        </w:rPr>
        <w:t>15</w:t>
      </w:r>
      <w:r w:rsidRPr="004E0132">
        <w:rPr>
          <w:b w:val="0"/>
          <w:lang w:val="en-GB"/>
        </w:rPr>
        <w:t xml:space="preserve"> </w:t>
      </w:r>
      <w:r w:rsidR="000A73FF" w:rsidRPr="004E0132">
        <w:rPr>
          <w:b w:val="0"/>
          <w:lang w:val="en-GB"/>
        </w:rPr>
        <w:t xml:space="preserve">mg) </w:t>
      </w:r>
      <w:r w:rsidRPr="004E0132">
        <w:rPr>
          <w:b w:val="0"/>
          <w:lang w:val="en-GB"/>
        </w:rPr>
        <w:t>wa</w:t>
      </w:r>
      <w:r w:rsidR="000A73FF" w:rsidRPr="004E0132">
        <w:rPr>
          <w:b w:val="0"/>
          <w:lang w:val="en-GB"/>
        </w:rPr>
        <w:t xml:space="preserve">s added, </w:t>
      </w:r>
      <w:r w:rsidRPr="004E0132">
        <w:rPr>
          <w:b w:val="0"/>
          <w:lang w:val="en-GB"/>
        </w:rPr>
        <w:t>corresponding to</w:t>
      </w:r>
      <w:r w:rsidR="000A73FF" w:rsidRPr="004E0132">
        <w:rPr>
          <w:b w:val="0"/>
          <w:lang w:val="en-GB"/>
        </w:rPr>
        <w:t xml:space="preserve"> 0</w:t>
      </w:r>
      <w:r w:rsidRPr="004E0132">
        <w:rPr>
          <w:b w:val="0"/>
          <w:lang w:val="en-GB"/>
        </w:rPr>
        <w:t>.</w:t>
      </w:r>
      <w:r w:rsidR="000A73FF" w:rsidRPr="004E0132">
        <w:rPr>
          <w:b w:val="0"/>
          <w:lang w:val="en-GB"/>
        </w:rPr>
        <w:t>1</w:t>
      </w:r>
      <w:r w:rsidRPr="004E0132">
        <w:rPr>
          <w:b w:val="0"/>
          <w:lang w:val="en-GB"/>
        </w:rPr>
        <w:t xml:space="preserve"> mol</w:t>
      </w:r>
      <w:r w:rsidR="000A73FF" w:rsidRPr="004E0132">
        <w:rPr>
          <w:b w:val="0"/>
          <w:lang w:val="en-GB"/>
        </w:rPr>
        <w:t>%.</w:t>
      </w:r>
      <w:r>
        <w:rPr>
          <w:b w:val="0"/>
          <w:lang w:val="en-GB"/>
        </w:rPr>
        <w:t xml:space="preserve"> </w:t>
      </w:r>
      <w:r w:rsidR="000A73FF" w:rsidRPr="004E0132">
        <w:rPr>
          <w:b w:val="0"/>
          <w:lang w:val="en-GB"/>
        </w:rPr>
        <w:t xml:space="preserve">The solution </w:t>
      </w:r>
      <w:r>
        <w:rPr>
          <w:b w:val="0"/>
          <w:lang w:val="en-GB"/>
        </w:rPr>
        <w:t>was kept under</w:t>
      </w:r>
      <w:r w:rsidR="000A73FF" w:rsidRPr="004E0132">
        <w:rPr>
          <w:b w:val="0"/>
          <w:lang w:val="en-GB"/>
        </w:rPr>
        <w:t xml:space="preserve"> stirring </w:t>
      </w:r>
      <w:r>
        <w:rPr>
          <w:b w:val="0"/>
          <w:lang w:val="en-GB"/>
        </w:rPr>
        <w:t xml:space="preserve">at r.t. </w:t>
      </w:r>
      <w:r w:rsidR="000A73FF" w:rsidRPr="004E0132">
        <w:rPr>
          <w:b w:val="0"/>
          <w:lang w:val="en-GB"/>
        </w:rPr>
        <w:t>for 2</w:t>
      </w:r>
      <w:r w:rsidR="00A564BB">
        <w:rPr>
          <w:b w:val="0"/>
          <w:lang w:val="en-GB"/>
        </w:rPr>
        <w:t xml:space="preserve"> </w:t>
      </w:r>
      <w:r w:rsidR="000A73FF" w:rsidRPr="004E0132">
        <w:rPr>
          <w:b w:val="0"/>
          <w:lang w:val="en-GB"/>
        </w:rPr>
        <w:t>h</w:t>
      </w:r>
      <w:r>
        <w:rPr>
          <w:b w:val="0"/>
          <w:lang w:val="en-GB"/>
        </w:rPr>
        <w:t xml:space="preserve"> and then the solvent was removed by evaporation at reduced pressure (40</w:t>
      </w:r>
      <w:r w:rsidR="00A564BB">
        <w:rPr>
          <w:b w:val="0"/>
          <w:lang w:val="en-GB"/>
        </w:rPr>
        <w:t xml:space="preserve"> </w:t>
      </w:r>
      <w:r>
        <w:rPr>
          <w:b w:val="0"/>
          <w:lang w:val="en-GB"/>
        </w:rPr>
        <w:t>°C)</w:t>
      </w:r>
      <w:r w:rsidR="000A73FF" w:rsidRPr="004E0132">
        <w:rPr>
          <w:b w:val="0"/>
          <w:lang w:val="en-GB"/>
        </w:rPr>
        <w:t>.</w:t>
      </w:r>
      <w:r>
        <w:rPr>
          <w:b w:val="0"/>
          <w:lang w:val="en-GB"/>
        </w:rPr>
        <w:t xml:space="preserve"> The collected powder was dried</w:t>
      </w:r>
      <w:r w:rsidR="000A73FF" w:rsidRPr="000A73FF">
        <w:rPr>
          <w:b w:val="0"/>
          <w:lang w:val="en-GB"/>
        </w:rPr>
        <w:t xml:space="preserve"> in </w:t>
      </w:r>
      <w:r w:rsidR="00941FDF">
        <w:rPr>
          <w:b w:val="0"/>
          <w:lang w:val="en-GB"/>
        </w:rPr>
        <w:t xml:space="preserve">an </w:t>
      </w:r>
      <w:r w:rsidR="000A73FF" w:rsidRPr="000A73FF">
        <w:rPr>
          <w:b w:val="0"/>
          <w:lang w:val="en-GB"/>
        </w:rPr>
        <w:t>oven at 100</w:t>
      </w:r>
      <w:r w:rsidR="00A564BB">
        <w:rPr>
          <w:b w:val="0"/>
          <w:lang w:val="en-GB"/>
        </w:rPr>
        <w:t xml:space="preserve"> </w:t>
      </w:r>
      <w:r w:rsidR="000A73FF" w:rsidRPr="000A73FF">
        <w:rPr>
          <w:b w:val="0"/>
          <w:lang w:val="en-GB"/>
        </w:rPr>
        <w:t>°C</w:t>
      </w:r>
      <w:r>
        <w:rPr>
          <w:b w:val="0"/>
          <w:lang w:val="en-GB"/>
        </w:rPr>
        <w:t xml:space="preserve"> overnight and then reduced</w:t>
      </w:r>
      <w:r w:rsidR="000A73FF" w:rsidRPr="000A73FF">
        <w:rPr>
          <w:b w:val="0"/>
          <w:lang w:val="en-GB"/>
        </w:rPr>
        <w:t xml:space="preserve"> in a tubular oven at 700</w:t>
      </w:r>
      <w:r w:rsidR="00A564BB">
        <w:rPr>
          <w:b w:val="0"/>
          <w:lang w:val="en-GB"/>
        </w:rPr>
        <w:t xml:space="preserve"> </w:t>
      </w:r>
      <w:r w:rsidR="000A73FF" w:rsidRPr="000A73FF">
        <w:rPr>
          <w:b w:val="0"/>
          <w:lang w:val="en-GB"/>
        </w:rPr>
        <w:t>°C</w:t>
      </w:r>
      <w:r>
        <w:rPr>
          <w:b w:val="0"/>
          <w:lang w:val="en-GB"/>
        </w:rPr>
        <w:t xml:space="preserve"> under flowing H</w:t>
      </w:r>
      <w:r>
        <w:rPr>
          <w:b w:val="0"/>
          <w:vertAlign w:val="subscript"/>
          <w:lang w:val="en-GB"/>
        </w:rPr>
        <w:t>2</w:t>
      </w:r>
      <w:r>
        <w:rPr>
          <w:b w:val="0"/>
          <w:lang w:val="en-GB"/>
        </w:rPr>
        <w:t xml:space="preserve">. </w:t>
      </w:r>
      <w:r w:rsidR="00941FDF">
        <w:rPr>
          <w:b w:val="0"/>
          <w:lang w:val="en-GB"/>
        </w:rPr>
        <w:t>A</w:t>
      </w:r>
      <w:r w:rsidR="00941FDF">
        <w:rPr>
          <w:b w:val="0"/>
          <w:lang w:val="en-GB"/>
        </w:rPr>
        <w:t xml:space="preserve"> preliminary Temperature Programmed Reduction experiment</w:t>
      </w:r>
      <w:r w:rsidR="00941FDF">
        <w:rPr>
          <w:b w:val="0"/>
          <w:lang w:val="en-GB"/>
        </w:rPr>
        <w:t xml:space="preserve"> </w:t>
      </w:r>
      <w:r w:rsidR="00941FDF">
        <w:rPr>
          <w:b w:val="0"/>
          <w:lang w:val="en-GB"/>
        </w:rPr>
        <w:t>determined</w:t>
      </w:r>
      <w:r w:rsidR="00941FDF">
        <w:rPr>
          <w:b w:val="0"/>
          <w:lang w:val="en-GB"/>
        </w:rPr>
        <w:t xml:space="preserve"> t</w:t>
      </w:r>
      <w:r>
        <w:rPr>
          <w:b w:val="0"/>
          <w:lang w:val="en-GB"/>
        </w:rPr>
        <w:t>he reduction temperature.</w:t>
      </w:r>
    </w:p>
    <w:p w14:paraId="720D3519" w14:textId="33B67E9C" w:rsidR="00A564BB" w:rsidRPr="00A564BB" w:rsidRDefault="00A564BB" w:rsidP="00A564BB">
      <w:pPr>
        <w:pStyle w:val="CETBodytext"/>
        <w:rPr>
          <w:lang w:val="en-GB"/>
        </w:rPr>
      </w:pPr>
      <w:r>
        <w:rPr>
          <w:lang w:val="en-GB"/>
        </w:rPr>
        <w:t>The structure of the catalysts was characterised by XRD (Phillips P3020), the textural properties by adsorption/desorption of N</w:t>
      </w:r>
      <w:r>
        <w:rPr>
          <w:vertAlign w:val="subscript"/>
          <w:lang w:val="en-GB"/>
        </w:rPr>
        <w:t>2</w:t>
      </w:r>
      <w:r>
        <w:rPr>
          <w:lang w:val="en-GB"/>
        </w:rPr>
        <w:t xml:space="preserve"> at 77 K (Micromeritics ASAP2020), the band gap was estimated by DR-UV-Vis (Perkin Elmer Lambda35)</w:t>
      </w:r>
      <w:r w:rsidR="0003287E">
        <w:rPr>
          <w:lang w:val="en-GB"/>
        </w:rPr>
        <w:t>.</w:t>
      </w:r>
    </w:p>
    <w:p w14:paraId="6C042CF3" w14:textId="544703B5" w:rsidR="004C0FFA" w:rsidRDefault="004C0FFA" w:rsidP="00F32415">
      <w:pPr>
        <w:pStyle w:val="CETheadingx"/>
        <w:rPr>
          <w:lang w:val="en-GB"/>
        </w:rPr>
      </w:pPr>
      <w:r>
        <w:t>Photoreactors and testing conditions</w:t>
      </w:r>
    </w:p>
    <w:p w14:paraId="6615E016" w14:textId="7B4D2BDE" w:rsidR="00B6335C" w:rsidRPr="009A0E86" w:rsidRDefault="00C93A96" w:rsidP="00B6335C">
      <w:pPr>
        <w:pStyle w:val="CETBodytext"/>
        <w:widowControl w:val="0"/>
      </w:pPr>
      <w:r w:rsidRPr="00C93A96">
        <w:t>For this work</w:t>
      </w:r>
      <w:r w:rsidR="00941FDF">
        <w:t>,</w:t>
      </w:r>
      <w:r w:rsidRPr="00C93A96">
        <w:t xml:space="preserve"> three different types of photoreactors have been used</w:t>
      </w:r>
      <w:r w:rsidR="00B6335C">
        <w:t xml:space="preserve"> (Fig. 1)</w:t>
      </w:r>
      <w:r w:rsidR="004C0FFA">
        <w:t>.</w:t>
      </w:r>
      <w:bookmarkStart w:id="10" w:name="_Toc531079099"/>
      <w:bookmarkStart w:id="11" w:name="_Toc531636015"/>
      <w:r w:rsidR="00B6335C" w:rsidRPr="00B6335C">
        <w:rPr>
          <w:i/>
        </w:rPr>
        <w:t xml:space="preserve"> </w:t>
      </w:r>
      <w:r w:rsidR="00B6335C" w:rsidRPr="004C0FFA">
        <w:rPr>
          <w:i/>
        </w:rPr>
        <w:t>Reactor</w:t>
      </w:r>
      <w:r w:rsidR="00B6335C">
        <w:rPr>
          <w:i/>
        </w:rPr>
        <w:t xml:space="preserve"> #</w:t>
      </w:r>
      <w:r w:rsidR="00B6335C" w:rsidRPr="004C0FFA">
        <w:rPr>
          <w:i/>
        </w:rPr>
        <w:t>1</w:t>
      </w:r>
      <w:bookmarkEnd w:id="10"/>
      <w:bookmarkEnd w:id="11"/>
      <w:r w:rsidR="00B6335C">
        <w:rPr>
          <w:i/>
        </w:rPr>
        <w:t xml:space="preserve">: </w:t>
      </w:r>
      <w:r w:rsidR="00B6335C" w:rsidRPr="00C93A96">
        <w:t xml:space="preserve">AISI 316 stainless steel cylinder-shaped reactor </w:t>
      </w:r>
      <w:r w:rsidR="00B6335C">
        <w:t xml:space="preserve">with a cooling/heating jacked (Galli &amp; al., 2017). Reactor volume is </w:t>
      </w:r>
      <w:r w:rsidR="00B6335C" w:rsidRPr="00C93A96">
        <w:t xml:space="preserve">1.7 L </w:t>
      </w:r>
      <w:r w:rsidR="00B6335C">
        <w:t>with</w:t>
      </w:r>
      <w:r w:rsidR="00B6335C" w:rsidRPr="00C93A96">
        <w:t xml:space="preserve"> </w:t>
      </w:r>
      <w:r w:rsidR="00B6335C">
        <w:t xml:space="preserve">a </w:t>
      </w:r>
      <w:r w:rsidR="00B6335C" w:rsidRPr="00C93A96">
        <w:t xml:space="preserve">net capacity </w:t>
      </w:r>
      <w:r w:rsidR="00B6335C">
        <w:t>of</w:t>
      </w:r>
      <w:r w:rsidR="00B6335C" w:rsidRPr="00C93A96">
        <w:t xml:space="preserve"> 1.3 L. </w:t>
      </w:r>
      <w:r w:rsidR="00B6335C">
        <w:t>A co-axial</w:t>
      </w:r>
      <w:r w:rsidR="00B6335C" w:rsidRPr="00C93A96">
        <w:t xml:space="preserve"> quartz candle </w:t>
      </w:r>
      <w:r w:rsidR="00B6335C">
        <w:t>holds</w:t>
      </w:r>
      <w:r w:rsidR="00B6335C" w:rsidRPr="00C93A96">
        <w:t xml:space="preserve"> the UV lamp</w:t>
      </w:r>
      <w:r w:rsidR="00B6335C">
        <w:t>,</w:t>
      </w:r>
      <w:r w:rsidR="00B6335C" w:rsidRPr="00C93A96">
        <w:t xml:space="preserve"> a medium pressure 125</w:t>
      </w:r>
      <w:r w:rsidR="00B6335C">
        <w:t xml:space="preserve"> </w:t>
      </w:r>
      <w:r w:rsidR="00B6335C" w:rsidRPr="00C93A96">
        <w:t>W mercury vapour lamp</w:t>
      </w:r>
      <w:r w:rsidR="00B6335C">
        <w:t>,</w:t>
      </w:r>
      <w:r w:rsidR="00B6335C" w:rsidRPr="00C93A96">
        <w:t xml:space="preserve"> emitting in the wavelength range between 254 and 364 nm. Lamp power is periodically checked using a photo-radiometer (Delta OHM HD2102.2), sensitive in the range 315-400 nm. </w:t>
      </w:r>
      <w:bookmarkStart w:id="12" w:name="OLE_LINK104"/>
      <w:bookmarkStart w:id="13" w:name="OLE_LINK105"/>
      <w:r w:rsidR="00B6335C">
        <w:t>The average irradiance measured during the time ranged from 150 to 175 W/m</w:t>
      </w:r>
      <w:r w:rsidR="00B6335C">
        <w:rPr>
          <w:vertAlign w:val="superscript"/>
        </w:rPr>
        <w:t>2</w:t>
      </w:r>
      <w:r w:rsidR="00B6335C">
        <w:t xml:space="preserve"> during the testing campaign</w:t>
      </w:r>
      <w:bookmarkEnd w:id="12"/>
      <w:bookmarkEnd w:id="13"/>
      <w:r w:rsidR="00B6335C">
        <w:t>.</w:t>
      </w:r>
    </w:p>
    <w:p w14:paraId="70428647" w14:textId="77777777" w:rsidR="00B6335C" w:rsidRPr="00B93727" w:rsidRDefault="00B6335C" w:rsidP="00B6335C">
      <w:pPr>
        <w:pStyle w:val="CETBodytext"/>
        <w:widowControl w:val="0"/>
      </w:pPr>
      <w:bookmarkStart w:id="14" w:name="_Toc531079101"/>
      <w:bookmarkStart w:id="15" w:name="_Toc531636017"/>
      <w:r w:rsidRPr="004C0FFA">
        <w:rPr>
          <w:i/>
        </w:rPr>
        <w:t>Reactor</w:t>
      </w:r>
      <w:r>
        <w:rPr>
          <w:i/>
        </w:rPr>
        <w:t xml:space="preserve"> #</w:t>
      </w:r>
      <w:r w:rsidRPr="004C0FFA">
        <w:rPr>
          <w:i/>
        </w:rPr>
        <w:t>2</w:t>
      </w:r>
      <w:bookmarkEnd w:id="14"/>
      <w:bookmarkEnd w:id="15"/>
      <w:r>
        <w:rPr>
          <w:i/>
        </w:rPr>
        <w:t xml:space="preserve">: </w:t>
      </w:r>
      <w:r w:rsidRPr="00C93A96">
        <w:t>has a cylindrical shape with a</w:t>
      </w:r>
      <w:r>
        <w:t xml:space="preserve"> heating/cooling jacket, with volume </w:t>
      </w:r>
      <w:r w:rsidRPr="00C93A96">
        <w:t>300 m</w:t>
      </w:r>
      <w:r>
        <w:t>L</w:t>
      </w:r>
      <w:r w:rsidRPr="00C93A96">
        <w:t xml:space="preserve"> and </w:t>
      </w:r>
      <w:r>
        <w:t>holds a co-axial</w:t>
      </w:r>
      <w:r w:rsidRPr="00C93A96">
        <w:t xml:space="preserve"> lamp, </w:t>
      </w:r>
      <w:r>
        <w:lastRenderedPageBreak/>
        <w:t>similar to Reactor #1,</w:t>
      </w:r>
      <w:r w:rsidRPr="00C93A96">
        <w:t xml:space="preserve"> but with one bulb</w:t>
      </w:r>
      <w:r w:rsidRPr="004C0FFA">
        <w:t xml:space="preserve"> </w:t>
      </w:r>
      <w:r w:rsidRPr="00C93A96">
        <w:t>only. It also has two branches: one for gas blowing that is directly connected to the helium line and for the manual liquid phase sampling; and th</w:t>
      </w:r>
      <w:r>
        <w:t>e other one for gas output and</w:t>
      </w:r>
      <w:r w:rsidRPr="00C93A96">
        <w:t xml:space="preserve"> gas phase analysis.</w:t>
      </w:r>
      <w:r>
        <w:t xml:space="preserve"> </w:t>
      </w:r>
      <w:bookmarkStart w:id="16" w:name="OLE_LINK106"/>
      <w:bookmarkStart w:id="17" w:name="OLE_LINK107"/>
      <w:r>
        <w:t xml:space="preserve">The average irradiance measured was </w:t>
      </w:r>
      <w:r w:rsidRPr="00B93727">
        <w:rPr>
          <w:i/>
        </w:rPr>
        <w:t>ca</w:t>
      </w:r>
      <w:r>
        <w:t>. 45 W/m</w:t>
      </w:r>
      <w:r>
        <w:rPr>
          <w:vertAlign w:val="superscript"/>
        </w:rPr>
        <w:t>2</w:t>
      </w:r>
      <w:r>
        <w:t>.</w:t>
      </w:r>
      <w:bookmarkEnd w:id="16"/>
      <w:bookmarkEnd w:id="17"/>
    </w:p>
    <w:p w14:paraId="0C95DFB7" w14:textId="476A3A19" w:rsidR="00B93727" w:rsidRDefault="00B6335C" w:rsidP="00F32415">
      <w:pPr>
        <w:pStyle w:val="CETBodytext"/>
        <w:widowControl w:val="0"/>
      </w:pPr>
      <w:r w:rsidRPr="00B6335C">
        <w:rPr>
          <w:i/>
          <w:noProof/>
        </w:rPr>
        <mc:AlternateContent>
          <mc:Choice Requires="wps">
            <w:drawing>
              <wp:anchor distT="45720" distB="45720" distL="114300" distR="114300" simplePos="0" relativeHeight="251683840" behindDoc="0" locked="0" layoutInCell="1" allowOverlap="1" wp14:anchorId="76F965AE" wp14:editId="0263CCF3">
                <wp:simplePos x="0" y="0"/>
                <wp:positionH relativeFrom="column">
                  <wp:posOffset>155575</wp:posOffset>
                </wp:positionH>
                <wp:positionV relativeFrom="paragraph">
                  <wp:posOffset>764540</wp:posOffset>
                </wp:positionV>
                <wp:extent cx="2129790" cy="226060"/>
                <wp:effectExtent l="0" t="0" r="3810" b="25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26060"/>
                        </a:xfrm>
                        <a:prstGeom prst="rect">
                          <a:avLst/>
                        </a:prstGeom>
                        <a:solidFill>
                          <a:srgbClr val="FFFFFF"/>
                        </a:solidFill>
                        <a:ln w="9525">
                          <a:noFill/>
                          <a:miter lim="800000"/>
                          <a:headEnd/>
                          <a:tailEnd/>
                        </a:ln>
                      </wps:spPr>
                      <wps:txbx>
                        <w:txbxContent>
                          <w:p w14:paraId="63156BA2" w14:textId="77777777" w:rsidR="00B6335C" w:rsidRPr="00492D29" w:rsidRDefault="00B6335C" w:rsidP="00B6335C">
                            <w:pPr>
                              <w:pStyle w:val="CETBodytext"/>
                              <w:widowControl w:val="0"/>
                              <w:rPr>
                                <w:i/>
                              </w:rPr>
                            </w:pPr>
                            <w:r w:rsidRPr="00492D29">
                              <w:rPr>
                                <w:i/>
                              </w:rPr>
                              <w:t xml:space="preserve">Figure 1: </w:t>
                            </w:r>
                            <w:r>
                              <w:rPr>
                                <w:i/>
                              </w:rPr>
                              <w:t>Photoreactors sketches.</w:t>
                            </w:r>
                          </w:p>
                          <w:p w14:paraId="47CF1040" w14:textId="77777777" w:rsidR="00B6335C" w:rsidRPr="00B6335C" w:rsidRDefault="00B6335C" w:rsidP="00B6335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965AE" id="_x0000_t202" coordsize="21600,21600" o:spt="202" path="m,l,21600r21600,l21600,xe">
                <v:stroke joinstyle="miter"/>
                <v:path gradientshapeok="t" o:connecttype="rect"/>
              </v:shapetype>
              <v:shape id="Casella di testo 2" o:spid="_x0000_s1026" type="#_x0000_t202" style="position:absolute;left:0;text-align:left;margin-left:12.25pt;margin-top:60.2pt;width:167.7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ZpJQIAACUEAAAOAAAAZHJzL2Uyb0RvYy54bWysU9tu2zAMfR+wfxD0vviCXBojTtGlyzCg&#10;uwDdPoCW5ViYLHqSErv7+lFymgbd2zA9CKJIHpGHR5vbsdPsJK1TaEqezVLOpBFYK3Mo+Y/v+3c3&#10;nDkPpgaNRpb8STp+u337ZjP0hcyxRV1LywjEuGLoS9563xdJ4kQrO3Az7KUhZ4O2A0+mPSS1hYHQ&#10;O53kabpMBrR1b1FI5+j2fnLybcRvGin816Zx0jNdcqrNx93GvQp7st1AcbDQt0qcy4B/qKIDZejR&#10;C9Q9eGBHq/6C6pSw6LDxM4Fdgk2jhIw9UDdZ+qqbxxZ6GXshclx/ocn9P1jx5fTNMlWXPM9WnBno&#10;aEg7cFJrYLViXjqPLA88Db0rKPyxpwQ/vseR5h17dv0Dip+OGdy1YA7yzlocWgk11ZmFzOQqdcJx&#10;AaQaPmNNz8HRYwQaG9sFEokWRug0r6fLjOTomaDLPMvXqzW5BPnyfJku4xATKJ6ze+v8R4kdC4eS&#10;W9JARIfTg/OhGiieQ8JjDrWq90rraNhDtdOWnYD0so8rNvAqTBs2lHy9yBcR2WDIj1LqlCc9a9WV&#10;/CYNa1JYYOODqWOIB6WnM1WizZmewMjEjR+rkQIDZxXWT0SUxUm39M/o0KL9zdlAmi25+3UEKznT&#10;nwyRvc7m8yDyaMwXq5wMe+2prj1gBEGV3HM2HXc+fozAg8E7GkqjIl8vlZxrJS1GGs//Joj92o5R&#10;L797+wcAAP//AwBQSwMEFAAGAAgAAAAhAJSIpNDeAAAACgEAAA8AAABkcnMvZG93bnJldi54bWxM&#10;j8FOg0AQhu8mvsNmTLwYu4hABVkaNanx2toHWNgpENlZwm4LfXunJz3OP1/++abcLHYQZ5x870jB&#10;0yoCgdQ401Or4PC9fXwB4YMmowdHqOCCHjbV7U2pC+Nm2uF5H1rBJeQLraALYSyk9E2HVvuVG5F4&#10;d3ST1YHHqZVm0jOX20HGUZRJq3viC50e8aPD5md/sgqOX/NDms/1Zzisd0n2rvt17S5K3d8tb68g&#10;Ai7hD4arPqtDxU61O5HxYlAQJymTnMdRAoKB5zTPQdScpFkEsirl/xeqXwAAAP//AwBQSwECLQAU&#10;AAYACAAAACEAtoM4kv4AAADhAQAAEwAAAAAAAAAAAAAAAAAAAAAAW0NvbnRlbnRfVHlwZXNdLnht&#10;bFBLAQItABQABgAIAAAAIQA4/SH/1gAAAJQBAAALAAAAAAAAAAAAAAAAAC8BAABfcmVscy8ucmVs&#10;c1BLAQItABQABgAIAAAAIQC7XcZpJQIAACUEAAAOAAAAAAAAAAAAAAAAAC4CAABkcnMvZTJvRG9j&#10;LnhtbFBLAQItABQABgAIAAAAIQCUiKTQ3gAAAAoBAAAPAAAAAAAAAAAAAAAAAH8EAABkcnMvZG93&#10;bnJldi54bWxQSwUGAAAAAAQABADzAAAAigUAAAAA&#10;" stroked="f">
                <v:textbox>
                  <w:txbxContent>
                    <w:p w14:paraId="63156BA2" w14:textId="77777777" w:rsidR="00B6335C" w:rsidRPr="00492D29" w:rsidRDefault="00B6335C" w:rsidP="00B6335C">
                      <w:pPr>
                        <w:pStyle w:val="CETBodytext"/>
                        <w:widowControl w:val="0"/>
                        <w:rPr>
                          <w:i/>
                        </w:rPr>
                      </w:pPr>
                      <w:r w:rsidRPr="00492D29">
                        <w:rPr>
                          <w:i/>
                        </w:rPr>
                        <w:t xml:space="preserve">Figure 1: </w:t>
                      </w:r>
                      <w:r>
                        <w:rPr>
                          <w:i/>
                        </w:rPr>
                        <w:t>Photoreactors sketches.</w:t>
                      </w:r>
                    </w:p>
                    <w:p w14:paraId="47CF1040" w14:textId="77777777" w:rsidR="00B6335C" w:rsidRPr="00B6335C" w:rsidRDefault="00B6335C" w:rsidP="00B6335C">
                      <w:pPr>
                        <w:rPr>
                          <w:lang w:val="en-US"/>
                        </w:rPr>
                      </w:pPr>
                    </w:p>
                  </w:txbxContent>
                </v:textbox>
                <w10:wrap type="square"/>
              </v:shape>
            </w:pict>
          </mc:Fallback>
        </mc:AlternateContent>
      </w:r>
      <w:r>
        <w:rPr>
          <w:noProof/>
          <w:lang w:val="it-IT" w:eastAsia="it-IT"/>
        </w:rPr>
        <w:drawing>
          <wp:anchor distT="0" distB="0" distL="114300" distR="114300" simplePos="0" relativeHeight="251681792" behindDoc="0" locked="0" layoutInCell="1" allowOverlap="1" wp14:anchorId="0D070A2C" wp14:editId="31A1743D">
            <wp:simplePos x="1080198" y="1657978"/>
            <wp:positionH relativeFrom="margin">
              <wp:align>left</wp:align>
            </wp:positionH>
            <wp:positionV relativeFrom="margin">
              <wp:align>top</wp:align>
            </wp:positionV>
            <wp:extent cx="2306097" cy="1410653"/>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097" cy="1410653"/>
                    </a:xfrm>
                    <a:prstGeom prst="rect">
                      <a:avLst/>
                    </a:prstGeom>
                    <a:noFill/>
                    <a:ln>
                      <a:noFill/>
                    </a:ln>
                  </pic:spPr>
                </pic:pic>
              </a:graphicData>
            </a:graphic>
          </wp:anchor>
        </w:drawing>
      </w:r>
      <w:bookmarkStart w:id="18" w:name="_Toc531079103"/>
      <w:bookmarkStart w:id="19" w:name="_Toc531636019"/>
      <w:r w:rsidR="00C93A96" w:rsidRPr="004C0FFA">
        <w:rPr>
          <w:i/>
        </w:rPr>
        <w:t>Reactor</w:t>
      </w:r>
      <w:r w:rsidR="004C0FFA" w:rsidRPr="004C0FFA">
        <w:rPr>
          <w:i/>
        </w:rPr>
        <w:t xml:space="preserve"> #</w:t>
      </w:r>
      <w:r w:rsidR="00C93A96" w:rsidRPr="004C0FFA">
        <w:rPr>
          <w:i/>
        </w:rPr>
        <w:t>3</w:t>
      </w:r>
      <w:bookmarkEnd w:id="18"/>
      <w:bookmarkEnd w:id="19"/>
      <w:r w:rsidR="004C0FFA">
        <w:rPr>
          <w:i/>
        </w:rPr>
        <w:t xml:space="preserve">: </w:t>
      </w:r>
      <w:r w:rsidR="00C93A96" w:rsidRPr="00C93A96">
        <w:t xml:space="preserve">has </w:t>
      </w:r>
      <w:r w:rsidR="004C0FFA">
        <w:t>the same structure and volume of Reactor #2, but it</w:t>
      </w:r>
      <w:r w:rsidR="00C93A96" w:rsidRPr="00C93A96">
        <w:t xml:space="preserve"> is irradiated </w:t>
      </w:r>
      <w:r w:rsidR="004C0FFA">
        <w:t>from</w:t>
      </w:r>
      <w:r w:rsidR="00C93A96" w:rsidRPr="00C93A96">
        <w:t xml:space="preserve"> the top through a quartz window of 1 cm thickness</w:t>
      </w:r>
      <w:r w:rsidR="00EC2359">
        <w:t xml:space="preserve">, using a </w:t>
      </w:r>
      <w:r w:rsidR="00C93A96" w:rsidRPr="00C93A96">
        <w:t>UVA lamp (Jelosil</w:t>
      </w:r>
      <w:r w:rsidR="00EC2359">
        <w:t>,</w:t>
      </w:r>
      <w:r w:rsidR="00C93A96" w:rsidRPr="00C93A96">
        <w:t xml:space="preserve"> HG 200 L) with maximum emission at 365 nm.</w:t>
      </w:r>
      <w:r w:rsidR="00B93727" w:rsidRPr="00B93727">
        <w:t xml:space="preserve"> </w:t>
      </w:r>
      <w:r w:rsidR="00B93727">
        <w:t xml:space="preserve">The average irradiance measured was </w:t>
      </w:r>
      <w:r w:rsidR="00B93727" w:rsidRPr="00B93727">
        <w:rPr>
          <w:i/>
        </w:rPr>
        <w:t>ca</w:t>
      </w:r>
      <w:r w:rsidR="00B93727">
        <w:t>. 75 W/m</w:t>
      </w:r>
      <w:r w:rsidR="00B93727">
        <w:rPr>
          <w:vertAlign w:val="superscript"/>
        </w:rPr>
        <w:t>2</w:t>
      </w:r>
      <w:r w:rsidR="00B93727">
        <w:t>, ranging from 50 to 100 W/m</w:t>
      </w:r>
      <w:r w:rsidR="00B93727">
        <w:rPr>
          <w:vertAlign w:val="superscript"/>
        </w:rPr>
        <w:t>2</w:t>
      </w:r>
      <w:r w:rsidR="00B93727">
        <w:t xml:space="preserve"> depending on the distance from the lamp.</w:t>
      </w:r>
      <w:r w:rsidR="00C93A96" w:rsidRPr="00C93A96">
        <w:t xml:space="preserve"> </w:t>
      </w:r>
      <w:bookmarkStart w:id="20" w:name="_Toc531079105"/>
      <w:bookmarkStart w:id="21" w:name="_Toc531636021"/>
    </w:p>
    <w:p w14:paraId="7E9745F3" w14:textId="77E2808B" w:rsidR="00C93A96" w:rsidRPr="00C93A96" w:rsidRDefault="00B93727" w:rsidP="00F32415">
      <w:pPr>
        <w:pStyle w:val="CETBodytext"/>
        <w:widowControl w:val="0"/>
        <w:rPr>
          <w:b/>
        </w:rPr>
      </w:pPr>
      <w:r>
        <w:t>All the reactors allowed gas inlet to remove air before the analysis and sampling places for the gas and liquid phase.</w:t>
      </w:r>
      <w:bookmarkEnd w:id="20"/>
      <w:bookmarkEnd w:id="21"/>
      <w:r w:rsidR="000E6F58">
        <w:t xml:space="preserve"> </w:t>
      </w:r>
      <w:r>
        <w:t xml:space="preserve">A </w:t>
      </w:r>
      <w:r w:rsidR="00C93A96" w:rsidRPr="00C93A96">
        <w:t xml:space="preserve">gas chromatograph </w:t>
      </w:r>
      <w:r>
        <w:t xml:space="preserve">(Agilent 7890) was used </w:t>
      </w:r>
      <w:r w:rsidR="00C93A96" w:rsidRPr="00C93A96">
        <w:t>for the quantification of H</w:t>
      </w:r>
      <w:r w:rsidR="00C93A96" w:rsidRPr="00C93A96">
        <w:rPr>
          <w:vertAlign w:val="subscript"/>
        </w:rPr>
        <w:t>2</w:t>
      </w:r>
      <w:r w:rsidR="00C93A96" w:rsidRPr="00C93A96">
        <w:t>, CH</w:t>
      </w:r>
      <w:r w:rsidR="00C93A96" w:rsidRPr="00C93A96">
        <w:rPr>
          <w:vertAlign w:val="subscript"/>
        </w:rPr>
        <w:t>4</w:t>
      </w:r>
      <w:r w:rsidR="00C93A96" w:rsidRPr="00C93A96">
        <w:t>, CO</w:t>
      </w:r>
      <w:r>
        <w:t>,</w:t>
      </w:r>
      <w:r w:rsidR="00C93A96" w:rsidRPr="00C93A96">
        <w:t xml:space="preserve"> </w:t>
      </w:r>
      <w:r w:rsidRPr="00C93A96">
        <w:t>CO</w:t>
      </w:r>
      <w:r w:rsidRPr="00C93A96">
        <w:rPr>
          <w:vertAlign w:val="subscript"/>
        </w:rPr>
        <w:t>2</w:t>
      </w:r>
      <w:r>
        <w:rPr>
          <w:vertAlign w:val="subscript"/>
        </w:rPr>
        <w:t xml:space="preserve"> </w:t>
      </w:r>
      <w:r w:rsidR="00C93A96" w:rsidRPr="00C93A96">
        <w:t xml:space="preserve">and polar/non-polar light gases. </w:t>
      </w:r>
    </w:p>
    <w:p w14:paraId="621735C4" w14:textId="1A0C6118" w:rsidR="00C93A96" w:rsidRPr="00C93A96" w:rsidRDefault="00C93A96" w:rsidP="00F32415">
      <w:pPr>
        <w:pStyle w:val="CETBodytext"/>
        <w:widowControl w:val="0"/>
      </w:pPr>
      <w:bookmarkStart w:id="22" w:name="OLE_LINK110"/>
      <w:r w:rsidRPr="00C93A96">
        <w:t xml:space="preserve">COD - chemical oxygen demand - analysis </w:t>
      </w:r>
      <w:r w:rsidR="00B93727">
        <w:t>was</w:t>
      </w:r>
      <w:r w:rsidRPr="00C93A96">
        <w:t xml:space="preserve"> used to quantify the </w:t>
      </w:r>
      <w:r w:rsidR="00B93727">
        <w:t xml:space="preserve">concentration of </w:t>
      </w:r>
      <w:r w:rsidRPr="00C93A96">
        <w:t>organic molecules in the sample through their complete oxidation</w:t>
      </w:r>
      <w:r w:rsidR="00B93727">
        <w:t xml:space="preserve"> with</w:t>
      </w:r>
      <w:r w:rsidRPr="00C93A96">
        <w:t xml:space="preserve"> K</w:t>
      </w:r>
      <w:r w:rsidRPr="00C93A96">
        <w:rPr>
          <w:vertAlign w:val="subscript"/>
        </w:rPr>
        <w:t>2</w:t>
      </w:r>
      <w:r w:rsidRPr="00C93A96">
        <w:t>Cr</w:t>
      </w:r>
      <w:r w:rsidRPr="00C93A96">
        <w:rPr>
          <w:vertAlign w:val="subscript"/>
        </w:rPr>
        <w:t>2</w:t>
      </w:r>
      <w:r w:rsidRPr="00C93A96">
        <w:t>O</w:t>
      </w:r>
      <w:r w:rsidRPr="00C93A96">
        <w:rPr>
          <w:vertAlign w:val="subscript"/>
        </w:rPr>
        <w:t>7</w:t>
      </w:r>
      <w:r w:rsidRPr="00C93A96">
        <w:t xml:space="preserve"> in </w:t>
      </w:r>
      <w:r w:rsidR="00941FDF">
        <w:t xml:space="preserve">an </w:t>
      </w:r>
      <w:r w:rsidRPr="00C93A96">
        <w:t>acidic environment at 130</w:t>
      </w:r>
      <w:r w:rsidR="00A564BB">
        <w:t xml:space="preserve"> </w:t>
      </w:r>
      <w:r w:rsidRPr="00C93A96">
        <w:t xml:space="preserve">°C for 30 minutes. </w:t>
      </w:r>
      <w:r w:rsidR="00B93727">
        <w:t>The amount of reacted Dichromate, correlated to the residual organic fraction, is determined by s</w:t>
      </w:r>
      <w:r w:rsidRPr="00C93A96">
        <w:t>pectrophotometric analysis of the produced Cr</w:t>
      </w:r>
      <w:r w:rsidRPr="00C93A96">
        <w:rPr>
          <w:vertAlign w:val="superscript"/>
        </w:rPr>
        <w:t>+3</w:t>
      </w:r>
      <w:r w:rsidRPr="00C93A96">
        <w:t xml:space="preserve"> ions</w:t>
      </w:r>
      <w:r w:rsidR="00B93727">
        <w:t xml:space="preserve"> with a</w:t>
      </w:r>
      <w:r w:rsidRPr="00C93A96">
        <w:t xml:space="preserve"> </w:t>
      </w:r>
      <w:r w:rsidR="00B93727" w:rsidRPr="00C93A96">
        <w:t>Perkin Elmer Lambda 35 spectrometer at 605 nm</w:t>
      </w:r>
      <w:r w:rsidRPr="00C93A96">
        <w:t>.</w:t>
      </w:r>
    </w:p>
    <w:p w14:paraId="07589843" w14:textId="08648875" w:rsidR="00C93A96" w:rsidRPr="00C93A96" w:rsidRDefault="00C93A96" w:rsidP="00F32415">
      <w:pPr>
        <w:pStyle w:val="CETBodytext"/>
        <w:widowControl w:val="0"/>
        <w:rPr>
          <w:b/>
          <w:bCs/>
        </w:rPr>
      </w:pPr>
      <w:r w:rsidRPr="00C93A96">
        <w:t>TOC - total organic carbon - analysis measure</w:t>
      </w:r>
      <w:r w:rsidR="00B93727">
        <w:t>d</w:t>
      </w:r>
      <w:r w:rsidRPr="00C93A96">
        <w:t xml:space="preserve"> the organic carbon in the sample by </w:t>
      </w:r>
      <w:r w:rsidR="00B93727">
        <w:t>its</w:t>
      </w:r>
      <w:r w:rsidRPr="00C93A96">
        <w:t xml:space="preserve"> conversion into CO</w:t>
      </w:r>
      <w:r w:rsidRPr="00C93A96">
        <w:rPr>
          <w:vertAlign w:val="subscript"/>
        </w:rPr>
        <w:t>2</w:t>
      </w:r>
      <w:r w:rsidR="00B93727">
        <w:t xml:space="preserve">, </w:t>
      </w:r>
      <w:r w:rsidRPr="00C93A96">
        <w:t xml:space="preserve">then measured thanks to a detector (IR, FID or TCD). </w:t>
      </w:r>
      <w:r w:rsidR="00B93727">
        <w:t xml:space="preserve">A </w:t>
      </w:r>
      <w:r w:rsidR="00B93727" w:rsidRPr="00C93A96">
        <w:t xml:space="preserve">Shimadzu </w:t>
      </w:r>
      <w:r w:rsidRPr="00C93A96">
        <w:t>Dry Combustion TOC</w:t>
      </w:r>
      <w:r w:rsidR="00B93727">
        <w:t xml:space="preserve"> was used, operating</w:t>
      </w:r>
      <w:r w:rsidRPr="00C93A96">
        <w:t xml:space="preserve"> at 6</w:t>
      </w:r>
      <w:r w:rsidR="00B93727">
        <w:t>8</w:t>
      </w:r>
      <w:r w:rsidRPr="00C93A96">
        <w:t>0</w:t>
      </w:r>
      <w:r w:rsidR="00A564BB">
        <w:t xml:space="preserve"> </w:t>
      </w:r>
      <w:r w:rsidRPr="00C93A96">
        <w:t>°C with a Pt supported catalyst.</w:t>
      </w:r>
      <w:r w:rsidR="00B93727">
        <w:t xml:space="preserve"> </w:t>
      </w:r>
      <w:bookmarkStart w:id="23" w:name="_Toc531079113"/>
    </w:p>
    <w:bookmarkEnd w:id="23"/>
    <w:p w14:paraId="22B4C280" w14:textId="76A7106C" w:rsidR="00C93A96" w:rsidRPr="00C93A96" w:rsidRDefault="00C93A96" w:rsidP="00F32415">
      <w:pPr>
        <w:pStyle w:val="CETBodytext"/>
        <w:widowControl w:val="0"/>
      </w:pPr>
      <w:r w:rsidRPr="00C93A96">
        <w:t xml:space="preserve">The procedure to load the reactor </w:t>
      </w:r>
      <w:r w:rsidR="00D265BB">
        <w:t>wa</w:t>
      </w:r>
      <w:r w:rsidRPr="00C93A96">
        <w:t xml:space="preserve">s the same for </w:t>
      </w:r>
      <w:r w:rsidR="00D265BB">
        <w:t>all</w:t>
      </w:r>
      <w:r w:rsidRPr="00C93A96">
        <w:t xml:space="preserve"> reactors</w:t>
      </w:r>
      <w:r w:rsidR="00D265BB">
        <w:t>, except the solution</w:t>
      </w:r>
      <w:r w:rsidR="00941FDF" w:rsidRPr="00941FDF">
        <w:t xml:space="preserve"> </w:t>
      </w:r>
      <w:r w:rsidR="00941FDF">
        <w:t>volume</w:t>
      </w:r>
      <w:r w:rsidR="00D265BB">
        <w:t xml:space="preserve">. The tests were carried out on 5 g/L solutions of glucose, after suspension of </w:t>
      </w:r>
      <w:r w:rsidRPr="00C93A96">
        <w:t>0</w:t>
      </w:r>
      <w:r w:rsidR="00D265BB">
        <w:t>.</w:t>
      </w:r>
      <w:r w:rsidRPr="00C93A96">
        <w:t>25</w:t>
      </w:r>
      <w:r w:rsidR="00A564BB">
        <w:t xml:space="preserve"> </w:t>
      </w:r>
      <w:r w:rsidRPr="00C93A96">
        <w:t xml:space="preserve">g/L </w:t>
      </w:r>
      <w:r w:rsidR="00D265BB">
        <w:t>of the photocatalyst,</w:t>
      </w:r>
      <w:r w:rsidR="00B23FA8">
        <w:t xml:space="preserve"> setting the temperature at the desired value (80</w:t>
      </w:r>
      <w:r w:rsidR="00A564BB">
        <w:t xml:space="preserve"> </w:t>
      </w:r>
      <w:r w:rsidR="00B23FA8">
        <w:t>°C for reactors #1 and #3, 60</w:t>
      </w:r>
      <w:r w:rsidR="00A564BB">
        <w:t xml:space="preserve"> </w:t>
      </w:r>
      <w:r w:rsidR="00B23FA8">
        <w:t>°C for reactor #2) and</w:t>
      </w:r>
      <w:r w:rsidR="00D265BB">
        <w:t xml:space="preserve"> degassing the system by bubbling inert gas for 30 min at r.t.. </w:t>
      </w:r>
      <w:r w:rsidR="00941FDF">
        <w:t>The s</w:t>
      </w:r>
      <w:r w:rsidR="00D265BB">
        <w:t xml:space="preserve">ampling of the gas phase was carried out before the test to check </w:t>
      </w:r>
      <w:r w:rsidR="00941FDF">
        <w:t xml:space="preserve">the </w:t>
      </w:r>
      <w:r w:rsidR="00941FDF">
        <w:t>air</w:t>
      </w:r>
      <w:r w:rsidR="00941FDF">
        <w:t xml:space="preserve"> </w:t>
      </w:r>
      <w:r w:rsidR="00D265BB">
        <w:t>elimination</w:t>
      </w:r>
      <w:r w:rsidR="00941FDF">
        <w:t>. T</w:t>
      </w:r>
      <w:r w:rsidR="00D265BB">
        <w:t>he three samples of the liquid phase were used to assess the glucose concentration at time 0.</w:t>
      </w:r>
      <w:r w:rsidR="00B23FA8" w:rsidRPr="00C93A96">
        <w:t xml:space="preserve"> </w:t>
      </w:r>
      <w:r w:rsidRPr="00C93A96">
        <w:t>Finally, the lamp is turned on for 5</w:t>
      </w:r>
      <w:r w:rsidR="00A564BB">
        <w:t xml:space="preserve"> </w:t>
      </w:r>
      <w:r w:rsidRPr="00C93A96">
        <w:t>h</w:t>
      </w:r>
      <w:r w:rsidR="00B23FA8">
        <w:t xml:space="preserve">, sampling the </w:t>
      </w:r>
      <w:r w:rsidRPr="00C93A96">
        <w:t xml:space="preserve">gas phase sample </w:t>
      </w:r>
      <w:r w:rsidR="00B23FA8">
        <w:t>every hour for GC</w:t>
      </w:r>
      <w:r w:rsidRPr="00C93A96">
        <w:t xml:space="preserve"> analys</w:t>
      </w:r>
      <w:r w:rsidR="00B23FA8">
        <w:t>is.</w:t>
      </w:r>
      <w:r w:rsidRPr="00C93A96">
        <w:t xml:space="preserve"> At the end of the </w:t>
      </w:r>
      <w:r w:rsidR="00B23FA8">
        <w:t>test</w:t>
      </w:r>
      <w:r w:rsidRPr="00C93A96">
        <w:t xml:space="preserve"> three samples of </w:t>
      </w:r>
      <w:r w:rsidR="00B23FA8">
        <w:t xml:space="preserve">the </w:t>
      </w:r>
      <w:r w:rsidRPr="00C93A96">
        <w:t xml:space="preserve">liquid phase </w:t>
      </w:r>
      <w:r w:rsidR="00B23FA8">
        <w:t>were</w:t>
      </w:r>
      <w:r w:rsidRPr="00C93A96">
        <w:t xml:space="preserve"> taken and analysed for </w:t>
      </w:r>
      <w:r w:rsidR="00B23FA8">
        <w:t xml:space="preserve">organics </w:t>
      </w:r>
      <w:r w:rsidRPr="00C93A96">
        <w:t xml:space="preserve">conversion (by </w:t>
      </w:r>
      <w:r w:rsidR="00B23FA8">
        <w:t>COD/</w:t>
      </w:r>
      <w:r w:rsidRPr="00C93A96">
        <w:t>Dry TOC).</w:t>
      </w:r>
    </w:p>
    <w:bookmarkEnd w:id="22"/>
    <w:p w14:paraId="7EBB9F46" w14:textId="45B09757" w:rsidR="0091710E" w:rsidRPr="00B57B36" w:rsidRDefault="0091710E" w:rsidP="00F32415">
      <w:pPr>
        <w:pStyle w:val="CETHeading1"/>
        <w:keepNext w:val="0"/>
        <w:widowControl w:val="0"/>
        <w:rPr>
          <w:lang w:val="en-GB"/>
        </w:rPr>
      </w:pPr>
      <w:r>
        <w:rPr>
          <w:lang w:val="en-GB"/>
        </w:rPr>
        <w:t>Results and Discussion</w:t>
      </w:r>
    </w:p>
    <w:p w14:paraId="2C744222" w14:textId="7E7F0317" w:rsidR="00034ECA" w:rsidRDefault="00034ECA" w:rsidP="00F32415">
      <w:pPr>
        <w:pStyle w:val="CETheadingx"/>
      </w:pPr>
      <w:r>
        <w:t>Effect of Photocatalyst formulation</w:t>
      </w:r>
    </w:p>
    <w:p w14:paraId="733B33E9" w14:textId="430D481A" w:rsidR="00233344" w:rsidRPr="0091710E" w:rsidRDefault="0091710E" w:rsidP="00F32415">
      <w:pPr>
        <w:pStyle w:val="CETBodytext"/>
        <w:widowControl w:val="0"/>
      </w:pPr>
      <w:r>
        <w:t>The differently prepared TiO</w:t>
      </w:r>
      <w:r>
        <w:rPr>
          <w:vertAlign w:val="subscript"/>
        </w:rPr>
        <w:t>2</w:t>
      </w:r>
      <w:r>
        <w:t xml:space="preserve"> samples were characterized by different phases composition. In particular, both the samples prepared by flame synthesis, the home-prepared FSP and the P25 commercial one</w:t>
      </w:r>
      <w:r w:rsidR="00E33D8A">
        <w:t>,</w:t>
      </w:r>
      <w:r w:rsidR="002214C4">
        <w:t xml:space="preserve"> were constituted </w:t>
      </w:r>
      <w:r w:rsidR="00050129">
        <w:t xml:space="preserve">of </w:t>
      </w:r>
      <w:r w:rsidR="002214C4">
        <w:t xml:space="preserve">a mixture of the anatase and rutile phases, the latter more evident for sample FSP in reason of the higher preparation temperature, which can also explain the </w:t>
      </w:r>
      <w:r w:rsidR="00E33D8A">
        <w:t>slightly big</w:t>
      </w:r>
      <w:r w:rsidR="002214C4">
        <w:t>ger particle size.</w:t>
      </w:r>
      <w:r w:rsidR="00133ECC">
        <w:t xml:space="preserve"> By contrast, both the Meso and Prec samples were constituted by the pure anatase phase, with very similar particle size. The SSA was comparable for the P25, FSP and Meso samples, while it was almost double for the catalyst prepared by precipitation</w:t>
      </w:r>
      <w:r w:rsidR="00E33D8A">
        <w:t xml:space="preserve"> due to microporosity</w:t>
      </w:r>
      <w:r w:rsidR="00133ECC">
        <w:t>. The addition of Pt by wet impregnation did not change the physical properties of the P25 sample</w:t>
      </w:r>
      <w:r w:rsidR="00941FDF" w:rsidRPr="00941FDF">
        <w:t xml:space="preserve"> </w:t>
      </w:r>
      <w:r w:rsidR="00941FDF">
        <w:t>appreciably</w:t>
      </w:r>
      <w:r w:rsidR="00133ECC">
        <w:t>, except some sintering due to the high</w:t>
      </w:r>
      <w:r w:rsidR="00941FDF">
        <w:t>-</w:t>
      </w:r>
      <w:r w:rsidR="00133ECC">
        <w:t>temperature reduction, while it significantly decreased the band gap from 3.3-3.4 to 3.1 eV.</w:t>
      </w:r>
      <w:r w:rsidR="00E33D8A">
        <w:t xml:space="preserve"> This can be attributed to a surface plasmonic contribution due to the metal.</w:t>
      </w:r>
    </w:p>
    <w:p w14:paraId="793E661F" w14:textId="66EE70E8" w:rsidR="0091710E" w:rsidRPr="00B57B36" w:rsidRDefault="0091710E" w:rsidP="00F32415">
      <w:pPr>
        <w:pStyle w:val="CETTabletitle"/>
        <w:keepNext w:val="0"/>
        <w:widowControl w:val="0"/>
      </w:pPr>
      <w:r w:rsidRPr="00B57B36">
        <w:t xml:space="preserve">Table 1: </w:t>
      </w:r>
      <w:r>
        <w:t>Main physical-chemical properties of the TiO</w:t>
      </w:r>
      <w:r>
        <w:rPr>
          <w:vertAlign w:val="subscript"/>
        </w:rPr>
        <w:t>2</w:t>
      </w:r>
      <w:r>
        <w:t xml:space="preserve"> materials.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918"/>
        <w:gridCol w:w="918"/>
        <w:gridCol w:w="918"/>
        <w:gridCol w:w="918"/>
        <w:gridCol w:w="918"/>
      </w:tblGrid>
      <w:tr w:rsidR="0091710E" w:rsidRPr="00B57B36" w14:paraId="6442727D" w14:textId="77777777" w:rsidTr="0091710E">
        <w:tc>
          <w:tcPr>
            <w:tcW w:w="2977" w:type="dxa"/>
            <w:tcBorders>
              <w:top w:val="single" w:sz="12" w:space="0" w:color="008000"/>
              <w:bottom w:val="single" w:sz="6" w:space="0" w:color="008000"/>
            </w:tcBorders>
            <w:shd w:val="clear" w:color="auto" w:fill="FFFFFF"/>
          </w:tcPr>
          <w:p w14:paraId="69E0B782" w14:textId="23259C07" w:rsidR="0091710E" w:rsidRPr="00B57B36" w:rsidRDefault="0091710E" w:rsidP="00F32415">
            <w:pPr>
              <w:pStyle w:val="CETBodytext"/>
              <w:widowControl w:val="0"/>
              <w:rPr>
                <w:lang w:val="en-GB"/>
              </w:rPr>
            </w:pPr>
            <w:r w:rsidRPr="00D86D84">
              <w:t>Sample</w:t>
            </w:r>
          </w:p>
        </w:tc>
        <w:tc>
          <w:tcPr>
            <w:tcW w:w="918" w:type="dxa"/>
            <w:tcBorders>
              <w:top w:val="single" w:sz="12" w:space="0" w:color="008000"/>
              <w:bottom w:val="single" w:sz="6" w:space="0" w:color="008000"/>
            </w:tcBorders>
            <w:shd w:val="clear" w:color="auto" w:fill="FFFFFF"/>
          </w:tcPr>
          <w:p w14:paraId="6CECE6FE" w14:textId="74D6A386" w:rsidR="0091710E" w:rsidRPr="00B57B36" w:rsidRDefault="0091710E" w:rsidP="00F32415">
            <w:pPr>
              <w:pStyle w:val="CETBodytext"/>
              <w:widowControl w:val="0"/>
              <w:rPr>
                <w:lang w:val="en-GB"/>
              </w:rPr>
            </w:pPr>
            <w:r w:rsidRPr="00D86D84">
              <w:t>P25</w:t>
            </w:r>
            <w:r>
              <w:t xml:space="preserve"> </w:t>
            </w:r>
          </w:p>
        </w:tc>
        <w:tc>
          <w:tcPr>
            <w:tcW w:w="918" w:type="dxa"/>
            <w:tcBorders>
              <w:top w:val="single" w:sz="12" w:space="0" w:color="008000"/>
              <w:bottom w:val="single" w:sz="6" w:space="0" w:color="008000"/>
            </w:tcBorders>
            <w:shd w:val="clear" w:color="auto" w:fill="FFFFFF"/>
          </w:tcPr>
          <w:p w14:paraId="57668646" w14:textId="687584C4" w:rsidR="0091710E" w:rsidRPr="00B57B36" w:rsidRDefault="0091710E" w:rsidP="00F32415">
            <w:pPr>
              <w:pStyle w:val="CETBodytext"/>
              <w:widowControl w:val="0"/>
              <w:rPr>
                <w:lang w:val="en-GB"/>
              </w:rPr>
            </w:pPr>
            <w:r w:rsidRPr="00D86D84">
              <w:t>FSP</w:t>
            </w:r>
          </w:p>
        </w:tc>
        <w:tc>
          <w:tcPr>
            <w:tcW w:w="918" w:type="dxa"/>
            <w:tcBorders>
              <w:top w:val="single" w:sz="12" w:space="0" w:color="008000"/>
              <w:bottom w:val="single" w:sz="6" w:space="0" w:color="008000"/>
            </w:tcBorders>
            <w:shd w:val="clear" w:color="auto" w:fill="FFFFFF"/>
          </w:tcPr>
          <w:p w14:paraId="133A09C4" w14:textId="3FF7A57C" w:rsidR="0091710E" w:rsidRPr="00B57B36" w:rsidRDefault="0091710E" w:rsidP="00F32415">
            <w:pPr>
              <w:pStyle w:val="CETBodytext"/>
              <w:widowControl w:val="0"/>
              <w:ind w:right="-1"/>
              <w:rPr>
                <w:rFonts w:cs="Arial"/>
                <w:szCs w:val="18"/>
                <w:lang w:val="en-GB"/>
              </w:rPr>
            </w:pPr>
            <w:r>
              <w:t>M</w:t>
            </w:r>
            <w:r w:rsidRPr="00D86D84">
              <w:t>eso</w:t>
            </w:r>
          </w:p>
        </w:tc>
        <w:tc>
          <w:tcPr>
            <w:tcW w:w="918" w:type="dxa"/>
            <w:tcBorders>
              <w:top w:val="single" w:sz="12" w:space="0" w:color="008000"/>
              <w:bottom w:val="single" w:sz="6" w:space="0" w:color="008000"/>
            </w:tcBorders>
            <w:shd w:val="clear" w:color="auto" w:fill="FFFFFF"/>
          </w:tcPr>
          <w:p w14:paraId="7CECB2D1" w14:textId="79A1BC47" w:rsidR="0091710E" w:rsidRDefault="0091710E" w:rsidP="00F32415">
            <w:pPr>
              <w:pStyle w:val="CETBodytext"/>
              <w:widowControl w:val="0"/>
              <w:ind w:right="-1"/>
              <w:rPr>
                <w:rFonts w:cs="Arial"/>
                <w:szCs w:val="18"/>
                <w:lang w:val="en-GB"/>
              </w:rPr>
            </w:pPr>
            <w:r>
              <w:rPr>
                <w:rFonts w:cs="Arial"/>
                <w:szCs w:val="18"/>
                <w:lang w:val="en-GB"/>
              </w:rPr>
              <w:t>Prec</w:t>
            </w:r>
          </w:p>
        </w:tc>
        <w:tc>
          <w:tcPr>
            <w:tcW w:w="918" w:type="dxa"/>
            <w:tcBorders>
              <w:top w:val="single" w:sz="12" w:space="0" w:color="008000"/>
              <w:bottom w:val="single" w:sz="6" w:space="0" w:color="008000"/>
            </w:tcBorders>
            <w:shd w:val="clear" w:color="auto" w:fill="FFFFFF"/>
          </w:tcPr>
          <w:p w14:paraId="31C121C1" w14:textId="639576C5" w:rsidR="0091710E" w:rsidRDefault="0091710E" w:rsidP="00F32415">
            <w:pPr>
              <w:pStyle w:val="CETBodytext"/>
              <w:widowControl w:val="0"/>
              <w:ind w:right="-1"/>
              <w:rPr>
                <w:rFonts w:cs="Arial"/>
                <w:szCs w:val="18"/>
                <w:lang w:val="en-GB"/>
              </w:rPr>
            </w:pPr>
            <w:r>
              <w:t>Pt/</w:t>
            </w:r>
            <w:r w:rsidRPr="00D86D84">
              <w:t>P25</w:t>
            </w:r>
          </w:p>
        </w:tc>
      </w:tr>
      <w:tr w:rsidR="0091710E" w:rsidRPr="00B57B36" w14:paraId="4F4EA238" w14:textId="2B364A46" w:rsidTr="0091710E">
        <w:tc>
          <w:tcPr>
            <w:tcW w:w="2977" w:type="dxa"/>
            <w:shd w:val="clear" w:color="auto" w:fill="FFFFFF"/>
          </w:tcPr>
          <w:p w14:paraId="7D676C4B" w14:textId="21AF7E63" w:rsidR="0091710E" w:rsidRPr="00B57B36" w:rsidRDefault="0091710E" w:rsidP="00F32415">
            <w:pPr>
              <w:pStyle w:val="CETBodytext"/>
              <w:widowControl w:val="0"/>
              <w:ind w:right="-1"/>
              <w:rPr>
                <w:rFonts w:cs="Arial"/>
                <w:szCs w:val="18"/>
                <w:lang w:val="en-GB"/>
              </w:rPr>
            </w:pPr>
            <w:r w:rsidRPr="00D86D84">
              <w:t>Anatase / Rutile (%)</w:t>
            </w:r>
          </w:p>
        </w:tc>
        <w:tc>
          <w:tcPr>
            <w:tcW w:w="918" w:type="dxa"/>
            <w:shd w:val="clear" w:color="auto" w:fill="FFFFFF"/>
          </w:tcPr>
          <w:p w14:paraId="03B27E3F" w14:textId="64906398" w:rsidR="0091710E" w:rsidRPr="00B57B36" w:rsidRDefault="0091710E" w:rsidP="00F32415">
            <w:pPr>
              <w:pStyle w:val="CETBodytext"/>
              <w:widowControl w:val="0"/>
              <w:ind w:right="-1"/>
              <w:rPr>
                <w:rFonts w:cs="Arial"/>
                <w:szCs w:val="18"/>
                <w:lang w:val="en-GB"/>
              </w:rPr>
            </w:pPr>
            <w:r w:rsidRPr="00D86D84">
              <w:t>78/22</w:t>
            </w:r>
          </w:p>
        </w:tc>
        <w:tc>
          <w:tcPr>
            <w:tcW w:w="918" w:type="dxa"/>
            <w:shd w:val="clear" w:color="auto" w:fill="FFFFFF"/>
          </w:tcPr>
          <w:p w14:paraId="71A1FA3F" w14:textId="1249B0F0" w:rsidR="0091710E" w:rsidRPr="00B57B36" w:rsidRDefault="0091710E" w:rsidP="00F32415">
            <w:pPr>
              <w:pStyle w:val="CETBodytext"/>
              <w:widowControl w:val="0"/>
              <w:ind w:right="-1"/>
              <w:rPr>
                <w:rFonts w:cs="Arial"/>
                <w:szCs w:val="18"/>
                <w:lang w:val="en-GB"/>
              </w:rPr>
            </w:pPr>
            <w:r w:rsidRPr="00D86D84">
              <w:t>65/35</w:t>
            </w:r>
          </w:p>
        </w:tc>
        <w:tc>
          <w:tcPr>
            <w:tcW w:w="918" w:type="dxa"/>
            <w:shd w:val="clear" w:color="auto" w:fill="FFFFFF"/>
          </w:tcPr>
          <w:p w14:paraId="6E0A280A" w14:textId="30159E30" w:rsidR="0091710E" w:rsidRPr="00B57B36" w:rsidRDefault="0091710E" w:rsidP="00F32415">
            <w:pPr>
              <w:pStyle w:val="CETBodytext"/>
              <w:widowControl w:val="0"/>
              <w:ind w:right="-1"/>
              <w:rPr>
                <w:rFonts w:cs="Arial"/>
                <w:szCs w:val="18"/>
                <w:lang w:val="en-GB"/>
              </w:rPr>
            </w:pPr>
            <w:r w:rsidRPr="00D86D84">
              <w:t>100/0</w:t>
            </w:r>
          </w:p>
        </w:tc>
        <w:tc>
          <w:tcPr>
            <w:tcW w:w="918" w:type="dxa"/>
            <w:shd w:val="clear" w:color="auto" w:fill="FFFFFF"/>
          </w:tcPr>
          <w:p w14:paraId="68709105" w14:textId="4CC0DA91" w:rsidR="0091710E" w:rsidRDefault="0091710E" w:rsidP="00F32415">
            <w:pPr>
              <w:pStyle w:val="CETBodytext"/>
              <w:widowControl w:val="0"/>
              <w:ind w:right="-1"/>
            </w:pPr>
            <w:r>
              <w:t>100/0</w:t>
            </w:r>
          </w:p>
        </w:tc>
        <w:tc>
          <w:tcPr>
            <w:tcW w:w="918" w:type="dxa"/>
            <w:shd w:val="clear" w:color="auto" w:fill="FFFFFF"/>
          </w:tcPr>
          <w:p w14:paraId="5FBE6093" w14:textId="5318188F" w:rsidR="0091710E" w:rsidRDefault="0091710E" w:rsidP="00F32415">
            <w:pPr>
              <w:pStyle w:val="CETBodytext"/>
              <w:widowControl w:val="0"/>
              <w:ind w:right="-1"/>
            </w:pPr>
            <w:r w:rsidRPr="00D86D84">
              <w:t>87/13</w:t>
            </w:r>
          </w:p>
        </w:tc>
      </w:tr>
      <w:tr w:rsidR="0091710E" w:rsidRPr="00B57B36" w14:paraId="21BD0F39" w14:textId="77777777" w:rsidTr="0091710E">
        <w:tc>
          <w:tcPr>
            <w:tcW w:w="2977" w:type="dxa"/>
            <w:shd w:val="clear" w:color="auto" w:fill="FFFFFF"/>
          </w:tcPr>
          <w:p w14:paraId="590E96EF" w14:textId="45021DB2" w:rsidR="0091710E" w:rsidRPr="00D86D84" w:rsidRDefault="0091710E" w:rsidP="00F32415">
            <w:pPr>
              <w:pStyle w:val="CETBodytext"/>
              <w:widowControl w:val="0"/>
              <w:ind w:right="-1"/>
            </w:pPr>
            <w:r w:rsidRPr="00D86D84">
              <w:t xml:space="preserve">Particle size </w:t>
            </w:r>
            <w:r>
              <w:t>(nm)</w:t>
            </w:r>
          </w:p>
        </w:tc>
        <w:tc>
          <w:tcPr>
            <w:tcW w:w="918" w:type="dxa"/>
            <w:shd w:val="clear" w:color="auto" w:fill="FFFFFF"/>
          </w:tcPr>
          <w:p w14:paraId="1FC13002" w14:textId="5B552BD0" w:rsidR="0091710E" w:rsidRPr="00D86D84" w:rsidRDefault="0091710E" w:rsidP="00F32415">
            <w:pPr>
              <w:pStyle w:val="CETBodytext"/>
              <w:widowControl w:val="0"/>
              <w:ind w:right="-1"/>
            </w:pPr>
            <w:r w:rsidRPr="00D86D84">
              <w:t>15</w:t>
            </w:r>
          </w:p>
        </w:tc>
        <w:tc>
          <w:tcPr>
            <w:tcW w:w="918" w:type="dxa"/>
            <w:shd w:val="clear" w:color="auto" w:fill="FFFFFF"/>
          </w:tcPr>
          <w:p w14:paraId="515B86C1" w14:textId="6D7EBFAC" w:rsidR="0091710E" w:rsidRPr="00D86D84" w:rsidRDefault="0091710E" w:rsidP="00F32415">
            <w:pPr>
              <w:pStyle w:val="CETBodytext"/>
              <w:widowControl w:val="0"/>
              <w:ind w:right="-1"/>
            </w:pPr>
            <w:r w:rsidRPr="00D86D84">
              <w:t>23</w:t>
            </w:r>
          </w:p>
        </w:tc>
        <w:tc>
          <w:tcPr>
            <w:tcW w:w="918" w:type="dxa"/>
            <w:shd w:val="clear" w:color="auto" w:fill="FFFFFF"/>
          </w:tcPr>
          <w:p w14:paraId="3F4D85A3" w14:textId="328C2604" w:rsidR="0091710E" w:rsidRPr="00D86D84" w:rsidRDefault="0091710E" w:rsidP="00F32415">
            <w:pPr>
              <w:pStyle w:val="CETBodytext"/>
              <w:widowControl w:val="0"/>
              <w:ind w:right="-1"/>
            </w:pPr>
            <w:r>
              <w:t>19</w:t>
            </w:r>
          </w:p>
        </w:tc>
        <w:tc>
          <w:tcPr>
            <w:tcW w:w="918" w:type="dxa"/>
            <w:shd w:val="clear" w:color="auto" w:fill="FFFFFF"/>
          </w:tcPr>
          <w:p w14:paraId="414389C9" w14:textId="1D8DC060" w:rsidR="0091710E" w:rsidRDefault="0091710E" w:rsidP="00F32415">
            <w:pPr>
              <w:pStyle w:val="CETBodytext"/>
              <w:widowControl w:val="0"/>
              <w:ind w:right="-1"/>
            </w:pPr>
            <w:r>
              <w:t>17</w:t>
            </w:r>
          </w:p>
        </w:tc>
        <w:tc>
          <w:tcPr>
            <w:tcW w:w="918" w:type="dxa"/>
            <w:shd w:val="clear" w:color="auto" w:fill="FFFFFF"/>
          </w:tcPr>
          <w:p w14:paraId="02132490" w14:textId="5E7311C5" w:rsidR="0091710E" w:rsidRDefault="0091710E" w:rsidP="00F32415">
            <w:pPr>
              <w:pStyle w:val="CETBodytext"/>
              <w:widowControl w:val="0"/>
              <w:ind w:right="-1"/>
            </w:pPr>
            <w:r w:rsidRPr="00D86D84">
              <w:t>21</w:t>
            </w:r>
          </w:p>
        </w:tc>
      </w:tr>
      <w:tr w:rsidR="0091710E" w:rsidRPr="00B57B36" w14:paraId="42C39F3E" w14:textId="77777777" w:rsidTr="0091710E">
        <w:tc>
          <w:tcPr>
            <w:tcW w:w="2977" w:type="dxa"/>
            <w:shd w:val="clear" w:color="auto" w:fill="FFFFFF"/>
          </w:tcPr>
          <w:p w14:paraId="6FED1AD1" w14:textId="0E4FDE1F" w:rsidR="0091710E" w:rsidRPr="00D86D84" w:rsidRDefault="00133ECC" w:rsidP="00F32415">
            <w:pPr>
              <w:pStyle w:val="CETBodytext"/>
              <w:widowControl w:val="0"/>
              <w:ind w:right="-1"/>
            </w:pPr>
            <w:r>
              <w:t>SSA</w:t>
            </w:r>
            <w:r w:rsidR="0091710E" w:rsidRPr="00D86D84">
              <w:t xml:space="preserve"> (m</w:t>
            </w:r>
            <w:r w:rsidR="0091710E" w:rsidRPr="00D86D84">
              <w:rPr>
                <w:vertAlign w:val="superscript"/>
              </w:rPr>
              <w:t>2</w:t>
            </w:r>
            <w:r w:rsidR="0091710E">
              <w:rPr>
                <w:vertAlign w:val="superscript"/>
              </w:rPr>
              <w:t xml:space="preserve"> </w:t>
            </w:r>
            <w:r w:rsidR="0091710E" w:rsidRPr="00D86D84">
              <w:t>g</w:t>
            </w:r>
            <w:r w:rsidR="0091710E" w:rsidRPr="00D86D84">
              <w:rPr>
                <w:vertAlign w:val="superscript"/>
              </w:rPr>
              <w:t>-1</w:t>
            </w:r>
            <w:r w:rsidR="0091710E" w:rsidRPr="00D86D84">
              <w:t xml:space="preserve">) </w:t>
            </w:r>
          </w:p>
        </w:tc>
        <w:tc>
          <w:tcPr>
            <w:tcW w:w="918" w:type="dxa"/>
            <w:shd w:val="clear" w:color="auto" w:fill="FFFFFF"/>
          </w:tcPr>
          <w:p w14:paraId="762AC3D3" w14:textId="354D62E3" w:rsidR="0091710E" w:rsidRPr="00D86D84" w:rsidRDefault="0091710E" w:rsidP="00F32415">
            <w:pPr>
              <w:pStyle w:val="CETBodytext"/>
              <w:widowControl w:val="0"/>
              <w:ind w:right="-1"/>
            </w:pPr>
            <w:r w:rsidRPr="00D86D84">
              <w:t>45</w:t>
            </w:r>
          </w:p>
        </w:tc>
        <w:tc>
          <w:tcPr>
            <w:tcW w:w="918" w:type="dxa"/>
            <w:shd w:val="clear" w:color="auto" w:fill="FFFFFF"/>
          </w:tcPr>
          <w:p w14:paraId="61A77840" w14:textId="74D779CD" w:rsidR="0091710E" w:rsidRPr="00D86D84" w:rsidRDefault="0091710E" w:rsidP="00F32415">
            <w:pPr>
              <w:pStyle w:val="CETBodytext"/>
              <w:widowControl w:val="0"/>
              <w:ind w:right="-1"/>
            </w:pPr>
            <w:r w:rsidRPr="00D86D84">
              <w:t>67</w:t>
            </w:r>
          </w:p>
        </w:tc>
        <w:tc>
          <w:tcPr>
            <w:tcW w:w="918" w:type="dxa"/>
            <w:shd w:val="clear" w:color="auto" w:fill="FFFFFF"/>
          </w:tcPr>
          <w:p w14:paraId="70BD202A" w14:textId="0968976D" w:rsidR="0091710E" w:rsidRDefault="0091710E" w:rsidP="00F32415">
            <w:pPr>
              <w:pStyle w:val="CETBodytext"/>
              <w:widowControl w:val="0"/>
              <w:ind w:right="-1"/>
            </w:pPr>
            <w:r>
              <w:t>57</w:t>
            </w:r>
          </w:p>
        </w:tc>
        <w:tc>
          <w:tcPr>
            <w:tcW w:w="918" w:type="dxa"/>
            <w:shd w:val="clear" w:color="auto" w:fill="FFFFFF"/>
          </w:tcPr>
          <w:p w14:paraId="2BAE73A1" w14:textId="6219D23A" w:rsidR="0091710E" w:rsidRPr="00D86D84" w:rsidRDefault="0091710E" w:rsidP="00F32415">
            <w:pPr>
              <w:pStyle w:val="CETBodytext"/>
              <w:widowControl w:val="0"/>
              <w:ind w:right="-1"/>
            </w:pPr>
            <w:r w:rsidRPr="00D86D84">
              <w:t>114</w:t>
            </w:r>
          </w:p>
        </w:tc>
        <w:tc>
          <w:tcPr>
            <w:tcW w:w="918" w:type="dxa"/>
            <w:shd w:val="clear" w:color="auto" w:fill="FFFFFF"/>
          </w:tcPr>
          <w:p w14:paraId="2D4DF457" w14:textId="7F7D9B03" w:rsidR="0091710E" w:rsidRPr="00D86D84" w:rsidRDefault="0091710E" w:rsidP="00F32415">
            <w:pPr>
              <w:pStyle w:val="CETBodytext"/>
              <w:widowControl w:val="0"/>
              <w:ind w:right="-1"/>
            </w:pPr>
            <w:r w:rsidRPr="00D86D84">
              <w:t>55</w:t>
            </w:r>
          </w:p>
        </w:tc>
      </w:tr>
      <w:tr w:rsidR="0091710E" w:rsidRPr="00B57B36" w14:paraId="3515BF00" w14:textId="77777777" w:rsidTr="0091710E">
        <w:tc>
          <w:tcPr>
            <w:tcW w:w="2977" w:type="dxa"/>
            <w:shd w:val="clear" w:color="auto" w:fill="FFFFFF"/>
          </w:tcPr>
          <w:p w14:paraId="1DCF4BCC" w14:textId="37017E94" w:rsidR="0091710E" w:rsidRPr="00D86D84" w:rsidRDefault="0091710E" w:rsidP="00F32415">
            <w:pPr>
              <w:pStyle w:val="CETBodytext"/>
              <w:widowControl w:val="0"/>
              <w:ind w:right="-1"/>
            </w:pPr>
            <w:r>
              <w:t xml:space="preserve">Total </w:t>
            </w:r>
            <w:r w:rsidRPr="001A5720">
              <w:t>volume of pores</w:t>
            </w:r>
            <w:r>
              <w:t xml:space="preserve"> (</w:t>
            </w:r>
            <w:r w:rsidRPr="001A5720">
              <w:t>cm³</w:t>
            </w:r>
            <w:r>
              <w:t xml:space="preserve"> </w:t>
            </w:r>
            <w:r w:rsidRPr="001A5720">
              <w:t>g</w:t>
            </w:r>
            <w:r>
              <w:rPr>
                <w:vertAlign w:val="superscript"/>
              </w:rPr>
              <w:t>-1</w:t>
            </w:r>
            <w:r>
              <w:t>)</w:t>
            </w:r>
          </w:p>
        </w:tc>
        <w:tc>
          <w:tcPr>
            <w:tcW w:w="918" w:type="dxa"/>
            <w:shd w:val="clear" w:color="auto" w:fill="FFFFFF"/>
          </w:tcPr>
          <w:p w14:paraId="349B808A" w14:textId="129447C2" w:rsidR="0091710E" w:rsidRPr="00D86D84" w:rsidRDefault="0091710E" w:rsidP="00F32415">
            <w:pPr>
              <w:pStyle w:val="CETBodytext"/>
              <w:widowControl w:val="0"/>
              <w:ind w:right="-1"/>
            </w:pPr>
            <w:r>
              <w:t>0.11</w:t>
            </w:r>
          </w:p>
        </w:tc>
        <w:tc>
          <w:tcPr>
            <w:tcW w:w="918" w:type="dxa"/>
            <w:shd w:val="clear" w:color="auto" w:fill="FFFFFF"/>
          </w:tcPr>
          <w:p w14:paraId="4C9F0726" w14:textId="5D918DE1" w:rsidR="0091710E" w:rsidRPr="00D86D84" w:rsidRDefault="0091710E" w:rsidP="00F32415">
            <w:pPr>
              <w:pStyle w:val="CETBodytext"/>
              <w:widowControl w:val="0"/>
              <w:ind w:right="-1"/>
            </w:pPr>
            <w:r>
              <w:t>0.14</w:t>
            </w:r>
          </w:p>
        </w:tc>
        <w:tc>
          <w:tcPr>
            <w:tcW w:w="918" w:type="dxa"/>
            <w:shd w:val="clear" w:color="auto" w:fill="FFFFFF"/>
          </w:tcPr>
          <w:p w14:paraId="0BE20E8E" w14:textId="33FCD79E" w:rsidR="0091710E" w:rsidRDefault="0091710E" w:rsidP="00F32415">
            <w:pPr>
              <w:pStyle w:val="CETBodytext"/>
              <w:widowControl w:val="0"/>
              <w:ind w:right="-1"/>
            </w:pPr>
            <w:r>
              <w:t>0.07</w:t>
            </w:r>
          </w:p>
        </w:tc>
        <w:tc>
          <w:tcPr>
            <w:tcW w:w="918" w:type="dxa"/>
            <w:shd w:val="clear" w:color="auto" w:fill="FFFFFF"/>
          </w:tcPr>
          <w:p w14:paraId="57A34F46" w14:textId="13A2F37C" w:rsidR="0091710E" w:rsidRDefault="0091710E" w:rsidP="00F32415">
            <w:pPr>
              <w:pStyle w:val="CETBodytext"/>
              <w:widowControl w:val="0"/>
              <w:ind w:right="-1"/>
            </w:pPr>
            <w:r>
              <w:t>0.45</w:t>
            </w:r>
          </w:p>
        </w:tc>
        <w:tc>
          <w:tcPr>
            <w:tcW w:w="918" w:type="dxa"/>
            <w:shd w:val="clear" w:color="auto" w:fill="FFFFFF"/>
          </w:tcPr>
          <w:p w14:paraId="75D23A9E" w14:textId="10B0CA3D" w:rsidR="0091710E" w:rsidRDefault="0091710E" w:rsidP="00F32415">
            <w:pPr>
              <w:pStyle w:val="CETBodytext"/>
              <w:widowControl w:val="0"/>
              <w:ind w:right="-1"/>
            </w:pPr>
            <w:r>
              <w:t>0.32</w:t>
            </w:r>
          </w:p>
        </w:tc>
      </w:tr>
      <w:tr w:rsidR="0091710E" w:rsidRPr="00B57B36" w14:paraId="21EEE7DD" w14:textId="77777777" w:rsidTr="0091710E">
        <w:tc>
          <w:tcPr>
            <w:tcW w:w="2977" w:type="dxa"/>
            <w:shd w:val="clear" w:color="auto" w:fill="FFFFFF"/>
          </w:tcPr>
          <w:p w14:paraId="394B4667" w14:textId="6541D5DC" w:rsidR="0091710E" w:rsidRPr="00D86D84" w:rsidRDefault="0091710E" w:rsidP="00F32415">
            <w:pPr>
              <w:pStyle w:val="CETBodytext"/>
              <w:widowControl w:val="0"/>
              <w:ind w:right="-1"/>
            </w:pPr>
            <w:r w:rsidRPr="00D86D84">
              <w:t xml:space="preserve">Band Gap energy (eV) </w:t>
            </w:r>
          </w:p>
        </w:tc>
        <w:tc>
          <w:tcPr>
            <w:tcW w:w="918" w:type="dxa"/>
            <w:shd w:val="clear" w:color="auto" w:fill="FFFFFF"/>
          </w:tcPr>
          <w:p w14:paraId="17D8B35D" w14:textId="29B64B30" w:rsidR="0091710E" w:rsidRPr="00D86D84" w:rsidRDefault="0091710E" w:rsidP="00F32415">
            <w:pPr>
              <w:pStyle w:val="CETBodytext"/>
              <w:widowControl w:val="0"/>
              <w:ind w:right="-1"/>
            </w:pPr>
            <w:r w:rsidRPr="00D86D84">
              <w:t>3.41</w:t>
            </w:r>
          </w:p>
        </w:tc>
        <w:tc>
          <w:tcPr>
            <w:tcW w:w="918" w:type="dxa"/>
            <w:shd w:val="clear" w:color="auto" w:fill="FFFFFF"/>
          </w:tcPr>
          <w:p w14:paraId="6F65B75F" w14:textId="516F4A5A" w:rsidR="0091710E" w:rsidRPr="00D86D84" w:rsidRDefault="0091710E" w:rsidP="00F32415">
            <w:pPr>
              <w:pStyle w:val="CETBodytext"/>
              <w:widowControl w:val="0"/>
              <w:ind w:right="-1"/>
            </w:pPr>
            <w:r w:rsidRPr="00D86D84">
              <w:t>3.31</w:t>
            </w:r>
          </w:p>
        </w:tc>
        <w:tc>
          <w:tcPr>
            <w:tcW w:w="918" w:type="dxa"/>
            <w:shd w:val="clear" w:color="auto" w:fill="FFFFFF"/>
          </w:tcPr>
          <w:p w14:paraId="2C38A762" w14:textId="35843756" w:rsidR="0091710E" w:rsidRPr="00D86D84" w:rsidRDefault="0091710E" w:rsidP="00F32415">
            <w:pPr>
              <w:pStyle w:val="CETBodytext"/>
              <w:widowControl w:val="0"/>
              <w:ind w:right="-1"/>
            </w:pPr>
            <w:r w:rsidRPr="00D86D84">
              <w:t>3</w:t>
            </w:r>
            <w:r>
              <w:t>.41</w:t>
            </w:r>
          </w:p>
        </w:tc>
        <w:tc>
          <w:tcPr>
            <w:tcW w:w="918" w:type="dxa"/>
            <w:shd w:val="clear" w:color="auto" w:fill="FFFFFF"/>
          </w:tcPr>
          <w:p w14:paraId="6130454B" w14:textId="185C3EF5" w:rsidR="0091710E" w:rsidRDefault="0091710E" w:rsidP="00F32415">
            <w:pPr>
              <w:pStyle w:val="CETBodytext"/>
              <w:widowControl w:val="0"/>
              <w:ind w:right="-1"/>
            </w:pPr>
            <w:r>
              <w:t>-</w:t>
            </w:r>
          </w:p>
        </w:tc>
        <w:tc>
          <w:tcPr>
            <w:tcW w:w="918" w:type="dxa"/>
            <w:shd w:val="clear" w:color="auto" w:fill="FFFFFF"/>
          </w:tcPr>
          <w:p w14:paraId="4FBCBA33" w14:textId="351C3E73" w:rsidR="0091710E" w:rsidRDefault="0091710E" w:rsidP="00F32415">
            <w:pPr>
              <w:pStyle w:val="CETBodytext"/>
              <w:widowControl w:val="0"/>
              <w:ind w:right="-1"/>
            </w:pPr>
            <w:r w:rsidRPr="00D86D84">
              <w:t>3.12</w:t>
            </w:r>
          </w:p>
        </w:tc>
      </w:tr>
      <w:tr w:rsidR="0091710E" w:rsidRPr="00B57B36" w14:paraId="170E9F33" w14:textId="77777777" w:rsidTr="0091710E">
        <w:tc>
          <w:tcPr>
            <w:tcW w:w="2977" w:type="dxa"/>
            <w:shd w:val="clear" w:color="auto" w:fill="FFFFFF"/>
          </w:tcPr>
          <w:p w14:paraId="6FC65755" w14:textId="26FE37B4" w:rsidR="0091710E" w:rsidRPr="00D86D84" w:rsidRDefault="0091710E" w:rsidP="00F32415">
            <w:pPr>
              <w:pStyle w:val="CETBodytext"/>
              <w:widowControl w:val="0"/>
              <w:ind w:right="-1"/>
            </w:pPr>
            <w:r>
              <w:t>Reduction temperature (°C)</w:t>
            </w:r>
          </w:p>
        </w:tc>
        <w:tc>
          <w:tcPr>
            <w:tcW w:w="918" w:type="dxa"/>
            <w:shd w:val="clear" w:color="auto" w:fill="FFFFFF"/>
          </w:tcPr>
          <w:p w14:paraId="271138D7" w14:textId="01ABB582" w:rsidR="0091710E" w:rsidRPr="00D86D84" w:rsidRDefault="0091710E" w:rsidP="00F32415">
            <w:pPr>
              <w:pStyle w:val="CETBodytext"/>
              <w:widowControl w:val="0"/>
              <w:ind w:right="-1"/>
            </w:pPr>
            <w:r>
              <w:t>-</w:t>
            </w:r>
          </w:p>
        </w:tc>
        <w:tc>
          <w:tcPr>
            <w:tcW w:w="918" w:type="dxa"/>
            <w:shd w:val="clear" w:color="auto" w:fill="FFFFFF"/>
          </w:tcPr>
          <w:p w14:paraId="5ABE4561" w14:textId="335EE9C9" w:rsidR="0091710E" w:rsidRPr="00D86D84" w:rsidRDefault="0091710E" w:rsidP="00F32415">
            <w:pPr>
              <w:pStyle w:val="CETBodytext"/>
              <w:widowControl w:val="0"/>
              <w:ind w:right="-1"/>
            </w:pPr>
            <w:r>
              <w:t>-</w:t>
            </w:r>
          </w:p>
        </w:tc>
        <w:tc>
          <w:tcPr>
            <w:tcW w:w="918" w:type="dxa"/>
            <w:shd w:val="clear" w:color="auto" w:fill="FFFFFF"/>
          </w:tcPr>
          <w:p w14:paraId="507879B2" w14:textId="5B3B8848" w:rsidR="0091710E" w:rsidRPr="00D86D84" w:rsidRDefault="0091710E" w:rsidP="00F32415">
            <w:pPr>
              <w:pStyle w:val="CETBodytext"/>
              <w:widowControl w:val="0"/>
              <w:ind w:right="-1"/>
            </w:pPr>
            <w:r>
              <w:t>-</w:t>
            </w:r>
          </w:p>
        </w:tc>
        <w:tc>
          <w:tcPr>
            <w:tcW w:w="918" w:type="dxa"/>
            <w:shd w:val="clear" w:color="auto" w:fill="FFFFFF"/>
          </w:tcPr>
          <w:p w14:paraId="75284D9B" w14:textId="25E7FE58" w:rsidR="0091710E" w:rsidRDefault="0091710E" w:rsidP="00F32415">
            <w:pPr>
              <w:pStyle w:val="CETBodytext"/>
              <w:widowControl w:val="0"/>
              <w:ind w:right="-1"/>
            </w:pPr>
            <w:r>
              <w:t>-</w:t>
            </w:r>
          </w:p>
        </w:tc>
        <w:tc>
          <w:tcPr>
            <w:tcW w:w="918" w:type="dxa"/>
            <w:shd w:val="clear" w:color="auto" w:fill="FFFFFF"/>
          </w:tcPr>
          <w:p w14:paraId="3633301E" w14:textId="1794983F" w:rsidR="0091710E" w:rsidRDefault="0091710E" w:rsidP="00F32415">
            <w:pPr>
              <w:pStyle w:val="CETBodytext"/>
              <w:widowControl w:val="0"/>
              <w:ind w:right="-1"/>
            </w:pPr>
            <w:r>
              <w:t>700</w:t>
            </w:r>
          </w:p>
        </w:tc>
      </w:tr>
    </w:tbl>
    <w:p w14:paraId="184C4F47" w14:textId="77777777" w:rsidR="00465BD7" w:rsidRDefault="00465BD7" w:rsidP="00465BD7">
      <w:pPr>
        <w:pStyle w:val="CETBodytext"/>
        <w:widowControl w:val="0"/>
      </w:pPr>
      <w:bookmarkStart w:id="24" w:name="OLE_LINK470"/>
      <w:bookmarkStart w:id="25" w:name="OLE_LINK471"/>
    </w:p>
    <w:p w14:paraId="76AF2CB2" w14:textId="77777777" w:rsidR="00465BD7" w:rsidRDefault="00465BD7" w:rsidP="00465BD7">
      <w:pPr>
        <w:pStyle w:val="CETBodytext"/>
        <w:widowControl w:val="0"/>
      </w:pPr>
      <w:bookmarkStart w:id="26" w:name="_GoBack"/>
      <w:bookmarkEnd w:id="26"/>
      <w:r>
        <w:t>Photocatalytic testing has been performed on the different samples and photoreactors according to a previously optimized protocol (Rossetti &amp; al., 2015). Accordingly, a reaction temperature of 80 °C, the glucose concentration of 5 g/L and catalyst concentration of 0.25 g/L were selected for all tests, except with photoreactor #2, where the heating jacket allowed to stably fix the temperature up to 60 °C, only.</w:t>
      </w:r>
    </w:p>
    <w:p w14:paraId="395297A2" w14:textId="77777777" w:rsidR="00465BD7" w:rsidRDefault="00465BD7" w:rsidP="00465BD7">
      <w:pPr>
        <w:pStyle w:val="CETBodytext"/>
        <w:widowControl w:val="0"/>
      </w:pPr>
      <w:r>
        <w:lastRenderedPageBreak/>
        <w:t>Two blank tests have been carried out, without the photocatalyst to exclude direct photolysis and under dark conditions to exclude a pure catalytic reactivity. In both cases, no H</w:t>
      </w:r>
      <w:r>
        <w:rPr>
          <w:vertAlign w:val="subscript"/>
        </w:rPr>
        <w:t>2</w:t>
      </w:r>
      <w:r>
        <w:t xml:space="preserve"> production was observed. A third tests without glucose as HS excluded a significant effect of direct water splitting, H</w:t>
      </w:r>
      <w:r>
        <w:rPr>
          <w:vertAlign w:val="subscript"/>
        </w:rPr>
        <w:t>2</w:t>
      </w:r>
      <w:r>
        <w:t xml:space="preserve"> productivity being not significant, though not nil.</w:t>
      </w:r>
    </w:p>
    <w:p w14:paraId="6D2DC15E" w14:textId="58A90A81" w:rsidR="00E33D8A" w:rsidRPr="00E33D8A" w:rsidRDefault="00E33D8A" w:rsidP="00F32415">
      <w:pPr>
        <w:widowControl w:val="0"/>
        <w:tabs>
          <w:tab w:val="clear" w:pos="7100"/>
        </w:tabs>
        <w:spacing w:before="240" w:after="80" w:line="240" w:lineRule="exact"/>
        <w:jc w:val="left"/>
        <w:rPr>
          <w:i/>
        </w:rPr>
      </w:pPr>
      <w:r w:rsidRPr="00E33D8A">
        <w:rPr>
          <w:i/>
        </w:rPr>
        <w:t xml:space="preserve">Table </w:t>
      </w:r>
      <w:r>
        <w:rPr>
          <w:i/>
        </w:rPr>
        <w:t>2</w:t>
      </w:r>
      <w:r w:rsidRPr="00E33D8A">
        <w:rPr>
          <w:i/>
        </w:rPr>
        <w:t xml:space="preserve">: </w:t>
      </w:r>
      <w:r>
        <w:rPr>
          <w:i/>
        </w:rPr>
        <w:t>Photocatalytic testing for the photoreforming of glucose.</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701"/>
        <w:gridCol w:w="992"/>
        <w:gridCol w:w="1560"/>
        <w:gridCol w:w="1417"/>
      </w:tblGrid>
      <w:tr w:rsidR="00F32415" w:rsidRPr="00E33D8A" w14:paraId="0EF83A3A" w14:textId="77777777" w:rsidTr="00F32415">
        <w:trPr>
          <w:jc w:val="center"/>
        </w:trPr>
        <w:tc>
          <w:tcPr>
            <w:tcW w:w="709" w:type="dxa"/>
            <w:tcBorders>
              <w:top w:val="single" w:sz="12" w:space="0" w:color="008000"/>
              <w:bottom w:val="single" w:sz="6" w:space="0" w:color="008000"/>
            </w:tcBorders>
            <w:shd w:val="clear" w:color="auto" w:fill="FFFFFF"/>
          </w:tcPr>
          <w:p w14:paraId="0F60233F" w14:textId="0320592C" w:rsidR="00F32415" w:rsidRPr="00E33D8A" w:rsidRDefault="00F32415" w:rsidP="00F32415">
            <w:pPr>
              <w:widowControl w:val="0"/>
              <w:jc w:val="center"/>
            </w:pPr>
            <w:bookmarkStart w:id="27" w:name="OLE_LINK468"/>
            <w:bookmarkStart w:id="28" w:name="OLE_LINK469"/>
            <w:r w:rsidRPr="00833151">
              <w:t>Reactor</w:t>
            </w:r>
          </w:p>
        </w:tc>
        <w:tc>
          <w:tcPr>
            <w:tcW w:w="1701" w:type="dxa"/>
            <w:tcBorders>
              <w:top w:val="single" w:sz="12" w:space="0" w:color="008000"/>
              <w:bottom w:val="single" w:sz="6" w:space="0" w:color="008000"/>
            </w:tcBorders>
            <w:shd w:val="clear" w:color="auto" w:fill="FFFFFF"/>
          </w:tcPr>
          <w:p w14:paraId="7634D12B" w14:textId="089D603B" w:rsidR="00F32415" w:rsidRPr="00E33D8A" w:rsidRDefault="00F32415" w:rsidP="00F32415">
            <w:pPr>
              <w:widowControl w:val="0"/>
              <w:ind w:right="142"/>
              <w:jc w:val="center"/>
            </w:pPr>
            <w:r w:rsidRPr="00833151">
              <w:t>Average irradiance (W/m</w:t>
            </w:r>
            <w:r w:rsidRPr="00E33D8A">
              <w:rPr>
                <w:vertAlign w:val="superscript"/>
              </w:rPr>
              <w:t>2</w:t>
            </w:r>
            <w:r w:rsidRPr="00833151">
              <w:t>)</w:t>
            </w:r>
          </w:p>
        </w:tc>
        <w:tc>
          <w:tcPr>
            <w:tcW w:w="992" w:type="dxa"/>
            <w:tcBorders>
              <w:top w:val="single" w:sz="12" w:space="0" w:color="008000"/>
              <w:bottom w:val="single" w:sz="6" w:space="0" w:color="008000"/>
            </w:tcBorders>
            <w:shd w:val="clear" w:color="auto" w:fill="FFFFFF"/>
          </w:tcPr>
          <w:p w14:paraId="6349620B" w14:textId="3764E88B" w:rsidR="00F32415" w:rsidRPr="00E33D8A" w:rsidRDefault="00F32415" w:rsidP="00F32415">
            <w:pPr>
              <w:widowControl w:val="0"/>
              <w:jc w:val="center"/>
            </w:pPr>
            <w:r w:rsidRPr="00833151">
              <w:t>Sample</w:t>
            </w:r>
          </w:p>
        </w:tc>
        <w:tc>
          <w:tcPr>
            <w:tcW w:w="1560" w:type="dxa"/>
            <w:tcBorders>
              <w:top w:val="single" w:sz="12" w:space="0" w:color="008000"/>
              <w:bottom w:val="single" w:sz="6" w:space="0" w:color="008000"/>
            </w:tcBorders>
            <w:shd w:val="clear" w:color="auto" w:fill="FFFFFF"/>
          </w:tcPr>
          <w:p w14:paraId="68D6B155" w14:textId="2EC63FF6" w:rsidR="00F32415" w:rsidRPr="00E33D8A" w:rsidRDefault="00F32415" w:rsidP="00F32415">
            <w:pPr>
              <w:widowControl w:val="0"/>
              <w:ind w:right="142"/>
              <w:jc w:val="center"/>
              <w:rPr>
                <w:rFonts w:cs="Arial"/>
                <w:szCs w:val="18"/>
              </w:rPr>
            </w:pPr>
            <w:r w:rsidRPr="00833151">
              <w:t>H</w:t>
            </w:r>
            <w:r w:rsidRPr="00E33D8A">
              <w:rPr>
                <w:vertAlign w:val="subscript"/>
              </w:rPr>
              <w:t>2</w:t>
            </w:r>
            <w:r w:rsidRPr="00833151">
              <w:t xml:space="preserve"> prod</w:t>
            </w:r>
            <w:r>
              <w:t>uctivity</w:t>
            </w:r>
            <w:r w:rsidRPr="00833151">
              <w:t xml:space="preserve"> (mol/kg h)</w:t>
            </w:r>
          </w:p>
        </w:tc>
        <w:tc>
          <w:tcPr>
            <w:tcW w:w="1417" w:type="dxa"/>
            <w:tcBorders>
              <w:top w:val="single" w:sz="12" w:space="0" w:color="008000"/>
              <w:bottom w:val="single" w:sz="6" w:space="0" w:color="008000"/>
            </w:tcBorders>
            <w:shd w:val="clear" w:color="auto" w:fill="FFFFFF"/>
          </w:tcPr>
          <w:p w14:paraId="0A856D3B" w14:textId="77777777" w:rsidR="00F32415" w:rsidRDefault="00F32415" w:rsidP="00F32415">
            <w:pPr>
              <w:widowControl w:val="0"/>
              <w:ind w:right="-1"/>
              <w:jc w:val="center"/>
            </w:pPr>
            <w:r w:rsidRPr="00833151">
              <w:t xml:space="preserve">C conversion </w:t>
            </w:r>
          </w:p>
          <w:p w14:paraId="32533BB7" w14:textId="3BBC3033" w:rsidR="00F32415" w:rsidRPr="00E33D8A" w:rsidRDefault="00F32415" w:rsidP="00F32415">
            <w:pPr>
              <w:widowControl w:val="0"/>
              <w:ind w:right="-1"/>
              <w:jc w:val="center"/>
              <w:rPr>
                <w:rFonts w:cs="Arial"/>
                <w:szCs w:val="18"/>
              </w:rPr>
            </w:pPr>
            <w:r w:rsidRPr="00833151">
              <w:t>(%)</w:t>
            </w:r>
          </w:p>
        </w:tc>
      </w:tr>
      <w:tr w:rsidR="00F32415" w:rsidRPr="00E33D8A" w14:paraId="1C350DBE" w14:textId="77777777" w:rsidTr="00F32415">
        <w:trPr>
          <w:jc w:val="center"/>
        </w:trPr>
        <w:tc>
          <w:tcPr>
            <w:tcW w:w="709" w:type="dxa"/>
            <w:shd w:val="clear" w:color="auto" w:fill="FFFFFF"/>
          </w:tcPr>
          <w:p w14:paraId="63DE6B3B" w14:textId="642BEF07" w:rsidR="00F32415" w:rsidRPr="00E33D8A" w:rsidRDefault="00F32415" w:rsidP="00F32415">
            <w:pPr>
              <w:widowControl w:val="0"/>
              <w:jc w:val="center"/>
            </w:pPr>
            <w:r w:rsidRPr="00E33D8A">
              <w:t>#1</w:t>
            </w:r>
          </w:p>
        </w:tc>
        <w:tc>
          <w:tcPr>
            <w:tcW w:w="1701" w:type="dxa"/>
            <w:shd w:val="clear" w:color="auto" w:fill="FFFFFF"/>
          </w:tcPr>
          <w:p w14:paraId="66C49E0F" w14:textId="047DD5A2" w:rsidR="00F32415" w:rsidRPr="00E33D8A" w:rsidRDefault="00F32415" w:rsidP="00F32415">
            <w:pPr>
              <w:widowControl w:val="0"/>
              <w:jc w:val="center"/>
            </w:pPr>
            <w:r w:rsidRPr="00E33D8A">
              <w:t>150-175</w:t>
            </w:r>
          </w:p>
        </w:tc>
        <w:tc>
          <w:tcPr>
            <w:tcW w:w="992" w:type="dxa"/>
            <w:shd w:val="clear" w:color="auto" w:fill="FFFFFF"/>
          </w:tcPr>
          <w:p w14:paraId="1FF0874F" w14:textId="6A796584" w:rsidR="00F32415" w:rsidRPr="00E33D8A" w:rsidRDefault="00F32415" w:rsidP="00F32415">
            <w:pPr>
              <w:widowControl w:val="0"/>
              <w:jc w:val="center"/>
            </w:pPr>
            <w:r w:rsidRPr="00E33D8A">
              <w:t>P25</w:t>
            </w:r>
          </w:p>
        </w:tc>
        <w:tc>
          <w:tcPr>
            <w:tcW w:w="1560" w:type="dxa"/>
            <w:shd w:val="clear" w:color="auto" w:fill="FFFFFF"/>
          </w:tcPr>
          <w:p w14:paraId="20D6116E" w14:textId="114ACA2F" w:rsidR="00F32415" w:rsidRPr="00E33D8A" w:rsidRDefault="00F32415" w:rsidP="00F32415">
            <w:pPr>
              <w:widowControl w:val="0"/>
              <w:ind w:right="-1"/>
              <w:jc w:val="center"/>
              <w:rPr>
                <w:rFonts w:cs="Arial"/>
                <w:szCs w:val="18"/>
              </w:rPr>
            </w:pPr>
            <w:r>
              <w:rPr>
                <w:rFonts w:cs="Arial"/>
                <w:szCs w:val="18"/>
              </w:rPr>
              <w:t>1.910</w:t>
            </w:r>
          </w:p>
        </w:tc>
        <w:tc>
          <w:tcPr>
            <w:tcW w:w="1417" w:type="dxa"/>
            <w:shd w:val="clear" w:color="auto" w:fill="FFFFFF"/>
          </w:tcPr>
          <w:p w14:paraId="6B691A97" w14:textId="65ADAE82" w:rsidR="00F32415" w:rsidRPr="00E33D8A" w:rsidRDefault="00F32415" w:rsidP="00F32415">
            <w:pPr>
              <w:widowControl w:val="0"/>
              <w:ind w:right="-1"/>
              <w:jc w:val="center"/>
              <w:rPr>
                <w:rFonts w:cs="Arial"/>
                <w:szCs w:val="18"/>
              </w:rPr>
            </w:pPr>
            <w:r w:rsidRPr="00E33D8A">
              <w:rPr>
                <w:rFonts w:cs="Arial"/>
                <w:szCs w:val="18"/>
              </w:rPr>
              <w:t>2</w:t>
            </w:r>
            <w:r>
              <w:rPr>
                <w:rFonts w:cs="Arial"/>
                <w:szCs w:val="18"/>
              </w:rPr>
              <w:t>0</w:t>
            </w:r>
            <w:r w:rsidRPr="00E33D8A">
              <w:rPr>
                <w:rFonts w:cs="Arial"/>
                <w:szCs w:val="18"/>
              </w:rPr>
              <w:t>.</w:t>
            </w:r>
            <w:r>
              <w:rPr>
                <w:rFonts w:cs="Arial"/>
                <w:szCs w:val="18"/>
              </w:rPr>
              <w:t>3</w:t>
            </w:r>
          </w:p>
        </w:tc>
      </w:tr>
      <w:tr w:rsidR="00F32415" w:rsidRPr="00E33D8A" w14:paraId="1DC269B3" w14:textId="77777777" w:rsidTr="00F32415">
        <w:trPr>
          <w:jc w:val="center"/>
        </w:trPr>
        <w:tc>
          <w:tcPr>
            <w:tcW w:w="709" w:type="dxa"/>
            <w:shd w:val="clear" w:color="auto" w:fill="FFFFFF"/>
          </w:tcPr>
          <w:p w14:paraId="61A93F3F" w14:textId="77777777" w:rsidR="00F32415" w:rsidRPr="00E33D8A" w:rsidRDefault="00F32415" w:rsidP="00F32415">
            <w:pPr>
              <w:widowControl w:val="0"/>
              <w:jc w:val="center"/>
            </w:pPr>
            <w:r w:rsidRPr="00E33D8A">
              <w:t>#1</w:t>
            </w:r>
          </w:p>
        </w:tc>
        <w:tc>
          <w:tcPr>
            <w:tcW w:w="1701" w:type="dxa"/>
            <w:shd w:val="clear" w:color="auto" w:fill="FFFFFF"/>
          </w:tcPr>
          <w:p w14:paraId="34EC5092" w14:textId="77777777" w:rsidR="00F32415" w:rsidRPr="00E33D8A" w:rsidRDefault="00F32415" w:rsidP="00F32415">
            <w:pPr>
              <w:widowControl w:val="0"/>
              <w:jc w:val="center"/>
            </w:pPr>
            <w:r w:rsidRPr="00E33D8A">
              <w:t>150-175</w:t>
            </w:r>
          </w:p>
        </w:tc>
        <w:tc>
          <w:tcPr>
            <w:tcW w:w="992" w:type="dxa"/>
            <w:shd w:val="clear" w:color="auto" w:fill="FFFFFF"/>
          </w:tcPr>
          <w:p w14:paraId="68DBAE1A" w14:textId="77777777" w:rsidR="00F32415" w:rsidRPr="00E33D8A" w:rsidRDefault="00F32415" w:rsidP="00F32415">
            <w:pPr>
              <w:widowControl w:val="0"/>
              <w:jc w:val="center"/>
            </w:pPr>
            <w:r w:rsidRPr="00E33D8A">
              <w:t>FSP</w:t>
            </w:r>
          </w:p>
        </w:tc>
        <w:tc>
          <w:tcPr>
            <w:tcW w:w="1560" w:type="dxa"/>
            <w:shd w:val="clear" w:color="auto" w:fill="FFFFFF"/>
          </w:tcPr>
          <w:p w14:paraId="4EB31D12" w14:textId="77777777" w:rsidR="00F32415" w:rsidRPr="00E33D8A" w:rsidRDefault="00F32415" w:rsidP="00F32415">
            <w:pPr>
              <w:widowControl w:val="0"/>
              <w:ind w:right="-1"/>
              <w:jc w:val="center"/>
              <w:rPr>
                <w:rFonts w:cs="Arial"/>
                <w:szCs w:val="18"/>
              </w:rPr>
            </w:pPr>
            <w:r w:rsidRPr="00E33D8A">
              <w:rPr>
                <w:rFonts w:cs="Arial"/>
                <w:szCs w:val="18"/>
              </w:rPr>
              <w:t>1.195</w:t>
            </w:r>
          </w:p>
        </w:tc>
        <w:tc>
          <w:tcPr>
            <w:tcW w:w="1417" w:type="dxa"/>
            <w:shd w:val="clear" w:color="auto" w:fill="FFFFFF"/>
          </w:tcPr>
          <w:p w14:paraId="486F1E85" w14:textId="77777777" w:rsidR="00F32415" w:rsidRPr="00E33D8A" w:rsidRDefault="00F32415" w:rsidP="00F32415">
            <w:pPr>
              <w:widowControl w:val="0"/>
              <w:ind w:right="-1"/>
              <w:jc w:val="center"/>
              <w:rPr>
                <w:rFonts w:cs="Arial"/>
                <w:szCs w:val="18"/>
              </w:rPr>
            </w:pPr>
            <w:r w:rsidRPr="00E33D8A">
              <w:rPr>
                <w:rFonts w:cs="Arial"/>
                <w:szCs w:val="18"/>
              </w:rPr>
              <w:t>8.5</w:t>
            </w:r>
          </w:p>
        </w:tc>
      </w:tr>
      <w:tr w:rsidR="00F32415" w:rsidRPr="00E33D8A" w14:paraId="24B7CF0B" w14:textId="77777777" w:rsidTr="00F32415">
        <w:trPr>
          <w:jc w:val="center"/>
        </w:trPr>
        <w:tc>
          <w:tcPr>
            <w:tcW w:w="709" w:type="dxa"/>
            <w:shd w:val="clear" w:color="auto" w:fill="FFFFFF"/>
          </w:tcPr>
          <w:p w14:paraId="465DA73B" w14:textId="77777777" w:rsidR="00F32415" w:rsidRPr="00E33D8A" w:rsidRDefault="00F32415" w:rsidP="00F32415">
            <w:pPr>
              <w:widowControl w:val="0"/>
              <w:jc w:val="center"/>
            </w:pPr>
            <w:r w:rsidRPr="00E33D8A">
              <w:t>#1</w:t>
            </w:r>
          </w:p>
        </w:tc>
        <w:tc>
          <w:tcPr>
            <w:tcW w:w="1701" w:type="dxa"/>
            <w:shd w:val="clear" w:color="auto" w:fill="FFFFFF"/>
          </w:tcPr>
          <w:p w14:paraId="11E56CE9" w14:textId="77777777" w:rsidR="00F32415" w:rsidRPr="00E33D8A" w:rsidRDefault="00F32415" w:rsidP="00F32415">
            <w:pPr>
              <w:widowControl w:val="0"/>
              <w:jc w:val="center"/>
            </w:pPr>
            <w:r w:rsidRPr="00E33D8A">
              <w:t>150-175</w:t>
            </w:r>
          </w:p>
        </w:tc>
        <w:tc>
          <w:tcPr>
            <w:tcW w:w="992" w:type="dxa"/>
            <w:shd w:val="clear" w:color="auto" w:fill="FFFFFF"/>
          </w:tcPr>
          <w:p w14:paraId="298FDE65" w14:textId="77777777" w:rsidR="00F32415" w:rsidRPr="00E33D8A" w:rsidRDefault="00F32415" w:rsidP="00F32415">
            <w:pPr>
              <w:widowControl w:val="0"/>
              <w:jc w:val="center"/>
            </w:pPr>
            <w:r w:rsidRPr="00E33D8A">
              <w:t>Meso</w:t>
            </w:r>
          </w:p>
        </w:tc>
        <w:tc>
          <w:tcPr>
            <w:tcW w:w="1560" w:type="dxa"/>
            <w:shd w:val="clear" w:color="auto" w:fill="FFFFFF"/>
          </w:tcPr>
          <w:p w14:paraId="0F538191" w14:textId="77777777" w:rsidR="00F32415" w:rsidRPr="00E33D8A" w:rsidRDefault="00F32415" w:rsidP="00F32415">
            <w:pPr>
              <w:widowControl w:val="0"/>
              <w:ind w:right="-1"/>
              <w:jc w:val="center"/>
              <w:rPr>
                <w:rFonts w:cs="Arial"/>
                <w:szCs w:val="18"/>
              </w:rPr>
            </w:pPr>
            <w:r w:rsidRPr="00E33D8A">
              <w:rPr>
                <w:rFonts w:cs="Arial"/>
                <w:szCs w:val="18"/>
              </w:rPr>
              <w:t>0.918</w:t>
            </w:r>
          </w:p>
        </w:tc>
        <w:tc>
          <w:tcPr>
            <w:tcW w:w="1417" w:type="dxa"/>
            <w:shd w:val="clear" w:color="auto" w:fill="FFFFFF"/>
          </w:tcPr>
          <w:p w14:paraId="119E45FC" w14:textId="6C32BD0B" w:rsidR="00F32415" w:rsidRPr="00E33D8A" w:rsidRDefault="00F32415" w:rsidP="00F32415">
            <w:pPr>
              <w:widowControl w:val="0"/>
              <w:ind w:right="-1"/>
              <w:jc w:val="center"/>
              <w:rPr>
                <w:rFonts w:cs="Arial"/>
                <w:szCs w:val="18"/>
              </w:rPr>
            </w:pPr>
            <w:r w:rsidRPr="00E33D8A">
              <w:rPr>
                <w:rFonts w:cs="Arial"/>
                <w:szCs w:val="18"/>
              </w:rPr>
              <w:t>-</w:t>
            </w:r>
          </w:p>
        </w:tc>
      </w:tr>
      <w:tr w:rsidR="00F32415" w:rsidRPr="00E33D8A" w14:paraId="61B9F1C9" w14:textId="77777777" w:rsidTr="00F32415">
        <w:trPr>
          <w:jc w:val="center"/>
        </w:trPr>
        <w:tc>
          <w:tcPr>
            <w:tcW w:w="709" w:type="dxa"/>
            <w:shd w:val="clear" w:color="auto" w:fill="FFFFFF"/>
          </w:tcPr>
          <w:p w14:paraId="3A8E8D5F" w14:textId="77777777" w:rsidR="00F32415" w:rsidRPr="00E33D8A" w:rsidRDefault="00F32415" w:rsidP="00F32415">
            <w:pPr>
              <w:widowControl w:val="0"/>
              <w:jc w:val="center"/>
            </w:pPr>
            <w:r w:rsidRPr="00E33D8A">
              <w:t>#1</w:t>
            </w:r>
          </w:p>
        </w:tc>
        <w:tc>
          <w:tcPr>
            <w:tcW w:w="1701" w:type="dxa"/>
            <w:shd w:val="clear" w:color="auto" w:fill="FFFFFF"/>
          </w:tcPr>
          <w:p w14:paraId="09D24E15" w14:textId="77777777" w:rsidR="00F32415" w:rsidRPr="00E33D8A" w:rsidRDefault="00F32415" w:rsidP="00F32415">
            <w:pPr>
              <w:widowControl w:val="0"/>
              <w:jc w:val="center"/>
            </w:pPr>
            <w:r w:rsidRPr="00E33D8A">
              <w:t>150-175</w:t>
            </w:r>
          </w:p>
        </w:tc>
        <w:tc>
          <w:tcPr>
            <w:tcW w:w="992" w:type="dxa"/>
            <w:shd w:val="clear" w:color="auto" w:fill="FFFFFF"/>
          </w:tcPr>
          <w:p w14:paraId="640A2390" w14:textId="77777777" w:rsidR="00F32415" w:rsidRPr="00E33D8A" w:rsidRDefault="00F32415" w:rsidP="00F32415">
            <w:pPr>
              <w:widowControl w:val="0"/>
              <w:jc w:val="center"/>
            </w:pPr>
            <w:r w:rsidRPr="00E33D8A">
              <w:t>Prec</w:t>
            </w:r>
          </w:p>
        </w:tc>
        <w:tc>
          <w:tcPr>
            <w:tcW w:w="1560" w:type="dxa"/>
            <w:shd w:val="clear" w:color="auto" w:fill="FFFFFF"/>
          </w:tcPr>
          <w:p w14:paraId="74034465" w14:textId="77777777" w:rsidR="00F32415" w:rsidRPr="00E33D8A" w:rsidRDefault="00F32415" w:rsidP="00F32415">
            <w:pPr>
              <w:widowControl w:val="0"/>
              <w:ind w:right="-1"/>
              <w:jc w:val="center"/>
              <w:rPr>
                <w:rFonts w:cs="Arial"/>
                <w:szCs w:val="18"/>
              </w:rPr>
            </w:pPr>
            <w:r w:rsidRPr="00E33D8A">
              <w:rPr>
                <w:rFonts w:cs="Arial"/>
                <w:szCs w:val="18"/>
              </w:rPr>
              <w:t>0.623</w:t>
            </w:r>
          </w:p>
        </w:tc>
        <w:tc>
          <w:tcPr>
            <w:tcW w:w="1417" w:type="dxa"/>
            <w:shd w:val="clear" w:color="auto" w:fill="FFFFFF"/>
          </w:tcPr>
          <w:p w14:paraId="3C63C4E9" w14:textId="77777777" w:rsidR="00F32415" w:rsidRPr="00E33D8A" w:rsidRDefault="00F32415" w:rsidP="00F32415">
            <w:pPr>
              <w:widowControl w:val="0"/>
              <w:ind w:right="-1"/>
              <w:jc w:val="center"/>
              <w:rPr>
                <w:rFonts w:cs="Arial"/>
                <w:szCs w:val="18"/>
              </w:rPr>
            </w:pPr>
            <w:r w:rsidRPr="00E33D8A">
              <w:rPr>
                <w:rFonts w:cs="Arial"/>
                <w:szCs w:val="18"/>
              </w:rPr>
              <w:t>5.7</w:t>
            </w:r>
          </w:p>
        </w:tc>
      </w:tr>
      <w:tr w:rsidR="00F32415" w:rsidRPr="00E33D8A" w14:paraId="2DE741F9" w14:textId="77777777" w:rsidTr="00F32415">
        <w:trPr>
          <w:jc w:val="center"/>
        </w:trPr>
        <w:tc>
          <w:tcPr>
            <w:tcW w:w="709" w:type="dxa"/>
            <w:shd w:val="clear" w:color="auto" w:fill="FFFFFF"/>
          </w:tcPr>
          <w:p w14:paraId="357D8F4D" w14:textId="77777777" w:rsidR="00F32415" w:rsidRPr="00E33D8A" w:rsidRDefault="00F32415" w:rsidP="00F32415">
            <w:pPr>
              <w:widowControl w:val="0"/>
              <w:jc w:val="center"/>
            </w:pPr>
            <w:r w:rsidRPr="00E33D8A">
              <w:t>#1</w:t>
            </w:r>
          </w:p>
        </w:tc>
        <w:tc>
          <w:tcPr>
            <w:tcW w:w="1701" w:type="dxa"/>
            <w:shd w:val="clear" w:color="auto" w:fill="FFFFFF"/>
          </w:tcPr>
          <w:p w14:paraId="2CEF4A4D" w14:textId="77777777" w:rsidR="00F32415" w:rsidRPr="00E33D8A" w:rsidRDefault="00F32415" w:rsidP="00F32415">
            <w:pPr>
              <w:widowControl w:val="0"/>
              <w:jc w:val="center"/>
            </w:pPr>
            <w:r w:rsidRPr="00E33D8A">
              <w:t>150-175</w:t>
            </w:r>
          </w:p>
        </w:tc>
        <w:tc>
          <w:tcPr>
            <w:tcW w:w="992" w:type="dxa"/>
            <w:shd w:val="clear" w:color="auto" w:fill="FFFFFF"/>
          </w:tcPr>
          <w:p w14:paraId="730230D4" w14:textId="77777777" w:rsidR="00F32415" w:rsidRPr="00E33D8A" w:rsidRDefault="00F32415" w:rsidP="00F32415">
            <w:pPr>
              <w:widowControl w:val="0"/>
              <w:jc w:val="center"/>
            </w:pPr>
            <w:r w:rsidRPr="00E33D8A">
              <w:t>Pt/P25</w:t>
            </w:r>
          </w:p>
        </w:tc>
        <w:tc>
          <w:tcPr>
            <w:tcW w:w="1560" w:type="dxa"/>
            <w:shd w:val="clear" w:color="auto" w:fill="FFFFFF"/>
          </w:tcPr>
          <w:p w14:paraId="36183272" w14:textId="77777777" w:rsidR="00F32415" w:rsidRPr="00E33D8A" w:rsidRDefault="00F32415" w:rsidP="00F32415">
            <w:pPr>
              <w:widowControl w:val="0"/>
              <w:ind w:right="-1"/>
              <w:jc w:val="center"/>
              <w:rPr>
                <w:rFonts w:cs="Arial"/>
                <w:szCs w:val="18"/>
              </w:rPr>
            </w:pPr>
            <w:r w:rsidRPr="00E33D8A">
              <w:rPr>
                <w:rFonts w:cs="Arial"/>
                <w:szCs w:val="18"/>
              </w:rPr>
              <w:t>14.7</w:t>
            </w:r>
          </w:p>
        </w:tc>
        <w:tc>
          <w:tcPr>
            <w:tcW w:w="1417" w:type="dxa"/>
            <w:shd w:val="clear" w:color="auto" w:fill="FFFFFF"/>
          </w:tcPr>
          <w:p w14:paraId="59541BF3" w14:textId="77777777" w:rsidR="00F32415" w:rsidRPr="00E33D8A" w:rsidRDefault="00F32415" w:rsidP="00F32415">
            <w:pPr>
              <w:widowControl w:val="0"/>
              <w:ind w:right="-1"/>
              <w:jc w:val="center"/>
              <w:rPr>
                <w:rFonts w:cs="Arial"/>
                <w:szCs w:val="18"/>
              </w:rPr>
            </w:pPr>
            <w:r w:rsidRPr="00E33D8A">
              <w:rPr>
                <w:rFonts w:cs="Arial"/>
                <w:szCs w:val="18"/>
              </w:rPr>
              <w:t>25.7</w:t>
            </w:r>
          </w:p>
        </w:tc>
      </w:tr>
      <w:tr w:rsidR="00F32415" w:rsidRPr="00E33D8A" w14:paraId="45A10287" w14:textId="77777777" w:rsidTr="00F32415">
        <w:trPr>
          <w:jc w:val="center"/>
        </w:trPr>
        <w:tc>
          <w:tcPr>
            <w:tcW w:w="709" w:type="dxa"/>
            <w:shd w:val="clear" w:color="auto" w:fill="FFFFFF"/>
          </w:tcPr>
          <w:p w14:paraId="1BDAC92C" w14:textId="77777777" w:rsidR="00F32415" w:rsidRPr="00E33D8A" w:rsidRDefault="00F32415" w:rsidP="00F32415">
            <w:pPr>
              <w:widowControl w:val="0"/>
              <w:jc w:val="center"/>
            </w:pPr>
            <w:r w:rsidRPr="00E33D8A">
              <w:t>#2</w:t>
            </w:r>
          </w:p>
        </w:tc>
        <w:tc>
          <w:tcPr>
            <w:tcW w:w="1701" w:type="dxa"/>
            <w:shd w:val="clear" w:color="auto" w:fill="FFFFFF"/>
          </w:tcPr>
          <w:p w14:paraId="33645D0D" w14:textId="47C92C5E" w:rsidR="00F32415" w:rsidRPr="00E33D8A" w:rsidRDefault="00F32415" w:rsidP="00F32415">
            <w:pPr>
              <w:widowControl w:val="0"/>
              <w:jc w:val="center"/>
            </w:pPr>
            <w:r>
              <w:t>45</w:t>
            </w:r>
          </w:p>
        </w:tc>
        <w:tc>
          <w:tcPr>
            <w:tcW w:w="992" w:type="dxa"/>
            <w:shd w:val="clear" w:color="auto" w:fill="FFFFFF"/>
          </w:tcPr>
          <w:p w14:paraId="2C527AD0" w14:textId="77777777" w:rsidR="00F32415" w:rsidRPr="00E33D8A" w:rsidRDefault="00F32415" w:rsidP="00F32415">
            <w:pPr>
              <w:widowControl w:val="0"/>
              <w:jc w:val="center"/>
            </w:pPr>
            <w:r w:rsidRPr="00E33D8A">
              <w:t>P25</w:t>
            </w:r>
          </w:p>
        </w:tc>
        <w:tc>
          <w:tcPr>
            <w:tcW w:w="1560" w:type="dxa"/>
            <w:shd w:val="clear" w:color="auto" w:fill="FFFFFF"/>
          </w:tcPr>
          <w:p w14:paraId="733E5527" w14:textId="77777777" w:rsidR="00F32415" w:rsidRPr="00E33D8A" w:rsidRDefault="00F32415" w:rsidP="00F32415">
            <w:pPr>
              <w:widowControl w:val="0"/>
              <w:ind w:right="-1"/>
              <w:jc w:val="center"/>
              <w:rPr>
                <w:rFonts w:cs="Arial"/>
                <w:szCs w:val="18"/>
              </w:rPr>
            </w:pPr>
            <w:r w:rsidRPr="00E33D8A">
              <w:rPr>
                <w:rFonts w:cs="Arial"/>
                <w:szCs w:val="18"/>
              </w:rPr>
              <w:t>1.643</w:t>
            </w:r>
          </w:p>
        </w:tc>
        <w:tc>
          <w:tcPr>
            <w:tcW w:w="1417" w:type="dxa"/>
            <w:shd w:val="clear" w:color="auto" w:fill="FFFFFF"/>
          </w:tcPr>
          <w:p w14:paraId="39559FF8" w14:textId="77777777" w:rsidR="00F32415" w:rsidRPr="00E33D8A" w:rsidRDefault="00F32415" w:rsidP="00F32415">
            <w:pPr>
              <w:widowControl w:val="0"/>
              <w:ind w:right="-1"/>
              <w:jc w:val="center"/>
              <w:rPr>
                <w:rFonts w:cs="Arial"/>
                <w:szCs w:val="18"/>
              </w:rPr>
            </w:pPr>
            <w:r w:rsidRPr="00E33D8A">
              <w:rPr>
                <w:rFonts w:cs="Arial"/>
                <w:szCs w:val="18"/>
              </w:rPr>
              <w:t>17.1</w:t>
            </w:r>
          </w:p>
        </w:tc>
      </w:tr>
      <w:tr w:rsidR="00F32415" w:rsidRPr="00E33D8A" w14:paraId="3C525AC6" w14:textId="77777777" w:rsidTr="00F32415">
        <w:trPr>
          <w:jc w:val="center"/>
        </w:trPr>
        <w:tc>
          <w:tcPr>
            <w:tcW w:w="709" w:type="dxa"/>
            <w:tcBorders>
              <w:bottom w:val="single" w:sz="12" w:space="0" w:color="008000"/>
            </w:tcBorders>
            <w:shd w:val="clear" w:color="auto" w:fill="FFFFFF"/>
          </w:tcPr>
          <w:p w14:paraId="4CEADDB8" w14:textId="77777777" w:rsidR="00F32415" w:rsidRPr="00E33D8A" w:rsidRDefault="00F32415" w:rsidP="00F32415">
            <w:pPr>
              <w:widowControl w:val="0"/>
              <w:jc w:val="center"/>
            </w:pPr>
            <w:r w:rsidRPr="00E33D8A">
              <w:t>#3</w:t>
            </w:r>
          </w:p>
        </w:tc>
        <w:tc>
          <w:tcPr>
            <w:tcW w:w="1701" w:type="dxa"/>
            <w:tcBorders>
              <w:bottom w:val="single" w:sz="12" w:space="0" w:color="008000"/>
            </w:tcBorders>
            <w:shd w:val="clear" w:color="auto" w:fill="FFFFFF"/>
          </w:tcPr>
          <w:p w14:paraId="6948AC2A" w14:textId="77777777" w:rsidR="00F32415" w:rsidRPr="00E33D8A" w:rsidRDefault="00F32415" w:rsidP="00F32415">
            <w:pPr>
              <w:widowControl w:val="0"/>
              <w:jc w:val="center"/>
            </w:pPr>
            <w:r w:rsidRPr="00E33D8A">
              <w:t>75</w:t>
            </w:r>
          </w:p>
        </w:tc>
        <w:tc>
          <w:tcPr>
            <w:tcW w:w="992" w:type="dxa"/>
            <w:tcBorders>
              <w:bottom w:val="single" w:sz="12" w:space="0" w:color="008000"/>
            </w:tcBorders>
            <w:shd w:val="clear" w:color="auto" w:fill="FFFFFF"/>
          </w:tcPr>
          <w:p w14:paraId="2401BCAC" w14:textId="77777777" w:rsidR="00F32415" w:rsidRPr="00E33D8A" w:rsidRDefault="00F32415" w:rsidP="00F32415">
            <w:pPr>
              <w:widowControl w:val="0"/>
              <w:jc w:val="center"/>
            </w:pPr>
            <w:r w:rsidRPr="00E33D8A">
              <w:t>Pt/P25</w:t>
            </w:r>
          </w:p>
        </w:tc>
        <w:tc>
          <w:tcPr>
            <w:tcW w:w="1560" w:type="dxa"/>
            <w:tcBorders>
              <w:bottom w:val="single" w:sz="12" w:space="0" w:color="008000"/>
            </w:tcBorders>
            <w:shd w:val="clear" w:color="auto" w:fill="FFFFFF"/>
          </w:tcPr>
          <w:p w14:paraId="71AFDE29" w14:textId="77777777" w:rsidR="00F32415" w:rsidRPr="00E33D8A" w:rsidRDefault="00F32415" w:rsidP="00F32415">
            <w:pPr>
              <w:widowControl w:val="0"/>
              <w:ind w:right="-1"/>
              <w:jc w:val="center"/>
              <w:rPr>
                <w:rFonts w:cs="Arial"/>
                <w:szCs w:val="18"/>
              </w:rPr>
            </w:pPr>
            <w:r w:rsidRPr="00E33D8A">
              <w:rPr>
                <w:rFonts w:cs="Arial"/>
                <w:szCs w:val="18"/>
              </w:rPr>
              <w:t>3.122</w:t>
            </w:r>
          </w:p>
        </w:tc>
        <w:tc>
          <w:tcPr>
            <w:tcW w:w="1417" w:type="dxa"/>
            <w:tcBorders>
              <w:bottom w:val="single" w:sz="12" w:space="0" w:color="008000"/>
            </w:tcBorders>
            <w:shd w:val="clear" w:color="auto" w:fill="FFFFFF"/>
          </w:tcPr>
          <w:p w14:paraId="02EAB645" w14:textId="77777777" w:rsidR="00F32415" w:rsidRPr="00E33D8A" w:rsidRDefault="00F32415" w:rsidP="00F32415">
            <w:pPr>
              <w:widowControl w:val="0"/>
              <w:ind w:right="-1"/>
              <w:jc w:val="center"/>
              <w:rPr>
                <w:rFonts w:cs="Arial"/>
                <w:szCs w:val="18"/>
              </w:rPr>
            </w:pPr>
            <w:r w:rsidRPr="00E33D8A">
              <w:rPr>
                <w:rFonts w:cs="Arial"/>
                <w:szCs w:val="18"/>
              </w:rPr>
              <w:t>11.2</w:t>
            </w:r>
          </w:p>
        </w:tc>
      </w:tr>
      <w:bookmarkEnd w:id="27"/>
      <w:bookmarkEnd w:id="28"/>
    </w:tbl>
    <w:p w14:paraId="5ED39C62" w14:textId="77777777" w:rsidR="00E33D8A" w:rsidRDefault="00E33D8A" w:rsidP="00F32415">
      <w:pPr>
        <w:pStyle w:val="CETBodytext"/>
        <w:widowControl w:val="0"/>
        <w:rPr>
          <w:lang w:val="en-GB"/>
        </w:rPr>
      </w:pPr>
    </w:p>
    <w:p w14:paraId="1A2C4637" w14:textId="6E85B51C" w:rsidR="00492D29" w:rsidRDefault="00492D29" w:rsidP="00F32415">
      <w:pPr>
        <w:pStyle w:val="CETBodytext"/>
        <w:widowControl w:val="0"/>
      </w:pPr>
      <w:bookmarkStart w:id="29" w:name="OLE_LINK444"/>
      <w:bookmarkStart w:id="30" w:name="OLE_LINK445"/>
      <w:bookmarkEnd w:id="24"/>
      <w:bookmarkEnd w:id="25"/>
      <w:r>
        <w:t>The productivity of H</w:t>
      </w:r>
      <w:r>
        <w:rPr>
          <w:vertAlign w:val="subscript"/>
        </w:rPr>
        <w:t>2</w:t>
      </w:r>
      <w:r>
        <w:t xml:space="preserve"> was higher for the mesoporous sample (Meso) than for the microporous one (Prec), in spite of the much higher surface area of the latter. </w:t>
      </w:r>
      <w:r w:rsidR="00180FC9">
        <w:t>This was attributed to the larger pores size of the mesoporous sample, which allowed faster diffusion of the reactant and thus better catalyst utilization factor with respect to the microporous one.</w:t>
      </w:r>
      <w:r w:rsidR="00C81AE8">
        <w:t xml:space="preserve"> However, higher productivity was achieved with the P25 sample, followed by FSP. Their higher activity was attributed to the presence of two polymorphs of TiO</w:t>
      </w:r>
      <w:r w:rsidR="00C81AE8">
        <w:rPr>
          <w:vertAlign w:val="subscript"/>
        </w:rPr>
        <w:t>2</w:t>
      </w:r>
      <w:r w:rsidR="00C81AE8">
        <w:t>, which allow a fast local charge transfer between anatase and rutile allowing charge segregation and the consequent increase of their lifetime. The FSP sample was less active due to the prese</w:t>
      </w:r>
      <w:r w:rsidR="00941FDF">
        <w:t>nce of some carbonaceous residue</w:t>
      </w:r>
      <w:r w:rsidR="00C81AE8">
        <w:t xml:space="preserve"> deriving from its preparation from organic precursors, which act as defects for charge recombination, lowering the activity.</w:t>
      </w:r>
    </w:p>
    <w:p w14:paraId="1A5F90DF" w14:textId="7660B4DE" w:rsidR="00C81AE8" w:rsidRPr="00A14CFB" w:rsidRDefault="00C81AE8" w:rsidP="00F32415">
      <w:pPr>
        <w:pStyle w:val="CETBodytext"/>
        <w:widowControl w:val="0"/>
      </w:pPr>
      <w:r>
        <w:t xml:space="preserve">The conversion of the carbonaceous substrate follows the same reactivity order. </w:t>
      </w:r>
      <w:r w:rsidR="002818C1">
        <w:t xml:space="preserve">The products distribution for the different samples is reported in Fig. </w:t>
      </w:r>
      <w:r w:rsidR="00B6335C">
        <w:t>2</w:t>
      </w:r>
      <w:r w:rsidR="002818C1">
        <w:t>, which shows</w:t>
      </w:r>
      <w:r w:rsidR="00B1710C">
        <w:t xml:space="preserve"> that part of the carbonaceous skeleton of the substrate is mineralized by reforming to H</w:t>
      </w:r>
      <w:r w:rsidR="00B1710C">
        <w:rPr>
          <w:vertAlign w:val="subscript"/>
        </w:rPr>
        <w:t>2</w:t>
      </w:r>
      <w:r w:rsidR="00B1710C">
        <w:t xml:space="preserve"> + CO/CO</w:t>
      </w:r>
      <w:r w:rsidR="00B1710C">
        <w:rPr>
          <w:vertAlign w:val="subscript"/>
        </w:rPr>
        <w:t>2</w:t>
      </w:r>
      <w:r w:rsidR="00B1710C">
        <w:t>, while some C</w:t>
      </w:r>
      <w:r w:rsidR="00B1710C">
        <w:rPr>
          <w:vertAlign w:val="subscript"/>
        </w:rPr>
        <w:t>2</w:t>
      </w:r>
      <w:r w:rsidR="00B1710C">
        <w:t xml:space="preserve"> product like C</w:t>
      </w:r>
      <w:r w:rsidR="00B1710C">
        <w:rPr>
          <w:vertAlign w:val="subscript"/>
        </w:rPr>
        <w:t>2</w:t>
      </w:r>
      <w:r w:rsidR="00B1710C">
        <w:t>H</w:t>
      </w:r>
      <w:r w:rsidR="00B1710C">
        <w:rPr>
          <w:vertAlign w:val="subscript"/>
        </w:rPr>
        <w:t>4</w:t>
      </w:r>
      <w:r w:rsidR="00B1710C">
        <w:t xml:space="preserve"> or C</w:t>
      </w:r>
      <w:r w:rsidR="00B1710C">
        <w:rPr>
          <w:vertAlign w:val="subscript"/>
        </w:rPr>
        <w:t>2</w:t>
      </w:r>
      <w:r w:rsidR="00B1710C">
        <w:t>H</w:t>
      </w:r>
      <w:r w:rsidR="00B1710C">
        <w:rPr>
          <w:vertAlign w:val="subscript"/>
        </w:rPr>
        <w:t>6</w:t>
      </w:r>
      <w:r w:rsidR="00B1710C">
        <w:t xml:space="preserve"> may evolve.</w:t>
      </w:r>
    </w:p>
    <w:p w14:paraId="683F8715" w14:textId="50EFE75A" w:rsidR="00492D29" w:rsidRPr="00E33D8A" w:rsidRDefault="00EE42A9" w:rsidP="00F32415">
      <w:pPr>
        <w:pStyle w:val="CETBodytext"/>
        <w:widowControl w:val="0"/>
      </w:pPr>
      <w:r w:rsidRPr="00E33D8A">
        <w:rPr>
          <w:noProof/>
          <w:lang w:val="it-IT" w:eastAsia="it-IT"/>
        </w:rPr>
        <w:drawing>
          <wp:anchor distT="0" distB="0" distL="114300" distR="114300" simplePos="0" relativeHeight="251680768" behindDoc="0" locked="0" layoutInCell="1" allowOverlap="1" wp14:anchorId="29B60CC8" wp14:editId="1E8B5A57">
            <wp:simplePos x="0" y="0"/>
            <wp:positionH relativeFrom="page">
              <wp:posOffset>1506855</wp:posOffset>
            </wp:positionH>
            <wp:positionV relativeFrom="paragraph">
              <wp:posOffset>140970</wp:posOffset>
            </wp:positionV>
            <wp:extent cx="3908425" cy="1843405"/>
            <wp:effectExtent l="0" t="0" r="0" b="4445"/>
            <wp:wrapTopAndBottom/>
            <wp:docPr id="31" name="Gra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92FC6C0" w14:textId="08D90C32" w:rsidR="00E33D8A" w:rsidRPr="00492D29" w:rsidRDefault="00492D29" w:rsidP="00F32415">
      <w:pPr>
        <w:pStyle w:val="CETBodytext"/>
        <w:widowControl w:val="0"/>
        <w:rPr>
          <w:i/>
        </w:rPr>
      </w:pPr>
      <w:bookmarkStart w:id="31" w:name="OLE_LINK448"/>
      <w:bookmarkStart w:id="32" w:name="OLE_LINK449"/>
      <w:bookmarkStart w:id="33" w:name="OLE_LINK450"/>
      <w:bookmarkStart w:id="34" w:name="OLE_LINK451"/>
      <w:r w:rsidRPr="00492D29">
        <w:rPr>
          <w:i/>
        </w:rPr>
        <w:t xml:space="preserve">Figure </w:t>
      </w:r>
      <w:r w:rsidR="00B6335C">
        <w:rPr>
          <w:i/>
        </w:rPr>
        <w:t>2</w:t>
      </w:r>
      <w:r w:rsidRPr="00492D29">
        <w:rPr>
          <w:i/>
        </w:rPr>
        <w:t xml:space="preserve">: </w:t>
      </w:r>
      <w:bookmarkEnd w:id="31"/>
      <w:bookmarkEnd w:id="32"/>
      <w:bookmarkEnd w:id="33"/>
      <w:bookmarkEnd w:id="34"/>
      <w:r>
        <w:rPr>
          <w:i/>
        </w:rPr>
        <w:t>Products distribution for the comparison of different photocatalysts using Reactor #1.</w:t>
      </w:r>
    </w:p>
    <w:p w14:paraId="68E89EBF" w14:textId="6D2E12F9" w:rsidR="00E33D8A" w:rsidRPr="00E33D8A" w:rsidRDefault="00E33D8A" w:rsidP="00F32415">
      <w:pPr>
        <w:pStyle w:val="CETBodytext"/>
        <w:widowControl w:val="0"/>
      </w:pPr>
    </w:p>
    <w:p w14:paraId="69A67866" w14:textId="059F046B" w:rsidR="00034ECA" w:rsidRDefault="009148D6" w:rsidP="00F32415">
      <w:pPr>
        <w:pStyle w:val="CETBodytext"/>
        <w:widowControl w:val="0"/>
      </w:pPr>
      <w:r>
        <w:t>If pure H</w:t>
      </w:r>
      <w:r>
        <w:rPr>
          <w:vertAlign w:val="subscript"/>
        </w:rPr>
        <w:t>2</w:t>
      </w:r>
      <w:r>
        <w:t xml:space="preserve"> is needed, the best solution is</w:t>
      </w:r>
      <w:r w:rsidR="00941FDF">
        <w:t>,</w:t>
      </w:r>
      <w:r>
        <w:t xml:space="preserve"> of course</w:t>
      </w:r>
      <w:r w:rsidR="00941FDF">
        <w:t>,</w:t>
      </w:r>
      <w:r>
        <w:t xml:space="preserve"> </w:t>
      </w:r>
      <w:r w:rsidR="00C123E8">
        <w:t>the use of the P25 catalyst, but if the scope is the production of a gaseous fuel mixture, the possibility to exploit also ethane and ethylene allows to increase the efficiency of the process. Indeed, the amount of stored energy</w:t>
      </w:r>
      <w:r w:rsidR="00F0279A">
        <w:t xml:space="preserve"> in the gas phase</w:t>
      </w:r>
      <w:r w:rsidR="00C123E8">
        <w:t xml:space="preserve"> (calculated according to the Hi</w:t>
      </w:r>
      <w:r w:rsidR="006E71EF">
        <w:t>g</w:t>
      </w:r>
      <w:r w:rsidR="00C123E8">
        <w:t>her Heating Value of each compound</w:t>
      </w:r>
      <w:r w:rsidR="006E71EF">
        <w:t xml:space="preserve"> (Green &amp; Perry, 2008)</w:t>
      </w:r>
      <w:r w:rsidR="00C123E8">
        <w:t xml:space="preserve">) amounts to </w:t>
      </w:r>
      <w:bookmarkStart w:id="35" w:name="OLE_LINK454"/>
      <w:bookmarkStart w:id="36" w:name="OLE_LINK455"/>
      <w:bookmarkStart w:id="37" w:name="OLE_LINK456"/>
      <w:r w:rsidR="00C123E8">
        <w:t>167 kJ/h kg</w:t>
      </w:r>
      <w:r w:rsidR="00C123E8">
        <w:rPr>
          <w:vertAlign w:val="subscript"/>
        </w:rPr>
        <w:t>cat</w:t>
      </w:r>
      <w:r w:rsidR="00C123E8">
        <w:t xml:space="preserve"> </w:t>
      </w:r>
      <w:bookmarkEnd w:id="35"/>
      <w:bookmarkEnd w:id="36"/>
      <w:bookmarkEnd w:id="37"/>
      <w:r w:rsidR="00C123E8">
        <w:t>for the P25 catalyst, increasing to 2</w:t>
      </w:r>
      <w:r w:rsidR="00EE42A9">
        <w:t>,</w:t>
      </w:r>
      <w:r w:rsidR="00C123E8">
        <w:t>440, 3</w:t>
      </w:r>
      <w:r w:rsidR="00EE42A9">
        <w:t>,</w:t>
      </w:r>
      <w:r w:rsidR="00C123E8">
        <w:t>467 and 1</w:t>
      </w:r>
      <w:r w:rsidR="00EE42A9">
        <w:t>,</w:t>
      </w:r>
      <w:r w:rsidR="00C123E8">
        <w:t xml:space="preserve">825 </w:t>
      </w:r>
      <w:bookmarkStart w:id="38" w:name="OLE_LINK464"/>
      <w:bookmarkStart w:id="39" w:name="OLE_LINK465"/>
      <w:r w:rsidR="00C123E8">
        <w:t>kJ/h kg</w:t>
      </w:r>
      <w:r w:rsidR="00C123E8">
        <w:rPr>
          <w:vertAlign w:val="subscript"/>
        </w:rPr>
        <w:t>cat</w:t>
      </w:r>
      <w:r w:rsidR="00C123E8">
        <w:t xml:space="preserve"> </w:t>
      </w:r>
      <w:bookmarkEnd w:id="38"/>
      <w:bookmarkEnd w:id="39"/>
      <w:r w:rsidR="00C123E8">
        <w:t>for samples FSP, Meso and Prec, respectively.</w:t>
      </w:r>
    </w:p>
    <w:p w14:paraId="741D20C3" w14:textId="233A3B65" w:rsidR="00034ECA" w:rsidRPr="00EE42A9" w:rsidRDefault="00034ECA" w:rsidP="00F32415">
      <w:pPr>
        <w:pStyle w:val="CETBodytext"/>
        <w:widowControl w:val="0"/>
      </w:pPr>
      <w:r>
        <w:t>The addition of 0.1 mol% Pt to P25 further boosted H</w:t>
      </w:r>
      <w:r>
        <w:rPr>
          <w:vertAlign w:val="subscript"/>
        </w:rPr>
        <w:t>2</w:t>
      </w:r>
      <w:r>
        <w:t xml:space="preserve"> productivity to 14 </w:t>
      </w:r>
      <w:bookmarkStart w:id="40" w:name="OLE_LINK460"/>
      <w:bookmarkStart w:id="41" w:name="OLE_LINK461"/>
      <w:bookmarkStart w:id="42" w:name="OLE_LINK462"/>
      <w:bookmarkStart w:id="43" w:name="OLE_LINK463"/>
      <w:r>
        <w:t>mol/h kg</w:t>
      </w:r>
      <w:r>
        <w:rPr>
          <w:vertAlign w:val="subscript"/>
        </w:rPr>
        <w:t>cat</w:t>
      </w:r>
      <w:r>
        <w:t xml:space="preserve"> </w:t>
      </w:r>
      <w:bookmarkEnd w:id="40"/>
      <w:bookmarkEnd w:id="41"/>
      <w:bookmarkEnd w:id="42"/>
      <w:bookmarkEnd w:id="43"/>
      <w:r>
        <w:t>that is one of the best results available in the literature for this reaction.</w:t>
      </w:r>
      <w:r w:rsidR="00EE42A9">
        <w:t xml:space="preserve"> The co-production of 0.303 mol/h kg</w:t>
      </w:r>
      <w:r w:rsidR="00EE42A9">
        <w:rPr>
          <w:vertAlign w:val="subscript"/>
        </w:rPr>
        <w:t>cat</w:t>
      </w:r>
      <w:r w:rsidR="00EE42A9">
        <w:t xml:space="preserve"> of ethylene and 0.952 mol/h kg</w:t>
      </w:r>
      <w:r w:rsidR="00EE42A9">
        <w:rPr>
          <w:vertAlign w:val="subscript"/>
        </w:rPr>
        <w:t>cat</w:t>
      </w:r>
      <w:r w:rsidR="00EE42A9">
        <w:t xml:space="preserve"> of ethane </w:t>
      </w:r>
      <w:r w:rsidR="00E04BA8">
        <w:t>was also visible</w:t>
      </w:r>
      <w:r w:rsidR="00EE42A9">
        <w:t>, for a total 6,113 kJ/h kg</w:t>
      </w:r>
      <w:r w:rsidR="00EE42A9">
        <w:rPr>
          <w:vertAlign w:val="subscript"/>
        </w:rPr>
        <w:t>cat</w:t>
      </w:r>
      <w:r w:rsidR="00EE42A9">
        <w:t xml:space="preserve"> energy storage.</w:t>
      </w:r>
    </w:p>
    <w:p w14:paraId="04DF27EF" w14:textId="77777777" w:rsidR="00034ECA" w:rsidRDefault="00034ECA" w:rsidP="00F32415">
      <w:pPr>
        <w:pStyle w:val="CETBodytext"/>
        <w:widowControl w:val="0"/>
      </w:pPr>
    </w:p>
    <w:p w14:paraId="000BB8BF" w14:textId="198E8B31" w:rsidR="00034ECA" w:rsidRPr="00B57B36" w:rsidRDefault="00034ECA" w:rsidP="00F32415">
      <w:pPr>
        <w:pStyle w:val="CETheadingx"/>
      </w:pPr>
      <w:r>
        <w:t>Effect of reactor design</w:t>
      </w:r>
    </w:p>
    <w:p w14:paraId="67C65D6D" w14:textId="6D1BD69C" w:rsidR="00034ECA" w:rsidRDefault="00034ECA" w:rsidP="00F32415">
      <w:pPr>
        <w:pStyle w:val="CETBodytext"/>
        <w:widowControl w:val="0"/>
      </w:pPr>
      <w:r>
        <w:t xml:space="preserve">Different photoreactors have been compared for this reaction. Reactor #1 has </w:t>
      </w:r>
      <w:r w:rsidR="00941FDF">
        <w:t xml:space="preserve">a </w:t>
      </w:r>
      <w:r>
        <w:t xml:space="preserve">cylindrical shape, holds ca. 1.3 L of suspension and has a co-axial immersion lamp. Reactor #2 shares with #1 the same geometry and diameter length ratio, but has lower capacity, 0.3 L. The </w:t>
      </w:r>
      <w:r w:rsidR="00941FDF">
        <w:t>smaller</w:t>
      </w:r>
      <w:r>
        <w:t xml:space="preserve"> size of reactor #2 suggests the use of a lower power of the lamp to avoid overheating (</w:t>
      </w:r>
      <w:r w:rsidRPr="00034ECA">
        <w:rPr>
          <w:i/>
        </w:rPr>
        <w:t>ca</w:t>
      </w:r>
      <w:r>
        <w:t>. 45 W/m</w:t>
      </w:r>
      <w:r>
        <w:rPr>
          <w:vertAlign w:val="superscript"/>
        </w:rPr>
        <w:t>2</w:t>
      </w:r>
      <w:r>
        <w:t xml:space="preserve"> average irradiance to be compared with more than 150 W/m</w:t>
      </w:r>
      <w:r>
        <w:rPr>
          <w:vertAlign w:val="superscript"/>
        </w:rPr>
        <w:t>2</w:t>
      </w:r>
      <w:r>
        <w:t xml:space="preserve"> of </w:t>
      </w:r>
      <w:r>
        <w:lastRenderedPageBreak/>
        <w:t>reactor #1) and taking advantage to the location of the suspension nearer to the light source.</w:t>
      </w:r>
    </w:p>
    <w:p w14:paraId="4B1AB8C8" w14:textId="3B9E95D1" w:rsidR="00034ECA" w:rsidRDefault="00034ECA" w:rsidP="00F32415">
      <w:pPr>
        <w:pStyle w:val="CETBodytext"/>
        <w:widowControl w:val="0"/>
      </w:pPr>
      <w:r>
        <w:t xml:space="preserve">Reactor #3 is instead characterized by an external lamp, located on the top of the reactor. This configuration imposes a mono-directional irradiation top-down, with </w:t>
      </w:r>
      <w:r w:rsidR="00941FDF">
        <w:t xml:space="preserve">an </w:t>
      </w:r>
      <w:r>
        <w:t xml:space="preserve">intensity almost linearly decreasing with the distance from the source. External irradiation is believed typically as less effective than </w:t>
      </w:r>
      <w:r w:rsidR="00941FDF">
        <w:t xml:space="preserve">the </w:t>
      </w:r>
      <w:r>
        <w:t xml:space="preserve">internal one, but it is more easily amenable to scale up and use with natural irradiation with solar light. </w:t>
      </w:r>
    </w:p>
    <w:p w14:paraId="4FB62738" w14:textId="3981A38A" w:rsidR="00EE42A9" w:rsidRDefault="00034ECA" w:rsidP="00F32415">
      <w:pPr>
        <w:pStyle w:val="CETBodytext"/>
        <w:widowControl w:val="0"/>
      </w:pPr>
      <w:r>
        <w:t xml:space="preserve">Testing of </w:t>
      </w:r>
      <w:r w:rsidR="00EE42A9">
        <w:t>sample P25 in reactor #2 returned 14</w:t>
      </w:r>
      <w:r w:rsidR="00A564BB">
        <w:t xml:space="preserve"> </w:t>
      </w:r>
      <w:r w:rsidR="00EE42A9">
        <w:t>% lower productivity of H</w:t>
      </w:r>
      <w:r w:rsidR="00EE42A9">
        <w:rPr>
          <w:vertAlign w:val="subscript"/>
        </w:rPr>
        <w:t>2</w:t>
      </w:r>
      <w:r w:rsidR="00EE42A9">
        <w:t xml:space="preserve"> than with reactor #1, </w:t>
      </w:r>
      <w:r w:rsidR="00E04BA8">
        <w:t>but</w:t>
      </w:r>
      <w:r w:rsidR="00EE42A9">
        <w:t xml:space="preserve"> with a 70</w:t>
      </w:r>
      <w:r w:rsidR="00A564BB">
        <w:t xml:space="preserve"> </w:t>
      </w:r>
      <w:r w:rsidR="00EE42A9">
        <w:t xml:space="preserve">% reduction of the irradiance. Therefore, the shorter optical path in reactor #2 was the key to guarantee </w:t>
      </w:r>
      <w:r w:rsidR="00E04BA8">
        <w:t>an overall high</w:t>
      </w:r>
      <w:r w:rsidR="00EE42A9">
        <w:t xml:space="preserve"> efficiency of this photoreactor.</w:t>
      </w:r>
    </w:p>
    <w:p w14:paraId="34C0546B" w14:textId="13BA93CE" w:rsidR="0029475D" w:rsidRDefault="00EE42A9" w:rsidP="00F32415">
      <w:pPr>
        <w:pStyle w:val="CETBodytext"/>
        <w:widowControl w:val="0"/>
      </w:pPr>
      <w:r>
        <w:t xml:space="preserve">On the other hand, reactor #3 led to </w:t>
      </w:r>
      <w:r w:rsidRPr="00EE42A9">
        <w:rPr>
          <w:i/>
        </w:rPr>
        <w:t>ca.</w:t>
      </w:r>
      <w:r>
        <w:t xml:space="preserve"> 3 </w:t>
      </w:r>
      <w:bookmarkStart w:id="44" w:name="OLE_LINK466"/>
      <w:bookmarkStart w:id="45" w:name="OLE_LINK467"/>
      <w:r>
        <w:t>mol/h kg</w:t>
      </w:r>
      <w:r>
        <w:rPr>
          <w:vertAlign w:val="subscript"/>
        </w:rPr>
        <w:t>cat</w:t>
      </w:r>
      <w:r>
        <w:t xml:space="preserve"> </w:t>
      </w:r>
      <w:bookmarkEnd w:id="44"/>
      <w:bookmarkEnd w:id="45"/>
      <w:r w:rsidR="00E32E6A">
        <w:t>of H</w:t>
      </w:r>
      <w:r w:rsidR="00E32E6A">
        <w:rPr>
          <w:vertAlign w:val="subscript"/>
        </w:rPr>
        <w:t>2</w:t>
      </w:r>
      <w:r w:rsidR="00E32E6A">
        <w:t xml:space="preserve"> productivity for sample 0.1 mol% Pt/TiO</w:t>
      </w:r>
      <w:r w:rsidR="00E32E6A">
        <w:rPr>
          <w:vertAlign w:val="subscript"/>
        </w:rPr>
        <w:t>2</w:t>
      </w:r>
      <w:r w:rsidR="00E32E6A">
        <w:t>, with respect to 14.7 mol/h kg</w:t>
      </w:r>
      <w:r w:rsidR="00E32E6A">
        <w:rPr>
          <w:vertAlign w:val="subscript"/>
        </w:rPr>
        <w:t>cat</w:t>
      </w:r>
      <w:r w:rsidR="00E32E6A">
        <w:t xml:space="preserve"> obtained with reactor #1, in line with a less efficient light distribution </w:t>
      </w:r>
      <w:r w:rsidR="00E04BA8">
        <w:t>through</w:t>
      </w:r>
      <w:r w:rsidR="00E32E6A">
        <w:t xml:space="preserve"> longitudinal </w:t>
      </w:r>
      <w:r w:rsidR="00BB2F37">
        <w:t>irradiation with respect to the radial one.</w:t>
      </w:r>
      <w:r w:rsidR="0029475D">
        <w:t xml:space="preserve"> Also</w:t>
      </w:r>
      <w:r w:rsidR="00941FDF">
        <w:t>,</w:t>
      </w:r>
      <w:r w:rsidR="0029475D">
        <w:t xml:space="preserve"> in this case</w:t>
      </w:r>
      <w:r w:rsidR="00941FDF">
        <w:t>,</w:t>
      </w:r>
      <w:r w:rsidR="0029475D">
        <w:t xml:space="preserve"> the lamp power was halved for reactor #3 (75 W/m</w:t>
      </w:r>
      <w:r w:rsidR="0029475D">
        <w:rPr>
          <w:vertAlign w:val="superscript"/>
        </w:rPr>
        <w:t>2</w:t>
      </w:r>
      <w:r w:rsidR="0029475D">
        <w:t>) with respect to reactor #1, but the decrease of productivity was much worse than the decrease of irradiance. Thus, in order to increase the effectiveness of the photoreactor, the optimization of the light distribution pattern and the distance from the source prevail over the use of an intense light source.</w:t>
      </w:r>
    </w:p>
    <w:p w14:paraId="047E638F" w14:textId="2E6442F0" w:rsidR="00266AB7" w:rsidRDefault="0029475D" w:rsidP="00F32415">
      <w:pPr>
        <w:pStyle w:val="CETBodytext"/>
        <w:widowControl w:val="0"/>
      </w:pPr>
      <w:r>
        <w:t>The efficiency of the process can be quantified by two i</w:t>
      </w:r>
      <w:r w:rsidR="00941FDF">
        <w:t>n</w:t>
      </w:r>
      <w:r>
        <w:t xml:space="preserve">dexes. Efficiency 1 has been calculated from the Higher Heating Values (HHV) of all the compounds, products and reactant </w:t>
      </w:r>
      <w:r w:rsidR="008E4E88">
        <w:t>(Green &amp; Perry, 2008)</w:t>
      </w:r>
      <w:r>
        <w:t>. It represents the percentage of the original energy content of glucose, stored as gaseous fuel after the photocatalytic treatment. This kind of efficiency allows compar</w:t>
      </w:r>
      <w:r w:rsidR="00941FDF">
        <w:t>ing</w:t>
      </w:r>
      <w:r>
        <w:t xml:space="preserve"> the valorization of valuable compounds as such or as substrates for photoreforming, provided that the reactant can be exploited valuably in different ways. This is probably not the case of waste organic-containing solutions, but may fit the hydrolysis of raw biomass that can be valorized elsewhere. Efficiency 2, instead, represents the percentage of the irradiating power stored in the gas phase products. Both the parameters are reported in Table 3.</w:t>
      </w:r>
    </w:p>
    <w:p w14:paraId="18F4338E" w14:textId="1C4621B3" w:rsidR="00266AB7" w:rsidRPr="00266AB7" w:rsidRDefault="00266AB7" w:rsidP="00F32415">
      <w:pPr>
        <w:widowControl w:val="0"/>
        <w:tabs>
          <w:tab w:val="clear" w:pos="7100"/>
        </w:tabs>
        <w:spacing w:before="240" w:after="80" w:line="240" w:lineRule="exact"/>
        <w:jc w:val="left"/>
        <w:rPr>
          <w:i/>
        </w:rPr>
      </w:pPr>
      <w:r w:rsidRPr="00266AB7">
        <w:rPr>
          <w:i/>
        </w:rPr>
        <w:t xml:space="preserve">Table </w:t>
      </w:r>
      <w:r>
        <w:rPr>
          <w:i/>
        </w:rPr>
        <w:t>3</w:t>
      </w:r>
      <w:r w:rsidRPr="00266AB7">
        <w:rPr>
          <w:i/>
        </w:rPr>
        <w:t xml:space="preserve">: </w:t>
      </w:r>
      <w:r>
        <w:rPr>
          <w:i/>
        </w:rPr>
        <w:t>Efficiency of energy storage as gas phase products</w:t>
      </w:r>
      <w:r w:rsidRPr="00266AB7">
        <w:rPr>
          <w:i/>
        </w:rPr>
        <w:t>.</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86"/>
        <w:gridCol w:w="1198"/>
        <w:gridCol w:w="1198"/>
        <w:gridCol w:w="1198"/>
        <w:gridCol w:w="965"/>
        <w:gridCol w:w="1431"/>
        <w:gridCol w:w="1198"/>
        <w:gridCol w:w="1198"/>
      </w:tblGrid>
      <w:tr w:rsidR="00266AB7" w:rsidRPr="00266AB7" w14:paraId="73A31FEA" w14:textId="77777777" w:rsidTr="00266AB7">
        <w:tc>
          <w:tcPr>
            <w:tcW w:w="686" w:type="dxa"/>
            <w:tcBorders>
              <w:top w:val="single" w:sz="12" w:space="0" w:color="008000"/>
              <w:bottom w:val="single" w:sz="6" w:space="0" w:color="008000"/>
            </w:tcBorders>
            <w:shd w:val="clear" w:color="auto" w:fill="FFFFFF"/>
          </w:tcPr>
          <w:p w14:paraId="6B6A8A14" w14:textId="77777777" w:rsidR="00266AB7" w:rsidRPr="00266AB7" w:rsidRDefault="00266AB7" w:rsidP="00F32415">
            <w:pPr>
              <w:widowControl w:val="0"/>
              <w:jc w:val="center"/>
            </w:pPr>
            <w:r w:rsidRPr="00266AB7">
              <w:t>Reactor</w:t>
            </w:r>
          </w:p>
        </w:tc>
        <w:tc>
          <w:tcPr>
            <w:tcW w:w="1198" w:type="dxa"/>
            <w:tcBorders>
              <w:top w:val="single" w:sz="12" w:space="0" w:color="008000"/>
              <w:bottom w:val="single" w:sz="6" w:space="0" w:color="008000"/>
            </w:tcBorders>
            <w:shd w:val="clear" w:color="auto" w:fill="FFFFFF"/>
          </w:tcPr>
          <w:p w14:paraId="714003A5" w14:textId="51355179" w:rsidR="00266AB7" w:rsidRPr="00266AB7" w:rsidRDefault="00266AB7" w:rsidP="00F32415">
            <w:pPr>
              <w:widowControl w:val="0"/>
              <w:ind w:right="142"/>
              <w:jc w:val="center"/>
            </w:pPr>
            <w:r>
              <w:rPr>
                <w:rFonts w:cs="Arial"/>
                <w:color w:val="000000"/>
              </w:rPr>
              <w:t>Sample</w:t>
            </w:r>
          </w:p>
        </w:tc>
        <w:tc>
          <w:tcPr>
            <w:tcW w:w="1198" w:type="dxa"/>
            <w:tcBorders>
              <w:top w:val="single" w:sz="12" w:space="0" w:color="008000"/>
              <w:bottom w:val="single" w:sz="6" w:space="0" w:color="008000"/>
            </w:tcBorders>
            <w:shd w:val="clear" w:color="auto" w:fill="FFFFFF"/>
          </w:tcPr>
          <w:p w14:paraId="3FD8BDD0" w14:textId="317AE488" w:rsidR="00266AB7" w:rsidRPr="00266AB7" w:rsidRDefault="00266AB7" w:rsidP="00F32415">
            <w:pPr>
              <w:widowControl w:val="0"/>
              <w:jc w:val="center"/>
            </w:pPr>
            <w:r>
              <w:rPr>
                <w:rFonts w:cs="Arial"/>
                <w:color w:val="000000"/>
              </w:rPr>
              <w:t>H</w:t>
            </w:r>
            <w:r w:rsidRPr="00266AB7">
              <w:rPr>
                <w:rFonts w:cs="Arial"/>
                <w:color w:val="000000"/>
                <w:vertAlign w:val="subscript"/>
              </w:rPr>
              <w:t>2</w:t>
            </w:r>
            <w:r>
              <w:rPr>
                <w:rFonts w:cs="Arial"/>
                <w:color w:val="000000"/>
              </w:rPr>
              <w:t xml:space="preserve"> prod. </w:t>
            </w:r>
            <w:bookmarkStart w:id="46" w:name="OLE_LINK472"/>
            <w:bookmarkStart w:id="47" w:name="OLE_LINK473"/>
            <w:bookmarkStart w:id="48" w:name="OLE_LINK474"/>
            <w:r>
              <w:rPr>
                <w:rFonts w:cs="Arial"/>
                <w:color w:val="000000"/>
              </w:rPr>
              <w:t>(mol/kg</w:t>
            </w:r>
            <w:r>
              <w:rPr>
                <w:rFonts w:cs="Arial"/>
                <w:color w:val="000000"/>
                <w:vertAlign w:val="subscript"/>
              </w:rPr>
              <w:t>cat</w:t>
            </w:r>
            <w:r>
              <w:rPr>
                <w:rFonts w:cs="Arial"/>
                <w:color w:val="000000"/>
              </w:rPr>
              <w:t xml:space="preserve"> h)</w:t>
            </w:r>
            <w:bookmarkEnd w:id="46"/>
            <w:bookmarkEnd w:id="47"/>
            <w:bookmarkEnd w:id="48"/>
          </w:p>
        </w:tc>
        <w:tc>
          <w:tcPr>
            <w:tcW w:w="1198" w:type="dxa"/>
            <w:tcBorders>
              <w:top w:val="single" w:sz="12" w:space="0" w:color="008000"/>
              <w:bottom w:val="single" w:sz="6" w:space="0" w:color="008000"/>
            </w:tcBorders>
            <w:shd w:val="clear" w:color="auto" w:fill="FFFFFF"/>
          </w:tcPr>
          <w:p w14:paraId="69BA92D3" w14:textId="77777777" w:rsidR="00266AB7" w:rsidRDefault="00266AB7" w:rsidP="00F32415">
            <w:pPr>
              <w:widowControl w:val="0"/>
              <w:ind w:right="142"/>
              <w:jc w:val="center"/>
              <w:rPr>
                <w:rFonts w:cs="Arial"/>
                <w:color w:val="000000"/>
              </w:rPr>
            </w:pPr>
            <w:r>
              <w:rPr>
                <w:rFonts w:cs="Arial"/>
                <w:color w:val="000000"/>
              </w:rPr>
              <w:t>C</w:t>
            </w:r>
            <w:r w:rsidRPr="00266AB7">
              <w:rPr>
                <w:rFonts w:cs="Arial"/>
                <w:color w:val="000000"/>
                <w:vertAlign w:val="subscript"/>
              </w:rPr>
              <w:t>2</w:t>
            </w:r>
            <w:r>
              <w:rPr>
                <w:rFonts w:cs="Arial"/>
                <w:color w:val="000000"/>
              </w:rPr>
              <w:t>H</w:t>
            </w:r>
            <w:r w:rsidRPr="00266AB7">
              <w:rPr>
                <w:rFonts w:cs="Arial"/>
                <w:color w:val="000000"/>
                <w:vertAlign w:val="subscript"/>
              </w:rPr>
              <w:t>4</w:t>
            </w:r>
          </w:p>
          <w:p w14:paraId="3D884DD7" w14:textId="529DF445" w:rsidR="00266AB7" w:rsidRPr="00266AB7" w:rsidRDefault="00266AB7" w:rsidP="00F32415">
            <w:pPr>
              <w:widowControl w:val="0"/>
              <w:ind w:right="142"/>
              <w:jc w:val="center"/>
              <w:rPr>
                <w:rFonts w:cs="Arial"/>
                <w:szCs w:val="18"/>
              </w:rPr>
            </w:pPr>
            <w:r>
              <w:rPr>
                <w:rFonts w:cs="Arial"/>
                <w:color w:val="000000"/>
              </w:rPr>
              <w:t>(mol/kg</w:t>
            </w:r>
            <w:r>
              <w:rPr>
                <w:rFonts w:cs="Arial"/>
                <w:color w:val="000000"/>
                <w:vertAlign w:val="subscript"/>
              </w:rPr>
              <w:t>cat</w:t>
            </w:r>
            <w:r>
              <w:rPr>
                <w:rFonts w:cs="Arial"/>
                <w:color w:val="000000"/>
              </w:rPr>
              <w:t xml:space="preserve"> h)</w:t>
            </w:r>
          </w:p>
        </w:tc>
        <w:tc>
          <w:tcPr>
            <w:tcW w:w="965" w:type="dxa"/>
            <w:tcBorders>
              <w:top w:val="single" w:sz="12" w:space="0" w:color="008000"/>
              <w:bottom w:val="single" w:sz="6" w:space="0" w:color="008000"/>
            </w:tcBorders>
            <w:shd w:val="clear" w:color="auto" w:fill="FFFFFF"/>
            <w:vAlign w:val="center"/>
          </w:tcPr>
          <w:p w14:paraId="25C5621B" w14:textId="77777777" w:rsidR="00266AB7" w:rsidRDefault="00266AB7" w:rsidP="00F32415">
            <w:pPr>
              <w:widowControl w:val="0"/>
              <w:ind w:right="142"/>
              <w:jc w:val="center"/>
              <w:rPr>
                <w:rFonts w:cs="Arial"/>
                <w:color w:val="000000"/>
              </w:rPr>
            </w:pPr>
            <w:r>
              <w:rPr>
                <w:rFonts w:cs="Arial"/>
                <w:color w:val="000000"/>
              </w:rPr>
              <w:t>C</w:t>
            </w:r>
            <w:r w:rsidRPr="00266AB7">
              <w:rPr>
                <w:rFonts w:cs="Arial"/>
                <w:color w:val="000000"/>
                <w:vertAlign w:val="subscript"/>
              </w:rPr>
              <w:t>2</w:t>
            </w:r>
            <w:r>
              <w:rPr>
                <w:rFonts w:cs="Arial"/>
                <w:color w:val="000000"/>
              </w:rPr>
              <w:t>H</w:t>
            </w:r>
            <w:r w:rsidRPr="00266AB7">
              <w:rPr>
                <w:rFonts w:cs="Arial"/>
                <w:color w:val="000000"/>
                <w:vertAlign w:val="subscript"/>
              </w:rPr>
              <w:t>6</w:t>
            </w:r>
          </w:p>
          <w:p w14:paraId="45F4CD28" w14:textId="10B0E41E" w:rsidR="00266AB7" w:rsidRPr="00266AB7" w:rsidRDefault="00266AB7" w:rsidP="00F32415">
            <w:pPr>
              <w:widowControl w:val="0"/>
              <w:jc w:val="center"/>
              <w:rPr>
                <w:rFonts w:cs="Arial"/>
                <w:szCs w:val="18"/>
              </w:rPr>
            </w:pPr>
            <w:r>
              <w:rPr>
                <w:rFonts w:cs="Arial"/>
                <w:color w:val="000000"/>
              </w:rPr>
              <w:t>(mol/kg</w:t>
            </w:r>
            <w:r>
              <w:rPr>
                <w:rFonts w:cs="Arial"/>
                <w:color w:val="000000"/>
                <w:vertAlign w:val="subscript"/>
              </w:rPr>
              <w:t>cat</w:t>
            </w:r>
            <w:r>
              <w:rPr>
                <w:rFonts w:cs="Arial"/>
                <w:color w:val="000000"/>
              </w:rPr>
              <w:t xml:space="preserve"> h)</w:t>
            </w:r>
          </w:p>
        </w:tc>
        <w:tc>
          <w:tcPr>
            <w:tcW w:w="1431" w:type="dxa"/>
            <w:tcBorders>
              <w:top w:val="single" w:sz="12" w:space="0" w:color="008000"/>
              <w:bottom w:val="single" w:sz="6" w:space="0" w:color="008000"/>
            </w:tcBorders>
            <w:shd w:val="clear" w:color="auto" w:fill="FFFFFF"/>
          </w:tcPr>
          <w:p w14:paraId="78F6AB8D" w14:textId="0EADB813" w:rsidR="00266AB7" w:rsidRPr="00266AB7" w:rsidRDefault="00266AB7" w:rsidP="00F32415">
            <w:pPr>
              <w:widowControl w:val="0"/>
              <w:ind w:right="142"/>
              <w:jc w:val="center"/>
              <w:rPr>
                <w:rFonts w:cs="Arial"/>
                <w:szCs w:val="18"/>
              </w:rPr>
            </w:pPr>
            <w:r>
              <w:rPr>
                <w:rFonts w:cs="Arial"/>
                <w:color w:val="000000"/>
              </w:rPr>
              <w:t>Stored energy (kJ/kg</w:t>
            </w:r>
            <w:r w:rsidRPr="00266AB7">
              <w:rPr>
                <w:rFonts w:cs="Arial"/>
                <w:color w:val="000000"/>
                <w:vertAlign w:val="subscript"/>
              </w:rPr>
              <w:t>cat</w:t>
            </w:r>
            <w:r>
              <w:rPr>
                <w:rFonts w:cs="Arial"/>
                <w:color w:val="000000"/>
              </w:rPr>
              <w:t xml:space="preserve"> h)</w:t>
            </w:r>
          </w:p>
        </w:tc>
        <w:tc>
          <w:tcPr>
            <w:tcW w:w="1198" w:type="dxa"/>
            <w:tcBorders>
              <w:top w:val="single" w:sz="12" w:space="0" w:color="008000"/>
              <w:bottom w:val="single" w:sz="6" w:space="0" w:color="008000"/>
            </w:tcBorders>
            <w:shd w:val="clear" w:color="auto" w:fill="FFFFFF"/>
          </w:tcPr>
          <w:p w14:paraId="31AACEE7" w14:textId="22F28FEA" w:rsidR="00266AB7" w:rsidRPr="00266AB7" w:rsidRDefault="00266AB7" w:rsidP="00F32415">
            <w:pPr>
              <w:widowControl w:val="0"/>
              <w:ind w:right="-1"/>
              <w:jc w:val="center"/>
              <w:rPr>
                <w:rFonts w:cs="Arial"/>
                <w:szCs w:val="18"/>
              </w:rPr>
            </w:pPr>
            <w:r>
              <w:rPr>
                <w:rFonts w:cs="Arial"/>
                <w:color w:val="000000"/>
              </w:rPr>
              <w:t>Efficiency 1 (%)</w:t>
            </w:r>
          </w:p>
        </w:tc>
        <w:tc>
          <w:tcPr>
            <w:tcW w:w="1198" w:type="dxa"/>
            <w:tcBorders>
              <w:top w:val="single" w:sz="12" w:space="0" w:color="008000"/>
              <w:bottom w:val="single" w:sz="6" w:space="0" w:color="008000"/>
            </w:tcBorders>
            <w:shd w:val="clear" w:color="auto" w:fill="FFFFFF"/>
          </w:tcPr>
          <w:p w14:paraId="4E6429C4" w14:textId="10051480" w:rsidR="00266AB7" w:rsidRPr="00266AB7" w:rsidRDefault="00266AB7" w:rsidP="00F32415">
            <w:pPr>
              <w:widowControl w:val="0"/>
              <w:ind w:right="-1"/>
              <w:jc w:val="center"/>
              <w:rPr>
                <w:rFonts w:cs="Arial"/>
                <w:szCs w:val="18"/>
              </w:rPr>
            </w:pPr>
            <w:r>
              <w:rPr>
                <w:rFonts w:cs="Arial"/>
                <w:color w:val="000000"/>
              </w:rPr>
              <w:t>Efficiency 2 (%)</w:t>
            </w:r>
          </w:p>
        </w:tc>
      </w:tr>
      <w:tr w:rsidR="00266AB7" w:rsidRPr="00266AB7" w14:paraId="394DF122" w14:textId="77777777" w:rsidTr="00266AB7">
        <w:tc>
          <w:tcPr>
            <w:tcW w:w="686" w:type="dxa"/>
            <w:shd w:val="clear" w:color="auto" w:fill="FFFFFF"/>
          </w:tcPr>
          <w:p w14:paraId="2B178672" w14:textId="0A8AAFA0" w:rsidR="00266AB7" w:rsidRPr="00266AB7" w:rsidRDefault="00266AB7" w:rsidP="00F32415">
            <w:pPr>
              <w:widowControl w:val="0"/>
              <w:jc w:val="center"/>
            </w:pPr>
            <w:r w:rsidRPr="00266AB7">
              <w:t>#1</w:t>
            </w:r>
          </w:p>
        </w:tc>
        <w:tc>
          <w:tcPr>
            <w:tcW w:w="1198" w:type="dxa"/>
            <w:tcBorders>
              <w:top w:val="nil"/>
              <w:left w:val="nil"/>
              <w:bottom w:val="nil"/>
              <w:right w:val="nil"/>
            </w:tcBorders>
            <w:shd w:val="clear" w:color="auto" w:fill="auto"/>
            <w:vAlign w:val="bottom"/>
          </w:tcPr>
          <w:p w14:paraId="408D9C34" w14:textId="53C5F85E" w:rsidR="00266AB7" w:rsidRPr="00266AB7" w:rsidRDefault="00266AB7" w:rsidP="00F32415">
            <w:pPr>
              <w:widowControl w:val="0"/>
              <w:jc w:val="center"/>
            </w:pPr>
            <w:r>
              <w:rPr>
                <w:rFonts w:cs="Arial"/>
                <w:color w:val="000000"/>
              </w:rPr>
              <w:t>P25</w:t>
            </w:r>
          </w:p>
        </w:tc>
        <w:tc>
          <w:tcPr>
            <w:tcW w:w="1198" w:type="dxa"/>
            <w:tcBorders>
              <w:top w:val="nil"/>
              <w:left w:val="nil"/>
              <w:bottom w:val="nil"/>
              <w:right w:val="nil"/>
            </w:tcBorders>
            <w:shd w:val="clear" w:color="auto" w:fill="auto"/>
            <w:vAlign w:val="bottom"/>
          </w:tcPr>
          <w:p w14:paraId="13AE5A19" w14:textId="6CD6080F" w:rsidR="00266AB7" w:rsidRPr="00266AB7" w:rsidRDefault="00266AB7" w:rsidP="00F32415">
            <w:pPr>
              <w:widowControl w:val="0"/>
              <w:jc w:val="center"/>
            </w:pPr>
            <w:r>
              <w:rPr>
                <w:rFonts w:cs="Arial"/>
                <w:color w:val="000000"/>
              </w:rPr>
              <w:t>1.91</w:t>
            </w:r>
          </w:p>
        </w:tc>
        <w:tc>
          <w:tcPr>
            <w:tcW w:w="1198" w:type="dxa"/>
            <w:tcBorders>
              <w:top w:val="nil"/>
              <w:left w:val="nil"/>
              <w:bottom w:val="nil"/>
              <w:right w:val="nil"/>
            </w:tcBorders>
            <w:shd w:val="clear" w:color="auto" w:fill="auto"/>
            <w:vAlign w:val="bottom"/>
          </w:tcPr>
          <w:p w14:paraId="3632B308" w14:textId="0E22A6AE" w:rsidR="00266AB7" w:rsidRPr="00266AB7" w:rsidRDefault="00266AB7" w:rsidP="00F32415">
            <w:pPr>
              <w:widowControl w:val="0"/>
              <w:ind w:right="-1"/>
              <w:jc w:val="center"/>
              <w:rPr>
                <w:rFonts w:cs="Arial"/>
                <w:szCs w:val="18"/>
              </w:rPr>
            </w:pPr>
            <w:r>
              <w:rPr>
                <w:rFonts w:cs="Arial"/>
                <w:szCs w:val="18"/>
              </w:rPr>
              <w:t>-</w:t>
            </w:r>
          </w:p>
        </w:tc>
        <w:tc>
          <w:tcPr>
            <w:tcW w:w="965" w:type="dxa"/>
            <w:tcBorders>
              <w:top w:val="nil"/>
              <w:left w:val="nil"/>
              <w:bottom w:val="nil"/>
              <w:right w:val="nil"/>
            </w:tcBorders>
            <w:shd w:val="clear" w:color="auto" w:fill="auto"/>
            <w:vAlign w:val="bottom"/>
          </w:tcPr>
          <w:p w14:paraId="520B1099" w14:textId="6261216C" w:rsidR="00266AB7" w:rsidRPr="00266AB7" w:rsidRDefault="00266AB7" w:rsidP="00F32415">
            <w:pPr>
              <w:widowControl w:val="0"/>
              <w:ind w:right="-1"/>
              <w:jc w:val="center"/>
              <w:rPr>
                <w:rFonts w:cs="Arial"/>
                <w:szCs w:val="18"/>
              </w:rPr>
            </w:pPr>
            <w:r>
              <w:rPr>
                <w:rFonts w:cs="Arial"/>
                <w:szCs w:val="18"/>
              </w:rPr>
              <w:t>-</w:t>
            </w:r>
          </w:p>
        </w:tc>
        <w:tc>
          <w:tcPr>
            <w:tcW w:w="1431" w:type="dxa"/>
            <w:tcBorders>
              <w:top w:val="nil"/>
              <w:left w:val="nil"/>
              <w:bottom w:val="nil"/>
              <w:right w:val="nil"/>
            </w:tcBorders>
            <w:shd w:val="clear" w:color="auto" w:fill="auto"/>
            <w:vAlign w:val="bottom"/>
          </w:tcPr>
          <w:p w14:paraId="0D889D7E" w14:textId="049D0CFC" w:rsidR="00266AB7" w:rsidRPr="00266AB7" w:rsidRDefault="00EB4EE6" w:rsidP="00F32415">
            <w:pPr>
              <w:widowControl w:val="0"/>
              <w:ind w:right="-1"/>
              <w:jc w:val="center"/>
              <w:rPr>
                <w:rFonts w:cs="Arial"/>
                <w:szCs w:val="18"/>
              </w:rPr>
            </w:pPr>
            <w:r>
              <w:rPr>
                <w:rFonts w:cs="Arial"/>
                <w:szCs w:val="18"/>
              </w:rPr>
              <w:t>546</w:t>
            </w:r>
          </w:p>
        </w:tc>
        <w:tc>
          <w:tcPr>
            <w:tcW w:w="1198" w:type="dxa"/>
            <w:tcBorders>
              <w:top w:val="nil"/>
              <w:left w:val="nil"/>
              <w:bottom w:val="nil"/>
              <w:right w:val="nil"/>
            </w:tcBorders>
            <w:shd w:val="clear" w:color="auto" w:fill="auto"/>
            <w:vAlign w:val="bottom"/>
          </w:tcPr>
          <w:p w14:paraId="4D0EB16E" w14:textId="1807BF9E" w:rsidR="00266AB7" w:rsidRPr="00266AB7" w:rsidRDefault="00EB4EE6" w:rsidP="00F32415">
            <w:pPr>
              <w:widowControl w:val="0"/>
              <w:ind w:right="-1"/>
              <w:jc w:val="center"/>
              <w:rPr>
                <w:rFonts w:cs="Arial"/>
                <w:szCs w:val="18"/>
              </w:rPr>
            </w:pPr>
            <w:r>
              <w:rPr>
                <w:rFonts w:cs="Arial"/>
                <w:szCs w:val="18"/>
              </w:rPr>
              <w:t>4.3</w:t>
            </w:r>
          </w:p>
        </w:tc>
        <w:tc>
          <w:tcPr>
            <w:tcW w:w="1198" w:type="dxa"/>
            <w:tcBorders>
              <w:top w:val="nil"/>
              <w:left w:val="nil"/>
              <w:bottom w:val="nil"/>
              <w:right w:val="nil"/>
            </w:tcBorders>
            <w:shd w:val="clear" w:color="auto" w:fill="auto"/>
            <w:vAlign w:val="bottom"/>
          </w:tcPr>
          <w:p w14:paraId="47B9ADD0" w14:textId="7C4EE058" w:rsidR="00266AB7" w:rsidRPr="00266AB7" w:rsidRDefault="00EB4EE6" w:rsidP="00F32415">
            <w:pPr>
              <w:widowControl w:val="0"/>
              <w:ind w:right="-1"/>
              <w:jc w:val="center"/>
              <w:rPr>
                <w:rFonts w:cs="Arial"/>
                <w:szCs w:val="18"/>
              </w:rPr>
            </w:pPr>
            <w:r>
              <w:rPr>
                <w:rFonts w:cs="Arial"/>
                <w:szCs w:val="18"/>
              </w:rPr>
              <w:t>0.39</w:t>
            </w:r>
          </w:p>
        </w:tc>
      </w:tr>
      <w:tr w:rsidR="00EB4EE6" w:rsidRPr="00266AB7" w14:paraId="661562B5" w14:textId="77777777" w:rsidTr="00266AB7">
        <w:tc>
          <w:tcPr>
            <w:tcW w:w="686" w:type="dxa"/>
            <w:shd w:val="clear" w:color="auto" w:fill="FFFFFF"/>
          </w:tcPr>
          <w:p w14:paraId="5A824A21" w14:textId="77777777" w:rsidR="00EB4EE6" w:rsidRPr="00266AB7" w:rsidRDefault="00EB4EE6" w:rsidP="00F32415">
            <w:pPr>
              <w:widowControl w:val="0"/>
              <w:jc w:val="center"/>
            </w:pPr>
            <w:r w:rsidRPr="00266AB7">
              <w:t>#1</w:t>
            </w:r>
          </w:p>
        </w:tc>
        <w:tc>
          <w:tcPr>
            <w:tcW w:w="1198" w:type="dxa"/>
            <w:tcBorders>
              <w:top w:val="nil"/>
              <w:left w:val="nil"/>
              <w:bottom w:val="nil"/>
              <w:right w:val="nil"/>
            </w:tcBorders>
            <w:shd w:val="clear" w:color="auto" w:fill="auto"/>
            <w:vAlign w:val="bottom"/>
          </w:tcPr>
          <w:p w14:paraId="5362C6B4" w14:textId="4407B956" w:rsidR="00EB4EE6" w:rsidRPr="00266AB7" w:rsidRDefault="00EB4EE6" w:rsidP="00F32415">
            <w:pPr>
              <w:widowControl w:val="0"/>
              <w:jc w:val="center"/>
            </w:pPr>
            <w:r>
              <w:rPr>
                <w:rFonts w:cs="Arial"/>
                <w:color w:val="000000"/>
              </w:rPr>
              <w:t>FSP</w:t>
            </w:r>
          </w:p>
        </w:tc>
        <w:tc>
          <w:tcPr>
            <w:tcW w:w="1198" w:type="dxa"/>
            <w:tcBorders>
              <w:top w:val="nil"/>
              <w:left w:val="nil"/>
              <w:bottom w:val="nil"/>
              <w:right w:val="nil"/>
            </w:tcBorders>
            <w:shd w:val="clear" w:color="auto" w:fill="auto"/>
            <w:vAlign w:val="bottom"/>
          </w:tcPr>
          <w:p w14:paraId="0F6DC4C1" w14:textId="775DF779" w:rsidR="00EB4EE6" w:rsidRPr="00266AB7" w:rsidRDefault="00EB4EE6" w:rsidP="00F32415">
            <w:pPr>
              <w:widowControl w:val="0"/>
              <w:jc w:val="center"/>
            </w:pPr>
            <w:r>
              <w:rPr>
                <w:rFonts w:cs="Arial"/>
                <w:color w:val="000000"/>
              </w:rPr>
              <w:t>1.195</w:t>
            </w:r>
          </w:p>
        </w:tc>
        <w:tc>
          <w:tcPr>
            <w:tcW w:w="1198" w:type="dxa"/>
            <w:tcBorders>
              <w:top w:val="nil"/>
              <w:left w:val="nil"/>
              <w:bottom w:val="nil"/>
              <w:right w:val="nil"/>
            </w:tcBorders>
            <w:shd w:val="clear" w:color="auto" w:fill="auto"/>
            <w:vAlign w:val="bottom"/>
          </w:tcPr>
          <w:p w14:paraId="39933F1A" w14:textId="74C9E8A3" w:rsidR="00EB4EE6" w:rsidRPr="00266AB7" w:rsidRDefault="00EB4EE6" w:rsidP="00F32415">
            <w:pPr>
              <w:widowControl w:val="0"/>
              <w:ind w:right="-1"/>
              <w:jc w:val="center"/>
              <w:rPr>
                <w:rFonts w:cs="Arial"/>
                <w:szCs w:val="18"/>
              </w:rPr>
            </w:pPr>
            <w:r>
              <w:rPr>
                <w:rFonts w:cs="Arial"/>
                <w:color w:val="000000"/>
              </w:rPr>
              <w:t>0.107</w:t>
            </w:r>
          </w:p>
        </w:tc>
        <w:tc>
          <w:tcPr>
            <w:tcW w:w="965" w:type="dxa"/>
            <w:tcBorders>
              <w:top w:val="nil"/>
              <w:left w:val="nil"/>
              <w:bottom w:val="nil"/>
              <w:right w:val="nil"/>
            </w:tcBorders>
            <w:shd w:val="clear" w:color="auto" w:fill="auto"/>
            <w:vAlign w:val="bottom"/>
          </w:tcPr>
          <w:p w14:paraId="33EF73C9" w14:textId="00EEAC6E" w:rsidR="00EB4EE6" w:rsidRPr="00266AB7" w:rsidRDefault="00EB4EE6" w:rsidP="00F32415">
            <w:pPr>
              <w:widowControl w:val="0"/>
              <w:ind w:right="-1"/>
              <w:jc w:val="center"/>
              <w:rPr>
                <w:rFonts w:cs="Arial"/>
                <w:szCs w:val="18"/>
              </w:rPr>
            </w:pPr>
            <w:r>
              <w:rPr>
                <w:rFonts w:cs="Arial"/>
                <w:color w:val="000000"/>
              </w:rPr>
              <w:t>1.249</w:t>
            </w:r>
          </w:p>
        </w:tc>
        <w:tc>
          <w:tcPr>
            <w:tcW w:w="1431" w:type="dxa"/>
            <w:tcBorders>
              <w:top w:val="nil"/>
              <w:left w:val="nil"/>
              <w:bottom w:val="nil"/>
              <w:right w:val="nil"/>
            </w:tcBorders>
            <w:shd w:val="clear" w:color="auto" w:fill="auto"/>
            <w:vAlign w:val="bottom"/>
          </w:tcPr>
          <w:p w14:paraId="0121E008" w14:textId="577D8B68" w:rsidR="00EB4EE6" w:rsidRPr="00266AB7" w:rsidRDefault="00EB4EE6" w:rsidP="00F32415">
            <w:pPr>
              <w:widowControl w:val="0"/>
              <w:ind w:right="-1"/>
              <w:jc w:val="center"/>
              <w:rPr>
                <w:rFonts w:cs="Arial"/>
                <w:szCs w:val="18"/>
              </w:rPr>
            </w:pPr>
            <w:r>
              <w:rPr>
                <w:rFonts w:cs="Arial"/>
                <w:color w:val="000000"/>
              </w:rPr>
              <w:t>2287</w:t>
            </w:r>
          </w:p>
        </w:tc>
        <w:tc>
          <w:tcPr>
            <w:tcW w:w="1198" w:type="dxa"/>
            <w:tcBorders>
              <w:top w:val="nil"/>
              <w:left w:val="nil"/>
              <w:bottom w:val="nil"/>
              <w:right w:val="nil"/>
            </w:tcBorders>
            <w:shd w:val="clear" w:color="auto" w:fill="auto"/>
            <w:vAlign w:val="bottom"/>
          </w:tcPr>
          <w:p w14:paraId="0B9C4410" w14:textId="0659EA0E" w:rsidR="00EB4EE6" w:rsidRPr="00266AB7" w:rsidRDefault="00EB4EE6" w:rsidP="00F32415">
            <w:pPr>
              <w:widowControl w:val="0"/>
              <w:ind w:right="-1"/>
              <w:jc w:val="center"/>
              <w:rPr>
                <w:rFonts w:cs="Arial"/>
                <w:szCs w:val="18"/>
              </w:rPr>
            </w:pPr>
            <w:r>
              <w:rPr>
                <w:rFonts w:cs="Arial"/>
                <w:color w:val="000000"/>
              </w:rPr>
              <w:t>18.1</w:t>
            </w:r>
          </w:p>
        </w:tc>
        <w:tc>
          <w:tcPr>
            <w:tcW w:w="1198" w:type="dxa"/>
            <w:tcBorders>
              <w:top w:val="nil"/>
              <w:left w:val="nil"/>
              <w:bottom w:val="nil"/>
              <w:right w:val="nil"/>
            </w:tcBorders>
            <w:shd w:val="clear" w:color="auto" w:fill="auto"/>
            <w:vAlign w:val="bottom"/>
          </w:tcPr>
          <w:p w14:paraId="04EBD34A" w14:textId="4274C353" w:rsidR="00EB4EE6" w:rsidRPr="00266AB7" w:rsidRDefault="00EB4EE6" w:rsidP="00F32415">
            <w:pPr>
              <w:widowControl w:val="0"/>
              <w:ind w:right="-1"/>
              <w:jc w:val="center"/>
              <w:rPr>
                <w:rFonts w:cs="Arial"/>
                <w:szCs w:val="18"/>
              </w:rPr>
            </w:pPr>
            <w:r>
              <w:rPr>
                <w:rFonts w:cs="Arial"/>
                <w:color w:val="000000"/>
              </w:rPr>
              <w:t>1.62</w:t>
            </w:r>
          </w:p>
        </w:tc>
      </w:tr>
      <w:tr w:rsidR="00EB4EE6" w:rsidRPr="00266AB7" w14:paraId="56B4C137" w14:textId="77777777" w:rsidTr="00266AB7">
        <w:tc>
          <w:tcPr>
            <w:tcW w:w="686" w:type="dxa"/>
            <w:shd w:val="clear" w:color="auto" w:fill="FFFFFF"/>
          </w:tcPr>
          <w:p w14:paraId="5D78B160" w14:textId="77777777" w:rsidR="00EB4EE6" w:rsidRPr="00266AB7" w:rsidRDefault="00EB4EE6" w:rsidP="00F32415">
            <w:pPr>
              <w:widowControl w:val="0"/>
              <w:jc w:val="center"/>
            </w:pPr>
            <w:r w:rsidRPr="00266AB7">
              <w:t>#1</w:t>
            </w:r>
          </w:p>
        </w:tc>
        <w:tc>
          <w:tcPr>
            <w:tcW w:w="1198" w:type="dxa"/>
            <w:tcBorders>
              <w:top w:val="nil"/>
              <w:left w:val="nil"/>
              <w:bottom w:val="nil"/>
              <w:right w:val="nil"/>
            </w:tcBorders>
            <w:shd w:val="clear" w:color="auto" w:fill="auto"/>
            <w:vAlign w:val="bottom"/>
          </w:tcPr>
          <w:p w14:paraId="7A399C85" w14:textId="42B3A031" w:rsidR="00EB4EE6" w:rsidRPr="00266AB7" w:rsidRDefault="00EB4EE6" w:rsidP="00F32415">
            <w:pPr>
              <w:widowControl w:val="0"/>
              <w:jc w:val="center"/>
            </w:pPr>
            <w:r>
              <w:rPr>
                <w:rFonts w:cs="Arial"/>
                <w:color w:val="000000"/>
              </w:rPr>
              <w:t>Meso</w:t>
            </w:r>
          </w:p>
        </w:tc>
        <w:tc>
          <w:tcPr>
            <w:tcW w:w="1198" w:type="dxa"/>
            <w:tcBorders>
              <w:top w:val="nil"/>
              <w:left w:val="nil"/>
              <w:bottom w:val="nil"/>
              <w:right w:val="nil"/>
            </w:tcBorders>
            <w:shd w:val="clear" w:color="auto" w:fill="auto"/>
            <w:vAlign w:val="bottom"/>
          </w:tcPr>
          <w:p w14:paraId="0F3682B2" w14:textId="001540EF" w:rsidR="00EB4EE6" w:rsidRPr="00266AB7" w:rsidRDefault="00EB4EE6" w:rsidP="00F32415">
            <w:pPr>
              <w:widowControl w:val="0"/>
              <w:jc w:val="center"/>
            </w:pPr>
            <w:r>
              <w:rPr>
                <w:rFonts w:cs="Arial"/>
                <w:color w:val="000000"/>
              </w:rPr>
              <w:t>0.918</w:t>
            </w:r>
          </w:p>
        </w:tc>
        <w:tc>
          <w:tcPr>
            <w:tcW w:w="1198" w:type="dxa"/>
            <w:tcBorders>
              <w:top w:val="nil"/>
              <w:left w:val="nil"/>
              <w:bottom w:val="nil"/>
              <w:right w:val="nil"/>
            </w:tcBorders>
            <w:shd w:val="clear" w:color="auto" w:fill="auto"/>
            <w:vAlign w:val="bottom"/>
          </w:tcPr>
          <w:p w14:paraId="56C94626" w14:textId="31DD7D06" w:rsidR="00EB4EE6" w:rsidRPr="00266AB7" w:rsidRDefault="00EB4EE6" w:rsidP="00F32415">
            <w:pPr>
              <w:widowControl w:val="0"/>
              <w:ind w:right="-1"/>
              <w:jc w:val="center"/>
              <w:rPr>
                <w:rFonts w:cs="Arial"/>
                <w:szCs w:val="18"/>
              </w:rPr>
            </w:pPr>
            <w:r>
              <w:rPr>
                <w:rFonts w:cs="Arial"/>
                <w:color w:val="000000"/>
              </w:rPr>
              <w:t>0.426</w:t>
            </w:r>
          </w:p>
        </w:tc>
        <w:tc>
          <w:tcPr>
            <w:tcW w:w="965" w:type="dxa"/>
            <w:tcBorders>
              <w:top w:val="nil"/>
              <w:left w:val="nil"/>
              <w:bottom w:val="nil"/>
              <w:right w:val="nil"/>
            </w:tcBorders>
            <w:shd w:val="clear" w:color="auto" w:fill="auto"/>
            <w:vAlign w:val="bottom"/>
          </w:tcPr>
          <w:p w14:paraId="331E13A7" w14:textId="1912243A" w:rsidR="00EB4EE6" w:rsidRPr="00266AB7" w:rsidRDefault="00EB4EE6" w:rsidP="00F32415">
            <w:pPr>
              <w:widowControl w:val="0"/>
              <w:ind w:right="-1"/>
              <w:jc w:val="center"/>
              <w:rPr>
                <w:rFonts w:cs="Arial"/>
                <w:szCs w:val="18"/>
              </w:rPr>
            </w:pPr>
            <w:r>
              <w:rPr>
                <w:rFonts w:cs="Arial"/>
                <w:color w:val="000000"/>
              </w:rPr>
              <w:t>1.672</w:t>
            </w:r>
          </w:p>
        </w:tc>
        <w:tc>
          <w:tcPr>
            <w:tcW w:w="1431" w:type="dxa"/>
            <w:tcBorders>
              <w:top w:val="nil"/>
              <w:left w:val="nil"/>
              <w:bottom w:val="nil"/>
              <w:right w:val="nil"/>
            </w:tcBorders>
            <w:shd w:val="clear" w:color="auto" w:fill="auto"/>
            <w:vAlign w:val="bottom"/>
          </w:tcPr>
          <w:p w14:paraId="39409B31" w14:textId="14760F63" w:rsidR="00EB4EE6" w:rsidRPr="00266AB7" w:rsidRDefault="00EB4EE6" w:rsidP="00F32415">
            <w:pPr>
              <w:widowControl w:val="0"/>
              <w:ind w:right="-1"/>
              <w:jc w:val="center"/>
              <w:rPr>
                <w:rFonts w:cs="Arial"/>
                <w:szCs w:val="18"/>
              </w:rPr>
            </w:pPr>
            <w:r>
              <w:rPr>
                <w:rFonts w:cs="Arial"/>
                <w:color w:val="000000"/>
              </w:rPr>
              <w:t>3262</w:t>
            </w:r>
          </w:p>
        </w:tc>
        <w:tc>
          <w:tcPr>
            <w:tcW w:w="1198" w:type="dxa"/>
            <w:tcBorders>
              <w:top w:val="nil"/>
              <w:left w:val="nil"/>
              <w:bottom w:val="nil"/>
              <w:right w:val="nil"/>
            </w:tcBorders>
            <w:shd w:val="clear" w:color="auto" w:fill="auto"/>
            <w:vAlign w:val="bottom"/>
          </w:tcPr>
          <w:p w14:paraId="7E8E66F0" w14:textId="10390057" w:rsidR="00EB4EE6" w:rsidRPr="00266AB7" w:rsidRDefault="00EB4EE6" w:rsidP="00F32415">
            <w:pPr>
              <w:widowControl w:val="0"/>
              <w:ind w:right="-1"/>
              <w:jc w:val="center"/>
              <w:rPr>
                <w:rFonts w:cs="Arial"/>
                <w:szCs w:val="18"/>
              </w:rPr>
            </w:pPr>
            <w:r>
              <w:rPr>
                <w:rFonts w:cs="Arial"/>
                <w:color w:val="000000"/>
              </w:rPr>
              <w:t>25.8</w:t>
            </w:r>
          </w:p>
        </w:tc>
        <w:tc>
          <w:tcPr>
            <w:tcW w:w="1198" w:type="dxa"/>
            <w:tcBorders>
              <w:top w:val="nil"/>
              <w:left w:val="nil"/>
              <w:bottom w:val="nil"/>
              <w:right w:val="nil"/>
            </w:tcBorders>
            <w:shd w:val="clear" w:color="auto" w:fill="auto"/>
            <w:vAlign w:val="bottom"/>
          </w:tcPr>
          <w:p w14:paraId="380FF19C" w14:textId="75CEC5FF" w:rsidR="00EB4EE6" w:rsidRPr="00266AB7" w:rsidRDefault="00EB4EE6" w:rsidP="00F32415">
            <w:pPr>
              <w:widowControl w:val="0"/>
              <w:ind w:right="-1"/>
              <w:jc w:val="center"/>
              <w:rPr>
                <w:rFonts w:cs="Arial"/>
                <w:szCs w:val="18"/>
              </w:rPr>
            </w:pPr>
            <w:r>
              <w:rPr>
                <w:rFonts w:cs="Arial"/>
                <w:color w:val="000000"/>
              </w:rPr>
              <w:t>2.31</w:t>
            </w:r>
          </w:p>
        </w:tc>
      </w:tr>
      <w:tr w:rsidR="00EB4EE6" w:rsidRPr="00266AB7" w14:paraId="6254F1ED" w14:textId="77777777" w:rsidTr="00266AB7">
        <w:tc>
          <w:tcPr>
            <w:tcW w:w="686" w:type="dxa"/>
            <w:shd w:val="clear" w:color="auto" w:fill="FFFFFF"/>
          </w:tcPr>
          <w:p w14:paraId="6F65491F" w14:textId="77777777" w:rsidR="00EB4EE6" w:rsidRPr="00266AB7" w:rsidRDefault="00EB4EE6" w:rsidP="00F32415">
            <w:pPr>
              <w:widowControl w:val="0"/>
              <w:jc w:val="center"/>
            </w:pPr>
            <w:r w:rsidRPr="00266AB7">
              <w:t>#1</w:t>
            </w:r>
          </w:p>
        </w:tc>
        <w:tc>
          <w:tcPr>
            <w:tcW w:w="1198" w:type="dxa"/>
            <w:tcBorders>
              <w:top w:val="nil"/>
              <w:left w:val="nil"/>
              <w:bottom w:val="nil"/>
              <w:right w:val="nil"/>
            </w:tcBorders>
            <w:shd w:val="clear" w:color="auto" w:fill="auto"/>
            <w:vAlign w:val="bottom"/>
          </w:tcPr>
          <w:p w14:paraId="1BB32AEB" w14:textId="5992F72A" w:rsidR="00EB4EE6" w:rsidRPr="00266AB7" w:rsidRDefault="00EB4EE6" w:rsidP="00F32415">
            <w:pPr>
              <w:widowControl w:val="0"/>
              <w:jc w:val="center"/>
            </w:pPr>
            <w:r>
              <w:rPr>
                <w:rFonts w:cs="Arial"/>
                <w:color w:val="000000"/>
              </w:rPr>
              <w:t>Prec</w:t>
            </w:r>
          </w:p>
        </w:tc>
        <w:tc>
          <w:tcPr>
            <w:tcW w:w="1198" w:type="dxa"/>
            <w:tcBorders>
              <w:top w:val="nil"/>
              <w:left w:val="nil"/>
              <w:bottom w:val="nil"/>
              <w:right w:val="nil"/>
            </w:tcBorders>
            <w:shd w:val="clear" w:color="auto" w:fill="auto"/>
            <w:vAlign w:val="bottom"/>
          </w:tcPr>
          <w:p w14:paraId="43822834" w14:textId="7620E09E" w:rsidR="00EB4EE6" w:rsidRPr="00266AB7" w:rsidRDefault="00EB4EE6" w:rsidP="00F32415">
            <w:pPr>
              <w:widowControl w:val="0"/>
              <w:jc w:val="center"/>
            </w:pPr>
            <w:r>
              <w:rPr>
                <w:rFonts w:cs="Arial"/>
                <w:color w:val="000000"/>
              </w:rPr>
              <w:t>0.623</w:t>
            </w:r>
          </w:p>
        </w:tc>
        <w:tc>
          <w:tcPr>
            <w:tcW w:w="1198" w:type="dxa"/>
            <w:tcBorders>
              <w:top w:val="nil"/>
              <w:left w:val="nil"/>
              <w:bottom w:val="nil"/>
              <w:right w:val="nil"/>
            </w:tcBorders>
            <w:shd w:val="clear" w:color="auto" w:fill="auto"/>
            <w:vAlign w:val="bottom"/>
          </w:tcPr>
          <w:p w14:paraId="29B84F6A" w14:textId="0EAADAD1" w:rsidR="00EB4EE6" w:rsidRPr="00266AB7" w:rsidRDefault="00EB4EE6" w:rsidP="00F32415">
            <w:pPr>
              <w:widowControl w:val="0"/>
              <w:ind w:right="-1"/>
              <w:jc w:val="center"/>
              <w:rPr>
                <w:rFonts w:cs="Arial"/>
                <w:szCs w:val="18"/>
              </w:rPr>
            </w:pPr>
            <w:r>
              <w:rPr>
                <w:rFonts w:cs="Arial"/>
                <w:color w:val="000000"/>
              </w:rPr>
              <w:t>0.109</w:t>
            </w:r>
          </w:p>
        </w:tc>
        <w:tc>
          <w:tcPr>
            <w:tcW w:w="965" w:type="dxa"/>
            <w:tcBorders>
              <w:top w:val="nil"/>
              <w:left w:val="nil"/>
              <w:bottom w:val="nil"/>
              <w:right w:val="nil"/>
            </w:tcBorders>
            <w:shd w:val="clear" w:color="auto" w:fill="auto"/>
            <w:vAlign w:val="bottom"/>
          </w:tcPr>
          <w:p w14:paraId="177F3DAA" w14:textId="4B993561" w:rsidR="00EB4EE6" w:rsidRPr="00266AB7" w:rsidRDefault="00EB4EE6" w:rsidP="00F32415">
            <w:pPr>
              <w:widowControl w:val="0"/>
              <w:ind w:right="-1"/>
              <w:jc w:val="center"/>
              <w:rPr>
                <w:rFonts w:cs="Arial"/>
                <w:szCs w:val="18"/>
              </w:rPr>
            </w:pPr>
            <w:r>
              <w:rPr>
                <w:rFonts w:cs="Arial"/>
                <w:color w:val="000000"/>
              </w:rPr>
              <w:t>0.958</w:t>
            </w:r>
          </w:p>
        </w:tc>
        <w:tc>
          <w:tcPr>
            <w:tcW w:w="1431" w:type="dxa"/>
            <w:tcBorders>
              <w:top w:val="nil"/>
              <w:left w:val="nil"/>
              <w:bottom w:val="nil"/>
              <w:right w:val="nil"/>
            </w:tcBorders>
            <w:shd w:val="clear" w:color="auto" w:fill="auto"/>
            <w:vAlign w:val="bottom"/>
          </w:tcPr>
          <w:p w14:paraId="734D1A85" w14:textId="188EB0EA" w:rsidR="00EB4EE6" w:rsidRPr="00266AB7" w:rsidRDefault="00EB4EE6" w:rsidP="00F32415">
            <w:pPr>
              <w:widowControl w:val="0"/>
              <w:ind w:right="-1"/>
              <w:jc w:val="center"/>
              <w:rPr>
                <w:rFonts w:cs="Arial"/>
                <w:szCs w:val="18"/>
              </w:rPr>
            </w:pPr>
            <w:r>
              <w:rPr>
                <w:rFonts w:cs="Arial"/>
                <w:color w:val="000000"/>
              </w:rPr>
              <w:t>1708</w:t>
            </w:r>
          </w:p>
        </w:tc>
        <w:tc>
          <w:tcPr>
            <w:tcW w:w="1198" w:type="dxa"/>
            <w:tcBorders>
              <w:top w:val="nil"/>
              <w:left w:val="nil"/>
              <w:bottom w:val="nil"/>
              <w:right w:val="nil"/>
            </w:tcBorders>
            <w:shd w:val="clear" w:color="auto" w:fill="auto"/>
            <w:vAlign w:val="bottom"/>
          </w:tcPr>
          <w:p w14:paraId="6FFF5307" w14:textId="3525BC6D" w:rsidR="00EB4EE6" w:rsidRPr="00266AB7" w:rsidRDefault="00EB4EE6" w:rsidP="00F32415">
            <w:pPr>
              <w:widowControl w:val="0"/>
              <w:ind w:right="-1"/>
              <w:jc w:val="center"/>
              <w:rPr>
                <w:rFonts w:cs="Arial"/>
                <w:szCs w:val="18"/>
              </w:rPr>
            </w:pPr>
            <w:r>
              <w:rPr>
                <w:rFonts w:cs="Arial"/>
                <w:color w:val="000000"/>
              </w:rPr>
              <w:t>13.5</w:t>
            </w:r>
          </w:p>
        </w:tc>
        <w:tc>
          <w:tcPr>
            <w:tcW w:w="1198" w:type="dxa"/>
            <w:tcBorders>
              <w:top w:val="nil"/>
              <w:left w:val="nil"/>
              <w:bottom w:val="nil"/>
              <w:right w:val="nil"/>
            </w:tcBorders>
            <w:shd w:val="clear" w:color="auto" w:fill="auto"/>
            <w:vAlign w:val="bottom"/>
          </w:tcPr>
          <w:p w14:paraId="31213758" w14:textId="03BA7D04" w:rsidR="00EB4EE6" w:rsidRPr="00266AB7" w:rsidRDefault="00EB4EE6" w:rsidP="00F32415">
            <w:pPr>
              <w:widowControl w:val="0"/>
              <w:ind w:right="-1"/>
              <w:jc w:val="center"/>
              <w:rPr>
                <w:rFonts w:cs="Arial"/>
                <w:szCs w:val="18"/>
              </w:rPr>
            </w:pPr>
            <w:r>
              <w:rPr>
                <w:rFonts w:cs="Arial"/>
                <w:color w:val="000000"/>
              </w:rPr>
              <w:t>1.21</w:t>
            </w:r>
          </w:p>
        </w:tc>
      </w:tr>
      <w:tr w:rsidR="00EB4EE6" w:rsidRPr="00266AB7" w14:paraId="591AF201" w14:textId="77777777" w:rsidTr="00266AB7">
        <w:tc>
          <w:tcPr>
            <w:tcW w:w="686" w:type="dxa"/>
            <w:shd w:val="clear" w:color="auto" w:fill="FFFFFF"/>
          </w:tcPr>
          <w:p w14:paraId="6FD1EB75" w14:textId="77777777" w:rsidR="00EB4EE6" w:rsidRPr="00266AB7" w:rsidRDefault="00EB4EE6" w:rsidP="00F32415">
            <w:pPr>
              <w:widowControl w:val="0"/>
              <w:jc w:val="center"/>
            </w:pPr>
            <w:r w:rsidRPr="00266AB7">
              <w:t>#1</w:t>
            </w:r>
          </w:p>
        </w:tc>
        <w:tc>
          <w:tcPr>
            <w:tcW w:w="1198" w:type="dxa"/>
            <w:tcBorders>
              <w:top w:val="nil"/>
              <w:left w:val="nil"/>
              <w:bottom w:val="nil"/>
              <w:right w:val="nil"/>
            </w:tcBorders>
            <w:shd w:val="clear" w:color="auto" w:fill="auto"/>
            <w:vAlign w:val="bottom"/>
          </w:tcPr>
          <w:p w14:paraId="6342E9F4" w14:textId="131E43D4" w:rsidR="00EB4EE6" w:rsidRPr="00266AB7" w:rsidRDefault="00EB4EE6" w:rsidP="00F32415">
            <w:pPr>
              <w:widowControl w:val="0"/>
              <w:jc w:val="center"/>
            </w:pPr>
            <w:r>
              <w:rPr>
                <w:rFonts w:cs="Arial"/>
                <w:color w:val="000000"/>
              </w:rPr>
              <w:t>Pt/P25</w:t>
            </w:r>
          </w:p>
        </w:tc>
        <w:tc>
          <w:tcPr>
            <w:tcW w:w="1198" w:type="dxa"/>
            <w:tcBorders>
              <w:top w:val="nil"/>
              <w:left w:val="nil"/>
              <w:bottom w:val="nil"/>
              <w:right w:val="nil"/>
            </w:tcBorders>
            <w:shd w:val="clear" w:color="auto" w:fill="auto"/>
            <w:vAlign w:val="bottom"/>
          </w:tcPr>
          <w:p w14:paraId="191618A0" w14:textId="0B1CD4E4" w:rsidR="00EB4EE6" w:rsidRPr="00266AB7" w:rsidRDefault="00EB4EE6" w:rsidP="00F32415">
            <w:pPr>
              <w:widowControl w:val="0"/>
              <w:jc w:val="center"/>
            </w:pPr>
            <w:r>
              <w:rPr>
                <w:rFonts w:cs="Arial"/>
                <w:color w:val="000000"/>
              </w:rPr>
              <w:t>14.7</w:t>
            </w:r>
          </w:p>
        </w:tc>
        <w:tc>
          <w:tcPr>
            <w:tcW w:w="1198" w:type="dxa"/>
            <w:tcBorders>
              <w:top w:val="nil"/>
              <w:left w:val="nil"/>
              <w:bottom w:val="nil"/>
              <w:right w:val="nil"/>
            </w:tcBorders>
            <w:shd w:val="clear" w:color="auto" w:fill="auto"/>
            <w:vAlign w:val="bottom"/>
          </w:tcPr>
          <w:p w14:paraId="7BC3C5CA" w14:textId="1D7344EF" w:rsidR="00EB4EE6" w:rsidRPr="00266AB7" w:rsidRDefault="00EB4EE6" w:rsidP="00F32415">
            <w:pPr>
              <w:widowControl w:val="0"/>
              <w:ind w:right="-1"/>
              <w:jc w:val="center"/>
              <w:rPr>
                <w:rFonts w:cs="Arial"/>
                <w:szCs w:val="18"/>
              </w:rPr>
            </w:pPr>
            <w:r>
              <w:rPr>
                <w:rFonts w:cs="Arial"/>
                <w:color w:val="000000"/>
              </w:rPr>
              <w:t>0.303</w:t>
            </w:r>
          </w:p>
        </w:tc>
        <w:tc>
          <w:tcPr>
            <w:tcW w:w="965" w:type="dxa"/>
            <w:tcBorders>
              <w:top w:val="nil"/>
              <w:left w:val="nil"/>
              <w:bottom w:val="nil"/>
              <w:right w:val="nil"/>
            </w:tcBorders>
            <w:shd w:val="clear" w:color="auto" w:fill="auto"/>
            <w:vAlign w:val="bottom"/>
          </w:tcPr>
          <w:p w14:paraId="0A9D35EF" w14:textId="6A2847BC" w:rsidR="00EB4EE6" w:rsidRPr="00266AB7" w:rsidRDefault="00EB4EE6" w:rsidP="00F32415">
            <w:pPr>
              <w:widowControl w:val="0"/>
              <w:ind w:right="-1"/>
              <w:jc w:val="center"/>
              <w:rPr>
                <w:rFonts w:cs="Arial"/>
                <w:szCs w:val="18"/>
              </w:rPr>
            </w:pPr>
            <w:r>
              <w:rPr>
                <w:rFonts w:cs="Arial"/>
                <w:color w:val="000000"/>
              </w:rPr>
              <w:t>0.952</w:t>
            </w:r>
          </w:p>
        </w:tc>
        <w:tc>
          <w:tcPr>
            <w:tcW w:w="1431" w:type="dxa"/>
            <w:tcBorders>
              <w:top w:val="nil"/>
              <w:left w:val="nil"/>
              <w:bottom w:val="nil"/>
              <w:right w:val="nil"/>
            </w:tcBorders>
            <w:shd w:val="clear" w:color="auto" w:fill="auto"/>
            <w:vAlign w:val="bottom"/>
          </w:tcPr>
          <w:p w14:paraId="7FBB6393" w14:textId="245AA6A5" w:rsidR="00EB4EE6" w:rsidRPr="00266AB7" w:rsidRDefault="00EB4EE6" w:rsidP="00F32415">
            <w:pPr>
              <w:widowControl w:val="0"/>
              <w:ind w:right="-1"/>
              <w:jc w:val="center"/>
              <w:rPr>
                <w:rFonts w:cs="Arial"/>
                <w:szCs w:val="18"/>
              </w:rPr>
            </w:pPr>
            <w:r>
              <w:rPr>
                <w:rFonts w:cs="Arial"/>
                <w:color w:val="000000"/>
              </w:rPr>
              <w:t>5997</w:t>
            </w:r>
          </w:p>
        </w:tc>
        <w:tc>
          <w:tcPr>
            <w:tcW w:w="1198" w:type="dxa"/>
            <w:tcBorders>
              <w:top w:val="nil"/>
              <w:left w:val="nil"/>
              <w:bottom w:val="nil"/>
              <w:right w:val="nil"/>
            </w:tcBorders>
            <w:shd w:val="clear" w:color="auto" w:fill="auto"/>
            <w:vAlign w:val="bottom"/>
          </w:tcPr>
          <w:p w14:paraId="52E7FA1C" w14:textId="44B7D784" w:rsidR="00EB4EE6" w:rsidRPr="00266AB7" w:rsidRDefault="00EB4EE6" w:rsidP="00F32415">
            <w:pPr>
              <w:widowControl w:val="0"/>
              <w:ind w:right="-1"/>
              <w:jc w:val="center"/>
              <w:rPr>
                <w:rFonts w:cs="Arial"/>
                <w:szCs w:val="18"/>
              </w:rPr>
            </w:pPr>
            <w:r>
              <w:rPr>
                <w:rFonts w:cs="Arial"/>
                <w:color w:val="000000"/>
              </w:rPr>
              <w:t>47.4</w:t>
            </w:r>
          </w:p>
        </w:tc>
        <w:tc>
          <w:tcPr>
            <w:tcW w:w="1198" w:type="dxa"/>
            <w:tcBorders>
              <w:top w:val="nil"/>
              <w:left w:val="nil"/>
              <w:bottom w:val="nil"/>
              <w:right w:val="nil"/>
            </w:tcBorders>
            <w:shd w:val="clear" w:color="auto" w:fill="auto"/>
            <w:vAlign w:val="bottom"/>
          </w:tcPr>
          <w:p w14:paraId="2872D9D1" w14:textId="5BD3B90B" w:rsidR="00EB4EE6" w:rsidRPr="00266AB7" w:rsidRDefault="00EB4EE6" w:rsidP="00F32415">
            <w:pPr>
              <w:widowControl w:val="0"/>
              <w:ind w:right="-1"/>
              <w:jc w:val="center"/>
              <w:rPr>
                <w:rFonts w:cs="Arial"/>
                <w:szCs w:val="18"/>
              </w:rPr>
            </w:pPr>
            <w:r>
              <w:rPr>
                <w:rFonts w:cs="Arial"/>
                <w:color w:val="000000"/>
              </w:rPr>
              <w:t>4.24</w:t>
            </w:r>
          </w:p>
        </w:tc>
      </w:tr>
      <w:tr w:rsidR="00EB4EE6" w:rsidRPr="00266AB7" w14:paraId="5DE35B48" w14:textId="77777777" w:rsidTr="00266AB7">
        <w:tc>
          <w:tcPr>
            <w:tcW w:w="686" w:type="dxa"/>
            <w:shd w:val="clear" w:color="auto" w:fill="FFFFFF"/>
          </w:tcPr>
          <w:p w14:paraId="79C2EA59" w14:textId="77777777" w:rsidR="00EB4EE6" w:rsidRPr="00266AB7" w:rsidRDefault="00EB4EE6" w:rsidP="00F32415">
            <w:pPr>
              <w:widowControl w:val="0"/>
              <w:jc w:val="center"/>
            </w:pPr>
            <w:r w:rsidRPr="00266AB7">
              <w:t>#2</w:t>
            </w:r>
          </w:p>
        </w:tc>
        <w:tc>
          <w:tcPr>
            <w:tcW w:w="1198" w:type="dxa"/>
            <w:tcBorders>
              <w:top w:val="nil"/>
              <w:left w:val="nil"/>
              <w:bottom w:val="nil"/>
              <w:right w:val="nil"/>
            </w:tcBorders>
            <w:shd w:val="clear" w:color="auto" w:fill="auto"/>
            <w:vAlign w:val="bottom"/>
          </w:tcPr>
          <w:p w14:paraId="45A55E4E" w14:textId="375E8E93" w:rsidR="00EB4EE6" w:rsidRPr="00266AB7" w:rsidRDefault="00EB4EE6" w:rsidP="00F32415">
            <w:pPr>
              <w:widowControl w:val="0"/>
              <w:jc w:val="center"/>
            </w:pPr>
            <w:r>
              <w:rPr>
                <w:rFonts w:cs="Arial"/>
                <w:color w:val="000000"/>
              </w:rPr>
              <w:t>P25</w:t>
            </w:r>
          </w:p>
        </w:tc>
        <w:tc>
          <w:tcPr>
            <w:tcW w:w="1198" w:type="dxa"/>
            <w:tcBorders>
              <w:top w:val="nil"/>
              <w:left w:val="nil"/>
              <w:bottom w:val="nil"/>
              <w:right w:val="nil"/>
            </w:tcBorders>
            <w:shd w:val="clear" w:color="auto" w:fill="auto"/>
            <w:vAlign w:val="bottom"/>
          </w:tcPr>
          <w:p w14:paraId="741FA77B" w14:textId="41907717" w:rsidR="00EB4EE6" w:rsidRPr="00266AB7" w:rsidRDefault="00EB4EE6" w:rsidP="00F32415">
            <w:pPr>
              <w:widowControl w:val="0"/>
              <w:jc w:val="center"/>
            </w:pPr>
            <w:r>
              <w:rPr>
                <w:rFonts w:cs="Arial"/>
                <w:color w:val="000000"/>
              </w:rPr>
              <w:t>1.643</w:t>
            </w:r>
          </w:p>
        </w:tc>
        <w:tc>
          <w:tcPr>
            <w:tcW w:w="1198" w:type="dxa"/>
            <w:tcBorders>
              <w:top w:val="nil"/>
              <w:left w:val="nil"/>
              <w:bottom w:val="nil"/>
              <w:right w:val="nil"/>
            </w:tcBorders>
            <w:shd w:val="clear" w:color="auto" w:fill="auto"/>
            <w:vAlign w:val="bottom"/>
          </w:tcPr>
          <w:p w14:paraId="1753FDD4" w14:textId="434C1FA0" w:rsidR="00EB4EE6" w:rsidRPr="00266AB7" w:rsidRDefault="00EB4EE6" w:rsidP="00F32415">
            <w:pPr>
              <w:widowControl w:val="0"/>
              <w:ind w:right="-1"/>
              <w:jc w:val="center"/>
              <w:rPr>
                <w:rFonts w:cs="Arial"/>
                <w:szCs w:val="18"/>
              </w:rPr>
            </w:pPr>
            <w:r>
              <w:rPr>
                <w:rFonts w:cs="Arial"/>
                <w:szCs w:val="18"/>
              </w:rPr>
              <w:t>-</w:t>
            </w:r>
          </w:p>
        </w:tc>
        <w:tc>
          <w:tcPr>
            <w:tcW w:w="965" w:type="dxa"/>
            <w:tcBorders>
              <w:top w:val="nil"/>
              <w:left w:val="nil"/>
              <w:bottom w:val="nil"/>
              <w:right w:val="nil"/>
            </w:tcBorders>
            <w:shd w:val="clear" w:color="auto" w:fill="auto"/>
            <w:vAlign w:val="bottom"/>
          </w:tcPr>
          <w:p w14:paraId="2263CFAD" w14:textId="17F96583" w:rsidR="00EB4EE6" w:rsidRPr="00266AB7" w:rsidRDefault="00EB4EE6" w:rsidP="00F32415">
            <w:pPr>
              <w:widowControl w:val="0"/>
              <w:ind w:right="-1"/>
              <w:jc w:val="center"/>
              <w:rPr>
                <w:rFonts w:cs="Arial"/>
                <w:szCs w:val="18"/>
              </w:rPr>
            </w:pPr>
            <w:r>
              <w:rPr>
                <w:rFonts w:cs="Arial"/>
                <w:szCs w:val="18"/>
              </w:rPr>
              <w:t>-</w:t>
            </w:r>
          </w:p>
        </w:tc>
        <w:tc>
          <w:tcPr>
            <w:tcW w:w="1431" w:type="dxa"/>
            <w:tcBorders>
              <w:top w:val="nil"/>
              <w:left w:val="nil"/>
              <w:bottom w:val="nil"/>
              <w:right w:val="nil"/>
            </w:tcBorders>
            <w:shd w:val="clear" w:color="auto" w:fill="auto"/>
            <w:vAlign w:val="bottom"/>
          </w:tcPr>
          <w:p w14:paraId="7D690F05" w14:textId="646ECFE2" w:rsidR="00EB4EE6" w:rsidRPr="00266AB7" w:rsidRDefault="00EB4EE6" w:rsidP="00F32415">
            <w:pPr>
              <w:widowControl w:val="0"/>
              <w:ind w:right="-1"/>
              <w:jc w:val="center"/>
              <w:rPr>
                <w:rFonts w:cs="Arial"/>
                <w:szCs w:val="18"/>
              </w:rPr>
            </w:pPr>
            <w:r>
              <w:rPr>
                <w:rFonts w:cs="Arial"/>
                <w:color w:val="000000"/>
              </w:rPr>
              <w:t>470</w:t>
            </w:r>
          </w:p>
        </w:tc>
        <w:tc>
          <w:tcPr>
            <w:tcW w:w="1198" w:type="dxa"/>
            <w:tcBorders>
              <w:top w:val="nil"/>
              <w:left w:val="nil"/>
              <w:bottom w:val="nil"/>
              <w:right w:val="nil"/>
            </w:tcBorders>
            <w:shd w:val="clear" w:color="auto" w:fill="auto"/>
            <w:vAlign w:val="bottom"/>
          </w:tcPr>
          <w:p w14:paraId="42721E0A" w14:textId="0A29F8BB" w:rsidR="00EB4EE6" w:rsidRPr="00266AB7" w:rsidRDefault="00EB4EE6" w:rsidP="00F32415">
            <w:pPr>
              <w:widowControl w:val="0"/>
              <w:ind w:right="-1"/>
              <w:jc w:val="center"/>
              <w:rPr>
                <w:rFonts w:cs="Arial"/>
                <w:szCs w:val="18"/>
              </w:rPr>
            </w:pPr>
            <w:r>
              <w:rPr>
                <w:rFonts w:cs="Arial"/>
                <w:color w:val="000000"/>
              </w:rPr>
              <w:t>21.2</w:t>
            </w:r>
          </w:p>
        </w:tc>
        <w:tc>
          <w:tcPr>
            <w:tcW w:w="1198" w:type="dxa"/>
            <w:tcBorders>
              <w:top w:val="nil"/>
              <w:left w:val="nil"/>
              <w:bottom w:val="nil"/>
              <w:right w:val="nil"/>
            </w:tcBorders>
            <w:shd w:val="clear" w:color="auto" w:fill="auto"/>
            <w:vAlign w:val="bottom"/>
          </w:tcPr>
          <w:p w14:paraId="2EF73CC7" w14:textId="0737D96E" w:rsidR="00EB4EE6" w:rsidRPr="00266AB7" w:rsidRDefault="00EB4EE6" w:rsidP="00F32415">
            <w:pPr>
              <w:widowControl w:val="0"/>
              <w:ind w:right="-1"/>
              <w:jc w:val="center"/>
              <w:rPr>
                <w:rFonts w:cs="Arial"/>
                <w:szCs w:val="18"/>
              </w:rPr>
            </w:pPr>
            <w:r>
              <w:rPr>
                <w:rFonts w:cs="Arial"/>
                <w:color w:val="000000"/>
              </w:rPr>
              <w:t>4.58</w:t>
            </w:r>
          </w:p>
        </w:tc>
      </w:tr>
      <w:tr w:rsidR="00EB4EE6" w:rsidRPr="00266AB7" w14:paraId="6364C700" w14:textId="77777777" w:rsidTr="00E4620E">
        <w:tc>
          <w:tcPr>
            <w:tcW w:w="686" w:type="dxa"/>
            <w:tcBorders>
              <w:bottom w:val="single" w:sz="12" w:space="0" w:color="008000"/>
            </w:tcBorders>
            <w:shd w:val="clear" w:color="auto" w:fill="FFFFFF"/>
          </w:tcPr>
          <w:p w14:paraId="7631D3D0" w14:textId="72310342" w:rsidR="00EB4EE6" w:rsidRPr="00266AB7" w:rsidRDefault="00EB4EE6" w:rsidP="00F32415">
            <w:pPr>
              <w:widowControl w:val="0"/>
              <w:jc w:val="center"/>
            </w:pPr>
            <w:r w:rsidRPr="00266AB7">
              <w:t>#3</w:t>
            </w:r>
          </w:p>
        </w:tc>
        <w:tc>
          <w:tcPr>
            <w:tcW w:w="1198" w:type="dxa"/>
            <w:tcBorders>
              <w:bottom w:val="single" w:sz="12" w:space="0" w:color="008000"/>
            </w:tcBorders>
            <w:shd w:val="clear" w:color="auto" w:fill="FFFFFF"/>
            <w:vAlign w:val="bottom"/>
          </w:tcPr>
          <w:p w14:paraId="7097B9A9" w14:textId="5D56E779" w:rsidR="00EB4EE6" w:rsidRPr="00266AB7" w:rsidRDefault="00EB4EE6" w:rsidP="00F32415">
            <w:pPr>
              <w:widowControl w:val="0"/>
              <w:jc w:val="center"/>
            </w:pPr>
            <w:r>
              <w:rPr>
                <w:rFonts w:cs="Arial"/>
                <w:color w:val="000000"/>
              </w:rPr>
              <w:t>Pt/P25</w:t>
            </w:r>
          </w:p>
        </w:tc>
        <w:tc>
          <w:tcPr>
            <w:tcW w:w="1198" w:type="dxa"/>
            <w:tcBorders>
              <w:bottom w:val="single" w:sz="12" w:space="0" w:color="008000"/>
            </w:tcBorders>
            <w:shd w:val="clear" w:color="auto" w:fill="FFFFFF"/>
            <w:vAlign w:val="bottom"/>
          </w:tcPr>
          <w:p w14:paraId="07BA8634" w14:textId="69FAE765" w:rsidR="00EB4EE6" w:rsidRPr="00266AB7" w:rsidRDefault="00EB4EE6" w:rsidP="00F32415">
            <w:pPr>
              <w:widowControl w:val="0"/>
              <w:jc w:val="center"/>
            </w:pPr>
            <w:r>
              <w:rPr>
                <w:rFonts w:cs="Arial"/>
                <w:color w:val="000000"/>
              </w:rPr>
              <w:t>3.122</w:t>
            </w:r>
          </w:p>
        </w:tc>
        <w:tc>
          <w:tcPr>
            <w:tcW w:w="1198" w:type="dxa"/>
            <w:tcBorders>
              <w:bottom w:val="single" w:sz="12" w:space="0" w:color="008000"/>
            </w:tcBorders>
            <w:shd w:val="clear" w:color="auto" w:fill="FFFFFF"/>
            <w:vAlign w:val="bottom"/>
          </w:tcPr>
          <w:p w14:paraId="290019E3" w14:textId="598BF0BF" w:rsidR="00EB4EE6" w:rsidRPr="00266AB7" w:rsidRDefault="00EB4EE6" w:rsidP="00F32415">
            <w:pPr>
              <w:widowControl w:val="0"/>
              <w:ind w:right="-1"/>
              <w:jc w:val="center"/>
              <w:rPr>
                <w:rFonts w:cs="Arial"/>
                <w:szCs w:val="18"/>
              </w:rPr>
            </w:pPr>
            <w:r>
              <w:rPr>
                <w:rFonts w:cs="Arial"/>
                <w:szCs w:val="18"/>
              </w:rPr>
              <w:t>-</w:t>
            </w:r>
          </w:p>
        </w:tc>
        <w:tc>
          <w:tcPr>
            <w:tcW w:w="965" w:type="dxa"/>
            <w:tcBorders>
              <w:bottom w:val="single" w:sz="12" w:space="0" w:color="008000"/>
            </w:tcBorders>
            <w:shd w:val="clear" w:color="auto" w:fill="FFFFFF"/>
            <w:vAlign w:val="bottom"/>
          </w:tcPr>
          <w:p w14:paraId="5A646B86" w14:textId="689FAE2B" w:rsidR="00EB4EE6" w:rsidRPr="00266AB7" w:rsidRDefault="00EB4EE6" w:rsidP="00F32415">
            <w:pPr>
              <w:widowControl w:val="0"/>
              <w:ind w:right="-1"/>
              <w:jc w:val="center"/>
              <w:rPr>
                <w:rFonts w:cs="Arial"/>
                <w:szCs w:val="18"/>
              </w:rPr>
            </w:pPr>
            <w:r>
              <w:rPr>
                <w:rFonts w:cs="Arial"/>
                <w:szCs w:val="18"/>
              </w:rPr>
              <w:t>-</w:t>
            </w:r>
          </w:p>
        </w:tc>
        <w:tc>
          <w:tcPr>
            <w:tcW w:w="1431" w:type="dxa"/>
            <w:tcBorders>
              <w:bottom w:val="single" w:sz="12" w:space="0" w:color="008000"/>
            </w:tcBorders>
            <w:shd w:val="clear" w:color="auto" w:fill="FFFFFF"/>
            <w:vAlign w:val="bottom"/>
          </w:tcPr>
          <w:p w14:paraId="19BB2B78" w14:textId="790188E6" w:rsidR="00EB4EE6" w:rsidRPr="00266AB7" w:rsidRDefault="00EB4EE6" w:rsidP="00F32415">
            <w:pPr>
              <w:widowControl w:val="0"/>
              <w:ind w:right="-1"/>
              <w:jc w:val="center"/>
              <w:rPr>
                <w:rFonts w:cs="Arial"/>
                <w:szCs w:val="18"/>
              </w:rPr>
            </w:pPr>
            <w:r>
              <w:rPr>
                <w:rFonts w:cs="Arial"/>
                <w:szCs w:val="18"/>
              </w:rPr>
              <w:t>893</w:t>
            </w:r>
          </w:p>
        </w:tc>
        <w:tc>
          <w:tcPr>
            <w:tcW w:w="1198" w:type="dxa"/>
            <w:tcBorders>
              <w:bottom w:val="single" w:sz="12" w:space="0" w:color="008000"/>
            </w:tcBorders>
            <w:shd w:val="clear" w:color="auto" w:fill="FFFFFF"/>
            <w:vAlign w:val="bottom"/>
          </w:tcPr>
          <w:p w14:paraId="3C7F655F" w14:textId="4AEDE65A" w:rsidR="00EB4EE6" w:rsidRPr="00266AB7" w:rsidRDefault="00EB4EE6" w:rsidP="00F32415">
            <w:pPr>
              <w:widowControl w:val="0"/>
              <w:ind w:right="-1"/>
              <w:jc w:val="center"/>
              <w:rPr>
                <w:rFonts w:cs="Arial"/>
                <w:szCs w:val="18"/>
              </w:rPr>
            </w:pPr>
            <w:r>
              <w:rPr>
                <w:rFonts w:cs="Arial"/>
                <w:szCs w:val="18"/>
              </w:rPr>
              <w:t>61.4</w:t>
            </w:r>
          </w:p>
        </w:tc>
        <w:tc>
          <w:tcPr>
            <w:tcW w:w="1198" w:type="dxa"/>
            <w:tcBorders>
              <w:bottom w:val="single" w:sz="12" w:space="0" w:color="008000"/>
            </w:tcBorders>
            <w:shd w:val="clear" w:color="auto" w:fill="FFFFFF"/>
            <w:vAlign w:val="bottom"/>
          </w:tcPr>
          <w:p w14:paraId="7E60D1FD" w14:textId="556562D4" w:rsidR="00EB4EE6" w:rsidRPr="00266AB7" w:rsidRDefault="00EB4EE6" w:rsidP="00F32415">
            <w:pPr>
              <w:widowControl w:val="0"/>
              <w:ind w:right="-1"/>
              <w:jc w:val="center"/>
              <w:rPr>
                <w:rFonts w:cs="Arial"/>
                <w:szCs w:val="18"/>
              </w:rPr>
            </w:pPr>
            <w:r>
              <w:rPr>
                <w:rFonts w:cs="Arial"/>
                <w:szCs w:val="18"/>
              </w:rPr>
              <w:t>35.11</w:t>
            </w:r>
          </w:p>
        </w:tc>
      </w:tr>
    </w:tbl>
    <w:p w14:paraId="2C334103" w14:textId="77777777" w:rsidR="00266AB7" w:rsidRPr="00266AB7" w:rsidRDefault="00266AB7" w:rsidP="00F32415">
      <w:pPr>
        <w:widowControl w:val="0"/>
      </w:pPr>
    </w:p>
    <w:p w14:paraId="6A2AACBD" w14:textId="0F99EB7A" w:rsidR="00DA614F" w:rsidRDefault="00B00F2C" w:rsidP="00F32415">
      <w:pPr>
        <w:pStyle w:val="CETBodytext"/>
        <w:widowControl w:val="0"/>
      </w:pPr>
      <w:r>
        <w:t>The overall amount of stored energy depends on products distribution, remaining below 1 MJ/h kg</w:t>
      </w:r>
      <w:r>
        <w:rPr>
          <w:vertAlign w:val="subscript"/>
        </w:rPr>
        <w:t>cat</w:t>
      </w:r>
      <w:r>
        <w:t xml:space="preserve"> when the only fuel produced in </w:t>
      </w:r>
      <w:r w:rsidR="00941FDF">
        <w:t xml:space="preserve">the </w:t>
      </w:r>
      <w:r>
        <w:t>gas phase is H</w:t>
      </w:r>
      <w:r>
        <w:rPr>
          <w:vertAlign w:val="subscript"/>
        </w:rPr>
        <w:t>2</w:t>
      </w:r>
      <w:r>
        <w:t>, to much higher values when also C</w:t>
      </w:r>
      <w:r>
        <w:rPr>
          <w:vertAlign w:val="subscript"/>
        </w:rPr>
        <w:t>2</w:t>
      </w:r>
      <w:r>
        <w:t xml:space="preserve"> products are present. Efficiency 1 also depends on the products distribution and, for the same reactor #1, sharply increases when C-containing byproducts are exploitable in</w:t>
      </w:r>
      <w:r w:rsidR="00941FDF">
        <w:t xml:space="preserve"> the</w:t>
      </w:r>
      <w:r>
        <w:t xml:space="preserve"> gas phase. When only H</w:t>
      </w:r>
      <w:r>
        <w:rPr>
          <w:vertAlign w:val="subscript"/>
        </w:rPr>
        <w:t>2</w:t>
      </w:r>
      <w:r>
        <w:t xml:space="preserve"> is present, only 4.3</w:t>
      </w:r>
      <w:r w:rsidR="00A564BB">
        <w:t xml:space="preserve"> </w:t>
      </w:r>
      <w:r>
        <w:t xml:space="preserve">% of the energy of the substrate is recovered after 5 h in </w:t>
      </w:r>
      <w:r w:rsidR="00941FDF">
        <w:t xml:space="preserve">the </w:t>
      </w:r>
      <w:r>
        <w:t>gas phase, notwithstanding the highest productivity of catalyst P25 for H</w:t>
      </w:r>
      <w:r>
        <w:rPr>
          <w:vertAlign w:val="subscript"/>
        </w:rPr>
        <w:t>2</w:t>
      </w:r>
      <w:r>
        <w:t xml:space="preserve">. Likely longer reaction time would be needed to fully convert to remaining organic compounds in </w:t>
      </w:r>
      <w:r w:rsidR="00941FDF">
        <w:t xml:space="preserve">the </w:t>
      </w:r>
      <w:r>
        <w:t>liquid phase. The efficiency</w:t>
      </w:r>
      <w:r w:rsidR="00E04BA8">
        <w:t xml:space="preserve"> </w:t>
      </w:r>
      <w:r>
        <w:t xml:space="preserve">dramatically improved with the Pt-promoted sample, reaching almost 50% of the original heating power of the reactant recovered as product. Efficiency 2 follows substantially the same trend and reaches a maximum of stored power of </w:t>
      </w:r>
      <w:r w:rsidRPr="00B00F2C">
        <w:rPr>
          <w:i/>
        </w:rPr>
        <w:t>ca.</w:t>
      </w:r>
      <w:r>
        <w:t xml:space="preserve"> 4.2</w:t>
      </w:r>
      <w:r w:rsidR="00A564BB">
        <w:t xml:space="preserve"> </w:t>
      </w:r>
      <w:r>
        <w:t>%. This result is of course not economically valuable for an artificially irradiated photoreactor, but it can turn into a satisfactory goal if (free) solar energy can be exploited in the same way.</w:t>
      </w:r>
    </w:p>
    <w:p w14:paraId="1BBDC760" w14:textId="03953DFA" w:rsidR="00E33D8A" w:rsidRDefault="00DA614F" w:rsidP="00F32415">
      <w:pPr>
        <w:pStyle w:val="CETBodytext"/>
        <w:widowControl w:val="0"/>
      </w:pPr>
      <w:r>
        <w:t>The same efficiency was obtained with reactor #2 by using a much cheaper commercial photocatalyst, while the highest value was achieved with reactor #3. This exceptionally high efficiency</w:t>
      </w:r>
      <w:r w:rsidR="00AE2780">
        <w:t>, in spite of lower H</w:t>
      </w:r>
      <w:r w:rsidR="00AE2780">
        <w:rPr>
          <w:vertAlign w:val="subscript"/>
        </w:rPr>
        <w:t>2</w:t>
      </w:r>
      <w:r w:rsidR="00AE2780">
        <w:t xml:space="preserve"> productivity,</w:t>
      </w:r>
      <w:r>
        <w:t xml:space="preserve"> is explainable </w:t>
      </w:r>
      <w:r w:rsidR="00941FDF">
        <w:t>from</w:t>
      </w:r>
      <w:r>
        <w:t xml:space="preserve"> the small area subject to irradiation (one order of magnitude lower than for the other two reactors), but it is anyway interesting to exploit future reactor designs with much larger windows, thus enhancing light exposure.</w:t>
      </w:r>
    </w:p>
    <w:p w14:paraId="57B17A27" w14:textId="77777777" w:rsidR="007C4540" w:rsidRPr="00E33D8A" w:rsidRDefault="007C4540" w:rsidP="00F32415">
      <w:pPr>
        <w:pStyle w:val="CETBodytext"/>
        <w:widowControl w:val="0"/>
        <w:rPr>
          <w:b/>
        </w:rPr>
      </w:pPr>
    </w:p>
    <w:p w14:paraId="2BD297B7" w14:textId="65C08B9B" w:rsidR="00600535" w:rsidRPr="00B57B36" w:rsidRDefault="00600535" w:rsidP="00F32415">
      <w:pPr>
        <w:pStyle w:val="CETHeading1"/>
        <w:keepNext w:val="0"/>
        <w:widowControl w:val="0"/>
        <w:rPr>
          <w:lang w:val="en-GB"/>
        </w:rPr>
      </w:pPr>
      <w:bookmarkStart w:id="49" w:name="OLE_LINK108"/>
      <w:bookmarkStart w:id="50" w:name="OLE_LINK109"/>
      <w:bookmarkEnd w:id="29"/>
      <w:bookmarkEnd w:id="30"/>
      <w:r w:rsidRPr="00B57B36">
        <w:rPr>
          <w:lang w:val="en-GB"/>
        </w:rPr>
        <w:t>Conclusions</w:t>
      </w:r>
    </w:p>
    <w:bookmarkEnd w:id="49"/>
    <w:bookmarkEnd w:id="50"/>
    <w:p w14:paraId="4913181A" w14:textId="0554CD10" w:rsidR="00600535" w:rsidRDefault="00AE2780" w:rsidP="00F32415">
      <w:pPr>
        <w:pStyle w:val="CETBodytext"/>
        <w:widowControl w:val="0"/>
        <w:rPr>
          <w:lang w:val="en-GB"/>
        </w:rPr>
      </w:pPr>
      <w:r>
        <w:rPr>
          <w:lang w:val="en-GB"/>
        </w:rPr>
        <w:t>The photoreforming of glucose has been studied as a route for the production of H</w:t>
      </w:r>
      <w:r>
        <w:rPr>
          <w:vertAlign w:val="subscript"/>
          <w:lang w:val="en-GB"/>
        </w:rPr>
        <w:t>2</w:t>
      </w:r>
      <w:r>
        <w:rPr>
          <w:lang w:val="en-GB"/>
        </w:rPr>
        <w:t xml:space="preserve"> from solar energy and the valorisation of waste or biomass</w:t>
      </w:r>
      <w:r w:rsidR="00941FDF">
        <w:rPr>
          <w:lang w:val="en-GB"/>
        </w:rPr>
        <w:t>-</w:t>
      </w:r>
      <w:r>
        <w:rPr>
          <w:lang w:val="en-GB"/>
        </w:rPr>
        <w:t>derived</w:t>
      </w:r>
      <w:r w:rsidRPr="00AE2780">
        <w:rPr>
          <w:lang w:val="en-GB"/>
        </w:rPr>
        <w:t xml:space="preserve"> </w:t>
      </w:r>
      <w:r>
        <w:rPr>
          <w:lang w:val="en-GB"/>
        </w:rPr>
        <w:t xml:space="preserve">aqueous streams. Different catalyst formulations were tested, the highest productivity being achieved with the 0.1 mol% Pt/P25 photocatalyst, reaching </w:t>
      </w:r>
      <w:r w:rsidRPr="00F32415">
        <w:rPr>
          <w:i/>
          <w:lang w:val="en-GB"/>
        </w:rPr>
        <w:t>ca</w:t>
      </w:r>
      <w:r>
        <w:rPr>
          <w:lang w:val="en-GB"/>
        </w:rPr>
        <w:t>. 15 mol/h kg</w:t>
      </w:r>
      <w:r>
        <w:rPr>
          <w:vertAlign w:val="subscript"/>
          <w:lang w:val="en-GB"/>
        </w:rPr>
        <w:t>cat</w:t>
      </w:r>
      <w:r>
        <w:rPr>
          <w:lang w:val="en-GB"/>
        </w:rPr>
        <w:t xml:space="preserve"> productivity of H</w:t>
      </w:r>
      <w:r>
        <w:rPr>
          <w:vertAlign w:val="subscript"/>
          <w:lang w:val="en-GB"/>
        </w:rPr>
        <w:t>2</w:t>
      </w:r>
      <w:r>
        <w:rPr>
          <w:lang w:val="en-GB"/>
        </w:rPr>
        <w:t>, which is an excellent result compared with the literature values</w:t>
      </w:r>
      <w:r w:rsidR="00066675">
        <w:rPr>
          <w:lang w:val="en-GB"/>
        </w:rPr>
        <w:t xml:space="preserve">, which are typically &lt; 2 </w:t>
      </w:r>
      <w:r w:rsidR="00066675" w:rsidRPr="00066675">
        <w:rPr>
          <w:lang w:val="en-GB"/>
        </w:rPr>
        <w:t xml:space="preserve">mol/h </w:t>
      </w:r>
      <w:r w:rsidR="00066675" w:rsidRPr="00066675">
        <w:rPr>
          <w:lang w:val="en-GB"/>
        </w:rPr>
        <w:lastRenderedPageBreak/>
        <w:t>kg</w:t>
      </w:r>
      <w:r w:rsidR="00066675" w:rsidRPr="00066675">
        <w:rPr>
          <w:vertAlign w:val="subscript"/>
          <w:lang w:val="en-GB"/>
        </w:rPr>
        <w:t>cat</w:t>
      </w:r>
      <w:r w:rsidR="00066675" w:rsidRPr="00066675">
        <w:rPr>
          <w:lang w:val="en-GB"/>
        </w:rPr>
        <w:t xml:space="preserve"> </w:t>
      </w:r>
      <w:r w:rsidR="00854A90">
        <w:rPr>
          <w:lang w:val="en-GB"/>
        </w:rPr>
        <w:t>(Montini et al., 2016)</w:t>
      </w:r>
      <w:r>
        <w:rPr>
          <w:lang w:val="en-GB"/>
        </w:rPr>
        <w:t xml:space="preserve">. </w:t>
      </w:r>
    </w:p>
    <w:p w14:paraId="1CA0476D" w14:textId="198FFFA7" w:rsidR="00AE2780" w:rsidRPr="00AE2780" w:rsidRDefault="00AE2780" w:rsidP="00F32415">
      <w:pPr>
        <w:pStyle w:val="CETBodytext"/>
        <w:widowControl w:val="0"/>
        <w:rPr>
          <w:lang w:val="en-GB"/>
        </w:rPr>
      </w:pPr>
      <w:r>
        <w:rPr>
          <w:lang w:val="en-GB"/>
        </w:rPr>
        <w:t>Glucose conversion and hydrogen productivity also depended on the design of the photoreactor. Higher productivity was achieved with coaxial immersion lamps, in particular by reducing the optical path through the reacting suspension. However, interesting productivity, yet lower, has been observed with a top irradiated photoreactor, which exhibited the highest efficiency in the utilisation of the lamp power. This suggests further modifications of the design in this configuration, which is easily amenable to be applied with natural irradiation</w:t>
      </w:r>
      <w:r w:rsidR="00AC18DD">
        <w:rPr>
          <w:lang w:val="en-GB"/>
        </w:rPr>
        <w:t>, by enlarging the exposed surface.</w:t>
      </w:r>
    </w:p>
    <w:p w14:paraId="7C90885D" w14:textId="77777777" w:rsidR="00600535" w:rsidRPr="00B57B36" w:rsidRDefault="00600535" w:rsidP="00F32415">
      <w:pPr>
        <w:pStyle w:val="CETAcknowledgementstitle"/>
        <w:widowControl w:val="0"/>
      </w:pPr>
      <w:r w:rsidRPr="00B57B36">
        <w:t>Acknowledgments</w:t>
      </w:r>
    </w:p>
    <w:p w14:paraId="7B7B9E31" w14:textId="0B2BA727" w:rsidR="004321CB" w:rsidRPr="00AC18DD" w:rsidRDefault="008546A3" w:rsidP="00F32415">
      <w:pPr>
        <w:pStyle w:val="CETBodytext"/>
        <w:widowControl w:val="0"/>
        <w:rPr>
          <w:lang w:val="en-GB"/>
        </w:rPr>
      </w:pPr>
      <w:r w:rsidRPr="008546A3">
        <w:rPr>
          <w:bCs/>
          <w:lang w:val="en-GB"/>
        </w:rPr>
        <w:t xml:space="preserve">Fondazione Cariplo </w:t>
      </w:r>
      <w:r w:rsidR="00E0445E">
        <w:rPr>
          <w:bCs/>
          <w:lang w:val="en-GB"/>
        </w:rPr>
        <w:t>(</w:t>
      </w:r>
      <w:r w:rsidRPr="008546A3">
        <w:rPr>
          <w:bCs/>
          <w:lang w:val="en-GB"/>
        </w:rPr>
        <w:t>grant no. 2015-0186 – DEN - Innovative technologies for the abatement of N-containing pollutants in water</w:t>
      </w:r>
      <w:r w:rsidR="00E0445E">
        <w:rPr>
          <w:bCs/>
          <w:lang w:val="en-GB"/>
        </w:rPr>
        <w:t>) and</w:t>
      </w:r>
      <w:r w:rsidRPr="008546A3">
        <w:rPr>
          <w:bCs/>
          <w:lang w:val="en-GB"/>
        </w:rPr>
        <w:t xml:space="preserve"> Fondazione Cariplo and Regione Lombardia (Italy) </w:t>
      </w:r>
      <w:r w:rsidR="00E0445E">
        <w:rPr>
          <w:bCs/>
          <w:lang w:val="en-GB"/>
        </w:rPr>
        <w:t>(</w:t>
      </w:r>
      <w:r w:rsidRPr="008546A3">
        <w:rPr>
          <w:bCs/>
          <w:lang w:val="en-GB"/>
        </w:rPr>
        <w:t xml:space="preserve">grant </w:t>
      </w:r>
      <w:r w:rsidR="00E0445E">
        <w:rPr>
          <w:bCs/>
          <w:lang w:val="en-GB"/>
        </w:rPr>
        <w:t xml:space="preserve">no. </w:t>
      </w:r>
      <w:r w:rsidRPr="008546A3">
        <w:rPr>
          <w:bCs/>
          <w:lang w:val="en-GB"/>
        </w:rPr>
        <w:t>2016-0858 “UP – Unconventional Photoreactors”</w:t>
      </w:r>
      <w:r w:rsidR="00E0445E">
        <w:rPr>
          <w:bCs/>
          <w:lang w:val="en-GB"/>
        </w:rPr>
        <w:t>)</w:t>
      </w:r>
      <w:r w:rsidRPr="008546A3">
        <w:rPr>
          <w:bCs/>
          <w:lang w:val="en-GB"/>
        </w:rPr>
        <w:t xml:space="preserve"> </w:t>
      </w:r>
      <w:r w:rsidR="00E0445E" w:rsidRPr="008546A3">
        <w:rPr>
          <w:bCs/>
          <w:lang w:val="en-GB"/>
        </w:rPr>
        <w:t>are gratefully acknowledged</w:t>
      </w:r>
      <w:r w:rsidR="00E0445E">
        <w:rPr>
          <w:bCs/>
          <w:lang w:val="en-GB"/>
        </w:rPr>
        <w:t>.</w:t>
      </w:r>
      <w:r w:rsidR="00E0445E" w:rsidRPr="008546A3">
        <w:rPr>
          <w:bCs/>
          <w:lang w:val="en-GB"/>
        </w:rPr>
        <w:t xml:space="preserve"> </w:t>
      </w:r>
      <w:r w:rsidRPr="008546A3">
        <w:rPr>
          <w:bCs/>
          <w:lang w:val="en-GB"/>
        </w:rPr>
        <w:t>G. Ramis and I. Rossetti are grateful to MIUR (HERCULES - Heterogeneous robust catalysts to upgrade low value biomass streams) for financial support.</w:t>
      </w:r>
      <w:r w:rsidR="007C4540">
        <w:rPr>
          <w:bCs/>
          <w:lang w:val="en-GB"/>
        </w:rPr>
        <w:t xml:space="preserve"> </w:t>
      </w:r>
      <w:r w:rsidR="00AC18DD" w:rsidRPr="00AC18DD">
        <w:rPr>
          <w:bCs/>
          <w:lang w:val="en-GB"/>
        </w:rPr>
        <w:t>The authors are grate</w:t>
      </w:r>
      <w:r w:rsidR="00AC18DD">
        <w:rPr>
          <w:bCs/>
          <w:lang w:val="en-GB"/>
        </w:rPr>
        <w:t>ful to Federico Sellerio and And</w:t>
      </w:r>
      <w:r w:rsidR="00AC18DD" w:rsidRPr="00AC18DD">
        <w:rPr>
          <w:bCs/>
          <w:lang w:val="en-GB"/>
        </w:rPr>
        <w:t xml:space="preserve">rea Villa for their valuable help in the collection of the experimental data and to Prof Barbara Bonelli, Polytechnic of Turin and Prof. </w:t>
      </w:r>
      <w:r w:rsidR="00AC18DD">
        <w:rPr>
          <w:bCs/>
          <w:lang w:val="en-GB"/>
        </w:rPr>
        <w:t>Michela Signoretto, Università Ca’ Foscari o</w:t>
      </w:r>
      <w:r w:rsidR="00E0445E">
        <w:rPr>
          <w:bCs/>
          <w:lang w:val="en-GB"/>
        </w:rPr>
        <w:t>f</w:t>
      </w:r>
      <w:r w:rsidR="00AC18DD">
        <w:rPr>
          <w:bCs/>
          <w:lang w:val="en-GB"/>
        </w:rPr>
        <w:t xml:space="preserve"> Venice, for the preparation of the Meso and Prec samples, respectively.</w:t>
      </w:r>
    </w:p>
    <w:p w14:paraId="6E806969" w14:textId="77777777" w:rsidR="00600535" w:rsidRPr="00B57B36" w:rsidRDefault="00600535" w:rsidP="00F32415">
      <w:pPr>
        <w:pStyle w:val="CETReference"/>
        <w:widowControl w:val="0"/>
      </w:pPr>
      <w:r w:rsidRPr="00B57B36">
        <w:t>References</w:t>
      </w:r>
    </w:p>
    <w:p w14:paraId="6FE8F201" w14:textId="333168B7" w:rsidR="008E4E88" w:rsidRPr="00D16CC9" w:rsidRDefault="008E4E88" w:rsidP="00F32415">
      <w:pPr>
        <w:pStyle w:val="CETBodytext"/>
        <w:widowControl w:val="0"/>
      </w:pPr>
      <w:r w:rsidRPr="00D16CC9">
        <w:t>Armaroli</w:t>
      </w:r>
      <w:r w:rsidR="00CF24F5" w:rsidRPr="00D16CC9">
        <w:t xml:space="preserve"> N., </w:t>
      </w:r>
      <w:r w:rsidRPr="00D16CC9">
        <w:t>Balzani</w:t>
      </w:r>
      <w:r w:rsidR="00CF24F5" w:rsidRPr="00D16CC9">
        <w:t xml:space="preserve"> V.</w:t>
      </w:r>
      <w:r w:rsidRPr="00D16CC9">
        <w:t xml:space="preserve">, </w:t>
      </w:r>
      <w:r w:rsidR="00CF24F5" w:rsidRPr="00D16CC9">
        <w:t xml:space="preserve">2011, </w:t>
      </w:r>
      <w:r w:rsidRPr="00D16CC9">
        <w:t>The</w:t>
      </w:r>
      <w:r w:rsidR="00CF24F5" w:rsidRPr="00D16CC9">
        <w:t xml:space="preserve"> hydrogen issue, ChemSusChem. 4, 21–36.</w:t>
      </w:r>
    </w:p>
    <w:p w14:paraId="56990207" w14:textId="55C1F6E2" w:rsidR="008E4E88" w:rsidRPr="00D16CC9" w:rsidRDefault="008E4E88" w:rsidP="00F32415">
      <w:pPr>
        <w:pStyle w:val="CETBodytext"/>
        <w:widowControl w:val="0"/>
      </w:pPr>
      <w:r w:rsidRPr="00D16CC9">
        <w:t>Chiarello</w:t>
      </w:r>
      <w:r w:rsidR="00CF24F5" w:rsidRPr="00D16CC9">
        <w:t xml:space="preserve"> G.L.</w:t>
      </w:r>
      <w:r w:rsidRPr="00D16CC9">
        <w:t>, Rossetti</w:t>
      </w:r>
      <w:r w:rsidR="00CF24F5" w:rsidRPr="00D16CC9">
        <w:t xml:space="preserve"> I.</w:t>
      </w:r>
      <w:r w:rsidRPr="00D16CC9">
        <w:t xml:space="preserve">, </w:t>
      </w:r>
      <w:bookmarkStart w:id="51" w:name="OLE_LINK82"/>
      <w:bookmarkStart w:id="52" w:name="OLE_LINK83"/>
      <w:bookmarkStart w:id="53" w:name="OLE_LINK84"/>
      <w:bookmarkStart w:id="54" w:name="OLE_LINK85"/>
      <w:bookmarkStart w:id="55" w:name="OLE_LINK86"/>
      <w:r w:rsidRPr="00D16CC9">
        <w:t>Lopinto</w:t>
      </w:r>
      <w:r w:rsidR="00CF24F5" w:rsidRPr="00D16CC9">
        <w:t xml:space="preserve"> P.</w:t>
      </w:r>
      <w:r w:rsidRPr="00D16CC9">
        <w:t>, Migliavacca</w:t>
      </w:r>
      <w:r w:rsidR="00CF24F5" w:rsidRPr="00D16CC9">
        <w:t xml:space="preserve"> G.</w:t>
      </w:r>
      <w:r w:rsidRPr="00D16CC9">
        <w:t>,</w:t>
      </w:r>
      <w:bookmarkEnd w:id="51"/>
      <w:bookmarkEnd w:id="52"/>
      <w:bookmarkEnd w:id="53"/>
      <w:bookmarkEnd w:id="54"/>
      <w:bookmarkEnd w:id="55"/>
      <w:r w:rsidRPr="00D16CC9">
        <w:t xml:space="preserve"> Forni</w:t>
      </w:r>
      <w:r w:rsidR="00CF24F5" w:rsidRPr="00D16CC9">
        <w:t xml:space="preserve"> L., 2007, </w:t>
      </w:r>
      <w:r w:rsidRPr="00D16CC9">
        <w:t>Solvent nature effect in preparation of perovskites by flame</w:t>
      </w:r>
      <w:r w:rsidR="00CF24F5" w:rsidRPr="00D16CC9">
        <w:t xml:space="preserve"> pyrolysis. 1. Carboxylic acids</w:t>
      </w:r>
      <w:r w:rsidRPr="00D16CC9">
        <w:t>,</w:t>
      </w:r>
      <w:r w:rsidR="00CF24F5" w:rsidRPr="00D16CC9">
        <w:t xml:space="preserve"> </w:t>
      </w:r>
      <w:r w:rsidRPr="00D16CC9">
        <w:t>Appl. Ca</w:t>
      </w:r>
      <w:r w:rsidR="00CF24F5" w:rsidRPr="00D16CC9">
        <w:t>tal. B: Environmental, 72, 218.</w:t>
      </w:r>
    </w:p>
    <w:p w14:paraId="46EFB583" w14:textId="6DBBE392" w:rsidR="008E4E88" w:rsidRPr="00D16CC9" w:rsidRDefault="008E4E88" w:rsidP="00F32415">
      <w:pPr>
        <w:pStyle w:val="CETBodytext"/>
        <w:widowControl w:val="0"/>
        <w:rPr>
          <w:lang w:val="it-IT"/>
        </w:rPr>
      </w:pPr>
      <w:r w:rsidRPr="00D16CC9">
        <w:t>Chiarello</w:t>
      </w:r>
      <w:r w:rsidR="00CF24F5" w:rsidRPr="00D16CC9">
        <w:t xml:space="preserve"> G.L.</w:t>
      </w:r>
      <w:r w:rsidRPr="00D16CC9">
        <w:t>, Rossetti</w:t>
      </w:r>
      <w:r w:rsidR="00CF24F5" w:rsidRPr="00D16CC9">
        <w:t xml:space="preserve"> I.</w:t>
      </w:r>
      <w:r w:rsidRPr="00D16CC9">
        <w:t>, Lopinto</w:t>
      </w:r>
      <w:r w:rsidR="00CF24F5" w:rsidRPr="00D16CC9">
        <w:t xml:space="preserve"> P.</w:t>
      </w:r>
      <w:r w:rsidRPr="00D16CC9">
        <w:t>, Migliavacca</w:t>
      </w:r>
      <w:r w:rsidR="00CF24F5" w:rsidRPr="00D16CC9">
        <w:t xml:space="preserve"> G.</w:t>
      </w:r>
      <w:r w:rsidRPr="00D16CC9">
        <w:t>, Forni</w:t>
      </w:r>
      <w:r w:rsidR="00CF24F5" w:rsidRPr="00D16CC9">
        <w:t xml:space="preserve"> L., 2007, </w:t>
      </w:r>
      <w:r w:rsidRPr="00D16CC9">
        <w:t>Solvent nature effect in preparation of perovskites by flame pyrolysis. 2. Alcohols and alc</w:t>
      </w:r>
      <w:r w:rsidR="00CF24F5" w:rsidRPr="00D16CC9">
        <w:t>ohols + propionic acid mixtures</w:t>
      </w:r>
      <w:r w:rsidRPr="00D16CC9">
        <w:t>, Appl. Ca</w:t>
      </w:r>
      <w:r w:rsidR="00CF24F5" w:rsidRPr="00D16CC9">
        <w:t xml:space="preserve">tal. </w:t>
      </w:r>
      <w:r w:rsidR="00CF24F5" w:rsidRPr="00F32415">
        <w:rPr>
          <w:lang w:val="it-IT"/>
        </w:rPr>
        <w:t>B: Environmental, 72, 227.</w:t>
      </w:r>
    </w:p>
    <w:p w14:paraId="75133CCD" w14:textId="19945591" w:rsidR="008E4E88" w:rsidRPr="00D16CC9" w:rsidRDefault="008E4E88" w:rsidP="00F32415">
      <w:pPr>
        <w:pStyle w:val="CETBodytext"/>
        <w:widowControl w:val="0"/>
        <w:rPr>
          <w:lang w:val="it-IT"/>
        </w:rPr>
      </w:pPr>
      <w:r w:rsidRPr="00D16CC9">
        <w:rPr>
          <w:lang w:val="it-IT"/>
        </w:rPr>
        <w:t>Compagnoni</w:t>
      </w:r>
      <w:r w:rsidR="00CF24F5" w:rsidRPr="00D16CC9">
        <w:rPr>
          <w:lang w:val="it-IT"/>
        </w:rPr>
        <w:t xml:space="preserve"> M.</w:t>
      </w:r>
      <w:r w:rsidRPr="00D16CC9">
        <w:rPr>
          <w:lang w:val="it-IT"/>
        </w:rPr>
        <w:t>, Lasso F.</w:t>
      </w:r>
      <w:r w:rsidR="00CF24F5" w:rsidRPr="00D16CC9">
        <w:rPr>
          <w:lang w:val="it-IT"/>
        </w:rPr>
        <w:t>J.</w:t>
      </w:r>
      <w:r w:rsidRPr="00D16CC9">
        <w:rPr>
          <w:lang w:val="it-IT"/>
        </w:rPr>
        <w:t>, Di Michele</w:t>
      </w:r>
      <w:r w:rsidR="00CF24F5" w:rsidRPr="00D16CC9">
        <w:rPr>
          <w:lang w:val="it-IT"/>
        </w:rPr>
        <w:t xml:space="preserve"> A.</w:t>
      </w:r>
      <w:r w:rsidRPr="00D16CC9">
        <w:rPr>
          <w:lang w:val="it-IT"/>
        </w:rPr>
        <w:t>, Rossetti</w:t>
      </w:r>
      <w:r w:rsidR="00CF24F5" w:rsidRPr="00D16CC9">
        <w:rPr>
          <w:lang w:val="it-IT"/>
        </w:rPr>
        <w:t xml:space="preserve"> I.</w:t>
      </w:r>
      <w:r w:rsidRPr="00D16CC9">
        <w:rPr>
          <w:lang w:val="it-IT"/>
        </w:rPr>
        <w:t>,</w:t>
      </w:r>
      <w:r w:rsidR="00CF24F5" w:rsidRPr="00D16CC9">
        <w:rPr>
          <w:lang w:val="it-IT"/>
        </w:rPr>
        <w:t xml:space="preserve"> 2016, </w:t>
      </w:r>
      <w:r w:rsidR="00B1780F" w:rsidRPr="00B1780F">
        <w:rPr>
          <w:lang w:val="it-IT"/>
        </w:rPr>
        <w:t>CO</w:t>
      </w:r>
      <w:r w:rsidR="00B1780F" w:rsidRPr="00B1780F">
        <w:rPr>
          <w:vertAlign w:val="subscript"/>
          <w:lang w:val="it-IT"/>
        </w:rPr>
        <w:t>2</w:t>
      </w:r>
      <w:r w:rsidR="00B1780F" w:rsidRPr="00B1780F">
        <w:rPr>
          <w:lang w:val="it-IT"/>
        </w:rPr>
        <w:t xml:space="preserve"> photoconversion to fuels, </w:t>
      </w:r>
      <w:r w:rsidR="00CF24F5" w:rsidRPr="00D16CC9">
        <w:rPr>
          <w:lang w:val="it-IT"/>
        </w:rPr>
        <w:t xml:space="preserve">Catal. Sci. &amp; Technol, 6, </w:t>
      </w:r>
      <w:r w:rsidRPr="00D16CC9">
        <w:rPr>
          <w:lang w:val="it-IT"/>
        </w:rPr>
        <w:t>6257.</w:t>
      </w:r>
    </w:p>
    <w:p w14:paraId="7E1078FC" w14:textId="0D313917" w:rsidR="008E4E88" w:rsidRPr="00D16CC9" w:rsidRDefault="008E4E88" w:rsidP="00F32415">
      <w:pPr>
        <w:pStyle w:val="CETBodytext"/>
        <w:widowControl w:val="0"/>
        <w:rPr>
          <w:lang w:val="it-IT"/>
        </w:rPr>
      </w:pPr>
      <w:r w:rsidRPr="00D16CC9">
        <w:rPr>
          <w:lang w:val="it-IT"/>
        </w:rPr>
        <w:t>Freyria</w:t>
      </w:r>
      <w:r w:rsidR="00CF24F5" w:rsidRPr="00D16CC9">
        <w:rPr>
          <w:lang w:val="it-IT"/>
        </w:rPr>
        <w:t xml:space="preserve"> F.S.</w:t>
      </w:r>
      <w:r w:rsidRPr="00D16CC9">
        <w:rPr>
          <w:lang w:val="it-IT"/>
        </w:rPr>
        <w:t>, Compagnoni</w:t>
      </w:r>
      <w:r w:rsidR="00CF24F5" w:rsidRPr="00D16CC9">
        <w:rPr>
          <w:lang w:val="it-IT"/>
        </w:rPr>
        <w:t xml:space="preserve"> M.</w:t>
      </w:r>
      <w:r w:rsidRPr="00D16CC9">
        <w:rPr>
          <w:lang w:val="it-IT"/>
        </w:rPr>
        <w:t>, Ditaranto</w:t>
      </w:r>
      <w:r w:rsidR="00CF24F5" w:rsidRPr="00D16CC9">
        <w:rPr>
          <w:lang w:val="it-IT"/>
        </w:rPr>
        <w:t xml:space="preserve"> N.</w:t>
      </w:r>
      <w:r w:rsidRPr="00D16CC9">
        <w:rPr>
          <w:lang w:val="it-IT"/>
        </w:rPr>
        <w:t>, Rossetti</w:t>
      </w:r>
      <w:r w:rsidR="00CF24F5" w:rsidRPr="00D16CC9">
        <w:rPr>
          <w:lang w:val="it-IT"/>
        </w:rPr>
        <w:t xml:space="preserve"> I.</w:t>
      </w:r>
      <w:r w:rsidRPr="00D16CC9">
        <w:rPr>
          <w:lang w:val="it-IT"/>
        </w:rPr>
        <w:t>, Piumetti</w:t>
      </w:r>
      <w:r w:rsidR="00CF24F5" w:rsidRPr="00D16CC9">
        <w:rPr>
          <w:lang w:val="it-IT"/>
        </w:rPr>
        <w:t xml:space="preserve"> M.</w:t>
      </w:r>
      <w:r w:rsidRPr="00D16CC9">
        <w:rPr>
          <w:lang w:val="it-IT"/>
        </w:rPr>
        <w:t>, Ramis</w:t>
      </w:r>
      <w:r w:rsidR="00CF24F5" w:rsidRPr="00D16CC9">
        <w:rPr>
          <w:lang w:val="it-IT"/>
        </w:rPr>
        <w:t xml:space="preserve"> G.</w:t>
      </w:r>
      <w:r w:rsidRPr="00D16CC9">
        <w:rPr>
          <w:lang w:val="it-IT"/>
        </w:rPr>
        <w:t>, Bonelli</w:t>
      </w:r>
      <w:r w:rsidR="00CF24F5" w:rsidRPr="00D16CC9">
        <w:rPr>
          <w:lang w:val="it-IT"/>
        </w:rPr>
        <w:t xml:space="preserve"> B.</w:t>
      </w:r>
      <w:r w:rsidRPr="00D16CC9">
        <w:rPr>
          <w:lang w:val="it-IT"/>
        </w:rPr>
        <w:t>,</w:t>
      </w:r>
      <w:r w:rsidR="00CF24F5" w:rsidRPr="00D16CC9">
        <w:rPr>
          <w:lang w:val="it-IT"/>
        </w:rPr>
        <w:t xml:space="preserve"> 2017, </w:t>
      </w:r>
      <w:r w:rsidR="00B1780F" w:rsidRPr="00B1780F">
        <w:rPr>
          <w:lang w:val="it-IT"/>
        </w:rPr>
        <w:t>Both pure and Fe doped mesoporous titania catalyse the oxidation of Acid Orange 7 by H2O2 in different experimental conditions</w:t>
      </w:r>
      <w:r w:rsidR="00B1780F">
        <w:rPr>
          <w:lang w:val="it-IT"/>
        </w:rPr>
        <w:t>,</w:t>
      </w:r>
      <w:r w:rsidR="00B1780F" w:rsidRPr="00B1780F">
        <w:rPr>
          <w:lang w:val="it-IT"/>
        </w:rPr>
        <w:t xml:space="preserve"> </w:t>
      </w:r>
      <w:r w:rsidR="00CF24F5" w:rsidRPr="00D16CC9">
        <w:rPr>
          <w:lang w:val="it-IT"/>
        </w:rPr>
        <w:t xml:space="preserve">Catalysts, 7, </w:t>
      </w:r>
      <w:r w:rsidRPr="00D16CC9">
        <w:rPr>
          <w:lang w:val="it-IT"/>
        </w:rPr>
        <w:t>213</w:t>
      </w:r>
      <w:r w:rsidR="00CF24F5" w:rsidRPr="00D16CC9">
        <w:rPr>
          <w:lang w:val="it-IT"/>
        </w:rPr>
        <w:t>.</w:t>
      </w:r>
    </w:p>
    <w:p w14:paraId="58FE46C5" w14:textId="3F35D3C1" w:rsidR="008E4E88" w:rsidRPr="00D16CC9" w:rsidRDefault="00CF24F5" w:rsidP="00F32415">
      <w:pPr>
        <w:pStyle w:val="CETBodytext"/>
        <w:widowControl w:val="0"/>
        <w:rPr>
          <w:lang w:val="en-GB"/>
        </w:rPr>
      </w:pPr>
      <w:r w:rsidRPr="00D16CC9">
        <w:t xml:space="preserve">Fujishima </w:t>
      </w:r>
      <w:r w:rsidR="008E4E88" w:rsidRPr="00D16CC9">
        <w:t>A.</w:t>
      </w:r>
      <w:r w:rsidRPr="00D16CC9">
        <w:t xml:space="preserve">, Honda </w:t>
      </w:r>
      <w:r w:rsidR="008E4E88" w:rsidRPr="00D16CC9">
        <w:t>K.</w:t>
      </w:r>
      <w:r w:rsidRPr="00D16CC9">
        <w:t>, 1972,</w:t>
      </w:r>
      <w:r w:rsidR="008E4E88" w:rsidRPr="00D16CC9">
        <w:t xml:space="preserve"> Electrochemical Photolysis of Wate</w:t>
      </w:r>
      <w:r w:rsidR="00A3223E" w:rsidRPr="00D16CC9">
        <w:t>r at a Semiconductor, Nature, 238, 37</w:t>
      </w:r>
    </w:p>
    <w:p w14:paraId="1686651D" w14:textId="6D78FAC5" w:rsidR="008E4E88" w:rsidRPr="007C0CB9" w:rsidRDefault="008E4E88" w:rsidP="00F32415">
      <w:pPr>
        <w:pStyle w:val="CETBodytext"/>
        <w:widowControl w:val="0"/>
        <w:rPr>
          <w:lang w:val="en-GB"/>
        </w:rPr>
      </w:pPr>
      <w:bookmarkStart w:id="56" w:name="OLE_LINK518"/>
      <w:r w:rsidRPr="00B1780F">
        <w:rPr>
          <w:lang w:val="en-GB"/>
        </w:rPr>
        <w:t>Galli</w:t>
      </w:r>
      <w:r w:rsidR="00A3223E" w:rsidRPr="00B1780F">
        <w:rPr>
          <w:lang w:val="en-GB"/>
        </w:rPr>
        <w:t xml:space="preserve"> F.</w:t>
      </w:r>
      <w:r w:rsidRPr="00B1780F">
        <w:rPr>
          <w:lang w:val="en-GB"/>
        </w:rPr>
        <w:t>, Compagnoni</w:t>
      </w:r>
      <w:r w:rsidR="00A3223E" w:rsidRPr="00B1780F">
        <w:rPr>
          <w:lang w:val="en-GB"/>
        </w:rPr>
        <w:t xml:space="preserve"> M.</w:t>
      </w:r>
      <w:r w:rsidRPr="00B1780F">
        <w:rPr>
          <w:lang w:val="en-GB"/>
        </w:rPr>
        <w:t>, Vitali</w:t>
      </w:r>
      <w:r w:rsidR="00A3223E" w:rsidRPr="00B1780F">
        <w:rPr>
          <w:lang w:val="en-GB"/>
        </w:rPr>
        <w:t xml:space="preserve"> D.</w:t>
      </w:r>
      <w:r w:rsidRPr="00B1780F">
        <w:rPr>
          <w:lang w:val="en-GB"/>
        </w:rPr>
        <w:t>, Pirola</w:t>
      </w:r>
      <w:r w:rsidR="00A3223E" w:rsidRPr="00B1780F">
        <w:rPr>
          <w:lang w:val="en-GB"/>
        </w:rPr>
        <w:t xml:space="preserve"> C.</w:t>
      </w:r>
      <w:r w:rsidRPr="00B1780F">
        <w:rPr>
          <w:lang w:val="en-GB"/>
        </w:rPr>
        <w:t>, Bianchi</w:t>
      </w:r>
      <w:r w:rsidR="00A3223E" w:rsidRPr="00B1780F">
        <w:rPr>
          <w:lang w:val="en-GB"/>
        </w:rPr>
        <w:t xml:space="preserve"> C</w:t>
      </w:r>
      <w:r w:rsidRPr="00B1780F">
        <w:rPr>
          <w:lang w:val="en-GB"/>
        </w:rPr>
        <w:t>, Villa</w:t>
      </w:r>
      <w:r w:rsidR="00A3223E" w:rsidRPr="00B1780F">
        <w:rPr>
          <w:lang w:val="en-GB"/>
        </w:rPr>
        <w:t xml:space="preserve"> A.</w:t>
      </w:r>
      <w:r w:rsidRPr="00B1780F">
        <w:rPr>
          <w:lang w:val="en-GB"/>
        </w:rPr>
        <w:t>, Prati</w:t>
      </w:r>
      <w:r w:rsidR="00A3223E" w:rsidRPr="00B1780F">
        <w:rPr>
          <w:lang w:val="en-GB"/>
        </w:rPr>
        <w:t xml:space="preserve"> L.</w:t>
      </w:r>
      <w:r w:rsidRPr="00B1780F">
        <w:rPr>
          <w:lang w:val="en-GB"/>
        </w:rPr>
        <w:t>,</w:t>
      </w:r>
      <w:r w:rsidR="00A3223E" w:rsidRPr="00B1780F">
        <w:rPr>
          <w:lang w:val="en-GB"/>
        </w:rPr>
        <w:t xml:space="preserve"> Rossetti I., 2017,</w:t>
      </w:r>
      <w:r w:rsidRPr="00B1780F">
        <w:rPr>
          <w:lang w:val="en-GB"/>
        </w:rPr>
        <w:t xml:space="preserve"> </w:t>
      </w:r>
      <w:r w:rsidR="00B1780F" w:rsidRPr="00B1780F">
        <w:rPr>
          <w:lang w:val="en-GB"/>
        </w:rPr>
        <w:t>CO2 photoreduction at high pressure to both gas and liquid products over commercial titanium dioxide</w:t>
      </w:r>
      <w:r w:rsidR="00B1780F">
        <w:rPr>
          <w:lang w:val="en-GB"/>
        </w:rPr>
        <w:t>,</w:t>
      </w:r>
      <w:r w:rsidR="00B1780F" w:rsidRPr="00B1780F">
        <w:rPr>
          <w:lang w:val="en-GB"/>
        </w:rPr>
        <w:t xml:space="preserve"> </w:t>
      </w:r>
      <w:r w:rsidRPr="00B1780F">
        <w:rPr>
          <w:lang w:val="en-GB"/>
        </w:rPr>
        <w:t xml:space="preserve">Appl. </w:t>
      </w:r>
      <w:r w:rsidRPr="00B1780F">
        <w:rPr>
          <w:lang w:val="it-IT"/>
        </w:rPr>
        <w:t>Cata</w:t>
      </w:r>
      <w:r w:rsidR="00A3223E" w:rsidRPr="00B1780F">
        <w:rPr>
          <w:lang w:val="it-IT"/>
        </w:rPr>
        <w:t xml:space="preserve">l. </w:t>
      </w:r>
      <w:r w:rsidR="00A3223E" w:rsidRPr="007C0CB9">
        <w:rPr>
          <w:lang w:val="en-GB"/>
        </w:rPr>
        <w:t xml:space="preserve">B, 200, </w:t>
      </w:r>
      <w:r w:rsidRPr="007C0CB9">
        <w:rPr>
          <w:lang w:val="en-GB"/>
        </w:rPr>
        <w:t>386</w:t>
      </w:r>
      <w:bookmarkEnd w:id="56"/>
      <w:r w:rsidR="00A3223E" w:rsidRPr="007C0CB9">
        <w:rPr>
          <w:lang w:val="en-GB"/>
        </w:rPr>
        <w:t>.</w:t>
      </w:r>
    </w:p>
    <w:p w14:paraId="3A483755" w14:textId="508DF731" w:rsidR="008E4E88" w:rsidRPr="00D16CC9" w:rsidRDefault="008E4E88" w:rsidP="00F32415">
      <w:pPr>
        <w:pStyle w:val="CETBodytext"/>
        <w:widowControl w:val="0"/>
      </w:pPr>
      <w:bookmarkStart w:id="57" w:name="OLE_LINK483"/>
      <w:bookmarkStart w:id="58" w:name="OLE_LINK484"/>
      <w:bookmarkStart w:id="59" w:name="OLE_LINK485"/>
      <w:r w:rsidRPr="00D16CC9">
        <w:t>Gomathisankar</w:t>
      </w:r>
      <w:bookmarkEnd w:id="57"/>
      <w:bookmarkEnd w:id="58"/>
      <w:bookmarkEnd w:id="59"/>
      <w:r w:rsidR="00A3223E" w:rsidRPr="00D16CC9">
        <w:t xml:space="preserve"> P.</w:t>
      </w:r>
      <w:r w:rsidRPr="00D16CC9">
        <w:t>, Kawamura</w:t>
      </w:r>
      <w:r w:rsidR="00A3223E" w:rsidRPr="00D16CC9">
        <w:t xml:space="preserve"> T.</w:t>
      </w:r>
      <w:r w:rsidRPr="00D16CC9">
        <w:t>, Katsumata</w:t>
      </w:r>
      <w:r w:rsidR="00A3223E" w:rsidRPr="00D16CC9">
        <w:t xml:space="preserve"> H.</w:t>
      </w:r>
      <w:r w:rsidRPr="00D16CC9">
        <w:t>, Suzuki</w:t>
      </w:r>
      <w:r w:rsidR="00A3223E" w:rsidRPr="00D16CC9">
        <w:t xml:space="preserve"> T.</w:t>
      </w:r>
      <w:r w:rsidRPr="00D16CC9">
        <w:t>, Kaneco</w:t>
      </w:r>
      <w:r w:rsidR="00A3223E" w:rsidRPr="00D16CC9">
        <w:t xml:space="preserve"> S., 2016, </w:t>
      </w:r>
      <w:r w:rsidRPr="00D16CC9">
        <w:t>Photocatalytic hydrogen production from aqueous methanol solution using titanium dioxide with the aid of simultaneous metal deposition, Energy Sources, Part A R</w:t>
      </w:r>
      <w:r w:rsidR="00A3223E" w:rsidRPr="00D16CC9">
        <w:t>ecover. Util. Environ. Eff. 38, 110–116.</w:t>
      </w:r>
    </w:p>
    <w:p w14:paraId="7F7F8F51" w14:textId="2323C3ED" w:rsidR="008E4E88" w:rsidRPr="00D16CC9" w:rsidRDefault="008E4E88" w:rsidP="00F32415">
      <w:pPr>
        <w:pStyle w:val="CETBodytext"/>
        <w:widowControl w:val="0"/>
      </w:pPr>
      <w:r w:rsidRPr="00D16CC9">
        <w:rPr>
          <w:lang w:val="en"/>
        </w:rPr>
        <w:t>Green</w:t>
      </w:r>
      <w:r w:rsidR="00A3223E" w:rsidRPr="00D16CC9">
        <w:rPr>
          <w:lang w:val="en"/>
        </w:rPr>
        <w:t xml:space="preserve"> D.W.</w:t>
      </w:r>
      <w:r w:rsidRPr="00D16CC9">
        <w:rPr>
          <w:lang w:val="en"/>
        </w:rPr>
        <w:t>, Perry</w:t>
      </w:r>
      <w:r w:rsidR="00A3223E" w:rsidRPr="00D16CC9">
        <w:rPr>
          <w:lang w:val="en"/>
        </w:rPr>
        <w:t xml:space="preserve"> R.H.</w:t>
      </w:r>
      <w:r w:rsidRPr="00D16CC9">
        <w:rPr>
          <w:lang w:val="en"/>
        </w:rPr>
        <w:t xml:space="preserve">, </w:t>
      </w:r>
      <w:r w:rsidR="00A3223E" w:rsidRPr="00D16CC9">
        <w:rPr>
          <w:lang w:val="en"/>
        </w:rPr>
        <w:t xml:space="preserve">2008, </w:t>
      </w:r>
      <w:r w:rsidRPr="00D16CC9">
        <w:rPr>
          <w:lang w:val="en"/>
        </w:rPr>
        <w:t>Perry's Chemical Engineers' Handboo</w:t>
      </w:r>
      <w:r w:rsidR="00A3223E" w:rsidRPr="00D16CC9">
        <w:rPr>
          <w:lang w:val="en"/>
        </w:rPr>
        <w:t>k, Eighth Edition, McGraw-Hill.</w:t>
      </w:r>
    </w:p>
    <w:p w14:paraId="5BAA15A7" w14:textId="67D2AD15" w:rsidR="008E4E88" w:rsidRDefault="008E4E88" w:rsidP="00F32415">
      <w:pPr>
        <w:pStyle w:val="CETBodytext"/>
        <w:widowControl w:val="0"/>
      </w:pPr>
      <w:bookmarkStart w:id="60" w:name="OLE_LINK480"/>
      <w:bookmarkStart w:id="61" w:name="OLE_LINK481"/>
      <w:bookmarkStart w:id="62" w:name="OLE_LINK482"/>
      <w:r w:rsidRPr="00D16CC9">
        <w:t>Linsebigler</w:t>
      </w:r>
      <w:bookmarkEnd w:id="60"/>
      <w:bookmarkEnd w:id="61"/>
      <w:bookmarkEnd w:id="62"/>
      <w:r w:rsidR="00A3223E" w:rsidRPr="00D16CC9">
        <w:t xml:space="preserve"> A.L., </w:t>
      </w:r>
      <w:r w:rsidRPr="00D16CC9">
        <w:t>Lu</w:t>
      </w:r>
      <w:r w:rsidR="00A3223E" w:rsidRPr="00D16CC9">
        <w:t xml:space="preserve"> G., </w:t>
      </w:r>
      <w:r w:rsidRPr="00D16CC9">
        <w:t>Yates</w:t>
      </w:r>
      <w:r w:rsidR="00A3223E" w:rsidRPr="00D16CC9">
        <w:t xml:space="preserve"> J.T.</w:t>
      </w:r>
      <w:r w:rsidRPr="00D16CC9">
        <w:t>,</w:t>
      </w:r>
      <w:r w:rsidR="00A3223E" w:rsidRPr="00D16CC9">
        <w:t xml:space="preserve"> 1995,</w:t>
      </w:r>
      <w:r w:rsidRPr="00D16CC9">
        <w:t xml:space="preserve"> Photocatalysis on TiO</w:t>
      </w:r>
      <w:r w:rsidRPr="00D16CC9">
        <w:rPr>
          <w:vertAlign w:val="subscript"/>
        </w:rPr>
        <w:t>2</w:t>
      </w:r>
      <w:r w:rsidR="00A3223E" w:rsidRPr="00D16CC9">
        <w:t xml:space="preserve"> </w:t>
      </w:r>
      <w:r w:rsidRPr="00D16CC9">
        <w:t>Surfaces: Principles, Mechanisms, and Selected Results, Chem. Rev</w:t>
      </w:r>
      <w:r w:rsidR="00A3223E" w:rsidRPr="00D16CC9">
        <w:t xml:space="preserve">., 95, </w:t>
      </w:r>
      <w:r w:rsidRPr="00D16CC9">
        <w:t xml:space="preserve">735–758. </w:t>
      </w:r>
    </w:p>
    <w:p w14:paraId="4E4AE66C" w14:textId="71298685" w:rsidR="00854A90" w:rsidRPr="00854A90" w:rsidRDefault="00854A90" w:rsidP="00F32415">
      <w:pPr>
        <w:pStyle w:val="CETBodytext"/>
        <w:widowControl w:val="0"/>
      </w:pPr>
      <w:r w:rsidRPr="00854A90">
        <w:t>Montini T., Monai M., Beltram A., Romero-Ocaña I., Fornasiero P.,</w:t>
      </w:r>
      <w:r>
        <w:t>2016,</w:t>
      </w:r>
      <w:r w:rsidRPr="00854A90">
        <w:t xml:space="preserve"> H</w:t>
      </w:r>
      <w:r w:rsidRPr="00854A90">
        <w:rPr>
          <w:vertAlign w:val="subscript"/>
        </w:rPr>
        <w:t>2</w:t>
      </w:r>
      <w:r w:rsidRPr="00854A90">
        <w:t xml:space="preserve"> production by photocatalytic reforming of oxygenated compounds using TiO2-based materials</w:t>
      </w:r>
      <w:r>
        <w:t xml:space="preserve">, </w:t>
      </w:r>
      <w:r w:rsidRPr="00854A90">
        <w:t>Mater. Sci. in Semiconductor Proc., 42, 122–130.</w:t>
      </w:r>
    </w:p>
    <w:p w14:paraId="270D91FE" w14:textId="27E0F795" w:rsidR="008E4E88" w:rsidRPr="00D16CC9" w:rsidRDefault="008E4E88" w:rsidP="00F32415">
      <w:pPr>
        <w:pStyle w:val="CETBodytext"/>
        <w:widowControl w:val="0"/>
      </w:pPr>
      <w:r w:rsidRPr="00854A90">
        <w:t>Ohtani</w:t>
      </w:r>
      <w:r w:rsidR="00A3223E" w:rsidRPr="00854A90">
        <w:t xml:space="preserve"> B.</w:t>
      </w:r>
      <w:r w:rsidRPr="00854A90">
        <w:t>, Prieto-Mahaney</w:t>
      </w:r>
      <w:r w:rsidR="00A3223E" w:rsidRPr="00854A90">
        <w:t xml:space="preserve"> O.O.</w:t>
      </w:r>
      <w:r w:rsidRPr="00854A90">
        <w:t>, Li</w:t>
      </w:r>
      <w:r w:rsidR="00A3223E" w:rsidRPr="00854A90">
        <w:t xml:space="preserve"> D., </w:t>
      </w:r>
      <w:r w:rsidRPr="00854A90">
        <w:t>Abe</w:t>
      </w:r>
      <w:r w:rsidR="00A3223E" w:rsidRPr="00854A90">
        <w:t xml:space="preserve"> R.</w:t>
      </w:r>
      <w:r w:rsidRPr="00854A90">
        <w:t xml:space="preserve">, </w:t>
      </w:r>
      <w:r w:rsidR="00A3223E" w:rsidRPr="00854A90">
        <w:t xml:space="preserve"> 2010, </w:t>
      </w:r>
      <w:r w:rsidRPr="00854A90">
        <w:t xml:space="preserve">what is Degussa (Evonik) P25? </w:t>
      </w:r>
      <w:r w:rsidRPr="00D16CC9">
        <w:t>Crystalline composition analysis, reconstruction from isolated pure particles and p</w:t>
      </w:r>
      <w:r w:rsidR="00A3223E" w:rsidRPr="00D16CC9">
        <w:t xml:space="preserve">hotocatalytic activity test, </w:t>
      </w:r>
      <w:r w:rsidRPr="00D16CC9">
        <w:t xml:space="preserve">Journal of Photochemistry and Photobiology A: Chemistry, 216, </w:t>
      </w:r>
      <w:r w:rsidR="00D16CC9" w:rsidRPr="00D16CC9">
        <w:t>179-182.</w:t>
      </w:r>
    </w:p>
    <w:p w14:paraId="4EA68D72" w14:textId="296DFF49" w:rsidR="008E4E88" w:rsidRPr="00D16CC9" w:rsidRDefault="008E4E88" w:rsidP="00F32415">
      <w:pPr>
        <w:pStyle w:val="CETBodytext"/>
        <w:widowControl w:val="0"/>
      </w:pPr>
      <w:r w:rsidRPr="00D16CC9">
        <w:t>Ola and Maroto-Valer</w:t>
      </w:r>
      <w:r w:rsidR="00CF24F5" w:rsidRPr="00D16CC9">
        <w:t>.</w:t>
      </w:r>
      <w:r w:rsidRPr="00D16CC9">
        <w:t>,</w:t>
      </w:r>
      <w:r w:rsidR="00CF24F5" w:rsidRPr="00D16CC9">
        <w:t xml:space="preserve"> 2016, Chem. Eng. J, 283, </w:t>
      </w:r>
      <w:r w:rsidRPr="00D16CC9">
        <w:t>972-978</w:t>
      </w:r>
      <w:r w:rsidR="00CF24F5" w:rsidRPr="00D16CC9">
        <w:t>.</w:t>
      </w:r>
    </w:p>
    <w:p w14:paraId="668D35E3" w14:textId="679BE4BD" w:rsidR="008E4E88" w:rsidRPr="00D16CC9" w:rsidRDefault="008E4E88" w:rsidP="00F32415">
      <w:pPr>
        <w:pStyle w:val="CETBodytext"/>
        <w:widowControl w:val="0"/>
      </w:pPr>
      <w:r w:rsidRPr="00D16CC9">
        <w:t>Rossetti</w:t>
      </w:r>
      <w:r w:rsidR="00F008A0" w:rsidRPr="00D16CC9">
        <w:t xml:space="preserve"> I.</w:t>
      </w:r>
      <w:r w:rsidRPr="00D16CC9">
        <w:t xml:space="preserve">, </w:t>
      </w:r>
      <w:r w:rsidR="00CF24F5" w:rsidRPr="00D16CC9">
        <w:t xml:space="preserve">2012, </w:t>
      </w:r>
      <w:r w:rsidRPr="00D16CC9">
        <w:t>Hydrogen Production by Photoreforming of Renewable Substrates, ISRN Chem. Eng.</w:t>
      </w:r>
      <w:r w:rsidR="00CF24F5" w:rsidRPr="00D16CC9">
        <w:t xml:space="preserve"> 2012, </w:t>
      </w:r>
      <w:r w:rsidRPr="00D16CC9">
        <w:t xml:space="preserve">1–21. </w:t>
      </w:r>
    </w:p>
    <w:p w14:paraId="52593FBF" w14:textId="3A05E710" w:rsidR="008E4E88" w:rsidRPr="00D16CC9" w:rsidRDefault="008E4E88" w:rsidP="00F32415">
      <w:pPr>
        <w:pStyle w:val="CETBodytext"/>
        <w:widowControl w:val="0"/>
        <w:rPr>
          <w:lang w:val="it-IT"/>
        </w:rPr>
      </w:pPr>
      <w:bookmarkStart w:id="63" w:name="OLE_LINK90"/>
      <w:bookmarkStart w:id="64" w:name="OLE_LINK91"/>
      <w:bookmarkStart w:id="65" w:name="OLE_LINK92"/>
      <w:r w:rsidRPr="00D16CC9">
        <w:rPr>
          <w:lang w:val="it-IT"/>
        </w:rPr>
        <w:t>Rossetti</w:t>
      </w:r>
      <w:r w:rsidR="00C75AAD" w:rsidRPr="00D16CC9">
        <w:rPr>
          <w:lang w:val="it-IT"/>
        </w:rPr>
        <w:t xml:space="preserve"> I.</w:t>
      </w:r>
      <w:r w:rsidRPr="00D16CC9">
        <w:rPr>
          <w:lang w:val="it-IT"/>
        </w:rPr>
        <w:t>, Villa</w:t>
      </w:r>
      <w:r w:rsidR="00C75AAD" w:rsidRPr="00D16CC9">
        <w:rPr>
          <w:lang w:val="it-IT"/>
        </w:rPr>
        <w:t xml:space="preserve"> A.</w:t>
      </w:r>
      <w:r w:rsidRPr="00D16CC9">
        <w:rPr>
          <w:lang w:val="it-IT"/>
        </w:rPr>
        <w:t>, Compagnoni</w:t>
      </w:r>
      <w:r w:rsidR="00C75AAD" w:rsidRPr="00D16CC9">
        <w:rPr>
          <w:lang w:val="it-IT"/>
        </w:rPr>
        <w:t xml:space="preserve"> M.</w:t>
      </w:r>
      <w:r w:rsidRPr="00D16CC9">
        <w:rPr>
          <w:lang w:val="it-IT"/>
        </w:rPr>
        <w:t>, Pirola</w:t>
      </w:r>
      <w:r w:rsidR="00C75AAD" w:rsidRPr="00D16CC9">
        <w:rPr>
          <w:lang w:val="it-IT"/>
        </w:rPr>
        <w:t xml:space="preserve"> C.</w:t>
      </w:r>
      <w:r w:rsidRPr="00D16CC9">
        <w:rPr>
          <w:lang w:val="it-IT"/>
        </w:rPr>
        <w:t>, Prati</w:t>
      </w:r>
      <w:r w:rsidR="00C75AAD" w:rsidRPr="00D16CC9">
        <w:rPr>
          <w:lang w:val="it-IT"/>
        </w:rPr>
        <w:t xml:space="preserve"> L.</w:t>
      </w:r>
      <w:r w:rsidRPr="00D16CC9">
        <w:rPr>
          <w:lang w:val="it-IT"/>
        </w:rPr>
        <w:t xml:space="preserve">, Ramis </w:t>
      </w:r>
      <w:r w:rsidR="00C75AAD" w:rsidRPr="00D16CC9">
        <w:rPr>
          <w:lang w:val="it-IT"/>
        </w:rPr>
        <w:t>G.</w:t>
      </w:r>
      <w:r w:rsidRPr="00D16CC9">
        <w:rPr>
          <w:lang w:val="it-IT"/>
        </w:rPr>
        <w:t>, Wang</w:t>
      </w:r>
      <w:r w:rsidR="00C75AAD" w:rsidRPr="00D16CC9">
        <w:rPr>
          <w:lang w:val="it-IT"/>
        </w:rPr>
        <w:t xml:space="preserve"> W., </w:t>
      </w:r>
      <w:r w:rsidRPr="00D16CC9">
        <w:rPr>
          <w:lang w:val="it-IT"/>
        </w:rPr>
        <w:t>Wang</w:t>
      </w:r>
      <w:r w:rsidR="00C75AAD" w:rsidRPr="00D16CC9">
        <w:rPr>
          <w:lang w:val="it-IT"/>
        </w:rPr>
        <w:t xml:space="preserve"> D</w:t>
      </w:r>
      <w:r w:rsidR="00F008A0" w:rsidRPr="00D16CC9">
        <w:rPr>
          <w:lang w:val="it-IT"/>
        </w:rPr>
        <w:t>.</w:t>
      </w:r>
      <w:r w:rsidRPr="00D16CC9">
        <w:rPr>
          <w:lang w:val="it-IT"/>
        </w:rPr>
        <w:t>,</w:t>
      </w:r>
      <w:r w:rsidR="00F008A0" w:rsidRPr="00D16CC9">
        <w:rPr>
          <w:lang w:val="it-IT"/>
        </w:rPr>
        <w:t xml:space="preserve"> 2015, </w:t>
      </w:r>
      <w:r w:rsidR="00B1780F" w:rsidRPr="007C0CB9">
        <w:rPr>
          <w:lang w:val="it-IT"/>
        </w:rPr>
        <w:t>CO</w:t>
      </w:r>
      <w:r w:rsidR="00B1780F" w:rsidRPr="007C0CB9">
        <w:rPr>
          <w:vertAlign w:val="subscript"/>
          <w:lang w:val="it-IT"/>
        </w:rPr>
        <w:t>2</w:t>
      </w:r>
      <w:r w:rsidR="00B1780F" w:rsidRPr="007C0CB9">
        <w:rPr>
          <w:lang w:val="it-IT"/>
        </w:rPr>
        <w:t xml:space="preserve"> photoconversion to fuels,</w:t>
      </w:r>
      <w:r w:rsidR="00B1780F" w:rsidRPr="00B1780F">
        <w:rPr>
          <w:lang w:val="it-IT"/>
        </w:rPr>
        <w:t xml:space="preserve"> </w:t>
      </w:r>
      <w:r w:rsidR="00F008A0" w:rsidRPr="00D16CC9">
        <w:rPr>
          <w:lang w:val="it-IT"/>
        </w:rPr>
        <w:t xml:space="preserve">Catal. Sci &amp; Technol, 5, </w:t>
      </w:r>
      <w:r w:rsidRPr="00D16CC9">
        <w:rPr>
          <w:lang w:val="it-IT"/>
        </w:rPr>
        <w:t>4481</w:t>
      </w:r>
      <w:bookmarkEnd w:id="63"/>
      <w:bookmarkEnd w:id="64"/>
      <w:bookmarkEnd w:id="65"/>
      <w:r w:rsidR="00F008A0" w:rsidRPr="00D16CC9">
        <w:rPr>
          <w:lang w:val="it-IT"/>
        </w:rPr>
        <w:t>.</w:t>
      </w:r>
    </w:p>
    <w:p w14:paraId="44EF6D02" w14:textId="0E7ADC38" w:rsidR="008E4E88" w:rsidRPr="007C0CB9" w:rsidRDefault="008E4E88" w:rsidP="00F32415">
      <w:pPr>
        <w:pStyle w:val="CETBodytext"/>
        <w:widowControl w:val="0"/>
        <w:rPr>
          <w:lang w:val="en-GB"/>
        </w:rPr>
      </w:pPr>
      <w:r w:rsidRPr="00D16CC9">
        <w:rPr>
          <w:lang w:val="it-IT"/>
        </w:rPr>
        <w:t>Rossetti</w:t>
      </w:r>
      <w:r w:rsidR="00C75AAD" w:rsidRPr="00D16CC9">
        <w:rPr>
          <w:lang w:val="it-IT"/>
        </w:rPr>
        <w:t xml:space="preserve"> I.</w:t>
      </w:r>
      <w:r w:rsidRPr="00D16CC9">
        <w:rPr>
          <w:lang w:val="it-IT"/>
        </w:rPr>
        <w:t>, Compagnoni</w:t>
      </w:r>
      <w:r w:rsidR="00C75AAD" w:rsidRPr="00D16CC9">
        <w:rPr>
          <w:lang w:val="it-IT"/>
        </w:rPr>
        <w:t xml:space="preserve"> M.</w:t>
      </w:r>
      <w:r w:rsidRPr="00D16CC9">
        <w:rPr>
          <w:lang w:val="it-IT"/>
        </w:rPr>
        <w:t>, Ramis</w:t>
      </w:r>
      <w:r w:rsidR="00C75AAD" w:rsidRPr="00D16CC9">
        <w:rPr>
          <w:lang w:val="it-IT"/>
        </w:rPr>
        <w:t xml:space="preserve"> G.</w:t>
      </w:r>
      <w:r w:rsidRPr="00D16CC9">
        <w:rPr>
          <w:lang w:val="it-IT"/>
        </w:rPr>
        <w:t>, Freyria</w:t>
      </w:r>
      <w:r w:rsidR="00C75AAD" w:rsidRPr="00D16CC9">
        <w:rPr>
          <w:lang w:val="it-IT"/>
        </w:rPr>
        <w:t xml:space="preserve"> F.</w:t>
      </w:r>
      <w:r w:rsidRPr="00D16CC9">
        <w:rPr>
          <w:lang w:val="it-IT"/>
        </w:rPr>
        <w:t>, Armandi</w:t>
      </w:r>
      <w:r w:rsidR="00C75AAD" w:rsidRPr="00D16CC9">
        <w:rPr>
          <w:lang w:val="it-IT"/>
        </w:rPr>
        <w:t xml:space="preserve"> M.</w:t>
      </w:r>
      <w:r w:rsidRPr="00D16CC9">
        <w:rPr>
          <w:lang w:val="it-IT"/>
        </w:rPr>
        <w:t>, Bonelli</w:t>
      </w:r>
      <w:r w:rsidR="00C75AAD" w:rsidRPr="00D16CC9">
        <w:rPr>
          <w:lang w:val="it-IT"/>
        </w:rPr>
        <w:t xml:space="preserve"> B.</w:t>
      </w:r>
      <w:r w:rsidRPr="00D16CC9">
        <w:rPr>
          <w:lang w:val="it-IT"/>
        </w:rPr>
        <w:t xml:space="preserve">, </w:t>
      </w:r>
      <w:bookmarkStart w:id="66" w:name="OLE_LINK93"/>
      <w:r w:rsidR="00C75AAD" w:rsidRPr="00D16CC9">
        <w:rPr>
          <w:lang w:val="it-IT"/>
        </w:rPr>
        <w:t xml:space="preserve">2017, </w:t>
      </w:r>
      <w:r w:rsidRPr="00D16CC9">
        <w:rPr>
          <w:lang w:val="it-IT"/>
        </w:rPr>
        <w:t xml:space="preserve">Chem. Eng. </w:t>
      </w:r>
      <w:r w:rsidRPr="007C0CB9">
        <w:rPr>
          <w:lang w:val="en-GB"/>
        </w:rPr>
        <w:t>Trans., 57</w:t>
      </w:r>
      <w:bookmarkStart w:id="67" w:name="OLE_LINK300"/>
      <w:bookmarkEnd w:id="66"/>
      <w:r w:rsidR="00C75AAD" w:rsidRPr="007C0CB9">
        <w:rPr>
          <w:lang w:val="en-GB"/>
        </w:rPr>
        <w:t xml:space="preserve">, </w:t>
      </w:r>
      <w:r w:rsidRPr="007C0CB9">
        <w:rPr>
          <w:lang w:val="en-GB"/>
        </w:rPr>
        <w:t>319</w:t>
      </w:r>
      <w:bookmarkEnd w:id="67"/>
      <w:r w:rsidR="00C75AAD" w:rsidRPr="007C0CB9">
        <w:rPr>
          <w:lang w:val="en-GB"/>
        </w:rPr>
        <w:t>.</w:t>
      </w:r>
    </w:p>
    <w:p w14:paraId="5A596756" w14:textId="3D3FCD44" w:rsidR="00F32415" w:rsidRPr="00B1780F" w:rsidRDefault="00C75AAD" w:rsidP="00F32415">
      <w:pPr>
        <w:pStyle w:val="CETBodytext"/>
        <w:widowControl w:val="0"/>
        <w:rPr>
          <w:lang w:val="en-GB"/>
        </w:rPr>
      </w:pPr>
      <w:r w:rsidRPr="00B1780F">
        <w:rPr>
          <w:lang w:val="en-GB"/>
        </w:rPr>
        <w:t>Rossetti I.</w:t>
      </w:r>
      <w:r w:rsidR="008E4E88" w:rsidRPr="00B1780F">
        <w:rPr>
          <w:lang w:val="en-GB"/>
        </w:rPr>
        <w:t xml:space="preserve">, </w:t>
      </w:r>
      <w:r w:rsidRPr="00B1780F">
        <w:rPr>
          <w:lang w:val="en-GB"/>
        </w:rPr>
        <w:t xml:space="preserve">Bahadori </w:t>
      </w:r>
      <w:r w:rsidR="008E4E88" w:rsidRPr="00B1780F">
        <w:rPr>
          <w:lang w:val="en-GB"/>
        </w:rPr>
        <w:t>E.</w:t>
      </w:r>
      <w:r w:rsidRPr="00B1780F">
        <w:rPr>
          <w:lang w:val="en-GB"/>
        </w:rPr>
        <w:t xml:space="preserve">, </w:t>
      </w:r>
      <w:r w:rsidR="008E4E88" w:rsidRPr="00B1780F">
        <w:rPr>
          <w:lang w:val="en-GB"/>
        </w:rPr>
        <w:t>Compagnoni</w:t>
      </w:r>
      <w:r w:rsidRPr="00B1780F">
        <w:rPr>
          <w:lang w:val="en-GB"/>
        </w:rPr>
        <w:t xml:space="preserve"> M., </w:t>
      </w:r>
      <w:r w:rsidR="008E4E88" w:rsidRPr="00B1780F">
        <w:rPr>
          <w:lang w:val="en-GB"/>
        </w:rPr>
        <w:t>Tripodi</w:t>
      </w:r>
      <w:r w:rsidRPr="00B1780F">
        <w:rPr>
          <w:lang w:val="en-GB"/>
        </w:rPr>
        <w:t xml:space="preserve"> A., </w:t>
      </w:r>
      <w:r w:rsidR="008E4E88" w:rsidRPr="00B1780F">
        <w:rPr>
          <w:lang w:val="en-GB"/>
        </w:rPr>
        <w:t>Villa</w:t>
      </w:r>
      <w:r w:rsidRPr="00B1780F">
        <w:rPr>
          <w:lang w:val="en-GB"/>
        </w:rPr>
        <w:t xml:space="preserve"> A., </w:t>
      </w:r>
      <w:r w:rsidR="008E4E88" w:rsidRPr="00B1780F">
        <w:rPr>
          <w:lang w:val="en-GB"/>
        </w:rPr>
        <w:t>Prati</w:t>
      </w:r>
      <w:r w:rsidRPr="00B1780F">
        <w:rPr>
          <w:lang w:val="en-GB"/>
        </w:rPr>
        <w:t xml:space="preserve"> L., </w:t>
      </w:r>
      <w:r w:rsidR="008E4E88" w:rsidRPr="00B1780F">
        <w:rPr>
          <w:lang w:val="en-GB"/>
        </w:rPr>
        <w:t>Ramis</w:t>
      </w:r>
      <w:r w:rsidRPr="00B1780F">
        <w:rPr>
          <w:lang w:val="en-GB"/>
        </w:rPr>
        <w:t xml:space="preserve"> G.</w:t>
      </w:r>
      <w:r w:rsidR="008E4E88" w:rsidRPr="00B1780F">
        <w:rPr>
          <w:lang w:val="en-GB"/>
        </w:rPr>
        <w:t>,</w:t>
      </w:r>
      <w:r w:rsidRPr="00B1780F">
        <w:rPr>
          <w:lang w:val="en-GB"/>
        </w:rPr>
        <w:t xml:space="preserve"> 2018, </w:t>
      </w:r>
      <w:r w:rsidR="00B1780F" w:rsidRPr="00B1780F">
        <w:rPr>
          <w:lang w:val="en-GB"/>
        </w:rPr>
        <w:t>Conceptual design and feasibility assessment of photoreactors for solar energy storage</w:t>
      </w:r>
      <w:r w:rsidR="00B1780F">
        <w:rPr>
          <w:lang w:val="en-GB"/>
        </w:rPr>
        <w:t>,</w:t>
      </w:r>
      <w:r w:rsidR="00B1780F" w:rsidRPr="00B1780F">
        <w:rPr>
          <w:lang w:val="en-GB"/>
        </w:rPr>
        <w:t xml:space="preserve"> </w:t>
      </w:r>
      <w:r w:rsidRPr="00B1780F">
        <w:rPr>
          <w:lang w:val="en-GB"/>
        </w:rPr>
        <w:t xml:space="preserve">Solar Energy, 172, </w:t>
      </w:r>
      <w:r w:rsidR="008E4E88" w:rsidRPr="00B1780F">
        <w:rPr>
          <w:lang w:val="en-GB"/>
        </w:rPr>
        <w:t>225-231</w:t>
      </w:r>
      <w:r w:rsidRPr="00B1780F">
        <w:rPr>
          <w:lang w:val="en-GB"/>
        </w:rPr>
        <w:t xml:space="preserve">. </w:t>
      </w:r>
    </w:p>
    <w:p w14:paraId="05FBC39B" w14:textId="2D1AE24E" w:rsidR="004628D2" w:rsidRDefault="008E4E88" w:rsidP="00F32415">
      <w:pPr>
        <w:pStyle w:val="CETBodytext"/>
        <w:widowControl w:val="0"/>
      </w:pPr>
      <w:r w:rsidRPr="00D16CC9">
        <w:t>Trevisan</w:t>
      </w:r>
      <w:r w:rsidR="00C75AAD" w:rsidRPr="00D16CC9">
        <w:t xml:space="preserve"> V., </w:t>
      </w:r>
      <w:r w:rsidRPr="00D16CC9">
        <w:t>Olivo</w:t>
      </w:r>
      <w:r w:rsidR="00C75AAD" w:rsidRPr="00D16CC9">
        <w:t xml:space="preserve"> A., </w:t>
      </w:r>
      <w:r w:rsidRPr="00D16CC9">
        <w:t>Pinna</w:t>
      </w:r>
      <w:r w:rsidR="00C75AAD" w:rsidRPr="00D16CC9">
        <w:t xml:space="preserve"> F., </w:t>
      </w:r>
      <w:r w:rsidRPr="00D16CC9">
        <w:t>Signoretto</w:t>
      </w:r>
      <w:r w:rsidR="00C75AAD" w:rsidRPr="00D16CC9">
        <w:t xml:space="preserve"> M., </w:t>
      </w:r>
      <w:r w:rsidRPr="00D16CC9">
        <w:t>Vindigni</w:t>
      </w:r>
      <w:r w:rsidR="00C75AAD" w:rsidRPr="00D16CC9">
        <w:t xml:space="preserve"> F., </w:t>
      </w:r>
      <w:r w:rsidRPr="00D16CC9">
        <w:t>Cerrato</w:t>
      </w:r>
      <w:r w:rsidR="00C75AAD" w:rsidRPr="00D16CC9">
        <w:t xml:space="preserve"> G., </w:t>
      </w:r>
      <w:r w:rsidRPr="00D16CC9">
        <w:t>Bianchi</w:t>
      </w:r>
      <w:r w:rsidR="00C75AAD" w:rsidRPr="00D16CC9">
        <w:t xml:space="preserve"> C.L.</w:t>
      </w:r>
      <w:r w:rsidRPr="00D16CC9">
        <w:t>,</w:t>
      </w:r>
      <w:r w:rsidR="00C75AAD" w:rsidRPr="00D16CC9">
        <w:t xml:space="preserve"> 2014,</w:t>
      </w:r>
      <w:r w:rsidRPr="00D16CC9">
        <w:t xml:space="preserve"> C-N/TiO2photocatalysts: Effect of co-doping on the catalytic performance under visible light, </w:t>
      </w:r>
      <w:r w:rsidR="00C75AAD" w:rsidRPr="00D16CC9">
        <w:t>Appl. Catal. B Environ. 160–161, 152–160.</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9A66" w14:textId="77777777" w:rsidR="00AA375E" w:rsidRDefault="00AA375E" w:rsidP="004F5E36">
      <w:r>
        <w:separator/>
      </w:r>
    </w:p>
  </w:endnote>
  <w:endnote w:type="continuationSeparator" w:id="0">
    <w:p w14:paraId="663CBCCA" w14:textId="77777777" w:rsidR="00AA375E" w:rsidRDefault="00AA37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69F78" w14:textId="77777777" w:rsidR="00AA375E" w:rsidRDefault="00AA375E" w:rsidP="004F5E36">
      <w:r>
        <w:separator/>
      </w:r>
    </w:p>
  </w:footnote>
  <w:footnote w:type="continuationSeparator" w:id="0">
    <w:p w14:paraId="2BC02554" w14:textId="77777777" w:rsidR="00AA375E" w:rsidRDefault="00AA375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7E1D1F"/>
    <w:multiLevelType w:val="hybridMultilevel"/>
    <w:tmpl w:val="AFC47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A7B18"/>
    <w:multiLevelType w:val="hybridMultilevel"/>
    <w:tmpl w:val="406A8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614E11"/>
    <w:multiLevelType w:val="hybridMultilevel"/>
    <w:tmpl w:val="7318F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08987037"/>
    <w:multiLevelType w:val="hybridMultilevel"/>
    <w:tmpl w:val="8FBE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167AB"/>
    <w:multiLevelType w:val="hybridMultilevel"/>
    <w:tmpl w:val="AF1A0D62"/>
    <w:lvl w:ilvl="0" w:tplc="D7B02BB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45C9D"/>
    <w:multiLevelType w:val="hybridMultilevel"/>
    <w:tmpl w:val="7472D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BA5A04"/>
    <w:multiLevelType w:val="hybridMultilevel"/>
    <w:tmpl w:val="328EC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0947A53"/>
    <w:multiLevelType w:val="hybridMultilevel"/>
    <w:tmpl w:val="4DE0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25FA3463"/>
    <w:multiLevelType w:val="hybridMultilevel"/>
    <w:tmpl w:val="F8742D7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263B51D7"/>
    <w:multiLevelType w:val="hybridMultilevel"/>
    <w:tmpl w:val="BA0CF1CE"/>
    <w:lvl w:ilvl="0" w:tplc="C91E260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9DB7318"/>
    <w:multiLevelType w:val="hybridMultilevel"/>
    <w:tmpl w:val="820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4F5547"/>
    <w:multiLevelType w:val="hybridMultilevel"/>
    <w:tmpl w:val="76ECC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4F311D"/>
    <w:multiLevelType w:val="hybridMultilevel"/>
    <w:tmpl w:val="852C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E63AAB"/>
    <w:multiLevelType w:val="hybridMultilevel"/>
    <w:tmpl w:val="E37E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6868A5"/>
    <w:multiLevelType w:val="hybridMultilevel"/>
    <w:tmpl w:val="9B14D78C"/>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hint="default"/>
      </w:rPr>
    </w:lvl>
    <w:lvl w:ilvl="3" w:tplc="04100001">
      <w:start w:val="1"/>
      <w:numFmt w:val="bullet"/>
      <w:lvlText w:val=""/>
      <w:lvlJc w:val="left"/>
      <w:pPr>
        <w:ind w:left="2945" w:hanging="360"/>
      </w:pPr>
      <w:rPr>
        <w:rFonts w:ascii="Symbol" w:hAnsi="Symbol" w:hint="default"/>
      </w:rPr>
    </w:lvl>
    <w:lvl w:ilvl="4" w:tplc="04100003">
      <w:start w:val="1"/>
      <w:numFmt w:val="bullet"/>
      <w:lvlText w:val="o"/>
      <w:lvlJc w:val="left"/>
      <w:pPr>
        <w:ind w:left="3665" w:hanging="360"/>
      </w:pPr>
      <w:rPr>
        <w:rFonts w:ascii="Courier New" w:hAnsi="Courier New" w:cs="Courier New" w:hint="default"/>
      </w:rPr>
    </w:lvl>
    <w:lvl w:ilvl="5" w:tplc="04100005">
      <w:start w:val="1"/>
      <w:numFmt w:val="bullet"/>
      <w:lvlText w:val=""/>
      <w:lvlJc w:val="left"/>
      <w:pPr>
        <w:ind w:left="4385" w:hanging="360"/>
      </w:pPr>
      <w:rPr>
        <w:rFonts w:ascii="Wingdings" w:hAnsi="Wingdings" w:hint="default"/>
      </w:rPr>
    </w:lvl>
    <w:lvl w:ilvl="6" w:tplc="04100001">
      <w:start w:val="1"/>
      <w:numFmt w:val="bullet"/>
      <w:lvlText w:val=""/>
      <w:lvlJc w:val="left"/>
      <w:pPr>
        <w:ind w:left="5105" w:hanging="360"/>
      </w:pPr>
      <w:rPr>
        <w:rFonts w:ascii="Symbol" w:hAnsi="Symbol" w:hint="default"/>
      </w:rPr>
    </w:lvl>
    <w:lvl w:ilvl="7" w:tplc="04100003">
      <w:start w:val="1"/>
      <w:numFmt w:val="bullet"/>
      <w:lvlText w:val="o"/>
      <w:lvlJc w:val="left"/>
      <w:pPr>
        <w:ind w:left="5825" w:hanging="360"/>
      </w:pPr>
      <w:rPr>
        <w:rFonts w:ascii="Courier New" w:hAnsi="Courier New" w:cs="Courier New" w:hint="default"/>
      </w:rPr>
    </w:lvl>
    <w:lvl w:ilvl="8" w:tplc="04100005">
      <w:start w:val="1"/>
      <w:numFmt w:val="bullet"/>
      <w:lvlText w:val=""/>
      <w:lvlJc w:val="left"/>
      <w:pPr>
        <w:ind w:left="6545" w:hanging="360"/>
      </w:pPr>
      <w:rPr>
        <w:rFonts w:ascii="Wingdings" w:hAnsi="Wingdings" w:hint="default"/>
      </w:rPr>
    </w:lvl>
  </w:abstractNum>
  <w:abstractNum w:abstractNumId="2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3041D8"/>
    <w:multiLevelType w:val="hybridMultilevel"/>
    <w:tmpl w:val="63F2A5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BA4BC1"/>
    <w:multiLevelType w:val="hybridMultilevel"/>
    <w:tmpl w:val="FA3A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315C77"/>
    <w:multiLevelType w:val="hybridMultilevel"/>
    <w:tmpl w:val="1072440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9937278"/>
    <w:multiLevelType w:val="hybridMultilevel"/>
    <w:tmpl w:val="78747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A704E"/>
    <w:multiLevelType w:val="hybridMultilevel"/>
    <w:tmpl w:val="4C42D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17EA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9080009"/>
    <w:multiLevelType w:val="hybridMultilevel"/>
    <w:tmpl w:val="F788C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1"/>
  </w:num>
  <w:num w:numId="13">
    <w:abstractNumId w:val="23"/>
  </w:num>
  <w:num w:numId="14">
    <w:abstractNumId w:val="32"/>
  </w:num>
  <w:num w:numId="15">
    <w:abstractNumId w:val="36"/>
  </w:num>
  <w:num w:numId="16">
    <w:abstractNumId w:val="34"/>
  </w:num>
  <w:num w:numId="17">
    <w:abstractNumId w:val="22"/>
  </w:num>
  <w:num w:numId="18">
    <w:abstractNumId w:val="23"/>
    <w:lvlOverride w:ilvl="0">
      <w:startOverride w:val="1"/>
    </w:lvlOverride>
  </w:num>
  <w:num w:numId="19">
    <w:abstractNumId w:val="30"/>
  </w:num>
  <w:num w:numId="20">
    <w:abstractNumId w:val="29"/>
  </w:num>
  <w:num w:numId="21">
    <w:abstractNumId w:val="27"/>
  </w:num>
  <w:num w:numId="22">
    <w:abstractNumId w:val="41"/>
  </w:num>
  <w:num w:numId="23">
    <w:abstractNumId w:val="40"/>
  </w:num>
  <w:num w:numId="24">
    <w:abstractNumId w:val="39"/>
  </w:num>
  <w:num w:numId="25">
    <w:abstractNumId w:val="10"/>
  </w:num>
  <w:num w:numId="26">
    <w:abstractNumId w:val="24"/>
  </w:num>
  <w:num w:numId="27">
    <w:abstractNumId w:val="17"/>
  </w:num>
  <w:num w:numId="28">
    <w:abstractNumId w:val="14"/>
  </w:num>
  <w:num w:numId="29">
    <w:abstractNumId w:val="20"/>
  </w:num>
  <w:num w:numId="30">
    <w:abstractNumId w:val="37"/>
  </w:num>
  <w:num w:numId="31">
    <w:abstractNumId w:val="26"/>
  </w:num>
  <w:num w:numId="32">
    <w:abstractNumId w:val="38"/>
  </w:num>
  <w:num w:numId="33">
    <w:abstractNumId w:val="13"/>
  </w:num>
  <w:num w:numId="34">
    <w:abstractNumId w:val="21"/>
  </w:num>
  <w:num w:numId="35">
    <w:abstractNumId w:val="28"/>
  </w:num>
  <w:num w:numId="36">
    <w:abstractNumId w:val="12"/>
  </w:num>
  <w:num w:numId="37">
    <w:abstractNumId w:val="19"/>
  </w:num>
  <w:num w:numId="38">
    <w:abstractNumId w:val="33"/>
  </w:num>
  <w:num w:numId="39">
    <w:abstractNumId w:val="35"/>
  </w:num>
  <w:num w:numId="40">
    <w:abstractNumId w:val="15"/>
  </w:num>
  <w:num w:numId="41">
    <w:abstractNumId w:val="16"/>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1F4B"/>
    <w:rsid w:val="0003148D"/>
    <w:rsid w:val="0003287E"/>
    <w:rsid w:val="00034ECA"/>
    <w:rsid w:val="00046C02"/>
    <w:rsid w:val="00047D7F"/>
    <w:rsid w:val="00050129"/>
    <w:rsid w:val="00051566"/>
    <w:rsid w:val="000557CB"/>
    <w:rsid w:val="00062A9A"/>
    <w:rsid w:val="00065058"/>
    <w:rsid w:val="00066675"/>
    <w:rsid w:val="00067CB0"/>
    <w:rsid w:val="00086C39"/>
    <w:rsid w:val="000A03B2"/>
    <w:rsid w:val="000A3B79"/>
    <w:rsid w:val="000A73FF"/>
    <w:rsid w:val="000D34BE"/>
    <w:rsid w:val="000E102F"/>
    <w:rsid w:val="000E36F1"/>
    <w:rsid w:val="000E3A73"/>
    <w:rsid w:val="000E414A"/>
    <w:rsid w:val="000E6F58"/>
    <w:rsid w:val="000F093C"/>
    <w:rsid w:val="000F16BD"/>
    <w:rsid w:val="000F787B"/>
    <w:rsid w:val="00101A33"/>
    <w:rsid w:val="0012091F"/>
    <w:rsid w:val="0012410A"/>
    <w:rsid w:val="00126BC2"/>
    <w:rsid w:val="001308B6"/>
    <w:rsid w:val="0013121F"/>
    <w:rsid w:val="00131FAB"/>
    <w:rsid w:val="00131FE6"/>
    <w:rsid w:val="0013263F"/>
    <w:rsid w:val="00133ECC"/>
    <w:rsid w:val="00134DE4"/>
    <w:rsid w:val="0014034D"/>
    <w:rsid w:val="00150E59"/>
    <w:rsid w:val="00152DE3"/>
    <w:rsid w:val="00154580"/>
    <w:rsid w:val="00162642"/>
    <w:rsid w:val="00164CF9"/>
    <w:rsid w:val="0018046F"/>
    <w:rsid w:val="00180FC9"/>
    <w:rsid w:val="00184AD6"/>
    <w:rsid w:val="001B0349"/>
    <w:rsid w:val="001B65C1"/>
    <w:rsid w:val="001C684B"/>
    <w:rsid w:val="001D53FC"/>
    <w:rsid w:val="001F42A5"/>
    <w:rsid w:val="001F7603"/>
    <w:rsid w:val="001F7B9D"/>
    <w:rsid w:val="002214C4"/>
    <w:rsid w:val="002224B4"/>
    <w:rsid w:val="00233344"/>
    <w:rsid w:val="002447EF"/>
    <w:rsid w:val="00251550"/>
    <w:rsid w:val="00252C1A"/>
    <w:rsid w:val="00263B05"/>
    <w:rsid w:val="00266494"/>
    <w:rsid w:val="00266AB7"/>
    <w:rsid w:val="0027221A"/>
    <w:rsid w:val="00275B61"/>
    <w:rsid w:val="002818C1"/>
    <w:rsid w:val="00282656"/>
    <w:rsid w:val="0029475D"/>
    <w:rsid w:val="00296B83"/>
    <w:rsid w:val="002B78CE"/>
    <w:rsid w:val="002C2FB6"/>
    <w:rsid w:val="002D5BCD"/>
    <w:rsid w:val="003009B7"/>
    <w:rsid w:val="00300E56"/>
    <w:rsid w:val="0030469C"/>
    <w:rsid w:val="00321CA6"/>
    <w:rsid w:val="00325C4F"/>
    <w:rsid w:val="00334C09"/>
    <w:rsid w:val="003365E3"/>
    <w:rsid w:val="0035383D"/>
    <w:rsid w:val="003723D4"/>
    <w:rsid w:val="00384CC8"/>
    <w:rsid w:val="003871FD"/>
    <w:rsid w:val="003A1E30"/>
    <w:rsid w:val="003A5517"/>
    <w:rsid w:val="003A7D1C"/>
    <w:rsid w:val="003B304B"/>
    <w:rsid w:val="003B3146"/>
    <w:rsid w:val="003B60F3"/>
    <w:rsid w:val="003F015E"/>
    <w:rsid w:val="00400414"/>
    <w:rsid w:val="0041446B"/>
    <w:rsid w:val="004321CB"/>
    <w:rsid w:val="0044329C"/>
    <w:rsid w:val="0045071F"/>
    <w:rsid w:val="004577FE"/>
    <w:rsid w:val="00457B9C"/>
    <w:rsid w:val="0046164A"/>
    <w:rsid w:val="004628D2"/>
    <w:rsid w:val="00462DCD"/>
    <w:rsid w:val="004648AD"/>
    <w:rsid w:val="00465BD7"/>
    <w:rsid w:val="004703A9"/>
    <w:rsid w:val="004717AF"/>
    <w:rsid w:val="004760DE"/>
    <w:rsid w:val="00492D29"/>
    <w:rsid w:val="004A004E"/>
    <w:rsid w:val="004A24CF"/>
    <w:rsid w:val="004B6721"/>
    <w:rsid w:val="004C0FFA"/>
    <w:rsid w:val="004C3D1D"/>
    <w:rsid w:val="004C731F"/>
    <w:rsid w:val="004C7913"/>
    <w:rsid w:val="004E0132"/>
    <w:rsid w:val="004E4DD6"/>
    <w:rsid w:val="004F5E36"/>
    <w:rsid w:val="00507B47"/>
    <w:rsid w:val="00507CC9"/>
    <w:rsid w:val="005119A5"/>
    <w:rsid w:val="00516C07"/>
    <w:rsid w:val="00527747"/>
    <w:rsid w:val="005278B7"/>
    <w:rsid w:val="00532016"/>
    <w:rsid w:val="005346C8"/>
    <w:rsid w:val="00543E7D"/>
    <w:rsid w:val="00546B05"/>
    <w:rsid w:val="00547A68"/>
    <w:rsid w:val="005531C9"/>
    <w:rsid w:val="005B0FAA"/>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32C7F"/>
    <w:rsid w:val="0064184D"/>
    <w:rsid w:val="006422CC"/>
    <w:rsid w:val="00650102"/>
    <w:rsid w:val="006536E9"/>
    <w:rsid w:val="00660E3E"/>
    <w:rsid w:val="00662E74"/>
    <w:rsid w:val="00680C23"/>
    <w:rsid w:val="0068666D"/>
    <w:rsid w:val="00693766"/>
    <w:rsid w:val="006A3281"/>
    <w:rsid w:val="006B4888"/>
    <w:rsid w:val="006C2E45"/>
    <w:rsid w:val="006C359C"/>
    <w:rsid w:val="006C5579"/>
    <w:rsid w:val="006E71EF"/>
    <w:rsid w:val="006E737D"/>
    <w:rsid w:val="0070195D"/>
    <w:rsid w:val="00720A24"/>
    <w:rsid w:val="00732386"/>
    <w:rsid w:val="007447F3"/>
    <w:rsid w:val="0075499F"/>
    <w:rsid w:val="007661C8"/>
    <w:rsid w:val="0077098D"/>
    <w:rsid w:val="007879B6"/>
    <w:rsid w:val="007931FA"/>
    <w:rsid w:val="00796BA1"/>
    <w:rsid w:val="007975A2"/>
    <w:rsid w:val="007A7BBA"/>
    <w:rsid w:val="007B0C50"/>
    <w:rsid w:val="007C0CB9"/>
    <w:rsid w:val="007C119E"/>
    <w:rsid w:val="007C1A43"/>
    <w:rsid w:val="007C4540"/>
    <w:rsid w:val="007D64F6"/>
    <w:rsid w:val="007D7240"/>
    <w:rsid w:val="007E1DC6"/>
    <w:rsid w:val="00812FCB"/>
    <w:rsid w:val="00813288"/>
    <w:rsid w:val="008168FC"/>
    <w:rsid w:val="00821C0A"/>
    <w:rsid w:val="00830996"/>
    <w:rsid w:val="008345F1"/>
    <w:rsid w:val="008546A3"/>
    <w:rsid w:val="00854A90"/>
    <w:rsid w:val="00865B07"/>
    <w:rsid w:val="008667EA"/>
    <w:rsid w:val="0087637F"/>
    <w:rsid w:val="008904B9"/>
    <w:rsid w:val="00892AD5"/>
    <w:rsid w:val="0089382D"/>
    <w:rsid w:val="008965E7"/>
    <w:rsid w:val="008A1512"/>
    <w:rsid w:val="008B6EAA"/>
    <w:rsid w:val="008C78C1"/>
    <w:rsid w:val="008D32B9"/>
    <w:rsid w:val="008D433B"/>
    <w:rsid w:val="008E4E88"/>
    <w:rsid w:val="008E566E"/>
    <w:rsid w:val="0090161A"/>
    <w:rsid w:val="00901EB6"/>
    <w:rsid w:val="009032DE"/>
    <w:rsid w:val="00904C62"/>
    <w:rsid w:val="009148D6"/>
    <w:rsid w:val="0091710E"/>
    <w:rsid w:val="00924DAC"/>
    <w:rsid w:val="00927058"/>
    <w:rsid w:val="00941FDF"/>
    <w:rsid w:val="009450CE"/>
    <w:rsid w:val="00947179"/>
    <w:rsid w:val="0095164B"/>
    <w:rsid w:val="00954090"/>
    <w:rsid w:val="009573E7"/>
    <w:rsid w:val="009635B9"/>
    <w:rsid w:val="00963E05"/>
    <w:rsid w:val="00967D54"/>
    <w:rsid w:val="00986169"/>
    <w:rsid w:val="00996483"/>
    <w:rsid w:val="00996F5A"/>
    <w:rsid w:val="009A0A3E"/>
    <w:rsid w:val="009A0E86"/>
    <w:rsid w:val="009A59F1"/>
    <w:rsid w:val="009B041A"/>
    <w:rsid w:val="009C7C86"/>
    <w:rsid w:val="009D2FF7"/>
    <w:rsid w:val="009E7884"/>
    <w:rsid w:val="009E788A"/>
    <w:rsid w:val="009F0E08"/>
    <w:rsid w:val="009F383F"/>
    <w:rsid w:val="00A14CFB"/>
    <w:rsid w:val="00A1763D"/>
    <w:rsid w:val="00A17CEC"/>
    <w:rsid w:val="00A27EF0"/>
    <w:rsid w:val="00A3223E"/>
    <w:rsid w:val="00A50B20"/>
    <w:rsid w:val="00A51390"/>
    <w:rsid w:val="00A564BB"/>
    <w:rsid w:val="00A60D13"/>
    <w:rsid w:val="00A72745"/>
    <w:rsid w:val="00A76EFC"/>
    <w:rsid w:val="00A91010"/>
    <w:rsid w:val="00A96459"/>
    <w:rsid w:val="00A97F29"/>
    <w:rsid w:val="00AA375E"/>
    <w:rsid w:val="00AA702E"/>
    <w:rsid w:val="00AB0964"/>
    <w:rsid w:val="00AB5011"/>
    <w:rsid w:val="00AC18DD"/>
    <w:rsid w:val="00AC7368"/>
    <w:rsid w:val="00AD16B9"/>
    <w:rsid w:val="00AE2780"/>
    <w:rsid w:val="00AE377D"/>
    <w:rsid w:val="00B00F2C"/>
    <w:rsid w:val="00B014CC"/>
    <w:rsid w:val="00B1710C"/>
    <w:rsid w:val="00B1780F"/>
    <w:rsid w:val="00B17FBD"/>
    <w:rsid w:val="00B23FA8"/>
    <w:rsid w:val="00B315A6"/>
    <w:rsid w:val="00B31813"/>
    <w:rsid w:val="00B326DD"/>
    <w:rsid w:val="00B33365"/>
    <w:rsid w:val="00B57B36"/>
    <w:rsid w:val="00B61F56"/>
    <w:rsid w:val="00B6335C"/>
    <w:rsid w:val="00B8065B"/>
    <w:rsid w:val="00B8686D"/>
    <w:rsid w:val="00B93727"/>
    <w:rsid w:val="00BB16E4"/>
    <w:rsid w:val="00BB2F37"/>
    <w:rsid w:val="00BC30C9"/>
    <w:rsid w:val="00BE3E58"/>
    <w:rsid w:val="00BF35A6"/>
    <w:rsid w:val="00C01616"/>
    <w:rsid w:val="00C0162B"/>
    <w:rsid w:val="00C123E8"/>
    <w:rsid w:val="00C304B1"/>
    <w:rsid w:val="00C345B1"/>
    <w:rsid w:val="00C40142"/>
    <w:rsid w:val="00C57182"/>
    <w:rsid w:val="00C57863"/>
    <w:rsid w:val="00C57B08"/>
    <w:rsid w:val="00C655FD"/>
    <w:rsid w:val="00C75AAD"/>
    <w:rsid w:val="00C81AE8"/>
    <w:rsid w:val="00C870A8"/>
    <w:rsid w:val="00C93A96"/>
    <w:rsid w:val="00C94434"/>
    <w:rsid w:val="00CA0D75"/>
    <w:rsid w:val="00CA1C95"/>
    <w:rsid w:val="00CA5A9C"/>
    <w:rsid w:val="00CD3517"/>
    <w:rsid w:val="00CD5A00"/>
    <w:rsid w:val="00CD5FE2"/>
    <w:rsid w:val="00CE7C68"/>
    <w:rsid w:val="00CF24F5"/>
    <w:rsid w:val="00D02B4C"/>
    <w:rsid w:val="00D040C4"/>
    <w:rsid w:val="00D16CC9"/>
    <w:rsid w:val="00D265BB"/>
    <w:rsid w:val="00D53B51"/>
    <w:rsid w:val="00D57C84"/>
    <w:rsid w:val="00D6057D"/>
    <w:rsid w:val="00D63028"/>
    <w:rsid w:val="00D84576"/>
    <w:rsid w:val="00DA1399"/>
    <w:rsid w:val="00DA24C6"/>
    <w:rsid w:val="00DA4D7B"/>
    <w:rsid w:val="00DA614F"/>
    <w:rsid w:val="00DB1BD3"/>
    <w:rsid w:val="00DE264A"/>
    <w:rsid w:val="00E027F5"/>
    <w:rsid w:val="00E02D18"/>
    <w:rsid w:val="00E041E7"/>
    <w:rsid w:val="00E0445E"/>
    <w:rsid w:val="00E04BA8"/>
    <w:rsid w:val="00E23CA1"/>
    <w:rsid w:val="00E26995"/>
    <w:rsid w:val="00E32E6A"/>
    <w:rsid w:val="00E33D8A"/>
    <w:rsid w:val="00E409A8"/>
    <w:rsid w:val="00E50C12"/>
    <w:rsid w:val="00E65B91"/>
    <w:rsid w:val="00E7209D"/>
    <w:rsid w:val="00E77223"/>
    <w:rsid w:val="00E8528B"/>
    <w:rsid w:val="00E85B94"/>
    <w:rsid w:val="00E978D0"/>
    <w:rsid w:val="00EA4613"/>
    <w:rsid w:val="00EA7F91"/>
    <w:rsid w:val="00EB1523"/>
    <w:rsid w:val="00EB4EE6"/>
    <w:rsid w:val="00EC0E49"/>
    <w:rsid w:val="00EC2359"/>
    <w:rsid w:val="00EE0131"/>
    <w:rsid w:val="00EE42A9"/>
    <w:rsid w:val="00F008A0"/>
    <w:rsid w:val="00F0279A"/>
    <w:rsid w:val="00F155B2"/>
    <w:rsid w:val="00F30C64"/>
    <w:rsid w:val="00F32415"/>
    <w:rsid w:val="00F32CDB"/>
    <w:rsid w:val="00F46DFE"/>
    <w:rsid w:val="00F50173"/>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91538"/>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266AB7"/>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27747"/>
    <w:pPr>
      <w:widowControl w:val="0"/>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2774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1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oglio_di_lavoro_di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6714785651794"/>
          <c:y val="6.0601851851851872E-2"/>
          <c:w val="0.8376550743657043"/>
          <c:h val="0.75403317561222283"/>
        </c:manualLayout>
      </c:layout>
      <c:barChart>
        <c:barDir val="col"/>
        <c:grouping val="clustered"/>
        <c:varyColors val="0"/>
        <c:ser>
          <c:idx val="0"/>
          <c:order val="0"/>
          <c:tx>
            <c:strRef>
              <c:f>GRAFICI!$A$4</c:f>
              <c:strCache>
                <c:ptCount val="1"/>
                <c:pt idx="0">
                  <c:v>H2 [mol/kg*h]</c:v>
                </c:pt>
              </c:strCache>
            </c:strRef>
          </c:tx>
          <c:spPr>
            <a:solidFill>
              <a:schemeClr val="accent1"/>
            </a:solidFill>
            <a:ln>
              <a:noFill/>
            </a:ln>
            <a:effectLst/>
          </c:spPr>
          <c:invertIfNegative val="0"/>
          <c:cat>
            <c:strRef>
              <c:f>GRAFICI!$B$3:$E$3</c:f>
              <c:strCache>
                <c:ptCount val="4"/>
                <c:pt idx="0">
                  <c:v>P25</c:v>
                </c:pt>
                <c:pt idx="1">
                  <c:v>FSP</c:v>
                </c:pt>
                <c:pt idx="2">
                  <c:v>Prec</c:v>
                </c:pt>
                <c:pt idx="3">
                  <c:v>Meso</c:v>
                </c:pt>
              </c:strCache>
            </c:strRef>
          </c:cat>
          <c:val>
            <c:numRef>
              <c:f>GRAFICI!$B$4:$E$4</c:f>
              <c:numCache>
                <c:formatCode>General</c:formatCode>
                <c:ptCount val="4"/>
                <c:pt idx="0">
                  <c:v>1.9096365089005083</c:v>
                </c:pt>
                <c:pt idx="1">
                  <c:v>1.1951663019229894</c:v>
                </c:pt>
                <c:pt idx="2">
                  <c:v>0.62331265132985336</c:v>
                </c:pt>
                <c:pt idx="3">
                  <c:v>0.91762544609223928</c:v>
                </c:pt>
              </c:numCache>
            </c:numRef>
          </c:val>
          <c:extLst xmlns:c16r2="http://schemas.microsoft.com/office/drawing/2015/06/chart">
            <c:ext xmlns:c16="http://schemas.microsoft.com/office/drawing/2014/chart" uri="{C3380CC4-5D6E-409C-BE32-E72D297353CC}">
              <c16:uniqueId val="{00000000-D371-4EF9-9CB1-10B3AC209013}"/>
            </c:ext>
          </c:extLst>
        </c:ser>
        <c:ser>
          <c:idx val="1"/>
          <c:order val="1"/>
          <c:tx>
            <c:strRef>
              <c:f>GRAFICI!$A$5</c:f>
              <c:strCache>
                <c:ptCount val="1"/>
                <c:pt idx="0">
                  <c:v>CO2 [mol/kg*h]</c:v>
                </c:pt>
              </c:strCache>
            </c:strRef>
          </c:tx>
          <c:spPr>
            <a:solidFill>
              <a:schemeClr val="accent2"/>
            </a:solidFill>
            <a:ln>
              <a:noFill/>
            </a:ln>
            <a:effectLst/>
          </c:spPr>
          <c:invertIfNegative val="0"/>
          <c:cat>
            <c:strRef>
              <c:f>GRAFICI!$B$3:$E$3</c:f>
              <c:strCache>
                <c:ptCount val="4"/>
                <c:pt idx="0">
                  <c:v>P25</c:v>
                </c:pt>
                <c:pt idx="1">
                  <c:v>FSP</c:v>
                </c:pt>
                <c:pt idx="2">
                  <c:v>Prec</c:v>
                </c:pt>
                <c:pt idx="3">
                  <c:v>Meso</c:v>
                </c:pt>
              </c:strCache>
            </c:strRef>
          </c:cat>
          <c:val>
            <c:numRef>
              <c:f>GRAFICI!$B$5:$E$5</c:f>
              <c:numCache>
                <c:formatCode>General</c:formatCode>
                <c:ptCount val="4"/>
                <c:pt idx="0">
                  <c:v>0.58278834199990559</c:v>
                </c:pt>
                <c:pt idx="1">
                  <c:v>0.36678869763240146</c:v>
                </c:pt>
                <c:pt idx="2">
                  <c:v>0.479533959160589</c:v>
                </c:pt>
                <c:pt idx="3">
                  <c:v>0.62326043370715578</c:v>
                </c:pt>
              </c:numCache>
            </c:numRef>
          </c:val>
          <c:extLst xmlns:c16r2="http://schemas.microsoft.com/office/drawing/2015/06/chart">
            <c:ext xmlns:c16="http://schemas.microsoft.com/office/drawing/2014/chart" uri="{C3380CC4-5D6E-409C-BE32-E72D297353CC}">
              <c16:uniqueId val="{00000001-D371-4EF9-9CB1-10B3AC209013}"/>
            </c:ext>
          </c:extLst>
        </c:ser>
        <c:ser>
          <c:idx val="2"/>
          <c:order val="2"/>
          <c:tx>
            <c:strRef>
              <c:f>GRAFICI!$A$6</c:f>
              <c:strCache>
                <c:ptCount val="1"/>
                <c:pt idx="0">
                  <c:v>CO [mol/kg*h]</c:v>
                </c:pt>
              </c:strCache>
            </c:strRef>
          </c:tx>
          <c:spPr>
            <a:solidFill>
              <a:schemeClr val="accent3"/>
            </a:solidFill>
            <a:ln>
              <a:noFill/>
            </a:ln>
            <a:effectLst/>
          </c:spPr>
          <c:invertIfNegative val="0"/>
          <c:cat>
            <c:strRef>
              <c:f>GRAFICI!$B$3:$E$3</c:f>
              <c:strCache>
                <c:ptCount val="4"/>
                <c:pt idx="0">
                  <c:v>P25</c:v>
                </c:pt>
                <c:pt idx="1">
                  <c:v>FSP</c:v>
                </c:pt>
                <c:pt idx="2">
                  <c:v>Prec</c:v>
                </c:pt>
                <c:pt idx="3">
                  <c:v>Meso</c:v>
                </c:pt>
              </c:strCache>
            </c:strRef>
          </c:cat>
          <c:val>
            <c:numRef>
              <c:f>GRAFICI!$B$6:$E$6</c:f>
              <c:numCache>
                <c:formatCode>General</c:formatCode>
                <c:ptCount val="4"/>
                <c:pt idx="0">
                  <c:v>0.65121282026037719</c:v>
                </c:pt>
                <c:pt idx="1">
                  <c:v>0.60082134396219333</c:v>
                </c:pt>
                <c:pt idx="2">
                  <c:v>0.95534760212987035</c:v>
                </c:pt>
                <c:pt idx="3">
                  <c:v>0.7681160472585753</c:v>
                </c:pt>
              </c:numCache>
            </c:numRef>
          </c:val>
          <c:extLst xmlns:c16r2="http://schemas.microsoft.com/office/drawing/2015/06/chart">
            <c:ext xmlns:c16="http://schemas.microsoft.com/office/drawing/2014/chart" uri="{C3380CC4-5D6E-409C-BE32-E72D297353CC}">
              <c16:uniqueId val="{00000002-D371-4EF9-9CB1-10B3AC209013}"/>
            </c:ext>
          </c:extLst>
        </c:ser>
        <c:ser>
          <c:idx val="3"/>
          <c:order val="3"/>
          <c:tx>
            <c:strRef>
              <c:f>GRAFICI!$A$7</c:f>
              <c:strCache>
                <c:ptCount val="1"/>
                <c:pt idx="0">
                  <c:v>CH4 [mol/kg*h]</c:v>
                </c:pt>
              </c:strCache>
            </c:strRef>
          </c:tx>
          <c:spPr>
            <a:solidFill>
              <a:schemeClr val="accent4"/>
            </a:solidFill>
            <a:ln>
              <a:noFill/>
            </a:ln>
            <a:effectLst/>
          </c:spPr>
          <c:invertIfNegative val="0"/>
          <c:cat>
            <c:strRef>
              <c:f>GRAFICI!$B$3:$E$3</c:f>
              <c:strCache>
                <c:ptCount val="4"/>
                <c:pt idx="0">
                  <c:v>P25</c:v>
                </c:pt>
                <c:pt idx="1">
                  <c:v>FSP</c:v>
                </c:pt>
                <c:pt idx="2">
                  <c:v>Prec</c:v>
                </c:pt>
                <c:pt idx="3">
                  <c:v>Meso</c:v>
                </c:pt>
              </c:strCache>
            </c:strRef>
          </c:cat>
          <c:val>
            <c:numRef>
              <c:f>GRAFICI!$B$7:$E$7</c:f>
              <c:numCache>
                <c:formatCode>General</c:formatCode>
                <c:ptCount val="4"/>
                <c:pt idx="0">
                  <c:v>0</c:v>
                </c:pt>
                <c:pt idx="1">
                  <c:v>1.0730726759512263E-2</c:v>
                </c:pt>
                <c:pt idx="2">
                  <c:v>1.0314855654739307E-2</c:v>
                </c:pt>
                <c:pt idx="3">
                  <c:v>0</c:v>
                </c:pt>
              </c:numCache>
            </c:numRef>
          </c:val>
          <c:extLst xmlns:c16r2="http://schemas.microsoft.com/office/drawing/2015/06/chart">
            <c:ext xmlns:c16="http://schemas.microsoft.com/office/drawing/2014/chart" uri="{C3380CC4-5D6E-409C-BE32-E72D297353CC}">
              <c16:uniqueId val="{00000003-D371-4EF9-9CB1-10B3AC209013}"/>
            </c:ext>
          </c:extLst>
        </c:ser>
        <c:ser>
          <c:idx val="4"/>
          <c:order val="4"/>
          <c:tx>
            <c:strRef>
              <c:f>GRAFICI!$A$8</c:f>
              <c:strCache>
                <c:ptCount val="1"/>
                <c:pt idx="0">
                  <c:v>C2H4 [mol/kg*h]</c:v>
                </c:pt>
              </c:strCache>
            </c:strRef>
          </c:tx>
          <c:spPr>
            <a:solidFill>
              <a:schemeClr val="accent5"/>
            </a:solidFill>
            <a:ln>
              <a:noFill/>
            </a:ln>
            <a:effectLst/>
          </c:spPr>
          <c:invertIfNegative val="0"/>
          <c:cat>
            <c:strRef>
              <c:f>GRAFICI!$B$3:$E$3</c:f>
              <c:strCache>
                <c:ptCount val="4"/>
                <c:pt idx="0">
                  <c:v>P25</c:v>
                </c:pt>
                <c:pt idx="1">
                  <c:v>FSP</c:v>
                </c:pt>
                <c:pt idx="2">
                  <c:v>Prec</c:v>
                </c:pt>
                <c:pt idx="3">
                  <c:v>Meso</c:v>
                </c:pt>
              </c:strCache>
            </c:strRef>
          </c:cat>
          <c:val>
            <c:numRef>
              <c:f>GRAFICI!$B$8:$E$8</c:f>
              <c:numCache>
                <c:formatCode>General</c:formatCode>
                <c:ptCount val="4"/>
                <c:pt idx="0">
                  <c:v>0</c:v>
                </c:pt>
                <c:pt idx="1">
                  <c:v>0.17019180320377383</c:v>
                </c:pt>
                <c:pt idx="2">
                  <c:v>0.10920744734043443</c:v>
                </c:pt>
                <c:pt idx="3">
                  <c:v>0.42572341514146789</c:v>
                </c:pt>
              </c:numCache>
            </c:numRef>
          </c:val>
          <c:extLst xmlns:c16r2="http://schemas.microsoft.com/office/drawing/2015/06/chart">
            <c:ext xmlns:c16="http://schemas.microsoft.com/office/drawing/2014/chart" uri="{C3380CC4-5D6E-409C-BE32-E72D297353CC}">
              <c16:uniqueId val="{00000004-D371-4EF9-9CB1-10B3AC209013}"/>
            </c:ext>
          </c:extLst>
        </c:ser>
        <c:ser>
          <c:idx val="5"/>
          <c:order val="5"/>
          <c:tx>
            <c:strRef>
              <c:f>GRAFICI!$A$9</c:f>
              <c:strCache>
                <c:ptCount val="1"/>
                <c:pt idx="0">
                  <c:v>C2H6 [mol/kg*h]</c:v>
                </c:pt>
              </c:strCache>
            </c:strRef>
          </c:tx>
          <c:spPr>
            <a:solidFill>
              <a:schemeClr val="accent6"/>
            </a:solidFill>
            <a:ln>
              <a:noFill/>
            </a:ln>
            <a:effectLst/>
          </c:spPr>
          <c:invertIfNegative val="0"/>
          <c:cat>
            <c:strRef>
              <c:f>GRAFICI!$B$3:$E$3</c:f>
              <c:strCache>
                <c:ptCount val="4"/>
                <c:pt idx="0">
                  <c:v>P25</c:v>
                </c:pt>
                <c:pt idx="1">
                  <c:v>FSP</c:v>
                </c:pt>
                <c:pt idx="2">
                  <c:v>Prec</c:v>
                </c:pt>
                <c:pt idx="3">
                  <c:v>Meso</c:v>
                </c:pt>
              </c:strCache>
            </c:strRef>
          </c:cat>
          <c:val>
            <c:numRef>
              <c:f>GRAFICI!$B$9:$E$9</c:f>
              <c:numCache>
                <c:formatCode>General</c:formatCode>
                <c:ptCount val="4"/>
                <c:pt idx="0">
                  <c:v>0</c:v>
                </c:pt>
                <c:pt idx="1">
                  <c:v>1.2480944085900385</c:v>
                </c:pt>
                <c:pt idx="2">
                  <c:v>0.95834249214863931</c:v>
                </c:pt>
                <c:pt idx="3">
                  <c:v>1.6723136714149618</c:v>
                </c:pt>
              </c:numCache>
            </c:numRef>
          </c:val>
          <c:extLst xmlns:c16r2="http://schemas.microsoft.com/office/drawing/2015/06/chart">
            <c:ext xmlns:c16="http://schemas.microsoft.com/office/drawing/2014/chart" uri="{C3380CC4-5D6E-409C-BE32-E72D297353CC}">
              <c16:uniqueId val="{00000005-D371-4EF9-9CB1-10B3AC209013}"/>
            </c:ext>
          </c:extLst>
        </c:ser>
        <c:dLbls>
          <c:showLegendKey val="0"/>
          <c:showVal val="0"/>
          <c:showCatName val="0"/>
          <c:showSerName val="0"/>
          <c:showPercent val="0"/>
          <c:showBubbleSize val="0"/>
        </c:dLbls>
        <c:gapWidth val="219"/>
        <c:overlap val="-27"/>
        <c:axId val="-1782728768"/>
        <c:axId val="-1782728224"/>
      </c:barChart>
      <c:catAx>
        <c:axId val="-1782728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Type of catalyst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82728224"/>
        <c:crosses val="autoZero"/>
        <c:auto val="1"/>
        <c:lblAlgn val="ctr"/>
        <c:lblOffset val="100"/>
        <c:noMultiLvlLbl val="0"/>
      </c:catAx>
      <c:valAx>
        <c:axId val="-1782728224"/>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Productivity [mol/kg</a:t>
                </a:r>
                <a:r>
                  <a:rPr lang="it-IT" baseline="0"/>
                  <a:t> </a:t>
                </a:r>
                <a:r>
                  <a:rPr lang="it-IT"/>
                  <a:t>h]</a:t>
                </a:r>
              </a:p>
            </c:rich>
          </c:tx>
          <c:layout>
            <c:manualLayout>
              <c:xMode val="edge"/>
              <c:yMode val="edge"/>
              <c:x val="1.6614876836577391E-2"/>
              <c:y val="9.901188290147851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82728768"/>
        <c:crosses val="autoZero"/>
        <c:crossBetween val="between"/>
      </c:valAx>
      <c:spPr>
        <a:noFill/>
        <a:ln>
          <a:noFill/>
        </a:ln>
        <a:effectLst/>
      </c:spPr>
    </c:plotArea>
    <c:legend>
      <c:legendPos val="b"/>
      <c:layout>
        <c:manualLayout>
          <c:xMode val="edge"/>
          <c:yMode val="edge"/>
          <c:x val="0.29454115148685212"/>
          <c:y val="4.4304425777297984E-2"/>
          <c:w val="0.59980643044619419"/>
          <c:h val="0.204378310789001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FC30-0365-4D2B-B9BA-F6FE65A0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3886</Words>
  <Characters>22152</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Ilenia Rossetti</cp:lastModifiedBy>
  <cp:revision>12</cp:revision>
  <cp:lastPrinted>2015-05-12T18:31:00Z</cp:lastPrinted>
  <dcterms:created xsi:type="dcterms:W3CDTF">2019-04-13T18:00:00Z</dcterms:created>
  <dcterms:modified xsi:type="dcterms:W3CDTF">2019-04-22T06:44:00Z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http://www.zotero.org/styles/acs-sustainable-chemistry-and-engineering</vt:lpwstr>
  </property>
  <property fmtid="{D5CDD505-2E9C-101B-9397-08002B2CF9AE}" pid="5" name="Mendeley Recent Style Name 0_1">
    <vt:lpwstr>ACS Sustainable Chemistry &amp; Engineering</vt:lpwstr>
  </property>
  <property fmtid="{D5CDD505-2E9C-101B-9397-08002B2CF9AE}" pid="6" name="Mendeley Recent Style Id 1_1">
    <vt:lpwstr>http://www.zotero.org/styles/american-chemical-society</vt:lpwstr>
  </property>
  <property fmtid="{D5CDD505-2E9C-101B-9397-08002B2CF9AE}" pid="7" name="Mendeley Recent Style Name 1_1">
    <vt:lpwstr>American Chemical Society</vt:lpwstr>
  </property>
  <property fmtid="{D5CDD505-2E9C-101B-9397-08002B2CF9AE}" pid="8" name="Mendeley Recent Style Id 2_1">
    <vt:lpwstr>http://www.zotero.org/styles/applied-catalysis-a-general</vt:lpwstr>
  </property>
  <property fmtid="{D5CDD505-2E9C-101B-9397-08002B2CF9AE}" pid="9" name="Mendeley Recent Style Name 2_1">
    <vt:lpwstr>Applied Catalysis A, General</vt:lpwstr>
  </property>
  <property fmtid="{D5CDD505-2E9C-101B-9397-08002B2CF9AE}" pid="10" name="Mendeley Recent Style Id 3_1">
    <vt:lpwstr>http://www.zotero.org/styles/applied-catalysis-b-environmental</vt:lpwstr>
  </property>
  <property fmtid="{D5CDD505-2E9C-101B-9397-08002B2CF9AE}" pid="11" name="Mendeley Recent Style Name 3_1">
    <vt:lpwstr>Applied Catalysis B: Environmental</vt:lpwstr>
  </property>
  <property fmtid="{D5CDD505-2E9C-101B-9397-08002B2CF9AE}" pid="12" name="Mendeley Recent Style Id 4_1">
    <vt:lpwstr>http://www.zotero.org/styles/chemical-engineering-journal</vt:lpwstr>
  </property>
  <property fmtid="{D5CDD505-2E9C-101B-9397-08002B2CF9AE}" pid="13" name="Mendeley Recent Style Name 4_1">
    <vt:lpwstr>Chemical Engineering Journal</vt:lpwstr>
  </property>
  <property fmtid="{D5CDD505-2E9C-101B-9397-08002B2CF9AE}" pid="14" name="Mendeley Recent Style Id 5_1">
    <vt:lpwstr>http://www.zotero.org/styles/elsevier-vancouver</vt:lpwstr>
  </property>
  <property fmtid="{D5CDD505-2E9C-101B-9397-08002B2CF9AE}" pid="15" name="Mendeley Recent Style Name 5_1">
    <vt:lpwstr>Elsevier Vancouver</vt:lpwstr>
  </property>
  <property fmtid="{D5CDD505-2E9C-101B-9397-08002B2CF9AE}" pid="16" name="Mendeley Recent Style Id 6_1">
    <vt:lpwstr>http://www.zotero.org/styles/journal-of-industrial-and-engineering-chemistry</vt:lpwstr>
  </property>
  <property fmtid="{D5CDD505-2E9C-101B-9397-08002B2CF9AE}" pid="17" name="Mendeley Recent Style Name 6_1">
    <vt:lpwstr>Journal of Industrial and Engineering Chemistry</vt:lpwstr>
  </property>
  <property fmtid="{D5CDD505-2E9C-101B-9397-08002B2CF9AE}" pid="18" name="Mendeley Recent Style Id 7_1">
    <vt:lpwstr>http://www.zotero.org/styles/journal-of-materials-chemistry-a</vt:lpwstr>
  </property>
  <property fmtid="{D5CDD505-2E9C-101B-9397-08002B2CF9AE}" pid="19" name="Mendeley Recent Style Name 7_1">
    <vt:lpwstr>Journal of Materials Chemistry A</vt:lpwstr>
  </property>
  <property fmtid="{D5CDD505-2E9C-101B-9397-08002B2CF9AE}" pid="20" name="Mendeley Recent Style Id 8_1">
    <vt:lpwstr>http://www.zotero.org/styles/topics-in-catalysis</vt:lpwstr>
  </property>
  <property fmtid="{D5CDD505-2E9C-101B-9397-08002B2CF9AE}" pid="21" name="Mendeley Recent Style Name 8_1">
    <vt:lpwstr>Topics in Catalysis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