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480E18" w:rsidP="00E978D0">
      <w:pPr>
        <w:pStyle w:val="CETTitle"/>
      </w:pPr>
      <w:r w:rsidRPr="00480E18">
        <w:lastRenderedPageBreak/>
        <w:t xml:space="preserve">Lignin Conversion </w:t>
      </w:r>
      <w:proofErr w:type="gramStart"/>
      <w:r w:rsidRPr="00480E18">
        <w:t>Into</w:t>
      </w:r>
      <w:proofErr w:type="gramEnd"/>
      <w:r w:rsidRPr="00480E18">
        <w:t xml:space="preserve"> Hydrogen And </w:t>
      </w:r>
      <w:proofErr w:type="spellStart"/>
      <w:r w:rsidRPr="00480E18">
        <w:t>Biochar</w:t>
      </w:r>
      <w:proofErr w:type="spellEnd"/>
      <w:r w:rsidRPr="00480E18">
        <w:t xml:space="preserve"> Under Microwave Irradiation</w:t>
      </w:r>
    </w:p>
    <w:p w:rsidR="00E978D0" w:rsidRPr="00480E18" w:rsidRDefault="00480E18" w:rsidP="00AB5011">
      <w:pPr>
        <w:pStyle w:val="CETAuthors"/>
      </w:pPr>
      <w:r w:rsidRPr="00F5378C">
        <w:t>A</w:t>
      </w:r>
      <w:r>
        <w:t xml:space="preserve">ndrey </w:t>
      </w:r>
      <w:r w:rsidRPr="00F5378C">
        <w:t xml:space="preserve">V. Chistyakov, </w:t>
      </w:r>
      <w:r w:rsidRPr="00480E18">
        <w:t>G</w:t>
      </w:r>
      <w:r>
        <w:t xml:space="preserve">rigoriy I. </w:t>
      </w:r>
      <w:r w:rsidRPr="00480E18">
        <w:t>Konstantinov</w:t>
      </w:r>
      <w:r>
        <w:t>, Olga V. Arapova,</w:t>
      </w:r>
      <w:r w:rsidRPr="00F5378C">
        <w:t xml:space="preserve"> M</w:t>
      </w:r>
      <w:r>
        <w:t xml:space="preserve">ark </w:t>
      </w:r>
      <w:r w:rsidRPr="00F5378C">
        <w:t>V. Tsodikov</w:t>
      </w:r>
      <w:r>
        <w:t xml:space="preserve">, </w:t>
      </w:r>
    </w:p>
    <w:p w:rsidR="00480E18" w:rsidRDefault="00480E18" w:rsidP="00E978D0">
      <w:pPr>
        <w:pStyle w:val="CETAddress"/>
      </w:pPr>
      <w:r w:rsidRPr="00F5378C">
        <w:t>Topchiev Institute of Petrochemical Synthesis, R</w:t>
      </w:r>
      <w:r>
        <w:t xml:space="preserve"> A</w:t>
      </w:r>
      <w:r w:rsidRPr="00F5378C">
        <w:t>S</w:t>
      </w:r>
      <w:r w:rsidRPr="001B5764">
        <w:t>, Leninskii pr. 29, Moscow 119991, Russia</w:t>
      </w:r>
      <w:r w:rsidRPr="00B57B36">
        <w:t xml:space="preserve"> </w:t>
      </w:r>
    </w:p>
    <w:p w:rsidR="00E978D0" w:rsidRPr="000143DE" w:rsidRDefault="00480E18" w:rsidP="00480E18">
      <w:pPr>
        <w:pStyle w:val="CETAddress"/>
        <w:rPr>
          <w:lang w:val="ru-RU"/>
        </w:rPr>
      </w:pPr>
      <w:r>
        <w:t>chistyakov</w:t>
      </w:r>
      <w:r w:rsidRPr="000143DE">
        <w:rPr>
          <w:lang w:val="ru-RU"/>
        </w:rPr>
        <w:t>@</w:t>
      </w:r>
      <w:r>
        <w:t>ips</w:t>
      </w:r>
      <w:r w:rsidRPr="000143DE">
        <w:rPr>
          <w:lang w:val="ru-RU"/>
        </w:rPr>
        <w:t>.</w:t>
      </w:r>
      <w:r>
        <w:t>ac</w:t>
      </w:r>
      <w:r w:rsidRPr="000143DE">
        <w:rPr>
          <w:lang w:val="ru-RU"/>
        </w:rPr>
        <w:t>.</w:t>
      </w:r>
      <w:r>
        <w:t>ru</w:t>
      </w:r>
    </w:p>
    <w:p w:rsidR="00480E18" w:rsidRPr="000143DE" w:rsidRDefault="00480E18" w:rsidP="00600535">
      <w:pPr>
        <w:pStyle w:val="CETBodytext"/>
        <w:rPr>
          <w:lang w:val="ru-RU"/>
        </w:rPr>
      </w:pPr>
    </w:p>
    <w:p w:rsidR="0037765E" w:rsidRDefault="0037765E" w:rsidP="00151272">
      <w:pPr>
        <w:pStyle w:val="CETBodytext"/>
      </w:pPr>
      <w:r w:rsidRPr="0037765E">
        <w:t xml:space="preserve">Utilization of Kraft lignin is a complex </w:t>
      </w:r>
      <w:r w:rsidR="002B6274">
        <w:t>challenge</w:t>
      </w:r>
      <w:r w:rsidRPr="0037765E">
        <w:t xml:space="preserve"> and effective approaches to its solution have not yet been found. One of the promising </w:t>
      </w:r>
      <w:r w:rsidR="002B6274">
        <w:t>ways</w:t>
      </w:r>
      <w:r w:rsidRPr="0037765E">
        <w:t xml:space="preserve"> in this area is the processing of lignin into </w:t>
      </w:r>
      <w:proofErr w:type="spellStart"/>
      <w:r w:rsidRPr="0037765E">
        <w:t>syn</w:t>
      </w:r>
      <w:proofErr w:type="spellEnd"/>
      <w:r w:rsidR="002B6274">
        <w:t>-</w:t>
      </w:r>
      <w:r w:rsidRPr="0037765E">
        <w:t xml:space="preserve">gas and carbon residue, which can be used to obtain sorbents. Processing of lignin into synthesis gas by dry reforming </w:t>
      </w:r>
      <w:r w:rsidR="002B6274">
        <w:t xml:space="preserve">(LDR) </w:t>
      </w:r>
      <w:r w:rsidRPr="0037765E">
        <w:t>under the action of M</w:t>
      </w:r>
      <w:r w:rsidR="002B6274">
        <w:t>W</w:t>
      </w:r>
      <w:r w:rsidRPr="0037765E">
        <w:t>I allows for the efficient processing of large-scale waste - lignin and carbon dioxide into an important product of petro</w:t>
      </w:r>
      <w:r>
        <w:t xml:space="preserve">leum </w:t>
      </w:r>
      <w:r w:rsidRPr="0037765E">
        <w:t xml:space="preserve">chemistry </w:t>
      </w:r>
      <w:r w:rsidR="002B6274">
        <w:t xml:space="preserve">like </w:t>
      </w:r>
      <w:proofErr w:type="spellStart"/>
      <w:r w:rsidR="002B6274">
        <w:t>syn</w:t>
      </w:r>
      <w:proofErr w:type="spellEnd"/>
      <w:r w:rsidR="002B6274">
        <w:t>-</w:t>
      </w:r>
      <w:r w:rsidRPr="0037765E">
        <w:t>gas with a selectivity exceeding 90%. M</w:t>
      </w:r>
      <w:r w:rsidR="002B6274">
        <w:t>W</w:t>
      </w:r>
      <w:r w:rsidRPr="0037765E">
        <w:t xml:space="preserve">I on the one hand is the source of heat in the reaction </w:t>
      </w:r>
      <w:r w:rsidR="002B6274">
        <w:t>volume</w:t>
      </w:r>
      <w:r w:rsidRPr="0037765E">
        <w:t>, on the other hand its effect leads to an increase in the vibrations of the substrate molecules and their polarization, which significantly increases the intensity of the release of hydrogen from the lignin compared to convective heating. Graphite-like conversion of carbon is a valuable raw material for the production of porous carbon sorbents for the treatment of industrial wastewater. It is followed by the fact that it has been measured that it has reached 0.5–0.8 nm. In the case of heat treatment, it is recommended that you follow the short-term heat treatment.</w:t>
      </w:r>
    </w:p>
    <w:p w:rsidR="00600535" w:rsidRDefault="00600535" w:rsidP="00600535">
      <w:pPr>
        <w:pStyle w:val="CETHeading1"/>
        <w:rPr>
          <w:lang w:val="en-GB"/>
        </w:rPr>
      </w:pPr>
      <w:r w:rsidRPr="00B57B36">
        <w:rPr>
          <w:lang w:val="en-GB"/>
        </w:rPr>
        <w:t>Introduction</w:t>
      </w:r>
    </w:p>
    <w:p w:rsidR="000143DE" w:rsidRPr="00480E18" w:rsidRDefault="000143DE" w:rsidP="000143DE">
      <w:pPr>
        <w:pStyle w:val="CETBodytext"/>
        <w:rPr>
          <w:lang w:val="en-GB"/>
        </w:rPr>
      </w:pPr>
      <w:r w:rsidRPr="000143DE">
        <w:rPr>
          <w:lang w:val="en-GB"/>
        </w:rPr>
        <w:t>Carbon-based materials are distinguished by their uniqueness in the modern economy due to physicochemical properties such as chemical resistance in aggressive environments, thermal and heat resistance, high mechanical strength at elevated temperatures, as well as the possibility of its increase with increasing temperature, high electrical conductivity, high / low friction coefficient, high porous structure, biological compatibility with living matter, etc. All this allows you to create on the basis of carbon-containing materials the unique design of very complex configuration, the area of ​​use of which in the economy extends from medicine and military technology to solve environmental problems associated with anthropogenic pollution.</w:t>
      </w:r>
    </w:p>
    <w:p w:rsidR="000143DE" w:rsidRPr="000143DE" w:rsidRDefault="000143DE" w:rsidP="000143DE">
      <w:pPr>
        <w:pStyle w:val="CETBodytext"/>
        <w:rPr>
          <w:lang w:val="en-GB"/>
        </w:rPr>
      </w:pPr>
      <w:r w:rsidRPr="000143DE">
        <w:rPr>
          <w:lang w:val="en-GB"/>
        </w:rPr>
        <w:t>The relevance of the work performed is determined by the synthesis of carbon adsorbents from wood processing residues - lignin and the activation of the material by microwave radiation. The use of microwave radiation for heating materials allows for a short time of 20-60 seconds to reach temperatures of 650-850 ° C and maintain them evenly throughout the entire volume of the material. This approach will be applied for the first time in the present work to create an ordered graphitized structure from lignin and to remove few volatile hydrocarbons from the material structure.</w:t>
      </w:r>
    </w:p>
    <w:p w:rsidR="00480E18" w:rsidRDefault="00480E18" w:rsidP="00480E18">
      <w:pPr>
        <w:pStyle w:val="CETHeading1"/>
        <w:tabs>
          <w:tab w:val="clear" w:pos="360"/>
          <w:tab w:val="right" w:pos="7100"/>
        </w:tabs>
        <w:jc w:val="both"/>
        <w:rPr>
          <w:lang w:val="en-GB"/>
        </w:rPr>
      </w:pPr>
      <w:r>
        <w:rPr>
          <w:lang w:val="en-GB"/>
        </w:rPr>
        <w:t>Materials and Methods</w:t>
      </w:r>
    </w:p>
    <w:p w:rsidR="00480E18" w:rsidRDefault="00101C4E" w:rsidP="00480E18">
      <w:pPr>
        <w:pStyle w:val="CETBodytext"/>
        <w:rPr>
          <w:lang w:val="en-GB"/>
        </w:rPr>
      </w:pPr>
      <w:r w:rsidRPr="00101C4E">
        <w:rPr>
          <w:lang w:val="en-GB"/>
        </w:rPr>
        <w:t>Kraft lignin obtained at the pulp-and-paper enterprise of the Kirov region</w:t>
      </w:r>
      <w:r w:rsidR="0037765E">
        <w:rPr>
          <w:lang w:val="en-GB"/>
        </w:rPr>
        <w:t xml:space="preserve"> (Russia)</w:t>
      </w:r>
      <w:r w:rsidRPr="00101C4E">
        <w:rPr>
          <w:lang w:val="en-GB"/>
        </w:rPr>
        <w:t xml:space="preserve"> was used in the work (elemental composition: С — 58.1%; H — 5.4%; Al-0.2%; Si — 3.1%; Ca-0.6%; Fe — 0.02%; S - 1.2%; N -1.2%; O- 28.9%; other elements (1.28%). Lignin was subjected to preliminary drying at 110 ° C for 4 h, then, using an impregnation method, nickel acetate from an aqueous solution or alcohol </w:t>
      </w:r>
      <w:proofErr w:type="spellStart"/>
      <w:r w:rsidRPr="00101C4E">
        <w:rPr>
          <w:lang w:val="en-GB"/>
        </w:rPr>
        <w:t>acetylacetonate</w:t>
      </w:r>
      <w:proofErr w:type="spellEnd"/>
      <w:r w:rsidRPr="00101C4E">
        <w:rPr>
          <w:lang w:val="en-GB"/>
        </w:rPr>
        <w:t xml:space="preserve"> was applied onto it solution. The content of the active components was monitored by atomic absorption spectrometry. </w:t>
      </w:r>
      <w:proofErr w:type="gramStart"/>
      <w:r w:rsidRPr="00101C4E">
        <w:rPr>
          <w:lang w:val="en-GB"/>
        </w:rPr>
        <w:t>from</w:t>
      </w:r>
      <w:proofErr w:type="gramEnd"/>
      <w:r w:rsidRPr="00101C4E">
        <w:rPr>
          <w:lang w:val="en-GB"/>
        </w:rPr>
        <w:t xml:space="preserve"> a magnetron, a waveguide, a quartz reactor, and a residua</w:t>
      </w:r>
      <w:r w:rsidR="00E2350C">
        <w:rPr>
          <w:lang w:val="en-GB"/>
        </w:rPr>
        <w:t>l radiation absorption chamber (</w:t>
      </w:r>
      <w:proofErr w:type="spellStart"/>
      <w:r w:rsidR="00E2350C">
        <w:rPr>
          <w:lang w:val="en-GB"/>
        </w:rPr>
        <w:t>Tsodikov</w:t>
      </w:r>
      <w:proofErr w:type="spellEnd"/>
      <w:r w:rsidR="00E2350C">
        <w:rPr>
          <w:lang w:val="en-GB"/>
        </w:rPr>
        <w:t xml:space="preserve"> et al., 20</w:t>
      </w:r>
      <w:r w:rsidR="00855222">
        <w:rPr>
          <w:lang w:val="en-GB"/>
        </w:rPr>
        <w:t>1</w:t>
      </w:r>
      <w:r w:rsidR="00E2350C">
        <w:rPr>
          <w:lang w:val="en-GB"/>
        </w:rPr>
        <w:t>7)</w:t>
      </w:r>
      <w:r w:rsidRPr="00101C4E">
        <w:rPr>
          <w:lang w:val="en-GB"/>
        </w:rPr>
        <w:t>. During the experiments, carbon dioxide or argon was passed through</w:t>
      </w:r>
      <w:r w:rsidR="00987627">
        <w:rPr>
          <w:lang w:val="en-GB"/>
        </w:rPr>
        <w:t xml:space="preserve"> the reactor at a rate of 60 ml</w:t>
      </w:r>
      <w:r w:rsidRPr="00101C4E">
        <w:rPr>
          <w:lang w:val="en-GB"/>
        </w:rPr>
        <w:t>/</w:t>
      </w:r>
      <w:proofErr w:type="gramStart"/>
      <w:r w:rsidRPr="00101C4E">
        <w:rPr>
          <w:lang w:val="en-GB"/>
        </w:rPr>
        <w:t>min,</w:t>
      </w:r>
      <w:proofErr w:type="gramEnd"/>
      <w:r w:rsidRPr="00101C4E">
        <w:rPr>
          <w:lang w:val="en-GB"/>
        </w:rPr>
        <w:t xml:space="preserve"> the irradiation time was 10 min at 700-800 ° C. In order to determine the ability to absorb </w:t>
      </w:r>
      <w:r w:rsidRPr="00101C4E">
        <w:rPr>
          <w:lang w:val="en-GB"/>
        </w:rPr>
        <w:lastRenderedPageBreak/>
        <w:t>microwave radiation from the initial and metal-containing lignin samples, the heating dynamics were determined when exposed to M</w:t>
      </w:r>
      <w:r w:rsidR="00FD0035">
        <w:rPr>
          <w:lang w:val="en-GB"/>
        </w:rPr>
        <w:t>W</w:t>
      </w:r>
      <w:r w:rsidRPr="00101C4E">
        <w:rPr>
          <w:lang w:val="en-GB"/>
        </w:rPr>
        <w:t>I.</w:t>
      </w:r>
    </w:p>
    <w:p w:rsidR="00FD0035" w:rsidRPr="00FD0035" w:rsidRDefault="00FD0035" w:rsidP="00FD0035">
      <w:pPr>
        <w:pStyle w:val="CETBodytext"/>
        <w:rPr>
          <w:lang w:val="en-GB"/>
        </w:rPr>
      </w:pPr>
      <w:r w:rsidRPr="00FD0035">
        <w:rPr>
          <w:lang w:val="en-GB"/>
        </w:rPr>
        <w:t>The carbonaceous lignin conversion residue was used to develop a porous adsorbent. For this purpose, 10% hydrochloric acid and a mixture of concentrated nitric and hydrochloric acids of the HNO</w:t>
      </w:r>
      <w:r w:rsidRPr="00D04364">
        <w:rPr>
          <w:vertAlign w:val="subscript"/>
          <w:lang w:val="en-GB"/>
        </w:rPr>
        <w:t>3</w:t>
      </w:r>
      <w:r w:rsidRPr="00FD0035">
        <w:rPr>
          <w:lang w:val="en-GB"/>
        </w:rPr>
        <w:t xml:space="preserve"> + 3HCl composition (“aqua </w:t>
      </w:r>
      <w:proofErr w:type="spellStart"/>
      <w:r w:rsidRPr="00FD0035">
        <w:rPr>
          <w:lang w:val="en-GB"/>
        </w:rPr>
        <w:t>regia</w:t>
      </w:r>
      <w:proofErr w:type="spellEnd"/>
      <w:r w:rsidRPr="00FD0035">
        <w:rPr>
          <w:lang w:val="en-GB"/>
        </w:rPr>
        <w:t>”) were</w:t>
      </w:r>
      <w:r w:rsidR="00D04364">
        <w:rPr>
          <w:lang w:val="en-GB"/>
        </w:rPr>
        <w:t xml:space="preserve"> etched at a temperature of 600</w:t>
      </w:r>
      <w:r w:rsidRPr="00FD0035">
        <w:rPr>
          <w:lang w:val="en-GB"/>
        </w:rPr>
        <w:t xml:space="preserve">°C to remove part of the mineral inclusions, followed by washing the residue with distilled water to a neutral wash water and a negative reactions in them to </w:t>
      </w:r>
      <w:proofErr w:type="spellStart"/>
      <w:r w:rsidRPr="00FD0035">
        <w:rPr>
          <w:lang w:val="en-GB"/>
        </w:rPr>
        <w:t>Cl</w:t>
      </w:r>
      <w:proofErr w:type="spellEnd"/>
      <w:r w:rsidRPr="00FD0035">
        <w:rPr>
          <w:lang w:val="en-GB"/>
        </w:rPr>
        <w:t>- ions (test with AgNO</w:t>
      </w:r>
      <w:r w:rsidRPr="00D04364">
        <w:rPr>
          <w:vertAlign w:val="subscript"/>
          <w:lang w:val="en-GB"/>
        </w:rPr>
        <w:t>3</w:t>
      </w:r>
      <w:r w:rsidRPr="00FD0035">
        <w:rPr>
          <w:lang w:val="en-GB"/>
        </w:rPr>
        <w:t xml:space="preserve">). On the surface of the dried sample obtained after etching with 10% hydrochloric acid, ammonium hydroxide was </w:t>
      </w:r>
      <w:proofErr w:type="spellStart"/>
      <w:r w:rsidRPr="00FD0035">
        <w:rPr>
          <w:lang w:val="en-GB"/>
        </w:rPr>
        <w:t>adsorbed</w:t>
      </w:r>
      <w:proofErr w:type="spellEnd"/>
      <w:r w:rsidRPr="00FD0035">
        <w:rPr>
          <w:lang w:val="en-GB"/>
        </w:rPr>
        <w:t xml:space="preserve"> by impregnation from a 25% aqueous solution. After impregnation of NH4OH, the sample was subjected to thermal shock while flushing with carbon dioxide. For this, the sample was introduced into a muffle furnace heated to 5000 ° C and held for 30 minutes, after which the sample was unloaded from the furnace and cooled in a </w:t>
      </w:r>
      <w:proofErr w:type="spellStart"/>
      <w:r w:rsidRPr="00FD0035">
        <w:rPr>
          <w:lang w:val="en-GB"/>
        </w:rPr>
        <w:t>desiccator</w:t>
      </w:r>
      <w:proofErr w:type="spellEnd"/>
      <w:r w:rsidRPr="00FD0035">
        <w:rPr>
          <w:lang w:val="en-GB"/>
        </w:rPr>
        <w:t>.</w:t>
      </w:r>
    </w:p>
    <w:p w:rsidR="00FD0035" w:rsidRPr="00FD0035" w:rsidRDefault="00FD0035" w:rsidP="00FD0035">
      <w:pPr>
        <w:pStyle w:val="CETBodytext"/>
        <w:rPr>
          <w:lang w:val="en-GB"/>
        </w:rPr>
      </w:pPr>
      <w:r w:rsidRPr="00FD0035">
        <w:rPr>
          <w:lang w:val="en-GB"/>
        </w:rPr>
        <w:t>The elemental composition of the samples was determined by atomic absorption spectrometry, X-ray fluorescence analysis, and also by chromatography after burning in a dynamic flash using a CHNS-Analyzer using standard techniques.</w:t>
      </w:r>
    </w:p>
    <w:p w:rsidR="00FD0035" w:rsidRDefault="00FD0035" w:rsidP="00FD0035">
      <w:pPr>
        <w:pStyle w:val="CETBodytext"/>
        <w:rPr>
          <w:lang w:val="en-GB"/>
        </w:rPr>
      </w:pPr>
      <w:r w:rsidRPr="00FD0035">
        <w:rPr>
          <w:lang w:val="en-GB"/>
        </w:rPr>
        <w:t xml:space="preserve">The equilibrium values ​​of nitrogen </w:t>
      </w:r>
      <w:r w:rsidR="00987627" w:rsidRPr="00987627">
        <w:rPr>
          <w:lang w:val="en-GB"/>
        </w:rPr>
        <w:t xml:space="preserve">vapour </w:t>
      </w:r>
      <w:r w:rsidRPr="00FD0035">
        <w:rPr>
          <w:lang w:val="en-GB"/>
        </w:rPr>
        <w:t xml:space="preserve">adsorption at 77 K on a solid adsorbent in the pressure range from 1 Pa to 0.1 </w:t>
      </w:r>
      <w:proofErr w:type="spellStart"/>
      <w:r w:rsidRPr="00FD0035">
        <w:rPr>
          <w:lang w:val="en-GB"/>
        </w:rPr>
        <w:t>MPa</w:t>
      </w:r>
      <w:proofErr w:type="spellEnd"/>
      <w:r w:rsidRPr="00FD0035">
        <w:rPr>
          <w:lang w:val="en-GB"/>
        </w:rPr>
        <w:t xml:space="preserve"> were measured by a gravimetric method on a vacuum adsorption unit</w:t>
      </w:r>
      <w:r>
        <w:rPr>
          <w:lang w:val="en-GB"/>
        </w:rPr>
        <w:t>.</w:t>
      </w:r>
    </w:p>
    <w:p w:rsidR="00FD0035" w:rsidRDefault="00FD0035" w:rsidP="00FD0035">
      <w:pPr>
        <w:pStyle w:val="CETBodytext"/>
        <w:rPr>
          <w:lang w:val="en-GB"/>
        </w:rPr>
      </w:pPr>
      <w:r w:rsidRPr="00FD0035">
        <w:rPr>
          <w:lang w:val="en-GB"/>
        </w:rPr>
        <w:t xml:space="preserve">Determination of sorption pores (the sum of the volumes of micro- and </w:t>
      </w:r>
      <w:proofErr w:type="spellStart"/>
      <w:r w:rsidRPr="00FD0035">
        <w:rPr>
          <w:lang w:val="en-GB"/>
        </w:rPr>
        <w:t>mesopores</w:t>
      </w:r>
      <w:proofErr w:type="spellEnd"/>
      <w:r w:rsidRPr="00FD0035">
        <w:rPr>
          <w:lang w:val="en-GB"/>
        </w:rPr>
        <w:t xml:space="preserve">) was carried out using an </w:t>
      </w:r>
      <w:proofErr w:type="spellStart"/>
      <w:r w:rsidRPr="00FD0035">
        <w:rPr>
          <w:lang w:val="en-GB"/>
        </w:rPr>
        <w:t>exicator</w:t>
      </w:r>
      <w:proofErr w:type="spellEnd"/>
      <w:r w:rsidRPr="00FD0035">
        <w:rPr>
          <w:lang w:val="en-GB"/>
        </w:rPr>
        <w:t xml:space="preserve"> method under static con</w:t>
      </w:r>
      <w:r w:rsidR="00987627">
        <w:rPr>
          <w:lang w:val="en-GB"/>
        </w:rPr>
        <w:t>ditions at a temperature of 200</w:t>
      </w:r>
      <w:r w:rsidRPr="00FD0035">
        <w:rPr>
          <w:lang w:val="en-GB"/>
        </w:rPr>
        <w:t xml:space="preserve">°C using benzene as a </w:t>
      </w:r>
      <w:proofErr w:type="spellStart"/>
      <w:r w:rsidRPr="00FD0035">
        <w:rPr>
          <w:lang w:val="en-GB"/>
        </w:rPr>
        <w:t>sorbate</w:t>
      </w:r>
      <w:proofErr w:type="spellEnd"/>
      <w:r w:rsidRPr="00FD0035">
        <w:rPr>
          <w:lang w:val="en-GB"/>
        </w:rPr>
        <w:t>.</w:t>
      </w:r>
    </w:p>
    <w:p w:rsidR="00480E18" w:rsidRPr="00197750" w:rsidRDefault="00480E18" w:rsidP="00480E18">
      <w:pPr>
        <w:pStyle w:val="CETHeading1"/>
        <w:numPr>
          <w:ilvl w:val="1"/>
          <w:numId w:val="22"/>
        </w:numPr>
        <w:tabs>
          <w:tab w:val="right" w:pos="7100"/>
        </w:tabs>
        <w:jc w:val="both"/>
        <w:rPr>
          <w:lang w:val="en-GB"/>
        </w:rPr>
      </w:pPr>
      <w:r w:rsidRPr="00197750">
        <w:rPr>
          <w:lang w:val="en-GB"/>
        </w:rPr>
        <w:t>Results and Discussion</w:t>
      </w:r>
    </w:p>
    <w:p w:rsidR="00480E18" w:rsidRDefault="00987627" w:rsidP="00480E18">
      <w:pPr>
        <w:pStyle w:val="CETBodytext"/>
        <w:rPr>
          <w:lang w:val="en-GB"/>
        </w:rPr>
      </w:pPr>
      <w:r w:rsidRPr="00987627">
        <w:rPr>
          <w:lang w:val="en-GB"/>
        </w:rPr>
        <w:t xml:space="preserve">As the initial carbon-containing materials for the development of porous adsorbents, iron-containing residues released during the processing of mixed </w:t>
      </w:r>
      <w:proofErr w:type="spellStart"/>
      <w:r w:rsidRPr="00987627">
        <w:rPr>
          <w:lang w:val="en-GB"/>
        </w:rPr>
        <w:t>kraft</w:t>
      </w:r>
      <w:proofErr w:type="spellEnd"/>
      <w:r w:rsidRPr="00987627">
        <w:rPr>
          <w:lang w:val="en-GB"/>
        </w:rPr>
        <w:t xml:space="preserve"> lignin are used. The processing of iron-containing lignin in gas synthesis occurs in a plasma-catalytic mode with microwave stimulation. Earlier, a study was conducted to study the ability of lignin modified by iron and nickel-containing catalytic systems to absorb microwave radiation.</w:t>
      </w:r>
      <w:r w:rsidR="009F72A4">
        <w:rPr>
          <w:lang w:val="en-GB"/>
        </w:rPr>
        <w:t xml:space="preserve"> In the</w:t>
      </w:r>
      <w:r w:rsidR="009F72A4" w:rsidRPr="009F72A4">
        <w:rPr>
          <w:lang w:val="en-GB"/>
        </w:rPr>
        <w:t xml:space="preserve"> </w:t>
      </w:r>
      <w:proofErr w:type="gramStart"/>
      <w:r w:rsidR="009F72A4" w:rsidRPr="009F72A4">
        <w:rPr>
          <w:lang w:val="en-GB"/>
        </w:rPr>
        <w:t>studies</w:t>
      </w:r>
      <w:r w:rsidR="009F72A4">
        <w:rPr>
          <w:lang w:val="en-GB"/>
        </w:rPr>
        <w:t>(</w:t>
      </w:r>
      <w:proofErr w:type="spellStart"/>
      <w:proofErr w:type="gramEnd"/>
      <w:r w:rsidR="009F72A4">
        <w:rPr>
          <w:lang w:val="en-GB"/>
        </w:rPr>
        <w:t>Tsodikov</w:t>
      </w:r>
      <w:proofErr w:type="spellEnd"/>
      <w:r w:rsidR="009F72A4">
        <w:rPr>
          <w:lang w:val="en-GB"/>
        </w:rPr>
        <w:t xml:space="preserve"> et al., 2017; </w:t>
      </w:r>
      <w:proofErr w:type="spellStart"/>
      <w:r w:rsidR="009F72A4">
        <w:rPr>
          <w:lang w:val="en-GB"/>
        </w:rPr>
        <w:t>Tsodikov</w:t>
      </w:r>
      <w:proofErr w:type="spellEnd"/>
      <w:r w:rsidR="009F72A4">
        <w:rPr>
          <w:lang w:val="en-GB"/>
        </w:rPr>
        <w:t xml:space="preserve"> et al., 2018)</w:t>
      </w:r>
      <w:r w:rsidR="009F72A4" w:rsidRPr="009F72A4">
        <w:rPr>
          <w:lang w:val="en-GB"/>
        </w:rPr>
        <w:t>, it was found that nickel-containing lignin absorbs MWI insufficiently to raise the temperature up to 700-800С, which is necessary for carbon dioxide reforming. In this regard, f</w:t>
      </w:r>
      <w:r w:rsidR="00997774">
        <w:rPr>
          <w:lang w:val="en-GB"/>
        </w:rPr>
        <w:t xml:space="preserve">or the implementation of the </w:t>
      </w:r>
      <w:r w:rsidR="00997774">
        <w:t>DLR</w:t>
      </w:r>
      <w:r w:rsidR="009F72A4" w:rsidRPr="009F72A4">
        <w:rPr>
          <w:lang w:val="en-GB"/>
        </w:rPr>
        <w:t xml:space="preserve"> in the presence of nickel-containing catalytic systems, it was necessary to add a material with large dielectric losses to the microwave-resonator resonator</w:t>
      </w:r>
      <w:r w:rsidR="009F72A4">
        <w:rPr>
          <w:lang w:val="en-GB"/>
        </w:rPr>
        <w:t xml:space="preserve"> (</w:t>
      </w:r>
      <w:proofErr w:type="spellStart"/>
      <w:r w:rsidR="009F72A4">
        <w:rPr>
          <w:lang w:val="en-GB"/>
        </w:rPr>
        <w:t>Tsodikov</w:t>
      </w:r>
      <w:proofErr w:type="spellEnd"/>
      <w:r w:rsidR="009F72A4">
        <w:rPr>
          <w:lang w:val="en-GB"/>
        </w:rPr>
        <w:t xml:space="preserve"> et al., 2017; </w:t>
      </w:r>
      <w:proofErr w:type="spellStart"/>
      <w:r w:rsidR="009F72A4">
        <w:rPr>
          <w:lang w:val="en-GB"/>
        </w:rPr>
        <w:t>Tsodikov</w:t>
      </w:r>
      <w:proofErr w:type="spellEnd"/>
      <w:r w:rsidR="009F72A4">
        <w:rPr>
          <w:lang w:val="en-GB"/>
        </w:rPr>
        <w:t xml:space="preserve"> et al., 2016). </w:t>
      </w:r>
      <w:r w:rsidR="009F72A4" w:rsidRPr="009F72A4">
        <w:rPr>
          <w:lang w:val="en-GB"/>
        </w:rPr>
        <w:t xml:space="preserve">In contrast, in the presence of </w:t>
      </w:r>
      <w:proofErr w:type="spellStart"/>
      <w:r w:rsidR="009F72A4" w:rsidRPr="009F72A4">
        <w:rPr>
          <w:lang w:val="en-GB"/>
        </w:rPr>
        <w:t>nanoscale</w:t>
      </w:r>
      <w:proofErr w:type="spellEnd"/>
      <w:r w:rsidR="009F72A4" w:rsidRPr="009F72A4">
        <w:rPr>
          <w:lang w:val="en-GB"/>
        </w:rPr>
        <w:t xml:space="preserve"> iron-containing particles deposited on the surface of the lignin, the system had a significant absorption of microwave radiation for carbon dioxide reforming in the plasma-catalytic mode</w:t>
      </w:r>
      <w:r w:rsidR="009F72A4">
        <w:rPr>
          <w:lang w:val="en-GB"/>
        </w:rPr>
        <w:t xml:space="preserve">. </w:t>
      </w:r>
      <w:r w:rsidR="009F72A4" w:rsidRPr="009F72A4">
        <w:rPr>
          <w:lang w:val="en-GB"/>
        </w:rPr>
        <w:t xml:space="preserve">In </w:t>
      </w:r>
      <w:r w:rsidR="00D04364">
        <w:rPr>
          <w:lang w:val="en-GB"/>
        </w:rPr>
        <w:t>F</w:t>
      </w:r>
      <w:r w:rsidR="009F72A4" w:rsidRPr="009F72A4">
        <w:rPr>
          <w:lang w:val="en-GB"/>
        </w:rPr>
        <w:t>ig. 1 presents data on the effect of MWI on the time of temperature increase in the reaction zone. From the data of Fig</w:t>
      </w:r>
      <w:r w:rsidR="00D04364">
        <w:rPr>
          <w:lang w:val="en-GB"/>
        </w:rPr>
        <w:t>.</w:t>
      </w:r>
      <w:r w:rsidR="009F72A4" w:rsidRPr="009F72A4">
        <w:rPr>
          <w:lang w:val="en-GB"/>
        </w:rPr>
        <w:t xml:space="preserve"> 2, it follows that the T ÷ τ dependence is of an extreme nature: the maximum heating rate is observed for a sample containing 0.5% deposited Fe. The catalytic activity in the </w:t>
      </w:r>
      <w:r w:rsidR="00AB4C8D">
        <w:rPr>
          <w:lang w:val="en-GB"/>
        </w:rPr>
        <w:t>LDR</w:t>
      </w:r>
      <w:r w:rsidR="009F72A4" w:rsidRPr="009F72A4">
        <w:rPr>
          <w:lang w:val="en-GB"/>
        </w:rPr>
        <w:t xml:space="preserve"> increases with increasing iron content and corresponds to the maximum value with a content of 2-3%</w:t>
      </w:r>
      <w:r w:rsidR="009F72A4">
        <w:rPr>
          <w:lang w:val="en-GB"/>
        </w:rPr>
        <w:t>.</w:t>
      </w:r>
    </w:p>
    <w:p w:rsidR="009F72A4" w:rsidRDefault="009F72A4" w:rsidP="009A7F2A">
      <w:pPr>
        <w:pStyle w:val="CETBodytext"/>
      </w:pPr>
      <w:r w:rsidRPr="009F72A4">
        <w:rPr>
          <w:noProof/>
          <w:lang w:val="ru-RU" w:eastAsia="ru-RU"/>
        </w:rPr>
        <w:drawing>
          <wp:inline distT="0" distB="0" distL="0" distR="0">
            <wp:extent cx="4124325" cy="237806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24644" cy="2378247"/>
                    </a:xfrm>
                    <a:prstGeom prst="rect">
                      <a:avLst/>
                    </a:prstGeom>
                    <a:noFill/>
                    <a:ln w="9525">
                      <a:noFill/>
                      <a:miter lim="800000"/>
                      <a:headEnd/>
                      <a:tailEnd/>
                    </a:ln>
                  </pic:spPr>
                </pic:pic>
              </a:graphicData>
            </a:graphic>
          </wp:inline>
        </w:drawing>
      </w:r>
    </w:p>
    <w:p w:rsidR="009F72A4" w:rsidRDefault="009F72A4" w:rsidP="00480E18">
      <w:pPr>
        <w:pStyle w:val="CETBodytext"/>
        <w:rPr>
          <w:i/>
          <w:lang w:val="en-GB"/>
        </w:rPr>
      </w:pPr>
      <w:r w:rsidRPr="009F72A4">
        <w:rPr>
          <w:i/>
          <w:lang w:val="en-GB"/>
        </w:rPr>
        <w:t>Figure 1: Dynamics of heating of the initial and iron-containing lignin.</w:t>
      </w:r>
    </w:p>
    <w:p w:rsidR="0028143B" w:rsidRDefault="0028143B" w:rsidP="0028143B">
      <w:pPr>
        <w:pStyle w:val="CETBodytext"/>
      </w:pPr>
    </w:p>
    <w:p w:rsidR="0028143B" w:rsidRPr="009F72A4" w:rsidRDefault="0028143B" w:rsidP="0028143B">
      <w:pPr>
        <w:pStyle w:val="CETBodytext"/>
      </w:pPr>
      <w:r w:rsidRPr="0028143B">
        <w:t xml:space="preserve">The greatest activity in the transformation of </w:t>
      </w:r>
      <w:r w:rsidR="00997774">
        <w:t>lignin</w:t>
      </w:r>
      <w:r w:rsidRPr="0028143B">
        <w:t xml:space="preserve"> was achieved using mixed catalysts consisting of iron-nickel systems and reached 64% with selectivity in the formation of synthesis gas 91 -92% (Table 1).</w:t>
      </w:r>
    </w:p>
    <w:p w:rsidR="00480E18" w:rsidRDefault="009A7F2A" w:rsidP="00600535">
      <w:pPr>
        <w:pStyle w:val="CETAcknowledgementstitle"/>
        <w:rPr>
          <w:b w:val="0"/>
          <w:i/>
        </w:rPr>
      </w:pPr>
      <w:proofErr w:type="gramStart"/>
      <w:r w:rsidRPr="009A7F2A">
        <w:rPr>
          <w:b w:val="0"/>
          <w:i/>
        </w:rPr>
        <w:t xml:space="preserve">Table 1: Conversion of </w:t>
      </w:r>
      <w:r w:rsidR="00AB4C8D">
        <w:rPr>
          <w:b w:val="0"/>
          <w:i/>
        </w:rPr>
        <w:t>lignin</w:t>
      </w:r>
      <w:r w:rsidRPr="009A7F2A">
        <w:rPr>
          <w:b w:val="0"/>
          <w:i/>
        </w:rPr>
        <w:t xml:space="preserve"> in the presence of nickel-iron catalytic systems and microwave radiation.</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970"/>
        <w:gridCol w:w="1108"/>
        <w:gridCol w:w="1037"/>
        <w:gridCol w:w="1042"/>
        <w:gridCol w:w="917"/>
        <w:gridCol w:w="918"/>
        <w:gridCol w:w="915"/>
        <w:gridCol w:w="960"/>
        <w:gridCol w:w="920"/>
      </w:tblGrid>
      <w:tr w:rsidR="009A7F2A" w:rsidRPr="009A7F2A" w:rsidTr="000143DE">
        <w:tc>
          <w:tcPr>
            <w:tcW w:w="979" w:type="dxa"/>
            <w:tcBorders>
              <w:top w:val="single" w:sz="12" w:space="0" w:color="008000"/>
              <w:bottom w:val="single" w:sz="6" w:space="0" w:color="008000"/>
            </w:tcBorders>
            <w:shd w:val="clear" w:color="auto" w:fill="auto"/>
            <w:vAlign w:val="center"/>
          </w:tcPr>
          <w:p w:rsidR="009A7F2A" w:rsidRPr="000143DE" w:rsidRDefault="009A7F2A" w:rsidP="000143DE">
            <w:pPr>
              <w:spacing w:line="240" w:lineRule="auto"/>
              <w:jc w:val="center"/>
              <w:rPr>
                <w:rFonts w:cs="Arial"/>
                <w:szCs w:val="18"/>
                <w:lang w:val="en-US" w:eastAsia="ru-RU"/>
              </w:rPr>
            </w:pPr>
            <w:r w:rsidRPr="000143DE">
              <w:rPr>
                <w:rFonts w:cs="Arial"/>
                <w:szCs w:val="18"/>
                <w:lang w:val="en-US" w:eastAsia="ru-RU"/>
              </w:rPr>
              <w:lastRenderedPageBreak/>
              <w:t>N/N</w:t>
            </w:r>
          </w:p>
        </w:tc>
        <w:tc>
          <w:tcPr>
            <w:tcW w:w="1109" w:type="dxa"/>
            <w:tcBorders>
              <w:top w:val="single" w:sz="12" w:space="0" w:color="008000"/>
              <w:bottom w:val="single" w:sz="6" w:space="0" w:color="008000"/>
            </w:tcBorders>
            <w:shd w:val="clear" w:color="auto" w:fill="auto"/>
            <w:vAlign w:val="center"/>
          </w:tcPr>
          <w:p w:rsidR="009A7F2A" w:rsidRPr="000143DE" w:rsidRDefault="009A7F2A" w:rsidP="000143DE">
            <w:pPr>
              <w:pStyle w:val="CETBodytext"/>
              <w:jc w:val="center"/>
              <w:rPr>
                <w:rFonts w:cs="Arial"/>
                <w:lang w:val="en-GB"/>
              </w:rPr>
            </w:pPr>
            <w:r w:rsidRPr="000143DE">
              <w:rPr>
                <w:rFonts w:cs="Arial"/>
                <w:lang w:val="en-GB"/>
              </w:rPr>
              <w:t>Composition</w:t>
            </w:r>
          </w:p>
        </w:tc>
        <w:tc>
          <w:tcPr>
            <w:tcW w:w="1047"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jc w:val="center"/>
              <w:rPr>
                <w:rFonts w:cs="Arial"/>
                <w:lang w:val="en-GB"/>
              </w:rPr>
            </w:pPr>
            <w:r w:rsidRPr="000143DE">
              <w:rPr>
                <w:rFonts w:cs="Arial"/>
                <w:lang w:val="en-GB"/>
              </w:rPr>
              <w:t>Gas</w:t>
            </w:r>
          </w:p>
        </w:tc>
        <w:tc>
          <w:tcPr>
            <w:tcW w:w="1047"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jc w:val="center"/>
              <w:rPr>
                <w:rFonts w:cs="Arial"/>
                <w:lang w:val="en-GB"/>
              </w:rPr>
            </w:pPr>
            <w:r w:rsidRPr="000143DE">
              <w:rPr>
                <w:rFonts w:cs="Arial"/>
                <w:lang w:val="en-GB"/>
              </w:rPr>
              <w:t>Gaseous products yield, wt.%</w:t>
            </w:r>
          </w:p>
        </w:tc>
        <w:tc>
          <w:tcPr>
            <w:tcW w:w="921"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ind w:right="-1"/>
              <w:jc w:val="center"/>
              <w:rPr>
                <w:rFonts w:cs="Arial"/>
                <w:szCs w:val="18"/>
                <w:lang w:val="en-GB"/>
              </w:rPr>
            </w:pPr>
            <w:r w:rsidRPr="000143DE">
              <w:rPr>
                <w:rFonts w:cs="Arial"/>
                <w:szCs w:val="18"/>
                <w:lang w:val="en-GB"/>
              </w:rPr>
              <w:t>Solid residue, wt.%</w:t>
            </w:r>
          </w:p>
        </w:tc>
        <w:tc>
          <w:tcPr>
            <w:tcW w:w="921"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ind w:right="-1"/>
              <w:jc w:val="center"/>
              <w:rPr>
                <w:rFonts w:cs="Arial"/>
                <w:szCs w:val="18"/>
                <w:lang w:val="en-GB"/>
              </w:rPr>
            </w:pPr>
            <w:r w:rsidRPr="000143DE">
              <w:rPr>
                <w:rFonts w:cs="Arial"/>
                <w:szCs w:val="18"/>
                <w:lang w:val="en-GB"/>
              </w:rPr>
              <w:t>Liquid products yield, wt.%</w:t>
            </w:r>
          </w:p>
        </w:tc>
        <w:tc>
          <w:tcPr>
            <w:tcW w:w="921"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ind w:right="-1"/>
              <w:jc w:val="center"/>
              <w:rPr>
                <w:rFonts w:cs="Arial"/>
                <w:szCs w:val="18"/>
                <w:lang w:val="en-GB"/>
              </w:rPr>
            </w:pPr>
            <w:r w:rsidRPr="000143DE">
              <w:rPr>
                <w:rFonts w:cs="Arial"/>
                <w:szCs w:val="18"/>
                <w:lang w:val="en-GB"/>
              </w:rPr>
              <w:t>H</w:t>
            </w:r>
            <w:r w:rsidRPr="000143DE">
              <w:rPr>
                <w:rFonts w:cs="Arial"/>
                <w:szCs w:val="18"/>
                <w:vertAlign w:val="subscript"/>
                <w:lang w:val="en-GB"/>
              </w:rPr>
              <w:t>2</w:t>
            </w:r>
            <w:r w:rsidRPr="000143DE">
              <w:rPr>
                <w:rFonts w:cs="Arial"/>
                <w:szCs w:val="18"/>
                <w:lang w:val="en-GB"/>
              </w:rPr>
              <w:t>:CO</w:t>
            </w:r>
          </w:p>
        </w:tc>
        <w:tc>
          <w:tcPr>
            <w:tcW w:w="921"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ind w:right="-1"/>
              <w:jc w:val="center"/>
              <w:rPr>
                <w:rFonts w:cs="Arial"/>
                <w:szCs w:val="18"/>
                <w:lang w:val="en-GB"/>
              </w:rPr>
            </w:pPr>
            <w:r w:rsidRPr="000143DE">
              <w:rPr>
                <w:rFonts w:cs="Arial"/>
                <w:szCs w:val="18"/>
                <w:lang w:val="en-GB"/>
              </w:rPr>
              <w:t>Conversion, %</w:t>
            </w:r>
          </w:p>
        </w:tc>
        <w:tc>
          <w:tcPr>
            <w:tcW w:w="921" w:type="dxa"/>
            <w:tcBorders>
              <w:top w:val="single" w:sz="12" w:space="0" w:color="008000"/>
              <w:bottom w:val="single" w:sz="6" w:space="0" w:color="008000"/>
            </w:tcBorders>
            <w:shd w:val="clear" w:color="auto" w:fill="auto"/>
            <w:vAlign w:val="center"/>
          </w:tcPr>
          <w:p w:rsidR="009A7F2A" w:rsidRPr="000143DE" w:rsidRDefault="000143DE" w:rsidP="000143DE">
            <w:pPr>
              <w:pStyle w:val="CETBodytext"/>
              <w:ind w:right="-1"/>
              <w:jc w:val="center"/>
              <w:rPr>
                <w:rFonts w:cs="Arial"/>
                <w:szCs w:val="18"/>
                <w:lang w:val="en-GB"/>
              </w:rPr>
            </w:pPr>
            <w:proofErr w:type="spellStart"/>
            <w:r w:rsidRPr="000143DE">
              <w:rPr>
                <w:rFonts w:cs="Arial"/>
                <w:szCs w:val="18"/>
                <w:lang w:val="en-GB"/>
              </w:rPr>
              <w:t>Syn</w:t>
            </w:r>
            <w:proofErr w:type="spellEnd"/>
            <w:r w:rsidRPr="000143DE">
              <w:rPr>
                <w:rFonts w:cs="Arial"/>
                <w:szCs w:val="18"/>
                <w:lang w:val="en-GB"/>
              </w:rPr>
              <w:t>-gas selectivity, %</w:t>
            </w:r>
          </w:p>
        </w:tc>
      </w:tr>
      <w:tr w:rsidR="009A7F2A" w:rsidRPr="009A7F2A" w:rsidTr="00AE16C4">
        <w:tc>
          <w:tcPr>
            <w:tcW w:w="979" w:type="dxa"/>
            <w:shd w:val="clear" w:color="auto" w:fill="FFFFFF"/>
            <w:vAlign w:val="center"/>
          </w:tcPr>
          <w:p w:rsidR="009A7F2A" w:rsidRPr="009A7F2A" w:rsidRDefault="009A7F2A" w:rsidP="00AE16C4">
            <w:pPr>
              <w:spacing w:line="240" w:lineRule="auto"/>
              <w:jc w:val="center"/>
              <w:rPr>
                <w:rFonts w:cs="Arial"/>
                <w:szCs w:val="18"/>
                <w:lang w:eastAsia="ru-RU"/>
              </w:rPr>
            </w:pPr>
            <w:r w:rsidRPr="009A7F2A">
              <w:rPr>
                <w:rFonts w:cs="Arial"/>
                <w:szCs w:val="18"/>
                <w:lang w:eastAsia="ru-RU"/>
              </w:rPr>
              <w:t>1</w:t>
            </w:r>
          </w:p>
        </w:tc>
        <w:tc>
          <w:tcPr>
            <w:tcW w:w="1109" w:type="dxa"/>
            <w:shd w:val="clear" w:color="auto" w:fill="FFFFFF"/>
            <w:vAlign w:val="center"/>
          </w:tcPr>
          <w:p w:rsidR="009A7F2A" w:rsidRPr="009A7F2A" w:rsidRDefault="009A7F2A" w:rsidP="009A7F2A">
            <w:pPr>
              <w:spacing w:line="337" w:lineRule="atLeast"/>
              <w:jc w:val="center"/>
              <w:rPr>
                <w:rFonts w:cs="Arial"/>
                <w:sz w:val="36"/>
                <w:szCs w:val="36"/>
                <w:lang w:eastAsia="ru-RU"/>
              </w:rPr>
            </w:pPr>
            <w:r w:rsidRPr="009A7F2A">
              <w:rPr>
                <w:rFonts w:cs="Arial"/>
                <w:bCs/>
                <w:kern w:val="24"/>
                <w:szCs w:val="18"/>
                <w:lang w:eastAsia="ru-RU"/>
              </w:rPr>
              <w:t>1</w:t>
            </w:r>
            <w:r>
              <w:rPr>
                <w:rFonts w:cs="Arial"/>
                <w:bCs/>
                <w:kern w:val="24"/>
                <w:szCs w:val="18"/>
                <w:lang w:eastAsia="ru-RU"/>
              </w:rPr>
              <w:t>.</w:t>
            </w:r>
            <w:r w:rsidRPr="009A7F2A">
              <w:rPr>
                <w:rFonts w:cs="Arial"/>
                <w:bCs/>
                <w:kern w:val="24"/>
                <w:szCs w:val="18"/>
                <w:lang w:eastAsia="ru-RU"/>
              </w:rPr>
              <w:t>5Ni+ 0</w:t>
            </w:r>
            <w:r>
              <w:rPr>
                <w:rFonts w:cs="Arial"/>
                <w:bCs/>
                <w:kern w:val="24"/>
                <w:szCs w:val="18"/>
                <w:lang w:eastAsia="ru-RU"/>
              </w:rPr>
              <w:t>.</w:t>
            </w:r>
            <w:r w:rsidRPr="009A7F2A">
              <w:rPr>
                <w:rFonts w:cs="Arial"/>
                <w:bCs/>
                <w:kern w:val="24"/>
                <w:szCs w:val="18"/>
                <w:lang w:eastAsia="ru-RU"/>
              </w:rPr>
              <w:t>5Fe</w:t>
            </w:r>
            <w:r w:rsidRPr="009A7F2A">
              <w:rPr>
                <w:rFonts w:eastAsia="Calibri" w:cs="Arial"/>
                <w:bCs/>
                <w:kern w:val="24"/>
                <w:szCs w:val="18"/>
                <w:lang w:eastAsia="ru-RU"/>
              </w:rPr>
              <w:t xml:space="preserve"> </w:t>
            </w:r>
          </w:p>
        </w:tc>
        <w:tc>
          <w:tcPr>
            <w:tcW w:w="1047" w:type="dxa"/>
            <w:shd w:val="clear" w:color="auto" w:fill="FFFFFF"/>
            <w:vAlign w:val="center"/>
          </w:tcPr>
          <w:p w:rsidR="009A7F2A" w:rsidRPr="009A7F2A" w:rsidRDefault="009A7F2A" w:rsidP="000143DE">
            <w:pPr>
              <w:spacing w:line="337" w:lineRule="atLeast"/>
              <w:jc w:val="center"/>
              <w:rPr>
                <w:rFonts w:cs="Arial"/>
                <w:sz w:val="36"/>
                <w:szCs w:val="36"/>
                <w:lang w:eastAsia="ru-RU"/>
              </w:rPr>
            </w:pPr>
            <w:r w:rsidRPr="009A7F2A">
              <w:rPr>
                <w:rFonts w:cs="Arial"/>
                <w:bCs/>
                <w:kern w:val="24"/>
                <w:szCs w:val="18"/>
                <w:lang w:eastAsia="ru-RU"/>
              </w:rPr>
              <w:t>СО</w:t>
            </w:r>
            <w:r w:rsidRPr="00151272">
              <w:rPr>
                <w:rFonts w:cs="Arial"/>
                <w:bCs/>
                <w:kern w:val="24"/>
                <w:szCs w:val="18"/>
                <w:vertAlign w:val="subscript"/>
                <w:lang w:eastAsia="ru-RU"/>
              </w:rPr>
              <w:t>2</w:t>
            </w:r>
          </w:p>
        </w:tc>
        <w:tc>
          <w:tcPr>
            <w:tcW w:w="1047"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35</w:t>
            </w:r>
            <w:r>
              <w:rPr>
                <w:rFonts w:cs="Arial"/>
                <w:bCs/>
                <w:kern w:val="24"/>
                <w:szCs w:val="18"/>
                <w:lang w:eastAsia="ru-RU"/>
              </w:rPr>
              <w:t>.</w:t>
            </w:r>
            <w:r w:rsidRPr="009A7F2A">
              <w:rPr>
                <w:rFonts w:cs="Arial"/>
                <w:bCs/>
                <w:kern w:val="24"/>
                <w:szCs w:val="18"/>
                <w:lang w:eastAsia="ru-RU"/>
              </w:rPr>
              <w:t>6</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38</w:t>
            </w:r>
            <w:r>
              <w:rPr>
                <w:rFonts w:cs="Arial"/>
                <w:bCs/>
                <w:kern w:val="24"/>
                <w:szCs w:val="18"/>
                <w:lang w:eastAsia="ru-RU"/>
              </w:rPr>
              <w:t>.</w:t>
            </w:r>
            <w:r w:rsidRPr="009A7F2A">
              <w:rPr>
                <w:rFonts w:cs="Arial"/>
                <w:bCs/>
                <w:kern w:val="24"/>
                <w:szCs w:val="18"/>
                <w:lang w:eastAsia="ru-RU"/>
              </w:rPr>
              <w:t>3</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5</w:t>
            </w:r>
            <w:r>
              <w:rPr>
                <w:rFonts w:cs="Arial"/>
                <w:bCs/>
                <w:kern w:val="24"/>
                <w:szCs w:val="18"/>
                <w:lang w:eastAsia="ru-RU"/>
              </w:rPr>
              <w:t>.</w:t>
            </w:r>
            <w:r w:rsidRPr="009A7F2A">
              <w:rPr>
                <w:rFonts w:cs="Arial"/>
                <w:bCs/>
                <w:kern w:val="24"/>
                <w:szCs w:val="18"/>
                <w:lang w:eastAsia="ru-RU"/>
              </w:rPr>
              <w:t>6</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1</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64</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91</w:t>
            </w:r>
            <w:r>
              <w:rPr>
                <w:rFonts w:cs="Arial"/>
                <w:bCs/>
                <w:kern w:val="24"/>
                <w:szCs w:val="18"/>
                <w:lang w:eastAsia="ru-RU"/>
              </w:rPr>
              <w:t>.</w:t>
            </w:r>
            <w:r w:rsidRPr="009A7F2A">
              <w:rPr>
                <w:rFonts w:cs="Arial"/>
                <w:bCs/>
                <w:kern w:val="24"/>
                <w:szCs w:val="18"/>
                <w:lang w:eastAsia="ru-RU"/>
              </w:rPr>
              <w:t>8</w:t>
            </w:r>
            <w:r w:rsidRPr="009A7F2A">
              <w:rPr>
                <w:rFonts w:eastAsia="Calibri" w:cs="Arial"/>
                <w:bCs/>
                <w:kern w:val="24"/>
                <w:szCs w:val="18"/>
                <w:lang w:eastAsia="ru-RU"/>
              </w:rPr>
              <w:t xml:space="preserve"> </w:t>
            </w:r>
          </w:p>
        </w:tc>
      </w:tr>
      <w:tr w:rsidR="009A7F2A" w:rsidRPr="009A7F2A" w:rsidTr="00AE16C4">
        <w:tc>
          <w:tcPr>
            <w:tcW w:w="979"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2</w:t>
            </w:r>
            <w:r w:rsidRPr="009A7F2A">
              <w:rPr>
                <w:rFonts w:eastAsia="Calibri" w:cs="Arial"/>
                <w:bCs/>
                <w:kern w:val="24"/>
                <w:szCs w:val="18"/>
                <w:lang w:eastAsia="ru-RU"/>
              </w:rPr>
              <w:t xml:space="preserve"> </w:t>
            </w:r>
          </w:p>
        </w:tc>
        <w:tc>
          <w:tcPr>
            <w:tcW w:w="1109" w:type="dxa"/>
            <w:shd w:val="clear" w:color="auto" w:fill="FFFFFF"/>
            <w:vAlign w:val="center"/>
          </w:tcPr>
          <w:p w:rsidR="009A7F2A" w:rsidRPr="009A7F2A" w:rsidRDefault="009A7F2A" w:rsidP="009A7F2A">
            <w:pPr>
              <w:spacing w:line="337" w:lineRule="atLeast"/>
              <w:jc w:val="center"/>
              <w:rPr>
                <w:rFonts w:cs="Arial"/>
                <w:sz w:val="36"/>
                <w:szCs w:val="36"/>
                <w:lang w:eastAsia="ru-RU"/>
              </w:rPr>
            </w:pPr>
            <w:r w:rsidRPr="009A7F2A">
              <w:rPr>
                <w:rFonts w:cs="Arial"/>
                <w:bCs/>
                <w:kern w:val="24"/>
                <w:szCs w:val="18"/>
                <w:lang w:eastAsia="ru-RU"/>
              </w:rPr>
              <w:t>0</w:t>
            </w:r>
            <w:r>
              <w:rPr>
                <w:rFonts w:cs="Arial"/>
                <w:bCs/>
                <w:kern w:val="24"/>
                <w:szCs w:val="18"/>
                <w:lang w:eastAsia="ru-RU"/>
              </w:rPr>
              <w:t>.</w:t>
            </w:r>
            <w:r w:rsidRPr="009A7F2A">
              <w:rPr>
                <w:rFonts w:cs="Arial"/>
                <w:bCs/>
                <w:kern w:val="24"/>
                <w:szCs w:val="18"/>
                <w:lang w:eastAsia="ru-RU"/>
              </w:rPr>
              <w:t>1Fe + 1</w:t>
            </w:r>
            <w:r>
              <w:rPr>
                <w:rFonts w:cs="Arial"/>
                <w:bCs/>
                <w:kern w:val="24"/>
                <w:szCs w:val="18"/>
                <w:lang w:eastAsia="ru-RU"/>
              </w:rPr>
              <w:t>.</w:t>
            </w:r>
            <w:r w:rsidRPr="009A7F2A">
              <w:rPr>
                <w:rFonts w:cs="Arial"/>
                <w:bCs/>
                <w:kern w:val="24"/>
                <w:szCs w:val="18"/>
                <w:lang w:eastAsia="ru-RU"/>
              </w:rPr>
              <w:t>5Ni</w:t>
            </w:r>
            <w:r w:rsidRPr="009A7F2A">
              <w:rPr>
                <w:rFonts w:eastAsia="Calibri" w:cs="Arial"/>
                <w:bCs/>
                <w:kern w:val="24"/>
                <w:szCs w:val="18"/>
                <w:lang w:eastAsia="ru-RU"/>
              </w:rPr>
              <w:t xml:space="preserve"> </w:t>
            </w:r>
          </w:p>
        </w:tc>
        <w:tc>
          <w:tcPr>
            <w:tcW w:w="1047" w:type="dxa"/>
            <w:shd w:val="clear" w:color="auto" w:fill="FFFFFF"/>
            <w:vAlign w:val="center"/>
          </w:tcPr>
          <w:p w:rsidR="009A7F2A" w:rsidRPr="009A7F2A" w:rsidRDefault="009A7F2A" w:rsidP="000143DE">
            <w:pPr>
              <w:spacing w:line="337" w:lineRule="atLeast"/>
              <w:jc w:val="center"/>
              <w:rPr>
                <w:rFonts w:cs="Arial"/>
                <w:sz w:val="36"/>
                <w:szCs w:val="36"/>
                <w:lang w:eastAsia="ru-RU"/>
              </w:rPr>
            </w:pPr>
            <w:r w:rsidRPr="009A7F2A">
              <w:rPr>
                <w:rFonts w:cs="Arial"/>
                <w:bCs/>
                <w:kern w:val="24"/>
                <w:szCs w:val="18"/>
                <w:lang w:eastAsia="ru-RU"/>
              </w:rPr>
              <w:t>СО</w:t>
            </w:r>
            <w:r w:rsidRPr="00151272">
              <w:rPr>
                <w:rFonts w:cs="Arial"/>
                <w:bCs/>
                <w:kern w:val="24"/>
                <w:szCs w:val="18"/>
                <w:vertAlign w:val="subscript"/>
                <w:lang w:eastAsia="ru-RU"/>
              </w:rPr>
              <w:t>2</w:t>
            </w:r>
          </w:p>
        </w:tc>
        <w:tc>
          <w:tcPr>
            <w:tcW w:w="1047"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33</w:t>
            </w:r>
            <w:r>
              <w:rPr>
                <w:rFonts w:cs="Arial"/>
                <w:bCs/>
                <w:kern w:val="24"/>
                <w:szCs w:val="18"/>
                <w:lang w:eastAsia="ru-RU"/>
              </w:rPr>
              <w:t>.</w:t>
            </w:r>
            <w:r w:rsidRPr="009A7F2A">
              <w:rPr>
                <w:rFonts w:cs="Arial"/>
                <w:bCs/>
                <w:kern w:val="24"/>
                <w:szCs w:val="18"/>
                <w:lang w:eastAsia="ru-RU"/>
              </w:rPr>
              <w:t>2</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42</w:t>
            </w:r>
            <w:r>
              <w:rPr>
                <w:rFonts w:cs="Arial"/>
                <w:bCs/>
                <w:kern w:val="24"/>
                <w:szCs w:val="18"/>
                <w:lang w:eastAsia="ru-RU"/>
              </w:rPr>
              <w:t>.</w:t>
            </w:r>
            <w:r w:rsidRPr="009A7F2A">
              <w:rPr>
                <w:rFonts w:cs="Arial"/>
                <w:bCs/>
                <w:kern w:val="24"/>
                <w:szCs w:val="18"/>
                <w:lang w:eastAsia="ru-RU"/>
              </w:rPr>
              <w:t>6</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6</w:t>
            </w:r>
            <w:r>
              <w:rPr>
                <w:rFonts w:cs="Arial"/>
                <w:bCs/>
                <w:kern w:val="24"/>
                <w:szCs w:val="18"/>
                <w:lang w:eastAsia="ru-RU"/>
              </w:rPr>
              <w:t>.</w:t>
            </w:r>
            <w:r w:rsidRPr="009A7F2A">
              <w:rPr>
                <w:rFonts w:cs="Arial"/>
                <w:bCs/>
                <w:kern w:val="24"/>
                <w:szCs w:val="18"/>
                <w:lang w:eastAsia="ru-RU"/>
              </w:rPr>
              <w:t>4</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1</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63</w:t>
            </w:r>
            <w:r>
              <w:rPr>
                <w:rFonts w:cs="Arial"/>
                <w:bCs/>
                <w:kern w:val="24"/>
                <w:szCs w:val="18"/>
                <w:lang w:eastAsia="ru-RU"/>
              </w:rPr>
              <w:t>.</w:t>
            </w:r>
            <w:r w:rsidRPr="009A7F2A">
              <w:rPr>
                <w:rFonts w:cs="Arial"/>
                <w:bCs/>
                <w:kern w:val="24"/>
                <w:szCs w:val="18"/>
                <w:lang w:eastAsia="ru-RU"/>
              </w:rPr>
              <w:t>7</w:t>
            </w:r>
            <w:r w:rsidRPr="009A7F2A">
              <w:rPr>
                <w:rFonts w:eastAsia="Calibri" w:cs="Arial"/>
                <w:bCs/>
                <w:kern w:val="24"/>
                <w:szCs w:val="18"/>
                <w:lang w:eastAsia="ru-RU"/>
              </w:rPr>
              <w:t xml:space="preserve"> </w:t>
            </w:r>
          </w:p>
        </w:tc>
        <w:tc>
          <w:tcPr>
            <w:tcW w:w="921" w:type="dxa"/>
            <w:shd w:val="clear" w:color="auto" w:fill="FFFFFF"/>
            <w:vAlign w:val="center"/>
          </w:tcPr>
          <w:p w:rsidR="009A7F2A" w:rsidRPr="009A7F2A" w:rsidRDefault="009A7F2A" w:rsidP="00AE16C4">
            <w:pPr>
              <w:spacing w:line="337" w:lineRule="atLeast"/>
              <w:jc w:val="center"/>
              <w:rPr>
                <w:rFonts w:cs="Arial"/>
                <w:sz w:val="36"/>
                <w:szCs w:val="36"/>
                <w:lang w:eastAsia="ru-RU"/>
              </w:rPr>
            </w:pPr>
            <w:r w:rsidRPr="009A7F2A">
              <w:rPr>
                <w:rFonts w:cs="Arial"/>
                <w:bCs/>
                <w:kern w:val="24"/>
                <w:szCs w:val="18"/>
                <w:lang w:eastAsia="ru-RU"/>
              </w:rPr>
              <w:t>91</w:t>
            </w:r>
            <w:r w:rsidRPr="009A7F2A">
              <w:rPr>
                <w:rFonts w:eastAsia="Calibri" w:cs="Arial"/>
                <w:bCs/>
                <w:kern w:val="24"/>
                <w:szCs w:val="18"/>
                <w:lang w:eastAsia="ru-RU"/>
              </w:rPr>
              <w:t xml:space="preserve"> </w:t>
            </w:r>
          </w:p>
        </w:tc>
      </w:tr>
    </w:tbl>
    <w:p w:rsidR="009A7F2A" w:rsidRDefault="009A7F2A" w:rsidP="009A7F2A">
      <w:pPr>
        <w:pStyle w:val="CETBodytext"/>
        <w:rPr>
          <w:lang w:val="en-GB"/>
        </w:rPr>
      </w:pPr>
    </w:p>
    <w:p w:rsidR="009A7F2A" w:rsidRDefault="009A7F2A" w:rsidP="009A7F2A">
      <w:pPr>
        <w:pStyle w:val="CETBodytext"/>
        <w:rPr>
          <w:lang w:val="en-GB"/>
        </w:rPr>
      </w:pPr>
      <w:r w:rsidRPr="009A7F2A">
        <w:rPr>
          <w:lang w:val="en-GB"/>
        </w:rPr>
        <w:t>According to the data of IR spectroscopy after microwave radiation, the intensity of almost all bands of stretching vibrations O – H, C – H, C – C (Ph) and C – C – C decreases, i.e. the spectrum reflects the disappearance of such bonds in the lignin standard</w:t>
      </w:r>
      <w:r>
        <w:rPr>
          <w:lang w:val="en-GB"/>
        </w:rPr>
        <w:t>.</w:t>
      </w:r>
    </w:p>
    <w:p w:rsidR="009A7F2A" w:rsidRDefault="009A7F2A" w:rsidP="009A7F2A">
      <w:pPr>
        <w:pStyle w:val="CETBodytext"/>
        <w:rPr>
          <w:lang w:val="en-GB"/>
        </w:rPr>
      </w:pPr>
      <w:r w:rsidRPr="009A7F2A">
        <w:rPr>
          <w:lang w:val="en-GB"/>
        </w:rPr>
        <w:t xml:space="preserve">Using the method of introducing an internal standard to quantify the relative content of various functional groups in lignin allowed us to construct the dependences of the content of various types of chemical bonds (C – H, C – C, C – O, C = O) in the lignin on the conditions of the destruction experiment. It was found that the largest changes in the spectrum under the influence of nickel concentration occur in the absorption region of the </w:t>
      </w:r>
      <w:proofErr w:type="spellStart"/>
      <w:r w:rsidRPr="009A7F2A">
        <w:rPr>
          <w:lang w:val="en-GB"/>
        </w:rPr>
        <w:t>aldehyde</w:t>
      </w:r>
      <w:proofErr w:type="spellEnd"/>
      <w:r w:rsidRPr="009A7F2A">
        <w:rPr>
          <w:lang w:val="en-GB"/>
        </w:rPr>
        <w:t xml:space="preserve"> group (1714 cm</w:t>
      </w:r>
      <w:r w:rsidRPr="00D04364">
        <w:rPr>
          <w:vertAlign w:val="superscript"/>
          <w:lang w:val="en-GB"/>
        </w:rPr>
        <w:t>-1</w:t>
      </w:r>
      <w:r w:rsidRPr="009A7F2A">
        <w:rPr>
          <w:lang w:val="en-GB"/>
        </w:rPr>
        <w:t xml:space="preserve">). This band, which is related to valence vibrations, noticeably decreases in intensity in the spectra as the nickel content introduced into lignin from the salt solution increases. According to IR spectroscopy, when iron-containing particles from the </w:t>
      </w:r>
      <w:proofErr w:type="spellStart"/>
      <w:r w:rsidRPr="009A7F2A">
        <w:rPr>
          <w:lang w:val="en-GB"/>
        </w:rPr>
        <w:t>acetylacetonate</w:t>
      </w:r>
      <w:proofErr w:type="spellEnd"/>
      <w:r w:rsidRPr="009A7F2A">
        <w:rPr>
          <w:lang w:val="en-GB"/>
        </w:rPr>
        <w:t xml:space="preserve"> complex are deposited, a significant decrease in the efficiency of all unsaturated bonds is observed.</w:t>
      </w:r>
    </w:p>
    <w:p w:rsidR="00DD6988" w:rsidRPr="000143DE" w:rsidRDefault="009A7F2A" w:rsidP="009A7F2A">
      <w:pPr>
        <w:pStyle w:val="CETBodytext"/>
      </w:pPr>
      <w:r w:rsidRPr="009A7F2A">
        <w:t xml:space="preserve">According to the data of </w:t>
      </w:r>
      <w:r w:rsidRPr="000143DE">
        <w:t xml:space="preserve">Raman spectroscopy in the spectra of solid products of deep conversion of lignin in the presence of nickel and iron (Fig. 2), two bands clearly show up at 1600 cm -1 (G) and 1340 cm -1 (D), which characterize graphite-like structures (Ferrari, 2007) . Analysis of the Raman spectra suggests that a small amount of imperfect graphite-like structures is present in the solid lignin residues, i.e. destruction of bonds is accompanied not only by the formation of complex </w:t>
      </w:r>
      <w:proofErr w:type="spellStart"/>
      <w:r w:rsidRPr="000143DE">
        <w:t>polyphenylene</w:t>
      </w:r>
      <w:proofErr w:type="spellEnd"/>
      <w:r w:rsidRPr="000143DE">
        <w:t xml:space="preserve"> oxide structures but also by the formation of condensed aromatic derivatives</w:t>
      </w:r>
      <w:r w:rsidR="00DD6988" w:rsidRPr="000143DE">
        <w:t xml:space="preserve">. X-ray diffraction data showed an </w:t>
      </w:r>
      <w:proofErr w:type="spellStart"/>
      <w:r w:rsidR="00DD6988" w:rsidRPr="000143DE">
        <w:t>amorphized</w:t>
      </w:r>
      <w:proofErr w:type="spellEnd"/>
      <w:r w:rsidR="00DD6988" w:rsidRPr="000143DE">
        <w:t xml:space="preserve"> structure of all residues with a low content of reflections in the area of silicon oxide and graphite (2ϴ-20.87; 26.64; 36.54).</w:t>
      </w:r>
    </w:p>
    <w:p w:rsidR="00DD6988" w:rsidRPr="000143DE" w:rsidRDefault="00DD6988" w:rsidP="009A7F2A">
      <w:pPr>
        <w:pStyle w:val="CETBodytext"/>
      </w:pPr>
      <w:r w:rsidRPr="000143DE">
        <w:t xml:space="preserve">Carbonaceous residues of lignin processing contain inorganic impurities consisting of silicon </w:t>
      </w:r>
      <w:proofErr w:type="gramStart"/>
      <w:r w:rsidRPr="000143DE">
        <w:t>oxide,</w:t>
      </w:r>
      <w:proofErr w:type="gramEnd"/>
      <w:r w:rsidRPr="000143DE">
        <w:t xml:space="preserve"> metals contained in lignin and supported catalytic systems (Tab. 2). The amount of inorganic impurities increases as a result of processing, which is reflected in the mass loss of the residue, which is 60-70%.</w:t>
      </w:r>
    </w:p>
    <w:p w:rsidR="00DD6988" w:rsidRPr="000143DE" w:rsidRDefault="00DD6988" w:rsidP="00DD6988">
      <w:pPr>
        <w:pStyle w:val="CETTabletitle"/>
      </w:pPr>
      <w:proofErr w:type="gramStart"/>
      <w:r w:rsidRPr="000143DE">
        <w:t>Table 2: The elemental composition of the mineral part of the residues of lignin processing after MWI.</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810"/>
        <w:gridCol w:w="918"/>
        <w:gridCol w:w="866"/>
        <w:gridCol w:w="866"/>
        <w:gridCol w:w="761"/>
        <w:gridCol w:w="761"/>
        <w:gridCol w:w="761"/>
        <w:gridCol w:w="761"/>
        <w:gridCol w:w="761"/>
        <w:gridCol w:w="761"/>
        <w:gridCol w:w="761"/>
      </w:tblGrid>
      <w:tr w:rsidR="00DD6988" w:rsidRPr="000143DE" w:rsidTr="00AE16C4">
        <w:tc>
          <w:tcPr>
            <w:tcW w:w="810" w:type="dxa"/>
            <w:tcBorders>
              <w:top w:val="single" w:sz="12" w:space="0" w:color="008000"/>
              <w:bottom w:val="single" w:sz="6" w:space="0" w:color="008000"/>
            </w:tcBorders>
            <w:shd w:val="clear" w:color="auto" w:fill="FFFFFF"/>
          </w:tcPr>
          <w:p w:rsidR="00DD6988" w:rsidRPr="000143DE" w:rsidRDefault="00DD6988" w:rsidP="00AE16C4">
            <w:pPr>
              <w:rPr>
                <w:rFonts w:cs="Arial"/>
                <w:szCs w:val="18"/>
              </w:rPr>
            </w:pPr>
            <w:r w:rsidRPr="000143DE">
              <w:rPr>
                <w:rFonts w:cs="Arial"/>
                <w:szCs w:val="18"/>
              </w:rPr>
              <w:t>Sample number</w:t>
            </w:r>
          </w:p>
        </w:tc>
        <w:tc>
          <w:tcPr>
            <w:tcW w:w="918"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Si</w:t>
            </w:r>
          </w:p>
        </w:tc>
        <w:tc>
          <w:tcPr>
            <w:tcW w:w="866"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Fe</w:t>
            </w:r>
          </w:p>
        </w:tc>
        <w:tc>
          <w:tcPr>
            <w:tcW w:w="866"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Ni</w:t>
            </w:r>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Al</w:t>
            </w:r>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Na</w:t>
            </w:r>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rPr>
            </w:pPr>
            <w:proofErr w:type="spellStart"/>
            <w:r w:rsidRPr="000143DE">
              <w:rPr>
                <w:rFonts w:cs="Arial"/>
                <w:szCs w:val="18"/>
              </w:rPr>
              <w:t>Са</w:t>
            </w:r>
            <w:proofErr w:type="spellEnd"/>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rPr>
            </w:pPr>
            <w:r w:rsidRPr="000143DE">
              <w:rPr>
                <w:rFonts w:cs="Arial"/>
                <w:szCs w:val="18"/>
              </w:rPr>
              <w:t>Other elements</w:t>
            </w:r>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proofErr w:type="spellStart"/>
            <w:r w:rsidRPr="000143DE">
              <w:rPr>
                <w:rFonts w:cs="Arial"/>
                <w:szCs w:val="18"/>
                <w:lang w:val="en-US"/>
              </w:rPr>
              <w:t>Cl</w:t>
            </w:r>
            <w:proofErr w:type="spellEnd"/>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S</w:t>
            </w:r>
          </w:p>
        </w:tc>
        <w:tc>
          <w:tcPr>
            <w:tcW w:w="761" w:type="dxa"/>
            <w:tcBorders>
              <w:top w:val="single" w:sz="12" w:space="0" w:color="008000"/>
              <w:bottom w:val="single" w:sz="6" w:space="0" w:color="008000"/>
            </w:tcBorders>
            <w:shd w:val="clear" w:color="auto" w:fill="FFFFFF"/>
          </w:tcPr>
          <w:p w:rsidR="00DD6988" w:rsidRPr="000143DE" w:rsidRDefault="00DD6988" w:rsidP="00AE16C4">
            <w:pPr>
              <w:rPr>
                <w:rFonts w:cs="Arial"/>
                <w:szCs w:val="18"/>
                <w:lang w:val="en-US"/>
              </w:rPr>
            </w:pPr>
            <w:r w:rsidRPr="000143DE">
              <w:rPr>
                <w:rFonts w:cs="Arial"/>
                <w:szCs w:val="18"/>
                <w:lang w:val="en-US"/>
              </w:rPr>
              <w:t>C</w:t>
            </w:r>
          </w:p>
        </w:tc>
      </w:tr>
      <w:tr w:rsidR="00DD6988" w:rsidRPr="000143DE" w:rsidTr="00AE16C4">
        <w:tc>
          <w:tcPr>
            <w:tcW w:w="810" w:type="dxa"/>
            <w:shd w:val="clear" w:color="auto" w:fill="FFFFFF"/>
          </w:tcPr>
          <w:p w:rsidR="00DD6988" w:rsidRPr="000143DE" w:rsidRDefault="00DD6988" w:rsidP="00AE16C4">
            <w:pPr>
              <w:jc w:val="center"/>
              <w:rPr>
                <w:rFonts w:cs="Arial"/>
                <w:szCs w:val="18"/>
              </w:rPr>
            </w:pPr>
            <w:r w:rsidRPr="000143DE">
              <w:rPr>
                <w:rFonts w:cs="Arial"/>
                <w:szCs w:val="18"/>
              </w:rPr>
              <w:t>1</w:t>
            </w:r>
          </w:p>
        </w:tc>
        <w:tc>
          <w:tcPr>
            <w:tcW w:w="918" w:type="dxa"/>
            <w:shd w:val="clear" w:color="auto" w:fill="FFFFFF"/>
          </w:tcPr>
          <w:p w:rsidR="00DD6988" w:rsidRPr="000143DE" w:rsidRDefault="00DD6988" w:rsidP="00AE16C4">
            <w:pPr>
              <w:rPr>
                <w:rFonts w:cs="Arial"/>
                <w:szCs w:val="18"/>
                <w:lang w:val="en-US"/>
              </w:rPr>
            </w:pPr>
            <w:r w:rsidRPr="000143DE">
              <w:rPr>
                <w:rFonts w:cs="Arial"/>
                <w:szCs w:val="18"/>
                <w:lang w:val="en-US"/>
              </w:rPr>
              <w:t>3.90</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0.087</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0.026</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0.307</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0.094</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0.417</w:t>
            </w:r>
          </w:p>
        </w:tc>
        <w:tc>
          <w:tcPr>
            <w:tcW w:w="761" w:type="dxa"/>
            <w:shd w:val="clear" w:color="auto" w:fill="FFFFFF"/>
          </w:tcPr>
          <w:p w:rsidR="00DD6988" w:rsidRPr="000143DE" w:rsidRDefault="00DD6988" w:rsidP="00AE16C4">
            <w:pPr>
              <w:rPr>
                <w:rFonts w:cs="Arial"/>
                <w:szCs w:val="18"/>
              </w:rPr>
            </w:pPr>
            <w:r w:rsidRPr="000143DE">
              <w:rPr>
                <w:rFonts w:cs="Arial"/>
                <w:szCs w:val="18"/>
              </w:rPr>
              <w:t>0.194</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0.102</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0.329</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89.01</w:t>
            </w:r>
          </w:p>
        </w:tc>
      </w:tr>
      <w:tr w:rsidR="00DD6988" w:rsidRPr="000143DE" w:rsidTr="00AE16C4">
        <w:tc>
          <w:tcPr>
            <w:tcW w:w="810" w:type="dxa"/>
            <w:shd w:val="clear" w:color="auto" w:fill="FFFFFF"/>
          </w:tcPr>
          <w:p w:rsidR="00DD6988" w:rsidRPr="000143DE" w:rsidRDefault="00DD6988" w:rsidP="00AE16C4">
            <w:pPr>
              <w:jc w:val="center"/>
              <w:rPr>
                <w:rFonts w:cs="Arial"/>
                <w:szCs w:val="18"/>
              </w:rPr>
            </w:pPr>
            <w:r w:rsidRPr="000143DE">
              <w:rPr>
                <w:rFonts w:cs="Arial"/>
                <w:szCs w:val="18"/>
              </w:rPr>
              <w:t>2</w:t>
            </w:r>
          </w:p>
        </w:tc>
        <w:tc>
          <w:tcPr>
            <w:tcW w:w="918" w:type="dxa"/>
            <w:shd w:val="clear" w:color="auto" w:fill="FFFFFF"/>
          </w:tcPr>
          <w:p w:rsidR="00DD6988" w:rsidRPr="000143DE" w:rsidRDefault="00DD6988" w:rsidP="00AE16C4">
            <w:pPr>
              <w:rPr>
                <w:rFonts w:cs="Arial"/>
                <w:szCs w:val="18"/>
                <w:lang w:val="en-US"/>
              </w:rPr>
            </w:pPr>
            <w:r w:rsidRPr="000143DE">
              <w:rPr>
                <w:rFonts w:cs="Arial"/>
                <w:szCs w:val="18"/>
                <w:lang w:val="en-US"/>
              </w:rPr>
              <w:t>0.719</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0.978</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0.301</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0.169</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0.08</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0.386</w:t>
            </w:r>
          </w:p>
        </w:tc>
        <w:tc>
          <w:tcPr>
            <w:tcW w:w="761" w:type="dxa"/>
            <w:shd w:val="clear" w:color="auto" w:fill="FFFFFF"/>
          </w:tcPr>
          <w:p w:rsidR="00DD6988" w:rsidRPr="000143DE" w:rsidRDefault="00DD6988" w:rsidP="00AE16C4">
            <w:pPr>
              <w:rPr>
                <w:rFonts w:cs="Arial"/>
                <w:szCs w:val="18"/>
              </w:rPr>
            </w:pPr>
            <w:r w:rsidRPr="000143DE">
              <w:rPr>
                <w:rFonts w:cs="Arial"/>
                <w:szCs w:val="18"/>
                <w:lang w:val="en-US"/>
              </w:rPr>
              <w:t>0.</w:t>
            </w:r>
            <w:r w:rsidRPr="000143DE">
              <w:rPr>
                <w:rFonts w:cs="Arial"/>
                <w:szCs w:val="18"/>
              </w:rPr>
              <w:t>159</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0.162</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0.249</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94.71</w:t>
            </w:r>
          </w:p>
        </w:tc>
      </w:tr>
      <w:tr w:rsidR="00DD6988" w:rsidRPr="000143DE" w:rsidTr="00AE16C4">
        <w:tc>
          <w:tcPr>
            <w:tcW w:w="810" w:type="dxa"/>
            <w:shd w:val="clear" w:color="auto" w:fill="FFFFFF"/>
          </w:tcPr>
          <w:p w:rsidR="00DD6988" w:rsidRPr="000143DE" w:rsidRDefault="00DD6988" w:rsidP="00AE16C4">
            <w:pPr>
              <w:jc w:val="center"/>
              <w:rPr>
                <w:rFonts w:cs="Arial"/>
                <w:szCs w:val="18"/>
              </w:rPr>
            </w:pPr>
            <w:r w:rsidRPr="000143DE">
              <w:rPr>
                <w:rFonts w:cs="Arial"/>
                <w:szCs w:val="18"/>
              </w:rPr>
              <w:t>3</w:t>
            </w:r>
          </w:p>
        </w:tc>
        <w:tc>
          <w:tcPr>
            <w:tcW w:w="918" w:type="dxa"/>
            <w:shd w:val="clear" w:color="auto" w:fill="FFFFFF"/>
          </w:tcPr>
          <w:p w:rsidR="00DD6988" w:rsidRPr="000143DE" w:rsidRDefault="00DD6988" w:rsidP="00AE16C4">
            <w:pPr>
              <w:rPr>
                <w:rFonts w:cs="Arial"/>
                <w:szCs w:val="18"/>
                <w:lang w:val="en-US"/>
              </w:rPr>
            </w:pPr>
            <w:r w:rsidRPr="000143DE">
              <w:rPr>
                <w:rFonts w:cs="Arial"/>
                <w:szCs w:val="18"/>
                <w:lang w:val="en-US"/>
              </w:rPr>
              <w:t>1.15</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0.615</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0.237</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0.171</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0.112</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0.077</w:t>
            </w:r>
          </w:p>
        </w:tc>
        <w:tc>
          <w:tcPr>
            <w:tcW w:w="761" w:type="dxa"/>
            <w:shd w:val="clear" w:color="auto" w:fill="FFFFFF"/>
          </w:tcPr>
          <w:p w:rsidR="00DD6988" w:rsidRPr="000143DE" w:rsidRDefault="00DD6988" w:rsidP="00AE16C4">
            <w:pPr>
              <w:rPr>
                <w:rFonts w:cs="Arial"/>
                <w:szCs w:val="18"/>
              </w:rPr>
            </w:pPr>
            <w:r w:rsidRPr="000143DE">
              <w:rPr>
                <w:rFonts w:cs="Arial"/>
                <w:szCs w:val="18"/>
                <w:lang w:val="en-US"/>
              </w:rPr>
              <w:t>0.0</w:t>
            </w:r>
            <w:r w:rsidRPr="000143DE">
              <w:rPr>
                <w:rFonts w:cs="Arial"/>
                <w:szCs w:val="18"/>
              </w:rPr>
              <w:t>91</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1.12</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0.143</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94.17</w:t>
            </w:r>
          </w:p>
        </w:tc>
      </w:tr>
      <w:tr w:rsidR="00DD6988" w:rsidRPr="000143DE" w:rsidTr="00AE16C4">
        <w:tc>
          <w:tcPr>
            <w:tcW w:w="810" w:type="dxa"/>
            <w:shd w:val="clear" w:color="auto" w:fill="FFFFFF"/>
          </w:tcPr>
          <w:p w:rsidR="00DD6988" w:rsidRPr="000143DE" w:rsidRDefault="00DD6988" w:rsidP="00AE16C4">
            <w:pPr>
              <w:jc w:val="center"/>
              <w:rPr>
                <w:rFonts w:cs="Arial"/>
                <w:szCs w:val="18"/>
                <w:lang w:val="en-US"/>
              </w:rPr>
            </w:pPr>
            <w:r w:rsidRPr="000143DE">
              <w:rPr>
                <w:rFonts w:cs="Arial"/>
                <w:szCs w:val="18"/>
                <w:lang w:val="en-US"/>
              </w:rPr>
              <w:t xml:space="preserve">4 </w:t>
            </w:r>
          </w:p>
        </w:tc>
        <w:tc>
          <w:tcPr>
            <w:tcW w:w="918" w:type="dxa"/>
            <w:shd w:val="clear" w:color="auto" w:fill="FFFFFF"/>
          </w:tcPr>
          <w:p w:rsidR="00DD6988" w:rsidRPr="000143DE" w:rsidRDefault="00DD6988" w:rsidP="00AE16C4">
            <w:pPr>
              <w:rPr>
                <w:rFonts w:cs="Arial"/>
                <w:szCs w:val="18"/>
                <w:lang w:val="en-US"/>
              </w:rPr>
            </w:pPr>
            <w:r w:rsidRPr="000143DE">
              <w:rPr>
                <w:rFonts w:cs="Arial"/>
                <w:szCs w:val="18"/>
                <w:lang w:val="en-US"/>
              </w:rPr>
              <w:t>2.18</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0.427</w:t>
            </w:r>
          </w:p>
        </w:tc>
        <w:tc>
          <w:tcPr>
            <w:tcW w:w="866" w:type="dxa"/>
            <w:shd w:val="clear" w:color="auto" w:fill="FFFFFF"/>
          </w:tcPr>
          <w:p w:rsidR="00DD6988" w:rsidRPr="000143DE" w:rsidRDefault="00DD6988" w:rsidP="00AE16C4">
            <w:pPr>
              <w:rPr>
                <w:rFonts w:cs="Arial"/>
                <w:szCs w:val="18"/>
                <w:lang w:val="en-US"/>
              </w:rPr>
            </w:pPr>
            <w:r w:rsidRPr="000143DE">
              <w:rPr>
                <w:rFonts w:cs="Arial"/>
                <w:szCs w:val="18"/>
                <w:lang w:val="en-US"/>
              </w:rPr>
              <w:t>1.090</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0.211</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0.06</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0.098</w:t>
            </w:r>
          </w:p>
        </w:tc>
        <w:tc>
          <w:tcPr>
            <w:tcW w:w="761" w:type="dxa"/>
            <w:shd w:val="clear" w:color="auto" w:fill="FFFFFF"/>
          </w:tcPr>
          <w:p w:rsidR="00DD6988" w:rsidRPr="000143DE" w:rsidRDefault="00DD6988" w:rsidP="00AE16C4">
            <w:pPr>
              <w:rPr>
                <w:rFonts w:cs="Arial"/>
                <w:szCs w:val="18"/>
              </w:rPr>
            </w:pPr>
            <w:r w:rsidRPr="000143DE">
              <w:rPr>
                <w:rFonts w:cs="Arial"/>
                <w:szCs w:val="18"/>
                <w:lang w:val="en-US"/>
              </w:rPr>
              <w:t>0.0</w:t>
            </w:r>
            <w:r w:rsidRPr="000143DE">
              <w:rPr>
                <w:rFonts w:cs="Arial"/>
                <w:szCs w:val="18"/>
              </w:rPr>
              <w:t>66</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9.69</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0.111</w:t>
            </w:r>
          </w:p>
        </w:tc>
        <w:tc>
          <w:tcPr>
            <w:tcW w:w="761" w:type="dxa"/>
            <w:shd w:val="clear" w:color="auto" w:fill="FFFFFF"/>
          </w:tcPr>
          <w:p w:rsidR="00DD6988" w:rsidRPr="000143DE" w:rsidRDefault="00DD6988" w:rsidP="00AE16C4">
            <w:pPr>
              <w:rPr>
                <w:rFonts w:cs="Arial"/>
                <w:szCs w:val="18"/>
                <w:lang w:val="en-US"/>
              </w:rPr>
            </w:pPr>
            <w:r w:rsidRPr="000143DE">
              <w:rPr>
                <w:rFonts w:cs="Arial"/>
                <w:szCs w:val="18"/>
                <w:lang w:val="en-US"/>
              </w:rPr>
              <w:t>82.66</w:t>
            </w:r>
          </w:p>
        </w:tc>
      </w:tr>
    </w:tbl>
    <w:p w:rsidR="00DD6988" w:rsidRPr="000143DE" w:rsidRDefault="00DD6988" w:rsidP="00DD6988">
      <w:pPr>
        <w:pStyle w:val="CETBodytext"/>
      </w:pPr>
    </w:p>
    <w:p w:rsidR="00DD6988" w:rsidRPr="000143DE" w:rsidRDefault="00DD6988" w:rsidP="00DD6988">
      <w:pPr>
        <w:pStyle w:val="CETBodytext"/>
      </w:pPr>
      <w:r w:rsidRPr="000143DE">
        <w:t>The formation of porous materials from residues of lignin reforming was carried out by the method of acid and base etching. This direction was chosen by us under the assumption that the porous structure will be formed in the process of etching inorganic impurities.</w:t>
      </w:r>
    </w:p>
    <w:p w:rsidR="00DD6988" w:rsidRPr="000143DE" w:rsidRDefault="00DD6988" w:rsidP="00DD6988">
      <w:pPr>
        <w:pStyle w:val="CETBodytext"/>
      </w:pPr>
      <w:r w:rsidRPr="000143DE">
        <w:t>Table 3 presents the processing mode of the sample containing 1.5% Ni and 0.5% Fe and the elemental composition after the processing of lignin residues.</w:t>
      </w:r>
    </w:p>
    <w:p w:rsidR="00854B2E" w:rsidRPr="000143DE" w:rsidRDefault="00854B2E" w:rsidP="00854B2E">
      <w:pPr>
        <w:pStyle w:val="CETTabletitle"/>
      </w:pPr>
      <w:r w:rsidRPr="000143DE">
        <w:t>Table 3: The processing mode of the sample containing 1.5% Ni and 0.5% Fe and the elemental composition after the processing of lignin residues.</w:t>
      </w:r>
    </w:p>
    <w:tbl>
      <w:tblPr>
        <w:tblW w:w="7946" w:type="dxa"/>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810"/>
        <w:gridCol w:w="1374"/>
        <w:gridCol w:w="1073"/>
        <w:gridCol w:w="2518"/>
        <w:gridCol w:w="551"/>
        <w:gridCol w:w="540"/>
        <w:gridCol w:w="540"/>
        <w:gridCol w:w="540"/>
      </w:tblGrid>
      <w:tr w:rsidR="000143DE" w:rsidRPr="000143DE" w:rsidTr="000143DE">
        <w:tc>
          <w:tcPr>
            <w:tcW w:w="810" w:type="dxa"/>
            <w:tcBorders>
              <w:top w:val="single" w:sz="12" w:space="0" w:color="008000"/>
              <w:bottom w:val="single" w:sz="6" w:space="0" w:color="008000"/>
            </w:tcBorders>
            <w:shd w:val="clear" w:color="auto" w:fill="FFFFFF"/>
          </w:tcPr>
          <w:p w:rsidR="000143DE" w:rsidRPr="000143DE" w:rsidRDefault="000143DE" w:rsidP="00C5084C">
            <w:pPr>
              <w:rPr>
                <w:rFonts w:eastAsia="Calibri" w:cs="Arial"/>
                <w:szCs w:val="18"/>
              </w:rPr>
            </w:pPr>
            <w:r w:rsidRPr="000143DE">
              <w:rPr>
                <w:rFonts w:cs="Arial"/>
                <w:szCs w:val="18"/>
              </w:rPr>
              <w:t>Sample number</w:t>
            </w:r>
          </w:p>
        </w:tc>
        <w:tc>
          <w:tcPr>
            <w:tcW w:w="1374" w:type="dxa"/>
            <w:tcBorders>
              <w:top w:val="single" w:sz="12" w:space="0" w:color="008000"/>
              <w:bottom w:val="single" w:sz="6" w:space="0" w:color="008000"/>
            </w:tcBorders>
            <w:shd w:val="clear" w:color="auto" w:fill="FFFFFF"/>
          </w:tcPr>
          <w:p w:rsidR="000143DE" w:rsidRPr="000143DE" w:rsidRDefault="000143DE" w:rsidP="00C5084C">
            <w:pPr>
              <w:rPr>
                <w:rFonts w:eastAsia="Calibri" w:cs="Arial"/>
                <w:szCs w:val="18"/>
              </w:rPr>
            </w:pPr>
            <w:r w:rsidRPr="000143DE">
              <w:rPr>
                <w:rFonts w:eastAsia="Calibri" w:cs="Arial"/>
                <w:szCs w:val="18"/>
              </w:rPr>
              <w:t>Sample</w:t>
            </w:r>
          </w:p>
          <w:p w:rsidR="000143DE" w:rsidRPr="000143DE" w:rsidRDefault="000143DE" w:rsidP="00C5084C">
            <w:pPr>
              <w:rPr>
                <w:rFonts w:eastAsia="Calibri" w:cs="Arial"/>
                <w:szCs w:val="18"/>
              </w:rPr>
            </w:pPr>
            <w:r w:rsidRPr="000143DE">
              <w:rPr>
                <w:rFonts w:eastAsia="Calibri" w:cs="Arial"/>
                <w:szCs w:val="18"/>
              </w:rPr>
              <w:t>After MWI</w:t>
            </w:r>
          </w:p>
        </w:tc>
        <w:tc>
          <w:tcPr>
            <w:tcW w:w="1073" w:type="dxa"/>
            <w:tcBorders>
              <w:top w:val="single" w:sz="12" w:space="0" w:color="008000"/>
              <w:bottom w:val="single" w:sz="6" w:space="0" w:color="008000"/>
            </w:tcBorders>
            <w:shd w:val="clear" w:color="auto" w:fill="FFFFFF"/>
          </w:tcPr>
          <w:p w:rsidR="000143DE" w:rsidRPr="000143DE" w:rsidRDefault="000143DE" w:rsidP="00C5084C">
            <w:pPr>
              <w:rPr>
                <w:rFonts w:eastAsia="Calibri" w:cs="Arial"/>
                <w:szCs w:val="18"/>
                <w:lang w:val="en-US"/>
              </w:rPr>
            </w:pPr>
          </w:p>
        </w:tc>
        <w:tc>
          <w:tcPr>
            <w:tcW w:w="2518" w:type="dxa"/>
            <w:tcBorders>
              <w:top w:val="single" w:sz="12" w:space="0" w:color="008000"/>
              <w:bottom w:val="single" w:sz="6" w:space="0" w:color="008000"/>
            </w:tcBorders>
            <w:shd w:val="clear" w:color="auto" w:fill="FFFFFF"/>
          </w:tcPr>
          <w:p w:rsidR="000143DE" w:rsidRPr="000143DE" w:rsidRDefault="000143DE" w:rsidP="00C5084C">
            <w:pPr>
              <w:rPr>
                <w:rFonts w:eastAsia="Calibri" w:cs="Arial"/>
                <w:szCs w:val="18"/>
                <w:lang w:val="en-US"/>
              </w:rPr>
            </w:pPr>
          </w:p>
        </w:tc>
        <w:tc>
          <w:tcPr>
            <w:tcW w:w="551" w:type="dxa"/>
            <w:tcBorders>
              <w:top w:val="single" w:sz="12" w:space="0" w:color="008000"/>
              <w:bottom w:val="single" w:sz="6" w:space="0" w:color="008000"/>
            </w:tcBorders>
            <w:shd w:val="clear" w:color="auto" w:fill="FFFFFF"/>
          </w:tcPr>
          <w:p w:rsidR="000143DE" w:rsidRPr="000143DE" w:rsidRDefault="000143DE" w:rsidP="00C5084C">
            <w:pPr>
              <w:jc w:val="center"/>
              <w:rPr>
                <w:rFonts w:eastAsia="Calibri" w:cs="Arial"/>
                <w:szCs w:val="18"/>
                <w:lang w:val="en-US"/>
              </w:rPr>
            </w:pPr>
            <w:r w:rsidRPr="000143DE">
              <w:rPr>
                <w:rFonts w:eastAsia="Calibri" w:cs="Arial"/>
                <w:szCs w:val="18"/>
                <w:lang w:val="en-US"/>
              </w:rPr>
              <w:t>C</w:t>
            </w:r>
          </w:p>
        </w:tc>
        <w:tc>
          <w:tcPr>
            <w:tcW w:w="540" w:type="dxa"/>
            <w:tcBorders>
              <w:top w:val="single" w:sz="12" w:space="0" w:color="008000"/>
              <w:bottom w:val="single" w:sz="6" w:space="0" w:color="008000"/>
            </w:tcBorders>
            <w:shd w:val="clear" w:color="auto" w:fill="FFFFFF"/>
          </w:tcPr>
          <w:p w:rsidR="000143DE" w:rsidRPr="000143DE" w:rsidRDefault="000143DE" w:rsidP="00C5084C">
            <w:pPr>
              <w:jc w:val="center"/>
              <w:rPr>
                <w:rFonts w:eastAsia="Calibri" w:cs="Arial"/>
                <w:szCs w:val="18"/>
                <w:lang w:val="en-US"/>
              </w:rPr>
            </w:pPr>
            <w:r w:rsidRPr="000143DE">
              <w:rPr>
                <w:rFonts w:eastAsia="Calibri" w:cs="Arial"/>
                <w:szCs w:val="18"/>
                <w:lang w:val="en-US"/>
              </w:rPr>
              <w:t>H</w:t>
            </w:r>
          </w:p>
        </w:tc>
        <w:tc>
          <w:tcPr>
            <w:tcW w:w="540" w:type="dxa"/>
            <w:tcBorders>
              <w:top w:val="single" w:sz="12" w:space="0" w:color="008000"/>
              <w:bottom w:val="single" w:sz="6" w:space="0" w:color="008000"/>
            </w:tcBorders>
            <w:shd w:val="clear" w:color="auto" w:fill="FFFFFF"/>
          </w:tcPr>
          <w:p w:rsidR="000143DE" w:rsidRPr="000143DE" w:rsidRDefault="000143DE" w:rsidP="00C5084C">
            <w:pPr>
              <w:jc w:val="center"/>
              <w:rPr>
                <w:rFonts w:eastAsia="Calibri" w:cs="Arial"/>
                <w:szCs w:val="18"/>
                <w:lang w:val="en-US"/>
              </w:rPr>
            </w:pPr>
            <w:r w:rsidRPr="000143DE">
              <w:rPr>
                <w:rFonts w:eastAsia="Calibri" w:cs="Arial"/>
                <w:szCs w:val="18"/>
                <w:lang w:val="en-US"/>
              </w:rPr>
              <w:t>N</w:t>
            </w:r>
          </w:p>
        </w:tc>
        <w:tc>
          <w:tcPr>
            <w:tcW w:w="540" w:type="dxa"/>
            <w:tcBorders>
              <w:top w:val="single" w:sz="12" w:space="0" w:color="008000"/>
              <w:bottom w:val="single" w:sz="6" w:space="0" w:color="008000"/>
            </w:tcBorders>
            <w:shd w:val="clear" w:color="auto" w:fill="FFFFFF"/>
          </w:tcPr>
          <w:p w:rsidR="000143DE" w:rsidRPr="000143DE" w:rsidRDefault="000143DE" w:rsidP="00C5084C">
            <w:pPr>
              <w:jc w:val="center"/>
              <w:rPr>
                <w:rFonts w:eastAsia="Calibri" w:cs="Arial"/>
                <w:szCs w:val="18"/>
                <w:lang w:val="en-US"/>
              </w:rPr>
            </w:pPr>
            <w:r w:rsidRPr="000143DE">
              <w:rPr>
                <w:rFonts w:eastAsia="Calibri" w:cs="Arial"/>
                <w:szCs w:val="18"/>
                <w:lang w:val="en-US"/>
              </w:rPr>
              <w:t>S</w:t>
            </w:r>
          </w:p>
        </w:tc>
      </w:tr>
      <w:tr w:rsidR="000143DE" w:rsidRPr="000143DE" w:rsidTr="000143DE">
        <w:tc>
          <w:tcPr>
            <w:tcW w:w="810"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1</w:t>
            </w:r>
          </w:p>
        </w:tc>
        <w:tc>
          <w:tcPr>
            <w:tcW w:w="1374"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 xml:space="preserve">Initial lignin </w:t>
            </w:r>
          </w:p>
        </w:tc>
        <w:tc>
          <w:tcPr>
            <w:tcW w:w="1073"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w:t>
            </w:r>
          </w:p>
        </w:tc>
        <w:tc>
          <w:tcPr>
            <w:tcW w:w="2518"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w:t>
            </w:r>
          </w:p>
        </w:tc>
        <w:tc>
          <w:tcPr>
            <w:tcW w:w="551"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76.22</w:t>
            </w:r>
          </w:p>
        </w:tc>
        <w:tc>
          <w:tcPr>
            <w:tcW w:w="540"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3.22</w:t>
            </w:r>
          </w:p>
        </w:tc>
        <w:tc>
          <w:tcPr>
            <w:tcW w:w="540"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0.32</w:t>
            </w:r>
          </w:p>
        </w:tc>
        <w:tc>
          <w:tcPr>
            <w:tcW w:w="540"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0.10</w:t>
            </w:r>
          </w:p>
        </w:tc>
      </w:tr>
      <w:tr w:rsidR="000143DE" w:rsidRPr="00C5084C" w:rsidTr="000143DE">
        <w:tc>
          <w:tcPr>
            <w:tcW w:w="810"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2</w:t>
            </w:r>
          </w:p>
        </w:tc>
        <w:tc>
          <w:tcPr>
            <w:tcW w:w="1374"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lang w:val="en-US"/>
              </w:rPr>
              <w:t>Ni-Fe/</w:t>
            </w:r>
            <w:r w:rsidRPr="000143DE">
              <w:rPr>
                <w:rFonts w:eastAsia="Calibri" w:cs="Arial"/>
                <w:szCs w:val="18"/>
              </w:rPr>
              <w:t xml:space="preserve"> lignin</w:t>
            </w:r>
          </w:p>
        </w:tc>
        <w:tc>
          <w:tcPr>
            <w:tcW w:w="1073"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w:t>
            </w:r>
          </w:p>
        </w:tc>
        <w:tc>
          <w:tcPr>
            <w:tcW w:w="2518" w:type="dxa"/>
            <w:shd w:val="clear" w:color="auto" w:fill="FFFFFF"/>
          </w:tcPr>
          <w:p w:rsidR="000143DE" w:rsidRPr="000143DE" w:rsidRDefault="000143DE" w:rsidP="00C5084C">
            <w:pPr>
              <w:jc w:val="center"/>
              <w:rPr>
                <w:rFonts w:eastAsia="Calibri" w:cs="Arial"/>
                <w:szCs w:val="18"/>
              </w:rPr>
            </w:pPr>
            <w:r w:rsidRPr="000143DE">
              <w:rPr>
                <w:rFonts w:eastAsia="Calibri" w:cs="Arial"/>
                <w:szCs w:val="18"/>
              </w:rPr>
              <w:t>-</w:t>
            </w:r>
          </w:p>
        </w:tc>
        <w:tc>
          <w:tcPr>
            <w:tcW w:w="551"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70.68</w:t>
            </w:r>
          </w:p>
        </w:tc>
        <w:tc>
          <w:tcPr>
            <w:tcW w:w="540"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2.85</w:t>
            </w:r>
          </w:p>
        </w:tc>
        <w:tc>
          <w:tcPr>
            <w:tcW w:w="540" w:type="dxa"/>
            <w:shd w:val="clear" w:color="auto" w:fill="FFFFFF"/>
          </w:tcPr>
          <w:p w:rsidR="000143DE" w:rsidRPr="000143DE" w:rsidRDefault="000143DE" w:rsidP="00C5084C">
            <w:pPr>
              <w:jc w:val="center"/>
              <w:rPr>
                <w:rFonts w:eastAsia="Calibri" w:cs="Arial"/>
                <w:szCs w:val="18"/>
                <w:lang w:val="en-US"/>
              </w:rPr>
            </w:pPr>
            <w:r w:rsidRPr="000143DE">
              <w:rPr>
                <w:rFonts w:cs="Arial"/>
                <w:szCs w:val="18"/>
                <w:lang w:val="en-US"/>
              </w:rPr>
              <w:t>0.20</w:t>
            </w:r>
          </w:p>
        </w:tc>
        <w:tc>
          <w:tcPr>
            <w:tcW w:w="540" w:type="dxa"/>
            <w:shd w:val="clear" w:color="auto" w:fill="FFFFFF"/>
          </w:tcPr>
          <w:p w:rsidR="000143DE" w:rsidRPr="00C5084C" w:rsidRDefault="000143DE" w:rsidP="00C5084C">
            <w:pPr>
              <w:jc w:val="center"/>
              <w:rPr>
                <w:rFonts w:eastAsia="Calibri" w:cs="Arial"/>
                <w:szCs w:val="18"/>
                <w:lang w:val="en-US"/>
              </w:rPr>
            </w:pPr>
            <w:r w:rsidRPr="000143DE">
              <w:rPr>
                <w:rFonts w:cs="Arial"/>
                <w:szCs w:val="18"/>
                <w:lang w:val="en-US"/>
              </w:rPr>
              <w:t>0.33</w:t>
            </w:r>
          </w:p>
        </w:tc>
      </w:tr>
      <w:tr w:rsidR="000143DE" w:rsidRPr="00C5084C" w:rsidTr="000143DE">
        <w:tc>
          <w:tcPr>
            <w:tcW w:w="810" w:type="dxa"/>
            <w:shd w:val="clear" w:color="auto" w:fill="FFFFFF"/>
          </w:tcPr>
          <w:p w:rsidR="000143DE" w:rsidRPr="00C5084C" w:rsidRDefault="000143DE" w:rsidP="00C5084C">
            <w:pPr>
              <w:jc w:val="center"/>
              <w:rPr>
                <w:rFonts w:eastAsia="Calibri" w:cs="Arial"/>
                <w:szCs w:val="18"/>
              </w:rPr>
            </w:pPr>
            <w:r w:rsidRPr="00C5084C">
              <w:rPr>
                <w:rFonts w:eastAsia="Calibri" w:cs="Arial"/>
                <w:szCs w:val="18"/>
              </w:rPr>
              <w:t>3</w:t>
            </w:r>
          </w:p>
        </w:tc>
        <w:tc>
          <w:tcPr>
            <w:tcW w:w="1374" w:type="dxa"/>
            <w:shd w:val="clear" w:color="auto" w:fill="FFFFFF"/>
          </w:tcPr>
          <w:p w:rsidR="000143DE" w:rsidRPr="00C5084C" w:rsidRDefault="000143DE" w:rsidP="00C5084C">
            <w:pPr>
              <w:jc w:val="center"/>
              <w:rPr>
                <w:rFonts w:eastAsia="Calibri" w:cs="Arial"/>
                <w:szCs w:val="18"/>
                <w:lang w:val="en-US"/>
              </w:rPr>
            </w:pPr>
            <w:r w:rsidRPr="00C5084C">
              <w:rPr>
                <w:rFonts w:eastAsia="Calibri" w:cs="Arial"/>
                <w:szCs w:val="18"/>
                <w:lang w:val="en-US"/>
              </w:rPr>
              <w:t>Ni-Fe/</w:t>
            </w:r>
            <w:r w:rsidRPr="00C5084C">
              <w:rPr>
                <w:rFonts w:eastAsia="Calibri" w:cs="Arial"/>
                <w:szCs w:val="18"/>
              </w:rPr>
              <w:t xml:space="preserve"> lignin</w:t>
            </w:r>
          </w:p>
        </w:tc>
        <w:tc>
          <w:tcPr>
            <w:tcW w:w="1073" w:type="dxa"/>
            <w:shd w:val="clear" w:color="auto" w:fill="FFFFFF"/>
          </w:tcPr>
          <w:p w:rsidR="000143DE" w:rsidRPr="00C5084C" w:rsidRDefault="000143DE" w:rsidP="00C5084C">
            <w:pPr>
              <w:jc w:val="center"/>
              <w:rPr>
                <w:rFonts w:eastAsia="Calibri" w:cs="Arial"/>
                <w:szCs w:val="18"/>
                <w:lang w:val="en-US"/>
              </w:rPr>
            </w:pPr>
            <w:proofErr w:type="spellStart"/>
            <w:r w:rsidRPr="00C5084C">
              <w:rPr>
                <w:rFonts w:eastAsia="Calibri" w:cs="Arial"/>
                <w:szCs w:val="18"/>
                <w:lang w:val="en-US"/>
              </w:rPr>
              <w:t>HCl</w:t>
            </w:r>
            <w:proofErr w:type="spellEnd"/>
            <w:r w:rsidRPr="00C5084C">
              <w:rPr>
                <w:rFonts w:eastAsia="Calibri" w:cs="Arial"/>
                <w:szCs w:val="18"/>
                <w:lang w:val="en-US"/>
              </w:rPr>
              <w:t xml:space="preserve"> (10%)</w:t>
            </w:r>
          </w:p>
        </w:tc>
        <w:tc>
          <w:tcPr>
            <w:tcW w:w="2518" w:type="dxa"/>
            <w:shd w:val="clear" w:color="auto" w:fill="FFFFFF"/>
          </w:tcPr>
          <w:p w:rsidR="000143DE" w:rsidRPr="00C5084C" w:rsidRDefault="000143DE" w:rsidP="00C5084C">
            <w:pPr>
              <w:jc w:val="center"/>
              <w:rPr>
                <w:rFonts w:eastAsia="Calibri" w:cs="Arial"/>
                <w:szCs w:val="18"/>
              </w:rPr>
            </w:pPr>
            <w:r w:rsidRPr="00C5084C">
              <w:rPr>
                <w:rFonts w:eastAsia="Calibri" w:cs="Arial"/>
                <w:szCs w:val="18"/>
              </w:rPr>
              <w:t>-</w:t>
            </w:r>
          </w:p>
        </w:tc>
        <w:tc>
          <w:tcPr>
            <w:tcW w:w="551"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75.85</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2.73</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rPr>
              <w:t>0</w:t>
            </w:r>
            <w:r w:rsidRPr="00C5084C">
              <w:rPr>
                <w:rFonts w:cs="Arial"/>
                <w:szCs w:val="18"/>
                <w:lang w:val="en-US"/>
              </w:rPr>
              <w:t>.19</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0.10</w:t>
            </w:r>
          </w:p>
        </w:tc>
      </w:tr>
      <w:tr w:rsidR="000143DE" w:rsidRPr="00C5084C" w:rsidTr="000143DE">
        <w:trPr>
          <w:trHeight w:val="510"/>
        </w:trPr>
        <w:tc>
          <w:tcPr>
            <w:tcW w:w="810" w:type="dxa"/>
            <w:shd w:val="clear" w:color="auto" w:fill="FFFFFF"/>
          </w:tcPr>
          <w:p w:rsidR="000143DE" w:rsidRPr="00C5084C" w:rsidRDefault="000143DE" w:rsidP="00C5084C">
            <w:pPr>
              <w:jc w:val="center"/>
              <w:rPr>
                <w:rFonts w:eastAsia="Calibri" w:cs="Arial"/>
                <w:szCs w:val="18"/>
              </w:rPr>
            </w:pPr>
            <w:r w:rsidRPr="00C5084C">
              <w:rPr>
                <w:rFonts w:eastAsia="Calibri" w:cs="Arial"/>
                <w:szCs w:val="18"/>
              </w:rPr>
              <w:t>4</w:t>
            </w:r>
          </w:p>
        </w:tc>
        <w:tc>
          <w:tcPr>
            <w:tcW w:w="1374" w:type="dxa"/>
            <w:shd w:val="clear" w:color="auto" w:fill="FFFFFF"/>
          </w:tcPr>
          <w:p w:rsidR="000143DE" w:rsidRPr="00C5084C" w:rsidRDefault="000143DE" w:rsidP="00C5084C">
            <w:pPr>
              <w:jc w:val="center"/>
              <w:rPr>
                <w:rFonts w:eastAsia="Calibri" w:cs="Arial"/>
                <w:szCs w:val="18"/>
                <w:lang w:val="en-US"/>
              </w:rPr>
            </w:pPr>
            <w:r w:rsidRPr="00C5084C">
              <w:rPr>
                <w:rFonts w:eastAsia="Calibri" w:cs="Arial"/>
                <w:szCs w:val="18"/>
                <w:lang w:val="en-US"/>
              </w:rPr>
              <w:t>Ni-Fe/</w:t>
            </w:r>
            <w:r w:rsidRPr="00C5084C">
              <w:rPr>
                <w:rFonts w:eastAsia="Calibri" w:cs="Arial"/>
                <w:szCs w:val="18"/>
              </w:rPr>
              <w:t xml:space="preserve"> lignin</w:t>
            </w:r>
          </w:p>
        </w:tc>
        <w:tc>
          <w:tcPr>
            <w:tcW w:w="1073" w:type="dxa"/>
            <w:shd w:val="clear" w:color="auto" w:fill="FFFFFF"/>
          </w:tcPr>
          <w:p w:rsidR="000143DE" w:rsidRPr="00C5084C" w:rsidRDefault="000143DE" w:rsidP="00C5084C">
            <w:pPr>
              <w:jc w:val="center"/>
              <w:rPr>
                <w:rFonts w:eastAsia="Calibri" w:cs="Arial"/>
                <w:strike/>
                <w:szCs w:val="18"/>
                <w:lang w:val="en-US"/>
              </w:rPr>
            </w:pPr>
            <w:r w:rsidRPr="00C5084C">
              <w:rPr>
                <w:rFonts w:eastAsia="Calibri" w:cs="Arial"/>
                <w:szCs w:val="18"/>
                <w:lang w:val="en-US"/>
              </w:rPr>
              <w:t>HNO</w:t>
            </w:r>
            <w:r w:rsidRPr="00C5084C">
              <w:rPr>
                <w:rFonts w:eastAsia="Calibri" w:cs="Arial"/>
                <w:szCs w:val="18"/>
                <w:vertAlign w:val="subscript"/>
                <w:lang w:val="en-US"/>
              </w:rPr>
              <w:t>3</w:t>
            </w:r>
            <w:r w:rsidRPr="00C5084C">
              <w:rPr>
                <w:rFonts w:eastAsia="Calibri" w:cs="Arial"/>
                <w:szCs w:val="18"/>
                <w:lang w:val="en-US"/>
              </w:rPr>
              <w:t>+3HCl</w:t>
            </w:r>
          </w:p>
        </w:tc>
        <w:tc>
          <w:tcPr>
            <w:tcW w:w="2518" w:type="dxa"/>
            <w:shd w:val="clear" w:color="auto" w:fill="FFFFFF"/>
          </w:tcPr>
          <w:p w:rsidR="000143DE" w:rsidRPr="00C5084C" w:rsidRDefault="000143DE" w:rsidP="00C5084C">
            <w:pPr>
              <w:jc w:val="center"/>
              <w:rPr>
                <w:rFonts w:eastAsia="Calibri" w:cs="Arial"/>
                <w:szCs w:val="18"/>
                <w:lang w:val="en-US"/>
              </w:rPr>
            </w:pPr>
            <w:r w:rsidRPr="00C5084C">
              <w:rPr>
                <w:rFonts w:eastAsia="Calibri" w:cs="Arial"/>
                <w:szCs w:val="18"/>
                <w:lang w:val="en-US"/>
              </w:rPr>
              <w:t>-</w:t>
            </w:r>
          </w:p>
        </w:tc>
        <w:tc>
          <w:tcPr>
            <w:tcW w:w="551"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61.67</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1.09</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0.53</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0.90</w:t>
            </w:r>
          </w:p>
        </w:tc>
      </w:tr>
      <w:tr w:rsidR="000143DE" w:rsidRPr="00C5084C" w:rsidTr="000143DE">
        <w:tc>
          <w:tcPr>
            <w:tcW w:w="810" w:type="dxa"/>
            <w:shd w:val="clear" w:color="auto" w:fill="FFFFFF"/>
          </w:tcPr>
          <w:p w:rsidR="000143DE" w:rsidRPr="00C5084C" w:rsidRDefault="000143DE" w:rsidP="00C5084C">
            <w:pPr>
              <w:jc w:val="center"/>
              <w:rPr>
                <w:rFonts w:eastAsia="Calibri" w:cs="Arial"/>
                <w:szCs w:val="18"/>
              </w:rPr>
            </w:pPr>
            <w:r w:rsidRPr="00C5084C">
              <w:rPr>
                <w:rFonts w:eastAsia="Calibri" w:cs="Arial"/>
                <w:szCs w:val="18"/>
              </w:rPr>
              <w:t>5</w:t>
            </w:r>
          </w:p>
        </w:tc>
        <w:tc>
          <w:tcPr>
            <w:tcW w:w="1374" w:type="dxa"/>
            <w:shd w:val="clear" w:color="auto" w:fill="FFFFFF"/>
          </w:tcPr>
          <w:p w:rsidR="000143DE" w:rsidRPr="00C5084C" w:rsidRDefault="000143DE" w:rsidP="00C5084C">
            <w:pPr>
              <w:jc w:val="center"/>
              <w:rPr>
                <w:rFonts w:eastAsia="Calibri" w:cs="Arial"/>
                <w:szCs w:val="18"/>
                <w:lang w:val="en-US"/>
              </w:rPr>
            </w:pPr>
            <w:r w:rsidRPr="00C5084C">
              <w:rPr>
                <w:rFonts w:eastAsia="Calibri" w:cs="Arial"/>
                <w:szCs w:val="18"/>
                <w:lang w:val="en-US"/>
              </w:rPr>
              <w:t>Ni-Fe/</w:t>
            </w:r>
            <w:r w:rsidRPr="00C5084C">
              <w:rPr>
                <w:rFonts w:eastAsia="Calibri" w:cs="Arial"/>
                <w:szCs w:val="18"/>
              </w:rPr>
              <w:t xml:space="preserve"> lignin</w:t>
            </w:r>
          </w:p>
        </w:tc>
        <w:tc>
          <w:tcPr>
            <w:tcW w:w="1073" w:type="dxa"/>
            <w:shd w:val="clear" w:color="auto" w:fill="FFFFFF"/>
          </w:tcPr>
          <w:p w:rsidR="000143DE" w:rsidRPr="00C5084C" w:rsidRDefault="000143DE" w:rsidP="00C5084C">
            <w:pPr>
              <w:jc w:val="center"/>
              <w:rPr>
                <w:rFonts w:eastAsia="Calibri" w:cs="Arial"/>
                <w:szCs w:val="18"/>
                <w:lang w:val="en-US"/>
              </w:rPr>
            </w:pPr>
            <w:proofErr w:type="spellStart"/>
            <w:r w:rsidRPr="00C5084C">
              <w:rPr>
                <w:rFonts w:eastAsia="Calibri" w:cs="Arial"/>
                <w:szCs w:val="18"/>
                <w:lang w:val="en-US"/>
              </w:rPr>
              <w:t>HCl</w:t>
            </w:r>
            <w:proofErr w:type="spellEnd"/>
            <w:r w:rsidRPr="00C5084C">
              <w:rPr>
                <w:rFonts w:eastAsia="Calibri" w:cs="Arial"/>
                <w:szCs w:val="18"/>
                <w:lang w:val="en-US"/>
              </w:rPr>
              <w:t xml:space="preserve"> (10%)</w:t>
            </w:r>
          </w:p>
        </w:tc>
        <w:tc>
          <w:tcPr>
            <w:tcW w:w="2518" w:type="dxa"/>
            <w:shd w:val="clear" w:color="auto" w:fill="FFFFFF"/>
          </w:tcPr>
          <w:p w:rsidR="000143DE" w:rsidRPr="00C5084C" w:rsidRDefault="000143DE" w:rsidP="00C5084C">
            <w:pPr>
              <w:jc w:val="center"/>
              <w:rPr>
                <w:rFonts w:eastAsia="Calibri" w:cs="Arial"/>
                <w:szCs w:val="18"/>
              </w:rPr>
            </w:pPr>
            <w:r w:rsidRPr="00C5084C">
              <w:rPr>
                <w:rFonts w:eastAsia="Calibri" w:cs="Arial"/>
                <w:szCs w:val="18"/>
                <w:lang w:val="en-US"/>
              </w:rPr>
              <w:t>NH</w:t>
            </w:r>
            <w:r w:rsidRPr="00C5084C">
              <w:rPr>
                <w:rFonts w:eastAsia="Calibri" w:cs="Arial"/>
                <w:szCs w:val="18"/>
                <w:vertAlign w:val="subscript"/>
                <w:lang w:val="en-US"/>
              </w:rPr>
              <w:t>4</w:t>
            </w:r>
            <w:r w:rsidRPr="00C5084C">
              <w:rPr>
                <w:rFonts w:eastAsia="Calibri" w:cs="Arial"/>
                <w:szCs w:val="18"/>
                <w:lang w:val="en-US"/>
              </w:rPr>
              <w:t>OH</w:t>
            </w:r>
            <w:r>
              <w:rPr>
                <w:rFonts w:eastAsia="Calibri" w:cs="Arial"/>
                <w:szCs w:val="18"/>
                <w:lang w:val="en-US"/>
              </w:rPr>
              <w:t xml:space="preserve"> </w:t>
            </w:r>
            <w:r w:rsidRPr="00C5084C">
              <w:rPr>
                <w:rFonts w:eastAsia="Calibri" w:cs="Arial"/>
                <w:szCs w:val="18"/>
              </w:rPr>
              <w:t>Thermal shock - 500С</w:t>
            </w:r>
          </w:p>
        </w:tc>
        <w:tc>
          <w:tcPr>
            <w:tcW w:w="551"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29.79</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0.44</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rPr>
              <w:t>1.07</w:t>
            </w:r>
          </w:p>
        </w:tc>
        <w:tc>
          <w:tcPr>
            <w:tcW w:w="540" w:type="dxa"/>
            <w:shd w:val="clear" w:color="auto" w:fill="FFFFFF"/>
          </w:tcPr>
          <w:p w:rsidR="000143DE" w:rsidRPr="00C5084C" w:rsidRDefault="000143DE" w:rsidP="00C5084C">
            <w:pPr>
              <w:jc w:val="center"/>
              <w:rPr>
                <w:rFonts w:eastAsia="Calibri" w:cs="Arial"/>
                <w:szCs w:val="18"/>
                <w:lang w:val="en-US"/>
              </w:rPr>
            </w:pPr>
            <w:r w:rsidRPr="00C5084C">
              <w:rPr>
                <w:rFonts w:cs="Arial"/>
                <w:szCs w:val="18"/>
                <w:lang w:val="en-US"/>
              </w:rPr>
              <w:t>0.45</w:t>
            </w:r>
          </w:p>
        </w:tc>
      </w:tr>
    </w:tbl>
    <w:p w:rsidR="00DD6988" w:rsidRDefault="00DD6988" w:rsidP="00DD6988">
      <w:pPr>
        <w:pStyle w:val="CETBodytext"/>
      </w:pPr>
    </w:p>
    <w:p w:rsidR="00146645" w:rsidRPr="00146645" w:rsidRDefault="00146645" w:rsidP="00146645">
      <w:pPr>
        <w:pStyle w:val="CETBodytext"/>
      </w:pPr>
      <w:r w:rsidRPr="00146645">
        <w:lastRenderedPageBreak/>
        <w:t>Etching was performed in o</w:t>
      </w:r>
      <w:r>
        <w:t>ne step at a temperature of 600°</w:t>
      </w:r>
      <w:r w:rsidRPr="00146645">
        <w:t>C. Evaluation of the effectiveness of etching on the formation of a porous structure was carried out on the basis of data on the measurement of adsorption capacity and an increase in the specific surface area.</w:t>
      </w:r>
    </w:p>
    <w:p w:rsidR="00146645" w:rsidRDefault="00146645" w:rsidP="00146645">
      <w:pPr>
        <w:pStyle w:val="CETBodytext"/>
      </w:pPr>
      <w:r w:rsidRPr="00146645">
        <w:t xml:space="preserve">In Fig. 2 shows adsorption isotherms for </w:t>
      </w:r>
      <w:r>
        <w:rPr>
          <w:rFonts w:cs="Arial"/>
          <w:szCs w:val="18"/>
        </w:rPr>
        <w:t>s</w:t>
      </w:r>
      <w:r w:rsidRPr="00DD6988">
        <w:rPr>
          <w:rFonts w:cs="Arial"/>
          <w:szCs w:val="18"/>
        </w:rPr>
        <w:t>ample</w:t>
      </w:r>
      <w:r>
        <w:rPr>
          <w:rFonts w:cs="Arial"/>
          <w:szCs w:val="18"/>
        </w:rPr>
        <w:t>s</w:t>
      </w:r>
      <w:r w:rsidRPr="00146645">
        <w:t xml:space="preserve"> 1, 2, 4 and 5.</w:t>
      </w:r>
    </w:p>
    <w:p w:rsidR="00C5084C" w:rsidRDefault="00C5084C" w:rsidP="00C5084C">
      <w:pPr>
        <w:pStyle w:val="CETBodytext"/>
      </w:pPr>
      <w:r w:rsidRPr="00146645">
        <w:t>The heat of adsorption was determined on the basis of the dependence type</w:t>
      </w:r>
      <w:r>
        <w:t xml:space="preserve"> (</w:t>
      </w:r>
      <w:r w:rsidR="00AE16C4">
        <w:rPr>
          <w:rFonts w:cs="Arial"/>
          <w:color w:val="222222"/>
          <w:sz w:val="20"/>
          <w:shd w:val="clear" w:color="auto" w:fill="FFFFFF"/>
        </w:rPr>
        <w:t>Gregg</w:t>
      </w:r>
      <w:r>
        <w:t>, 19</w:t>
      </w:r>
      <w:r w:rsidR="00AE16C4">
        <w:t>82</w:t>
      </w:r>
      <w:r>
        <w:t>)</w:t>
      </w:r>
    </w:p>
    <w:p w:rsidR="00C5084C" w:rsidRPr="00F028FA" w:rsidRDefault="00C5084C" w:rsidP="00C5084C">
      <w:pPr>
        <w:pStyle w:val="CETEquation"/>
        <w:rPr>
          <w:i/>
        </w:rPr>
      </w:pPr>
      <w:proofErr w:type="spellStart"/>
      <w:proofErr w:type="gramStart"/>
      <w:r w:rsidRPr="00F028FA">
        <w:rPr>
          <w:i/>
        </w:rPr>
        <w:t>lna</w:t>
      </w:r>
      <w:proofErr w:type="spellEnd"/>
      <w:proofErr w:type="gramEnd"/>
      <w:r w:rsidRPr="00F028FA">
        <w:rPr>
          <w:i/>
        </w:rPr>
        <w:t xml:space="preserve"> = f (A</w:t>
      </w:r>
      <w:r w:rsidRPr="00F028FA">
        <w:rPr>
          <w:i/>
          <w:vertAlign w:val="superscript"/>
        </w:rPr>
        <w:t>2</w:t>
      </w:r>
      <w:r>
        <w:rPr>
          <w:i/>
        </w:rPr>
        <w:t>),</w:t>
      </w:r>
      <w:r>
        <w:rPr>
          <w:i/>
        </w:rPr>
        <w:tab/>
      </w:r>
      <w:r>
        <w:rPr>
          <w:i/>
        </w:rPr>
        <w:tab/>
      </w:r>
      <w:r>
        <w:rPr>
          <w:i/>
        </w:rPr>
        <w:tab/>
      </w:r>
      <w:r w:rsidRPr="00F028FA">
        <w:t>(1)</w:t>
      </w:r>
    </w:p>
    <w:p w:rsidR="00C5084C" w:rsidRDefault="00C5084C" w:rsidP="00C5084C">
      <w:pPr>
        <w:pStyle w:val="CETBodytext"/>
      </w:pPr>
      <w:proofErr w:type="gramStart"/>
      <w:r w:rsidRPr="00146645">
        <w:t>where</w:t>
      </w:r>
      <w:proofErr w:type="gramEnd"/>
      <w:r w:rsidRPr="00146645">
        <w:t xml:space="preserve"> a</w:t>
      </w:r>
      <w:r>
        <w:t xml:space="preserve"> - </w:t>
      </w:r>
      <w:r w:rsidRPr="00146645">
        <w:t xml:space="preserve">adsorption, </w:t>
      </w:r>
      <w:proofErr w:type="spellStart"/>
      <w:r w:rsidRPr="00146645">
        <w:t>mmol</w:t>
      </w:r>
      <w:proofErr w:type="spellEnd"/>
      <w:r w:rsidRPr="00146645">
        <w:t xml:space="preserve"> / g</w:t>
      </w:r>
      <w:r>
        <w:t>,</w:t>
      </w:r>
    </w:p>
    <w:p w:rsidR="00C5084C" w:rsidRDefault="00C5084C" w:rsidP="00C5084C">
      <w:pPr>
        <w:pStyle w:val="CETBodytext"/>
      </w:pPr>
      <w:r w:rsidRPr="00146645">
        <w:t>A = RT</w:t>
      </w:r>
      <w:r>
        <w:t>*</w:t>
      </w:r>
      <w:proofErr w:type="spellStart"/>
      <w:proofErr w:type="gramStart"/>
      <w:r w:rsidRPr="00146645">
        <w:t>ln</w:t>
      </w:r>
      <w:proofErr w:type="spellEnd"/>
      <w:r w:rsidRPr="00146645">
        <w:t>(</w:t>
      </w:r>
      <w:proofErr w:type="spellStart"/>
      <w:proofErr w:type="gramEnd"/>
      <w:r w:rsidRPr="00146645">
        <w:t>p</w:t>
      </w:r>
      <w:r w:rsidRPr="00F028FA">
        <w:rPr>
          <w:vertAlign w:val="subscript"/>
        </w:rPr>
        <w:t>s</w:t>
      </w:r>
      <w:proofErr w:type="spellEnd"/>
      <w:r w:rsidRPr="00146645">
        <w:t xml:space="preserve"> / p)</w:t>
      </w:r>
      <w:r>
        <w:t xml:space="preserve"> - </w:t>
      </w:r>
      <w:r w:rsidRPr="00146645">
        <w:t>the differential molar work of adsorption, J / mol</w:t>
      </w:r>
      <w:r>
        <w:t>.</w:t>
      </w:r>
    </w:p>
    <w:p w:rsidR="00C5084C" w:rsidRDefault="00C5084C" w:rsidP="00C5084C">
      <w:pPr>
        <w:pStyle w:val="CETBodytext"/>
      </w:pPr>
      <w:r w:rsidRPr="00F028FA">
        <w:t xml:space="preserve">Figure 3 shows nitrogen adsorption isotherms at 77 K in the coordinates of the theory of the volume filling of </w:t>
      </w:r>
      <w:proofErr w:type="spellStart"/>
      <w:r w:rsidRPr="00F028FA">
        <w:t>micropores</w:t>
      </w:r>
      <w:proofErr w:type="spellEnd"/>
      <w:r>
        <w:t>.</w:t>
      </w:r>
    </w:p>
    <w:p w:rsidR="00C5084C" w:rsidRPr="00D93846" w:rsidRDefault="00C5084C" w:rsidP="00C5084C">
      <w:pPr>
        <w:pStyle w:val="CETBodytext"/>
      </w:pPr>
      <w:r w:rsidRPr="00746C64">
        <w:t>Table 4 presents data on the size of the specific surface area, the group composition of pores and the energy of adsorption, obtained by treating N</w:t>
      </w:r>
      <w:r w:rsidRPr="00746C64">
        <w:rPr>
          <w:vertAlign w:val="subscript"/>
        </w:rPr>
        <w:t>2</w:t>
      </w:r>
      <w:r w:rsidRPr="00746C64">
        <w:t xml:space="preserve"> adsorption isotherms.</w:t>
      </w:r>
      <w:r w:rsidR="00151272" w:rsidRPr="00151272">
        <w:t xml:space="preserve"> </w:t>
      </w:r>
      <w:r w:rsidRPr="00D93846">
        <w:t>From the data of table 4, it follows that the presence of metal-containing catalytic components up to 2% in a sample. 2 increases the specific surface area of ​​the solid residue of lignin after microwave treatment compared with pure lignin, which is also subjected to microwave irradiation (sample 1). An increase in the specific surface area is accompanied by an increase in the total volume of adsorption pores from 0.008 to 0.04 cm</w:t>
      </w:r>
      <w:r w:rsidRPr="00151272">
        <w:rPr>
          <w:vertAlign w:val="superscript"/>
        </w:rPr>
        <w:t>3</w:t>
      </w:r>
      <w:r w:rsidRPr="00D93846">
        <w:t xml:space="preserve"> / g. The increase in the adsorption volume is due to an increase in the adsorption volume of </w:t>
      </w:r>
      <w:proofErr w:type="spellStart"/>
      <w:r w:rsidRPr="00D93846">
        <w:t>micropores</w:t>
      </w:r>
      <w:proofErr w:type="spellEnd"/>
      <w:r w:rsidRPr="00D93846">
        <w:t xml:space="preserve"> from 0.024 to 0.18 </w:t>
      </w:r>
      <w:proofErr w:type="spellStart"/>
      <w:r w:rsidRPr="00D93846">
        <w:t>mmol</w:t>
      </w:r>
      <w:proofErr w:type="spellEnd"/>
      <w:r w:rsidRPr="00D93846">
        <w:t xml:space="preserve"> / g.</w:t>
      </w:r>
    </w:p>
    <w:p w:rsidR="00C5084C" w:rsidRPr="00D93846" w:rsidRDefault="00C5084C" w:rsidP="00C5084C">
      <w:pPr>
        <w:pStyle w:val="CETBodytext"/>
      </w:pPr>
      <w:r w:rsidRPr="00D93846">
        <w:t xml:space="preserve">Etching </w:t>
      </w:r>
      <w:r w:rsidR="00151272">
        <w:t>sample</w:t>
      </w:r>
      <w:r w:rsidRPr="00D93846">
        <w:t xml:space="preserve"> 1 diluted hydrochloric acid (sample 4), practically, does not change the specific surface area and composition of the pores. Etching the residue of a sample of lignin-containing catalytic components, by </w:t>
      </w:r>
      <w:proofErr w:type="spellStart"/>
      <w:r w:rsidRPr="00D93846">
        <w:t>melange</w:t>
      </w:r>
      <w:proofErr w:type="spellEnd"/>
      <w:r w:rsidRPr="00D93846">
        <w:t>, of the composition HNO</w:t>
      </w:r>
      <w:r w:rsidRPr="00EE3DAA">
        <w:rPr>
          <w:vertAlign w:val="subscript"/>
        </w:rPr>
        <w:t>3</w:t>
      </w:r>
      <w:r w:rsidRPr="00D93846">
        <w:t xml:space="preserve"> + 3HCl (aqua </w:t>
      </w:r>
      <w:proofErr w:type="spellStart"/>
      <w:r w:rsidRPr="00D93846">
        <w:t>regia</w:t>
      </w:r>
      <w:proofErr w:type="spellEnd"/>
      <w:r w:rsidRPr="00D93846">
        <w:t>) in one step slightly increases the specific surface area to 21 m</w:t>
      </w:r>
      <w:r w:rsidRPr="00EE3DAA">
        <w:rPr>
          <w:vertAlign w:val="superscript"/>
        </w:rPr>
        <w:t>2</w:t>
      </w:r>
      <w:r w:rsidRPr="00D93846">
        <w:t xml:space="preserve"> / g. At the same time, the relative concentration of </w:t>
      </w:r>
      <w:proofErr w:type="spellStart"/>
      <w:r w:rsidRPr="00D93846">
        <w:t>micropores</w:t>
      </w:r>
      <w:proofErr w:type="spellEnd"/>
      <w:r w:rsidRPr="00D93846">
        <w:t xml:space="preserve"> increases to 0.24 </w:t>
      </w:r>
      <w:proofErr w:type="spellStart"/>
      <w:r w:rsidRPr="00D93846">
        <w:t>mmol</w:t>
      </w:r>
      <w:proofErr w:type="spellEnd"/>
      <w:r w:rsidRPr="00D93846">
        <w:t xml:space="preserve"> / g with a total adsorption volume of 0.05 cm</w:t>
      </w:r>
      <w:r w:rsidRPr="00EE3DAA">
        <w:rPr>
          <w:vertAlign w:val="superscript"/>
        </w:rPr>
        <w:t>3</w:t>
      </w:r>
      <w:r w:rsidRPr="00D93846">
        <w:t xml:space="preserve"> / g.</w:t>
      </w:r>
    </w:p>
    <w:p w:rsidR="00C5084C" w:rsidRDefault="00C5084C" w:rsidP="00C5084C">
      <w:pPr>
        <w:pStyle w:val="CETBodytext"/>
      </w:pPr>
      <w:r w:rsidRPr="00D93846">
        <w:t xml:space="preserve">A significant increase in adsorption capacity was achieved for </w:t>
      </w:r>
      <w:r w:rsidR="00151272">
        <w:t>sample</w:t>
      </w:r>
      <w:r w:rsidR="00151272" w:rsidRPr="00D93846">
        <w:t xml:space="preserve"> </w:t>
      </w:r>
      <w:r w:rsidRPr="00D93846">
        <w:t>5. After etching with dilute hydrochloric acid, the surface of sample 5 was treated with a 25% solution of NH</w:t>
      </w:r>
      <w:r w:rsidRPr="00EE3DAA">
        <w:rPr>
          <w:vertAlign w:val="subscript"/>
        </w:rPr>
        <w:t>4</w:t>
      </w:r>
      <w:r w:rsidRPr="00D93846">
        <w:t>OH. After adsorption of the ammonia solution, the sample was subjected to thermal shock at 500°C in a stream of carbon dioxide, after which drying was carried out in v</w:t>
      </w:r>
      <w:r>
        <w:t>acuum at a temperature of 100°</w:t>
      </w:r>
      <w:r w:rsidRPr="00D93846">
        <w:t>C.</w:t>
      </w:r>
    </w:p>
    <w:p w:rsidR="00146645" w:rsidRPr="000143DE" w:rsidRDefault="00D13FC6" w:rsidP="00146645">
      <w:pPr>
        <w:autoSpaceDE w:val="0"/>
        <w:autoSpaceDN w:val="0"/>
        <w:adjustRightInd w:val="0"/>
        <w:spacing w:line="360" w:lineRule="auto"/>
        <w:rPr>
          <w:rFonts w:ascii="Times New Roman" w:eastAsia="Calibri" w:hAnsi="Times New Roman"/>
          <w:sz w:val="24"/>
          <w:szCs w:val="24"/>
          <w:lang w:val="en-US"/>
        </w:rPr>
      </w:pPr>
      <w:r w:rsidRPr="00D13FC6">
        <w:rPr>
          <w:rFonts w:ascii="Times New Roman" w:eastAsia="Calibri" w:hAnsi="Times New Roman"/>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314.4pt;margin-top:174.65pt;width:33.2pt;height:22.5pt;z-index:251663360" strokecolor="white [3212]">
            <v:textbox>
              <w:txbxContent>
                <w:p w:rsidR="00AE16C4" w:rsidRPr="00146645" w:rsidRDefault="00AE16C4" w:rsidP="00146645">
                  <w:pPr>
                    <w:rPr>
                      <w:lang w:val="en-US"/>
                    </w:rPr>
                  </w:pPr>
                  <w:proofErr w:type="gramStart"/>
                  <w:r>
                    <w:rPr>
                      <w:lang w:val="en-US"/>
                    </w:rPr>
                    <w:t>d</w:t>
                  </w:r>
                  <w:proofErr w:type="gramEnd"/>
                </w:p>
              </w:txbxContent>
            </v:textbox>
          </v:shape>
        </w:pict>
      </w:r>
      <w:r w:rsidRPr="00D13FC6">
        <w:rPr>
          <w:rFonts w:ascii="Times New Roman" w:eastAsia="Calibri" w:hAnsi="Times New Roman"/>
          <w:noProof/>
          <w:sz w:val="24"/>
          <w:szCs w:val="24"/>
          <w:lang w:eastAsia="ru-RU"/>
        </w:rPr>
        <w:pict>
          <v:shape id="_x0000_s1028" type="#_x0000_t202" style="position:absolute;left:0;text-align:left;margin-left:112.8pt;margin-top:174.65pt;width:33.2pt;height:22.5pt;z-index:251662336" strokecolor="white [3212]">
            <v:textbox>
              <w:txbxContent>
                <w:p w:rsidR="00AE16C4" w:rsidRPr="00146645" w:rsidRDefault="00AE16C4" w:rsidP="00146645">
                  <w:pPr>
                    <w:rPr>
                      <w:lang w:val="en-US"/>
                    </w:rPr>
                  </w:pPr>
                  <w:proofErr w:type="gramStart"/>
                  <w:r>
                    <w:rPr>
                      <w:lang w:val="en-US"/>
                    </w:rPr>
                    <w:t>c</w:t>
                  </w:r>
                  <w:proofErr w:type="gramEnd"/>
                </w:p>
              </w:txbxContent>
            </v:textbox>
          </v:shape>
        </w:pict>
      </w:r>
      <w:r w:rsidRPr="00D13FC6">
        <w:rPr>
          <w:rFonts w:ascii="Times New Roman" w:eastAsia="Calibri" w:hAnsi="Times New Roman"/>
          <w:noProof/>
          <w:sz w:val="24"/>
          <w:szCs w:val="24"/>
          <w:lang w:eastAsia="ru-RU"/>
        </w:rPr>
        <w:pict>
          <v:shape id="_x0000_s1027" type="#_x0000_t202" style="position:absolute;left:0;text-align:left;margin-left:338.85pt;margin-top:34.4pt;width:33.2pt;height:22.5pt;z-index:251661312" strokecolor="white [3212]">
            <v:textbox>
              <w:txbxContent>
                <w:p w:rsidR="00AE16C4" w:rsidRPr="00146645" w:rsidRDefault="00AE16C4" w:rsidP="00146645">
                  <w:pPr>
                    <w:rPr>
                      <w:lang w:val="en-US"/>
                    </w:rPr>
                  </w:pPr>
                  <w:proofErr w:type="gramStart"/>
                  <w:r>
                    <w:rPr>
                      <w:lang w:val="en-US"/>
                    </w:rPr>
                    <w:t>b</w:t>
                  </w:r>
                  <w:proofErr w:type="gramEnd"/>
                </w:p>
              </w:txbxContent>
            </v:textbox>
          </v:shape>
        </w:pict>
      </w:r>
      <w:r w:rsidRPr="00D13FC6">
        <w:rPr>
          <w:rFonts w:ascii="Times New Roman" w:eastAsia="Calibri" w:hAnsi="Times New Roman"/>
          <w:noProof/>
          <w:sz w:val="24"/>
          <w:szCs w:val="24"/>
          <w:lang w:eastAsia="ru-RU"/>
        </w:rPr>
        <w:pict>
          <v:shape id="_x0000_s1026" type="#_x0000_t202" style="position:absolute;left:0;text-align:left;margin-left:128.45pt;margin-top:20.65pt;width:33.2pt;height:22.5pt;z-index:251660288" strokecolor="white [3212]">
            <v:textbox>
              <w:txbxContent>
                <w:p w:rsidR="00AE16C4" w:rsidRPr="00146645" w:rsidRDefault="00AE16C4" w:rsidP="00146645">
                  <w:pPr>
                    <w:rPr>
                      <w:lang w:val="en-US"/>
                    </w:rPr>
                  </w:pPr>
                  <w:proofErr w:type="gramStart"/>
                  <w:r>
                    <w:rPr>
                      <w:lang w:val="en-US"/>
                    </w:rPr>
                    <w:t>a</w:t>
                  </w:r>
                  <w:proofErr w:type="gramEnd"/>
                </w:p>
              </w:txbxContent>
            </v:textbox>
          </v:shape>
        </w:pict>
      </w:r>
      <w:r w:rsidR="00146645" w:rsidRPr="00C92F9F">
        <w:rPr>
          <w:rFonts w:ascii="Times New Roman" w:eastAsia="Calibri" w:hAnsi="Times New Roman"/>
          <w:noProof/>
          <w:sz w:val="24"/>
          <w:szCs w:val="24"/>
          <w:lang w:val="ru-RU" w:eastAsia="ru-RU"/>
        </w:rPr>
        <w:drawing>
          <wp:inline distT="0" distB="0" distL="0" distR="0">
            <wp:extent cx="2162175" cy="1904042"/>
            <wp:effectExtent l="19050" t="0" r="9525"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9143" cy="1910178"/>
                    </a:xfrm>
                    <a:prstGeom prst="rect">
                      <a:avLst/>
                    </a:prstGeom>
                    <a:noFill/>
                  </pic:spPr>
                </pic:pic>
              </a:graphicData>
            </a:graphic>
          </wp:inline>
        </w:drawing>
      </w:r>
      <w:r w:rsidR="00146645" w:rsidRPr="000143DE">
        <w:rPr>
          <w:rFonts w:ascii="Times New Roman" w:eastAsia="Calibri" w:hAnsi="Times New Roman"/>
          <w:sz w:val="24"/>
          <w:szCs w:val="24"/>
          <w:lang w:val="en-US"/>
        </w:rPr>
        <w:t xml:space="preserve"> </w:t>
      </w:r>
      <w:r w:rsidR="00146645" w:rsidRPr="00C92F9F">
        <w:rPr>
          <w:rFonts w:ascii="Times New Roman" w:eastAsia="Calibri" w:hAnsi="Times New Roman"/>
          <w:noProof/>
          <w:sz w:val="24"/>
          <w:szCs w:val="24"/>
          <w:lang w:val="ru-RU" w:eastAsia="ru-RU"/>
        </w:rPr>
        <w:drawing>
          <wp:inline distT="0" distB="0" distL="0" distR="0">
            <wp:extent cx="2127803" cy="1849702"/>
            <wp:effectExtent l="19050" t="0" r="5797"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4053" cy="1855135"/>
                    </a:xfrm>
                    <a:prstGeom prst="rect">
                      <a:avLst/>
                    </a:prstGeom>
                    <a:noFill/>
                  </pic:spPr>
                </pic:pic>
              </a:graphicData>
            </a:graphic>
          </wp:inline>
        </w:drawing>
      </w:r>
    </w:p>
    <w:p w:rsidR="00146645" w:rsidRPr="000143DE" w:rsidRDefault="00146645" w:rsidP="00146645">
      <w:pPr>
        <w:autoSpaceDE w:val="0"/>
        <w:autoSpaceDN w:val="0"/>
        <w:adjustRightInd w:val="0"/>
        <w:spacing w:line="360" w:lineRule="auto"/>
        <w:rPr>
          <w:rFonts w:ascii="Times New Roman" w:eastAsia="Calibri" w:hAnsi="Times New Roman"/>
          <w:sz w:val="24"/>
          <w:szCs w:val="24"/>
          <w:lang w:val="en-US"/>
        </w:rPr>
      </w:pPr>
      <w:r w:rsidRPr="00C92F9F">
        <w:rPr>
          <w:rFonts w:ascii="Times New Roman" w:eastAsia="Calibri" w:hAnsi="Times New Roman"/>
          <w:noProof/>
          <w:sz w:val="24"/>
          <w:szCs w:val="24"/>
          <w:lang w:val="ru-RU" w:eastAsia="ru-RU"/>
        </w:rPr>
        <w:drawing>
          <wp:inline distT="0" distB="0" distL="0" distR="0">
            <wp:extent cx="2038350" cy="1553138"/>
            <wp:effectExtent l="1905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046" cy="1555954"/>
                    </a:xfrm>
                    <a:prstGeom prst="rect">
                      <a:avLst/>
                    </a:prstGeom>
                    <a:noFill/>
                  </pic:spPr>
                </pic:pic>
              </a:graphicData>
            </a:graphic>
          </wp:inline>
        </w:drawing>
      </w:r>
      <w:r w:rsidRPr="000143DE">
        <w:rPr>
          <w:rFonts w:ascii="Times New Roman" w:eastAsia="Calibri" w:hAnsi="Times New Roman"/>
          <w:sz w:val="24"/>
          <w:szCs w:val="24"/>
          <w:lang w:val="en-US"/>
        </w:rPr>
        <w:t xml:space="preserve"> </w:t>
      </w:r>
      <w:r w:rsidRPr="00C92F9F">
        <w:rPr>
          <w:rFonts w:ascii="Times New Roman" w:eastAsia="Calibri" w:hAnsi="Times New Roman"/>
          <w:noProof/>
          <w:sz w:val="24"/>
          <w:szCs w:val="24"/>
          <w:lang w:val="ru-RU" w:eastAsia="ru-RU"/>
        </w:rPr>
        <w:drawing>
          <wp:inline distT="0" distB="0" distL="0" distR="0">
            <wp:extent cx="2124075" cy="1690512"/>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8701" cy="1694194"/>
                    </a:xfrm>
                    <a:prstGeom prst="rect">
                      <a:avLst/>
                    </a:prstGeom>
                    <a:noFill/>
                  </pic:spPr>
                </pic:pic>
              </a:graphicData>
            </a:graphic>
          </wp:inline>
        </w:drawing>
      </w:r>
    </w:p>
    <w:p w:rsidR="00146645" w:rsidRDefault="00146645" w:rsidP="00146645">
      <w:pPr>
        <w:pStyle w:val="CETCaption"/>
        <w:rPr>
          <w:rFonts w:eastAsia="Calibri"/>
        </w:rPr>
      </w:pPr>
      <w:r w:rsidRPr="00146645">
        <w:rPr>
          <w:rFonts w:eastAsia="Calibri"/>
        </w:rPr>
        <w:t xml:space="preserve">Figure </w:t>
      </w:r>
      <w:r w:rsidR="00F028FA">
        <w:rPr>
          <w:rFonts w:eastAsia="Calibri"/>
        </w:rPr>
        <w:t>2</w:t>
      </w:r>
      <w:r w:rsidRPr="00146645">
        <w:rPr>
          <w:rFonts w:eastAsia="Calibri"/>
        </w:rPr>
        <w:t>: Adsorption isotherms for samples 1 (a), 2 (b), 4 (c) and 5 (d).</w:t>
      </w:r>
    </w:p>
    <w:p w:rsidR="00C5084C" w:rsidRDefault="00C5084C" w:rsidP="00C5084C">
      <w:pPr>
        <w:pStyle w:val="CETBodytext"/>
      </w:pPr>
      <w:r w:rsidRPr="00D93846">
        <w:t xml:space="preserve">It is known that during the decomposition of a compound adsorbed in the pores during thermal shock, the possibility arises of the mechanical action of </w:t>
      </w:r>
      <w:proofErr w:type="spellStart"/>
      <w:r w:rsidRPr="00D93846">
        <w:t>vapours</w:t>
      </w:r>
      <w:proofErr w:type="spellEnd"/>
      <w:r w:rsidRPr="00D93846">
        <w:t xml:space="preserve"> of decomposition products on the inner walls of por</w:t>
      </w:r>
      <w:r>
        <w:t xml:space="preserve">es, </w:t>
      </w:r>
      <w:r>
        <w:lastRenderedPageBreak/>
        <w:t>leading to their expansion (</w:t>
      </w:r>
      <w:proofErr w:type="spellStart"/>
      <w:r w:rsidR="00990135">
        <w:rPr>
          <w:rFonts w:cs="Arial"/>
          <w:color w:val="222222"/>
          <w:sz w:val="20"/>
          <w:shd w:val="clear" w:color="auto" w:fill="FFFFFF"/>
        </w:rPr>
        <w:t>Yakovlev</w:t>
      </w:r>
      <w:proofErr w:type="spellEnd"/>
      <w:r w:rsidR="00990135">
        <w:rPr>
          <w:rFonts w:cs="Arial"/>
          <w:color w:val="222222"/>
          <w:sz w:val="20"/>
          <w:shd w:val="clear" w:color="auto" w:fill="FFFFFF"/>
        </w:rPr>
        <w:t xml:space="preserve"> et. al., 2006</w:t>
      </w:r>
      <w:r>
        <w:t>)</w:t>
      </w:r>
      <w:r w:rsidRPr="00D93846">
        <w:t xml:space="preserve">. For sample 5, the specific surface area increased </w:t>
      </w:r>
      <w:proofErr w:type="gramStart"/>
      <w:r w:rsidRPr="00D93846">
        <w:t>to 353 m</w:t>
      </w:r>
      <w:r w:rsidRPr="00EE3DAA">
        <w:rPr>
          <w:vertAlign w:val="superscript"/>
        </w:rPr>
        <w:t>2</w:t>
      </w:r>
      <w:r w:rsidRPr="00D93846">
        <w:t>/g</w:t>
      </w:r>
      <w:proofErr w:type="gramEnd"/>
      <w:r w:rsidRPr="00D93846">
        <w:t xml:space="preserve">. The total volume of adsorption pores (micro + </w:t>
      </w:r>
      <w:proofErr w:type="spellStart"/>
      <w:r w:rsidRPr="00D93846">
        <w:t>mesopores</w:t>
      </w:r>
      <w:proofErr w:type="spellEnd"/>
      <w:r w:rsidRPr="00D93846">
        <w:t>) increased to 0.36 cm</w:t>
      </w:r>
      <w:r w:rsidRPr="00EE3DAA">
        <w:rPr>
          <w:vertAlign w:val="superscript"/>
        </w:rPr>
        <w:t>3</w:t>
      </w:r>
      <w:r w:rsidRPr="00D93846">
        <w:t xml:space="preserve"> / g. At the same time, the adsorption volume of </w:t>
      </w:r>
      <w:proofErr w:type="spellStart"/>
      <w:r w:rsidRPr="00D93846">
        <w:t>micropores</w:t>
      </w:r>
      <w:proofErr w:type="spellEnd"/>
      <w:r w:rsidRPr="00D93846">
        <w:t xml:space="preserve"> increased to 3.98 </w:t>
      </w:r>
      <w:proofErr w:type="spellStart"/>
      <w:r w:rsidRPr="00D93846">
        <w:t>mmol</w:t>
      </w:r>
      <w:proofErr w:type="spellEnd"/>
      <w:r w:rsidRPr="00D93846">
        <w:t xml:space="preserve"> / g. From </w:t>
      </w:r>
      <w:r w:rsidR="00151272">
        <w:t>T</w:t>
      </w:r>
      <w:r w:rsidRPr="00D93846">
        <w:t>ab. 3 shows a significant decrease in the carbon and hydrogen content after heat treatment in a stream of carbon dioxide. This result indicates the course of the interaction of the carbon residue with carbon dioxide according to the Boudoir reaction:</w:t>
      </w:r>
    </w:p>
    <w:p w:rsidR="00C5084C" w:rsidRDefault="00C5084C" w:rsidP="00C5084C">
      <w:pPr>
        <w:pStyle w:val="CETEquation"/>
        <w:rPr>
          <w:rFonts w:eastAsia="Calibri"/>
        </w:rPr>
      </w:pPr>
      <w:r w:rsidRPr="00430DA2">
        <w:rPr>
          <w:rFonts w:eastAsia="Calibri"/>
        </w:rPr>
        <w:t>СО</w:t>
      </w:r>
      <w:r w:rsidRPr="00430DA2">
        <w:rPr>
          <w:rFonts w:eastAsia="Calibri"/>
          <w:vertAlign w:val="subscript"/>
        </w:rPr>
        <w:t>2</w:t>
      </w:r>
      <w:r w:rsidRPr="00430DA2">
        <w:rPr>
          <w:rFonts w:eastAsia="Calibri"/>
        </w:rPr>
        <w:t xml:space="preserve"> + С </w:t>
      </w:r>
      <w:r w:rsidRPr="00430DA2">
        <w:rPr>
          <w:rFonts w:eastAsia="Calibri"/>
        </w:rPr>
        <w:sym w:font="Symbol" w:char="F0AE"/>
      </w:r>
      <w:r w:rsidRPr="00430DA2">
        <w:rPr>
          <w:rFonts w:eastAsia="Calibri"/>
        </w:rPr>
        <w:t xml:space="preserve"> 2СО</w:t>
      </w:r>
      <w:r>
        <w:rPr>
          <w:rFonts w:eastAsia="Calibri"/>
        </w:rPr>
        <w:tab/>
      </w:r>
      <w:r>
        <w:rPr>
          <w:rFonts w:eastAsia="Calibri"/>
        </w:rPr>
        <w:tab/>
      </w:r>
      <w:r>
        <w:rPr>
          <w:rFonts w:eastAsia="Calibri"/>
        </w:rPr>
        <w:tab/>
        <w:t>(2)</w:t>
      </w:r>
    </w:p>
    <w:p w:rsidR="00C5084C" w:rsidRDefault="00C5084C" w:rsidP="00C5084C">
      <w:pPr>
        <w:pStyle w:val="CETBodytext"/>
        <w:rPr>
          <w:lang w:val="en-GB"/>
        </w:rPr>
      </w:pPr>
      <w:r w:rsidRPr="00430DA2">
        <w:rPr>
          <w:lang w:val="en-GB"/>
        </w:rPr>
        <w:t>The decrease in the hydrogen content is most likely due to the subsequent interaction of the residue surface hydrogen with carbon monoxide:</w:t>
      </w:r>
    </w:p>
    <w:p w:rsidR="00C5084C" w:rsidRDefault="00C5084C" w:rsidP="00C5084C">
      <w:pPr>
        <w:pStyle w:val="CETEquation"/>
        <w:rPr>
          <w:rFonts w:eastAsia="Calibri"/>
        </w:rPr>
      </w:pPr>
      <w:r>
        <w:rPr>
          <w:rFonts w:eastAsia="Calibri"/>
        </w:rPr>
        <w:t xml:space="preserve">2СО + 10[H] </w:t>
      </w:r>
      <w:r>
        <w:rPr>
          <w:rFonts w:eastAsia="Calibri"/>
        </w:rPr>
        <w:sym w:font="Symbol" w:char="F0AE"/>
      </w:r>
      <w:r>
        <w:rPr>
          <w:rFonts w:eastAsia="Calibri"/>
        </w:rPr>
        <w:t xml:space="preserve"> 2CH4 + H</w:t>
      </w:r>
      <w:r w:rsidRPr="00173CEE">
        <w:rPr>
          <w:rFonts w:eastAsia="Calibri"/>
          <w:vertAlign w:val="subscript"/>
        </w:rPr>
        <w:t>2</w:t>
      </w:r>
      <w:r>
        <w:rPr>
          <w:rFonts w:eastAsia="Calibri"/>
        </w:rPr>
        <w:t>O</w:t>
      </w:r>
      <w:r>
        <w:rPr>
          <w:rFonts w:eastAsia="Calibri"/>
        </w:rPr>
        <w:tab/>
      </w:r>
      <w:r>
        <w:rPr>
          <w:rFonts w:eastAsia="Calibri"/>
        </w:rPr>
        <w:tab/>
      </w:r>
      <w:r>
        <w:rPr>
          <w:rFonts w:eastAsia="Calibri"/>
        </w:rPr>
        <w:tab/>
        <w:t>(3)</w:t>
      </w:r>
    </w:p>
    <w:p w:rsidR="00C5084C" w:rsidRDefault="00C5084C" w:rsidP="00C5084C">
      <w:pPr>
        <w:pStyle w:val="CETBodytext"/>
        <w:rPr>
          <w:lang w:val="en-GB"/>
        </w:rPr>
      </w:pPr>
      <w:r w:rsidRPr="00430DA2">
        <w:rPr>
          <w:lang w:val="en-GB"/>
        </w:rPr>
        <w:t>The flow of the interaction of carbon dioxide with carbon atoms of the surface of the residue during a short thermal exposure also leads to an increase in the porous structure.</w:t>
      </w:r>
    </w:p>
    <w:p w:rsidR="00151272" w:rsidRPr="00430DA2" w:rsidRDefault="00151272" w:rsidP="00151272">
      <w:pPr>
        <w:pStyle w:val="CETBodytext"/>
        <w:rPr>
          <w:lang w:val="en-GB"/>
        </w:rPr>
      </w:pPr>
      <w:r w:rsidRPr="00430DA2">
        <w:rPr>
          <w:lang w:val="en-GB"/>
        </w:rPr>
        <w:t xml:space="preserve">The shape of the adsorption isotherm of sample 5 is typical for a slit-like pore configuration </w:t>
      </w:r>
      <w:r>
        <w:t>(</w:t>
      </w:r>
      <w:r w:rsidRPr="00990135">
        <w:rPr>
          <w:rFonts w:cs="Arial"/>
          <w:color w:val="222222"/>
          <w:szCs w:val="18"/>
          <w:shd w:val="clear" w:color="auto" w:fill="FFFFFF"/>
        </w:rPr>
        <w:t>Gregg</w:t>
      </w:r>
      <w:r>
        <w:t>, 1982)</w:t>
      </w:r>
      <w:r w:rsidRPr="00430DA2">
        <w:rPr>
          <w:lang w:val="en-GB"/>
        </w:rPr>
        <w:t>. Such a pore configuration is characteristic of a layered graphite-like structure, in which pores are most likely formed in the interlayer space and on surface defects.</w:t>
      </w:r>
    </w:p>
    <w:p w:rsidR="00151272" w:rsidRDefault="00151272" w:rsidP="00151272">
      <w:pPr>
        <w:pStyle w:val="CETBodytext"/>
        <w:rPr>
          <w:lang w:val="en-GB"/>
        </w:rPr>
      </w:pPr>
      <w:r w:rsidRPr="007140C1">
        <w:rPr>
          <w:lang w:val="en-GB"/>
        </w:rPr>
        <w:t xml:space="preserve">The pore size distribution was estimated by desorption isotherm processing for samples 1, 3, 4 and 5. From the data on the pore distribution over the radii, it follows that the carbon residue, which does not contain metals and is not etched, is characterized by large super </w:t>
      </w:r>
      <w:proofErr w:type="spellStart"/>
      <w:r w:rsidRPr="007140C1">
        <w:rPr>
          <w:lang w:val="en-GB"/>
        </w:rPr>
        <w:t>micropores</w:t>
      </w:r>
      <w:proofErr w:type="spellEnd"/>
      <w:r w:rsidRPr="007140C1">
        <w:rPr>
          <w:lang w:val="en-GB"/>
        </w:rPr>
        <w:t xml:space="preserve"> of 1.9 nm and small adsorption volume of </w:t>
      </w:r>
      <w:proofErr w:type="spellStart"/>
      <w:r w:rsidRPr="007140C1">
        <w:rPr>
          <w:lang w:val="en-GB"/>
        </w:rPr>
        <w:t>mesopores</w:t>
      </w:r>
      <w:proofErr w:type="spellEnd"/>
      <w:r w:rsidRPr="007140C1">
        <w:rPr>
          <w:lang w:val="en-GB"/>
        </w:rPr>
        <w:t>.</w:t>
      </w:r>
      <w:r w:rsidRPr="00430DA2">
        <w:rPr>
          <w:lang w:val="en-GB"/>
        </w:rPr>
        <w:t xml:space="preserve"> The increase in specific surface area and adsorption pore volume for metal-containing residue </w:t>
      </w:r>
      <w:r>
        <w:rPr>
          <w:lang w:val="en-GB"/>
        </w:rPr>
        <w:t>samples</w:t>
      </w:r>
      <w:r w:rsidRPr="00430DA2">
        <w:rPr>
          <w:lang w:val="en-GB"/>
        </w:rPr>
        <w:t xml:space="preserve"> 2 and 4, due to the increase in the volume of adsorption pores. The size of </w:t>
      </w:r>
      <w:proofErr w:type="spellStart"/>
      <w:r w:rsidRPr="00430DA2">
        <w:rPr>
          <w:lang w:val="en-GB"/>
        </w:rPr>
        <w:t>micropores</w:t>
      </w:r>
      <w:proofErr w:type="spellEnd"/>
      <w:r w:rsidRPr="00430DA2">
        <w:rPr>
          <w:lang w:val="en-GB"/>
        </w:rPr>
        <w:t xml:space="preserve"> for etched specimens is from 0.9 to 0.8 nm. After etching with melange (aqua </w:t>
      </w:r>
      <w:proofErr w:type="spellStart"/>
      <w:r w:rsidRPr="00430DA2">
        <w:rPr>
          <w:lang w:val="en-GB"/>
        </w:rPr>
        <w:t>regia</w:t>
      </w:r>
      <w:proofErr w:type="spellEnd"/>
      <w:r w:rsidRPr="00430DA2">
        <w:rPr>
          <w:lang w:val="en-GB"/>
        </w:rPr>
        <w:t xml:space="preserve">) (sample 4), a wide distribution is observed, in which a small peak appears in the region of 0.9 nm and a blurred region of </w:t>
      </w:r>
      <w:proofErr w:type="spellStart"/>
      <w:r w:rsidRPr="00430DA2">
        <w:rPr>
          <w:lang w:val="en-GB"/>
        </w:rPr>
        <w:t>mesopores</w:t>
      </w:r>
      <w:proofErr w:type="spellEnd"/>
      <w:r w:rsidRPr="00430DA2">
        <w:rPr>
          <w:lang w:val="en-GB"/>
        </w:rPr>
        <w:t xml:space="preserve"> in the region of 34 A. the pore size distribution curve significantly increases the peak in the region of small pores with a slight decrease in </w:t>
      </w:r>
      <w:proofErr w:type="spellStart"/>
      <w:r w:rsidRPr="00430DA2">
        <w:rPr>
          <w:lang w:val="en-GB"/>
        </w:rPr>
        <w:t>mesopores</w:t>
      </w:r>
      <w:proofErr w:type="spellEnd"/>
      <w:r w:rsidRPr="00430DA2">
        <w:rPr>
          <w:lang w:val="en-GB"/>
        </w:rPr>
        <w:t xml:space="preserve"> in the region of </w:t>
      </w:r>
      <w:r w:rsidRPr="000143DE">
        <w:rPr>
          <w:lang w:val="en-GB"/>
        </w:rPr>
        <w:t>34 A.</w:t>
      </w:r>
    </w:p>
    <w:p w:rsidR="00F028FA" w:rsidRPr="000143DE" w:rsidRDefault="00F028FA" w:rsidP="00F028FA">
      <w:pPr>
        <w:autoSpaceDE w:val="0"/>
        <w:autoSpaceDN w:val="0"/>
        <w:adjustRightInd w:val="0"/>
        <w:spacing w:line="360" w:lineRule="auto"/>
        <w:rPr>
          <w:rFonts w:ascii="Times New Roman" w:eastAsia="Calibri" w:hAnsi="Times New Roman"/>
          <w:sz w:val="24"/>
          <w:szCs w:val="24"/>
          <w:lang w:val="en-US"/>
        </w:rPr>
      </w:pPr>
      <w:r w:rsidRPr="00A4705F">
        <w:rPr>
          <w:rFonts w:ascii="Times New Roman" w:eastAsia="Calibri" w:hAnsi="Times New Roman"/>
          <w:noProof/>
          <w:sz w:val="24"/>
          <w:szCs w:val="24"/>
          <w:lang w:val="ru-RU" w:eastAsia="ru-RU"/>
        </w:rPr>
        <w:drawing>
          <wp:inline distT="0" distB="0" distL="0" distR="0">
            <wp:extent cx="2351865" cy="181927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4567" cy="1821365"/>
                    </a:xfrm>
                    <a:prstGeom prst="rect">
                      <a:avLst/>
                    </a:prstGeom>
                    <a:noFill/>
                  </pic:spPr>
                </pic:pic>
              </a:graphicData>
            </a:graphic>
          </wp:inline>
        </w:drawing>
      </w:r>
      <w:r w:rsidRPr="00A4705F">
        <w:rPr>
          <w:rFonts w:ascii="Times New Roman" w:eastAsia="Calibri" w:hAnsi="Times New Roman"/>
          <w:noProof/>
          <w:sz w:val="24"/>
          <w:szCs w:val="24"/>
          <w:lang w:val="ru-RU" w:eastAsia="ru-RU"/>
        </w:rPr>
        <w:drawing>
          <wp:inline distT="0" distB="0" distL="0" distR="0">
            <wp:extent cx="1925158" cy="1761318"/>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7697" cy="1763641"/>
                    </a:xfrm>
                    <a:prstGeom prst="rect">
                      <a:avLst/>
                    </a:prstGeom>
                    <a:noFill/>
                  </pic:spPr>
                </pic:pic>
              </a:graphicData>
            </a:graphic>
          </wp:inline>
        </w:drawing>
      </w:r>
      <w:r w:rsidRPr="000143DE">
        <w:rPr>
          <w:rFonts w:ascii="Times New Roman" w:eastAsia="Calibri" w:hAnsi="Times New Roman"/>
          <w:sz w:val="24"/>
          <w:szCs w:val="24"/>
          <w:lang w:val="en-US"/>
        </w:rPr>
        <w:t xml:space="preserve"> </w:t>
      </w:r>
      <w:r w:rsidRPr="00A4705F">
        <w:rPr>
          <w:rFonts w:ascii="Times New Roman" w:eastAsia="Calibri" w:hAnsi="Times New Roman"/>
          <w:noProof/>
          <w:sz w:val="24"/>
          <w:szCs w:val="24"/>
          <w:lang w:val="ru-RU" w:eastAsia="ru-RU"/>
        </w:rPr>
        <w:drawing>
          <wp:inline distT="0" distB="0" distL="0" distR="0">
            <wp:extent cx="2076450" cy="1715053"/>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9747" cy="1717776"/>
                    </a:xfrm>
                    <a:prstGeom prst="rect">
                      <a:avLst/>
                    </a:prstGeom>
                    <a:noFill/>
                  </pic:spPr>
                </pic:pic>
              </a:graphicData>
            </a:graphic>
          </wp:inline>
        </w:drawing>
      </w:r>
      <w:r w:rsidRPr="000143DE">
        <w:rPr>
          <w:rFonts w:ascii="Times New Roman" w:eastAsia="Calibri" w:hAnsi="Times New Roman"/>
          <w:sz w:val="24"/>
          <w:szCs w:val="24"/>
          <w:lang w:val="en-US"/>
        </w:rPr>
        <w:t xml:space="preserve">     </w:t>
      </w:r>
      <w:r w:rsidRPr="00A4705F">
        <w:rPr>
          <w:rFonts w:ascii="Times New Roman" w:eastAsia="Calibri" w:hAnsi="Times New Roman"/>
          <w:noProof/>
          <w:sz w:val="24"/>
          <w:szCs w:val="24"/>
          <w:lang w:val="ru-RU" w:eastAsia="ru-RU"/>
        </w:rPr>
        <w:drawing>
          <wp:inline distT="0" distB="0" distL="0" distR="0">
            <wp:extent cx="2209800" cy="1632940"/>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3783" cy="1635883"/>
                    </a:xfrm>
                    <a:prstGeom prst="rect">
                      <a:avLst/>
                    </a:prstGeom>
                    <a:noFill/>
                  </pic:spPr>
                </pic:pic>
              </a:graphicData>
            </a:graphic>
          </wp:inline>
        </w:drawing>
      </w:r>
    </w:p>
    <w:p w:rsidR="00F028FA" w:rsidRPr="00F028FA" w:rsidRDefault="00F028FA" w:rsidP="00F028FA">
      <w:pPr>
        <w:pStyle w:val="CETCaption"/>
        <w:rPr>
          <w:rFonts w:eastAsia="Calibri"/>
          <w:lang w:val="en-US"/>
        </w:rPr>
      </w:pPr>
      <w:r w:rsidRPr="00F028FA">
        <w:rPr>
          <w:rFonts w:eastAsia="Calibri"/>
          <w:lang w:val="en-US"/>
        </w:rPr>
        <w:t xml:space="preserve">Figure 3: Composition of </w:t>
      </w:r>
      <w:proofErr w:type="spellStart"/>
      <w:r w:rsidRPr="00F028FA">
        <w:rPr>
          <w:rFonts w:eastAsia="Calibri"/>
          <w:lang w:val="en-US"/>
        </w:rPr>
        <w:t>micropores</w:t>
      </w:r>
      <w:proofErr w:type="spellEnd"/>
      <w:r w:rsidRPr="00F028FA">
        <w:rPr>
          <w:rFonts w:eastAsia="Calibri"/>
          <w:lang w:val="en-US"/>
        </w:rPr>
        <w:t xml:space="preserve"> for samples 1, 2, 4, 5. </w:t>
      </w:r>
    </w:p>
    <w:p w:rsidR="00F16F62" w:rsidRDefault="00F16F62" w:rsidP="00746C64">
      <w:pPr>
        <w:pStyle w:val="CETTabletitle"/>
      </w:pPr>
    </w:p>
    <w:p w:rsidR="00746C64" w:rsidRDefault="00746C64" w:rsidP="00746C64">
      <w:pPr>
        <w:pStyle w:val="CETTabletitle"/>
      </w:pPr>
      <w:proofErr w:type="gramStart"/>
      <w:r w:rsidRPr="00746C64">
        <w:t xml:space="preserve">Table 4: The value of the specific surface area, the group composition of the pores and the adsorption energy of </w:t>
      </w:r>
      <w:proofErr w:type="spellStart"/>
      <w:r w:rsidRPr="00746C64">
        <w:t>micropores</w:t>
      </w:r>
      <w:proofErr w:type="spellEnd"/>
      <w:r>
        <w:t>.</w:t>
      </w:r>
      <w:proofErr w:type="gramEnd"/>
    </w:p>
    <w:tbl>
      <w:tblPr>
        <w:tblW w:w="8262" w:type="dxa"/>
        <w:tblBorders>
          <w:top w:val="single" w:sz="12" w:space="0" w:color="008000"/>
          <w:bottom w:val="single" w:sz="12" w:space="0" w:color="008000"/>
        </w:tblBorders>
        <w:shd w:val="clear" w:color="auto" w:fill="FFFFFF"/>
        <w:tblCellMar>
          <w:left w:w="0" w:type="dxa"/>
          <w:right w:w="0" w:type="dxa"/>
        </w:tblCellMar>
        <w:tblLook w:val="00A0"/>
      </w:tblPr>
      <w:tblGrid>
        <w:gridCol w:w="784"/>
        <w:gridCol w:w="1337"/>
        <w:gridCol w:w="1314"/>
        <w:gridCol w:w="2182"/>
        <w:gridCol w:w="1014"/>
        <w:gridCol w:w="741"/>
        <w:gridCol w:w="890"/>
      </w:tblGrid>
      <w:tr w:rsidR="00D93846" w:rsidRPr="00D93846" w:rsidTr="00151272">
        <w:tc>
          <w:tcPr>
            <w:tcW w:w="784" w:type="dxa"/>
            <w:tcBorders>
              <w:top w:val="single" w:sz="12" w:space="0" w:color="008000"/>
              <w:bottom w:val="single" w:sz="6" w:space="0" w:color="008000"/>
            </w:tcBorders>
            <w:shd w:val="clear" w:color="auto" w:fill="FFFFFF"/>
          </w:tcPr>
          <w:p w:rsidR="00415EED" w:rsidRPr="00D93846" w:rsidRDefault="00415EED" w:rsidP="00415EED">
            <w:pPr>
              <w:jc w:val="center"/>
              <w:rPr>
                <w:rFonts w:cs="Arial"/>
                <w:lang w:val="en-US"/>
              </w:rPr>
            </w:pPr>
            <w:r w:rsidRPr="00D93846">
              <w:rPr>
                <w:rFonts w:cs="Arial"/>
                <w:lang w:val="en-US"/>
              </w:rPr>
              <w:t>N/N</w:t>
            </w:r>
          </w:p>
        </w:tc>
        <w:tc>
          <w:tcPr>
            <w:tcW w:w="1337" w:type="dxa"/>
            <w:tcBorders>
              <w:top w:val="single" w:sz="12" w:space="0" w:color="008000"/>
              <w:bottom w:val="single" w:sz="6" w:space="0" w:color="008000"/>
            </w:tcBorders>
            <w:shd w:val="clear" w:color="auto" w:fill="FFFFFF"/>
          </w:tcPr>
          <w:p w:rsidR="00415EED" w:rsidRPr="00D93846" w:rsidRDefault="00415EED" w:rsidP="00415EED">
            <w:pPr>
              <w:jc w:val="center"/>
              <w:rPr>
                <w:rFonts w:cs="Arial"/>
                <w:lang w:val="en-US"/>
              </w:rPr>
            </w:pPr>
            <w:r w:rsidRPr="00D93846">
              <w:rPr>
                <w:rFonts w:cs="Arial"/>
                <w:i/>
                <w:lang w:val="en-US"/>
              </w:rPr>
              <w:t>W</w:t>
            </w:r>
            <w:r w:rsidRPr="00D93846">
              <w:rPr>
                <w:rFonts w:cs="Arial"/>
                <w:lang w:val="en-US"/>
              </w:rPr>
              <w:t>cm</w:t>
            </w:r>
            <w:r w:rsidRPr="00D93846">
              <w:rPr>
                <w:rFonts w:cs="Arial"/>
                <w:vertAlign w:val="superscript"/>
                <w:lang w:val="en-US"/>
              </w:rPr>
              <w:t>3</w:t>
            </w:r>
            <w:r w:rsidRPr="00D93846">
              <w:rPr>
                <w:rFonts w:cs="Arial"/>
                <w:lang w:val="en-US"/>
              </w:rPr>
              <w:t>/</w:t>
            </w:r>
            <w:r w:rsidRPr="00D93846">
              <w:rPr>
                <w:rFonts w:cs="Arial"/>
              </w:rPr>
              <w:t>g</w:t>
            </w:r>
          </w:p>
        </w:tc>
        <w:tc>
          <w:tcPr>
            <w:tcW w:w="1314" w:type="dxa"/>
            <w:tcBorders>
              <w:top w:val="single" w:sz="12" w:space="0" w:color="008000"/>
              <w:bottom w:val="single" w:sz="6" w:space="0" w:color="008000"/>
            </w:tcBorders>
            <w:shd w:val="clear" w:color="auto" w:fill="FFFFFF"/>
          </w:tcPr>
          <w:p w:rsidR="00415EED" w:rsidRPr="00D93846" w:rsidRDefault="00415EED" w:rsidP="00415EED">
            <w:pPr>
              <w:jc w:val="center"/>
              <w:rPr>
                <w:rFonts w:cs="Arial"/>
                <w:i/>
              </w:rPr>
            </w:pPr>
            <w:r w:rsidRPr="00D93846">
              <w:rPr>
                <w:rFonts w:cs="Arial"/>
                <w:i/>
                <w:lang w:val="en-US"/>
              </w:rPr>
              <w:t xml:space="preserve">E, </w:t>
            </w:r>
            <w:r w:rsidRPr="00D93846">
              <w:rPr>
                <w:rFonts w:cs="Arial"/>
                <w:i/>
              </w:rPr>
              <w:t>J / mol</w:t>
            </w:r>
          </w:p>
        </w:tc>
        <w:tc>
          <w:tcPr>
            <w:tcW w:w="2182" w:type="dxa"/>
            <w:tcBorders>
              <w:top w:val="single" w:sz="12" w:space="0" w:color="008000"/>
              <w:bottom w:val="single" w:sz="6" w:space="0" w:color="008000"/>
            </w:tcBorders>
            <w:shd w:val="clear" w:color="auto" w:fill="FFFFFF"/>
          </w:tcPr>
          <w:p w:rsidR="00415EED" w:rsidRPr="00D93846" w:rsidRDefault="00415EED" w:rsidP="00415EED">
            <w:pPr>
              <w:jc w:val="center"/>
              <w:rPr>
                <w:rFonts w:cs="Arial"/>
                <w:i/>
                <w:lang w:val="en-US"/>
              </w:rPr>
            </w:pPr>
            <w:r w:rsidRPr="00D93846">
              <w:rPr>
                <w:rFonts w:cs="Arial"/>
                <w:i/>
                <w:lang w:val="en-US"/>
              </w:rPr>
              <w:t>S, m</w:t>
            </w:r>
            <w:r w:rsidRPr="00D93846">
              <w:rPr>
                <w:rFonts w:cs="Arial"/>
                <w:i/>
                <w:vertAlign w:val="superscript"/>
                <w:lang w:val="en-US"/>
              </w:rPr>
              <w:t>2</w:t>
            </w:r>
            <w:r w:rsidRPr="00D93846">
              <w:rPr>
                <w:rFonts w:cs="Arial"/>
                <w:i/>
                <w:lang w:val="en-US"/>
              </w:rPr>
              <w:t>/</w:t>
            </w:r>
            <w:r w:rsidRPr="00D93846">
              <w:rPr>
                <w:rFonts w:cs="Arial"/>
                <w:i/>
              </w:rPr>
              <w:t>g</w:t>
            </w:r>
          </w:p>
        </w:tc>
        <w:tc>
          <w:tcPr>
            <w:tcW w:w="1014" w:type="dxa"/>
            <w:tcBorders>
              <w:top w:val="single" w:sz="12" w:space="0" w:color="008000"/>
              <w:bottom w:val="single" w:sz="6" w:space="0" w:color="008000"/>
            </w:tcBorders>
            <w:shd w:val="clear" w:color="auto" w:fill="FFFFFF"/>
          </w:tcPr>
          <w:p w:rsidR="00415EED" w:rsidRPr="00D93846" w:rsidRDefault="00415EED" w:rsidP="00D93846">
            <w:pPr>
              <w:jc w:val="center"/>
              <w:rPr>
                <w:rFonts w:cs="Arial"/>
                <w:i/>
              </w:rPr>
            </w:pPr>
            <w:r w:rsidRPr="00D93846">
              <w:rPr>
                <w:rFonts w:cs="Arial"/>
                <w:i/>
                <w:lang w:val="en-US"/>
              </w:rPr>
              <w:t>&lt;r</w:t>
            </w:r>
            <w:r w:rsidR="00D93846" w:rsidRPr="00D93846">
              <w:rPr>
                <w:rFonts w:cs="Arial"/>
                <w:i/>
                <w:vertAlign w:val="subscript"/>
              </w:rPr>
              <w:t>micro</w:t>
            </w:r>
            <w:r w:rsidRPr="00D93846">
              <w:rPr>
                <w:rFonts w:cs="Arial"/>
                <w:i/>
                <w:lang w:val="en-US"/>
              </w:rPr>
              <w:t xml:space="preserve">&gt;, </w:t>
            </w:r>
            <w:r w:rsidR="00D93846" w:rsidRPr="00D93846">
              <w:rPr>
                <w:rFonts w:cs="Arial"/>
                <w:i/>
              </w:rPr>
              <w:t>nm</w:t>
            </w:r>
          </w:p>
        </w:tc>
        <w:tc>
          <w:tcPr>
            <w:tcW w:w="741" w:type="dxa"/>
            <w:tcBorders>
              <w:top w:val="single" w:sz="12" w:space="0" w:color="008000"/>
              <w:bottom w:val="single" w:sz="6" w:space="0" w:color="008000"/>
            </w:tcBorders>
            <w:shd w:val="clear" w:color="auto" w:fill="FFFFFF"/>
          </w:tcPr>
          <w:p w:rsidR="00415EED" w:rsidRPr="00D93846" w:rsidRDefault="00415EED" w:rsidP="00D93846">
            <w:pPr>
              <w:jc w:val="center"/>
              <w:rPr>
                <w:rFonts w:cs="Arial"/>
              </w:rPr>
            </w:pPr>
            <w:r w:rsidRPr="00D93846">
              <w:rPr>
                <w:rFonts w:cs="Arial"/>
                <w:lang w:val="en-US"/>
              </w:rPr>
              <w:t>a,</w:t>
            </w:r>
            <w:proofErr w:type="spellStart"/>
            <w:r w:rsidR="00D93846" w:rsidRPr="00D93846">
              <w:rPr>
                <w:rFonts w:cs="Arial"/>
              </w:rPr>
              <w:t>mmol</w:t>
            </w:r>
            <w:proofErr w:type="spellEnd"/>
            <w:r w:rsidRPr="00D93846">
              <w:rPr>
                <w:rFonts w:cs="Arial"/>
                <w:lang w:val="en-US"/>
              </w:rPr>
              <w:t>/</w:t>
            </w:r>
            <w:r w:rsidR="00D93846" w:rsidRPr="00D93846">
              <w:rPr>
                <w:rFonts w:cs="Arial"/>
                <w:lang w:val="en-US"/>
              </w:rPr>
              <w:t>g</w:t>
            </w:r>
          </w:p>
        </w:tc>
        <w:tc>
          <w:tcPr>
            <w:tcW w:w="890" w:type="dxa"/>
            <w:tcBorders>
              <w:top w:val="single" w:sz="12" w:space="0" w:color="008000"/>
              <w:bottom w:val="single" w:sz="6" w:space="0" w:color="008000"/>
            </w:tcBorders>
            <w:shd w:val="clear" w:color="auto" w:fill="FFFFFF"/>
          </w:tcPr>
          <w:p w:rsidR="00415EED" w:rsidRPr="00D93846" w:rsidRDefault="00415EED" w:rsidP="00415EED">
            <w:pPr>
              <w:jc w:val="center"/>
              <w:rPr>
                <w:rFonts w:cs="Arial"/>
              </w:rPr>
            </w:pPr>
            <w:r w:rsidRPr="00D93846">
              <w:rPr>
                <w:rFonts w:cs="Arial"/>
                <w:lang w:val="en-US"/>
              </w:rPr>
              <w:t>Half &lt;r</w:t>
            </w:r>
            <w:proofErr w:type="spellStart"/>
            <w:r w:rsidRPr="00D93846">
              <w:rPr>
                <w:rFonts w:cs="Arial"/>
                <w:vertAlign w:val="subscript"/>
              </w:rPr>
              <w:t>ме</w:t>
            </w:r>
            <w:proofErr w:type="spellEnd"/>
            <w:r w:rsidRPr="00D93846">
              <w:rPr>
                <w:rFonts w:cs="Arial"/>
              </w:rPr>
              <w:t>&gt;</w:t>
            </w:r>
          </w:p>
        </w:tc>
      </w:tr>
      <w:tr w:rsidR="00D93846" w:rsidRPr="00D93846" w:rsidTr="00151272">
        <w:tc>
          <w:tcPr>
            <w:tcW w:w="784" w:type="dxa"/>
            <w:shd w:val="clear" w:color="auto" w:fill="FFFFFF"/>
          </w:tcPr>
          <w:p w:rsidR="00415EED" w:rsidRPr="00D93846" w:rsidRDefault="00415EED" w:rsidP="00415EED">
            <w:pPr>
              <w:jc w:val="center"/>
              <w:rPr>
                <w:rFonts w:cs="Arial"/>
                <w:lang w:val="en-US"/>
              </w:rPr>
            </w:pPr>
            <w:r w:rsidRPr="00D93846">
              <w:rPr>
                <w:rFonts w:cs="Arial"/>
                <w:lang w:val="en-US"/>
              </w:rPr>
              <w:t>1</w:t>
            </w:r>
          </w:p>
        </w:tc>
        <w:tc>
          <w:tcPr>
            <w:tcW w:w="1337" w:type="dxa"/>
            <w:shd w:val="clear" w:color="auto" w:fill="FFFFFF"/>
          </w:tcPr>
          <w:p w:rsidR="00415EED" w:rsidRPr="00D93846" w:rsidRDefault="00415EED" w:rsidP="00415EED">
            <w:pPr>
              <w:jc w:val="center"/>
              <w:rPr>
                <w:rFonts w:cs="Arial"/>
              </w:rPr>
            </w:pPr>
            <w:r w:rsidRPr="00D93846">
              <w:rPr>
                <w:rFonts w:cs="Arial"/>
                <w:lang w:val="en-US"/>
              </w:rPr>
              <w:t>0.008</w:t>
            </w:r>
          </w:p>
        </w:tc>
        <w:tc>
          <w:tcPr>
            <w:tcW w:w="1314" w:type="dxa"/>
            <w:shd w:val="clear" w:color="auto" w:fill="FFFFFF"/>
          </w:tcPr>
          <w:p w:rsidR="00415EED" w:rsidRPr="00D93846" w:rsidRDefault="00415EED" w:rsidP="00415EED">
            <w:pPr>
              <w:jc w:val="center"/>
              <w:rPr>
                <w:rFonts w:cs="Arial"/>
              </w:rPr>
            </w:pPr>
            <w:r w:rsidRPr="00D93846">
              <w:rPr>
                <w:rFonts w:cs="Arial"/>
                <w:lang w:val="en-US"/>
              </w:rPr>
              <w:t>2.14</w:t>
            </w:r>
          </w:p>
        </w:tc>
        <w:tc>
          <w:tcPr>
            <w:tcW w:w="2182" w:type="dxa"/>
            <w:shd w:val="clear" w:color="auto" w:fill="FFFFFF"/>
          </w:tcPr>
          <w:p w:rsidR="00415EED" w:rsidRPr="00D93846" w:rsidRDefault="00415EED" w:rsidP="00415EED">
            <w:pPr>
              <w:jc w:val="center"/>
              <w:rPr>
                <w:rFonts w:cs="Arial"/>
                <w:lang w:val="en-US"/>
              </w:rPr>
            </w:pPr>
            <w:r w:rsidRPr="00D93846">
              <w:rPr>
                <w:rFonts w:cs="Arial"/>
                <w:lang w:val="en-US"/>
              </w:rPr>
              <w:t>1</w:t>
            </w:r>
            <w:r w:rsidR="00D93846" w:rsidRPr="00D93846">
              <w:rPr>
                <w:rFonts w:cs="Arial"/>
                <w:lang w:val="en-US"/>
              </w:rPr>
              <w:t>.</w:t>
            </w:r>
            <w:r w:rsidRPr="00D93846">
              <w:rPr>
                <w:rFonts w:cs="Arial"/>
                <w:lang w:val="en-US"/>
              </w:rPr>
              <w:t>96</w:t>
            </w:r>
          </w:p>
        </w:tc>
        <w:tc>
          <w:tcPr>
            <w:tcW w:w="1014" w:type="dxa"/>
            <w:shd w:val="clear" w:color="auto" w:fill="FFFFFF"/>
          </w:tcPr>
          <w:p w:rsidR="00415EED" w:rsidRPr="00D93846" w:rsidRDefault="00415EED" w:rsidP="00415EED">
            <w:pPr>
              <w:jc w:val="center"/>
              <w:rPr>
                <w:rFonts w:cs="Arial"/>
              </w:rPr>
            </w:pPr>
            <w:r w:rsidRPr="00D93846">
              <w:rPr>
                <w:rFonts w:cs="Arial"/>
              </w:rPr>
              <w:t>1</w:t>
            </w:r>
            <w:r w:rsidR="00D93846" w:rsidRPr="00D93846">
              <w:rPr>
                <w:rFonts w:cs="Arial"/>
              </w:rPr>
              <w:t>.</w:t>
            </w:r>
            <w:r w:rsidRPr="00D93846">
              <w:rPr>
                <w:rFonts w:cs="Arial"/>
              </w:rPr>
              <w:t>85</w:t>
            </w:r>
          </w:p>
        </w:tc>
        <w:tc>
          <w:tcPr>
            <w:tcW w:w="741"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024</w:t>
            </w:r>
          </w:p>
        </w:tc>
        <w:tc>
          <w:tcPr>
            <w:tcW w:w="890" w:type="dxa"/>
            <w:shd w:val="clear" w:color="auto" w:fill="FFFFFF"/>
          </w:tcPr>
          <w:p w:rsidR="00415EED" w:rsidRPr="00D93846" w:rsidRDefault="00415EED" w:rsidP="00415EED">
            <w:pPr>
              <w:jc w:val="center"/>
              <w:rPr>
                <w:rFonts w:cs="Arial"/>
                <w:lang w:val="en-US"/>
              </w:rPr>
            </w:pPr>
            <w:r w:rsidRPr="00D93846">
              <w:rPr>
                <w:rFonts w:cs="Arial"/>
                <w:lang w:val="en-US"/>
              </w:rPr>
              <w:t>18</w:t>
            </w:r>
            <w:r w:rsidR="00D93846" w:rsidRPr="00D93846">
              <w:rPr>
                <w:rFonts w:cs="Arial"/>
                <w:lang w:val="en-US"/>
              </w:rPr>
              <w:t>.</w:t>
            </w:r>
            <w:r w:rsidRPr="00D93846">
              <w:rPr>
                <w:rFonts w:cs="Arial"/>
                <w:lang w:val="en-US"/>
              </w:rPr>
              <w:t>137</w:t>
            </w:r>
          </w:p>
        </w:tc>
      </w:tr>
      <w:tr w:rsidR="00D93846" w:rsidRPr="00D93846" w:rsidTr="00151272">
        <w:tc>
          <w:tcPr>
            <w:tcW w:w="784" w:type="dxa"/>
            <w:shd w:val="clear" w:color="auto" w:fill="FFFFFF"/>
          </w:tcPr>
          <w:p w:rsidR="00415EED" w:rsidRPr="00D93846" w:rsidRDefault="00415EED" w:rsidP="00415EED">
            <w:pPr>
              <w:jc w:val="center"/>
              <w:rPr>
                <w:rFonts w:cs="Arial"/>
                <w:lang w:val="en-US"/>
              </w:rPr>
            </w:pPr>
            <w:r w:rsidRPr="00D93846">
              <w:rPr>
                <w:rFonts w:cs="Arial"/>
                <w:lang w:val="en-US"/>
              </w:rPr>
              <w:t>2</w:t>
            </w:r>
          </w:p>
        </w:tc>
        <w:tc>
          <w:tcPr>
            <w:tcW w:w="1337"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04</w:t>
            </w:r>
          </w:p>
        </w:tc>
        <w:tc>
          <w:tcPr>
            <w:tcW w:w="1314" w:type="dxa"/>
            <w:shd w:val="clear" w:color="auto" w:fill="FFFFFF"/>
          </w:tcPr>
          <w:p w:rsidR="00415EED" w:rsidRPr="00D93846" w:rsidRDefault="00415EED" w:rsidP="00415EED">
            <w:pPr>
              <w:jc w:val="center"/>
              <w:rPr>
                <w:rFonts w:cs="Arial"/>
              </w:rPr>
            </w:pPr>
            <w:r w:rsidRPr="00D93846">
              <w:rPr>
                <w:rFonts w:cs="Arial"/>
              </w:rPr>
              <w:t>4</w:t>
            </w:r>
            <w:r w:rsidR="00D93846" w:rsidRPr="00D93846">
              <w:rPr>
                <w:rFonts w:cs="Arial"/>
              </w:rPr>
              <w:t>.</w:t>
            </w:r>
            <w:r w:rsidRPr="00D93846">
              <w:rPr>
                <w:rFonts w:cs="Arial"/>
              </w:rPr>
              <w:t>27</w:t>
            </w:r>
          </w:p>
        </w:tc>
        <w:tc>
          <w:tcPr>
            <w:tcW w:w="2182" w:type="dxa"/>
            <w:shd w:val="clear" w:color="auto" w:fill="FFFFFF"/>
          </w:tcPr>
          <w:p w:rsidR="00415EED" w:rsidRPr="00D93846" w:rsidRDefault="00415EED" w:rsidP="00415EED">
            <w:pPr>
              <w:jc w:val="center"/>
              <w:rPr>
                <w:rFonts w:cs="Arial"/>
                <w:lang w:val="en-US"/>
              </w:rPr>
            </w:pPr>
            <w:r w:rsidRPr="00D93846">
              <w:rPr>
                <w:rFonts w:cs="Arial"/>
                <w:lang w:val="en-US"/>
              </w:rPr>
              <w:t>16</w:t>
            </w:r>
            <w:r w:rsidR="00D93846" w:rsidRPr="00D93846">
              <w:rPr>
                <w:rFonts w:cs="Arial"/>
                <w:lang w:val="en-US"/>
              </w:rPr>
              <w:t>.</w:t>
            </w:r>
            <w:r w:rsidRPr="00D93846">
              <w:rPr>
                <w:rFonts w:cs="Arial"/>
                <w:lang w:val="en-US"/>
              </w:rPr>
              <w:t>2</w:t>
            </w:r>
          </w:p>
        </w:tc>
        <w:tc>
          <w:tcPr>
            <w:tcW w:w="1014" w:type="dxa"/>
            <w:shd w:val="clear" w:color="auto" w:fill="FFFFFF"/>
          </w:tcPr>
          <w:p w:rsidR="00415EED" w:rsidRPr="00D93846" w:rsidRDefault="00415EED" w:rsidP="00415EED">
            <w:pPr>
              <w:jc w:val="center"/>
              <w:rPr>
                <w:rFonts w:cs="Arial"/>
                <w:lang w:val="en-US"/>
              </w:rPr>
            </w:pPr>
            <w:r w:rsidRPr="00D93846">
              <w:rPr>
                <w:rFonts w:cs="Arial"/>
                <w:lang w:eastAsia="ru-RU"/>
              </w:rPr>
              <w:t>0.93</w:t>
            </w:r>
          </w:p>
        </w:tc>
        <w:tc>
          <w:tcPr>
            <w:tcW w:w="741"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18</w:t>
            </w:r>
          </w:p>
        </w:tc>
        <w:tc>
          <w:tcPr>
            <w:tcW w:w="890" w:type="dxa"/>
            <w:shd w:val="clear" w:color="auto" w:fill="FFFFFF"/>
          </w:tcPr>
          <w:p w:rsidR="00415EED" w:rsidRPr="00D93846" w:rsidRDefault="00415EED" w:rsidP="00415EED">
            <w:pPr>
              <w:jc w:val="center"/>
              <w:rPr>
                <w:rFonts w:cs="Arial"/>
                <w:lang w:val="en-US"/>
              </w:rPr>
            </w:pPr>
            <w:r w:rsidRPr="00D93846">
              <w:rPr>
                <w:rFonts w:cs="Arial"/>
                <w:lang w:val="en-US"/>
              </w:rPr>
              <w:t>8</w:t>
            </w:r>
            <w:r w:rsidR="00D93846" w:rsidRPr="00D93846">
              <w:rPr>
                <w:rFonts w:cs="Arial"/>
                <w:lang w:val="en-US"/>
              </w:rPr>
              <w:t>.</w:t>
            </w:r>
            <w:r w:rsidRPr="00D93846">
              <w:rPr>
                <w:rFonts w:cs="Arial"/>
                <w:lang w:val="en-US"/>
              </w:rPr>
              <w:t>828</w:t>
            </w:r>
          </w:p>
        </w:tc>
      </w:tr>
      <w:tr w:rsidR="00D93846" w:rsidRPr="00D93846" w:rsidTr="00151272">
        <w:tc>
          <w:tcPr>
            <w:tcW w:w="784" w:type="dxa"/>
            <w:shd w:val="clear" w:color="auto" w:fill="FFFFFF"/>
          </w:tcPr>
          <w:p w:rsidR="00415EED" w:rsidRPr="00D93846" w:rsidRDefault="00415EED" w:rsidP="00415EED">
            <w:pPr>
              <w:jc w:val="center"/>
              <w:rPr>
                <w:rFonts w:cs="Arial"/>
                <w:lang w:val="en-US"/>
              </w:rPr>
            </w:pPr>
            <w:r w:rsidRPr="00D93846">
              <w:rPr>
                <w:rFonts w:cs="Arial"/>
                <w:lang w:val="en-US"/>
              </w:rPr>
              <w:t>3</w:t>
            </w:r>
          </w:p>
        </w:tc>
        <w:tc>
          <w:tcPr>
            <w:tcW w:w="1337"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04</w:t>
            </w:r>
          </w:p>
        </w:tc>
        <w:tc>
          <w:tcPr>
            <w:tcW w:w="1314" w:type="dxa"/>
            <w:shd w:val="clear" w:color="auto" w:fill="FFFFFF"/>
          </w:tcPr>
          <w:p w:rsidR="00415EED" w:rsidRPr="00D93846" w:rsidRDefault="00415EED" w:rsidP="00415EED">
            <w:pPr>
              <w:jc w:val="center"/>
              <w:rPr>
                <w:rFonts w:cs="Arial"/>
              </w:rPr>
            </w:pPr>
            <w:r w:rsidRPr="00D93846">
              <w:rPr>
                <w:rFonts w:cs="Arial"/>
              </w:rPr>
              <w:t>3</w:t>
            </w:r>
            <w:r w:rsidR="00D93846" w:rsidRPr="00D93846">
              <w:rPr>
                <w:rFonts w:cs="Arial"/>
              </w:rPr>
              <w:t>.</w:t>
            </w:r>
            <w:r w:rsidRPr="00D93846">
              <w:rPr>
                <w:rFonts w:cs="Arial"/>
              </w:rPr>
              <w:t>99</w:t>
            </w:r>
          </w:p>
        </w:tc>
        <w:tc>
          <w:tcPr>
            <w:tcW w:w="2182" w:type="dxa"/>
            <w:shd w:val="clear" w:color="auto" w:fill="FFFFFF"/>
          </w:tcPr>
          <w:p w:rsidR="00415EED" w:rsidRPr="00D93846" w:rsidRDefault="00415EED" w:rsidP="00415EED">
            <w:pPr>
              <w:jc w:val="center"/>
              <w:rPr>
                <w:rFonts w:cs="Arial"/>
                <w:lang w:val="en-US"/>
              </w:rPr>
            </w:pPr>
            <w:r w:rsidRPr="00D93846">
              <w:rPr>
                <w:rFonts w:cs="Arial"/>
                <w:lang w:val="en-US"/>
              </w:rPr>
              <w:t>14</w:t>
            </w:r>
            <w:r w:rsidR="00D93846" w:rsidRPr="00D93846">
              <w:rPr>
                <w:rFonts w:cs="Arial"/>
                <w:lang w:val="en-US"/>
              </w:rPr>
              <w:t>.</w:t>
            </w:r>
            <w:r w:rsidRPr="00D93846">
              <w:rPr>
                <w:rFonts w:cs="Arial"/>
                <w:lang w:val="en-US"/>
              </w:rPr>
              <w:t>4</w:t>
            </w:r>
          </w:p>
        </w:tc>
        <w:tc>
          <w:tcPr>
            <w:tcW w:w="1014" w:type="dxa"/>
            <w:shd w:val="clear" w:color="auto" w:fill="FFFFFF"/>
          </w:tcPr>
          <w:p w:rsidR="00415EED" w:rsidRPr="00D93846" w:rsidRDefault="00415EED" w:rsidP="00415EED">
            <w:pPr>
              <w:jc w:val="center"/>
              <w:rPr>
                <w:rFonts w:cs="Arial"/>
                <w:lang w:val="en-US"/>
              </w:rPr>
            </w:pPr>
            <w:r w:rsidRPr="00D93846">
              <w:rPr>
                <w:rFonts w:cs="Arial"/>
                <w:lang w:eastAsia="ru-RU"/>
              </w:rPr>
              <w:t>0.99</w:t>
            </w:r>
          </w:p>
        </w:tc>
        <w:tc>
          <w:tcPr>
            <w:tcW w:w="741"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15</w:t>
            </w:r>
          </w:p>
        </w:tc>
        <w:tc>
          <w:tcPr>
            <w:tcW w:w="890" w:type="dxa"/>
            <w:shd w:val="clear" w:color="auto" w:fill="FFFFFF"/>
          </w:tcPr>
          <w:p w:rsidR="00415EED" w:rsidRPr="00D93846" w:rsidRDefault="00415EED" w:rsidP="00415EED">
            <w:pPr>
              <w:jc w:val="center"/>
              <w:rPr>
                <w:rFonts w:cs="Arial"/>
                <w:lang w:val="en-US"/>
              </w:rPr>
            </w:pPr>
            <w:r w:rsidRPr="00D93846">
              <w:rPr>
                <w:rFonts w:cs="Arial"/>
                <w:lang w:val="en-US"/>
              </w:rPr>
              <w:t>17</w:t>
            </w:r>
            <w:r w:rsidR="00D93846" w:rsidRPr="00D93846">
              <w:rPr>
                <w:rFonts w:cs="Arial"/>
                <w:lang w:val="en-US"/>
              </w:rPr>
              <w:t>.</w:t>
            </w:r>
            <w:r w:rsidRPr="00D93846">
              <w:rPr>
                <w:rFonts w:cs="Arial"/>
                <w:lang w:val="en-US"/>
              </w:rPr>
              <w:t>339</w:t>
            </w:r>
          </w:p>
        </w:tc>
      </w:tr>
      <w:tr w:rsidR="00D93846" w:rsidRPr="00D93846" w:rsidTr="00151272">
        <w:trPr>
          <w:trHeight w:val="214"/>
        </w:trPr>
        <w:tc>
          <w:tcPr>
            <w:tcW w:w="784" w:type="dxa"/>
            <w:shd w:val="clear" w:color="auto" w:fill="FFFFFF"/>
          </w:tcPr>
          <w:p w:rsidR="00415EED" w:rsidRPr="00D93846" w:rsidRDefault="00415EED" w:rsidP="00415EED">
            <w:pPr>
              <w:jc w:val="center"/>
              <w:rPr>
                <w:rFonts w:cs="Arial"/>
              </w:rPr>
            </w:pPr>
            <w:r w:rsidRPr="00D93846">
              <w:rPr>
                <w:rFonts w:cs="Arial"/>
              </w:rPr>
              <w:t>4</w:t>
            </w:r>
          </w:p>
        </w:tc>
        <w:tc>
          <w:tcPr>
            <w:tcW w:w="1337"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05</w:t>
            </w:r>
          </w:p>
        </w:tc>
        <w:tc>
          <w:tcPr>
            <w:tcW w:w="1314" w:type="dxa"/>
            <w:shd w:val="clear" w:color="auto" w:fill="FFFFFF"/>
          </w:tcPr>
          <w:p w:rsidR="00415EED" w:rsidRPr="00D93846" w:rsidRDefault="00415EED" w:rsidP="00415EED">
            <w:pPr>
              <w:jc w:val="center"/>
              <w:rPr>
                <w:rFonts w:cs="Arial"/>
              </w:rPr>
            </w:pPr>
            <w:r w:rsidRPr="00D93846">
              <w:rPr>
                <w:rFonts w:cs="Arial"/>
              </w:rPr>
              <w:t>4</w:t>
            </w:r>
            <w:r w:rsidR="00D93846" w:rsidRPr="00D93846">
              <w:rPr>
                <w:rFonts w:cs="Arial"/>
              </w:rPr>
              <w:t>.</w:t>
            </w:r>
            <w:r w:rsidRPr="00D93846">
              <w:rPr>
                <w:rFonts w:cs="Arial"/>
              </w:rPr>
              <w:t>85</w:t>
            </w:r>
          </w:p>
        </w:tc>
        <w:tc>
          <w:tcPr>
            <w:tcW w:w="2182" w:type="dxa"/>
            <w:shd w:val="clear" w:color="auto" w:fill="FFFFFF"/>
          </w:tcPr>
          <w:p w:rsidR="00415EED" w:rsidRPr="00D93846" w:rsidRDefault="00415EED" w:rsidP="00415EED">
            <w:pPr>
              <w:jc w:val="center"/>
              <w:rPr>
                <w:rFonts w:cs="Arial"/>
              </w:rPr>
            </w:pPr>
            <w:r w:rsidRPr="00D93846">
              <w:rPr>
                <w:rFonts w:cs="Arial"/>
              </w:rPr>
              <w:t>21</w:t>
            </w:r>
            <w:r w:rsidR="00D93846" w:rsidRPr="00D93846">
              <w:rPr>
                <w:rFonts w:cs="Arial"/>
              </w:rPr>
              <w:t>.</w:t>
            </w:r>
            <w:r w:rsidRPr="00D93846">
              <w:rPr>
                <w:rFonts w:cs="Arial"/>
              </w:rPr>
              <w:t>2</w:t>
            </w:r>
          </w:p>
        </w:tc>
        <w:tc>
          <w:tcPr>
            <w:tcW w:w="1014" w:type="dxa"/>
            <w:shd w:val="clear" w:color="auto" w:fill="FFFFFF"/>
          </w:tcPr>
          <w:p w:rsidR="00415EED" w:rsidRPr="00D93846" w:rsidRDefault="00415EED" w:rsidP="00415EED">
            <w:pPr>
              <w:jc w:val="center"/>
              <w:rPr>
                <w:rFonts w:cs="Arial"/>
                <w:lang w:val="en-US"/>
              </w:rPr>
            </w:pPr>
            <w:r w:rsidRPr="00D93846">
              <w:rPr>
                <w:rFonts w:cs="Arial"/>
                <w:lang w:eastAsia="ru-RU"/>
              </w:rPr>
              <w:t>0.82</w:t>
            </w:r>
          </w:p>
        </w:tc>
        <w:tc>
          <w:tcPr>
            <w:tcW w:w="741"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24</w:t>
            </w:r>
          </w:p>
        </w:tc>
        <w:tc>
          <w:tcPr>
            <w:tcW w:w="890" w:type="dxa"/>
            <w:shd w:val="clear" w:color="auto" w:fill="FFFFFF"/>
          </w:tcPr>
          <w:p w:rsidR="00415EED" w:rsidRPr="00D93846" w:rsidRDefault="00415EED" w:rsidP="00415EED">
            <w:pPr>
              <w:jc w:val="center"/>
              <w:rPr>
                <w:rFonts w:cs="Arial"/>
                <w:lang w:val="en-US"/>
              </w:rPr>
            </w:pPr>
            <w:r w:rsidRPr="00D93846">
              <w:rPr>
                <w:rFonts w:cs="Arial"/>
                <w:lang w:val="en-US"/>
              </w:rPr>
              <w:t>17</w:t>
            </w:r>
            <w:r w:rsidR="00D93846" w:rsidRPr="00D93846">
              <w:rPr>
                <w:rFonts w:cs="Arial"/>
                <w:lang w:val="en-US"/>
              </w:rPr>
              <w:t>.</w:t>
            </w:r>
            <w:r w:rsidRPr="00D93846">
              <w:rPr>
                <w:rFonts w:cs="Arial"/>
                <w:lang w:val="en-US"/>
              </w:rPr>
              <w:t>336</w:t>
            </w:r>
          </w:p>
        </w:tc>
      </w:tr>
      <w:tr w:rsidR="00D93846" w:rsidRPr="00D93846" w:rsidTr="00151272">
        <w:tc>
          <w:tcPr>
            <w:tcW w:w="784" w:type="dxa"/>
            <w:shd w:val="clear" w:color="auto" w:fill="FFFFFF"/>
          </w:tcPr>
          <w:p w:rsidR="00415EED" w:rsidRPr="00D93846" w:rsidRDefault="00415EED" w:rsidP="00415EED">
            <w:pPr>
              <w:jc w:val="center"/>
              <w:rPr>
                <w:rFonts w:cs="Arial"/>
              </w:rPr>
            </w:pPr>
            <w:r w:rsidRPr="00D93846">
              <w:rPr>
                <w:rFonts w:cs="Arial"/>
              </w:rPr>
              <w:t>5</w:t>
            </w:r>
          </w:p>
        </w:tc>
        <w:tc>
          <w:tcPr>
            <w:tcW w:w="1337" w:type="dxa"/>
            <w:shd w:val="clear" w:color="auto" w:fill="FFFFFF"/>
          </w:tcPr>
          <w:p w:rsidR="00415EED" w:rsidRPr="00D93846" w:rsidRDefault="00415EED" w:rsidP="00415EED">
            <w:pPr>
              <w:jc w:val="center"/>
              <w:rPr>
                <w:rFonts w:cs="Arial"/>
              </w:rPr>
            </w:pPr>
            <w:r w:rsidRPr="00D93846">
              <w:rPr>
                <w:rFonts w:cs="Arial"/>
              </w:rPr>
              <w:t>0</w:t>
            </w:r>
            <w:r w:rsidR="00D93846" w:rsidRPr="00D93846">
              <w:rPr>
                <w:rFonts w:cs="Arial"/>
              </w:rPr>
              <w:t>.</w:t>
            </w:r>
            <w:r w:rsidRPr="00D93846">
              <w:rPr>
                <w:rFonts w:cs="Arial"/>
              </w:rPr>
              <w:t>30</w:t>
            </w:r>
          </w:p>
        </w:tc>
        <w:tc>
          <w:tcPr>
            <w:tcW w:w="1314" w:type="dxa"/>
            <w:shd w:val="clear" w:color="auto" w:fill="FFFFFF"/>
          </w:tcPr>
          <w:p w:rsidR="00415EED" w:rsidRPr="00D93846" w:rsidRDefault="00415EED" w:rsidP="00415EED">
            <w:pPr>
              <w:jc w:val="center"/>
              <w:rPr>
                <w:rFonts w:cs="Arial"/>
              </w:rPr>
            </w:pPr>
            <w:r w:rsidRPr="00D93846">
              <w:rPr>
                <w:rFonts w:cs="Arial"/>
              </w:rPr>
              <w:t>6</w:t>
            </w:r>
            <w:r w:rsidR="00D93846" w:rsidRPr="00D93846">
              <w:rPr>
                <w:rFonts w:cs="Arial"/>
              </w:rPr>
              <w:t>.</w:t>
            </w:r>
            <w:r w:rsidRPr="00D93846">
              <w:rPr>
                <w:rFonts w:cs="Arial"/>
              </w:rPr>
              <w:t>8</w:t>
            </w:r>
          </w:p>
        </w:tc>
        <w:tc>
          <w:tcPr>
            <w:tcW w:w="2182" w:type="dxa"/>
            <w:shd w:val="clear" w:color="auto" w:fill="FFFFFF"/>
          </w:tcPr>
          <w:p w:rsidR="00415EED" w:rsidRPr="00D93846" w:rsidRDefault="00415EED" w:rsidP="00415EED">
            <w:pPr>
              <w:jc w:val="center"/>
              <w:rPr>
                <w:rFonts w:cs="Arial"/>
              </w:rPr>
            </w:pPr>
            <w:r w:rsidRPr="00D93846">
              <w:rPr>
                <w:rFonts w:cs="Arial"/>
              </w:rPr>
              <w:t>353</w:t>
            </w:r>
            <w:r w:rsidR="00D93846" w:rsidRPr="00D93846">
              <w:rPr>
                <w:rFonts w:cs="Arial"/>
              </w:rPr>
              <w:t>.</w:t>
            </w:r>
            <w:r w:rsidRPr="00D93846">
              <w:rPr>
                <w:rFonts w:cs="Arial"/>
              </w:rPr>
              <w:t>5</w:t>
            </w:r>
          </w:p>
        </w:tc>
        <w:tc>
          <w:tcPr>
            <w:tcW w:w="1014" w:type="dxa"/>
            <w:shd w:val="clear" w:color="auto" w:fill="FFFFFF"/>
          </w:tcPr>
          <w:p w:rsidR="00415EED" w:rsidRPr="00D93846" w:rsidRDefault="00415EED" w:rsidP="00415EED">
            <w:pPr>
              <w:jc w:val="center"/>
              <w:rPr>
                <w:rFonts w:cs="Arial"/>
              </w:rPr>
            </w:pPr>
            <w:r w:rsidRPr="00D93846">
              <w:rPr>
                <w:rFonts w:cs="Arial"/>
                <w:lang w:eastAsia="ru-RU"/>
              </w:rPr>
              <w:t>0.58</w:t>
            </w:r>
          </w:p>
        </w:tc>
        <w:tc>
          <w:tcPr>
            <w:tcW w:w="741" w:type="dxa"/>
            <w:shd w:val="clear" w:color="auto" w:fill="FFFFFF"/>
          </w:tcPr>
          <w:p w:rsidR="00415EED" w:rsidRPr="00D93846" w:rsidRDefault="00415EED" w:rsidP="00415EED">
            <w:pPr>
              <w:jc w:val="center"/>
              <w:rPr>
                <w:rFonts w:cs="Arial"/>
              </w:rPr>
            </w:pPr>
            <w:r w:rsidRPr="00D93846">
              <w:rPr>
                <w:rFonts w:cs="Arial"/>
              </w:rPr>
              <w:t>3</w:t>
            </w:r>
            <w:r w:rsidR="00D93846" w:rsidRPr="00D93846">
              <w:rPr>
                <w:rFonts w:cs="Arial"/>
              </w:rPr>
              <w:t>.</w:t>
            </w:r>
            <w:r w:rsidRPr="00D93846">
              <w:rPr>
                <w:rFonts w:cs="Arial"/>
              </w:rPr>
              <w:t>98</w:t>
            </w:r>
          </w:p>
        </w:tc>
        <w:tc>
          <w:tcPr>
            <w:tcW w:w="890" w:type="dxa"/>
            <w:shd w:val="clear" w:color="auto" w:fill="FFFFFF"/>
          </w:tcPr>
          <w:p w:rsidR="00415EED" w:rsidRPr="00D93846" w:rsidRDefault="00415EED" w:rsidP="00415EED">
            <w:pPr>
              <w:jc w:val="center"/>
              <w:rPr>
                <w:rFonts w:cs="Arial"/>
                <w:lang w:val="en-US"/>
              </w:rPr>
            </w:pPr>
            <w:r w:rsidRPr="00D93846">
              <w:rPr>
                <w:rFonts w:cs="Arial"/>
                <w:lang w:val="en-US"/>
              </w:rPr>
              <w:t>5</w:t>
            </w:r>
            <w:r w:rsidR="00D93846" w:rsidRPr="00D93846">
              <w:rPr>
                <w:rFonts w:cs="Arial"/>
                <w:lang w:val="en-US"/>
              </w:rPr>
              <w:t>.</w:t>
            </w:r>
            <w:r w:rsidRPr="00D93846">
              <w:rPr>
                <w:rFonts w:cs="Arial"/>
                <w:lang w:val="en-US"/>
              </w:rPr>
              <w:t>888</w:t>
            </w:r>
          </w:p>
        </w:tc>
      </w:tr>
    </w:tbl>
    <w:p w:rsidR="007140C1" w:rsidRPr="00166019" w:rsidRDefault="007140C1" w:rsidP="007140C1">
      <w:pPr>
        <w:pStyle w:val="CETHeading1"/>
        <w:tabs>
          <w:tab w:val="clear" w:pos="360"/>
          <w:tab w:val="right" w:pos="7100"/>
        </w:tabs>
        <w:jc w:val="both"/>
        <w:rPr>
          <w:lang w:val="ru-RU"/>
        </w:rPr>
      </w:pPr>
      <w:r>
        <w:rPr>
          <w:lang w:val="en-GB"/>
        </w:rPr>
        <w:t>Conclusions</w:t>
      </w:r>
    </w:p>
    <w:p w:rsidR="007140C1" w:rsidRDefault="007140C1" w:rsidP="007140C1">
      <w:pPr>
        <w:pStyle w:val="CETBodytext"/>
        <w:rPr>
          <w:lang w:val="en-GB"/>
        </w:rPr>
      </w:pPr>
      <w:r w:rsidRPr="007140C1">
        <w:rPr>
          <w:lang w:val="en-GB"/>
        </w:rPr>
        <w:t xml:space="preserve">We have obtained a graphite-like structure of a residue that does not contain catalytic components. After exposure to microwave irradiation, it is characterized by an underdeveloped porous structure, consisting mainly of </w:t>
      </w:r>
      <w:proofErr w:type="spellStart"/>
      <w:r w:rsidRPr="007140C1">
        <w:rPr>
          <w:lang w:val="en-GB"/>
        </w:rPr>
        <w:t>mesopores</w:t>
      </w:r>
      <w:proofErr w:type="spellEnd"/>
      <w:r w:rsidRPr="007140C1">
        <w:rPr>
          <w:lang w:val="en-GB"/>
        </w:rPr>
        <w:t xml:space="preserve"> with an average size of 80A.</w:t>
      </w:r>
      <w:r>
        <w:rPr>
          <w:lang w:val="en-GB"/>
        </w:rPr>
        <w:t xml:space="preserve"> </w:t>
      </w:r>
      <w:r w:rsidRPr="007140C1">
        <w:rPr>
          <w:lang w:val="en-GB"/>
        </w:rPr>
        <w:t xml:space="preserve">Etching with melange (aqua </w:t>
      </w:r>
      <w:proofErr w:type="spellStart"/>
      <w:r w:rsidRPr="007140C1">
        <w:rPr>
          <w:lang w:val="en-GB"/>
        </w:rPr>
        <w:t>regia</w:t>
      </w:r>
      <w:proofErr w:type="spellEnd"/>
      <w:r w:rsidRPr="007140C1">
        <w:rPr>
          <w:lang w:val="en-GB"/>
        </w:rPr>
        <w:t>) leads to an increase in pore volume with wide size distribution.</w:t>
      </w:r>
      <w:r>
        <w:rPr>
          <w:lang w:val="en-GB"/>
        </w:rPr>
        <w:t xml:space="preserve"> </w:t>
      </w:r>
      <w:r w:rsidRPr="007140C1">
        <w:rPr>
          <w:lang w:val="en-GB"/>
        </w:rPr>
        <w:t>The thermal shock of a sample containing adsorbed NH</w:t>
      </w:r>
      <w:r w:rsidRPr="007140C1">
        <w:rPr>
          <w:vertAlign w:val="subscript"/>
          <w:lang w:val="en-GB"/>
        </w:rPr>
        <w:t>4</w:t>
      </w:r>
      <w:r w:rsidRPr="007140C1">
        <w:rPr>
          <w:lang w:val="en-GB"/>
        </w:rPr>
        <w:t xml:space="preserve">OH leads to an increase in the adsorption volume of </w:t>
      </w:r>
      <w:proofErr w:type="spellStart"/>
      <w:r w:rsidRPr="007140C1">
        <w:rPr>
          <w:lang w:val="en-GB"/>
        </w:rPr>
        <w:t>micropores</w:t>
      </w:r>
      <w:proofErr w:type="spellEnd"/>
      <w:r w:rsidRPr="007140C1">
        <w:rPr>
          <w:lang w:val="en-GB"/>
        </w:rPr>
        <w:t>, mainly in the region of 5</w:t>
      </w:r>
      <w:r>
        <w:rPr>
          <w:lang w:val="en-GB"/>
        </w:rPr>
        <w:t>.</w:t>
      </w:r>
      <w:r w:rsidRPr="007140C1">
        <w:rPr>
          <w:lang w:val="en-GB"/>
        </w:rPr>
        <w:t xml:space="preserve">8A. By the nature of the pore size distribution, it can be assumed that the initial graphite-like structure formed after the transformation of metal-containing lignin, stimulated by microwave radiation, already contains pores in the region of small pores with a size of 0.8 nm. Treatment of the residue by acid etching followed by thermal shock leads to the development of a porous structure in the region of small pores with a size of 0.5–0.8 nm and a decrease in the total volume of </w:t>
      </w:r>
      <w:proofErr w:type="spellStart"/>
      <w:r w:rsidRPr="007140C1">
        <w:rPr>
          <w:lang w:val="en-GB"/>
        </w:rPr>
        <w:t>mesopores</w:t>
      </w:r>
      <w:proofErr w:type="spellEnd"/>
      <w:r w:rsidRPr="007140C1">
        <w:rPr>
          <w:lang w:val="en-GB"/>
        </w:rPr>
        <w:t>. In order to obtain a highly porous structure based on a graphite-like residue, the most promising direction is the combination of etching with dilute acids followed by short-term heat treatment.</w:t>
      </w:r>
    </w:p>
    <w:p w:rsidR="00600535" w:rsidRPr="00B57B36" w:rsidRDefault="00600535" w:rsidP="00600535">
      <w:pPr>
        <w:pStyle w:val="CETAcknowledgementstitle"/>
      </w:pPr>
      <w:r w:rsidRPr="00B57B36">
        <w:t>Acknowledgments</w:t>
      </w:r>
    </w:p>
    <w:p w:rsidR="00600535" w:rsidRPr="00B57B36" w:rsidRDefault="00101C4E" w:rsidP="00101C4E">
      <w:pPr>
        <w:pStyle w:val="CETBodytext"/>
        <w:rPr>
          <w:lang w:val="en-GB"/>
        </w:rPr>
      </w:pPr>
      <w:r w:rsidRPr="00101C4E">
        <w:rPr>
          <w:lang w:val="en-GB"/>
        </w:rPr>
        <w:t>This work was done with the financial support of the Ministry of Science and Higher Education of the Russian Federation for the project part of the State Task (Subsidy Agreement no. 14.613.21.0073 of October 23, 2017, unique number: RFMEFI61317X0073).</w:t>
      </w:r>
    </w:p>
    <w:p w:rsidR="00600535" w:rsidRPr="00B57B36" w:rsidRDefault="00600535" w:rsidP="00600535">
      <w:pPr>
        <w:pStyle w:val="CETReference"/>
      </w:pPr>
      <w:r w:rsidRPr="00B57B36">
        <w:t>References</w:t>
      </w:r>
    </w:p>
    <w:p w:rsidR="00AB6A87" w:rsidRPr="00990135" w:rsidRDefault="00855222" w:rsidP="00C5084C">
      <w:pPr>
        <w:pStyle w:val="CETReferencetext"/>
      </w:pPr>
      <w:proofErr w:type="spellStart"/>
      <w:r w:rsidRPr="00990135">
        <w:rPr>
          <w:rFonts w:cs="Arial"/>
          <w:sz w:val="20"/>
          <w:shd w:val="clear" w:color="auto" w:fill="FFFFFF"/>
        </w:rPr>
        <w:t>Arapova</w:t>
      </w:r>
      <w:proofErr w:type="spellEnd"/>
      <w:r w:rsidRPr="00990135">
        <w:rPr>
          <w:rFonts w:cs="Arial"/>
          <w:sz w:val="20"/>
          <w:shd w:val="clear" w:color="auto" w:fill="FFFFFF"/>
        </w:rPr>
        <w:t xml:space="preserve"> O.V., </w:t>
      </w:r>
      <w:proofErr w:type="spellStart"/>
      <w:r w:rsidRPr="00990135">
        <w:rPr>
          <w:rFonts w:cs="Arial"/>
          <w:sz w:val="20"/>
          <w:shd w:val="clear" w:color="auto" w:fill="FFFFFF"/>
        </w:rPr>
        <w:t>Tsodikov</w:t>
      </w:r>
      <w:proofErr w:type="spellEnd"/>
      <w:r w:rsidRPr="00990135">
        <w:rPr>
          <w:rFonts w:cs="Arial"/>
          <w:sz w:val="20"/>
          <w:shd w:val="clear" w:color="auto" w:fill="FFFFFF"/>
        </w:rPr>
        <w:t xml:space="preserve"> M.V., </w:t>
      </w:r>
      <w:proofErr w:type="spellStart"/>
      <w:r w:rsidRPr="00990135">
        <w:rPr>
          <w:rFonts w:cs="Arial"/>
          <w:sz w:val="20"/>
          <w:shd w:val="clear" w:color="auto" w:fill="FFFFFF"/>
        </w:rPr>
        <w:t>Chistyakov</w:t>
      </w:r>
      <w:proofErr w:type="spellEnd"/>
      <w:r w:rsidRPr="00990135">
        <w:rPr>
          <w:rFonts w:cs="Arial"/>
          <w:sz w:val="20"/>
          <w:shd w:val="clear" w:color="auto" w:fill="FFFFFF"/>
        </w:rPr>
        <w:t xml:space="preserve"> A.V., </w:t>
      </w:r>
      <w:proofErr w:type="spellStart"/>
      <w:r w:rsidRPr="00990135">
        <w:rPr>
          <w:rFonts w:cs="Arial"/>
          <w:sz w:val="20"/>
          <w:shd w:val="clear" w:color="auto" w:fill="FFFFFF"/>
        </w:rPr>
        <w:t>Konstantinov</w:t>
      </w:r>
      <w:proofErr w:type="spellEnd"/>
      <w:r w:rsidRPr="00990135">
        <w:rPr>
          <w:rFonts w:cs="Arial"/>
          <w:sz w:val="20"/>
          <w:shd w:val="clear" w:color="auto" w:fill="FFFFFF"/>
        </w:rPr>
        <w:t xml:space="preserve"> G.I., 2017, Dry Reforming of Kraft Lignin under MWI Action, </w:t>
      </w:r>
      <w:r w:rsidRPr="00990135">
        <w:rPr>
          <w:rFonts w:cs="Arial"/>
          <w:i/>
          <w:iCs/>
          <w:sz w:val="20"/>
          <w:shd w:val="clear" w:color="auto" w:fill="FFFFFF"/>
        </w:rPr>
        <w:t>Chemical Engineering Transactions</w:t>
      </w:r>
      <w:r w:rsidRPr="00990135">
        <w:rPr>
          <w:rFonts w:cs="Arial"/>
          <w:sz w:val="20"/>
          <w:shd w:val="clear" w:color="auto" w:fill="FFFFFF"/>
        </w:rPr>
        <w:t>, </w:t>
      </w:r>
      <w:r w:rsidRPr="00990135">
        <w:rPr>
          <w:rFonts w:cs="Arial"/>
          <w:i/>
          <w:iCs/>
          <w:sz w:val="20"/>
          <w:shd w:val="clear" w:color="auto" w:fill="FFFFFF"/>
        </w:rPr>
        <w:t>57</w:t>
      </w:r>
      <w:r w:rsidRPr="00990135">
        <w:rPr>
          <w:rFonts w:cs="Arial"/>
          <w:sz w:val="20"/>
          <w:shd w:val="clear" w:color="auto" w:fill="FFFFFF"/>
        </w:rPr>
        <w:t>, 223-228.</w:t>
      </w:r>
    </w:p>
    <w:p w:rsidR="00F16F62" w:rsidRPr="00990135" w:rsidRDefault="00F16F62" w:rsidP="00F16F62">
      <w:pPr>
        <w:pStyle w:val="CETReferencetext"/>
      </w:pPr>
      <w:r w:rsidRPr="00990135">
        <w:rPr>
          <w:rFonts w:cs="Arial"/>
          <w:sz w:val="20"/>
          <w:shd w:val="clear" w:color="auto" w:fill="FFFFFF"/>
          <w:lang w:val="en-US"/>
        </w:rPr>
        <w:t xml:space="preserve">Ferrari A. C., 2007, Raman Spectroscopy Of </w:t>
      </w:r>
      <w:proofErr w:type="spellStart"/>
      <w:r w:rsidRPr="00990135">
        <w:rPr>
          <w:rFonts w:cs="Arial"/>
          <w:sz w:val="20"/>
          <w:shd w:val="clear" w:color="auto" w:fill="FFFFFF"/>
          <w:lang w:val="en-US"/>
        </w:rPr>
        <w:t>Graphene</w:t>
      </w:r>
      <w:proofErr w:type="spellEnd"/>
      <w:r w:rsidRPr="00990135">
        <w:rPr>
          <w:rFonts w:cs="Arial"/>
          <w:sz w:val="20"/>
          <w:shd w:val="clear" w:color="auto" w:fill="FFFFFF"/>
          <w:lang w:val="en-US"/>
        </w:rPr>
        <w:t xml:space="preserve"> And Graphite: Disorder, Electron–Phonon Coupling, Doping And </w:t>
      </w:r>
      <w:proofErr w:type="spellStart"/>
      <w:r w:rsidRPr="00990135">
        <w:rPr>
          <w:rFonts w:cs="Arial"/>
          <w:sz w:val="20"/>
          <w:shd w:val="clear" w:color="auto" w:fill="FFFFFF"/>
          <w:lang w:val="en-US"/>
        </w:rPr>
        <w:t>Nonadiabatic</w:t>
      </w:r>
      <w:proofErr w:type="spellEnd"/>
      <w:r w:rsidRPr="00990135">
        <w:rPr>
          <w:rFonts w:cs="Arial"/>
          <w:sz w:val="20"/>
          <w:shd w:val="clear" w:color="auto" w:fill="FFFFFF"/>
          <w:lang w:val="en-US"/>
        </w:rPr>
        <w:t xml:space="preserve"> Effects, </w:t>
      </w:r>
      <w:r w:rsidRPr="00990135">
        <w:rPr>
          <w:rFonts w:cs="Arial"/>
          <w:i/>
          <w:iCs/>
          <w:sz w:val="20"/>
          <w:shd w:val="clear" w:color="auto" w:fill="FFFFFF"/>
        </w:rPr>
        <w:t>Solid state communications</w:t>
      </w:r>
      <w:r w:rsidRPr="00990135">
        <w:rPr>
          <w:rFonts w:cs="Arial"/>
          <w:sz w:val="20"/>
          <w:shd w:val="clear" w:color="auto" w:fill="FFFFFF"/>
        </w:rPr>
        <w:t>, </w:t>
      </w:r>
      <w:r w:rsidRPr="00990135">
        <w:rPr>
          <w:rFonts w:cs="Arial"/>
          <w:i/>
          <w:iCs/>
          <w:sz w:val="20"/>
          <w:shd w:val="clear" w:color="auto" w:fill="FFFFFF"/>
        </w:rPr>
        <w:t>143</w:t>
      </w:r>
      <w:r w:rsidRPr="00990135">
        <w:rPr>
          <w:rFonts w:cs="Arial"/>
          <w:sz w:val="20"/>
          <w:shd w:val="clear" w:color="auto" w:fill="FFFFFF"/>
        </w:rPr>
        <w:t>, 47-57.</w:t>
      </w:r>
    </w:p>
    <w:p w:rsidR="00F16F62" w:rsidRPr="00990135" w:rsidRDefault="00F16F62" w:rsidP="00F16F62">
      <w:pPr>
        <w:pStyle w:val="CETReferencetext"/>
        <w:rPr>
          <w:lang w:val="en-US"/>
        </w:rPr>
      </w:pPr>
      <w:r w:rsidRPr="00990135">
        <w:rPr>
          <w:rFonts w:cs="Arial"/>
          <w:sz w:val="20"/>
          <w:shd w:val="clear" w:color="auto" w:fill="FFFFFF"/>
        </w:rPr>
        <w:t xml:space="preserve">Gregg S.J., Sing K.S. W., 1982, Adsorption, Surface Area </w:t>
      </w:r>
      <w:proofErr w:type="gramStart"/>
      <w:r w:rsidRPr="00990135">
        <w:rPr>
          <w:rFonts w:cs="Arial"/>
          <w:sz w:val="20"/>
          <w:shd w:val="clear" w:color="auto" w:fill="FFFFFF"/>
        </w:rPr>
        <w:t>And</w:t>
      </w:r>
      <w:proofErr w:type="gramEnd"/>
      <w:r w:rsidRPr="00990135">
        <w:rPr>
          <w:rFonts w:cs="Arial"/>
          <w:sz w:val="20"/>
          <w:shd w:val="clear" w:color="auto" w:fill="FFFFFF"/>
        </w:rPr>
        <w:t xml:space="preserve"> Porosity. </w:t>
      </w:r>
      <w:r w:rsidRPr="00990135">
        <w:rPr>
          <w:rFonts w:cs="Arial"/>
          <w:i/>
          <w:iCs/>
          <w:sz w:val="20"/>
          <w:shd w:val="clear" w:color="auto" w:fill="FFFFFF"/>
        </w:rPr>
        <w:t>Academic</w:t>
      </w:r>
      <w:r w:rsidRPr="00990135">
        <w:rPr>
          <w:rFonts w:cs="Arial"/>
          <w:i/>
          <w:iCs/>
          <w:sz w:val="20"/>
          <w:shd w:val="clear" w:color="auto" w:fill="FFFFFF"/>
          <w:lang w:val="en-US"/>
        </w:rPr>
        <w:t xml:space="preserve"> </w:t>
      </w:r>
      <w:r w:rsidRPr="00990135">
        <w:rPr>
          <w:rFonts w:cs="Arial"/>
          <w:i/>
          <w:iCs/>
          <w:sz w:val="20"/>
          <w:shd w:val="clear" w:color="auto" w:fill="FFFFFF"/>
        </w:rPr>
        <w:t>Press</w:t>
      </w:r>
      <w:r w:rsidRPr="00990135">
        <w:rPr>
          <w:rFonts w:cs="Arial"/>
          <w:i/>
          <w:iCs/>
          <w:sz w:val="20"/>
          <w:shd w:val="clear" w:color="auto" w:fill="FFFFFF"/>
          <w:lang w:val="en-US"/>
        </w:rPr>
        <w:t xml:space="preserve"> </w:t>
      </w:r>
      <w:r w:rsidRPr="00990135">
        <w:rPr>
          <w:rFonts w:cs="Arial"/>
          <w:i/>
          <w:iCs/>
          <w:sz w:val="20"/>
          <w:shd w:val="clear" w:color="auto" w:fill="FFFFFF"/>
        </w:rPr>
        <w:t>Inc</w:t>
      </w:r>
      <w:r w:rsidRPr="00990135">
        <w:rPr>
          <w:rFonts w:cs="Arial"/>
          <w:i/>
          <w:iCs/>
          <w:sz w:val="20"/>
          <w:shd w:val="clear" w:color="auto" w:fill="FFFFFF"/>
          <w:lang w:val="en-US"/>
        </w:rPr>
        <w:t>., London</w:t>
      </w:r>
      <w:r w:rsidRPr="00990135">
        <w:rPr>
          <w:rFonts w:cs="Arial"/>
          <w:sz w:val="20"/>
          <w:shd w:val="clear" w:color="auto" w:fill="FFFFFF"/>
          <w:lang w:val="en-US"/>
        </w:rPr>
        <w:t>.</w:t>
      </w:r>
    </w:p>
    <w:p w:rsidR="00987627" w:rsidRPr="00990135" w:rsidRDefault="00987627" w:rsidP="00C5084C">
      <w:pPr>
        <w:pStyle w:val="CETReferencetext"/>
      </w:pPr>
      <w:proofErr w:type="spellStart"/>
      <w:r w:rsidRPr="00990135">
        <w:rPr>
          <w:rFonts w:cs="Arial"/>
          <w:sz w:val="20"/>
          <w:shd w:val="clear" w:color="auto" w:fill="FFFFFF"/>
          <w:lang w:val="en-US"/>
        </w:rPr>
        <w:t>Tsodikov</w:t>
      </w:r>
      <w:proofErr w:type="spellEnd"/>
      <w:r w:rsidRPr="00990135">
        <w:rPr>
          <w:rFonts w:cs="Arial"/>
          <w:sz w:val="20"/>
          <w:shd w:val="clear" w:color="auto" w:fill="FFFFFF"/>
          <w:lang w:val="en-US"/>
        </w:rPr>
        <w:t xml:space="preserve"> M.V., </w:t>
      </w:r>
      <w:proofErr w:type="spellStart"/>
      <w:r w:rsidRPr="00990135">
        <w:rPr>
          <w:rFonts w:cs="Arial"/>
          <w:sz w:val="20"/>
          <w:shd w:val="clear" w:color="auto" w:fill="FFFFFF"/>
          <w:lang w:val="en-US"/>
        </w:rPr>
        <w:t>Ellert</w:t>
      </w:r>
      <w:proofErr w:type="spellEnd"/>
      <w:r w:rsidR="00855222" w:rsidRPr="00990135">
        <w:rPr>
          <w:rFonts w:cs="Arial"/>
          <w:sz w:val="20"/>
          <w:shd w:val="clear" w:color="auto" w:fill="FFFFFF"/>
          <w:lang w:val="en-US"/>
        </w:rPr>
        <w:t xml:space="preserve"> O.</w:t>
      </w:r>
      <w:r w:rsidRPr="00990135">
        <w:rPr>
          <w:rFonts w:cs="Arial"/>
          <w:sz w:val="20"/>
          <w:shd w:val="clear" w:color="auto" w:fill="FFFFFF"/>
          <w:lang w:val="en-US"/>
        </w:rPr>
        <w:t xml:space="preserve">G., </w:t>
      </w:r>
      <w:proofErr w:type="spellStart"/>
      <w:r w:rsidRPr="00990135">
        <w:rPr>
          <w:rFonts w:cs="Arial"/>
          <w:sz w:val="20"/>
          <w:shd w:val="clear" w:color="auto" w:fill="FFFFFF"/>
          <w:lang w:val="en-US"/>
        </w:rPr>
        <w:t>Nikolaev</w:t>
      </w:r>
      <w:proofErr w:type="spellEnd"/>
      <w:r w:rsidR="00855222" w:rsidRPr="00990135">
        <w:rPr>
          <w:rFonts w:cs="Arial"/>
          <w:sz w:val="20"/>
          <w:shd w:val="clear" w:color="auto" w:fill="FFFFFF"/>
          <w:lang w:val="en-US"/>
        </w:rPr>
        <w:t xml:space="preserve"> S.</w:t>
      </w:r>
      <w:r w:rsidRPr="00990135">
        <w:rPr>
          <w:rFonts w:cs="Arial"/>
          <w:sz w:val="20"/>
          <w:shd w:val="clear" w:color="auto" w:fill="FFFFFF"/>
          <w:lang w:val="en-US"/>
        </w:rPr>
        <w:t xml:space="preserve">A., </w:t>
      </w:r>
      <w:proofErr w:type="spellStart"/>
      <w:r w:rsidRPr="00990135">
        <w:rPr>
          <w:rFonts w:cs="Arial"/>
          <w:sz w:val="20"/>
          <w:shd w:val="clear" w:color="auto" w:fill="FFFFFF"/>
          <w:lang w:val="en-US"/>
        </w:rPr>
        <w:t>Arapova</w:t>
      </w:r>
      <w:proofErr w:type="spellEnd"/>
      <w:r w:rsidR="00855222" w:rsidRPr="00990135">
        <w:rPr>
          <w:rFonts w:cs="Arial"/>
          <w:sz w:val="20"/>
          <w:shd w:val="clear" w:color="auto" w:fill="FFFFFF"/>
          <w:lang w:val="en-US"/>
        </w:rPr>
        <w:t xml:space="preserve"> O.</w:t>
      </w:r>
      <w:r w:rsidRPr="00990135">
        <w:rPr>
          <w:rFonts w:cs="Arial"/>
          <w:sz w:val="20"/>
          <w:shd w:val="clear" w:color="auto" w:fill="FFFFFF"/>
          <w:lang w:val="en-US"/>
        </w:rPr>
        <w:t xml:space="preserve">V., </w:t>
      </w:r>
      <w:proofErr w:type="spellStart"/>
      <w:r w:rsidRPr="00990135">
        <w:rPr>
          <w:rFonts w:cs="Arial"/>
          <w:sz w:val="20"/>
          <w:shd w:val="clear" w:color="auto" w:fill="FFFFFF"/>
          <w:lang w:val="en-US"/>
        </w:rPr>
        <w:t>Konst</w:t>
      </w:r>
      <w:r w:rsidR="00855222" w:rsidRPr="00990135">
        <w:rPr>
          <w:rFonts w:cs="Arial"/>
          <w:sz w:val="20"/>
          <w:shd w:val="clear" w:color="auto" w:fill="FFFFFF"/>
          <w:lang w:val="en-US"/>
        </w:rPr>
        <w:t>antinov</w:t>
      </w:r>
      <w:proofErr w:type="spellEnd"/>
      <w:r w:rsidRPr="00990135">
        <w:rPr>
          <w:rFonts w:cs="Arial"/>
          <w:sz w:val="20"/>
          <w:shd w:val="clear" w:color="auto" w:fill="FFFFFF"/>
          <w:lang w:val="en-US"/>
        </w:rPr>
        <w:t xml:space="preserve"> G.</w:t>
      </w:r>
      <w:r w:rsidR="00855222" w:rsidRPr="00990135">
        <w:rPr>
          <w:rFonts w:cs="Arial"/>
          <w:sz w:val="20"/>
          <w:shd w:val="clear" w:color="auto" w:fill="FFFFFF"/>
          <w:lang w:val="en-US"/>
        </w:rPr>
        <w:t xml:space="preserve">I., </w:t>
      </w:r>
      <w:proofErr w:type="spellStart"/>
      <w:r w:rsidR="00855222" w:rsidRPr="00990135">
        <w:rPr>
          <w:rFonts w:cs="Arial"/>
          <w:sz w:val="20"/>
          <w:shd w:val="clear" w:color="auto" w:fill="FFFFFF"/>
          <w:lang w:val="en-US"/>
        </w:rPr>
        <w:t>Bukhtenko</w:t>
      </w:r>
      <w:proofErr w:type="spellEnd"/>
      <w:r w:rsidR="00855222" w:rsidRPr="00990135">
        <w:rPr>
          <w:rFonts w:cs="Arial"/>
          <w:sz w:val="20"/>
          <w:shd w:val="clear" w:color="auto" w:fill="FFFFFF"/>
          <w:lang w:val="en-US"/>
        </w:rPr>
        <w:t xml:space="preserve"> O.</w:t>
      </w:r>
      <w:r w:rsidRPr="00990135">
        <w:rPr>
          <w:rFonts w:cs="Arial"/>
          <w:sz w:val="20"/>
          <w:shd w:val="clear" w:color="auto" w:fill="FFFFFF"/>
          <w:lang w:val="en-US"/>
        </w:rPr>
        <w:t xml:space="preserve">V., </w:t>
      </w:r>
      <w:proofErr w:type="spellStart"/>
      <w:r w:rsidR="00855222" w:rsidRPr="00990135">
        <w:rPr>
          <w:rFonts w:cs="Arial"/>
          <w:sz w:val="20"/>
          <w:shd w:val="clear" w:color="auto" w:fill="FFFFFF"/>
          <w:lang w:val="en-US"/>
        </w:rPr>
        <w:t>Vasil’kov</w:t>
      </w:r>
      <w:proofErr w:type="spellEnd"/>
      <w:r w:rsidR="00855222" w:rsidRPr="00990135">
        <w:rPr>
          <w:rFonts w:cs="Arial"/>
          <w:sz w:val="20"/>
          <w:shd w:val="clear" w:color="auto" w:fill="FFFFFF"/>
          <w:lang w:val="en-US"/>
        </w:rPr>
        <w:t xml:space="preserve"> A.</w:t>
      </w:r>
      <w:r w:rsidRPr="00990135">
        <w:rPr>
          <w:rFonts w:cs="Arial"/>
          <w:sz w:val="20"/>
          <w:shd w:val="clear" w:color="auto" w:fill="FFFFFF"/>
          <w:lang w:val="en-US"/>
        </w:rPr>
        <w:t>Y.</w:t>
      </w:r>
      <w:r w:rsidR="00855222" w:rsidRPr="00990135">
        <w:rPr>
          <w:rFonts w:cs="Arial"/>
          <w:sz w:val="20"/>
          <w:shd w:val="clear" w:color="auto" w:fill="FFFFFF"/>
          <w:lang w:val="en-US"/>
        </w:rPr>
        <w:t>,</w:t>
      </w:r>
      <w:r w:rsidRPr="00990135">
        <w:rPr>
          <w:rFonts w:cs="Arial"/>
          <w:sz w:val="20"/>
          <w:shd w:val="clear" w:color="auto" w:fill="FFFFFF"/>
          <w:lang w:val="en-US"/>
        </w:rPr>
        <w:t xml:space="preserve"> 2017</w:t>
      </w:r>
      <w:r w:rsidR="00855222" w:rsidRPr="00990135">
        <w:rPr>
          <w:rFonts w:cs="Arial"/>
          <w:sz w:val="20"/>
          <w:shd w:val="clear" w:color="auto" w:fill="FFFFFF"/>
          <w:lang w:val="en-US"/>
        </w:rPr>
        <w:t>,</w:t>
      </w:r>
      <w:r w:rsidRPr="00990135">
        <w:rPr>
          <w:rFonts w:cs="Arial"/>
          <w:sz w:val="20"/>
          <w:shd w:val="clear" w:color="auto" w:fill="FFFFFF"/>
          <w:lang w:val="en-US"/>
        </w:rPr>
        <w:t xml:space="preserve"> The </w:t>
      </w:r>
      <w:r w:rsidR="00855222" w:rsidRPr="00990135">
        <w:rPr>
          <w:rFonts w:cs="Arial"/>
          <w:sz w:val="20"/>
          <w:shd w:val="clear" w:color="auto" w:fill="FFFFFF"/>
          <w:lang w:val="en-US"/>
        </w:rPr>
        <w:t xml:space="preserve">Role Of </w:t>
      </w:r>
      <w:proofErr w:type="spellStart"/>
      <w:r w:rsidR="00855222" w:rsidRPr="00990135">
        <w:rPr>
          <w:rFonts w:cs="Arial"/>
          <w:sz w:val="20"/>
          <w:shd w:val="clear" w:color="auto" w:fill="FFFFFF"/>
          <w:lang w:val="en-US"/>
        </w:rPr>
        <w:t>Nanosized</w:t>
      </w:r>
      <w:proofErr w:type="spellEnd"/>
      <w:r w:rsidR="00855222" w:rsidRPr="00990135">
        <w:rPr>
          <w:rFonts w:cs="Arial"/>
          <w:sz w:val="20"/>
          <w:shd w:val="clear" w:color="auto" w:fill="FFFFFF"/>
          <w:lang w:val="en-US"/>
        </w:rPr>
        <w:t xml:space="preserve"> Nickel Particles In Microwave-Assisted Dry Reforming Of Lignin,</w:t>
      </w:r>
      <w:r w:rsidRPr="00990135">
        <w:rPr>
          <w:rFonts w:cs="Arial"/>
          <w:sz w:val="20"/>
          <w:shd w:val="clear" w:color="auto" w:fill="FFFFFF"/>
          <w:lang w:val="en-US"/>
        </w:rPr>
        <w:t> </w:t>
      </w:r>
      <w:r w:rsidRPr="00990135">
        <w:rPr>
          <w:rFonts w:cs="Arial"/>
          <w:i/>
          <w:iCs/>
          <w:sz w:val="20"/>
          <w:shd w:val="clear" w:color="auto" w:fill="FFFFFF"/>
        </w:rPr>
        <w:t>Chemical Engineering Journal</w:t>
      </w:r>
      <w:r w:rsidRPr="00990135">
        <w:rPr>
          <w:rFonts w:cs="Arial"/>
          <w:sz w:val="20"/>
          <w:shd w:val="clear" w:color="auto" w:fill="FFFFFF"/>
        </w:rPr>
        <w:t>, </w:t>
      </w:r>
      <w:r w:rsidRPr="00990135">
        <w:rPr>
          <w:rFonts w:cs="Arial"/>
          <w:i/>
          <w:iCs/>
          <w:sz w:val="20"/>
          <w:shd w:val="clear" w:color="auto" w:fill="FFFFFF"/>
        </w:rPr>
        <w:t>309</w:t>
      </w:r>
      <w:r w:rsidRPr="00990135">
        <w:rPr>
          <w:rFonts w:cs="Arial"/>
          <w:sz w:val="20"/>
          <w:shd w:val="clear" w:color="auto" w:fill="FFFFFF"/>
        </w:rPr>
        <w:t>, 628-637.</w:t>
      </w:r>
    </w:p>
    <w:p w:rsidR="009F72A4" w:rsidRPr="00990135" w:rsidRDefault="00855222" w:rsidP="00C5084C">
      <w:pPr>
        <w:pStyle w:val="CETReferencetext"/>
      </w:pPr>
      <w:proofErr w:type="spellStart"/>
      <w:r w:rsidRPr="00990135">
        <w:rPr>
          <w:rFonts w:cs="Arial"/>
          <w:sz w:val="20"/>
          <w:shd w:val="clear" w:color="auto" w:fill="FFFFFF"/>
          <w:lang w:val="en-US"/>
        </w:rPr>
        <w:t>Tsodikov</w:t>
      </w:r>
      <w:proofErr w:type="spellEnd"/>
      <w:r w:rsidRPr="00990135">
        <w:rPr>
          <w:rFonts w:cs="Arial"/>
          <w:sz w:val="20"/>
          <w:shd w:val="clear" w:color="auto" w:fill="FFFFFF"/>
          <w:lang w:val="en-US"/>
        </w:rPr>
        <w:t xml:space="preserve"> M.</w:t>
      </w:r>
      <w:r w:rsidR="009F72A4" w:rsidRPr="00990135">
        <w:rPr>
          <w:rFonts w:cs="Arial"/>
          <w:sz w:val="20"/>
          <w:shd w:val="clear" w:color="auto" w:fill="FFFFFF"/>
          <w:lang w:val="en-US"/>
        </w:rPr>
        <w:t xml:space="preserve">V., </w:t>
      </w:r>
      <w:proofErr w:type="spellStart"/>
      <w:r w:rsidR="009F72A4" w:rsidRPr="00990135">
        <w:rPr>
          <w:rFonts w:cs="Arial"/>
          <w:sz w:val="20"/>
          <w:shd w:val="clear" w:color="auto" w:fill="FFFFFF"/>
          <w:lang w:val="en-US"/>
        </w:rPr>
        <w:t>Ellert</w:t>
      </w:r>
      <w:proofErr w:type="spellEnd"/>
      <w:r w:rsidR="009F72A4" w:rsidRPr="00990135">
        <w:rPr>
          <w:rFonts w:cs="Arial"/>
          <w:sz w:val="20"/>
          <w:shd w:val="clear" w:color="auto" w:fill="FFFFFF"/>
          <w:lang w:val="en-US"/>
        </w:rPr>
        <w:t xml:space="preserve"> O.G., </w:t>
      </w:r>
      <w:proofErr w:type="spellStart"/>
      <w:r w:rsidR="009F72A4" w:rsidRPr="00990135">
        <w:rPr>
          <w:rFonts w:cs="Arial"/>
          <w:sz w:val="20"/>
          <w:shd w:val="clear" w:color="auto" w:fill="FFFFFF"/>
          <w:lang w:val="en-US"/>
        </w:rPr>
        <w:t>Nikolaev</w:t>
      </w:r>
      <w:proofErr w:type="spellEnd"/>
      <w:r w:rsidR="009F72A4" w:rsidRPr="00990135">
        <w:rPr>
          <w:rFonts w:cs="Arial"/>
          <w:sz w:val="20"/>
          <w:shd w:val="clear" w:color="auto" w:fill="FFFFFF"/>
          <w:lang w:val="en-US"/>
        </w:rPr>
        <w:t xml:space="preserve">, S.A., </w:t>
      </w:r>
      <w:proofErr w:type="spellStart"/>
      <w:r w:rsidR="009F72A4" w:rsidRPr="00990135">
        <w:rPr>
          <w:rFonts w:cs="Arial"/>
          <w:sz w:val="20"/>
          <w:shd w:val="clear" w:color="auto" w:fill="FFFFFF"/>
          <w:lang w:val="en-US"/>
        </w:rPr>
        <w:t>Arapova</w:t>
      </w:r>
      <w:proofErr w:type="spellEnd"/>
      <w:r w:rsidRPr="00990135">
        <w:rPr>
          <w:rFonts w:cs="Arial"/>
          <w:sz w:val="20"/>
          <w:shd w:val="clear" w:color="auto" w:fill="FFFFFF"/>
          <w:lang w:val="en-US"/>
        </w:rPr>
        <w:t xml:space="preserve"> O.</w:t>
      </w:r>
      <w:r w:rsidR="009F72A4" w:rsidRPr="00990135">
        <w:rPr>
          <w:rFonts w:cs="Arial"/>
          <w:sz w:val="20"/>
          <w:shd w:val="clear" w:color="auto" w:fill="FFFFFF"/>
          <w:lang w:val="en-US"/>
        </w:rPr>
        <w:t xml:space="preserve">V., </w:t>
      </w:r>
      <w:proofErr w:type="spellStart"/>
      <w:r w:rsidR="009F72A4" w:rsidRPr="00990135">
        <w:rPr>
          <w:rFonts w:cs="Arial"/>
          <w:sz w:val="20"/>
          <w:shd w:val="clear" w:color="auto" w:fill="FFFFFF"/>
          <w:lang w:val="en-US"/>
        </w:rPr>
        <w:t>Bukhtenko</w:t>
      </w:r>
      <w:proofErr w:type="spellEnd"/>
      <w:r w:rsidR="009F72A4" w:rsidRPr="00990135">
        <w:rPr>
          <w:rFonts w:cs="Arial"/>
          <w:sz w:val="20"/>
          <w:shd w:val="clear" w:color="auto" w:fill="FFFFFF"/>
          <w:lang w:val="en-US"/>
        </w:rPr>
        <w:t xml:space="preserve"> O.</w:t>
      </w:r>
      <w:r w:rsidRPr="00990135">
        <w:rPr>
          <w:rFonts w:cs="Arial"/>
          <w:sz w:val="20"/>
          <w:shd w:val="clear" w:color="auto" w:fill="FFFFFF"/>
          <w:lang w:val="en-US"/>
        </w:rPr>
        <w:t xml:space="preserve">V., </w:t>
      </w:r>
      <w:proofErr w:type="spellStart"/>
      <w:r w:rsidRPr="00990135">
        <w:rPr>
          <w:rFonts w:cs="Arial"/>
          <w:sz w:val="20"/>
          <w:shd w:val="clear" w:color="auto" w:fill="FFFFFF"/>
          <w:lang w:val="en-US"/>
        </w:rPr>
        <w:t>Maksimov</w:t>
      </w:r>
      <w:proofErr w:type="spellEnd"/>
      <w:r w:rsidR="009F72A4" w:rsidRPr="00990135">
        <w:rPr>
          <w:rFonts w:cs="Arial"/>
          <w:sz w:val="20"/>
          <w:shd w:val="clear" w:color="auto" w:fill="FFFFFF"/>
          <w:lang w:val="en-US"/>
        </w:rPr>
        <w:t xml:space="preserve"> Y.V., </w:t>
      </w:r>
      <w:proofErr w:type="spellStart"/>
      <w:r w:rsidR="009F72A4" w:rsidRPr="00990135">
        <w:rPr>
          <w:rFonts w:cs="Arial"/>
          <w:sz w:val="20"/>
          <w:shd w:val="clear" w:color="auto" w:fill="FFFFFF"/>
          <w:lang w:val="en-US"/>
        </w:rPr>
        <w:t>Vasil’kov</w:t>
      </w:r>
      <w:proofErr w:type="spellEnd"/>
      <w:r w:rsidR="009F72A4" w:rsidRPr="00990135">
        <w:rPr>
          <w:rFonts w:cs="Arial"/>
          <w:sz w:val="20"/>
          <w:shd w:val="clear" w:color="auto" w:fill="FFFFFF"/>
          <w:lang w:val="en-US"/>
        </w:rPr>
        <w:t xml:space="preserve"> A.Y.</w:t>
      </w:r>
      <w:r w:rsidRPr="00990135">
        <w:rPr>
          <w:rFonts w:cs="Arial"/>
          <w:sz w:val="20"/>
          <w:shd w:val="clear" w:color="auto" w:fill="FFFFFF"/>
          <w:lang w:val="en-US"/>
        </w:rPr>
        <w:t>,</w:t>
      </w:r>
      <w:r w:rsidR="009F72A4" w:rsidRPr="00990135">
        <w:rPr>
          <w:rFonts w:cs="Arial"/>
          <w:sz w:val="20"/>
          <w:shd w:val="clear" w:color="auto" w:fill="FFFFFF"/>
          <w:lang w:val="en-US"/>
        </w:rPr>
        <w:t xml:space="preserve"> 2018</w:t>
      </w:r>
      <w:r w:rsidRPr="00990135">
        <w:rPr>
          <w:rFonts w:cs="Arial"/>
          <w:sz w:val="20"/>
          <w:shd w:val="clear" w:color="auto" w:fill="FFFFFF"/>
          <w:lang w:val="en-US"/>
        </w:rPr>
        <w:t>,</w:t>
      </w:r>
      <w:r w:rsidR="009F72A4" w:rsidRPr="00990135">
        <w:rPr>
          <w:rFonts w:cs="Arial"/>
          <w:sz w:val="20"/>
          <w:shd w:val="clear" w:color="auto" w:fill="FFFFFF"/>
          <w:lang w:val="en-US"/>
        </w:rPr>
        <w:t xml:space="preserve"> Fe</w:t>
      </w:r>
      <w:r w:rsidRPr="00990135">
        <w:rPr>
          <w:rFonts w:cs="Arial"/>
          <w:sz w:val="20"/>
          <w:shd w:val="clear" w:color="auto" w:fill="FFFFFF"/>
          <w:lang w:val="en-US"/>
        </w:rPr>
        <w:t xml:space="preserve">-Containing </w:t>
      </w:r>
      <w:proofErr w:type="spellStart"/>
      <w:r w:rsidRPr="00990135">
        <w:rPr>
          <w:rFonts w:cs="Arial"/>
          <w:sz w:val="20"/>
          <w:shd w:val="clear" w:color="auto" w:fill="FFFFFF"/>
          <w:lang w:val="en-US"/>
        </w:rPr>
        <w:t>Nanoparticles</w:t>
      </w:r>
      <w:proofErr w:type="spellEnd"/>
      <w:r w:rsidRPr="00990135">
        <w:rPr>
          <w:rFonts w:cs="Arial"/>
          <w:sz w:val="20"/>
          <w:shd w:val="clear" w:color="auto" w:fill="FFFFFF"/>
          <w:lang w:val="en-US"/>
        </w:rPr>
        <w:t xml:space="preserve"> Used As Effective Catalysts Of Lignin Reforming To </w:t>
      </w:r>
      <w:proofErr w:type="spellStart"/>
      <w:r w:rsidRPr="00990135">
        <w:rPr>
          <w:rFonts w:cs="Arial"/>
          <w:sz w:val="20"/>
          <w:shd w:val="clear" w:color="auto" w:fill="FFFFFF"/>
          <w:lang w:val="en-US"/>
        </w:rPr>
        <w:t>Syngas</w:t>
      </w:r>
      <w:proofErr w:type="spellEnd"/>
      <w:r w:rsidRPr="00990135">
        <w:rPr>
          <w:rFonts w:cs="Arial"/>
          <w:sz w:val="20"/>
          <w:shd w:val="clear" w:color="auto" w:fill="FFFFFF"/>
          <w:lang w:val="en-US"/>
        </w:rPr>
        <w:t xml:space="preserve"> And Hydrogen Assisted By Microwave Irradiation,</w:t>
      </w:r>
      <w:r w:rsidR="009F72A4" w:rsidRPr="00990135">
        <w:rPr>
          <w:rFonts w:cs="Arial"/>
          <w:sz w:val="20"/>
          <w:shd w:val="clear" w:color="auto" w:fill="FFFFFF"/>
          <w:lang w:val="en-US"/>
        </w:rPr>
        <w:t> </w:t>
      </w:r>
      <w:r w:rsidR="009F72A4" w:rsidRPr="00990135">
        <w:rPr>
          <w:rFonts w:cs="Arial"/>
          <w:i/>
          <w:iCs/>
          <w:sz w:val="20"/>
          <w:shd w:val="clear" w:color="auto" w:fill="FFFFFF"/>
        </w:rPr>
        <w:t xml:space="preserve">Journal of </w:t>
      </w:r>
      <w:proofErr w:type="spellStart"/>
      <w:r w:rsidR="009F72A4" w:rsidRPr="00990135">
        <w:rPr>
          <w:rFonts w:cs="Arial"/>
          <w:i/>
          <w:iCs/>
          <w:sz w:val="20"/>
          <w:shd w:val="clear" w:color="auto" w:fill="FFFFFF"/>
        </w:rPr>
        <w:t>Nanoparticle</w:t>
      </w:r>
      <w:proofErr w:type="spellEnd"/>
      <w:r w:rsidR="009F72A4" w:rsidRPr="00990135">
        <w:rPr>
          <w:rFonts w:cs="Arial"/>
          <w:i/>
          <w:iCs/>
          <w:sz w:val="20"/>
          <w:shd w:val="clear" w:color="auto" w:fill="FFFFFF"/>
        </w:rPr>
        <w:t xml:space="preserve"> Research</w:t>
      </w:r>
      <w:r w:rsidR="009F72A4" w:rsidRPr="00990135">
        <w:rPr>
          <w:rFonts w:cs="Arial"/>
          <w:sz w:val="20"/>
          <w:shd w:val="clear" w:color="auto" w:fill="FFFFFF"/>
        </w:rPr>
        <w:t>, </w:t>
      </w:r>
      <w:r w:rsidR="009F72A4" w:rsidRPr="00990135">
        <w:rPr>
          <w:rFonts w:cs="Arial"/>
          <w:i/>
          <w:iCs/>
          <w:sz w:val="20"/>
          <w:shd w:val="clear" w:color="auto" w:fill="FFFFFF"/>
        </w:rPr>
        <w:t>20</w:t>
      </w:r>
      <w:r w:rsidR="009F72A4" w:rsidRPr="00990135">
        <w:rPr>
          <w:rFonts w:cs="Arial"/>
          <w:sz w:val="20"/>
          <w:shd w:val="clear" w:color="auto" w:fill="FFFFFF"/>
        </w:rPr>
        <w:t>, 86.</w:t>
      </w:r>
    </w:p>
    <w:p w:rsidR="009F72A4" w:rsidRPr="00990135" w:rsidRDefault="00855222" w:rsidP="00C5084C">
      <w:pPr>
        <w:pStyle w:val="CETReferencetext"/>
      </w:pPr>
      <w:proofErr w:type="spellStart"/>
      <w:r w:rsidRPr="00990135">
        <w:rPr>
          <w:rFonts w:cs="Arial"/>
          <w:sz w:val="20"/>
          <w:shd w:val="clear" w:color="auto" w:fill="FFFFFF"/>
          <w:lang w:val="en-US"/>
        </w:rPr>
        <w:t>Tsodikov</w:t>
      </w:r>
      <w:proofErr w:type="spellEnd"/>
      <w:r w:rsidR="009F72A4" w:rsidRPr="00990135">
        <w:rPr>
          <w:rFonts w:cs="Arial"/>
          <w:sz w:val="20"/>
          <w:shd w:val="clear" w:color="auto" w:fill="FFFFFF"/>
          <w:lang w:val="en-US"/>
        </w:rPr>
        <w:t xml:space="preserve"> M.</w:t>
      </w:r>
      <w:r w:rsidRPr="00990135">
        <w:rPr>
          <w:rFonts w:cs="Arial"/>
          <w:sz w:val="20"/>
          <w:shd w:val="clear" w:color="auto" w:fill="FFFFFF"/>
          <w:lang w:val="en-US"/>
        </w:rPr>
        <w:t xml:space="preserve">V., </w:t>
      </w:r>
      <w:proofErr w:type="spellStart"/>
      <w:r w:rsidRPr="00990135">
        <w:rPr>
          <w:rFonts w:cs="Arial"/>
          <w:sz w:val="20"/>
          <w:shd w:val="clear" w:color="auto" w:fill="FFFFFF"/>
          <w:lang w:val="en-US"/>
        </w:rPr>
        <w:t>Konstantinov</w:t>
      </w:r>
      <w:proofErr w:type="spellEnd"/>
      <w:r w:rsidR="009F72A4" w:rsidRPr="00990135">
        <w:rPr>
          <w:rFonts w:cs="Arial"/>
          <w:sz w:val="20"/>
          <w:shd w:val="clear" w:color="auto" w:fill="FFFFFF"/>
          <w:lang w:val="en-US"/>
        </w:rPr>
        <w:t xml:space="preserve"> G.</w:t>
      </w:r>
      <w:r w:rsidRPr="00990135">
        <w:rPr>
          <w:rFonts w:cs="Arial"/>
          <w:sz w:val="20"/>
          <w:shd w:val="clear" w:color="auto" w:fill="FFFFFF"/>
          <w:lang w:val="en-US"/>
        </w:rPr>
        <w:t xml:space="preserve">I., </w:t>
      </w:r>
      <w:proofErr w:type="spellStart"/>
      <w:r w:rsidRPr="00990135">
        <w:rPr>
          <w:rFonts w:cs="Arial"/>
          <w:sz w:val="20"/>
          <w:shd w:val="clear" w:color="auto" w:fill="FFFFFF"/>
          <w:lang w:val="en-US"/>
        </w:rPr>
        <w:t>Chistyakov</w:t>
      </w:r>
      <w:proofErr w:type="spellEnd"/>
      <w:r w:rsidR="009F72A4" w:rsidRPr="00990135">
        <w:rPr>
          <w:rFonts w:cs="Arial"/>
          <w:sz w:val="20"/>
          <w:shd w:val="clear" w:color="auto" w:fill="FFFFFF"/>
          <w:lang w:val="en-US"/>
        </w:rPr>
        <w:t xml:space="preserve"> A.</w:t>
      </w:r>
      <w:r w:rsidRPr="00990135">
        <w:rPr>
          <w:rFonts w:cs="Arial"/>
          <w:sz w:val="20"/>
          <w:shd w:val="clear" w:color="auto" w:fill="FFFFFF"/>
          <w:lang w:val="en-US"/>
        </w:rPr>
        <w:t xml:space="preserve">V., </w:t>
      </w:r>
      <w:proofErr w:type="spellStart"/>
      <w:r w:rsidRPr="00990135">
        <w:rPr>
          <w:rFonts w:cs="Arial"/>
          <w:sz w:val="20"/>
          <w:shd w:val="clear" w:color="auto" w:fill="FFFFFF"/>
          <w:lang w:val="en-US"/>
        </w:rPr>
        <w:t>Arapova</w:t>
      </w:r>
      <w:proofErr w:type="spellEnd"/>
      <w:r w:rsidR="009F72A4" w:rsidRPr="00990135">
        <w:rPr>
          <w:rFonts w:cs="Arial"/>
          <w:sz w:val="20"/>
          <w:shd w:val="clear" w:color="auto" w:fill="FFFFFF"/>
          <w:lang w:val="en-US"/>
        </w:rPr>
        <w:t xml:space="preserve"> O.V., </w:t>
      </w:r>
      <w:proofErr w:type="spellStart"/>
      <w:r w:rsidRPr="00990135">
        <w:rPr>
          <w:rFonts w:cs="Arial"/>
          <w:sz w:val="20"/>
          <w:shd w:val="clear" w:color="auto" w:fill="FFFFFF"/>
          <w:lang w:val="en-US"/>
        </w:rPr>
        <w:t>Perederii</w:t>
      </w:r>
      <w:proofErr w:type="spellEnd"/>
      <w:r w:rsidR="009F72A4" w:rsidRPr="00990135">
        <w:rPr>
          <w:rFonts w:cs="Arial"/>
          <w:sz w:val="20"/>
          <w:shd w:val="clear" w:color="auto" w:fill="FFFFFF"/>
          <w:lang w:val="en-US"/>
        </w:rPr>
        <w:t xml:space="preserve"> M.A.</w:t>
      </w:r>
      <w:r w:rsidRPr="00990135">
        <w:rPr>
          <w:rFonts w:cs="Arial"/>
          <w:sz w:val="20"/>
          <w:shd w:val="clear" w:color="auto" w:fill="FFFFFF"/>
          <w:lang w:val="en-US"/>
        </w:rPr>
        <w:t>,</w:t>
      </w:r>
      <w:r w:rsidR="009F72A4" w:rsidRPr="00990135">
        <w:rPr>
          <w:rFonts w:cs="Arial"/>
          <w:sz w:val="20"/>
          <w:shd w:val="clear" w:color="auto" w:fill="FFFFFF"/>
          <w:lang w:val="en-US"/>
        </w:rPr>
        <w:t xml:space="preserve"> 2016</w:t>
      </w:r>
      <w:r w:rsidRPr="00990135">
        <w:rPr>
          <w:rFonts w:cs="Arial"/>
          <w:sz w:val="20"/>
          <w:shd w:val="clear" w:color="auto" w:fill="FFFFFF"/>
          <w:lang w:val="en-US"/>
        </w:rPr>
        <w:t>,</w:t>
      </w:r>
      <w:r w:rsidR="009F72A4" w:rsidRPr="00990135">
        <w:rPr>
          <w:rFonts w:cs="Arial"/>
          <w:sz w:val="20"/>
          <w:shd w:val="clear" w:color="auto" w:fill="FFFFFF"/>
          <w:lang w:val="en-US"/>
        </w:rPr>
        <w:t xml:space="preserve"> Utilization </w:t>
      </w:r>
      <w:r w:rsidRPr="00990135">
        <w:rPr>
          <w:rFonts w:cs="Arial"/>
          <w:sz w:val="20"/>
          <w:shd w:val="clear" w:color="auto" w:fill="FFFFFF"/>
          <w:lang w:val="en-US"/>
        </w:rPr>
        <w:t>Of Petroleum Residues Under Microwave Irradiation,</w:t>
      </w:r>
      <w:r w:rsidR="009F72A4" w:rsidRPr="00990135">
        <w:rPr>
          <w:rFonts w:cs="Arial"/>
          <w:sz w:val="20"/>
          <w:shd w:val="clear" w:color="auto" w:fill="FFFFFF"/>
          <w:lang w:val="en-US"/>
        </w:rPr>
        <w:t> </w:t>
      </w:r>
      <w:r w:rsidR="009F72A4" w:rsidRPr="00990135">
        <w:rPr>
          <w:rFonts w:cs="Arial"/>
          <w:i/>
          <w:iCs/>
          <w:sz w:val="20"/>
          <w:shd w:val="clear" w:color="auto" w:fill="FFFFFF"/>
          <w:lang w:val="en-US"/>
        </w:rPr>
        <w:t>Chemical Engineering Journal</w:t>
      </w:r>
      <w:r w:rsidR="009F72A4" w:rsidRPr="00990135">
        <w:rPr>
          <w:rFonts w:cs="Arial"/>
          <w:sz w:val="20"/>
          <w:shd w:val="clear" w:color="auto" w:fill="FFFFFF"/>
          <w:lang w:val="en-US"/>
        </w:rPr>
        <w:t>, </w:t>
      </w:r>
      <w:r w:rsidR="009F72A4" w:rsidRPr="00990135">
        <w:rPr>
          <w:rFonts w:cs="Arial"/>
          <w:i/>
          <w:iCs/>
          <w:sz w:val="20"/>
          <w:shd w:val="clear" w:color="auto" w:fill="FFFFFF"/>
          <w:lang w:val="en-US"/>
        </w:rPr>
        <w:t>292</w:t>
      </w:r>
      <w:r w:rsidR="009F72A4" w:rsidRPr="00990135">
        <w:rPr>
          <w:rFonts w:cs="Arial"/>
          <w:sz w:val="20"/>
          <w:shd w:val="clear" w:color="auto" w:fill="FFFFFF"/>
          <w:lang w:val="en-US"/>
        </w:rPr>
        <w:t>, 315-320.</w:t>
      </w:r>
    </w:p>
    <w:p w:rsidR="00EE3DAA" w:rsidRPr="00990135" w:rsidRDefault="00990135" w:rsidP="00C5084C">
      <w:pPr>
        <w:pStyle w:val="CETReferencetext"/>
        <w:rPr>
          <w:rFonts w:ascii="Times New Roman" w:eastAsiaTheme="minorHAnsi" w:hAnsi="Times New Roman"/>
          <w:sz w:val="24"/>
          <w:szCs w:val="24"/>
          <w:lang w:val="en-US"/>
        </w:rPr>
      </w:pPr>
      <w:proofErr w:type="spellStart"/>
      <w:r w:rsidRPr="00990135">
        <w:rPr>
          <w:rFonts w:cs="Arial"/>
          <w:sz w:val="20"/>
          <w:shd w:val="clear" w:color="auto" w:fill="FFFFFF"/>
        </w:rPr>
        <w:t>Yakovlev</w:t>
      </w:r>
      <w:proofErr w:type="spellEnd"/>
      <w:r w:rsidRPr="00990135">
        <w:rPr>
          <w:rFonts w:cs="Arial"/>
          <w:sz w:val="20"/>
          <w:shd w:val="clear" w:color="auto" w:fill="FFFFFF"/>
        </w:rPr>
        <w:t xml:space="preserve"> A.V., </w:t>
      </w:r>
      <w:proofErr w:type="spellStart"/>
      <w:r w:rsidRPr="00990135">
        <w:rPr>
          <w:rFonts w:cs="Arial"/>
          <w:sz w:val="20"/>
          <w:shd w:val="clear" w:color="auto" w:fill="FFFFFF"/>
        </w:rPr>
        <w:t>Finaenov</w:t>
      </w:r>
      <w:proofErr w:type="spellEnd"/>
      <w:r w:rsidRPr="00990135">
        <w:rPr>
          <w:rFonts w:cs="Arial"/>
          <w:sz w:val="20"/>
          <w:shd w:val="clear" w:color="auto" w:fill="FFFFFF"/>
        </w:rPr>
        <w:t xml:space="preserve"> A.I., </w:t>
      </w:r>
      <w:proofErr w:type="spellStart"/>
      <w:r w:rsidRPr="00990135">
        <w:rPr>
          <w:rFonts w:cs="Arial"/>
          <w:sz w:val="20"/>
          <w:shd w:val="clear" w:color="auto" w:fill="FFFFFF"/>
        </w:rPr>
        <w:t>Zabud’kov</w:t>
      </w:r>
      <w:proofErr w:type="spellEnd"/>
      <w:r w:rsidRPr="00990135">
        <w:rPr>
          <w:rFonts w:cs="Arial"/>
          <w:sz w:val="20"/>
          <w:shd w:val="clear" w:color="auto" w:fill="FFFFFF"/>
        </w:rPr>
        <w:t xml:space="preserve"> S.L., </w:t>
      </w:r>
      <w:proofErr w:type="spellStart"/>
      <w:r w:rsidRPr="00990135">
        <w:rPr>
          <w:rFonts w:cs="Arial"/>
          <w:sz w:val="20"/>
          <w:shd w:val="clear" w:color="auto" w:fill="FFFFFF"/>
        </w:rPr>
        <w:t>Yakovleva</w:t>
      </w:r>
      <w:proofErr w:type="spellEnd"/>
      <w:r w:rsidRPr="00990135">
        <w:rPr>
          <w:rFonts w:cs="Arial"/>
          <w:sz w:val="20"/>
          <w:shd w:val="clear" w:color="auto" w:fill="FFFFFF"/>
        </w:rPr>
        <w:t xml:space="preserve"> E.V., 2006, Thermally Expanded Graphite: Synthesis, Properties, </w:t>
      </w:r>
      <w:proofErr w:type="gramStart"/>
      <w:r w:rsidRPr="00990135">
        <w:rPr>
          <w:rFonts w:cs="Arial"/>
          <w:sz w:val="20"/>
          <w:shd w:val="clear" w:color="auto" w:fill="FFFFFF"/>
        </w:rPr>
        <w:t>And</w:t>
      </w:r>
      <w:proofErr w:type="gramEnd"/>
      <w:r w:rsidRPr="00990135">
        <w:rPr>
          <w:rFonts w:cs="Arial"/>
          <w:sz w:val="20"/>
          <w:shd w:val="clear" w:color="auto" w:fill="FFFFFF"/>
        </w:rPr>
        <w:t xml:space="preserve"> Prospects For Use, </w:t>
      </w:r>
      <w:r w:rsidRPr="00990135">
        <w:rPr>
          <w:rFonts w:cs="Arial"/>
          <w:i/>
          <w:iCs/>
          <w:sz w:val="20"/>
          <w:shd w:val="clear" w:color="auto" w:fill="FFFFFF"/>
        </w:rPr>
        <w:t>Russian Journal of Applied Chemistry</w:t>
      </w:r>
      <w:r w:rsidRPr="00990135">
        <w:rPr>
          <w:rFonts w:cs="Arial"/>
          <w:sz w:val="20"/>
          <w:shd w:val="clear" w:color="auto" w:fill="FFFFFF"/>
        </w:rPr>
        <w:t>, </w:t>
      </w:r>
      <w:r w:rsidRPr="00990135">
        <w:rPr>
          <w:rFonts w:cs="Arial"/>
          <w:i/>
          <w:iCs/>
          <w:sz w:val="20"/>
          <w:shd w:val="clear" w:color="auto" w:fill="FFFFFF"/>
        </w:rPr>
        <w:t>79</w:t>
      </w:r>
      <w:r w:rsidRPr="00990135">
        <w:rPr>
          <w:rFonts w:cs="Arial"/>
          <w:sz w:val="20"/>
          <w:shd w:val="clear" w:color="auto" w:fill="FFFFFF"/>
        </w:rPr>
        <w:t>, 1741-1751.</w:t>
      </w:r>
    </w:p>
    <w:p w:rsidR="004628D2" w:rsidRPr="00990135" w:rsidRDefault="004628D2" w:rsidP="00FA5F5F">
      <w:pPr>
        <w:pStyle w:val="CETHeading1"/>
        <w:numPr>
          <w:ilvl w:val="0"/>
          <w:numId w:val="0"/>
        </w:numPr>
      </w:pPr>
    </w:p>
    <w:sectPr w:rsidR="004628D2" w:rsidRPr="0099013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97" w:rsidRDefault="00075A97" w:rsidP="004F5E36">
      <w:r>
        <w:separator/>
      </w:r>
    </w:p>
  </w:endnote>
  <w:endnote w:type="continuationSeparator" w:id="0">
    <w:p w:rsidR="00075A97" w:rsidRDefault="00075A97"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97" w:rsidRDefault="00075A97" w:rsidP="004F5E36">
      <w:r>
        <w:separator/>
      </w:r>
    </w:p>
  </w:footnote>
  <w:footnote w:type="continuationSeparator" w:id="0">
    <w:p w:rsidR="00075A97" w:rsidRDefault="00075A97"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1B733C9F"/>
    <w:multiLevelType w:val="hybridMultilevel"/>
    <w:tmpl w:val="D106513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E6B557D"/>
    <w:multiLevelType w:val="hybridMultilevel"/>
    <w:tmpl w:val="E5045B96"/>
    <w:lvl w:ilvl="0" w:tplc="DBC4A1F0">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1"/>
    <w:lvlOverride w:ilvl="0">
      <w:startOverride w:val="1"/>
    </w:lvlOverride>
    <w:lvlOverride w:ilvl="1">
      <w:startOverride w:val="3"/>
    </w:lvlOverride>
  </w:num>
  <w:num w:numId="23">
    <w:abstractNumId w:val="1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43DE"/>
    <w:rsid w:val="0003148D"/>
    <w:rsid w:val="00047D7F"/>
    <w:rsid w:val="00051566"/>
    <w:rsid w:val="00062A9A"/>
    <w:rsid w:val="00065058"/>
    <w:rsid w:val="00075A97"/>
    <w:rsid w:val="00086C39"/>
    <w:rsid w:val="0009297A"/>
    <w:rsid w:val="000A03B2"/>
    <w:rsid w:val="000A3B79"/>
    <w:rsid w:val="000D34BE"/>
    <w:rsid w:val="000E102F"/>
    <w:rsid w:val="000E36F1"/>
    <w:rsid w:val="000E3A73"/>
    <w:rsid w:val="000E414A"/>
    <w:rsid w:val="000F093C"/>
    <w:rsid w:val="000F16BD"/>
    <w:rsid w:val="000F787B"/>
    <w:rsid w:val="00101C4E"/>
    <w:rsid w:val="0012091F"/>
    <w:rsid w:val="00126BC2"/>
    <w:rsid w:val="00127184"/>
    <w:rsid w:val="001308B6"/>
    <w:rsid w:val="0013121F"/>
    <w:rsid w:val="00131FAB"/>
    <w:rsid w:val="00131FE6"/>
    <w:rsid w:val="0013263F"/>
    <w:rsid w:val="00134DE4"/>
    <w:rsid w:val="0014034D"/>
    <w:rsid w:val="00146645"/>
    <w:rsid w:val="00150E59"/>
    <w:rsid w:val="00151272"/>
    <w:rsid w:val="00152DE3"/>
    <w:rsid w:val="00162642"/>
    <w:rsid w:val="00164CF9"/>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143B"/>
    <w:rsid w:val="00282656"/>
    <w:rsid w:val="00296B83"/>
    <w:rsid w:val="002B6274"/>
    <w:rsid w:val="002B78CE"/>
    <w:rsid w:val="002C2FB6"/>
    <w:rsid w:val="002D5BCD"/>
    <w:rsid w:val="003009B7"/>
    <w:rsid w:val="00300E56"/>
    <w:rsid w:val="0030469C"/>
    <w:rsid w:val="00321CA6"/>
    <w:rsid w:val="00334C09"/>
    <w:rsid w:val="003365E3"/>
    <w:rsid w:val="003723D4"/>
    <w:rsid w:val="0037765E"/>
    <w:rsid w:val="00384CC8"/>
    <w:rsid w:val="003871FD"/>
    <w:rsid w:val="003A1E30"/>
    <w:rsid w:val="003A7D1C"/>
    <w:rsid w:val="003B304B"/>
    <w:rsid w:val="003B3146"/>
    <w:rsid w:val="003B60F3"/>
    <w:rsid w:val="003F015E"/>
    <w:rsid w:val="00400414"/>
    <w:rsid w:val="0041446B"/>
    <w:rsid w:val="00415EED"/>
    <w:rsid w:val="00430DA2"/>
    <w:rsid w:val="0044329C"/>
    <w:rsid w:val="004577FE"/>
    <w:rsid w:val="00457B9C"/>
    <w:rsid w:val="004612ED"/>
    <w:rsid w:val="0046164A"/>
    <w:rsid w:val="004628D2"/>
    <w:rsid w:val="00462DCD"/>
    <w:rsid w:val="004648AD"/>
    <w:rsid w:val="004703A9"/>
    <w:rsid w:val="004760DE"/>
    <w:rsid w:val="00480E18"/>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140C1"/>
    <w:rsid w:val="00720A24"/>
    <w:rsid w:val="00732386"/>
    <w:rsid w:val="007447F3"/>
    <w:rsid w:val="00746C64"/>
    <w:rsid w:val="0075499F"/>
    <w:rsid w:val="007661C8"/>
    <w:rsid w:val="0077098D"/>
    <w:rsid w:val="007931FA"/>
    <w:rsid w:val="007A7BBA"/>
    <w:rsid w:val="007B0C50"/>
    <w:rsid w:val="007C1A43"/>
    <w:rsid w:val="007E1DC6"/>
    <w:rsid w:val="00813288"/>
    <w:rsid w:val="008168FC"/>
    <w:rsid w:val="00830996"/>
    <w:rsid w:val="008345F1"/>
    <w:rsid w:val="00854B2E"/>
    <w:rsid w:val="00855222"/>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87627"/>
    <w:rsid w:val="00987B08"/>
    <w:rsid w:val="00990135"/>
    <w:rsid w:val="00996483"/>
    <w:rsid w:val="00996F5A"/>
    <w:rsid w:val="00997774"/>
    <w:rsid w:val="009A0A3E"/>
    <w:rsid w:val="009A7F2A"/>
    <w:rsid w:val="009B041A"/>
    <w:rsid w:val="009C7C86"/>
    <w:rsid w:val="009D2FF7"/>
    <w:rsid w:val="009E7884"/>
    <w:rsid w:val="009E788A"/>
    <w:rsid w:val="009F0E08"/>
    <w:rsid w:val="009F72A4"/>
    <w:rsid w:val="00A1763D"/>
    <w:rsid w:val="00A17CEC"/>
    <w:rsid w:val="00A27EF0"/>
    <w:rsid w:val="00A50B20"/>
    <w:rsid w:val="00A51390"/>
    <w:rsid w:val="00A60D13"/>
    <w:rsid w:val="00A72745"/>
    <w:rsid w:val="00A76EFC"/>
    <w:rsid w:val="00A91010"/>
    <w:rsid w:val="00A97F29"/>
    <w:rsid w:val="00AA702E"/>
    <w:rsid w:val="00AB0964"/>
    <w:rsid w:val="00AB4C8D"/>
    <w:rsid w:val="00AB5011"/>
    <w:rsid w:val="00AB6A87"/>
    <w:rsid w:val="00AC7368"/>
    <w:rsid w:val="00AD16B9"/>
    <w:rsid w:val="00AE16C4"/>
    <w:rsid w:val="00AE377D"/>
    <w:rsid w:val="00B17FBD"/>
    <w:rsid w:val="00B315A6"/>
    <w:rsid w:val="00B31813"/>
    <w:rsid w:val="00B33365"/>
    <w:rsid w:val="00B57B36"/>
    <w:rsid w:val="00B6318A"/>
    <w:rsid w:val="00B8686D"/>
    <w:rsid w:val="00BC30C9"/>
    <w:rsid w:val="00BE3E58"/>
    <w:rsid w:val="00BF4E20"/>
    <w:rsid w:val="00C01616"/>
    <w:rsid w:val="00C0162B"/>
    <w:rsid w:val="00C345B1"/>
    <w:rsid w:val="00C40142"/>
    <w:rsid w:val="00C5084C"/>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04364"/>
    <w:rsid w:val="00D13FC6"/>
    <w:rsid w:val="00D57C84"/>
    <w:rsid w:val="00D6057D"/>
    <w:rsid w:val="00D84576"/>
    <w:rsid w:val="00D8545B"/>
    <w:rsid w:val="00D93846"/>
    <w:rsid w:val="00DA1399"/>
    <w:rsid w:val="00DA24C6"/>
    <w:rsid w:val="00DA4D7B"/>
    <w:rsid w:val="00DD58F1"/>
    <w:rsid w:val="00DD6988"/>
    <w:rsid w:val="00DE264A"/>
    <w:rsid w:val="00E02D18"/>
    <w:rsid w:val="00E041E7"/>
    <w:rsid w:val="00E2350C"/>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EE3DAA"/>
    <w:rsid w:val="00F028FA"/>
    <w:rsid w:val="00F155B2"/>
    <w:rsid w:val="00F16F62"/>
    <w:rsid w:val="00F30C64"/>
    <w:rsid w:val="00F32CDB"/>
    <w:rsid w:val="00F63A70"/>
    <w:rsid w:val="00FA21D0"/>
    <w:rsid w:val="00FA5F5F"/>
    <w:rsid w:val="00FB730C"/>
    <w:rsid w:val="00FC2695"/>
    <w:rsid w:val="00FC3E03"/>
    <w:rsid w:val="00FC3FC1"/>
    <w:rsid w:val="00FD0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afffd">
    <w:name w:val="List Paragraph"/>
    <w:basedOn w:val="a1"/>
    <w:uiPriority w:val="34"/>
    <w:qFormat/>
    <w:rsid w:val="00E2350C"/>
    <w:pPr>
      <w:tabs>
        <w:tab w:val="clear" w:pos="7100"/>
      </w:tabs>
      <w:spacing w:after="200" w:line="276" w:lineRule="auto"/>
      <w:ind w:left="720"/>
      <w:contextualSpacing/>
      <w:jc w:val="left"/>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DEC8-CCCA-4C71-B756-1CD726FD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2864</Words>
  <Characters>16325</Characters>
  <Application>Microsoft Office Word</Application>
  <DocSecurity>0</DocSecurity>
  <Lines>136</Lines>
  <Paragraphs>38</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zharova</cp:lastModifiedBy>
  <cp:revision>2</cp:revision>
  <cp:lastPrinted>2015-05-12T18:31:00Z</cp:lastPrinted>
  <dcterms:created xsi:type="dcterms:W3CDTF">2019-03-21T12:11:00Z</dcterms:created>
  <dcterms:modified xsi:type="dcterms:W3CDTF">2019-03-21T12:11:00Z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