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ru-RU" w:eastAsia="ru-RU"/>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ru-RU" w:eastAsia="ru-RU"/>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bookmarkStart w:id="0" w:name="_GoBack"/>
            <w:bookmarkEnd w:id="0"/>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D750BF" w:rsidP="00E978D0">
      <w:pPr>
        <w:pStyle w:val="CETTitle"/>
      </w:pPr>
      <w:proofErr w:type="spellStart"/>
      <w:r w:rsidRPr="00785019">
        <w:lastRenderedPageBreak/>
        <w:t>Biooxygenates</w:t>
      </w:r>
      <w:proofErr w:type="spellEnd"/>
      <w:r w:rsidRPr="00785019">
        <w:t xml:space="preserve"> cross-coupling for fuel components production</w:t>
      </w:r>
      <w:r w:rsidR="00F5378C" w:rsidRPr="00F5378C">
        <w:t xml:space="preserve"> </w:t>
      </w:r>
    </w:p>
    <w:p w:rsidR="00E978D0" w:rsidRPr="00D750BF" w:rsidRDefault="00F5378C" w:rsidP="00F5378C">
      <w:pPr>
        <w:spacing w:line="360" w:lineRule="auto"/>
        <w:rPr>
          <w:noProof/>
          <w:sz w:val="24"/>
        </w:rPr>
      </w:pPr>
      <w:r w:rsidRPr="00F5378C">
        <w:rPr>
          <w:noProof/>
          <w:sz w:val="24"/>
        </w:rPr>
        <w:t>P</w:t>
      </w:r>
      <w:r>
        <w:rPr>
          <w:noProof/>
          <w:sz w:val="24"/>
        </w:rPr>
        <w:t xml:space="preserve">olina </w:t>
      </w:r>
      <w:r w:rsidRPr="00F5378C">
        <w:rPr>
          <w:noProof/>
          <w:sz w:val="24"/>
        </w:rPr>
        <w:t>A. Zharova</w:t>
      </w:r>
      <w:r w:rsidR="00982D42">
        <w:rPr>
          <w:noProof/>
          <w:sz w:val="24"/>
        </w:rPr>
        <w:t>*</w:t>
      </w:r>
      <w:r w:rsidRPr="00F5378C">
        <w:rPr>
          <w:noProof/>
          <w:sz w:val="24"/>
          <w:vertAlign w:val="superscript"/>
        </w:rPr>
        <w:t>a</w:t>
      </w:r>
      <w:r w:rsidRPr="00F5378C">
        <w:rPr>
          <w:noProof/>
          <w:sz w:val="24"/>
        </w:rPr>
        <w:t>, A</w:t>
      </w:r>
      <w:r>
        <w:rPr>
          <w:noProof/>
          <w:sz w:val="24"/>
        </w:rPr>
        <w:t xml:space="preserve">ndrey </w:t>
      </w:r>
      <w:r w:rsidRPr="00F5378C">
        <w:rPr>
          <w:noProof/>
          <w:sz w:val="24"/>
        </w:rPr>
        <w:t>V. Chistyakov</w:t>
      </w:r>
      <w:r w:rsidRPr="00F5378C">
        <w:rPr>
          <w:noProof/>
          <w:sz w:val="24"/>
          <w:vertAlign w:val="superscript"/>
        </w:rPr>
        <w:t>a</w:t>
      </w:r>
      <w:r w:rsidRPr="00F5378C">
        <w:rPr>
          <w:noProof/>
          <w:sz w:val="24"/>
        </w:rPr>
        <w:t xml:space="preserve">, </w:t>
      </w:r>
      <w:r w:rsidR="00D750BF">
        <w:rPr>
          <w:noProof/>
          <w:sz w:val="24"/>
        </w:rPr>
        <w:t>Ivan S. Levin</w:t>
      </w:r>
      <w:r w:rsidR="00D750BF" w:rsidRPr="00D750BF">
        <w:rPr>
          <w:noProof/>
          <w:sz w:val="24"/>
          <w:vertAlign w:val="superscript"/>
        </w:rPr>
        <w:t>a</w:t>
      </w:r>
      <w:r w:rsidRPr="00F5378C">
        <w:rPr>
          <w:noProof/>
          <w:sz w:val="24"/>
        </w:rPr>
        <w:t>, M</w:t>
      </w:r>
      <w:r>
        <w:rPr>
          <w:noProof/>
          <w:sz w:val="24"/>
        </w:rPr>
        <w:t xml:space="preserve">ark </w:t>
      </w:r>
      <w:r w:rsidRPr="00F5378C">
        <w:rPr>
          <w:noProof/>
          <w:sz w:val="24"/>
        </w:rPr>
        <w:t>V. Tsodikov</w:t>
      </w:r>
      <w:r w:rsidRPr="00F5378C">
        <w:rPr>
          <w:noProof/>
          <w:sz w:val="24"/>
          <w:vertAlign w:val="superscript"/>
        </w:rPr>
        <w:t>a</w:t>
      </w:r>
      <w:r>
        <w:t xml:space="preserve"> </w:t>
      </w:r>
      <w:r w:rsidR="00D750BF">
        <w:t xml:space="preserve">, </w:t>
      </w:r>
      <w:r w:rsidR="00D750BF" w:rsidRPr="00D750BF">
        <w:rPr>
          <w:noProof/>
          <w:sz w:val="24"/>
        </w:rPr>
        <w:t>S</w:t>
      </w:r>
      <w:r w:rsidR="00D750BF">
        <w:rPr>
          <w:noProof/>
          <w:sz w:val="24"/>
        </w:rPr>
        <w:t xml:space="preserve">ergey </w:t>
      </w:r>
      <w:r w:rsidR="00D750BF" w:rsidRPr="00D750BF">
        <w:rPr>
          <w:noProof/>
          <w:sz w:val="24"/>
        </w:rPr>
        <w:t>A. Nikolaev</w:t>
      </w:r>
      <w:r w:rsidR="00D750BF" w:rsidRPr="00D750BF">
        <w:rPr>
          <w:noProof/>
          <w:sz w:val="24"/>
          <w:vertAlign w:val="superscript"/>
        </w:rPr>
        <w:t>b</w:t>
      </w:r>
    </w:p>
    <w:p w:rsidR="00E978D0" w:rsidRPr="00B57B36" w:rsidRDefault="00E978D0" w:rsidP="00E978D0">
      <w:pPr>
        <w:pStyle w:val="CETAddress"/>
      </w:pPr>
      <w:r w:rsidRPr="00B57B36">
        <w:rPr>
          <w:vertAlign w:val="superscript"/>
        </w:rPr>
        <w:t>a</w:t>
      </w:r>
      <w:r w:rsidR="00F5378C" w:rsidRPr="00F5378C">
        <w:rPr>
          <w:rFonts w:ascii="Times New Roman" w:hAnsi="Times New Roman"/>
          <w:bCs/>
          <w:i/>
          <w:sz w:val="20"/>
          <w:lang w:val="en-US"/>
        </w:rPr>
        <w:t xml:space="preserve"> </w:t>
      </w:r>
      <w:r w:rsidR="00F5378C" w:rsidRPr="00F5378C">
        <w:t>Topchiev Institute of Petrochemical Synthesis, R</w:t>
      </w:r>
      <w:r w:rsidR="00F5378C">
        <w:t xml:space="preserve"> A</w:t>
      </w:r>
      <w:r w:rsidR="00F5378C" w:rsidRPr="00F5378C">
        <w:t>S</w:t>
      </w:r>
      <w:r w:rsidR="00F5378C" w:rsidRPr="001B5764">
        <w:t>, Leninskii pr. 29, Moscow 119991, Russia</w:t>
      </w:r>
      <w:r w:rsidRPr="00B57B36">
        <w:t xml:space="preserve"> </w:t>
      </w:r>
    </w:p>
    <w:p w:rsidR="00E978D0" w:rsidRPr="00B57B36" w:rsidRDefault="00E978D0" w:rsidP="00E978D0">
      <w:pPr>
        <w:pStyle w:val="CETAddress"/>
      </w:pPr>
      <w:r w:rsidRPr="00B57B36">
        <w:rPr>
          <w:vertAlign w:val="superscript"/>
        </w:rPr>
        <w:t>b</w:t>
      </w:r>
      <w:r w:rsidR="00F5378C" w:rsidRPr="00F5378C">
        <w:rPr>
          <w:szCs w:val="16"/>
          <w:lang w:val="en-US"/>
        </w:rPr>
        <w:t xml:space="preserve"> </w:t>
      </w:r>
      <w:r w:rsidR="00D750BF" w:rsidRPr="001B5764">
        <w:t>Moscow State University, Leninskie Gory 1, Moscow 119991, Russia</w:t>
      </w:r>
      <w:r w:rsidRPr="00B57B36">
        <w:t xml:space="preserve"> </w:t>
      </w:r>
    </w:p>
    <w:p w:rsidR="00E978D0" w:rsidRPr="00B57B36" w:rsidRDefault="00AB5011" w:rsidP="00E978D0">
      <w:pPr>
        <w:pStyle w:val="CETemail"/>
      </w:pPr>
      <w:r>
        <w:t xml:space="preserve"> </w:t>
      </w:r>
      <w:r w:rsidR="00F5378C">
        <w:t>zharova</w:t>
      </w:r>
      <w:r w:rsidR="00600535" w:rsidRPr="00B57B36">
        <w:t>@</w:t>
      </w:r>
      <w:r w:rsidR="00F5378C">
        <w:t>ips.ac.ru</w:t>
      </w:r>
    </w:p>
    <w:p w:rsidR="00600535" w:rsidRDefault="00197750" w:rsidP="00197750">
      <w:pPr>
        <w:pStyle w:val="CETHeading1"/>
        <w:numPr>
          <w:ilvl w:val="0"/>
          <w:numId w:val="0"/>
        </w:numPr>
        <w:jc w:val="both"/>
        <w:rPr>
          <w:b w:val="0"/>
          <w:noProof/>
          <w:sz w:val="18"/>
          <w:szCs w:val="18"/>
          <w:lang w:val="en-GB"/>
        </w:rPr>
      </w:pPr>
      <w:r w:rsidRPr="00197750">
        <w:rPr>
          <w:b w:val="0"/>
          <w:noProof/>
          <w:sz w:val="18"/>
          <w:szCs w:val="18"/>
          <w:lang w:val="en-GB"/>
        </w:rPr>
        <w:t>C-C bond formation is a pivotal method to construct complex molecules from some simple substrates, with the electrophilic alkylation of a given starting material being one of the most useful procedures. The straightforward routes to the creation of a variety of alcohols having intricate structures through alkylation of simple alcohols remain very unusual. Previously we found that during heterogeneously catalyzed conversion of ethanol with iso-propanol 2-pentanol formed with the yield equal to 35 wt.%. The general co-products were 1-butanol, 1-hexanol and 1-octanol that are valuable chemicals itself. Here we propose a heterogeneously catalytic route to convert such fermentation products as ethanol, acetone, 2-propanol and 1-butanol obtained from a variety of renewable carbohydrate sources into precursors for petrol, diesel and jet fuels. One of the work features is the use of heterometallic precursors, containing different pairs of metals closer to a distance less than the sum of their covalent radii, for supported catalysts creation.</w:t>
      </w:r>
      <w:r w:rsidR="00600535" w:rsidRPr="00197750">
        <w:rPr>
          <w:b w:val="0"/>
          <w:noProof/>
          <w:sz w:val="18"/>
          <w:szCs w:val="18"/>
          <w:lang w:val="en-GB"/>
        </w:rPr>
        <w:t>Introduction</w:t>
      </w:r>
    </w:p>
    <w:p w:rsidR="00197750" w:rsidRDefault="00197750" w:rsidP="00197750">
      <w:pPr>
        <w:pStyle w:val="CETHeading1"/>
      </w:pPr>
      <w:r>
        <w:t>Introduction</w:t>
      </w:r>
    </w:p>
    <w:p w:rsidR="00197750" w:rsidRPr="00197750" w:rsidRDefault="00197750" w:rsidP="00197750">
      <w:pPr>
        <w:autoSpaceDE w:val="0"/>
        <w:autoSpaceDN w:val="0"/>
        <w:adjustRightInd w:val="0"/>
        <w:rPr>
          <w:lang w:val="en-US"/>
        </w:rPr>
      </w:pPr>
      <w:r w:rsidRPr="00197750">
        <w:rPr>
          <w:lang w:val="en-US"/>
        </w:rPr>
        <w:t>Natural biological routes to produce alcohols (ethanol and n-</w:t>
      </w:r>
      <w:proofErr w:type="spellStart"/>
      <w:r w:rsidRPr="00197750">
        <w:rPr>
          <w:lang w:val="en-US"/>
        </w:rPr>
        <w:t>butanol</w:t>
      </w:r>
      <w:proofErr w:type="spellEnd"/>
      <w:r w:rsidRPr="00197750">
        <w:rPr>
          <w:lang w:val="en-US"/>
        </w:rPr>
        <w:t xml:space="preserve">) from carbohydrates have been known for more than 100 years, and these compounds have been produced in fermentations at high </w:t>
      </w:r>
      <w:proofErr w:type="spellStart"/>
      <w:r w:rsidRPr="00197750">
        <w:rPr>
          <w:lang w:val="en-US"/>
        </w:rPr>
        <w:t>titres</w:t>
      </w:r>
      <w:proofErr w:type="spellEnd"/>
      <w:r w:rsidRPr="00197750">
        <w:rPr>
          <w:lang w:val="en-US"/>
        </w:rPr>
        <w:t xml:space="preserve"> (100 and 15 g l21, respectively) and at yields near their theoretical maxima. These low-molecular-mass compounds are primarily suitable as additives or in certain situations (for example, E100 flex fuel vehicles) as alternatives to petrol. Advances in metabolic engineering have enabled the biological production of several higher-molecular mass jet and diesel fuel compounds from carbohydrates, but until now these processes have suffered from low </w:t>
      </w:r>
      <w:proofErr w:type="spellStart"/>
      <w:r w:rsidRPr="00197750">
        <w:rPr>
          <w:lang w:val="en-US"/>
        </w:rPr>
        <w:t>titres</w:t>
      </w:r>
      <w:proofErr w:type="spellEnd"/>
      <w:r w:rsidRPr="00197750">
        <w:rPr>
          <w:lang w:val="en-US"/>
        </w:rPr>
        <w:t xml:space="preserve"> and yields </w:t>
      </w:r>
      <w:r w:rsidR="007352D4">
        <w:rPr>
          <w:lang w:val="en-US"/>
        </w:rPr>
        <w:t>(</w:t>
      </w:r>
      <w:r w:rsidR="00F914D4" w:rsidRPr="004F574C">
        <w:rPr>
          <w:color w:val="222222"/>
          <w:spacing w:val="3"/>
        </w:rPr>
        <w:t>Steen</w:t>
      </w:r>
      <w:r w:rsidR="00F914D4" w:rsidRPr="00197750">
        <w:rPr>
          <w:lang w:val="en-US"/>
        </w:rPr>
        <w:t xml:space="preserve"> </w:t>
      </w:r>
      <w:r w:rsidR="00F914D4">
        <w:t xml:space="preserve">et al., 2010, </w:t>
      </w:r>
      <w:r w:rsidR="00F914D4" w:rsidRPr="004F574C">
        <w:rPr>
          <w:shd w:val="clear" w:color="auto" w:fill="FFFFFF"/>
        </w:rPr>
        <w:t>Wang</w:t>
      </w:r>
      <w:r w:rsidR="00F914D4" w:rsidRPr="00197750">
        <w:rPr>
          <w:lang w:val="en-US"/>
        </w:rPr>
        <w:t xml:space="preserve"> </w:t>
      </w:r>
      <w:r w:rsidR="00F914D4">
        <w:t xml:space="preserve">et al., 2011, </w:t>
      </w:r>
      <w:r w:rsidR="00070AC9">
        <w:rPr>
          <w:lang w:val="en-US"/>
        </w:rPr>
        <w:t>Peralta-</w:t>
      </w:r>
      <w:proofErr w:type="spellStart"/>
      <w:r w:rsidR="00070AC9">
        <w:rPr>
          <w:lang w:val="en-US"/>
        </w:rPr>
        <w:t>Yahya</w:t>
      </w:r>
      <w:proofErr w:type="spellEnd"/>
      <w:r w:rsidR="00070AC9" w:rsidRPr="00070AC9">
        <w:t xml:space="preserve"> </w:t>
      </w:r>
      <w:r w:rsidR="00070AC9">
        <w:t>et al., 2011</w:t>
      </w:r>
      <w:r w:rsidR="007352D4">
        <w:rPr>
          <w:lang w:val="en-US"/>
        </w:rPr>
        <w:t>)</w:t>
      </w:r>
      <w:r w:rsidRPr="00197750">
        <w:rPr>
          <w:lang w:val="en-US"/>
        </w:rPr>
        <w:t>.</w:t>
      </w:r>
    </w:p>
    <w:p w:rsidR="00197750" w:rsidRPr="00197750" w:rsidRDefault="00197750" w:rsidP="00197750">
      <w:pPr>
        <w:autoSpaceDE w:val="0"/>
        <w:autoSpaceDN w:val="0"/>
        <w:adjustRightInd w:val="0"/>
        <w:rPr>
          <w:lang w:val="en-US" w:eastAsia="ru-RU"/>
        </w:rPr>
      </w:pPr>
      <w:r w:rsidRPr="00197750">
        <w:rPr>
          <w:lang w:val="en-US"/>
        </w:rPr>
        <w:t xml:space="preserve">The use of biomass as raw material for the synthesis of fuels and chemicals is nowadays a major challenge because of the scarcity of fossil fuels and global climate change concerns. Although from a thermodynamic point of view, the use of biomass for satisfying the needs of fuels and chemicals is reliable </w:t>
      </w:r>
      <w:r w:rsidR="007352D4">
        <w:rPr>
          <w:lang w:val="en-US"/>
        </w:rPr>
        <w:t>(</w:t>
      </w:r>
      <w:proofErr w:type="spellStart"/>
      <w:r w:rsidR="007352D4" w:rsidRPr="004F574C">
        <w:rPr>
          <w:lang w:val="en-US"/>
        </w:rPr>
        <w:t>Tichit</w:t>
      </w:r>
      <w:proofErr w:type="spellEnd"/>
      <w:r w:rsidR="007352D4" w:rsidRPr="007352D4">
        <w:t xml:space="preserve"> </w:t>
      </w:r>
      <w:r w:rsidR="007352D4">
        <w:t>et al., 2003</w:t>
      </w:r>
      <w:r w:rsidR="007352D4">
        <w:rPr>
          <w:lang w:val="en-US"/>
        </w:rPr>
        <w:t>)</w:t>
      </w:r>
      <w:r w:rsidR="007352D4" w:rsidRPr="00197750">
        <w:rPr>
          <w:lang w:val="en-US"/>
        </w:rPr>
        <w:t>;</w:t>
      </w:r>
      <w:r w:rsidRPr="00197750">
        <w:rPr>
          <w:lang w:val="en-US"/>
        </w:rPr>
        <w:t xml:space="preserve"> many technological limitations burden this possibility. Only a very minor fraction of this biomass (triglycerides, sugars</w:t>
      </w:r>
      <w:r w:rsidR="007352D4">
        <w:rPr>
          <w:lang w:val="en-US"/>
        </w:rPr>
        <w:t>,</w:t>
      </w:r>
      <w:r w:rsidRPr="00197750">
        <w:rPr>
          <w:lang w:val="en-US"/>
        </w:rPr>
        <w:t xml:space="preserve"> and starches) can be selectively transformed into fuels (biodiesel) or chemicals (mainly ethanol), whereas most of the biomass components (cellulose, lignin) are not easy to transform into valuable organic molecules. </w:t>
      </w:r>
      <w:proofErr w:type="gramStart"/>
      <w:r w:rsidRPr="00197750">
        <w:rPr>
          <w:lang w:val="en-US"/>
        </w:rPr>
        <w:t xml:space="preserve">Cost of the treatments of the whole biomass (such as </w:t>
      </w:r>
      <w:proofErr w:type="spellStart"/>
      <w:r w:rsidRPr="00197750">
        <w:rPr>
          <w:lang w:val="en-US"/>
        </w:rPr>
        <w:t>pyrolysis</w:t>
      </w:r>
      <w:proofErr w:type="spellEnd"/>
      <w:r w:rsidRPr="00197750">
        <w:rPr>
          <w:lang w:val="en-US"/>
        </w:rPr>
        <w:t xml:space="preserve"> or acid/enzymatic hydrolysis) lead</w:t>
      </w:r>
      <w:r w:rsidR="007352D4">
        <w:rPr>
          <w:lang w:val="en-US"/>
        </w:rPr>
        <w:t>s</w:t>
      </w:r>
      <w:r w:rsidRPr="00197750">
        <w:rPr>
          <w:lang w:val="en-US"/>
        </w:rPr>
        <w:t xml:space="preserve"> to the formation of low-rank organic molecules of low molecular weight and high oxygen/carbon ratio.</w:t>
      </w:r>
      <w:proofErr w:type="gramEnd"/>
      <w:r w:rsidRPr="00197750">
        <w:rPr>
          <w:lang w:val="en-US"/>
        </w:rPr>
        <w:t xml:space="preserve"> In this way, </w:t>
      </w:r>
      <w:proofErr w:type="spellStart"/>
      <w:r w:rsidRPr="00197750">
        <w:rPr>
          <w:lang w:val="en-US"/>
        </w:rPr>
        <w:t>bioethanol</w:t>
      </w:r>
      <w:proofErr w:type="spellEnd"/>
      <w:r w:rsidRPr="00197750">
        <w:rPr>
          <w:lang w:val="en-US"/>
        </w:rPr>
        <w:t xml:space="preserve"> is obtained in the fermentation of sugars and starches; chemicals such as acetone, acetic acid, phenols, furfural and </w:t>
      </w:r>
      <w:r w:rsidR="00961AD0" w:rsidRPr="00961AD0">
        <w:rPr>
          <w:lang w:val="en-US"/>
        </w:rPr>
        <w:t>another</w:t>
      </w:r>
      <w:r w:rsidR="00961AD0">
        <w:rPr>
          <w:lang w:val="en-US"/>
        </w:rPr>
        <w:t xml:space="preserve"> </w:t>
      </w:r>
      <w:r w:rsidRPr="00197750">
        <w:rPr>
          <w:lang w:val="en-US"/>
        </w:rPr>
        <w:t xml:space="preserve">light oxygenates are released during the fast </w:t>
      </w:r>
      <w:proofErr w:type="spellStart"/>
      <w:r w:rsidRPr="00197750">
        <w:rPr>
          <w:lang w:val="en-US"/>
        </w:rPr>
        <w:t>pyrolysis</w:t>
      </w:r>
      <w:proofErr w:type="spellEnd"/>
      <w:r w:rsidRPr="00197750">
        <w:rPr>
          <w:lang w:val="en-US"/>
        </w:rPr>
        <w:t xml:space="preserve"> of biomass feedstock </w:t>
      </w:r>
      <w:r w:rsidR="007352D4">
        <w:rPr>
          <w:lang w:val="en-US"/>
        </w:rPr>
        <w:t>(</w:t>
      </w:r>
      <w:proofErr w:type="spellStart"/>
      <w:r w:rsidR="007352D4" w:rsidRPr="004F574C">
        <w:rPr>
          <w:lang w:val="en-US"/>
        </w:rPr>
        <w:t>Pandey</w:t>
      </w:r>
      <w:proofErr w:type="spellEnd"/>
      <w:r w:rsidR="007352D4">
        <w:rPr>
          <w:lang w:val="en-US"/>
        </w:rPr>
        <w:t>, 2009)</w:t>
      </w:r>
      <w:r w:rsidRPr="00197750">
        <w:rPr>
          <w:lang w:val="en-US"/>
        </w:rPr>
        <w:t>, and</w:t>
      </w:r>
      <w:r w:rsidR="00961AD0">
        <w:rPr>
          <w:lang w:val="en-US"/>
        </w:rPr>
        <w:t xml:space="preserve"> a</w:t>
      </w:r>
      <w:r w:rsidRPr="00197750">
        <w:rPr>
          <w:lang w:val="en-US"/>
        </w:rPr>
        <w:t xml:space="preserve"> large </w:t>
      </w:r>
      <w:r w:rsidR="00961AD0" w:rsidRPr="00961AD0">
        <w:rPr>
          <w:lang w:val="en-US"/>
        </w:rPr>
        <w:t>number</w:t>
      </w:r>
      <w:r w:rsidR="00961AD0">
        <w:rPr>
          <w:lang w:val="en-US"/>
        </w:rPr>
        <w:t xml:space="preserve"> </w:t>
      </w:r>
      <w:r w:rsidRPr="00197750">
        <w:rPr>
          <w:lang w:val="en-US"/>
        </w:rPr>
        <w:t xml:space="preserve">of oxidized derivatives of the sugars (such as furfural, </w:t>
      </w:r>
      <w:proofErr w:type="spellStart"/>
      <w:r w:rsidRPr="00197750">
        <w:rPr>
          <w:lang w:val="en-US"/>
        </w:rPr>
        <w:t>hydroxymethylfurfural</w:t>
      </w:r>
      <w:proofErr w:type="spellEnd"/>
      <w:r w:rsidRPr="00197750">
        <w:rPr>
          <w:lang w:val="en-US"/>
        </w:rPr>
        <w:t xml:space="preserve">, </w:t>
      </w:r>
      <w:proofErr w:type="spellStart"/>
      <w:r w:rsidRPr="00197750">
        <w:rPr>
          <w:lang w:val="en-US"/>
        </w:rPr>
        <w:t>glucuronic</w:t>
      </w:r>
      <w:proofErr w:type="spellEnd"/>
      <w:r w:rsidRPr="00197750">
        <w:rPr>
          <w:lang w:val="en-US"/>
        </w:rPr>
        <w:t xml:space="preserve"> acid) are formed during the acid hydrolysis of wooden </w:t>
      </w:r>
      <w:proofErr w:type="spellStart"/>
      <w:r w:rsidRPr="00197750">
        <w:rPr>
          <w:lang w:val="en-US"/>
        </w:rPr>
        <w:t>feedstocks</w:t>
      </w:r>
      <w:proofErr w:type="spellEnd"/>
      <w:r w:rsidRPr="00197750">
        <w:rPr>
          <w:lang w:val="en-US"/>
        </w:rPr>
        <w:t xml:space="preserve"> </w:t>
      </w:r>
      <w:r w:rsidR="007352D4">
        <w:rPr>
          <w:lang w:val="en-US"/>
        </w:rPr>
        <w:t>(</w:t>
      </w:r>
      <w:proofErr w:type="spellStart"/>
      <w:r w:rsidR="007352D4" w:rsidRPr="004F574C">
        <w:rPr>
          <w:lang w:val="en-US"/>
        </w:rPr>
        <w:t>Kunkes</w:t>
      </w:r>
      <w:proofErr w:type="spellEnd"/>
      <w:r w:rsidR="007352D4" w:rsidRPr="007352D4">
        <w:t xml:space="preserve"> </w:t>
      </w:r>
      <w:r w:rsidR="007352D4">
        <w:t>et al., 2008</w:t>
      </w:r>
      <w:r w:rsidR="007352D4">
        <w:rPr>
          <w:lang w:val="en-US"/>
        </w:rPr>
        <w:t>)</w:t>
      </w:r>
      <w:r w:rsidRPr="00197750">
        <w:rPr>
          <w:lang w:val="en-US"/>
        </w:rPr>
        <w:t xml:space="preserve">. The transformation of molecules of low molecular weight into larger molecules must involve the formation of new </w:t>
      </w:r>
      <w:r w:rsidR="00961AD0" w:rsidRPr="00961AD0">
        <w:rPr>
          <w:lang w:val="en-US"/>
        </w:rPr>
        <w:t xml:space="preserve">carbon-carbon </w:t>
      </w:r>
      <w:r w:rsidRPr="00197750">
        <w:rPr>
          <w:lang w:val="en-US"/>
        </w:rPr>
        <w:t xml:space="preserve">bonds </w:t>
      </w:r>
      <w:r w:rsidR="007352D4">
        <w:rPr>
          <w:lang w:val="en-US"/>
        </w:rPr>
        <w:t>(</w:t>
      </w:r>
      <w:proofErr w:type="spellStart"/>
      <w:r w:rsidR="007352D4" w:rsidRPr="00484F52">
        <w:rPr>
          <w:lang w:val="en-US"/>
        </w:rPr>
        <w:t>Ordóñez</w:t>
      </w:r>
      <w:proofErr w:type="spellEnd"/>
      <w:r w:rsidR="007352D4" w:rsidRPr="007352D4">
        <w:t xml:space="preserve"> </w:t>
      </w:r>
      <w:r w:rsidR="007352D4">
        <w:t>et al., 2011</w:t>
      </w:r>
      <w:r w:rsidR="007352D4">
        <w:rPr>
          <w:lang w:val="en-US"/>
        </w:rPr>
        <w:t>)</w:t>
      </w:r>
      <w:r w:rsidRPr="00197750">
        <w:rPr>
          <w:lang w:val="en-US"/>
        </w:rPr>
        <w:t xml:space="preserve">. </w:t>
      </w:r>
      <w:r w:rsidRPr="00197750">
        <w:rPr>
          <w:lang w:val="en-US" w:eastAsia="ru-RU"/>
        </w:rPr>
        <w:t xml:space="preserve">C-C bonds formation is a pivotal method to construct complex molecules from some simple substrates, with the </w:t>
      </w:r>
      <w:proofErr w:type="spellStart"/>
      <w:r w:rsidRPr="00197750">
        <w:rPr>
          <w:lang w:val="en-US" w:eastAsia="ru-RU"/>
        </w:rPr>
        <w:t>electrophilic</w:t>
      </w:r>
      <w:proofErr w:type="spellEnd"/>
      <w:r w:rsidRPr="00197750">
        <w:rPr>
          <w:lang w:val="en-US" w:eastAsia="ru-RU"/>
        </w:rPr>
        <w:t xml:space="preserve"> alkylation of a given starting material being one of the most useful procedures</w:t>
      </w:r>
      <w:r w:rsidR="00562FAB">
        <w:rPr>
          <w:lang w:val="en-US" w:eastAsia="ru-RU"/>
        </w:rPr>
        <w:t xml:space="preserve"> </w:t>
      </w:r>
      <w:r w:rsidR="007915EF">
        <w:rPr>
          <w:lang w:val="en-US" w:eastAsia="ru-RU"/>
        </w:rPr>
        <w:t>(</w:t>
      </w:r>
      <w:r w:rsidR="007915EF" w:rsidRPr="0041016F">
        <w:rPr>
          <w:lang w:val="en-US"/>
        </w:rPr>
        <w:t>Schreiber</w:t>
      </w:r>
      <w:r w:rsidR="007915EF">
        <w:rPr>
          <w:lang w:val="en-US"/>
        </w:rPr>
        <w:t>, 2000</w:t>
      </w:r>
      <w:r w:rsidR="007915EF">
        <w:rPr>
          <w:lang w:val="en-US" w:eastAsia="ru-RU"/>
        </w:rPr>
        <w:t>)</w:t>
      </w:r>
      <w:r w:rsidRPr="00197750">
        <w:rPr>
          <w:lang w:val="en-US" w:eastAsia="ru-RU"/>
        </w:rPr>
        <w:t xml:space="preserve">. Alcohols are one of the most basic and important organic materials owing to their wide variety of uses in industrial and laboratory chemistry. </w:t>
      </w:r>
    </w:p>
    <w:p w:rsidR="00197750" w:rsidRPr="00197750" w:rsidRDefault="00197750" w:rsidP="00197750">
      <w:pPr>
        <w:autoSpaceDE w:val="0"/>
        <w:autoSpaceDN w:val="0"/>
        <w:adjustRightInd w:val="0"/>
        <w:rPr>
          <w:lang w:val="en-US" w:eastAsia="ru-RU"/>
        </w:rPr>
      </w:pPr>
      <w:r w:rsidRPr="00197750">
        <w:rPr>
          <w:lang w:val="en-US" w:eastAsia="ru-RU"/>
        </w:rPr>
        <w:t>The classic β-alkylation of secondary alcohol leading to higher alcohol usually requires tedious processes producing a lot of waste: oxidation, alkylation</w:t>
      </w:r>
      <w:r w:rsidR="00562FAB">
        <w:rPr>
          <w:lang w:val="en-US" w:eastAsia="ru-RU"/>
        </w:rPr>
        <w:t>,</w:t>
      </w:r>
      <w:r w:rsidRPr="00197750">
        <w:rPr>
          <w:lang w:val="en-US" w:eastAsia="ru-RU"/>
        </w:rPr>
        <w:t xml:space="preserve"> and reduction, which cause some disadvantages in the atom economic</w:t>
      </w:r>
      <w:r w:rsidR="00562FAB">
        <w:rPr>
          <w:lang w:val="en-US" w:eastAsia="ru-RU"/>
        </w:rPr>
        <w:t xml:space="preserve"> (</w:t>
      </w:r>
      <w:r w:rsidR="00562FAB" w:rsidRPr="004F574C">
        <w:rPr>
          <w:lang w:val="en-US"/>
        </w:rPr>
        <w:t>Sheldon</w:t>
      </w:r>
      <w:r w:rsidR="00562FAB">
        <w:rPr>
          <w:lang w:val="en-US"/>
        </w:rPr>
        <w:t>, 2000</w:t>
      </w:r>
      <w:r w:rsidR="00562FAB">
        <w:rPr>
          <w:lang w:val="en-US" w:eastAsia="ru-RU"/>
        </w:rPr>
        <w:t>)</w:t>
      </w:r>
      <w:r w:rsidRPr="00197750">
        <w:rPr>
          <w:lang w:val="en-US" w:eastAsia="ru-RU"/>
        </w:rPr>
        <w:t xml:space="preserve"> and environmental </w:t>
      </w:r>
      <w:r w:rsidR="00562FAB">
        <w:rPr>
          <w:lang w:val="en-US" w:eastAsia="ru-RU"/>
        </w:rPr>
        <w:t>(</w:t>
      </w:r>
      <w:proofErr w:type="spellStart"/>
      <w:r w:rsidR="00562FAB" w:rsidRPr="004F574C">
        <w:rPr>
          <w:lang w:val="en-US"/>
        </w:rPr>
        <w:t>Jenck</w:t>
      </w:r>
      <w:proofErr w:type="spellEnd"/>
      <w:r w:rsidR="00562FAB">
        <w:rPr>
          <w:lang w:val="en-US"/>
        </w:rPr>
        <w:t xml:space="preserve"> </w:t>
      </w:r>
      <w:r w:rsidR="00562FAB">
        <w:t>et al., 2004</w:t>
      </w:r>
      <w:r w:rsidR="00562FAB">
        <w:rPr>
          <w:lang w:val="en-US" w:eastAsia="ru-RU"/>
        </w:rPr>
        <w:t>)</w:t>
      </w:r>
      <w:r w:rsidRPr="00197750">
        <w:rPr>
          <w:lang w:val="en-US" w:eastAsia="ru-RU"/>
        </w:rPr>
        <w:t xml:space="preserve"> points of view. Thus any new strategy for </w:t>
      </w:r>
      <w:r w:rsidRPr="00197750">
        <w:rPr>
          <w:lang w:val="en-US" w:eastAsia="ru-RU"/>
        </w:rPr>
        <w:lastRenderedPageBreak/>
        <w:t xml:space="preserve">the catalytic direct β-alkylation of secondary alcohols to create higher alcohols would be highly desirable, all the more so if it is an environmentally benign route with high atom efficiency </w:t>
      </w:r>
      <w:r w:rsidR="006E7C17">
        <w:rPr>
          <w:lang w:val="en-US" w:eastAsia="ru-RU"/>
        </w:rPr>
        <w:t>(</w:t>
      </w:r>
      <w:r w:rsidR="00562FAB" w:rsidRPr="004F574C">
        <w:rPr>
          <w:lang w:val="en-US"/>
        </w:rPr>
        <w:t>Yang</w:t>
      </w:r>
      <w:r w:rsidR="00562FAB" w:rsidRPr="00562FAB">
        <w:t xml:space="preserve"> </w:t>
      </w:r>
      <w:r w:rsidR="00562FAB">
        <w:t>et al., 2012</w:t>
      </w:r>
      <w:r w:rsidR="006E7C17">
        <w:rPr>
          <w:lang w:val="en-US" w:eastAsia="ru-RU"/>
        </w:rPr>
        <w:t>)</w:t>
      </w:r>
      <w:r w:rsidRPr="00197750">
        <w:rPr>
          <w:lang w:val="en-US" w:eastAsia="ru-RU"/>
        </w:rPr>
        <w:t>.</w:t>
      </w:r>
    </w:p>
    <w:p w:rsidR="00197750" w:rsidRPr="00197750" w:rsidRDefault="00197750" w:rsidP="00197750">
      <w:pPr>
        <w:pStyle w:val="CETBodytext"/>
        <w:rPr>
          <w:lang w:val="en-GB"/>
        </w:rPr>
      </w:pPr>
      <w:r w:rsidRPr="00B53D2F">
        <w:rPr>
          <w:lang w:eastAsia="ru-RU"/>
        </w:rPr>
        <w:t xml:space="preserve">The scope of the present work is to study the </w:t>
      </w:r>
      <w:r>
        <w:rPr>
          <w:lang w:eastAsia="ru-RU"/>
        </w:rPr>
        <w:t>effect</w:t>
      </w:r>
      <w:r w:rsidRPr="00B53D2F">
        <w:rPr>
          <w:lang w:eastAsia="ru-RU"/>
        </w:rPr>
        <w:t xml:space="preserve"> of </w:t>
      </w:r>
      <w:r>
        <w:rPr>
          <w:lang w:eastAsia="ru-RU"/>
        </w:rPr>
        <w:t>Cu and Pd supported on γ-Al</w:t>
      </w:r>
      <w:r w:rsidRPr="00C47B1D">
        <w:rPr>
          <w:vertAlign w:val="subscript"/>
          <w:lang w:eastAsia="ru-RU"/>
        </w:rPr>
        <w:t>2</w:t>
      </w:r>
      <w:r>
        <w:rPr>
          <w:lang w:eastAsia="ru-RU"/>
        </w:rPr>
        <w:t>O</w:t>
      </w:r>
      <w:r w:rsidRPr="00C47B1D">
        <w:rPr>
          <w:vertAlign w:val="subscript"/>
          <w:lang w:eastAsia="ru-RU"/>
        </w:rPr>
        <w:t>3</w:t>
      </w:r>
      <w:r>
        <w:rPr>
          <w:lang w:eastAsia="ru-RU"/>
        </w:rPr>
        <w:t xml:space="preserve"> on selectivity and catalytic activity in </w:t>
      </w:r>
      <w:proofErr w:type="spellStart"/>
      <w:r>
        <w:rPr>
          <w:lang w:eastAsia="ru-RU"/>
        </w:rPr>
        <w:t>bioalcohols</w:t>
      </w:r>
      <w:proofErr w:type="spellEnd"/>
      <w:r>
        <w:rPr>
          <w:lang w:eastAsia="ru-RU"/>
        </w:rPr>
        <w:t xml:space="preserve"> cross-coupling reaction. </w:t>
      </w:r>
      <w:r w:rsidRPr="00BA7AEE">
        <w:t>Previously</w:t>
      </w:r>
      <w:r>
        <w:t>,</w:t>
      </w:r>
      <w:r w:rsidRPr="00BA7AEE">
        <w:t xml:space="preserve"> we found that during heterogeneously catalyzed conversion of ethanol with </w:t>
      </w:r>
      <w:proofErr w:type="spellStart"/>
      <w:r w:rsidRPr="00BA7AEE">
        <w:t>isopropanol</w:t>
      </w:r>
      <w:proofErr w:type="spellEnd"/>
      <w:r w:rsidRPr="00BA7AEE">
        <w:t xml:space="preserve"> 2-pentanol formed with the yield equal to 35 wt</w:t>
      </w:r>
      <w:proofErr w:type="gramStart"/>
      <w:r w:rsidRPr="00BA7AEE">
        <w:t>.%</w:t>
      </w:r>
      <w:proofErr w:type="gramEnd"/>
      <w:r>
        <w:t xml:space="preserve"> </w:t>
      </w:r>
      <w:r w:rsidR="006E7C17">
        <w:t>(</w:t>
      </w:r>
      <w:proofErr w:type="spellStart"/>
      <w:r w:rsidR="005F0E68">
        <w:t>Zharova</w:t>
      </w:r>
      <w:proofErr w:type="spellEnd"/>
      <w:r w:rsidR="006E7C17">
        <w:t xml:space="preserve"> et al., 201</w:t>
      </w:r>
      <w:r w:rsidR="005F0E68">
        <w:t>6</w:t>
      </w:r>
      <w:r w:rsidR="006E7C17">
        <w:t>)</w:t>
      </w:r>
      <w:r w:rsidRPr="00BA7AEE">
        <w:t>. The general co-products were 1-butanol, 1-hexanol</w:t>
      </w:r>
      <w:r w:rsidR="006E7C17">
        <w:t>,</w:t>
      </w:r>
      <w:r w:rsidRPr="00BA7AEE">
        <w:t xml:space="preserve"> and 1-octanol that are valuable chemicals itself. Here we propose a heterogeneously catalytic route to convert such fermentation products as ethanol, acetone, 2-propanol</w:t>
      </w:r>
      <w:r w:rsidR="006E7C17">
        <w:t>,</w:t>
      </w:r>
      <w:r w:rsidRPr="00BA7AEE">
        <w:t xml:space="preserve"> and 1-butanol obtained from a variety of renewable carbohydrate sources into precursors for petrol, diesel and jet fuels. One of the work features is the use of </w:t>
      </w:r>
      <w:proofErr w:type="spellStart"/>
      <w:r w:rsidRPr="00BA7AEE">
        <w:t>heterometallic</w:t>
      </w:r>
      <w:proofErr w:type="spellEnd"/>
      <w:r w:rsidRPr="00BA7AEE">
        <w:t xml:space="preserve"> precursors, containing different pairs of metals closer to a distance less than the sum of their covalent radii, for supported catalysts creation.</w:t>
      </w:r>
    </w:p>
    <w:p w:rsidR="00982D42" w:rsidRDefault="00982D42" w:rsidP="00982D42">
      <w:pPr>
        <w:pStyle w:val="CETHeading1"/>
        <w:tabs>
          <w:tab w:val="clear" w:pos="360"/>
          <w:tab w:val="right" w:pos="7100"/>
        </w:tabs>
        <w:jc w:val="both"/>
        <w:rPr>
          <w:lang w:val="en-GB"/>
        </w:rPr>
      </w:pPr>
      <w:r>
        <w:rPr>
          <w:lang w:val="en-GB"/>
        </w:rPr>
        <w:t>Materials and Methods</w:t>
      </w:r>
    </w:p>
    <w:p w:rsidR="00197750" w:rsidRPr="005051BD" w:rsidRDefault="00197750" w:rsidP="00C815F6">
      <w:r w:rsidRPr="00C815F6">
        <w:rPr>
          <w:lang w:val="en-US"/>
        </w:rPr>
        <w:t>As a catalyst we used 0.1wt.%Pd-0.12wt.%Cu/γ-Al</w:t>
      </w:r>
      <w:r w:rsidRPr="00C815F6">
        <w:rPr>
          <w:vertAlign w:val="subscript"/>
          <w:lang w:val="en-US"/>
        </w:rPr>
        <w:t>2</w:t>
      </w:r>
      <w:r w:rsidRPr="00C815F6">
        <w:rPr>
          <w:lang w:val="en-US"/>
        </w:rPr>
        <w:t>O</w:t>
      </w:r>
      <w:r w:rsidRPr="00C815F6">
        <w:rPr>
          <w:vertAlign w:val="subscript"/>
          <w:lang w:val="en-US"/>
        </w:rPr>
        <w:t>3</w:t>
      </w:r>
      <w:r w:rsidRPr="00C815F6">
        <w:rPr>
          <w:lang w:val="en-US"/>
        </w:rPr>
        <w:t xml:space="preserve"> system. Analytical grade ethanol, </w:t>
      </w:r>
      <w:proofErr w:type="spellStart"/>
      <w:r w:rsidRPr="00C815F6">
        <w:rPr>
          <w:lang w:val="en-US"/>
        </w:rPr>
        <w:t>isopropanol</w:t>
      </w:r>
      <w:proofErr w:type="spellEnd"/>
      <w:r w:rsidR="00720689">
        <w:rPr>
          <w:lang w:val="en-US"/>
        </w:rPr>
        <w:t>,</w:t>
      </w:r>
      <w:r w:rsidRPr="00C815F6">
        <w:rPr>
          <w:lang w:val="en-US"/>
        </w:rPr>
        <w:t xml:space="preserve"> and 1-butanol were used without further purification. Catalytic experiments were carried out in a 45 </w:t>
      </w:r>
      <w:proofErr w:type="spellStart"/>
      <w:r w:rsidRPr="00C815F6">
        <w:rPr>
          <w:lang w:val="en-US"/>
        </w:rPr>
        <w:t>mL</w:t>
      </w:r>
      <w:proofErr w:type="spellEnd"/>
      <w:r w:rsidRPr="00C815F6">
        <w:rPr>
          <w:lang w:val="en-US"/>
        </w:rPr>
        <w:t xml:space="preserve"> </w:t>
      </w:r>
      <w:r w:rsidR="00720689" w:rsidRPr="00720689">
        <w:rPr>
          <w:lang w:val="en-US"/>
        </w:rPr>
        <w:t>high-pressure</w:t>
      </w:r>
      <w:r w:rsidR="00720689">
        <w:rPr>
          <w:rFonts w:cs="Arial"/>
          <w:color w:val="222222"/>
          <w:sz w:val="16"/>
          <w:szCs w:val="16"/>
          <w:shd w:val="clear" w:color="auto" w:fill="F5F6F5"/>
        </w:rPr>
        <w:t xml:space="preserve"> </w:t>
      </w:r>
      <w:r w:rsidRPr="00C815F6">
        <w:rPr>
          <w:lang w:val="en-US"/>
        </w:rPr>
        <w:t xml:space="preserve">Parr autoclave equipped with magnetic stirring. The reactor was loaded with the catalyst (typically 4.5 g). The catalyst testing procedure was as follows: the reactor with catalyst was loaded with equal volumes of ethanol (25 ml) or ethanol and </w:t>
      </w:r>
      <w:proofErr w:type="spellStart"/>
      <w:r w:rsidRPr="00C815F6">
        <w:rPr>
          <w:lang w:val="en-US"/>
        </w:rPr>
        <w:t>isopropanol</w:t>
      </w:r>
      <w:proofErr w:type="spellEnd"/>
      <w:r w:rsidRPr="00C815F6">
        <w:rPr>
          <w:lang w:val="en-US"/>
        </w:rPr>
        <w:t xml:space="preserve"> (typically 13 ml of each alcohol) or with 25 ml of mixture containing 60 vol.% 1-butanol, 30 vol.% acetone and 10 vol.% ethanol, closed and flushed with inert gas (</w:t>
      </w:r>
      <w:proofErr w:type="spellStart"/>
      <w:r w:rsidRPr="00C815F6">
        <w:rPr>
          <w:lang w:val="en-US"/>
        </w:rPr>
        <w:t>Ar</w:t>
      </w:r>
      <w:proofErr w:type="spellEnd"/>
      <w:r w:rsidRPr="00C815F6">
        <w:rPr>
          <w:lang w:val="en-US"/>
        </w:rPr>
        <w:t>). The reactor was heated up to 275°C with a heating rate of 20°C/min. The reaction was carried out for 5 h. Then, the reactor was cooled down and analysis of the reaction mixture was performed.</w:t>
      </w:r>
    </w:p>
    <w:p w:rsidR="00A578A9" w:rsidRPr="0008301A" w:rsidRDefault="00197750" w:rsidP="00C815F6">
      <w:pPr>
        <w:pStyle w:val="afffd"/>
      </w:pPr>
      <w:r w:rsidRPr="005051BD">
        <w:rPr>
          <w:lang w:val="en-US"/>
        </w:rPr>
        <w:t>Qualitative and quantitative analysis of the C</w:t>
      </w:r>
      <w:r w:rsidRPr="001634B2">
        <w:rPr>
          <w:vertAlign w:val="subscript"/>
          <w:lang w:val="en-US"/>
        </w:rPr>
        <w:t>1</w:t>
      </w:r>
      <w:r w:rsidRPr="005051BD">
        <w:rPr>
          <w:lang w:val="en-US"/>
        </w:rPr>
        <w:t>–C</w:t>
      </w:r>
      <w:r w:rsidRPr="001634B2">
        <w:rPr>
          <w:vertAlign w:val="subscript"/>
          <w:lang w:val="en-US"/>
        </w:rPr>
        <w:t>5</w:t>
      </w:r>
      <w:r w:rsidRPr="005051BD">
        <w:rPr>
          <w:lang w:val="en-US"/>
        </w:rPr>
        <w:t xml:space="preserve"> hydrocarbon gases was performed by gas chromatography (GC) with a Kristall-4000M chromatograph (carrier gas: He, column: HP-PLOT/Al</w:t>
      </w:r>
      <w:r w:rsidRPr="001634B2">
        <w:rPr>
          <w:vertAlign w:val="subscript"/>
          <w:lang w:val="en-US"/>
        </w:rPr>
        <w:t>2</w:t>
      </w:r>
      <w:r w:rsidRPr="005051BD">
        <w:rPr>
          <w:lang w:val="en-US"/>
        </w:rPr>
        <w:t>O</w:t>
      </w:r>
      <w:r w:rsidRPr="001634B2">
        <w:rPr>
          <w:vertAlign w:val="subscript"/>
          <w:lang w:val="en-US"/>
        </w:rPr>
        <w:t>3</w:t>
      </w:r>
      <w:r w:rsidRPr="005051BD">
        <w:rPr>
          <w:lang w:val="en-US"/>
        </w:rPr>
        <w:t>, 50 m × 0.32 mm; flame ionization detector). GC analyses of CO, CO</w:t>
      </w:r>
      <w:r w:rsidRPr="001634B2">
        <w:rPr>
          <w:vertAlign w:val="subscript"/>
          <w:lang w:val="en-US"/>
        </w:rPr>
        <w:t>2</w:t>
      </w:r>
      <w:r w:rsidR="00720689" w:rsidRPr="00720689">
        <w:rPr>
          <w:lang w:val="en-US"/>
        </w:rPr>
        <w:t>,</w:t>
      </w:r>
      <w:r w:rsidRPr="005051BD">
        <w:rPr>
          <w:lang w:val="en-US"/>
        </w:rPr>
        <w:t xml:space="preserve"> and H</w:t>
      </w:r>
      <w:r w:rsidRPr="001634B2">
        <w:rPr>
          <w:vertAlign w:val="subscript"/>
          <w:lang w:val="en-US"/>
        </w:rPr>
        <w:t>2</w:t>
      </w:r>
      <w:r w:rsidRPr="005051BD">
        <w:rPr>
          <w:lang w:val="en-US"/>
        </w:rPr>
        <w:t xml:space="preserve"> were performed with a Kristall-4000 chromatograph (carrier gas: </w:t>
      </w:r>
      <w:proofErr w:type="spellStart"/>
      <w:r w:rsidRPr="005051BD">
        <w:rPr>
          <w:lang w:val="en-US"/>
        </w:rPr>
        <w:t>Ar</w:t>
      </w:r>
      <w:proofErr w:type="spellEnd"/>
      <w:r w:rsidRPr="005051BD">
        <w:rPr>
          <w:lang w:val="en-US"/>
        </w:rPr>
        <w:t>, column: SKT, 1.5 m × 4 mm; thermal conductivity detector). The qualitative composition of the liquid organic products was carried out by gas-li</w:t>
      </w:r>
      <w:r w:rsidR="00720689">
        <w:rPr>
          <w:lang w:val="en-US"/>
        </w:rPr>
        <w:t>quid chromatography coupled to</w:t>
      </w:r>
      <w:r w:rsidRPr="005051BD">
        <w:rPr>
          <w:lang w:val="en-US"/>
        </w:rPr>
        <w:t xml:space="preserve"> mass spectrometry (GLC-MS) using a</w:t>
      </w:r>
      <w:r w:rsidR="00720689">
        <w:rPr>
          <w:lang w:val="en-US"/>
        </w:rPr>
        <w:t>n</w:t>
      </w:r>
      <w:r w:rsidRPr="005051BD">
        <w:rPr>
          <w:lang w:val="en-US"/>
        </w:rPr>
        <w:t xml:space="preserve"> MSD 6973 - and an Autowt.-150 spectrometer - (EI = 70 </w:t>
      </w:r>
      <w:proofErr w:type="spellStart"/>
      <w:r w:rsidRPr="005051BD">
        <w:rPr>
          <w:lang w:val="en-US"/>
        </w:rPr>
        <w:t>eV</w:t>
      </w:r>
      <w:proofErr w:type="spellEnd"/>
      <w:r w:rsidRPr="005051BD">
        <w:rPr>
          <w:lang w:val="en-US"/>
        </w:rPr>
        <w:t xml:space="preserve">, columns: HP-5MS, 50 m × 0.32 mm and CPSil-5, 25 m × 0.15 mm). The quantitative content of the organic compounds was determined by GLC using a Varian 3600 chromatograph (carrier gas: He, column: </w:t>
      </w:r>
      <w:proofErr w:type="spellStart"/>
      <w:r w:rsidRPr="005051BD">
        <w:rPr>
          <w:lang w:val="en-US"/>
        </w:rPr>
        <w:t>Chromtec</w:t>
      </w:r>
      <w:proofErr w:type="spellEnd"/>
      <w:r w:rsidRPr="005051BD">
        <w:rPr>
          <w:lang w:val="en-US"/>
        </w:rPr>
        <w:t xml:space="preserve"> SE-30, 25 m × 0.25 mm detector: flame ionization detector).</w:t>
      </w:r>
    </w:p>
    <w:p w:rsidR="00982D42" w:rsidRPr="00197750" w:rsidRDefault="00982D42" w:rsidP="00197750">
      <w:pPr>
        <w:pStyle w:val="CETHeading1"/>
        <w:numPr>
          <w:ilvl w:val="1"/>
          <w:numId w:val="22"/>
        </w:numPr>
        <w:tabs>
          <w:tab w:val="right" w:pos="7100"/>
        </w:tabs>
        <w:jc w:val="both"/>
        <w:rPr>
          <w:lang w:val="en-GB"/>
        </w:rPr>
      </w:pPr>
      <w:r w:rsidRPr="00197750">
        <w:rPr>
          <w:lang w:val="en-GB"/>
        </w:rPr>
        <w:t>Results and Discussion</w:t>
      </w:r>
    </w:p>
    <w:p w:rsidR="00197750" w:rsidRPr="008D0327" w:rsidRDefault="00197750" w:rsidP="00C815F6">
      <w:pPr>
        <w:pStyle w:val="a9"/>
        <w:rPr>
          <w:lang w:val="en-US"/>
        </w:rPr>
      </w:pPr>
      <w:r>
        <w:rPr>
          <w:lang w:val="en-US"/>
        </w:rPr>
        <w:t>As it considered ethanol and acetone-</w:t>
      </w:r>
      <w:proofErr w:type="spellStart"/>
      <w:r>
        <w:rPr>
          <w:lang w:val="en-US"/>
        </w:rPr>
        <w:t>butanol</w:t>
      </w:r>
      <w:proofErr w:type="spellEnd"/>
      <w:r>
        <w:rPr>
          <w:lang w:val="en-US"/>
        </w:rPr>
        <w:t xml:space="preserve">-ethanol (ABE) mixture might be a prospective bio-derived source for chemicals and fuels in future </w:t>
      </w:r>
      <w:r w:rsidR="00D4231C">
        <w:rPr>
          <w:lang w:val="en-US"/>
        </w:rPr>
        <w:t>(</w:t>
      </w:r>
      <w:proofErr w:type="spellStart"/>
      <w:r w:rsidR="00D4231C">
        <w:rPr>
          <w:iCs/>
        </w:rPr>
        <w:t>Tiwari</w:t>
      </w:r>
      <w:proofErr w:type="spellEnd"/>
      <w:r>
        <w:rPr>
          <w:lang w:val="en-US"/>
        </w:rPr>
        <w:t xml:space="preserve"> </w:t>
      </w:r>
      <w:r w:rsidR="00D4231C">
        <w:t xml:space="preserve">et al., 2015; </w:t>
      </w:r>
      <w:proofErr w:type="spellStart"/>
      <w:r w:rsidR="00D4231C" w:rsidRPr="00D4231C">
        <w:rPr>
          <w:lang w:val="en-US"/>
        </w:rPr>
        <w:t>Comwien</w:t>
      </w:r>
      <w:proofErr w:type="spellEnd"/>
      <w:r w:rsidR="00D4231C" w:rsidRPr="00D4231C">
        <w:t xml:space="preserve"> </w:t>
      </w:r>
      <w:r w:rsidR="00D4231C">
        <w:t>et al.</w:t>
      </w:r>
      <w:proofErr w:type="gramStart"/>
      <w:r w:rsidR="00D4231C">
        <w:t>,2015</w:t>
      </w:r>
      <w:proofErr w:type="gramEnd"/>
      <w:r w:rsidR="00D4231C">
        <w:rPr>
          <w:lang w:val="en-US"/>
        </w:rPr>
        <w:t>)</w:t>
      </w:r>
      <w:r>
        <w:rPr>
          <w:lang w:val="en-US"/>
        </w:rPr>
        <w:t xml:space="preserve">. </w:t>
      </w:r>
      <w:r w:rsidRPr="00C43C64">
        <w:rPr>
          <w:lang w:val="en-US"/>
        </w:rPr>
        <w:t xml:space="preserve">First, we tested the activity of </w:t>
      </w:r>
      <w:r>
        <w:rPr>
          <w:lang w:val="en-US"/>
        </w:rPr>
        <w:t>Pd-Cu</w:t>
      </w:r>
      <w:r w:rsidRPr="00C43C64">
        <w:rPr>
          <w:lang w:val="en-US"/>
        </w:rPr>
        <w:t xml:space="preserve"> catalyst for self-condensation of ethanol</w:t>
      </w:r>
      <w:r>
        <w:rPr>
          <w:lang w:val="en-US"/>
        </w:rPr>
        <w:t xml:space="preserve"> to 1-butanol and higher molecule alcohols</w:t>
      </w:r>
      <w:r w:rsidRPr="00C43C64">
        <w:rPr>
          <w:lang w:val="en-US"/>
        </w:rPr>
        <w:t xml:space="preserve"> (</w:t>
      </w:r>
      <w:r>
        <w:rPr>
          <w:lang w:val="en-US"/>
        </w:rPr>
        <w:t>Scheme 1</w:t>
      </w:r>
      <w:r w:rsidRPr="00C43C64">
        <w:rPr>
          <w:lang w:val="en-US"/>
        </w:rPr>
        <w:t xml:space="preserve">). </w:t>
      </w:r>
      <w:r w:rsidRPr="008D0327">
        <w:rPr>
          <w:lang w:val="en-US"/>
        </w:rPr>
        <w:t>1-</w:t>
      </w:r>
      <w:r>
        <w:rPr>
          <w:lang w:val="en-US"/>
        </w:rPr>
        <w:t>butanol</w:t>
      </w:r>
      <w:r w:rsidRPr="008D0327">
        <w:rPr>
          <w:lang w:val="en-US"/>
        </w:rPr>
        <w:t xml:space="preserve"> </w:t>
      </w:r>
      <w:r>
        <w:rPr>
          <w:lang w:val="en-US"/>
        </w:rPr>
        <w:t>is</w:t>
      </w:r>
      <w:r w:rsidRPr="008D0327">
        <w:rPr>
          <w:lang w:val="en-US"/>
        </w:rPr>
        <w:t xml:space="preserve"> </w:t>
      </w:r>
      <w:r>
        <w:rPr>
          <w:lang w:val="en-US"/>
        </w:rPr>
        <w:t>known</w:t>
      </w:r>
      <w:r w:rsidRPr="008D0327">
        <w:rPr>
          <w:lang w:val="en-US"/>
        </w:rPr>
        <w:t xml:space="preserve"> </w:t>
      </w:r>
      <w:r>
        <w:rPr>
          <w:lang w:val="en-US"/>
        </w:rPr>
        <w:t>to</w:t>
      </w:r>
      <w:r w:rsidRPr="008D0327">
        <w:rPr>
          <w:lang w:val="en-US"/>
        </w:rPr>
        <w:t xml:space="preserve"> </w:t>
      </w:r>
      <w:r>
        <w:rPr>
          <w:lang w:val="en-US"/>
        </w:rPr>
        <w:t>be</w:t>
      </w:r>
      <w:r w:rsidRPr="008D0327">
        <w:rPr>
          <w:lang w:val="en-US"/>
        </w:rPr>
        <w:t xml:space="preserve"> </w:t>
      </w:r>
      <w:r>
        <w:rPr>
          <w:lang w:val="en-US"/>
        </w:rPr>
        <w:t>an</w:t>
      </w:r>
      <w:r w:rsidRPr="008D0327">
        <w:rPr>
          <w:lang w:val="en-US"/>
        </w:rPr>
        <w:t xml:space="preserve"> </w:t>
      </w:r>
      <w:r>
        <w:rPr>
          <w:lang w:val="en-US"/>
        </w:rPr>
        <w:t>effective</w:t>
      </w:r>
      <w:r w:rsidRPr="008D0327">
        <w:rPr>
          <w:lang w:val="en-US"/>
        </w:rPr>
        <w:t xml:space="preserve"> </w:t>
      </w:r>
      <w:r>
        <w:rPr>
          <w:lang w:val="en-US"/>
        </w:rPr>
        <w:t>additive</w:t>
      </w:r>
      <w:r w:rsidRPr="008D0327">
        <w:rPr>
          <w:lang w:val="en-US"/>
        </w:rPr>
        <w:t xml:space="preserve"> </w:t>
      </w:r>
      <w:r>
        <w:rPr>
          <w:lang w:val="en-US"/>
        </w:rPr>
        <w:t>to</w:t>
      </w:r>
      <w:r w:rsidRPr="008D0327">
        <w:rPr>
          <w:lang w:val="en-US"/>
        </w:rPr>
        <w:t xml:space="preserve"> </w:t>
      </w:r>
      <w:r>
        <w:rPr>
          <w:lang w:val="en-US"/>
        </w:rPr>
        <w:t>gasoline</w:t>
      </w:r>
      <w:r w:rsidRPr="008D0327">
        <w:rPr>
          <w:lang w:val="en-US"/>
        </w:rPr>
        <w:t xml:space="preserve"> </w:t>
      </w:r>
      <w:r w:rsidR="00D4231C">
        <w:rPr>
          <w:lang w:val="en-US"/>
        </w:rPr>
        <w:t>(</w:t>
      </w:r>
      <w:proofErr w:type="spellStart"/>
      <w:r w:rsidR="00D4231C" w:rsidRPr="00D4231C">
        <w:rPr>
          <w:lang w:val="en-US"/>
        </w:rPr>
        <w:t>Uyttebroek</w:t>
      </w:r>
      <w:proofErr w:type="spellEnd"/>
      <w:r w:rsidR="00D4231C" w:rsidRPr="00D4231C">
        <w:t xml:space="preserve"> </w:t>
      </w:r>
      <w:r w:rsidR="00D4231C">
        <w:t>et al., 2015</w:t>
      </w:r>
      <w:r w:rsidR="00D4231C">
        <w:rPr>
          <w:lang w:val="en-US"/>
        </w:rPr>
        <w:t>)</w:t>
      </w:r>
      <w:r w:rsidRPr="008D0327">
        <w:rPr>
          <w:lang w:val="en-US"/>
        </w:rPr>
        <w:t>, so the efficiency of the catalyst was evaluated as the selectivity of 1-butanol formation and the conversion of ethanol.</w:t>
      </w:r>
      <w:r>
        <w:rPr>
          <w:lang w:val="en-US"/>
        </w:rPr>
        <w:t xml:space="preserve"> </w:t>
      </w:r>
    </w:p>
    <w:p w:rsidR="00197750" w:rsidRDefault="00C815F6" w:rsidP="00C815F6">
      <w:pPr>
        <w:pStyle w:val="a9"/>
        <w:rPr>
          <w:lang w:val="en-US"/>
        </w:rPr>
      </w:pPr>
      <w:r>
        <w:object w:dxaOrig="10824"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35.25pt" o:ole="">
            <v:imagedata r:id="rId10" o:title=""/>
          </v:shape>
          <o:OLEObject Type="Embed" ProgID="ACD.ChemSketch.20" ShapeID="_x0000_i1025" DrawAspect="Content" ObjectID="_1614683102" r:id="rId11"/>
        </w:object>
      </w:r>
      <w:r w:rsidR="00197750">
        <w:rPr>
          <w:lang w:val="en-US"/>
        </w:rPr>
        <w:t xml:space="preserve"> </w:t>
      </w:r>
    </w:p>
    <w:p w:rsidR="00197750" w:rsidRPr="00C815F6" w:rsidRDefault="00197750" w:rsidP="00C815F6">
      <w:pPr>
        <w:pStyle w:val="FigureHeading"/>
        <w:rPr>
          <w:i/>
          <w:sz w:val="18"/>
          <w:szCs w:val="20"/>
        </w:rPr>
      </w:pPr>
      <w:proofErr w:type="gramStart"/>
      <w:r w:rsidRPr="00C815F6">
        <w:rPr>
          <w:i/>
          <w:sz w:val="18"/>
          <w:szCs w:val="20"/>
        </w:rPr>
        <w:t>Scheme 1.</w:t>
      </w:r>
      <w:proofErr w:type="gramEnd"/>
      <w:r w:rsidRPr="00C815F6">
        <w:rPr>
          <w:i/>
          <w:sz w:val="18"/>
          <w:szCs w:val="20"/>
        </w:rPr>
        <w:t xml:space="preserve"> </w:t>
      </w:r>
      <w:proofErr w:type="gramStart"/>
      <w:r w:rsidRPr="00C815F6">
        <w:rPr>
          <w:i/>
          <w:sz w:val="18"/>
          <w:szCs w:val="20"/>
        </w:rPr>
        <w:t>Ethanol self-condensation pathways.</w:t>
      </w:r>
      <w:proofErr w:type="gramEnd"/>
    </w:p>
    <w:p w:rsidR="00197750" w:rsidRPr="00C815F6" w:rsidRDefault="00197750" w:rsidP="00C815F6">
      <w:pPr>
        <w:autoSpaceDE w:val="0"/>
        <w:autoSpaceDN w:val="0"/>
        <w:adjustRightInd w:val="0"/>
        <w:rPr>
          <w:lang w:val="en-US"/>
        </w:rPr>
      </w:pPr>
      <w:r w:rsidRPr="00C815F6">
        <w:rPr>
          <w:lang w:val="en-US"/>
        </w:rPr>
        <w:t>The catalyst showed the highest yield of condensation product such as 1-butanol with</w:t>
      </w:r>
      <w:r w:rsidR="00875EC7">
        <w:rPr>
          <w:lang w:val="en-US"/>
        </w:rPr>
        <w:t xml:space="preserve"> the</w:t>
      </w:r>
      <w:r w:rsidRPr="00C815F6">
        <w:rPr>
          <w:lang w:val="en-US"/>
        </w:rPr>
        <w:t xml:space="preserve"> selectivity of 65.6 % at 56.3 % conversion of ethanol (Figure 1). An important aspect of any catalytic process is the lifetime of the catalyst that was investigated with </w:t>
      </w:r>
      <w:r w:rsidR="00875EC7">
        <w:rPr>
          <w:lang w:val="en-US"/>
        </w:rPr>
        <w:t xml:space="preserve">a </w:t>
      </w:r>
      <w:r w:rsidRPr="00C815F6">
        <w:rPr>
          <w:lang w:val="en-US"/>
        </w:rPr>
        <w:t>series of consecutive experiments. During the first 20 hours being on stream</w:t>
      </w:r>
      <w:r w:rsidR="00875EC7">
        <w:rPr>
          <w:lang w:val="en-US"/>
        </w:rPr>
        <w:t>,</w:t>
      </w:r>
      <w:r w:rsidRPr="00C815F6">
        <w:rPr>
          <w:lang w:val="en-US"/>
        </w:rPr>
        <w:t xml:space="preserve"> the catalyst changes its activity and selectivity very markedly. After that, an insignificant (not more than 10%) decrease in the conversion of ethanol and an increase (no more than 10%) of the selectivity of the formation of 1-butanol is observed until 70 hours. The selectivity of the formation of 1-octanol and 1-hexanol remains constant. After 70 hours of operation of the catalyst, the reduction in the degree of conversion of ethanol becomes more pronounced, and the dynamics of increasing selectivity of 1-butanol formation slows down.</w:t>
      </w:r>
    </w:p>
    <w:p w:rsidR="00197750" w:rsidRDefault="00197750" w:rsidP="00C815F6">
      <w:pPr>
        <w:pStyle w:val="a9"/>
        <w:rPr>
          <w:lang w:val="en-US"/>
        </w:rPr>
      </w:pPr>
      <w:r w:rsidRPr="009A0EBD">
        <w:rPr>
          <w:lang w:val="en-US"/>
        </w:rPr>
        <w:t>During the self-condensation reaction of ethanol, water forms. The results of the study of the effect of water content in ethanol on the selectivity of the reaction are shown in Figure 2. It is shown that when using absolute ethanol, its conversion is significantly increased, while the selectivity to 1-butanol remains practically constant. The selectivity of formation of 1</w:t>
      </w:r>
      <w:r>
        <w:rPr>
          <w:lang w:val="en-US"/>
        </w:rPr>
        <w:t>-</w:t>
      </w:r>
      <w:r w:rsidRPr="009A0EBD">
        <w:rPr>
          <w:lang w:val="en-US"/>
        </w:rPr>
        <w:t>hexanol and 1</w:t>
      </w:r>
      <w:r>
        <w:rPr>
          <w:lang w:val="en-US"/>
        </w:rPr>
        <w:t>-octanol</w:t>
      </w:r>
      <w:r w:rsidRPr="009A0EBD">
        <w:rPr>
          <w:lang w:val="en-US"/>
        </w:rPr>
        <w:t xml:space="preserve"> decreases in proportion to the increase in water content. It is likely that a significant reduction in the degree of conversion of ethanol with increasing water concentration in the reaction zone is due to competitive </w:t>
      </w:r>
      <w:proofErr w:type="spellStart"/>
      <w:r w:rsidRPr="009A0EBD">
        <w:rPr>
          <w:lang w:val="en-US"/>
        </w:rPr>
        <w:t>chemisorption</w:t>
      </w:r>
      <w:proofErr w:type="spellEnd"/>
      <w:r w:rsidRPr="009A0EBD">
        <w:rPr>
          <w:lang w:val="en-US"/>
        </w:rPr>
        <w:t xml:space="preserve"> of water and ethanol at identical active </w:t>
      </w:r>
      <w:r w:rsidRPr="009A0EBD">
        <w:rPr>
          <w:lang w:val="en-US"/>
        </w:rPr>
        <w:lastRenderedPageBreak/>
        <w:t>sites. Perhaps the water molecules form tightly bound surface compounds with the catalyst, thereby blocking the active sites from the molecules of the alcohol.</w:t>
      </w:r>
    </w:p>
    <w:p w:rsidR="00197750" w:rsidRDefault="00197750" w:rsidP="00C815F6">
      <w:pPr>
        <w:pStyle w:val="a9"/>
        <w:jc w:val="center"/>
        <w:rPr>
          <w:b/>
          <w:bCs/>
        </w:rPr>
      </w:pPr>
      <w:r w:rsidRPr="009C708A">
        <w:rPr>
          <w:b/>
          <w:noProof/>
          <w:kern w:val="28"/>
          <w:lang w:val="ru-RU" w:eastAsia="ru-RU"/>
        </w:rPr>
        <w:drawing>
          <wp:inline distT="0" distB="0" distL="0" distR="0">
            <wp:extent cx="5238750" cy="2847975"/>
            <wp:effectExtent l="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7750" w:rsidRPr="00C815F6" w:rsidRDefault="00197750" w:rsidP="00C815F6">
      <w:pPr>
        <w:pStyle w:val="FigureHeading"/>
        <w:rPr>
          <w:i/>
          <w:sz w:val="18"/>
          <w:szCs w:val="20"/>
        </w:rPr>
      </w:pPr>
      <w:r w:rsidRPr="00C815F6">
        <w:rPr>
          <w:i/>
          <w:sz w:val="18"/>
          <w:szCs w:val="20"/>
        </w:rPr>
        <w:t>Fig</w:t>
      </w:r>
      <w:proofErr w:type="spellStart"/>
      <w:r w:rsidR="00AB5E81">
        <w:rPr>
          <w:i/>
          <w:sz w:val="18"/>
          <w:szCs w:val="20"/>
          <w:lang w:val="en-US"/>
        </w:rPr>
        <w:t>ure</w:t>
      </w:r>
      <w:proofErr w:type="spellEnd"/>
      <w:r w:rsidRPr="00C815F6">
        <w:rPr>
          <w:i/>
          <w:sz w:val="18"/>
          <w:szCs w:val="20"/>
        </w:rPr>
        <w:t xml:space="preserve"> 1</w:t>
      </w:r>
      <w:r w:rsidR="00AB5E81">
        <w:rPr>
          <w:i/>
          <w:sz w:val="18"/>
          <w:szCs w:val="20"/>
        </w:rPr>
        <w:t>:</w:t>
      </w:r>
      <w:r w:rsidRPr="00C815F6">
        <w:rPr>
          <w:i/>
          <w:sz w:val="18"/>
          <w:szCs w:val="20"/>
        </w:rPr>
        <w:t xml:space="preserve"> Dynamics of 1-butanol (</w:t>
      </w:r>
      <w:proofErr w:type="gramStart"/>
      <w:r w:rsidRPr="00C815F6">
        <w:rPr>
          <w:i/>
          <w:sz w:val="18"/>
          <w:szCs w:val="20"/>
        </w:rPr>
        <w:t>S(</w:t>
      </w:r>
      <w:proofErr w:type="gramEnd"/>
      <w:r w:rsidRPr="00C815F6">
        <w:rPr>
          <w:i/>
          <w:sz w:val="18"/>
          <w:szCs w:val="20"/>
        </w:rPr>
        <w:t>1-BuOH)), 1-hexanol (S-(1HexOH)), 1-octanol (S(1-OctOH)) selectivity and ethanol conversion changes during stability experiments.</w:t>
      </w:r>
    </w:p>
    <w:p w:rsidR="00197750" w:rsidRDefault="00197750" w:rsidP="00C815F6">
      <w:pPr>
        <w:pStyle w:val="a9"/>
        <w:jc w:val="center"/>
        <w:rPr>
          <w:bCs/>
          <w:lang w:val="ru-RU"/>
        </w:rPr>
      </w:pPr>
      <w:r w:rsidRPr="004068CA">
        <w:rPr>
          <w:bCs/>
          <w:noProof/>
          <w:lang w:val="ru-RU" w:eastAsia="ru-RU"/>
        </w:rPr>
        <w:drawing>
          <wp:inline distT="0" distB="0" distL="0" distR="0">
            <wp:extent cx="4010025" cy="240030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7750" w:rsidRPr="00C815F6" w:rsidRDefault="00197750" w:rsidP="00C815F6">
      <w:pPr>
        <w:pStyle w:val="FigureHeading"/>
        <w:rPr>
          <w:i/>
          <w:sz w:val="18"/>
          <w:szCs w:val="20"/>
        </w:rPr>
      </w:pPr>
      <w:r w:rsidRPr="00C815F6">
        <w:rPr>
          <w:i/>
          <w:sz w:val="18"/>
          <w:szCs w:val="20"/>
        </w:rPr>
        <w:t>Fig</w:t>
      </w:r>
      <w:r w:rsidR="00AB5E81">
        <w:rPr>
          <w:i/>
          <w:sz w:val="18"/>
          <w:szCs w:val="20"/>
        </w:rPr>
        <w:t xml:space="preserve">ure </w:t>
      </w:r>
      <w:r w:rsidRPr="00C815F6">
        <w:rPr>
          <w:i/>
          <w:sz w:val="18"/>
          <w:szCs w:val="20"/>
        </w:rPr>
        <w:t>2</w:t>
      </w:r>
      <w:r w:rsidR="00AB5E81">
        <w:rPr>
          <w:i/>
          <w:sz w:val="18"/>
          <w:szCs w:val="20"/>
        </w:rPr>
        <w:t>:</w:t>
      </w:r>
      <w:r w:rsidRPr="00C815F6">
        <w:rPr>
          <w:i/>
          <w:sz w:val="18"/>
          <w:szCs w:val="20"/>
        </w:rPr>
        <w:t xml:space="preserve"> Water content effect on the self-condensation of ethanol reaction parameters.</w:t>
      </w:r>
    </w:p>
    <w:p w:rsidR="00197750" w:rsidRDefault="00197750" w:rsidP="00C31698">
      <w:pPr>
        <w:pStyle w:val="a9"/>
        <w:spacing w:after="0"/>
        <w:rPr>
          <w:bCs/>
          <w:lang w:val="en-US"/>
        </w:rPr>
      </w:pPr>
      <w:r>
        <w:rPr>
          <w:bCs/>
          <w:lang w:val="en-US"/>
        </w:rPr>
        <w:t xml:space="preserve">To evaluate regularities of ABE mixture conversion first we tested ethanol and acetone mixture conversion and 1-butanol and acetone mixture conversion. </w:t>
      </w:r>
      <w:r w:rsidRPr="00825801">
        <w:rPr>
          <w:bCs/>
          <w:lang w:val="en-US"/>
        </w:rPr>
        <w:t>Ethanol and 1-butanol do not react under the reaction conditions with each other.</w:t>
      </w:r>
      <w:r w:rsidRPr="006811E6">
        <w:rPr>
          <w:bCs/>
          <w:lang w:val="en-US"/>
        </w:rPr>
        <w:t xml:space="preserve"> </w:t>
      </w:r>
      <w:r>
        <w:rPr>
          <w:bCs/>
          <w:lang w:val="en-US"/>
        </w:rPr>
        <w:t>Products</w:t>
      </w:r>
      <w:r w:rsidRPr="00C05464">
        <w:rPr>
          <w:bCs/>
          <w:lang w:val="en-US"/>
        </w:rPr>
        <w:t xml:space="preserve"> </w:t>
      </w:r>
      <w:r>
        <w:rPr>
          <w:bCs/>
          <w:lang w:val="en-US"/>
        </w:rPr>
        <w:t>composition</w:t>
      </w:r>
      <w:r w:rsidRPr="00C05464">
        <w:rPr>
          <w:bCs/>
          <w:lang w:val="en-US"/>
        </w:rPr>
        <w:t xml:space="preserve"> </w:t>
      </w:r>
      <w:r>
        <w:rPr>
          <w:bCs/>
          <w:lang w:val="en-US"/>
        </w:rPr>
        <w:t>of</w:t>
      </w:r>
      <w:r w:rsidRPr="00C05464">
        <w:rPr>
          <w:bCs/>
          <w:lang w:val="en-US"/>
        </w:rPr>
        <w:t xml:space="preserve"> 50 </w:t>
      </w:r>
      <w:r>
        <w:rPr>
          <w:bCs/>
          <w:lang w:val="en-US"/>
        </w:rPr>
        <w:t>vol</w:t>
      </w:r>
      <w:proofErr w:type="gramStart"/>
      <w:r w:rsidRPr="00C05464">
        <w:rPr>
          <w:bCs/>
          <w:lang w:val="en-US"/>
        </w:rPr>
        <w:t>.%</w:t>
      </w:r>
      <w:proofErr w:type="gramEnd"/>
      <w:r w:rsidRPr="00C05464">
        <w:rPr>
          <w:bCs/>
          <w:lang w:val="en-US"/>
        </w:rPr>
        <w:t xml:space="preserve"> </w:t>
      </w:r>
      <w:r>
        <w:rPr>
          <w:bCs/>
          <w:lang w:val="en-US"/>
        </w:rPr>
        <w:t>ethanol</w:t>
      </w:r>
      <w:r w:rsidRPr="00C05464">
        <w:rPr>
          <w:bCs/>
          <w:lang w:val="en-US"/>
        </w:rPr>
        <w:t xml:space="preserve"> </w:t>
      </w:r>
      <w:r>
        <w:rPr>
          <w:bCs/>
          <w:lang w:val="en-US"/>
        </w:rPr>
        <w:t>and</w:t>
      </w:r>
      <w:r w:rsidRPr="00C05464">
        <w:rPr>
          <w:bCs/>
          <w:lang w:val="en-US"/>
        </w:rPr>
        <w:t xml:space="preserve"> 50 </w:t>
      </w:r>
      <w:r>
        <w:rPr>
          <w:bCs/>
          <w:lang w:val="en-US"/>
        </w:rPr>
        <w:t>vol</w:t>
      </w:r>
      <w:r w:rsidRPr="00C05464">
        <w:rPr>
          <w:bCs/>
          <w:lang w:val="en-US"/>
        </w:rPr>
        <w:t xml:space="preserve">.% </w:t>
      </w:r>
      <w:r>
        <w:rPr>
          <w:bCs/>
          <w:lang w:val="en-US"/>
        </w:rPr>
        <w:t>acetone</w:t>
      </w:r>
      <w:r w:rsidRPr="00C05464">
        <w:rPr>
          <w:bCs/>
          <w:lang w:val="en-US"/>
        </w:rPr>
        <w:t xml:space="preserve"> </w:t>
      </w:r>
      <w:r>
        <w:rPr>
          <w:bCs/>
          <w:lang w:val="en-US"/>
        </w:rPr>
        <w:t>mixture</w:t>
      </w:r>
      <w:r w:rsidRPr="00C05464">
        <w:rPr>
          <w:bCs/>
          <w:lang w:val="en-US"/>
        </w:rPr>
        <w:t xml:space="preserve"> </w:t>
      </w:r>
      <w:r>
        <w:rPr>
          <w:bCs/>
          <w:lang w:val="en-US"/>
        </w:rPr>
        <w:t xml:space="preserve">conversion are presented in Figure 3. Conversion of both reagents was approximately 50%. The first step of the reaction is dehydrogenation of ethanol to acetaldehyde followed by β-alkylation of acetone with acetaldehyde (Scheme 2). Products analysis indicates that acetone partially reduces to </w:t>
      </w:r>
      <w:proofErr w:type="spellStart"/>
      <w:r>
        <w:rPr>
          <w:bCs/>
          <w:lang w:val="en-US"/>
        </w:rPr>
        <w:t>isopropanol</w:t>
      </w:r>
      <w:proofErr w:type="spellEnd"/>
      <w:r>
        <w:rPr>
          <w:bCs/>
          <w:lang w:val="en-US"/>
        </w:rPr>
        <w:t xml:space="preserve">. That is </w:t>
      </w:r>
      <w:r w:rsidR="00875EC7">
        <w:rPr>
          <w:bCs/>
          <w:lang w:val="en-US"/>
        </w:rPr>
        <w:t xml:space="preserve">an </w:t>
      </w:r>
      <w:r>
        <w:rPr>
          <w:bCs/>
          <w:lang w:val="en-US"/>
        </w:rPr>
        <w:t xml:space="preserve">undesirable </w:t>
      </w:r>
      <w:proofErr w:type="gramStart"/>
      <w:r>
        <w:rPr>
          <w:bCs/>
          <w:lang w:val="en-US"/>
        </w:rPr>
        <w:t>process, that</w:t>
      </w:r>
      <w:proofErr w:type="gramEnd"/>
      <w:r>
        <w:rPr>
          <w:bCs/>
          <w:lang w:val="en-US"/>
        </w:rPr>
        <w:t xml:space="preserve"> probably may be inhibited with catalyst composition tuning. The main products of alkylation of acetone with ethanol are 2-pentanon and 2-pentanol (Scheme 3, product A). The content of 4-heptanol (Scheme 3, product C) is 4.5 times smaller than one of 2-pentanol and 2-pentanon. That phenomenon indicates that predominantly only one condensation step take</w:t>
      </w:r>
      <w:r w:rsidR="00875EC7">
        <w:rPr>
          <w:bCs/>
          <w:lang w:val="en-US"/>
        </w:rPr>
        <w:t>s</w:t>
      </w:r>
      <w:r>
        <w:rPr>
          <w:bCs/>
          <w:lang w:val="en-US"/>
        </w:rPr>
        <w:t xml:space="preserve"> place.</w:t>
      </w:r>
    </w:p>
    <w:p w:rsidR="00C31698" w:rsidRPr="00FF26E4" w:rsidRDefault="00C31698" w:rsidP="00C31698">
      <w:pPr>
        <w:pStyle w:val="a9"/>
        <w:spacing w:after="0"/>
        <w:rPr>
          <w:rStyle w:val="text"/>
          <w:lang w:val="en-US"/>
        </w:rPr>
      </w:pPr>
      <w:r w:rsidRPr="00610517">
        <w:rPr>
          <w:rStyle w:val="text"/>
        </w:rPr>
        <w:t xml:space="preserve">The composition of the products of the co-conversion of 1-butanol and acetone is shown in Figure 4. It is seen from the figure that 4-heptanone dominates in the reaction products (Scheme 3, product B1), which indicates the high intensity of the stage of </w:t>
      </w:r>
      <w:proofErr w:type="spellStart"/>
      <w:r w:rsidRPr="00610517">
        <w:rPr>
          <w:rStyle w:val="text"/>
        </w:rPr>
        <w:t>monoalkylation</w:t>
      </w:r>
      <w:proofErr w:type="spellEnd"/>
      <w:r w:rsidRPr="00610517">
        <w:rPr>
          <w:rStyle w:val="text"/>
        </w:rPr>
        <w:t xml:space="preserve"> of acetone with 1-butanol. It should be noted that part of the acetone is converted to </w:t>
      </w:r>
      <w:proofErr w:type="spellStart"/>
      <w:r w:rsidRPr="00610517">
        <w:rPr>
          <w:rStyle w:val="text"/>
        </w:rPr>
        <w:t>isopropanol</w:t>
      </w:r>
      <w:proofErr w:type="spellEnd"/>
      <w:r w:rsidRPr="00610517">
        <w:rPr>
          <w:rStyle w:val="text"/>
        </w:rPr>
        <w:t xml:space="preserve">, undergoing hydrogenation with hydrogen formed during the dehydrogenation of 1-butanol (Scheme 2). The yield of </w:t>
      </w:r>
      <w:r w:rsidRPr="00650CBC">
        <w:rPr>
          <w:rStyle w:val="text"/>
        </w:rPr>
        <w:t>double alkylation</w:t>
      </w:r>
      <w:r>
        <w:rPr>
          <w:rStyle w:val="text"/>
        </w:rPr>
        <w:t xml:space="preserve"> </w:t>
      </w:r>
      <w:r w:rsidRPr="00610517">
        <w:rPr>
          <w:rStyle w:val="text"/>
        </w:rPr>
        <w:t xml:space="preserve">products is lower than </w:t>
      </w:r>
      <w:proofErr w:type="spellStart"/>
      <w:r w:rsidRPr="00610517">
        <w:rPr>
          <w:rStyle w:val="text"/>
        </w:rPr>
        <w:lastRenderedPageBreak/>
        <w:t>monoalkylated</w:t>
      </w:r>
      <w:proofErr w:type="spellEnd"/>
      <w:r w:rsidRPr="00610517">
        <w:rPr>
          <w:rStyle w:val="text"/>
        </w:rPr>
        <w:t xml:space="preserve">, but their content is approximately 20%. The main reaction products are </w:t>
      </w:r>
      <w:proofErr w:type="spellStart"/>
      <w:r w:rsidRPr="00610517">
        <w:rPr>
          <w:rStyle w:val="text"/>
        </w:rPr>
        <w:t>ketones</w:t>
      </w:r>
      <w:proofErr w:type="spellEnd"/>
      <w:r w:rsidRPr="00610517">
        <w:rPr>
          <w:rStyle w:val="text"/>
        </w:rPr>
        <w:t xml:space="preserve">. The yield of alcohols is much lower. The high content of </w:t>
      </w:r>
      <w:proofErr w:type="spellStart"/>
      <w:r w:rsidRPr="00610517">
        <w:rPr>
          <w:rStyle w:val="text"/>
        </w:rPr>
        <w:t>ketones</w:t>
      </w:r>
      <w:proofErr w:type="spellEnd"/>
      <w:r w:rsidRPr="00610517">
        <w:rPr>
          <w:rStyle w:val="text"/>
        </w:rPr>
        <w:t xml:space="preserve"> in reaction products suggests that their composition is potentially promising for the preparation of C</w:t>
      </w:r>
      <w:r w:rsidRPr="00610517">
        <w:rPr>
          <w:rStyle w:val="text"/>
          <w:vertAlign w:val="subscript"/>
        </w:rPr>
        <w:t>12</w:t>
      </w:r>
      <w:r w:rsidRPr="00610517">
        <w:rPr>
          <w:rStyle w:val="text"/>
        </w:rPr>
        <w:t>-C</w:t>
      </w:r>
      <w:r w:rsidRPr="00610517">
        <w:rPr>
          <w:rStyle w:val="text"/>
          <w:vertAlign w:val="subscript"/>
        </w:rPr>
        <w:t>18</w:t>
      </w:r>
      <w:r w:rsidRPr="00610517">
        <w:rPr>
          <w:rStyle w:val="text"/>
        </w:rPr>
        <w:t xml:space="preserve"> </w:t>
      </w:r>
      <w:proofErr w:type="gramStart"/>
      <w:r w:rsidRPr="00610517">
        <w:rPr>
          <w:rStyle w:val="text"/>
        </w:rPr>
        <w:t>compounds,</w:t>
      </w:r>
      <w:proofErr w:type="gramEnd"/>
      <w:r w:rsidRPr="00610517">
        <w:rPr>
          <w:rStyle w:val="text"/>
        </w:rPr>
        <w:t xml:space="preserve"> however, it is necessary to increase the condensing capacity of the catalyst.</w:t>
      </w:r>
    </w:p>
    <w:p w:rsidR="00197750" w:rsidRDefault="00197750" w:rsidP="00C815F6">
      <w:pPr>
        <w:pStyle w:val="a9"/>
        <w:jc w:val="center"/>
        <w:rPr>
          <w:bCs/>
          <w:lang w:val="ru-RU"/>
        </w:rPr>
      </w:pPr>
      <w:r w:rsidRPr="00946B1F">
        <w:rPr>
          <w:bCs/>
          <w:noProof/>
          <w:lang w:val="ru-RU" w:eastAsia="ru-RU"/>
        </w:rPr>
        <w:drawing>
          <wp:inline distT="0" distB="0" distL="0" distR="0">
            <wp:extent cx="4191000" cy="2447925"/>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7750" w:rsidRPr="00C815F6" w:rsidRDefault="00197750" w:rsidP="00C815F6">
      <w:pPr>
        <w:pStyle w:val="FigureHeading"/>
        <w:rPr>
          <w:i/>
          <w:sz w:val="18"/>
          <w:szCs w:val="20"/>
        </w:rPr>
      </w:pPr>
      <w:r w:rsidRPr="00C815F6">
        <w:rPr>
          <w:i/>
          <w:sz w:val="18"/>
          <w:szCs w:val="20"/>
        </w:rPr>
        <w:t>Fig</w:t>
      </w:r>
      <w:r w:rsidR="00AB5E81">
        <w:rPr>
          <w:i/>
          <w:sz w:val="18"/>
          <w:szCs w:val="20"/>
        </w:rPr>
        <w:t xml:space="preserve">ure </w:t>
      </w:r>
      <w:r w:rsidRPr="00C815F6">
        <w:rPr>
          <w:i/>
          <w:sz w:val="18"/>
          <w:szCs w:val="20"/>
        </w:rPr>
        <w:t>3</w:t>
      </w:r>
      <w:r w:rsidR="00AB5E81">
        <w:rPr>
          <w:i/>
          <w:sz w:val="18"/>
          <w:szCs w:val="20"/>
        </w:rPr>
        <w:t>:</w:t>
      </w:r>
      <w:r w:rsidRPr="00C815F6">
        <w:rPr>
          <w:i/>
          <w:sz w:val="18"/>
          <w:szCs w:val="20"/>
        </w:rPr>
        <w:t xml:space="preserve"> Products composition of 50 vol</w:t>
      </w:r>
      <w:proofErr w:type="gramStart"/>
      <w:r w:rsidRPr="00C815F6">
        <w:rPr>
          <w:i/>
          <w:sz w:val="18"/>
          <w:szCs w:val="20"/>
        </w:rPr>
        <w:t>.%</w:t>
      </w:r>
      <w:proofErr w:type="gramEnd"/>
      <w:r w:rsidRPr="00C815F6">
        <w:rPr>
          <w:i/>
          <w:sz w:val="18"/>
          <w:szCs w:val="20"/>
        </w:rPr>
        <w:t xml:space="preserve"> ethanol and 50 vol.% acetone mixture conversion</w:t>
      </w:r>
    </w:p>
    <w:p w:rsidR="00197750" w:rsidRPr="00153199" w:rsidRDefault="00197750" w:rsidP="00C815F6">
      <w:pPr>
        <w:pStyle w:val="a9"/>
        <w:jc w:val="center"/>
        <w:rPr>
          <w:bCs/>
          <w:lang w:val="ru-RU"/>
        </w:rPr>
      </w:pPr>
      <w:r w:rsidRPr="00A81179">
        <w:rPr>
          <w:bCs/>
          <w:noProof/>
          <w:lang w:val="ru-RU" w:eastAsia="ru-RU"/>
        </w:rPr>
        <w:drawing>
          <wp:inline distT="0" distB="0" distL="0" distR="0">
            <wp:extent cx="4229100" cy="2533650"/>
            <wp:effectExtent l="0" t="0" r="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7750" w:rsidRPr="00C815F6" w:rsidRDefault="00197750" w:rsidP="00C815F6">
      <w:pPr>
        <w:pStyle w:val="FigureHeading"/>
        <w:rPr>
          <w:i/>
          <w:sz w:val="18"/>
          <w:szCs w:val="20"/>
        </w:rPr>
      </w:pPr>
      <w:r w:rsidRPr="00C815F6">
        <w:rPr>
          <w:i/>
          <w:sz w:val="18"/>
          <w:szCs w:val="20"/>
        </w:rPr>
        <w:t>Fig</w:t>
      </w:r>
      <w:r w:rsidR="00F34BF4">
        <w:rPr>
          <w:i/>
          <w:sz w:val="18"/>
          <w:szCs w:val="20"/>
        </w:rPr>
        <w:t>ure</w:t>
      </w:r>
      <w:r w:rsidRPr="00C815F6">
        <w:rPr>
          <w:i/>
          <w:sz w:val="18"/>
          <w:szCs w:val="20"/>
        </w:rPr>
        <w:t xml:space="preserve"> 4</w:t>
      </w:r>
      <w:r w:rsidR="00F34BF4">
        <w:rPr>
          <w:i/>
          <w:sz w:val="18"/>
          <w:szCs w:val="20"/>
        </w:rPr>
        <w:t>:</w:t>
      </w:r>
      <w:r w:rsidRPr="00C815F6">
        <w:rPr>
          <w:i/>
          <w:sz w:val="18"/>
          <w:szCs w:val="20"/>
        </w:rPr>
        <w:t xml:space="preserve"> Products composition of 50 vol</w:t>
      </w:r>
      <w:proofErr w:type="gramStart"/>
      <w:r w:rsidRPr="00C815F6">
        <w:rPr>
          <w:i/>
          <w:sz w:val="18"/>
          <w:szCs w:val="20"/>
        </w:rPr>
        <w:t>.%</w:t>
      </w:r>
      <w:proofErr w:type="gramEnd"/>
      <w:r w:rsidRPr="00C815F6">
        <w:rPr>
          <w:i/>
          <w:sz w:val="18"/>
          <w:szCs w:val="20"/>
        </w:rPr>
        <w:t xml:space="preserve"> 1-butanol and 50 vol.% acetone mixture conversion</w:t>
      </w:r>
    </w:p>
    <w:p w:rsidR="00197750" w:rsidRPr="0073444C" w:rsidRDefault="00197750" w:rsidP="00C815F6">
      <w:pPr>
        <w:pStyle w:val="a9"/>
        <w:jc w:val="center"/>
        <w:rPr>
          <w:lang w:val="en-US"/>
        </w:rPr>
      </w:pPr>
      <w:r>
        <w:object w:dxaOrig="9111" w:dyaOrig="2193">
          <v:shape id="_x0000_i1026" type="#_x0000_t75" style="width:369.75pt;height:88.5pt" o:ole="">
            <v:imagedata r:id="rId16" o:title=""/>
          </v:shape>
          <o:OLEObject Type="Embed" ProgID="ACD.ChemSketch.20" ShapeID="_x0000_i1026" DrawAspect="Content" ObjectID="_1614683103" r:id="rId17"/>
        </w:object>
      </w:r>
    </w:p>
    <w:p w:rsidR="00197750" w:rsidRPr="00C815F6" w:rsidRDefault="00197750" w:rsidP="00C815F6">
      <w:pPr>
        <w:pStyle w:val="FigureHeading"/>
        <w:rPr>
          <w:i/>
          <w:sz w:val="18"/>
          <w:szCs w:val="20"/>
        </w:rPr>
      </w:pPr>
      <w:proofErr w:type="gramStart"/>
      <w:r w:rsidRPr="00C815F6">
        <w:rPr>
          <w:i/>
          <w:sz w:val="18"/>
          <w:szCs w:val="20"/>
        </w:rPr>
        <w:t>Scheme 2.</w:t>
      </w:r>
      <w:proofErr w:type="gramEnd"/>
      <w:r w:rsidRPr="00C815F6">
        <w:rPr>
          <w:i/>
          <w:sz w:val="18"/>
          <w:szCs w:val="20"/>
        </w:rPr>
        <w:t xml:space="preserve"> </w:t>
      </w:r>
      <w:proofErr w:type="gramStart"/>
      <w:r w:rsidRPr="00C815F6">
        <w:rPr>
          <w:i/>
          <w:sz w:val="18"/>
          <w:szCs w:val="20"/>
        </w:rPr>
        <w:t>The first step of the reaction dehydrogenation of alcohols 1) and 3).</w:t>
      </w:r>
      <w:proofErr w:type="gramEnd"/>
      <w:r w:rsidRPr="00C815F6">
        <w:rPr>
          <w:i/>
          <w:sz w:val="18"/>
          <w:szCs w:val="20"/>
        </w:rPr>
        <w:t xml:space="preserve"> </w:t>
      </w:r>
      <w:proofErr w:type="gramStart"/>
      <w:r w:rsidRPr="00C815F6">
        <w:rPr>
          <w:i/>
          <w:sz w:val="18"/>
          <w:szCs w:val="20"/>
        </w:rPr>
        <w:t>Undesirable reaction of acetone hydrogenation 3).</w:t>
      </w:r>
      <w:proofErr w:type="gramEnd"/>
    </w:p>
    <w:p w:rsidR="00197750" w:rsidRPr="00C815F6" w:rsidRDefault="00197750" w:rsidP="00C815F6">
      <w:pPr>
        <w:autoSpaceDE w:val="0"/>
        <w:autoSpaceDN w:val="0"/>
        <w:adjustRightInd w:val="0"/>
        <w:rPr>
          <w:bCs/>
          <w:lang w:val="en-US"/>
        </w:rPr>
      </w:pPr>
      <w:r w:rsidRPr="00C815F6">
        <w:rPr>
          <w:bCs/>
          <w:lang w:val="en-US"/>
        </w:rPr>
        <w:t xml:space="preserve">The composition of the products of the ABE mixture conversion is shown in Figure 5. In reaction products, </w:t>
      </w:r>
      <w:proofErr w:type="spellStart"/>
      <w:r w:rsidRPr="00C815F6">
        <w:rPr>
          <w:bCs/>
          <w:lang w:val="en-US"/>
        </w:rPr>
        <w:t>ketones</w:t>
      </w:r>
      <w:proofErr w:type="spellEnd"/>
      <w:r w:rsidRPr="00C815F6">
        <w:rPr>
          <w:bCs/>
          <w:lang w:val="en-US"/>
        </w:rPr>
        <w:t xml:space="preserve"> are observed up to three consecutive alkylation steps. Thus, the intensity of the condensation stage increases with increasing amount of initial reagents. </w:t>
      </w:r>
      <w:r w:rsidRPr="00C815F6">
        <w:rPr>
          <w:lang w:val="en-US" w:eastAsia="ru-RU"/>
        </w:rPr>
        <w:t xml:space="preserve">We explored the mechanism of the reaction by following the reaction progress (Scheme 3). </w:t>
      </w:r>
      <w:proofErr w:type="spellStart"/>
      <w:r w:rsidRPr="00C815F6">
        <w:rPr>
          <w:lang w:val="en-US" w:eastAsia="ru-RU"/>
        </w:rPr>
        <w:t>Monoalkylation</w:t>
      </w:r>
      <w:proofErr w:type="spellEnd"/>
      <w:r w:rsidRPr="00C815F6">
        <w:rPr>
          <w:lang w:val="en-US" w:eastAsia="ru-RU"/>
        </w:rPr>
        <w:t xml:space="preserve"> of acetone with 1-butanol and ethanol produces 2-pentanone and 2-heptanone. These species underwent further reaction to form double-</w:t>
      </w:r>
      <w:proofErr w:type="spellStart"/>
      <w:r w:rsidRPr="00C815F6">
        <w:rPr>
          <w:lang w:val="en-US" w:eastAsia="ru-RU"/>
        </w:rPr>
        <w:t>alkylated</w:t>
      </w:r>
      <w:proofErr w:type="spellEnd"/>
      <w:r w:rsidRPr="00C815F6">
        <w:rPr>
          <w:lang w:val="en-US" w:eastAsia="ru-RU"/>
        </w:rPr>
        <w:t xml:space="preserve"> products. No </w:t>
      </w:r>
      <w:proofErr w:type="spellStart"/>
      <w:r w:rsidRPr="00C815F6">
        <w:rPr>
          <w:lang w:val="en-US" w:eastAsia="ru-RU"/>
        </w:rPr>
        <w:lastRenderedPageBreak/>
        <w:t>aldehydes</w:t>
      </w:r>
      <w:proofErr w:type="spellEnd"/>
      <w:r w:rsidRPr="00C815F6">
        <w:rPr>
          <w:lang w:val="en-US" w:eastAsia="ru-RU"/>
        </w:rPr>
        <w:t xml:space="preserve"> were observed during the reaction, suggesting that the </w:t>
      </w:r>
      <w:proofErr w:type="spellStart"/>
      <w:r w:rsidRPr="00C815F6">
        <w:rPr>
          <w:lang w:val="en-US" w:eastAsia="ru-RU"/>
        </w:rPr>
        <w:t>aldehyde</w:t>
      </w:r>
      <w:proofErr w:type="spellEnd"/>
      <w:r w:rsidRPr="00C815F6">
        <w:rPr>
          <w:lang w:val="en-US" w:eastAsia="ru-RU"/>
        </w:rPr>
        <w:t xml:space="preserve"> intermediates were present in very low concentrations and reacted rapidly with acetone and other </w:t>
      </w:r>
      <w:proofErr w:type="spellStart"/>
      <w:r w:rsidRPr="00C815F6">
        <w:rPr>
          <w:lang w:val="en-US" w:eastAsia="ru-RU"/>
        </w:rPr>
        <w:t>ketones</w:t>
      </w:r>
      <w:proofErr w:type="spellEnd"/>
      <w:r w:rsidRPr="00C815F6">
        <w:rPr>
          <w:lang w:val="en-US" w:eastAsia="ru-RU"/>
        </w:rPr>
        <w:t xml:space="preserve">. Hence, the formation of </w:t>
      </w:r>
      <w:proofErr w:type="spellStart"/>
      <w:r w:rsidRPr="00C815F6">
        <w:rPr>
          <w:lang w:val="en-US" w:eastAsia="ru-RU"/>
        </w:rPr>
        <w:t>Guerbet</w:t>
      </w:r>
      <w:proofErr w:type="spellEnd"/>
      <w:r w:rsidRPr="00C815F6">
        <w:rPr>
          <w:lang w:val="en-US" w:eastAsia="ru-RU"/>
        </w:rPr>
        <w:t xml:space="preserve"> products was minimized, and acetone alkylation predominated.</w:t>
      </w:r>
    </w:p>
    <w:p w:rsidR="00197750" w:rsidRPr="009F4755" w:rsidRDefault="00197750" w:rsidP="00C815F6">
      <w:pPr>
        <w:pStyle w:val="a9"/>
        <w:jc w:val="center"/>
        <w:rPr>
          <w:bCs/>
          <w:lang w:val="en-US"/>
        </w:rPr>
      </w:pPr>
      <w:r w:rsidRPr="00C432C1">
        <w:rPr>
          <w:bCs/>
          <w:noProof/>
          <w:lang w:val="ru-RU" w:eastAsia="ru-RU"/>
        </w:rPr>
        <w:drawing>
          <wp:inline distT="0" distB="0" distL="0" distR="0">
            <wp:extent cx="4295775" cy="3800475"/>
            <wp:effectExtent l="19050" t="0" r="0" b="0"/>
            <wp:docPr id="14"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06620" cy="5597011"/>
                      <a:chOff x="1115616" y="908720"/>
                      <a:chExt cx="6906620" cy="5597011"/>
                    </a:xfrm>
                  </a:grpSpPr>
                  <a:grpSp>
                    <a:nvGrpSpPr>
                      <a:cNvPr id="14" name="Группа 13"/>
                      <a:cNvGrpSpPr/>
                    </a:nvGrpSpPr>
                    <a:grpSpPr>
                      <a:xfrm>
                        <a:off x="1115616" y="908720"/>
                        <a:ext cx="6906620" cy="5597011"/>
                        <a:chOff x="1115616" y="908720"/>
                        <a:chExt cx="6906620" cy="5597011"/>
                      </a:xfrm>
                    </a:grpSpPr>
                    <a:pic>
                      <a:nvPicPr>
                        <a:cNvPr id="0" name="Object 2"/>
                        <a:cNvPicPr>
                          <a:picLocks noChangeAspect="1" noChangeArrowheads="1"/>
                        </a:cNvPicPr>
                      </a:nvPicPr>
                      <a:blipFill>
                        <a:blip r:embed="rId18"/>
                        <a:srcRect/>
                        <a:stretch>
                          <a:fillRect/>
                        </a:stretch>
                      </a:blipFill>
                      <a:spPr bwMode="auto">
                        <a:xfrm>
                          <a:off x="1289050" y="1052513"/>
                          <a:ext cx="6275388" cy="4543425"/>
                        </a:xfrm>
                        <a:prstGeom prst="rect">
                          <a:avLst/>
                        </a:prstGeom>
                        <a:noFill/>
                        <a:ln w="9525">
                          <a:noFill/>
                          <a:miter lim="800000"/>
                          <a:headEnd/>
                          <a:tailEnd/>
                        </a:ln>
                        <a:effectLst/>
                      </a:spPr>
                    </a:pic>
                    <a:sp>
                      <a:nvSpPr>
                        <a:cNvPr id="5" name="Прямоугольник 4"/>
                        <a:cNvSpPr/>
                      </a:nvSpPr>
                      <a:spPr>
                        <a:xfrm>
                          <a:off x="3203848" y="908720"/>
                          <a:ext cx="2664296" cy="1584176"/>
                        </a:xfrm>
                        <a:prstGeom prst="rect">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TextBox 5"/>
                        <a:cNvSpPr txBox="1"/>
                      </a:nvSpPr>
                      <a:spPr>
                        <a:xfrm>
                          <a:off x="1259632" y="2924944"/>
                          <a:ext cx="432048" cy="369332"/>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latin typeface="Arial" pitchFamily="34" charset="0"/>
                                <a:cs typeface="Arial" pitchFamily="34" charset="0"/>
                              </a:rPr>
                              <a:t>A</a:t>
                            </a:r>
                            <a:endParaRPr lang="ru-RU" b="1" dirty="0">
                              <a:latin typeface="Arial" pitchFamily="34" charset="0"/>
                              <a:cs typeface="Arial" pitchFamily="34" charset="0"/>
                            </a:endParaRPr>
                          </a:p>
                        </a:txBody>
                        <a:useSpRect/>
                      </a:txSp>
                    </a:sp>
                    <a:sp>
                      <a:nvSpPr>
                        <a:cNvPr id="7" name="TextBox 6"/>
                        <a:cNvSpPr txBox="1"/>
                      </a:nvSpPr>
                      <a:spPr>
                        <a:xfrm>
                          <a:off x="3779912" y="3131676"/>
                          <a:ext cx="576064" cy="369332"/>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latin typeface="Arial" pitchFamily="34" charset="0"/>
                                <a:cs typeface="Arial" pitchFamily="34" charset="0"/>
                              </a:rPr>
                              <a:t>B1</a:t>
                            </a:r>
                            <a:endParaRPr lang="ru-RU" b="1" dirty="0">
                              <a:latin typeface="Arial" pitchFamily="34" charset="0"/>
                              <a:cs typeface="Arial" pitchFamily="34" charset="0"/>
                            </a:endParaRPr>
                          </a:p>
                        </a:txBody>
                        <a:useSpRect/>
                      </a:txSp>
                    </a:sp>
                    <a:sp>
                      <a:nvSpPr>
                        <a:cNvPr id="8" name="TextBox 7"/>
                        <a:cNvSpPr txBox="1"/>
                      </a:nvSpPr>
                      <a:spPr>
                        <a:xfrm>
                          <a:off x="6372200" y="2780928"/>
                          <a:ext cx="576064" cy="369332"/>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latin typeface="Arial" pitchFamily="34" charset="0"/>
                                <a:cs typeface="Arial" pitchFamily="34" charset="0"/>
                              </a:rPr>
                              <a:t>B2</a:t>
                            </a:r>
                            <a:endParaRPr lang="ru-RU" b="1" dirty="0">
                              <a:latin typeface="Arial" pitchFamily="34" charset="0"/>
                              <a:cs typeface="Arial" pitchFamily="34" charset="0"/>
                            </a:endParaRPr>
                          </a:p>
                        </a:txBody>
                        <a:useSpRect/>
                      </a:txSp>
                    </a:sp>
                    <a:sp>
                      <a:nvSpPr>
                        <a:cNvPr id="9" name="TextBox 8"/>
                        <a:cNvSpPr txBox="1"/>
                      </a:nvSpPr>
                      <a:spPr>
                        <a:xfrm>
                          <a:off x="1115616" y="4941168"/>
                          <a:ext cx="432048" cy="369332"/>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latin typeface="Arial" pitchFamily="34" charset="0"/>
                                <a:cs typeface="Arial" pitchFamily="34" charset="0"/>
                              </a:rPr>
                              <a:t>C</a:t>
                            </a:r>
                            <a:endParaRPr lang="ru-RU" b="1" dirty="0">
                              <a:latin typeface="Arial" pitchFamily="34" charset="0"/>
                              <a:cs typeface="Arial" pitchFamily="34" charset="0"/>
                            </a:endParaRPr>
                          </a:p>
                        </a:txBody>
                        <a:useSpRect/>
                      </a:txSp>
                    </a:sp>
                    <a:sp>
                      <a:nvSpPr>
                        <a:cNvPr id="10" name="TextBox 9"/>
                        <a:cNvSpPr txBox="1"/>
                      </a:nvSpPr>
                      <a:spPr>
                        <a:xfrm>
                          <a:off x="3923928" y="4149080"/>
                          <a:ext cx="432048" cy="369332"/>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latin typeface="Arial" pitchFamily="34" charset="0"/>
                                <a:cs typeface="Arial" pitchFamily="34" charset="0"/>
                              </a:rPr>
                              <a:t>D</a:t>
                            </a:r>
                            <a:endParaRPr lang="ru-RU" b="1" dirty="0">
                              <a:latin typeface="Arial" pitchFamily="34" charset="0"/>
                              <a:cs typeface="Arial" pitchFamily="34" charset="0"/>
                            </a:endParaRPr>
                          </a:p>
                        </a:txBody>
                        <a:useSpRect/>
                      </a:txSp>
                    </a:sp>
                    <a:sp>
                      <a:nvSpPr>
                        <a:cNvPr id="11" name="TextBox 10"/>
                        <a:cNvSpPr txBox="1"/>
                      </a:nvSpPr>
                      <a:spPr>
                        <a:xfrm>
                          <a:off x="7236296" y="4221088"/>
                          <a:ext cx="432048" cy="369332"/>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b="1" dirty="0" smtClean="0">
                                <a:latin typeface="Arial" pitchFamily="34" charset="0"/>
                                <a:cs typeface="Arial" pitchFamily="34" charset="0"/>
                              </a:rPr>
                              <a:t>E</a:t>
                            </a:r>
                            <a:endParaRPr lang="ru-RU" b="1" dirty="0">
                              <a:latin typeface="Arial" pitchFamily="34" charset="0"/>
                              <a:cs typeface="Arial" pitchFamily="34" charset="0"/>
                            </a:endParaRPr>
                          </a:p>
                        </a:txBody>
                        <a:useSpRect/>
                      </a:txSp>
                    </a:sp>
                    <a:sp>
                      <a:nvSpPr>
                        <a:cNvPr id="12" name="Полилиния 11"/>
                        <a:cNvSpPr/>
                      </a:nvSpPr>
                      <a:spPr>
                        <a:xfrm>
                          <a:off x="1421567" y="5081666"/>
                          <a:ext cx="6600669" cy="1424065"/>
                        </a:xfrm>
                        <a:custGeom>
                          <a:avLst/>
                          <a:gdLst>
                            <a:gd name="connsiteX0" fmla="*/ 467194 w 6600669"/>
                            <a:gd name="connsiteY0" fmla="*/ 149901 h 1424065"/>
                            <a:gd name="connsiteX1" fmla="*/ 886918 w 6600669"/>
                            <a:gd name="connsiteY1" fmla="*/ 1304144 h 1424065"/>
                            <a:gd name="connsiteX2" fmla="*/ 5788702 w 6600669"/>
                            <a:gd name="connsiteY2" fmla="*/ 869429 h 1424065"/>
                            <a:gd name="connsiteX3" fmla="*/ 5758722 w 6600669"/>
                            <a:gd name="connsiteY3" fmla="*/ 0 h 1424065"/>
                          </a:gdLst>
                          <a:ahLst/>
                          <a:cxnLst>
                            <a:cxn ang="0">
                              <a:pos x="connsiteX0" y="connsiteY0"/>
                            </a:cxn>
                            <a:cxn ang="0">
                              <a:pos x="connsiteX1" y="connsiteY1"/>
                            </a:cxn>
                            <a:cxn ang="0">
                              <a:pos x="connsiteX2" y="connsiteY2"/>
                            </a:cxn>
                            <a:cxn ang="0">
                              <a:pos x="connsiteX3" y="connsiteY3"/>
                            </a:cxn>
                          </a:cxnLst>
                          <a:rect l="l" t="t" r="r" b="b"/>
                          <a:pathLst>
                            <a:path w="6600669" h="1424065">
                              <a:moveTo>
                                <a:pt x="467194" y="149901"/>
                              </a:moveTo>
                              <a:cubicBezTo>
                                <a:pt x="233597" y="667062"/>
                                <a:pt x="0" y="1184223"/>
                                <a:pt x="886918" y="1304144"/>
                              </a:cubicBezTo>
                              <a:cubicBezTo>
                                <a:pt x="1773836" y="1424065"/>
                                <a:pt x="4976735" y="1086786"/>
                                <a:pt x="5788702" y="869429"/>
                              </a:cubicBezTo>
                              <a:cubicBezTo>
                                <a:pt x="6600669" y="652072"/>
                                <a:pt x="5753725" y="157397"/>
                                <a:pt x="5758722" y="0"/>
                              </a:cubicBezTo>
                            </a:path>
                          </a:pathLst>
                        </a:custGeom>
                        <a:ln>
                          <a:solidFill>
                            <a:schemeClr val="tx1"/>
                          </a:solidFill>
                          <a:tailEnd type="triangle"/>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13" name="Полилиния 12"/>
                        <a:cNvSpPr/>
                      </a:nvSpPr>
                      <a:spPr>
                        <a:xfrm>
                          <a:off x="3747541" y="5006715"/>
                          <a:ext cx="2533338" cy="936885"/>
                        </a:xfrm>
                        <a:custGeom>
                          <a:avLst/>
                          <a:gdLst>
                            <a:gd name="connsiteX0" fmla="*/ 0 w 2533338"/>
                            <a:gd name="connsiteY0" fmla="*/ 0 h 936885"/>
                            <a:gd name="connsiteX1" fmla="*/ 644577 w 2533338"/>
                            <a:gd name="connsiteY1" fmla="*/ 914400 h 936885"/>
                            <a:gd name="connsiteX2" fmla="*/ 2533338 w 2533338"/>
                            <a:gd name="connsiteY2" fmla="*/ 134911 h 936885"/>
                          </a:gdLst>
                          <a:ahLst/>
                          <a:cxnLst>
                            <a:cxn ang="0">
                              <a:pos x="connsiteX0" y="connsiteY0"/>
                            </a:cxn>
                            <a:cxn ang="0">
                              <a:pos x="connsiteX1" y="connsiteY1"/>
                            </a:cxn>
                            <a:cxn ang="0">
                              <a:pos x="connsiteX2" y="connsiteY2"/>
                            </a:cxn>
                          </a:cxnLst>
                          <a:rect l="l" t="t" r="r" b="b"/>
                          <a:pathLst>
                            <a:path w="2533338" h="936885">
                              <a:moveTo>
                                <a:pt x="0" y="0"/>
                              </a:moveTo>
                              <a:cubicBezTo>
                                <a:pt x="111177" y="445957"/>
                                <a:pt x="222354" y="891915"/>
                                <a:pt x="644577" y="914400"/>
                              </a:cubicBezTo>
                              <a:cubicBezTo>
                                <a:pt x="1066800" y="936885"/>
                                <a:pt x="2261017" y="249836"/>
                                <a:pt x="2533338" y="134911"/>
                              </a:cubicBezTo>
                            </a:path>
                          </a:pathLst>
                        </a:custGeom>
                        <a:ln>
                          <a:solidFill>
                            <a:schemeClr val="tx1"/>
                          </a:solidFill>
                          <a:tailEnd type="triangle"/>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grpSp>
                </lc:lockedCanvas>
              </a:graphicData>
            </a:graphic>
          </wp:inline>
        </w:drawing>
      </w:r>
    </w:p>
    <w:p w:rsidR="00197750" w:rsidRPr="00C815F6" w:rsidRDefault="00197750" w:rsidP="00C815F6">
      <w:pPr>
        <w:pStyle w:val="FigureHeading"/>
        <w:rPr>
          <w:i/>
          <w:sz w:val="18"/>
          <w:szCs w:val="20"/>
        </w:rPr>
      </w:pPr>
      <w:proofErr w:type="gramStart"/>
      <w:r w:rsidRPr="00C815F6">
        <w:rPr>
          <w:i/>
          <w:sz w:val="18"/>
          <w:szCs w:val="20"/>
        </w:rPr>
        <w:t>Scheme 3.</w:t>
      </w:r>
      <w:proofErr w:type="gramEnd"/>
      <w:r w:rsidRPr="00C815F6">
        <w:rPr>
          <w:i/>
          <w:sz w:val="18"/>
          <w:szCs w:val="20"/>
        </w:rPr>
        <w:t xml:space="preserve"> </w:t>
      </w:r>
      <w:proofErr w:type="gramStart"/>
      <w:r w:rsidRPr="00C815F6">
        <w:rPr>
          <w:i/>
          <w:sz w:val="18"/>
          <w:szCs w:val="20"/>
        </w:rPr>
        <w:t>A general pathways</w:t>
      </w:r>
      <w:proofErr w:type="gramEnd"/>
      <w:r w:rsidRPr="00C815F6">
        <w:rPr>
          <w:i/>
          <w:sz w:val="18"/>
          <w:szCs w:val="20"/>
        </w:rPr>
        <w:t xml:space="preserve"> of ABE fermentation mixture conversion.</w:t>
      </w:r>
    </w:p>
    <w:p w:rsidR="00197750" w:rsidRDefault="00197750" w:rsidP="00C815F6">
      <w:pPr>
        <w:pStyle w:val="a9"/>
        <w:jc w:val="center"/>
        <w:rPr>
          <w:b/>
          <w:bCs/>
        </w:rPr>
      </w:pPr>
      <w:r w:rsidRPr="00FF09D9">
        <w:rPr>
          <w:b/>
          <w:bCs/>
          <w:noProof/>
          <w:lang w:val="ru-RU" w:eastAsia="ru-RU"/>
        </w:rPr>
        <w:drawing>
          <wp:inline distT="0" distB="0" distL="0" distR="0">
            <wp:extent cx="5143500" cy="2743200"/>
            <wp:effectExtent l="0" t="0" r="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7750" w:rsidRPr="00C815F6" w:rsidRDefault="00197750" w:rsidP="00C815F6">
      <w:pPr>
        <w:pStyle w:val="FigureHeading"/>
        <w:rPr>
          <w:i/>
          <w:sz w:val="18"/>
          <w:szCs w:val="20"/>
        </w:rPr>
      </w:pPr>
      <w:r w:rsidRPr="00C815F6">
        <w:rPr>
          <w:i/>
          <w:sz w:val="18"/>
          <w:szCs w:val="20"/>
        </w:rPr>
        <w:t>Fig</w:t>
      </w:r>
      <w:r w:rsidR="00F34BF4">
        <w:rPr>
          <w:i/>
          <w:sz w:val="18"/>
          <w:szCs w:val="20"/>
        </w:rPr>
        <w:t>ure</w:t>
      </w:r>
      <w:r w:rsidRPr="00C815F6">
        <w:rPr>
          <w:i/>
          <w:sz w:val="18"/>
          <w:szCs w:val="20"/>
        </w:rPr>
        <w:t xml:space="preserve"> 5</w:t>
      </w:r>
      <w:r w:rsidR="00F34BF4">
        <w:rPr>
          <w:i/>
          <w:sz w:val="18"/>
          <w:szCs w:val="20"/>
        </w:rPr>
        <w:t>:</w:t>
      </w:r>
      <w:r w:rsidRPr="00C815F6">
        <w:rPr>
          <w:i/>
          <w:sz w:val="18"/>
          <w:szCs w:val="20"/>
        </w:rPr>
        <w:t xml:space="preserve"> Products distribution of ABE mixture conversion.</w:t>
      </w:r>
    </w:p>
    <w:p w:rsidR="00197750" w:rsidRPr="00C815F6" w:rsidRDefault="00197750" w:rsidP="00C815F6">
      <w:pPr>
        <w:autoSpaceDE w:val="0"/>
        <w:autoSpaceDN w:val="0"/>
        <w:adjustRightInd w:val="0"/>
        <w:rPr>
          <w:lang w:val="en-US" w:eastAsia="ru-RU"/>
        </w:rPr>
      </w:pPr>
      <w:r w:rsidRPr="00C815F6">
        <w:rPr>
          <w:lang w:val="en-US" w:eastAsia="ru-RU"/>
        </w:rPr>
        <w:t xml:space="preserve">The alcohols (1-butanol and ethanol) are dehydrogenated by the catalyst, generating the reactive </w:t>
      </w:r>
      <w:proofErr w:type="spellStart"/>
      <w:r w:rsidRPr="00C815F6">
        <w:rPr>
          <w:lang w:val="en-US" w:eastAsia="ru-RU"/>
        </w:rPr>
        <w:t>aldehydes</w:t>
      </w:r>
      <w:proofErr w:type="spellEnd"/>
      <w:r w:rsidRPr="00C815F6">
        <w:rPr>
          <w:lang w:val="en-US" w:eastAsia="ru-RU"/>
        </w:rPr>
        <w:t xml:space="preserve"> and hydrogen. At this stage</w:t>
      </w:r>
      <w:r w:rsidR="00650CBC">
        <w:rPr>
          <w:lang w:val="en-US" w:eastAsia="ru-RU"/>
        </w:rPr>
        <w:t>,</w:t>
      </w:r>
      <w:r w:rsidRPr="00C815F6">
        <w:rPr>
          <w:lang w:val="en-US" w:eastAsia="ru-RU"/>
        </w:rPr>
        <w:t xml:space="preserve"> the </w:t>
      </w:r>
      <w:proofErr w:type="spellStart"/>
      <w:r w:rsidRPr="00C815F6">
        <w:rPr>
          <w:lang w:val="en-US" w:eastAsia="ru-RU"/>
        </w:rPr>
        <w:t>aldehydes</w:t>
      </w:r>
      <w:proofErr w:type="spellEnd"/>
      <w:r w:rsidRPr="00C815F6">
        <w:rPr>
          <w:lang w:val="en-US" w:eastAsia="ru-RU"/>
        </w:rPr>
        <w:t xml:space="preserve"> undergo either a self-</w:t>
      </w:r>
      <w:proofErr w:type="spellStart"/>
      <w:r w:rsidRPr="00C815F6">
        <w:rPr>
          <w:lang w:val="en-US" w:eastAsia="ru-RU"/>
        </w:rPr>
        <w:t>aldol</w:t>
      </w:r>
      <w:proofErr w:type="spellEnd"/>
      <w:r w:rsidRPr="00C815F6">
        <w:rPr>
          <w:lang w:val="en-US" w:eastAsia="ru-RU"/>
        </w:rPr>
        <w:t xml:space="preserve"> reaction to for</w:t>
      </w:r>
      <w:r w:rsidR="00BB6515">
        <w:rPr>
          <w:lang w:val="en-US" w:eastAsia="ru-RU"/>
        </w:rPr>
        <w:t xml:space="preserve">m the </w:t>
      </w:r>
      <w:proofErr w:type="spellStart"/>
      <w:r w:rsidR="00BB6515">
        <w:rPr>
          <w:lang w:val="en-US" w:eastAsia="ru-RU"/>
        </w:rPr>
        <w:t>Guerbet</w:t>
      </w:r>
      <w:proofErr w:type="spellEnd"/>
      <w:r w:rsidR="00BB6515">
        <w:rPr>
          <w:lang w:val="en-US" w:eastAsia="ru-RU"/>
        </w:rPr>
        <w:t xml:space="preserve"> product precursor</w:t>
      </w:r>
      <w:r w:rsidRPr="00C815F6">
        <w:rPr>
          <w:lang w:val="en-US" w:eastAsia="ru-RU"/>
        </w:rPr>
        <w:t xml:space="preserve"> or an </w:t>
      </w:r>
      <w:proofErr w:type="spellStart"/>
      <w:r w:rsidRPr="00C815F6">
        <w:rPr>
          <w:lang w:val="en-US" w:eastAsia="ru-RU"/>
        </w:rPr>
        <w:t>aldol</w:t>
      </w:r>
      <w:proofErr w:type="spellEnd"/>
      <w:r w:rsidRPr="00C815F6">
        <w:rPr>
          <w:lang w:val="en-US" w:eastAsia="ru-RU"/>
        </w:rPr>
        <w:t xml:space="preserve"> reaction with acetone. Under the conditions employed here, condensation with acetone seems to be </w:t>
      </w:r>
      <w:proofErr w:type="spellStart"/>
      <w:r w:rsidRPr="00C815F6">
        <w:rPr>
          <w:lang w:val="en-US" w:eastAsia="ru-RU"/>
        </w:rPr>
        <w:t>favoured</w:t>
      </w:r>
      <w:proofErr w:type="spellEnd"/>
      <w:r w:rsidRPr="00C815F6">
        <w:rPr>
          <w:lang w:val="en-US" w:eastAsia="ru-RU"/>
        </w:rPr>
        <w:t xml:space="preserve">, because acetone is present at much higher concentrations than the transient </w:t>
      </w:r>
      <w:proofErr w:type="spellStart"/>
      <w:r w:rsidRPr="00C815F6">
        <w:rPr>
          <w:lang w:val="en-US" w:eastAsia="ru-RU"/>
        </w:rPr>
        <w:t>aldehydes</w:t>
      </w:r>
      <w:proofErr w:type="spellEnd"/>
      <w:r w:rsidRPr="00C815F6">
        <w:rPr>
          <w:lang w:val="en-US" w:eastAsia="ru-RU"/>
        </w:rPr>
        <w:t xml:space="preserve">. Subsequent dehydration of the </w:t>
      </w:r>
      <w:proofErr w:type="spellStart"/>
      <w:r w:rsidRPr="00C815F6">
        <w:rPr>
          <w:lang w:val="en-US" w:eastAsia="ru-RU"/>
        </w:rPr>
        <w:t>aldol</w:t>
      </w:r>
      <w:proofErr w:type="spellEnd"/>
      <w:r w:rsidRPr="00C815F6">
        <w:rPr>
          <w:lang w:val="en-US" w:eastAsia="ru-RU"/>
        </w:rPr>
        <w:t xml:space="preserve"> product under the reaction conditions furnishes α, β-unsaturated </w:t>
      </w:r>
      <w:proofErr w:type="spellStart"/>
      <w:r w:rsidRPr="00C815F6">
        <w:rPr>
          <w:lang w:val="en-US" w:eastAsia="ru-RU"/>
        </w:rPr>
        <w:t>ketones</w:t>
      </w:r>
      <w:proofErr w:type="spellEnd"/>
      <w:r w:rsidRPr="00C815F6">
        <w:rPr>
          <w:lang w:val="en-US" w:eastAsia="ru-RU"/>
        </w:rPr>
        <w:t xml:space="preserve"> that undergo hydrogenation with the hydrogen generated in the first step. Completing the </w:t>
      </w:r>
      <w:r w:rsidRPr="00C815F6">
        <w:rPr>
          <w:lang w:val="en-US" w:eastAsia="ru-RU"/>
        </w:rPr>
        <w:lastRenderedPageBreak/>
        <w:t xml:space="preserve">same cycle with </w:t>
      </w:r>
      <w:proofErr w:type="spellStart"/>
      <w:r w:rsidRPr="00C815F6">
        <w:rPr>
          <w:lang w:val="en-US" w:eastAsia="ru-RU"/>
        </w:rPr>
        <w:t>monoalkylated</w:t>
      </w:r>
      <w:proofErr w:type="spellEnd"/>
      <w:r w:rsidRPr="00C815F6">
        <w:rPr>
          <w:lang w:val="en-US" w:eastAsia="ru-RU"/>
        </w:rPr>
        <w:t xml:space="preserve"> products affords the expected double alkylation products. The relative ease of attack by the </w:t>
      </w:r>
      <w:proofErr w:type="spellStart"/>
      <w:r w:rsidRPr="00C815F6">
        <w:rPr>
          <w:lang w:val="en-US" w:eastAsia="ru-RU"/>
        </w:rPr>
        <w:t>unsubstituted</w:t>
      </w:r>
      <w:proofErr w:type="spellEnd"/>
      <w:r w:rsidRPr="00C815F6">
        <w:rPr>
          <w:lang w:val="en-US" w:eastAsia="ru-RU"/>
        </w:rPr>
        <w:t xml:space="preserve"> versus the substituted a-carbon of the </w:t>
      </w:r>
      <w:proofErr w:type="spellStart"/>
      <w:r w:rsidRPr="00C815F6">
        <w:rPr>
          <w:lang w:val="en-US" w:eastAsia="ru-RU"/>
        </w:rPr>
        <w:t>monoalkylated</w:t>
      </w:r>
      <w:proofErr w:type="spellEnd"/>
      <w:r w:rsidRPr="00C815F6">
        <w:rPr>
          <w:lang w:val="en-US" w:eastAsia="ru-RU"/>
        </w:rPr>
        <w:t xml:space="preserve"> products leads primarily to </w:t>
      </w:r>
      <w:proofErr w:type="spellStart"/>
      <w:r w:rsidRPr="00C815F6">
        <w:rPr>
          <w:lang w:val="en-US" w:eastAsia="ru-RU"/>
        </w:rPr>
        <w:t>unbranched</w:t>
      </w:r>
      <w:proofErr w:type="spellEnd"/>
      <w:r w:rsidRPr="00C815F6">
        <w:rPr>
          <w:lang w:val="en-US" w:eastAsia="ru-RU"/>
        </w:rPr>
        <w:t xml:space="preserve"> products. This combination of kinetic controls on the alkylation reaction</w:t>
      </w:r>
      <w:r w:rsidR="00BB6515">
        <w:rPr>
          <w:lang w:val="en-US" w:eastAsia="ru-RU"/>
        </w:rPr>
        <w:t>,</w:t>
      </w:r>
      <w:r w:rsidRPr="00C815F6">
        <w:rPr>
          <w:lang w:val="en-US" w:eastAsia="ru-RU"/>
        </w:rPr>
        <w:t xml:space="preserve"> therefore</w:t>
      </w:r>
      <w:r w:rsidR="00BB6515">
        <w:rPr>
          <w:lang w:val="en-US" w:eastAsia="ru-RU"/>
        </w:rPr>
        <w:t>,</w:t>
      </w:r>
      <w:r w:rsidRPr="00C815F6">
        <w:rPr>
          <w:lang w:val="en-US" w:eastAsia="ru-RU"/>
        </w:rPr>
        <w:t xml:space="preserve"> enables the conversion of a mixture of renewable metabolites into a well-defined range of </w:t>
      </w:r>
      <w:proofErr w:type="spellStart"/>
      <w:r w:rsidRPr="00C815F6">
        <w:rPr>
          <w:lang w:val="en-US" w:eastAsia="ru-RU"/>
        </w:rPr>
        <w:t>ketone</w:t>
      </w:r>
      <w:proofErr w:type="spellEnd"/>
      <w:r w:rsidRPr="00C815F6">
        <w:rPr>
          <w:lang w:val="en-US" w:eastAsia="ru-RU"/>
        </w:rPr>
        <w:t xml:space="preserve"> products.</w:t>
      </w:r>
    </w:p>
    <w:p w:rsidR="00982D42" w:rsidRPr="00197750" w:rsidRDefault="00197750" w:rsidP="00C815F6">
      <w:pPr>
        <w:pStyle w:val="CETBodytext"/>
        <w:rPr>
          <w:lang w:val="en-GB"/>
        </w:rPr>
      </w:pPr>
      <w:r w:rsidRPr="00F71B3A">
        <w:rPr>
          <w:lang w:eastAsia="ru-RU"/>
        </w:rPr>
        <w:t>Thus, the principal possibility of obtaining high-molecu</w:t>
      </w:r>
      <w:r>
        <w:rPr>
          <w:lang w:eastAsia="ru-RU"/>
        </w:rPr>
        <w:t xml:space="preserve">lar alcohols and </w:t>
      </w:r>
      <w:proofErr w:type="spellStart"/>
      <w:r>
        <w:rPr>
          <w:lang w:eastAsia="ru-RU"/>
        </w:rPr>
        <w:t>ketones</w:t>
      </w:r>
      <w:proofErr w:type="spellEnd"/>
      <w:r>
        <w:rPr>
          <w:lang w:eastAsia="ru-RU"/>
        </w:rPr>
        <w:t xml:space="preserve"> from </w:t>
      </w:r>
      <w:r w:rsidRPr="00F71B3A">
        <w:rPr>
          <w:lang w:eastAsia="ru-RU"/>
        </w:rPr>
        <w:t xml:space="preserve">ABE mixture is shown. The products obtained can be additives to gasoline, or be </w:t>
      </w:r>
      <w:proofErr w:type="spellStart"/>
      <w:r w:rsidRPr="00F71B3A">
        <w:rPr>
          <w:lang w:eastAsia="ru-RU"/>
        </w:rPr>
        <w:t>hydroisomerized</w:t>
      </w:r>
      <w:proofErr w:type="spellEnd"/>
      <w:r w:rsidRPr="00F71B3A">
        <w:rPr>
          <w:lang w:eastAsia="ru-RU"/>
        </w:rPr>
        <w:t xml:space="preserve"> to produce branched </w:t>
      </w:r>
      <w:proofErr w:type="spellStart"/>
      <w:r w:rsidRPr="00F71B3A">
        <w:rPr>
          <w:lang w:eastAsia="ru-RU"/>
        </w:rPr>
        <w:t>alkanes</w:t>
      </w:r>
      <w:proofErr w:type="spellEnd"/>
      <w:r w:rsidRPr="00F71B3A">
        <w:rPr>
          <w:lang w:eastAsia="ru-RU"/>
        </w:rPr>
        <w:t>, which are the main components of motor fuels.</w:t>
      </w:r>
    </w:p>
    <w:p w:rsidR="00982D42" w:rsidRPr="00166019" w:rsidRDefault="00982D42" w:rsidP="00982D42">
      <w:pPr>
        <w:pStyle w:val="CETHeading1"/>
        <w:tabs>
          <w:tab w:val="clear" w:pos="360"/>
          <w:tab w:val="right" w:pos="7100"/>
        </w:tabs>
        <w:jc w:val="both"/>
        <w:rPr>
          <w:lang w:val="ru-RU"/>
        </w:rPr>
      </w:pPr>
      <w:r>
        <w:rPr>
          <w:lang w:val="en-GB"/>
        </w:rPr>
        <w:t>Conclusions</w:t>
      </w:r>
    </w:p>
    <w:p w:rsidR="00E90667" w:rsidRPr="00E90667" w:rsidRDefault="00E90667" w:rsidP="00FF26E4">
      <w:pPr>
        <w:autoSpaceDE w:val="0"/>
        <w:autoSpaceDN w:val="0"/>
        <w:adjustRightInd w:val="0"/>
        <w:rPr>
          <w:lang w:val="en-US" w:eastAsia="ru-RU"/>
        </w:rPr>
      </w:pPr>
      <w:r w:rsidRPr="00E90667">
        <w:rPr>
          <w:lang w:val="en-US" w:eastAsia="ru-RU"/>
        </w:rPr>
        <w:t>The p</w:t>
      </w:r>
      <w:r w:rsidR="00FF26E4">
        <w:rPr>
          <w:lang w:val="en-US" w:eastAsia="ru-RU"/>
        </w:rPr>
        <w:t>resented results demonstrate high</w:t>
      </w:r>
      <w:r w:rsidRPr="00E90667">
        <w:rPr>
          <w:lang w:val="en-US" w:eastAsia="ru-RU"/>
        </w:rPr>
        <w:t xml:space="preserve"> </w:t>
      </w:r>
      <w:r w:rsidR="00FF26E4">
        <w:rPr>
          <w:lang w:val="en-US" w:eastAsia="ru-RU"/>
        </w:rPr>
        <w:t>potential</w:t>
      </w:r>
      <w:r w:rsidRPr="00E90667">
        <w:rPr>
          <w:lang w:val="en-US" w:eastAsia="ru-RU"/>
        </w:rPr>
        <w:t xml:space="preserve"> of using heterogeneous Pd</w:t>
      </w:r>
      <w:r w:rsidR="00FF26E4" w:rsidRPr="00FF26E4">
        <w:rPr>
          <w:lang w:val="en-US" w:eastAsia="ru-RU"/>
        </w:rPr>
        <w:t>-</w:t>
      </w:r>
      <w:r w:rsidRPr="00E90667">
        <w:rPr>
          <w:lang w:val="en-US" w:eastAsia="ru-RU"/>
        </w:rPr>
        <w:t>Cu/</w:t>
      </w:r>
      <w:r w:rsidRPr="00FF26E4">
        <w:rPr>
          <w:lang w:val="en-US" w:eastAsia="ru-RU"/>
        </w:rPr>
        <w:t>γ</w:t>
      </w:r>
      <w:r w:rsidRPr="00E90667">
        <w:rPr>
          <w:lang w:val="en-US" w:eastAsia="ru-RU"/>
        </w:rPr>
        <w:t>-Al</w:t>
      </w:r>
      <w:r w:rsidRPr="00FF26E4">
        <w:rPr>
          <w:vertAlign w:val="subscript"/>
          <w:lang w:val="en-US" w:eastAsia="ru-RU"/>
        </w:rPr>
        <w:t>2</w:t>
      </w:r>
      <w:r w:rsidRPr="00E90667">
        <w:rPr>
          <w:lang w:val="en-US" w:eastAsia="ru-RU"/>
        </w:rPr>
        <w:t>O</w:t>
      </w:r>
      <w:r w:rsidRPr="00FF26E4">
        <w:rPr>
          <w:vertAlign w:val="subscript"/>
          <w:lang w:val="en-US" w:eastAsia="ru-RU"/>
        </w:rPr>
        <w:t>3</w:t>
      </w:r>
      <w:r w:rsidRPr="00E90667">
        <w:rPr>
          <w:lang w:val="en-US" w:eastAsia="ru-RU"/>
        </w:rPr>
        <w:t xml:space="preserve"> system for cross-condensation of bio-oxygenates. It should be noted that in the presence of metal complex catalysts in homogeneous catalysis, the selectivity of the formation of cross-condensation products is much higher, but heterogeneous systems allow </w:t>
      </w:r>
      <w:proofErr w:type="gramStart"/>
      <w:r w:rsidRPr="00E90667">
        <w:rPr>
          <w:lang w:val="en-US" w:eastAsia="ru-RU"/>
        </w:rPr>
        <w:t>to achieve</w:t>
      </w:r>
      <w:proofErr w:type="gramEnd"/>
      <w:r w:rsidRPr="00E90667">
        <w:rPr>
          <w:lang w:val="en-US" w:eastAsia="ru-RU"/>
        </w:rPr>
        <w:t xml:space="preserve"> significantly higher yields and, moreover, they are more environmentally friendly. The </w:t>
      </w:r>
      <w:r w:rsidR="00FF26E4" w:rsidRPr="00E90667">
        <w:rPr>
          <w:lang w:val="en-US" w:eastAsia="ru-RU"/>
        </w:rPr>
        <w:t xml:space="preserve">developed </w:t>
      </w:r>
      <w:r w:rsidR="00FF26E4">
        <w:rPr>
          <w:lang w:val="en-US" w:eastAsia="ru-RU"/>
        </w:rPr>
        <w:t>Pd-</w:t>
      </w:r>
      <w:r w:rsidR="00FF26E4" w:rsidRPr="00E90667">
        <w:rPr>
          <w:lang w:val="en-US" w:eastAsia="ru-RU"/>
        </w:rPr>
        <w:t>Cu/</w:t>
      </w:r>
      <w:r w:rsidR="00FF26E4" w:rsidRPr="00FF26E4">
        <w:rPr>
          <w:lang w:val="en-US" w:eastAsia="ru-RU"/>
        </w:rPr>
        <w:t>γ</w:t>
      </w:r>
      <w:r w:rsidR="00FF26E4" w:rsidRPr="00E90667">
        <w:rPr>
          <w:lang w:val="en-US" w:eastAsia="ru-RU"/>
        </w:rPr>
        <w:t>-Al</w:t>
      </w:r>
      <w:r w:rsidR="00FF26E4" w:rsidRPr="00FF26E4">
        <w:rPr>
          <w:vertAlign w:val="subscript"/>
          <w:lang w:val="en-US" w:eastAsia="ru-RU"/>
        </w:rPr>
        <w:t>2</w:t>
      </w:r>
      <w:r w:rsidR="00FF26E4" w:rsidRPr="00E90667">
        <w:rPr>
          <w:lang w:val="en-US" w:eastAsia="ru-RU"/>
        </w:rPr>
        <w:t>O</w:t>
      </w:r>
      <w:r w:rsidR="00FF26E4" w:rsidRPr="00FF26E4">
        <w:rPr>
          <w:vertAlign w:val="subscript"/>
          <w:lang w:val="en-US" w:eastAsia="ru-RU"/>
        </w:rPr>
        <w:t>3</w:t>
      </w:r>
      <w:r w:rsidR="00FF26E4" w:rsidRPr="00E90667">
        <w:rPr>
          <w:lang w:val="en-US" w:eastAsia="ru-RU"/>
        </w:rPr>
        <w:t xml:space="preserve"> </w:t>
      </w:r>
      <w:r w:rsidRPr="00E90667">
        <w:rPr>
          <w:lang w:val="en-US" w:eastAsia="ru-RU"/>
        </w:rPr>
        <w:t xml:space="preserve">catalyst allows </w:t>
      </w:r>
      <w:r w:rsidR="00FF26E4">
        <w:rPr>
          <w:lang w:val="en-US" w:eastAsia="ru-RU"/>
        </w:rPr>
        <w:t>one</w:t>
      </w:r>
      <w:r w:rsidRPr="00E90667">
        <w:rPr>
          <w:lang w:val="en-US" w:eastAsia="ru-RU"/>
        </w:rPr>
        <w:t xml:space="preserve"> to convert ethanol with a selectivity of up to 80% into 1-butanol, </w:t>
      </w:r>
      <w:r w:rsidR="00FF26E4">
        <w:rPr>
          <w:lang w:val="en-US" w:eastAsia="ru-RU"/>
        </w:rPr>
        <w:t>that</w:t>
      </w:r>
      <w:r w:rsidRPr="00E90667">
        <w:rPr>
          <w:lang w:val="en-US" w:eastAsia="ru-RU"/>
        </w:rPr>
        <w:t xml:space="preserve"> is an important industrial chemical and a promising component of gasoline. Oxygenates containing up to 15 carbon atoms can be obtained on the basis of the ABE fermentation mixture, </w:t>
      </w:r>
      <w:r w:rsidR="00FF26E4">
        <w:rPr>
          <w:lang w:val="en-US" w:eastAsia="ru-RU"/>
        </w:rPr>
        <w:t>that</w:t>
      </w:r>
      <w:r w:rsidRPr="00E90667">
        <w:rPr>
          <w:lang w:val="en-US" w:eastAsia="ru-RU"/>
        </w:rPr>
        <w:t xml:space="preserve"> after the </w:t>
      </w:r>
      <w:proofErr w:type="spellStart"/>
      <w:r w:rsidRPr="00E90667">
        <w:rPr>
          <w:lang w:val="en-US" w:eastAsia="ru-RU"/>
        </w:rPr>
        <w:t>hydroisomerization</w:t>
      </w:r>
      <w:proofErr w:type="spellEnd"/>
      <w:r w:rsidRPr="00E90667">
        <w:rPr>
          <w:lang w:val="en-US" w:eastAsia="ru-RU"/>
        </w:rPr>
        <w:t xml:space="preserve"> stage can be </w:t>
      </w:r>
      <w:r w:rsidR="00FF26E4">
        <w:rPr>
          <w:lang w:val="en-US" w:eastAsia="ru-RU"/>
        </w:rPr>
        <w:t xml:space="preserve">used as </w:t>
      </w:r>
      <w:r w:rsidRPr="00E90667">
        <w:rPr>
          <w:lang w:val="en-US" w:eastAsia="ru-RU"/>
        </w:rPr>
        <w:t>components of diesel f</w:t>
      </w:r>
      <w:r w:rsidR="00FF26E4">
        <w:rPr>
          <w:lang w:val="en-US" w:eastAsia="ru-RU"/>
        </w:rPr>
        <w:t xml:space="preserve">uel with a pour point of up to </w:t>
      </w:r>
      <w:r w:rsidR="00FF26E4">
        <w:rPr>
          <w:rFonts w:cs="Arial"/>
          <w:lang w:val="en-US" w:eastAsia="ru-RU"/>
        </w:rPr>
        <w:t>−</w:t>
      </w:r>
      <w:r w:rsidR="00FF26E4">
        <w:rPr>
          <w:lang w:val="en-US" w:eastAsia="ru-RU"/>
        </w:rPr>
        <w:t> </w:t>
      </w:r>
      <w:r w:rsidRPr="00E90667">
        <w:rPr>
          <w:lang w:val="en-US" w:eastAsia="ru-RU"/>
        </w:rPr>
        <w:t>60</w:t>
      </w:r>
      <w:r w:rsidR="00FF26E4">
        <w:rPr>
          <w:rFonts w:ascii="Calibri" w:hAnsi="Calibri"/>
          <w:lang w:val="en-US" w:eastAsia="ru-RU"/>
        </w:rPr>
        <w:t>°</w:t>
      </w:r>
      <w:r w:rsidR="00FF26E4">
        <w:rPr>
          <w:lang w:val="en-US" w:eastAsia="ru-RU"/>
        </w:rPr>
        <w:t>C</w:t>
      </w:r>
      <w:r w:rsidRPr="00E90667">
        <w:rPr>
          <w:lang w:val="en-US" w:eastAsia="ru-RU"/>
        </w:rPr>
        <w:t xml:space="preserve">. The main challenge for further research is to develop ways to eliminate the negative effects of water formed during the </w:t>
      </w:r>
      <w:proofErr w:type="gramStart"/>
      <w:r w:rsidRPr="00E90667">
        <w:rPr>
          <w:lang w:val="en-US" w:eastAsia="ru-RU"/>
        </w:rPr>
        <w:t xml:space="preserve">reaction, </w:t>
      </w:r>
      <w:r w:rsidR="00FF26E4">
        <w:rPr>
          <w:lang w:val="en-US" w:eastAsia="ru-RU"/>
        </w:rPr>
        <w:t>that</w:t>
      </w:r>
      <w:proofErr w:type="gramEnd"/>
      <w:r w:rsidRPr="00E90667">
        <w:rPr>
          <w:lang w:val="en-US" w:eastAsia="ru-RU"/>
        </w:rPr>
        <w:t xml:space="preserve"> apparently reduces the conversion of the </w:t>
      </w:r>
      <w:r w:rsidR="00FF26E4">
        <w:rPr>
          <w:lang w:val="en-US" w:eastAsia="ru-RU"/>
        </w:rPr>
        <w:t>raw</w:t>
      </w:r>
      <w:r w:rsidRPr="00E90667">
        <w:rPr>
          <w:lang w:val="en-US" w:eastAsia="ru-RU"/>
        </w:rPr>
        <w:t xml:space="preserve"> materials. Obviously, the key to achieving this goal lies in the development of synthetic approaches to the directed </w:t>
      </w:r>
      <w:r w:rsidR="00FF26E4">
        <w:rPr>
          <w:lang w:val="en-US" w:eastAsia="ru-RU"/>
        </w:rPr>
        <w:t>tuning</w:t>
      </w:r>
      <w:r w:rsidRPr="00E90667">
        <w:rPr>
          <w:lang w:val="en-US" w:eastAsia="ru-RU"/>
        </w:rPr>
        <w:t xml:space="preserve"> of the acid</w:t>
      </w:r>
      <w:r w:rsidR="00FF26E4">
        <w:rPr>
          <w:lang w:val="en-US" w:eastAsia="ru-RU"/>
        </w:rPr>
        <w:t>ic</w:t>
      </w:r>
      <w:r w:rsidRPr="00E90667">
        <w:rPr>
          <w:lang w:val="en-US" w:eastAsia="ru-RU"/>
        </w:rPr>
        <w:t>-base properties of the catalyst surface, which our next work will be devoted to.</w:t>
      </w:r>
    </w:p>
    <w:p w:rsidR="00600535" w:rsidRPr="00AB5E81" w:rsidRDefault="00600535" w:rsidP="00600535">
      <w:pPr>
        <w:pStyle w:val="CETAcknowledgementstitle"/>
        <w:rPr>
          <w:lang w:val="ru-RU"/>
        </w:rPr>
      </w:pPr>
      <w:r w:rsidRPr="00B57B36">
        <w:t>Acknowledgments</w:t>
      </w:r>
    </w:p>
    <w:p w:rsidR="00BE4B97" w:rsidRPr="00F34BF4" w:rsidRDefault="00197750" w:rsidP="00197750">
      <w:pPr>
        <w:rPr>
          <w:lang w:val="en-US"/>
        </w:rPr>
      </w:pPr>
      <w:r w:rsidRPr="00197750">
        <w:t>The</w:t>
      </w:r>
      <w:r w:rsidRPr="00F34BF4">
        <w:rPr>
          <w:lang w:val="en-US"/>
        </w:rPr>
        <w:t xml:space="preserve"> </w:t>
      </w:r>
      <w:r w:rsidRPr="00197750">
        <w:t>reported</w:t>
      </w:r>
      <w:r w:rsidRPr="00F34BF4">
        <w:rPr>
          <w:lang w:val="en-US"/>
        </w:rPr>
        <w:t xml:space="preserve"> </w:t>
      </w:r>
      <w:r w:rsidRPr="00197750">
        <w:t>study</w:t>
      </w:r>
      <w:r w:rsidRPr="00F34BF4">
        <w:rPr>
          <w:lang w:val="en-US"/>
        </w:rPr>
        <w:t xml:space="preserve"> </w:t>
      </w:r>
      <w:r w:rsidRPr="00197750">
        <w:t>was</w:t>
      </w:r>
      <w:r w:rsidRPr="00F34BF4">
        <w:rPr>
          <w:lang w:val="en-US"/>
        </w:rPr>
        <w:t xml:space="preserve"> </w:t>
      </w:r>
      <w:r w:rsidRPr="00197750">
        <w:t>funded</w:t>
      </w:r>
      <w:r w:rsidRPr="00F34BF4">
        <w:rPr>
          <w:lang w:val="en-US"/>
        </w:rPr>
        <w:t xml:space="preserve"> </w:t>
      </w:r>
      <w:r w:rsidRPr="00197750">
        <w:t>by</w:t>
      </w:r>
      <w:r w:rsidRPr="00F34BF4">
        <w:rPr>
          <w:lang w:val="en-US"/>
        </w:rPr>
        <w:t xml:space="preserve"> </w:t>
      </w:r>
      <w:r w:rsidRPr="00197750">
        <w:t>RFBR</w:t>
      </w:r>
      <w:r w:rsidRPr="00F34BF4">
        <w:rPr>
          <w:lang w:val="en-US"/>
        </w:rPr>
        <w:t xml:space="preserve"> </w:t>
      </w:r>
      <w:r w:rsidRPr="00197750">
        <w:t>according</w:t>
      </w:r>
      <w:r w:rsidRPr="00F34BF4">
        <w:rPr>
          <w:lang w:val="en-US"/>
        </w:rPr>
        <w:t xml:space="preserve"> </w:t>
      </w:r>
      <w:r w:rsidRPr="00197750">
        <w:t>to</w:t>
      </w:r>
      <w:r w:rsidRPr="00F34BF4">
        <w:rPr>
          <w:lang w:val="en-US"/>
        </w:rPr>
        <w:t xml:space="preserve"> </w:t>
      </w:r>
      <w:r w:rsidRPr="00197750">
        <w:t>the</w:t>
      </w:r>
      <w:r w:rsidRPr="00F34BF4">
        <w:rPr>
          <w:lang w:val="en-US"/>
        </w:rPr>
        <w:t xml:space="preserve"> </w:t>
      </w:r>
      <w:r w:rsidRPr="00197750">
        <w:t>research</w:t>
      </w:r>
      <w:r w:rsidRPr="00F34BF4">
        <w:rPr>
          <w:lang w:val="en-US"/>
        </w:rPr>
        <w:t xml:space="preserve"> </w:t>
      </w:r>
      <w:r w:rsidRPr="00197750">
        <w:t>project</w:t>
      </w:r>
      <w:r w:rsidRPr="00F34BF4">
        <w:rPr>
          <w:lang w:val="en-US"/>
        </w:rPr>
        <w:t xml:space="preserve"> № 18-33-01068.</w:t>
      </w:r>
    </w:p>
    <w:p w:rsidR="00600535" w:rsidRPr="00AB5E81" w:rsidRDefault="00600535" w:rsidP="00600535">
      <w:pPr>
        <w:pStyle w:val="CETReference"/>
        <w:rPr>
          <w:lang w:val="ru-RU"/>
        </w:rPr>
      </w:pPr>
      <w:r w:rsidRPr="00B57B36">
        <w:t>References</w:t>
      </w:r>
    </w:p>
    <w:p w:rsidR="00A31B21" w:rsidRPr="000B6301" w:rsidRDefault="00A31B21" w:rsidP="00A31B21">
      <w:pPr>
        <w:pStyle w:val="21"/>
        <w:spacing w:before="0"/>
        <w:ind w:left="284" w:hanging="284"/>
        <w:rPr>
          <w:rFonts w:ascii="Arial" w:eastAsia="Times New Roman" w:hAnsi="Arial" w:cs="Times New Roman"/>
          <w:b w:val="0"/>
          <w:bCs w:val="0"/>
          <w:color w:val="auto"/>
          <w:sz w:val="18"/>
          <w:szCs w:val="20"/>
          <w:lang w:val="en-US"/>
        </w:rPr>
      </w:pPr>
      <w:bookmarkStart w:id="1" w:name="baut0005"/>
      <w:proofErr w:type="spellStart"/>
      <w:r w:rsidRPr="0068293F">
        <w:rPr>
          <w:rFonts w:ascii="Arial" w:eastAsia="Times New Roman" w:hAnsi="Arial" w:cs="Times New Roman"/>
          <w:b w:val="0"/>
          <w:bCs w:val="0"/>
          <w:color w:val="auto"/>
          <w:sz w:val="18"/>
          <w:szCs w:val="20"/>
          <w:lang w:val="en-US"/>
        </w:rPr>
        <w:t>Comwien</w:t>
      </w:r>
      <w:proofErr w:type="spellEnd"/>
      <w:r w:rsidRPr="00AB5E81">
        <w:rPr>
          <w:rFonts w:ascii="Arial" w:eastAsia="Times New Roman" w:hAnsi="Arial" w:cs="Times New Roman"/>
          <w:b w:val="0"/>
          <w:bCs w:val="0"/>
          <w:color w:val="auto"/>
          <w:sz w:val="18"/>
          <w:szCs w:val="20"/>
          <w:lang w:val="ru-RU"/>
        </w:rPr>
        <w:t xml:space="preserve"> </w:t>
      </w:r>
      <w:hyperlink r:id="rId20" w:anchor="!" w:history="1">
        <w:r w:rsidRPr="000B6301">
          <w:rPr>
            <w:rFonts w:ascii="Arial" w:eastAsia="Times New Roman" w:hAnsi="Arial" w:cs="Times New Roman"/>
            <w:b w:val="0"/>
            <w:bCs w:val="0"/>
            <w:color w:val="auto"/>
            <w:sz w:val="18"/>
            <w:szCs w:val="20"/>
            <w:lang w:val="en-US"/>
          </w:rPr>
          <w:t xml:space="preserve">J. </w:t>
        </w:r>
      </w:hyperlink>
      <w:bookmarkStart w:id="2" w:name="baut0010"/>
      <w:bookmarkEnd w:id="1"/>
      <w:r w:rsidRPr="000B6301">
        <w:rPr>
          <w:rFonts w:ascii="Arial" w:eastAsia="Times New Roman" w:hAnsi="Arial" w:cs="Times New Roman"/>
          <w:b w:val="0"/>
          <w:bCs w:val="0"/>
          <w:color w:val="auto"/>
          <w:sz w:val="18"/>
          <w:szCs w:val="20"/>
          <w:lang w:val="en-US"/>
        </w:rPr>
        <w:t xml:space="preserve">, </w:t>
      </w:r>
      <w:proofErr w:type="spellStart"/>
      <w:r w:rsidRPr="0068293F">
        <w:rPr>
          <w:rFonts w:ascii="Arial" w:eastAsia="Times New Roman" w:hAnsi="Arial" w:cs="Times New Roman"/>
          <w:b w:val="0"/>
          <w:bCs w:val="0"/>
          <w:color w:val="auto"/>
          <w:sz w:val="18"/>
          <w:szCs w:val="20"/>
          <w:lang w:val="en-US"/>
        </w:rPr>
        <w:t>Boonvithaya</w:t>
      </w:r>
      <w:proofErr w:type="spellEnd"/>
      <w:r w:rsidRPr="0068293F">
        <w:rPr>
          <w:rFonts w:ascii="Arial" w:eastAsia="Times New Roman" w:hAnsi="Arial" w:cs="Times New Roman"/>
          <w:b w:val="0"/>
          <w:bCs w:val="0"/>
          <w:color w:val="auto"/>
          <w:sz w:val="18"/>
          <w:szCs w:val="20"/>
          <w:lang w:val="en-US"/>
        </w:rPr>
        <w:t xml:space="preserve"> </w:t>
      </w:r>
      <w:hyperlink r:id="rId21" w:anchor="!" w:history="1">
        <w:r w:rsidRPr="000B6301">
          <w:rPr>
            <w:rFonts w:ascii="Arial" w:eastAsia="Times New Roman" w:hAnsi="Arial" w:cs="Times New Roman"/>
            <w:b w:val="0"/>
            <w:bCs w:val="0"/>
            <w:color w:val="auto"/>
            <w:sz w:val="18"/>
            <w:szCs w:val="20"/>
            <w:lang w:val="en-US"/>
          </w:rPr>
          <w:t xml:space="preserve">N. </w:t>
        </w:r>
      </w:hyperlink>
      <w:bookmarkStart w:id="3" w:name="baut0015"/>
      <w:bookmarkEnd w:id="2"/>
      <w:r w:rsidRPr="000B6301">
        <w:rPr>
          <w:rFonts w:ascii="Arial" w:eastAsia="Times New Roman" w:hAnsi="Arial" w:cs="Times New Roman"/>
          <w:b w:val="0"/>
          <w:bCs w:val="0"/>
          <w:color w:val="auto"/>
          <w:sz w:val="18"/>
          <w:szCs w:val="20"/>
          <w:lang w:val="en-US"/>
        </w:rPr>
        <w:t>,</w:t>
      </w:r>
      <w:r w:rsidRPr="0068293F">
        <w:rPr>
          <w:lang w:val="en-US"/>
        </w:rPr>
        <w:t xml:space="preserve"> </w:t>
      </w:r>
      <w:proofErr w:type="spellStart"/>
      <w:r w:rsidRPr="0068293F">
        <w:rPr>
          <w:rFonts w:ascii="Arial" w:eastAsia="Times New Roman" w:hAnsi="Arial" w:cs="Times New Roman"/>
          <w:b w:val="0"/>
          <w:bCs w:val="0"/>
          <w:color w:val="auto"/>
          <w:sz w:val="18"/>
          <w:szCs w:val="20"/>
          <w:lang w:val="en-US"/>
        </w:rPr>
        <w:t>Chulaluksananukul</w:t>
      </w:r>
      <w:proofErr w:type="spellEnd"/>
      <w:r w:rsidRPr="000B6301">
        <w:rPr>
          <w:rFonts w:ascii="Arial" w:eastAsia="Times New Roman" w:hAnsi="Arial" w:cs="Times New Roman"/>
          <w:b w:val="0"/>
          <w:bCs w:val="0"/>
          <w:color w:val="auto"/>
          <w:sz w:val="18"/>
          <w:szCs w:val="20"/>
          <w:lang w:val="en-US"/>
        </w:rPr>
        <w:t xml:space="preserve"> </w:t>
      </w:r>
      <w:hyperlink r:id="rId22" w:anchor="!" w:history="1">
        <w:r w:rsidRPr="000B6301">
          <w:rPr>
            <w:rFonts w:ascii="Arial" w:eastAsia="Times New Roman" w:hAnsi="Arial" w:cs="Times New Roman"/>
            <w:b w:val="0"/>
            <w:bCs w:val="0"/>
            <w:color w:val="auto"/>
            <w:sz w:val="18"/>
            <w:szCs w:val="20"/>
            <w:lang w:val="en-US"/>
          </w:rPr>
          <w:t xml:space="preserve">W. </w:t>
        </w:r>
      </w:hyperlink>
      <w:bookmarkStart w:id="4" w:name="baut0020"/>
      <w:bookmarkEnd w:id="3"/>
      <w:r w:rsidRPr="000B6301">
        <w:rPr>
          <w:rFonts w:ascii="Arial" w:eastAsia="Times New Roman" w:hAnsi="Arial" w:cs="Times New Roman"/>
          <w:b w:val="0"/>
          <w:bCs w:val="0"/>
          <w:color w:val="auto"/>
          <w:sz w:val="18"/>
          <w:szCs w:val="20"/>
          <w:lang w:val="en-US"/>
        </w:rPr>
        <w:t xml:space="preserve">, </w:t>
      </w:r>
      <w:proofErr w:type="spellStart"/>
      <w:r w:rsidRPr="0068293F">
        <w:rPr>
          <w:rFonts w:ascii="Arial" w:eastAsia="Times New Roman" w:hAnsi="Arial" w:cs="Times New Roman"/>
          <w:b w:val="0"/>
          <w:bCs w:val="0"/>
          <w:color w:val="auto"/>
          <w:sz w:val="18"/>
          <w:szCs w:val="20"/>
          <w:lang w:val="en-US"/>
        </w:rPr>
        <w:t>Glinwong</w:t>
      </w:r>
      <w:proofErr w:type="spellEnd"/>
      <w:r w:rsidRPr="0068293F">
        <w:rPr>
          <w:rFonts w:ascii="Arial" w:eastAsia="Times New Roman" w:hAnsi="Arial" w:cs="Times New Roman"/>
          <w:b w:val="0"/>
          <w:bCs w:val="0"/>
          <w:color w:val="auto"/>
          <w:sz w:val="18"/>
          <w:szCs w:val="20"/>
          <w:lang w:val="en-US"/>
        </w:rPr>
        <w:t xml:space="preserve"> </w:t>
      </w:r>
      <w:hyperlink r:id="rId23" w:anchor="!" w:history="1">
        <w:r w:rsidRPr="000B6301">
          <w:rPr>
            <w:rFonts w:ascii="Arial" w:eastAsia="Times New Roman" w:hAnsi="Arial" w:cs="Times New Roman"/>
            <w:b w:val="0"/>
            <w:bCs w:val="0"/>
            <w:color w:val="auto"/>
            <w:sz w:val="18"/>
            <w:szCs w:val="20"/>
            <w:lang w:val="en-US"/>
          </w:rPr>
          <w:t>C.</w:t>
        </w:r>
      </w:hyperlink>
      <w:bookmarkEnd w:id="4"/>
      <w:r w:rsidRPr="000B6301">
        <w:rPr>
          <w:rFonts w:ascii="Arial" w:eastAsia="Times New Roman" w:hAnsi="Arial" w:cs="Times New Roman"/>
          <w:b w:val="0"/>
          <w:bCs w:val="0"/>
          <w:color w:val="auto"/>
          <w:sz w:val="18"/>
          <w:szCs w:val="20"/>
          <w:lang w:val="en-US"/>
        </w:rPr>
        <w:t>,  2015</w:t>
      </w:r>
      <w:r>
        <w:rPr>
          <w:rFonts w:ascii="Arial" w:eastAsia="Times New Roman" w:hAnsi="Arial" w:cs="Times New Roman"/>
          <w:b w:val="0"/>
          <w:bCs w:val="0"/>
          <w:color w:val="auto"/>
          <w:sz w:val="18"/>
          <w:szCs w:val="20"/>
          <w:lang w:val="en-US"/>
        </w:rPr>
        <w:t xml:space="preserve">, </w:t>
      </w:r>
      <w:r w:rsidRPr="000B6301">
        <w:rPr>
          <w:rFonts w:ascii="Arial" w:eastAsia="Times New Roman" w:hAnsi="Arial" w:cs="Times New Roman"/>
          <w:b w:val="0"/>
          <w:bCs w:val="0"/>
          <w:color w:val="auto"/>
          <w:sz w:val="18"/>
          <w:szCs w:val="20"/>
          <w:lang w:val="en-US"/>
        </w:rPr>
        <w:t xml:space="preserve">Direct Production Of </w:t>
      </w:r>
      <w:proofErr w:type="spellStart"/>
      <w:r w:rsidRPr="000B6301">
        <w:rPr>
          <w:rFonts w:ascii="Arial" w:eastAsia="Times New Roman" w:hAnsi="Arial" w:cs="Times New Roman"/>
          <w:b w:val="0"/>
          <w:bCs w:val="0"/>
          <w:color w:val="auto"/>
          <w:sz w:val="18"/>
          <w:szCs w:val="20"/>
          <w:lang w:val="en-US"/>
        </w:rPr>
        <w:t>Butanol</w:t>
      </w:r>
      <w:proofErr w:type="spellEnd"/>
      <w:r w:rsidRPr="000B6301">
        <w:rPr>
          <w:rFonts w:ascii="Arial" w:eastAsia="Times New Roman" w:hAnsi="Arial" w:cs="Times New Roman"/>
          <w:b w:val="0"/>
          <w:bCs w:val="0"/>
          <w:color w:val="auto"/>
          <w:sz w:val="18"/>
          <w:szCs w:val="20"/>
          <w:lang w:val="en-US"/>
        </w:rPr>
        <w:t xml:space="preserve"> And Ethanol From Cane Sugar Factory Wastewater And Cellulosic Ethanol Pilot Plant Wastewater By Clostridium </w:t>
      </w:r>
      <w:proofErr w:type="spellStart"/>
      <w:r w:rsidRPr="000B6301">
        <w:rPr>
          <w:rFonts w:ascii="Arial" w:eastAsia="Times New Roman" w:hAnsi="Arial" w:cs="Times New Roman"/>
          <w:b w:val="0"/>
          <w:bCs w:val="0"/>
          <w:color w:val="auto"/>
          <w:sz w:val="18"/>
          <w:szCs w:val="20"/>
          <w:lang w:val="en-US"/>
        </w:rPr>
        <w:t>Beijerinckii</w:t>
      </w:r>
      <w:proofErr w:type="spellEnd"/>
      <w:r w:rsidRPr="000B6301">
        <w:rPr>
          <w:rFonts w:ascii="Arial" w:eastAsia="Times New Roman" w:hAnsi="Arial" w:cs="Times New Roman"/>
          <w:b w:val="0"/>
          <w:bCs w:val="0"/>
          <w:color w:val="auto"/>
          <w:sz w:val="18"/>
          <w:szCs w:val="20"/>
          <w:lang w:val="en-US"/>
        </w:rPr>
        <w:t xml:space="preserve"> CG1, </w:t>
      </w:r>
      <w:hyperlink r:id="rId24" w:tooltip="Go to Energy Procedia on ScienceDirect" w:history="1">
        <w:r w:rsidRPr="000B6301">
          <w:rPr>
            <w:rFonts w:ascii="Arial" w:eastAsia="Times New Roman" w:hAnsi="Arial" w:cs="Times New Roman"/>
            <w:b w:val="0"/>
            <w:bCs w:val="0"/>
            <w:color w:val="auto"/>
            <w:sz w:val="18"/>
            <w:szCs w:val="20"/>
            <w:lang w:val="en-US"/>
          </w:rPr>
          <w:t xml:space="preserve">Energy </w:t>
        </w:r>
        <w:proofErr w:type="spellStart"/>
        <w:r w:rsidRPr="000B6301">
          <w:rPr>
            <w:rFonts w:ascii="Arial" w:eastAsia="Times New Roman" w:hAnsi="Arial" w:cs="Times New Roman"/>
            <w:b w:val="0"/>
            <w:bCs w:val="0"/>
            <w:color w:val="auto"/>
            <w:sz w:val="18"/>
            <w:szCs w:val="20"/>
            <w:lang w:val="en-US"/>
          </w:rPr>
          <w:t>Procedia</w:t>
        </w:r>
        <w:proofErr w:type="spellEnd"/>
      </w:hyperlink>
      <w:r w:rsidRPr="000B6301">
        <w:rPr>
          <w:rFonts w:ascii="Arial" w:eastAsia="Times New Roman" w:hAnsi="Arial" w:cs="Times New Roman"/>
          <w:b w:val="0"/>
          <w:bCs w:val="0"/>
          <w:color w:val="auto"/>
          <w:sz w:val="18"/>
          <w:szCs w:val="20"/>
          <w:lang w:val="en-US"/>
        </w:rPr>
        <w:t>, 79, 556 – 561.</w:t>
      </w:r>
    </w:p>
    <w:p w:rsidR="00A31B21" w:rsidRPr="000B6301" w:rsidRDefault="00A31B21" w:rsidP="00A31B21">
      <w:pPr>
        <w:autoSpaceDE w:val="0"/>
        <w:autoSpaceDN w:val="0"/>
        <w:adjustRightInd w:val="0"/>
        <w:ind w:left="284" w:hanging="284"/>
        <w:rPr>
          <w:lang w:val="en-US"/>
        </w:rPr>
      </w:pPr>
      <w:proofErr w:type="spellStart"/>
      <w:r w:rsidRPr="000B6301">
        <w:rPr>
          <w:lang w:val="en-US"/>
        </w:rPr>
        <w:t>Jenck</w:t>
      </w:r>
      <w:proofErr w:type="spellEnd"/>
      <w:r w:rsidRPr="000B6301">
        <w:rPr>
          <w:lang w:val="en-US"/>
        </w:rPr>
        <w:t xml:space="preserve"> J. F., </w:t>
      </w:r>
      <w:proofErr w:type="spellStart"/>
      <w:r w:rsidRPr="000B6301">
        <w:rPr>
          <w:lang w:val="en-US"/>
        </w:rPr>
        <w:t>Agterberg</w:t>
      </w:r>
      <w:proofErr w:type="spellEnd"/>
      <w:r w:rsidRPr="000B6301">
        <w:rPr>
          <w:lang w:val="en-US"/>
        </w:rPr>
        <w:t xml:space="preserve"> F., </w:t>
      </w:r>
      <w:proofErr w:type="spellStart"/>
      <w:r w:rsidRPr="000B6301">
        <w:rPr>
          <w:lang w:val="en-US"/>
        </w:rPr>
        <w:t>Droescher</w:t>
      </w:r>
      <w:proofErr w:type="spellEnd"/>
      <w:r w:rsidRPr="000B6301">
        <w:rPr>
          <w:lang w:val="en-US"/>
        </w:rPr>
        <w:t xml:space="preserve"> M.J.,</w:t>
      </w:r>
      <w:r w:rsidRPr="000B6301">
        <w:rPr>
          <w:rFonts w:cs="Arial"/>
          <w:color w:val="222222"/>
          <w:sz w:val="20"/>
          <w:shd w:val="clear" w:color="auto" w:fill="FFFFFF"/>
        </w:rPr>
        <w:t xml:space="preserve"> </w:t>
      </w:r>
      <w:r w:rsidRPr="000B6301">
        <w:rPr>
          <w:lang w:val="en-US"/>
        </w:rPr>
        <w:t>2004</w:t>
      </w:r>
      <w:r>
        <w:rPr>
          <w:lang w:val="en-US"/>
        </w:rPr>
        <w:t xml:space="preserve">, </w:t>
      </w:r>
      <w:r w:rsidRPr="000B6301">
        <w:rPr>
          <w:lang w:val="en-US"/>
        </w:rPr>
        <w:t xml:space="preserve">Products </w:t>
      </w:r>
      <w:proofErr w:type="gramStart"/>
      <w:r w:rsidRPr="000B6301">
        <w:rPr>
          <w:lang w:val="en-US"/>
        </w:rPr>
        <w:t>And</w:t>
      </w:r>
      <w:proofErr w:type="gramEnd"/>
      <w:r w:rsidRPr="000B6301">
        <w:rPr>
          <w:lang w:val="en-US"/>
        </w:rPr>
        <w:t xml:space="preserve"> Processes For A Sustainable Chemical Industry: A Review Of Achievements And Prospects, Green Chem., 6, 544–556.</w:t>
      </w:r>
    </w:p>
    <w:p w:rsidR="00A31B21" w:rsidRPr="000B6301" w:rsidRDefault="00A31B21" w:rsidP="00A31B21">
      <w:pPr>
        <w:autoSpaceDE w:val="0"/>
        <w:autoSpaceDN w:val="0"/>
        <w:adjustRightInd w:val="0"/>
        <w:ind w:left="284" w:hanging="284"/>
        <w:rPr>
          <w:lang w:val="en-US"/>
        </w:rPr>
      </w:pPr>
      <w:proofErr w:type="spellStart"/>
      <w:r w:rsidRPr="000B6301">
        <w:rPr>
          <w:lang w:val="en-US"/>
        </w:rPr>
        <w:t>Kunkes</w:t>
      </w:r>
      <w:proofErr w:type="spellEnd"/>
      <w:r w:rsidRPr="000B6301">
        <w:rPr>
          <w:lang w:val="en-US"/>
        </w:rPr>
        <w:t xml:space="preserve"> E.L., </w:t>
      </w:r>
      <w:proofErr w:type="spellStart"/>
      <w:r w:rsidRPr="000B6301">
        <w:rPr>
          <w:lang w:val="en-US"/>
        </w:rPr>
        <w:t>Simonetti</w:t>
      </w:r>
      <w:proofErr w:type="spellEnd"/>
      <w:r w:rsidRPr="000B6301">
        <w:rPr>
          <w:lang w:val="en-US"/>
        </w:rPr>
        <w:t xml:space="preserve"> D.A., West R.M., Serrano-Ruiz J.C., G</w:t>
      </w:r>
      <w:r w:rsidRPr="000B6301">
        <w:t>a</w:t>
      </w:r>
      <w:proofErr w:type="spellStart"/>
      <w:r w:rsidRPr="000B6301">
        <w:rPr>
          <w:lang w:val="en-US"/>
        </w:rPr>
        <w:t>rtner</w:t>
      </w:r>
      <w:proofErr w:type="spellEnd"/>
      <w:r w:rsidRPr="000B6301">
        <w:rPr>
          <w:lang w:val="en-US"/>
        </w:rPr>
        <w:t xml:space="preserve"> C.A., </w:t>
      </w:r>
      <w:proofErr w:type="spellStart"/>
      <w:r w:rsidRPr="000B6301">
        <w:rPr>
          <w:lang w:val="en-US"/>
        </w:rPr>
        <w:t>Dumesic</w:t>
      </w:r>
      <w:proofErr w:type="spellEnd"/>
      <w:r w:rsidRPr="000B6301">
        <w:rPr>
          <w:lang w:val="en-US"/>
        </w:rPr>
        <w:t xml:space="preserve"> J.A., 2008</w:t>
      </w:r>
      <w:r>
        <w:rPr>
          <w:lang w:val="en-US"/>
        </w:rPr>
        <w:t xml:space="preserve">, </w:t>
      </w:r>
      <w:r w:rsidRPr="000B6301">
        <w:rPr>
          <w:lang w:val="en-US"/>
        </w:rPr>
        <w:t xml:space="preserve">Catalytic Conversion </w:t>
      </w:r>
      <w:proofErr w:type="gramStart"/>
      <w:r w:rsidRPr="000B6301">
        <w:rPr>
          <w:lang w:val="en-US"/>
        </w:rPr>
        <w:t>Of</w:t>
      </w:r>
      <w:proofErr w:type="gramEnd"/>
      <w:r w:rsidRPr="000B6301">
        <w:rPr>
          <w:lang w:val="en-US"/>
        </w:rPr>
        <w:t xml:space="preserve"> Biomass To </w:t>
      </w:r>
      <w:proofErr w:type="spellStart"/>
      <w:r w:rsidRPr="000B6301">
        <w:rPr>
          <w:lang w:val="en-US"/>
        </w:rPr>
        <w:t>Monofunctional</w:t>
      </w:r>
      <w:proofErr w:type="spellEnd"/>
      <w:r w:rsidRPr="000B6301">
        <w:rPr>
          <w:lang w:val="en-US"/>
        </w:rPr>
        <w:t xml:space="preserve"> Hydrocarbons And Targeted Liquid-Fuel Classes, Science, 322, 417</w:t>
      </w:r>
      <w:r>
        <w:rPr>
          <w:lang w:val="en-US"/>
        </w:rPr>
        <w:t>-421</w:t>
      </w:r>
      <w:r w:rsidRPr="000B6301">
        <w:rPr>
          <w:lang w:val="en-US"/>
        </w:rPr>
        <w:t>.</w:t>
      </w:r>
    </w:p>
    <w:p w:rsidR="00A31B21" w:rsidRDefault="00A31B21" w:rsidP="00A31B21">
      <w:pPr>
        <w:autoSpaceDE w:val="0"/>
        <w:autoSpaceDN w:val="0"/>
        <w:adjustRightInd w:val="0"/>
        <w:ind w:left="284" w:hanging="284"/>
        <w:rPr>
          <w:lang w:val="en-US"/>
        </w:rPr>
      </w:pPr>
      <w:proofErr w:type="spellStart"/>
      <w:r w:rsidRPr="000B6301">
        <w:rPr>
          <w:lang w:val="en-US"/>
        </w:rPr>
        <w:t>Ordóñez</w:t>
      </w:r>
      <w:proofErr w:type="spellEnd"/>
      <w:r w:rsidRPr="000B6301">
        <w:rPr>
          <w:lang w:val="en-US"/>
        </w:rPr>
        <w:t xml:space="preserve"> S., </w:t>
      </w:r>
      <w:proofErr w:type="spellStart"/>
      <w:r w:rsidRPr="000B6301">
        <w:rPr>
          <w:lang w:val="en-US"/>
        </w:rPr>
        <w:t>Díaz</w:t>
      </w:r>
      <w:proofErr w:type="spellEnd"/>
      <w:r w:rsidRPr="000B6301">
        <w:rPr>
          <w:lang w:val="en-US"/>
        </w:rPr>
        <w:t xml:space="preserve"> E., León M., </w:t>
      </w:r>
      <w:proofErr w:type="spellStart"/>
      <w:r w:rsidRPr="000B6301">
        <w:rPr>
          <w:lang w:val="en-US"/>
        </w:rPr>
        <w:t>Faba</w:t>
      </w:r>
      <w:proofErr w:type="spellEnd"/>
      <w:r w:rsidRPr="000B6301">
        <w:rPr>
          <w:lang w:val="en-US"/>
        </w:rPr>
        <w:t xml:space="preserve"> L., 2011</w:t>
      </w:r>
      <w:r>
        <w:rPr>
          <w:lang w:val="en-US"/>
        </w:rPr>
        <w:t xml:space="preserve">, </w:t>
      </w:r>
      <w:proofErr w:type="spellStart"/>
      <w:r w:rsidRPr="000B6301">
        <w:rPr>
          <w:lang w:val="en-US"/>
        </w:rPr>
        <w:t>Hydrotalcite</w:t>
      </w:r>
      <w:proofErr w:type="spellEnd"/>
      <w:r w:rsidRPr="000B6301">
        <w:rPr>
          <w:lang w:val="en-US"/>
        </w:rPr>
        <w:t xml:space="preserve">-Derived Mixed Oxides </w:t>
      </w:r>
      <w:proofErr w:type="gramStart"/>
      <w:r w:rsidRPr="000B6301">
        <w:rPr>
          <w:lang w:val="en-US"/>
        </w:rPr>
        <w:t>As</w:t>
      </w:r>
      <w:proofErr w:type="gramEnd"/>
      <w:r w:rsidRPr="000B6301">
        <w:rPr>
          <w:lang w:val="en-US"/>
        </w:rPr>
        <w:t xml:space="preserve"> Catalysts For Different C–C Bond Formation Reactions From Bioorganic Materials, Catalysis Today, 167, 71-76.</w:t>
      </w:r>
    </w:p>
    <w:p w:rsidR="00A31B21" w:rsidRPr="000B6301" w:rsidRDefault="00A31B21" w:rsidP="00A31B21">
      <w:pPr>
        <w:autoSpaceDE w:val="0"/>
        <w:autoSpaceDN w:val="0"/>
        <w:adjustRightInd w:val="0"/>
        <w:ind w:left="284" w:hanging="284"/>
        <w:rPr>
          <w:lang w:val="en-US"/>
        </w:rPr>
      </w:pPr>
      <w:proofErr w:type="spellStart"/>
      <w:r w:rsidRPr="000B6301">
        <w:rPr>
          <w:lang w:val="en-US"/>
        </w:rPr>
        <w:t>Pandey</w:t>
      </w:r>
      <w:proofErr w:type="spellEnd"/>
      <w:r w:rsidRPr="000B6301">
        <w:rPr>
          <w:lang w:val="en-US"/>
        </w:rPr>
        <w:t xml:space="preserve"> A., 2009</w:t>
      </w:r>
      <w:r>
        <w:rPr>
          <w:lang w:val="en-US"/>
        </w:rPr>
        <w:t xml:space="preserve">, </w:t>
      </w:r>
      <w:r w:rsidRPr="000B6301">
        <w:rPr>
          <w:lang w:val="en-US"/>
        </w:rPr>
        <w:t xml:space="preserve">Handbook of Plant-Based </w:t>
      </w:r>
      <w:proofErr w:type="spellStart"/>
      <w:r w:rsidRPr="000B6301">
        <w:rPr>
          <w:lang w:val="en-US"/>
        </w:rPr>
        <w:t>Biofuels</w:t>
      </w:r>
      <w:proofErr w:type="spellEnd"/>
      <w:r w:rsidRPr="000B6301">
        <w:rPr>
          <w:lang w:val="en-US"/>
        </w:rPr>
        <w:t>, Taylor &amp; Francis, Boca Raton, FL.</w:t>
      </w:r>
    </w:p>
    <w:p w:rsidR="00A31B21" w:rsidRDefault="00A31B21" w:rsidP="00A31B21">
      <w:pPr>
        <w:autoSpaceDE w:val="0"/>
        <w:autoSpaceDN w:val="0"/>
        <w:adjustRightInd w:val="0"/>
        <w:ind w:left="284" w:hanging="284"/>
        <w:rPr>
          <w:color w:val="222222"/>
          <w:spacing w:val="3"/>
        </w:rPr>
      </w:pPr>
      <w:r w:rsidRPr="000B6301">
        <w:rPr>
          <w:lang w:val="en-US"/>
        </w:rPr>
        <w:t>Peralta-</w:t>
      </w:r>
      <w:proofErr w:type="spellStart"/>
      <w:r w:rsidRPr="000B6301">
        <w:rPr>
          <w:lang w:val="en-US"/>
        </w:rPr>
        <w:t>Yahya</w:t>
      </w:r>
      <w:proofErr w:type="spellEnd"/>
      <w:r w:rsidRPr="000B6301">
        <w:rPr>
          <w:lang w:val="en-US"/>
        </w:rPr>
        <w:t xml:space="preserve"> P.P., </w:t>
      </w:r>
      <w:proofErr w:type="spellStart"/>
      <w:r w:rsidRPr="000B6301">
        <w:rPr>
          <w:lang w:val="en-US"/>
        </w:rPr>
        <w:t>Ouellet</w:t>
      </w:r>
      <w:proofErr w:type="spellEnd"/>
      <w:r w:rsidRPr="000B6301">
        <w:rPr>
          <w:lang w:val="en-US"/>
        </w:rPr>
        <w:t xml:space="preserve"> M., Chan R., </w:t>
      </w:r>
      <w:proofErr w:type="spellStart"/>
      <w:r w:rsidRPr="000B6301">
        <w:rPr>
          <w:lang w:val="en-US"/>
        </w:rPr>
        <w:t>Mukhopadhyay</w:t>
      </w:r>
      <w:proofErr w:type="spellEnd"/>
      <w:r w:rsidRPr="000B6301">
        <w:rPr>
          <w:lang w:val="en-US"/>
        </w:rPr>
        <w:t xml:space="preserve"> A., </w:t>
      </w:r>
      <w:proofErr w:type="spellStart"/>
      <w:r w:rsidRPr="000B6301">
        <w:rPr>
          <w:lang w:val="en-US"/>
        </w:rPr>
        <w:t>Keasling</w:t>
      </w:r>
      <w:proofErr w:type="spellEnd"/>
      <w:r w:rsidRPr="000B6301">
        <w:rPr>
          <w:lang w:val="en-US"/>
        </w:rPr>
        <w:t xml:space="preserve"> J.D., Lee T.</w:t>
      </w:r>
      <w:r>
        <w:rPr>
          <w:lang w:val="en-US"/>
        </w:rPr>
        <w:t>S.</w:t>
      </w:r>
      <w:r w:rsidRPr="000B6301">
        <w:rPr>
          <w:lang w:val="en-US"/>
        </w:rPr>
        <w:t xml:space="preserve">, 2011, Identification And Microbial Production Of A </w:t>
      </w:r>
      <w:proofErr w:type="spellStart"/>
      <w:r w:rsidRPr="000B6301">
        <w:rPr>
          <w:lang w:val="en-US"/>
        </w:rPr>
        <w:t>Terpene</w:t>
      </w:r>
      <w:proofErr w:type="spellEnd"/>
      <w:r w:rsidRPr="000B6301">
        <w:rPr>
          <w:lang w:val="en-US"/>
        </w:rPr>
        <w:t xml:space="preserve"> Based Advanced </w:t>
      </w:r>
      <w:proofErr w:type="spellStart"/>
      <w:r w:rsidRPr="000B6301">
        <w:rPr>
          <w:lang w:val="en-US"/>
        </w:rPr>
        <w:t>Biofuel</w:t>
      </w:r>
      <w:proofErr w:type="spellEnd"/>
      <w:r w:rsidRPr="000B6301">
        <w:rPr>
          <w:lang w:val="en-US"/>
        </w:rPr>
        <w:t xml:space="preserve">, Nature </w:t>
      </w:r>
      <w:proofErr w:type="spellStart"/>
      <w:r w:rsidRPr="000B6301">
        <w:rPr>
          <w:lang w:val="en-US"/>
        </w:rPr>
        <w:t>Commun</w:t>
      </w:r>
      <w:proofErr w:type="spellEnd"/>
      <w:r w:rsidRPr="000B6301">
        <w:rPr>
          <w:lang w:val="en-US"/>
        </w:rPr>
        <w:t>., 2, 483-491.</w:t>
      </w:r>
    </w:p>
    <w:p w:rsidR="00A31B21" w:rsidRPr="000B6301" w:rsidRDefault="00A31B21" w:rsidP="00A31B21">
      <w:pPr>
        <w:autoSpaceDE w:val="0"/>
        <w:autoSpaceDN w:val="0"/>
        <w:adjustRightInd w:val="0"/>
        <w:ind w:left="284" w:hanging="284"/>
        <w:rPr>
          <w:lang w:val="en-US"/>
        </w:rPr>
      </w:pPr>
      <w:r w:rsidRPr="000B6301">
        <w:rPr>
          <w:lang w:val="en-US"/>
        </w:rPr>
        <w:t>Schreiber S.L., 2000</w:t>
      </w:r>
      <w:r>
        <w:rPr>
          <w:lang w:val="en-US"/>
        </w:rPr>
        <w:t xml:space="preserve">, </w:t>
      </w:r>
      <w:r w:rsidRPr="000B6301">
        <w:rPr>
          <w:lang w:val="en-US"/>
        </w:rPr>
        <w:t>Target-Oriented And Diversity-Oriented Organic Synthesis In Drug Discovery, Science,</w:t>
      </w:r>
      <w:proofErr w:type="gramStart"/>
      <w:r w:rsidRPr="000B6301">
        <w:rPr>
          <w:lang w:val="en-US"/>
        </w:rPr>
        <w:t>  287</w:t>
      </w:r>
      <w:proofErr w:type="gramEnd"/>
      <w:r w:rsidRPr="000B6301">
        <w:rPr>
          <w:lang w:val="en-US"/>
        </w:rPr>
        <w:t>, 1964-1969.</w:t>
      </w:r>
    </w:p>
    <w:p w:rsidR="00A31B21" w:rsidRPr="000B6301" w:rsidRDefault="00A31B21" w:rsidP="00A31B21">
      <w:pPr>
        <w:autoSpaceDE w:val="0"/>
        <w:autoSpaceDN w:val="0"/>
        <w:adjustRightInd w:val="0"/>
        <w:ind w:left="284" w:hanging="284"/>
        <w:rPr>
          <w:lang w:val="en-US"/>
        </w:rPr>
      </w:pPr>
      <w:r w:rsidRPr="000B6301">
        <w:rPr>
          <w:lang w:val="en-US"/>
        </w:rPr>
        <w:t>Sheldon R.A., 2000</w:t>
      </w:r>
      <w:r>
        <w:rPr>
          <w:lang w:val="en-US"/>
        </w:rPr>
        <w:t xml:space="preserve">, </w:t>
      </w:r>
      <w:r w:rsidRPr="000B6301">
        <w:t xml:space="preserve">Atom Efficiency </w:t>
      </w:r>
      <w:proofErr w:type="gramStart"/>
      <w:r w:rsidRPr="000B6301">
        <w:t>And</w:t>
      </w:r>
      <w:proofErr w:type="gramEnd"/>
      <w:r w:rsidRPr="000B6301">
        <w:t xml:space="preserve"> Catalysis In Organic Synthesis, </w:t>
      </w:r>
      <w:r w:rsidRPr="000B6301">
        <w:rPr>
          <w:lang w:val="en-US"/>
        </w:rPr>
        <w:t>Pure Appl. Chem., 72, 1233–1246.</w:t>
      </w:r>
    </w:p>
    <w:p w:rsidR="00A96DEF" w:rsidRPr="000B6301" w:rsidRDefault="000B6301" w:rsidP="0068293F">
      <w:pPr>
        <w:shd w:val="clear" w:color="auto" w:fill="FFFFFF"/>
        <w:ind w:left="284" w:hanging="284"/>
        <w:rPr>
          <w:lang w:val="en-US"/>
        </w:rPr>
      </w:pPr>
      <w:r w:rsidRPr="000B6301">
        <w:rPr>
          <w:color w:val="222222"/>
          <w:spacing w:val="3"/>
        </w:rPr>
        <w:t xml:space="preserve">Steen </w:t>
      </w:r>
      <w:r w:rsidR="00A96DEF" w:rsidRPr="000B6301">
        <w:rPr>
          <w:color w:val="222222"/>
          <w:spacing w:val="3"/>
        </w:rPr>
        <w:t xml:space="preserve">E.J., </w:t>
      </w:r>
      <w:r w:rsidRPr="000B6301">
        <w:rPr>
          <w:color w:val="222222"/>
          <w:spacing w:val="3"/>
        </w:rPr>
        <w:t xml:space="preserve">Kang </w:t>
      </w:r>
      <w:r w:rsidR="00A96DEF" w:rsidRPr="000B6301">
        <w:rPr>
          <w:color w:val="222222"/>
          <w:spacing w:val="3"/>
        </w:rPr>
        <w:t xml:space="preserve">Y., </w:t>
      </w:r>
      <w:proofErr w:type="spellStart"/>
      <w:r w:rsidRPr="000B6301">
        <w:rPr>
          <w:color w:val="222222"/>
          <w:spacing w:val="3"/>
        </w:rPr>
        <w:t>Bokinsky</w:t>
      </w:r>
      <w:proofErr w:type="spellEnd"/>
      <w:r w:rsidRPr="000B6301">
        <w:rPr>
          <w:color w:val="222222"/>
          <w:spacing w:val="3"/>
        </w:rPr>
        <w:t xml:space="preserve"> </w:t>
      </w:r>
      <w:r w:rsidR="00A96DEF" w:rsidRPr="000B6301">
        <w:rPr>
          <w:color w:val="222222"/>
          <w:spacing w:val="3"/>
        </w:rPr>
        <w:t xml:space="preserve">G., </w:t>
      </w:r>
      <w:proofErr w:type="spellStart"/>
      <w:r w:rsidRPr="000B6301">
        <w:rPr>
          <w:color w:val="222222"/>
          <w:spacing w:val="3"/>
        </w:rPr>
        <w:t>Hu</w:t>
      </w:r>
      <w:proofErr w:type="spellEnd"/>
      <w:r w:rsidRPr="000B6301">
        <w:rPr>
          <w:color w:val="222222"/>
          <w:spacing w:val="3"/>
        </w:rPr>
        <w:t xml:space="preserve"> </w:t>
      </w:r>
      <w:r w:rsidR="00A96DEF" w:rsidRPr="000B6301">
        <w:rPr>
          <w:color w:val="222222"/>
          <w:spacing w:val="3"/>
        </w:rPr>
        <w:t xml:space="preserve">Z., </w:t>
      </w:r>
      <w:proofErr w:type="spellStart"/>
      <w:r w:rsidRPr="000B6301">
        <w:rPr>
          <w:color w:val="222222"/>
          <w:spacing w:val="3"/>
        </w:rPr>
        <w:t>Schirmer</w:t>
      </w:r>
      <w:proofErr w:type="spellEnd"/>
      <w:r w:rsidRPr="000B6301">
        <w:rPr>
          <w:color w:val="222222"/>
          <w:spacing w:val="3"/>
        </w:rPr>
        <w:t xml:space="preserve"> </w:t>
      </w:r>
      <w:r w:rsidR="00A96DEF" w:rsidRPr="000B6301">
        <w:rPr>
          <w:color w:val="222222"/>
          <w:spacing w:val="3"/>
        </w:rPr>
        <w:t>A.</w:t>
      </w:r>
      <w:r w:rsidR="00A96DEF" w:rsidRPr="000B6301">
        <w:rPr>
          <w:rStyle w:val="js-separator"/>
          <w:color w:val="222222"/>
          <w:spacing w:val="3"/>
        </w:rPr>
        <w:t xml:space="preserve">, </w:t>
      </w:r>
      <w:r w:rsidRPr="000B6301">
        <w:rPr>
          <w:color w:val="222222"/>
          <w:spacing w:val="3"/>
        </w:rPr>
        <w:t xml:space="preserve">McClure </w:t>
      </w:r>
      <w:r w:rsidR="00A96DEF" w:rsidRPr="000B6301">
        <w:rPr>
          <w:color w:val="222222"/>
          <w:spacing w:val="3"/>
        </w:rPr>
        <w:t>A.</w:t>
      </w:r>
      <w:r w:rsidR="00A96DEF" w:rsidRPr="000B6301">
        <w:rPr>
          <w:rStyle w:val="js-separator"/>
          <w:color w:val="222222"/>
          <w:spacing w:val="3"/>
        </w:rPr>
        <w:t xml:space="preserve">, </w:t>
      </w:r>
      <w:r w:rsidRPr="000B6301">
        <w:rPr>
          <w:color w:val="222222"/>
          <w:spacing w:val="3"/>
        </w:rPr>
        <w:t xml:space="preserve">del </w:t>
      </w:r>
      <w:proofErr w:type="spellStart"/>
      <w:r w:rsidRPr="000B6301">
        <w:rPr>
          <w:color w:val="222222"/>
          <w:spacing w:val="3"/>
        </w:rPr>
        <w:t>Cardayre</w:t>
      </w:r>
      <w:proofErr w:type="spellEnd"/>
      <w:r w:rsidRPr="000B6301">
        <w:rPr>
          <w:color w:val="222222"/>
          <w:spacing w:val="3"/>
        </w:rPr>
        <w:t xml:space="preserve"> </w:t>
      </w:r>
      <w:r w:rsidR="00A96DEF" w:rsidRPr="000B6301">
        <w:rPr>
          <w:color w:val="222222"/>
          <w:spacing w:val="3"/>
        </w:rPr>
        <w:t xml:space="preserve">S.B., </w:t>
      </w:r>
      <w:proofErr w:type="spellStart"/>
      <w:r w:rsidRPr="000B6301">
        <w:rPr>
          <w:color w:val="222222"/>
          <w:spacing w:val="3"/>
        </w:rPr>
        <w:t>Keasling</w:t>
      </w:r>
      <w:proofErr w:type="spellEnd"/>
      <w:r w:rsidRPr="000B6301">
        <w:rPr>
          <w:color w:val="222222"/>
          <w:spacing w:val="3"/>
        </w:rPr>
        <w:t xml:space="preserve"> </w:t>
      </w:r>
      <w:r w:rsidR="00A96DEF" w:rsidRPr="000B6301">
        <w:rPr>
          <w:color w:val="222222"/>
          <w:spacing w:val="3"/>
        </w:rPr>
        <w:t xml:space="preserve">J.D., </w:t>
      </w:r>
      <w:r w:rsidRPr="000B6301">
        <w:rPr>
          <w:lang w:val="en-US"/>
        </w:rPr>
        <w:t xml:space="preserve">2010, </w:t>
      </w:r>
      <w:r w:rsidR="00A96DEF" w:rsidRPr="000B6301">
        <w:rPr>
          <w:lang w:val="en-US"/>
        </w:rPr>
        <w:t xml:space="preserve">Microbial </w:t>
      </w:r>
      <w:r w:rsidRPr="000B6301">
        <w:rPr>
          <w:lang w:val="en-US"/>
        </w:rPr>
        <w:t>Production Of Fatty-Acid-Derived Fuels And Chemicals From Plant Biomass</w:t>
      </w:r>
      <w:r w:rsidR="00A96DEF" w:rsidRPr="000B6301">
        <w:rPr>
          <w:lang w:val="en-US"/>
        </w:rPr>
        <w:t>, Nature, 463, 559–562.</w:t>
      </w:r>
    </w:p>
    <w:p w:rsidR="00A96DEF" w:rsidRDefault="000B6301" w:rsidP="0068293F">
      <w:pPr>
        <w:autoSpaceDE w:val="0"/>
        <w:autoSpaceDN w:val="0"/>
        <w:adjustRightInd w:val="0"/>
        <w:ind w:left="284" w:hanging="284"/>
      </w:pPr>
      <w:proofErr w:type="spellStart"/>
      <w:r w:rsidRPr="000B6301">
        <w:rPr>
          <w:lang w:val="en-US"/>
        </w:rPr>
        <w:t>Tichit</w:t>
      </w:r>
      <w:proofErr w:type="spellEnd"/>
      <w:r w:rsidRPr="000B6301">
        <w:rPr>
          <w:lang w:val="en-US"/>
        </w:rPr>
        <w:t xml:space="preserve"> </w:t>
      </w:r>
      <w:r w:rsidR="00A96DEF" w:rsidRPr="000B6301">
        <w:rPr>
          <w:lang w:val="en-US"/>
        </w:rPr>
        <w:t xml:space="preserve">D., </w:t>
      </w:r>
      <w:proofErr w:type="spellStart"/>
      <w:r w:rsidRPr="000B6301">
        <w:rPr>
          <w:lang w:val="en-US"/>
        </w:rPr>
        <w:t>Lutic</w:t>
      </w:r>
      <w:proofErr w:type="spellEnd"/>
      <w:r w:rsidRPr="000B6301">
        <w:rPr>
          <w:lang w:val="en-US"/>
        </w:rPr>
        <w:t xml:space="preserve"> </w:t>
      </w:r>
      <w:r w:rsidR="00A96DEF" w:rsidRPr="000B6301">
        <w:rPr>
          <w:lang w:val="en-US"/>
        </w:rPr>
        <w:t xml:space="preserve">D, </w:t>
      </w:r>
      <w:r w:rsidRPr="000B6301">
        <w:rPr>
          <w:lang w:val="en-US"/>
        </w:rPr>
        <w:t xml:space="preserve">Coq </w:t>
      </w:r>
      <w:r w:rsidR="00A96DEF" w:rsidRPr="000B6301">
        <w:rPr>
          <w:lang w:val="en-US"/>
        </w:rPr>
        <w:t xml:space="preserve">B., </w:t>
      </w:r>
      <w:r w:rsidRPr="000B6301">
        <w:rPr>
          <w:lang w:val="en-US"/>
        </w:rPr>
        <w:t xml:space="preserve">Durand </w:t>
      </w:r>
      <w:r w:rsidR="00A96DEF" w:rsidRPr="000B6301">
        <w:rPr>
          <w:lang w:val="en-US"/>
        </w:rPr>
        <w:t xml:space="preserve">R., </w:t>
      </w:r>
      <w:proofErr w:type="spellStart"/>
      <w:r w:rsidRPr="000B6301">
        <w:rPr>
          <w:lang w:val="en-US"/>
        </w:rPr>
        <w:t>Teissier</w:t>
      </w:r>
      <w:proofErr w:type="spellEnd"/>
      <w:r w:rsidRPr="000B6301">
        <w:rPr>
          <w:lang w:val="en-US"/>
        </w:rPr>
        <w:t xml:space="preserve"> </w:t>
      </w:r>
      <w:r w:rsidR="00A96DEF" w:rsidRPr="000B6301">
        <w:rPr>
          <w:lang w:val="en-US"/>
        </w:rPr>
        <w:t xml:space="preserve">R., </w:t>
      </w:r>
      <w:r w:rsidRPr="000B6301">
        <w:t>2003</w:t>
      </w:r>
      <w:r>
        <w:t xml:space="preserve">, </w:t>
      </w:r>
      <w:r w:rsidR="00A96DEF" w:rsidRPr="000B6301">
        <w:rPr>
          <w:lang w:val="en-US"/>
        </w:rPr>
        <w:t xml:space="preserve">The </w:t>
      </w:r>
      <w:proofErr w:type="spellStart"/>
      <w:r w:rsidRPr="000B6301">
        <w:rPr>
          <w:lang w:val="en-US"/>
        </w:rPr>
        <w:t>Aldol</w:t>
      </w:r>
      <w:proofErr w:type="spellEnd"/>
      <w:r w:rsidRPr="000B6301">
        <w:rPr>
          <w:lang w:val="en-US"/>
        </w:rPr>
        <w:t xml:space="preserve"> Condensation Of Acetaldehyde And </w:t>
      </w:r>
      <w:proofErr w:type="spellStart"/>
      <w:r w:rsidRPr="000B6301">
        <w:rPr>
          <w:lang w:val="en-US"/>
        </w:rPr>
        <w:t>Heptanal</w:t>
      </w:r>
      <w:proofErr w:type="spellEnd"/>
      <w:r w:rsidRPr="000B6301">
        <w:rPr>
          <w:lang w:val="en-US"/>
        </w:rPr>
        <w:t xml:space="preserve"> On </w:t>
      </w:r>
      <w:proofErr w:type="spellStart"/>
      <w:r w:rsidRPr="000B6301">
        <w:rPr>
          <w:lang w:val="en-US"/>
        </w:rPr>
        <w:t>Hydrotalcite</w:t>
      </w:r>
      <w:proofErr w:type="spellEnd"/>
      <w:r w:rsidRPr="000B6301">
        <w:rPr>
          <w:lang w:val="en-US"/>
        </w:rPr>
        <w:t>-Type Catalyst</w:t>
      </w:r>
      <w:r w:rsidR="00A96DEF" w:rsidRPr="000B6301">
        <w:rPr>
          <w:lang w:val="en-US"/>
        </w:rPr>
        <w:t xml:space="preserve">s, J. </w:t>
      </w:r>
      <w:proofErr w:type="spellStart"/>
      <w:r w:rsidR="00A96DEF" w:rsidRPr="000B6301">
        <w:rPr>
          <w:lang w:val="en-US"/>
        </w:rPr>
        <w:t>Catal</w:t>
      </w:r>
      <w:proofErr w:type="spellEnd"/>
      <w:r w:rsidR="00A96DEF" w:rsidRPr="000B6301">
        <w:rPr>
          <w:lang w:val="en-US"/>
        </w:rPr>
        <w:t xml:space="preserve">., </w:t>
      </w:r>
      <w:r w:rsidR="00A96DEF" w:rsidRPr="000B6301">
        <w:t>219,</w:t>
      </w:r>
      <w:r>
        <w:t xml:space="preserve"> </w:t>
      </w:r>
      <w:r w:rsidR="00A96DEF" w:rsidRPr="000B6301">
        <w:t>167-175.</w:t>
      </w:r>
    </w:p>
    <w:p w:rsidR="00A31B21" w:rsidRPr="000B6301" w:rsidRDefault="00A31B21" w:rsidP="00A31B21">
      <w:pPr>
        <w:pStyle w:val="21"/>
        <w:spacing w:before="0"/>
        <w:ind w:left="284" w:hanging="284"/>
        <w:rPr>
          <w:rFonts w:ascii="Arial" w:eastAsia="Times New Roman" w:hAnsi="Arial" w:cs="Times New Roman"/>
          <w:b w:val="0"/>
          <w:bCs w:val="0"/>
          <w:color w:val="auto"/>
          <w:sz w:val="18"/>
          <w:szCs w:val="20"/>
          <w:lang w:val="en-US"/>
        </w:rPr>
      </w:pPr>
      <w:proofErr w:type="spellStart"/>
      <w:r w:rsidRPr="0068293F">
        <w:rPr>
          <w:rFonts w:ascii="Arial" w:eastAsia="Times New Roman" w:hAnsi="Arial" w:cs="Times New Roman"/>
          <w:b w:val="0"/>
          <w:bCs w:val="0"/>
          <w:color w:val="auto"/>
          <w:sz w:val="18"/>
          <w:szCs w:val="20"/>
          <w:lang w:val="en-US"/>
        </w:rPr>
        <w:t>Uyttebroek</w:t>
      </w:r>
      <w:proofErr w:type="spellEnd"/>
      <w:r w:rsidRPr="0068293F">
        <w:rPr>
          <w:rFonts w:ascii="Arial" w:eastAsia="Times New Roman" w:hAnsi="Arial" w:cs="Times New Roman"/>
          <w:b w:val="0"/>
          <w:bCs w:val="0"/>
          <w:color w:val="auto"/>
          <w:sz w:val="18"/>
          <w:szCs w:val="20"/>
          <w:lang w:val="en-US"/>
        </w:rPr>
        <w:t xml:space="preserve"> </w:t>
      </w:r>
      <w:hyperlink r:id="rId25" w:anchor="!" w:history="1">
        <w:r w:rsidRPr="000B6301">
          <w:rPr>
            <w:rFonts w:ascii="Arial" w:eastAsia="Times New Roman" w:hAnsi="Arial" w:cs="Times New Roman"/>
            <w:b w:val="0"/>
            <w:bCs w:val="0"/>
            <w:color w:val="auto"/>
            <w:sz w:val="18"/>
            <w:szCs w:val="20"/>
            <w:lang w:val="en-US"/>
          </w:rPr>
          <w:t xml:space="preserve">M. </w:t>
        </w:r>
      </w:hyperlink>
      <w:r w:rsidRPr="000B6301">
        <w:rPr>
          <w:rFonts w:ascii="Arial" w:eastAsia="Times New Roman" w:hAnsi="Arial" w:cs="Times New Roman"/>
          <w:b w:val="0"/>
          <w:bCs w:val="0"/>
          <w:color w:val="auto"/>
          <w:sz w:val="18"/>
          <w:szCs w:val="20"/>
          <w:lang w:val="en-US"/>
        </w:rPr>
        <w:t xml:space="preserve">, </w:t>
      </w:r>
      <w:r w:rsidRPr="0068293F">
        <w:rPr>
          <w:rFonts w:ascii="Arial" w:eastAsia="Times New Roman" w:hAnsi="Arial" w:cs="Times New Roman"/>
          <w:b w:val="0"/>
          <w:bCs w:val="0"/>
          <w:color w:val="auto"/>
          <w:sz w:val="18"/>
          <w:szCs w:val="20"/>
          <w:lang w:val="en-US"/>
        </w:rPr>
        <w:t xml:space="preserve">Van </w:t>
      </w:r>
      <w:proofErr w:type="spellStart"/>
      <w:r w:rsidRPr="0068293F">
        <w:rPr>
          <w:rFonts w:ascii="Arial" w:eastAsia="Times New Roman" w:hAnsi="Arial" w:cs="Times New Roman"/>
          <w:b w:val="0"/>
          <w:bCs w:val="0"/>
          <w:color w:val="auto"/>
          <w:sz w:val="18"/>
          <w:szCs w:val="20"/>
          <w:lang w:val="en-US"/>
        </w:rPr>
        <w:t>Hecke</w:t>
      </w:r>
      <w:proofErr w:type="spellEnd"/>
      <w:r w:rsidRPr="0068293F">
        <w:rPr>
          <w:rFonts w:ascii="Arial" w:eastAsia="Times New Roman" w:hAnsi="Arial" w:cs="Times New Roman"/>
          <w:b w:val="0"/>
          <w:bCs w:val="0"/>
          <w:color w:val="auto"/>
          <w:sz w:val="18"/>
          <w:szCs w:val="20"/>
          <w:lang w:val="en-US"/>
        </w:rPr>
        <w:t xml:space="preserve"> </w:t>
      </w:r>
      <w:hyperlink r:id="rId26" w:anchor="!" w:history="1">
        <w:r w:rsidRPr="000B6301">
          <w:rPr>
            <w:rFonts w:ascii="Arial" w:eastAsia="Times New Roman" w:hAnsi="Arial" w:cs="Times New Roman"/>
            <w:b w:val="0"/>
            <w:bCs w:val="0"/>
            <w:color w:val="auto"/>
            <w:sz w:val="18"/>
            <w:szCs w:val="20"/>
            <w:lang w:val="en-US"/>
          </w:rPr>
          <w:t xml:space="preserve">W. </w:t>
        </w:r>
      </w:hyperlink>
      <w:r w:rsidRPr="000B6301">
        <w:rPr>
          <w:rFonts w:ascii="Arial" w:eastAsia="Times New Roman" w:hAnsi="Arial" w:cs="Times New Roman"/>
          <w:b w:val="0"/>
          <w:bCs w:val="0"/>
          <w:color w:val="auto"/>
          <w:sz w:val="18"/>
          <w:szCs w:val="20"/>
          <w:lang w:val="en-US"/>
        </w:rPr>
        <w:t xml:space="preserve">, </w:t>
      </w:r>
      <w:proofErr w:type="spellStart"/>
      <w:r w:rsidRPr="0068293F">
        <w:rPr>
          <w:rFonts w:ascii="Arial" w:eastAsia="Times New Roman" w:hAnsi="Arial" w:cs="Times New Roman"/>
          <w:b w:val="0"/>
          <w:bCs w:val="0"/>
          <w:color w:val="auto"/>
          <w:sz w:val="18"/>
          <w:szCs w:val="20"/>
          <w:lang w:val="en-US"/>
        </w:rPr>
        <w:t>Vanbroekhoven</w:t>
      </w:r>
      <w:proofErr w:type="spellEnd"/>
      <w:r w:rsidRPr="0068293F">
        <w:rPr>
          <w:rFonts w:ascii="Arial" w:eastAsia="Times New Roman" w:hAnsi="Arial" w:cs="Times New Roman"/>
          <w:b w:val="0"/>
          <w:bCs w:val="0"/>
          <w:color w:val="auto"/>
          <w:sz w:val="18"/>
          <w:szCs w:val="20"/>
          <w:lang w:val="en-US"/>
        </w:rPr>
        <w:t xml:space="preserve"> </w:t>
      </w:r>
      <w:hyperlink r:id="rId27" w:anchor="!" w:history="1">
        <w:r w:rsidRPr="000B6301">
          <w:rPr>
            <w:rFonts w:ascii="Arial" w:eastAsia="Times New Roman" w:hAnsi="Arial" w:cs="Times New Roman"/>
            <w:b w:val="0"/>
            <w:bCs w:val="0"/>
            <w:color w:val="auto"/>
            <w:sz w:val="18"/>
            <w:szCs w:val="20"/>
            <w:lang w:val="en-US"/>
          </w:rPr>
          <w:t>K.</w:t>
        </w:r>
      </w:hyperlink>
      <w:r w:rsidRPr="000B6301">
        <w:rPr>
          <w:rFonts w:ascii="Arial" w:eastAsia="Times New Roman" w:hAnsi="Arial" w:cs="Times New Roman"/>
          <w:b w:val="0"/>
          <w:bCs w:val="0"/>
          <w:color w:val="auto"/>
          <w:sz w:val="18"/>
          <w:szCs w:val="20"/>
          <w:lang w:val="en-US"/>
        </w:rPr>
        <w:t>, 2015</w:t>
      </w:r>
      <w:r>
        <w:rPr>
          <w:rFonts w:ascii="Arial" w:eastAsia="Times New Roman" w:hAnsi="Arial" w:cs="Times New Roman"/>
          <w:b w:val="0"/>
          <w:bCs w:val="0"/>
          <w:color w:val="auto"/>
          <w:sz w:val="18"/>
          <w:szCs w:val="20"/>
          <w:lang w:val="en-US"/>
        </w:rPr>
        <w:t xml:space="preserve">, </w:t>
      </w:r>
      <w:r w:rsidRPr="000B6301">
        <w:rPr>
          <w:rFonts w:ascii="Arial" w:eastAsia="Times New Roman" w:hAnsi="Arial" w:cs="Times New Roman"/>
          <w:b w:val="0"/>
          <w:bCs w:val="0"/>
          <w:color w:val="auto"/>
          <w:sz w:val="18"/>
          <w:szCs w:val="20"/>
          <w:lang w:val="en-US"/>
        </w:rPr>
        <w:t xml:space="preserve">Sustainability Metrics Of 1-Butanol, </w:t>
      </w:r>
      <w:hyperlink r:id="rId28" w:tooltip="Go to Catalysis Today on ScienceDirect" w:history="1">
        <w:r w:rsidRPr="000B6301">
          <w:rPr>
            <w:rFonts w:ascii="Arial" w:eastAsia="Times New Roman" w:hAnsi="Arial" w:cs="Times New Roman"/>
            <w:b w:val="0"/>
            <w:bCs w:val="0"/>
            <w:color w:val="auto"/>
            <w:sz w:val="18"/>
            <w:szCs w:val="20"/>
            <w:lang w:val="en-US"/>
          </w:rPr>
          <w:t>Catalysis Today</w:t>
        </w:r>
      </w:hyperlink>
      <w:r w:rsidRPr="000B6301">
        <w:rPr>
          <w:rFonts w:ascii="Arial" w:eastAsia="Times New Roman" w:hAnsi="Arial" w:cs="Times New Roman"/>
          <w:b w:val="0"/>
          <w:bCs w:val="0"/>
          <w:color w:val="auto"/>
          <w:sz w:val="18"/>
          <w:szCs w:val="20"/>
          <w:lang w:val="en-US"/>
        </w:rPr>
        <w:t xml:space="preserve">, </w:t>
      </w:r>
      <w:hyperlink r:id="rId29" w:tooltip="Go to table of contents for this volume/issue" w:history="1">
        <w:r w:rsidRPr="000B6301">
          <w:rPr>
            <w:rFonts w:ascii="Arial" w:eastAsia="Times New Roman" w:hAnsi="Arial" w:cs="Times New Roman"/>
            <w:b w:val="0"/>
            <w:bCs w:val="0"/>
            <w:color w:val="auto"/>
            <w:sz w:val="18"/>
            <w:szCs w:val="20"/>
            <w:lang w:val="en-US"/>
          </w:rPr>
          <w:t>239</w:t>
        </w:r>
      </w:hyperlink>
      <w:r w:rsidRPr="000B6301">
        <w:rPr>
          <w:rFonts w:ascii="Arial" w:eastAsia="Times New Roman" w:hAnsi="Arial" w:cs="Times New Roman"/>
          <w:b w:val="0"/>
          <w:bCs w:val="0"/>
          <w:color w:val="auto"/>
          <w:sz w:val="18"/>
          <w:szCs w:val="20"/>
          <w:lang w:val="en-US"/>
        </w:rPr>
        <w:t>, 7-10.</w:t>
      </w:r>
    </w:p>
    <w:p w:rsidR="00A31B21" w:rsidRPr="000B6301" w:rsidRDefault="00A31B21" w:rsidP="00A31B21">
      <w:pPr>
        <w:autoSpaceDE w:val="0"/>
        <w:autoSpaceDN w:val="0"/>
        <w:adjustRightInd w:val="0"/>
        <w:ind w:left="284" w:hanging="284"/>
        <w:rPr>
          <w:lang w:val="en-US"/>
        </w:rPr>
      </w:pPr>
      <w:r w:rsidRPr="000B6301">
        <w:rPr>
          <w:shd w:val="clear" w:color="auto" w:fill="FFFFFF"/>
        </w:rPr>
        <w:t>Wang C.</w:t>
      </w:r>
      <w:r w:rsidRPr="000B6301">
        <w:rPr>
          <w:color w:val="000000"/>
          <w:shd w:val="clear" w:color="auto" w:fill="FFFFFF"/>
        </w:rPr>
        <w:t>, </w:t>
      </w:r>
      <w:r w:rsidRPr="000B6301">
        <w:rPr>
          <w:shd w:val="clear" w:color="auto" w:fill="FFFFFF"/>
        </w:rPr>
        <w:t>Yoon S.H.</w:t>
      </w:r>
      <w:r w:rsidRPr="000B6301">
        <w:rPr>
          <w:color w:val="000000"/>
          <w:shd w:val="clear" w:color="auto" w:fill="FFFFFF"/>
        </w:rPr>
        <w:t>, </w:t>
      </w:r>
      <w:r w:rsidRPr="000B6301">
        <w:rPr>
          <w:shd w:val="clear" w:color="auto" w:fill="FFFFFF"/>
        </w:rPr>
        <w:t>Jang H.J.</w:t>
      </w:r>
      <w:r w:rsidRPr="000B6301">
        <w:rPr>
          <w:color w:val="000000"/>
          <w:shd w:val="clear" w:color="auto" w:fill="FFFFFF"/>
        </w:rPr>
        <w:t>, </w:t>
      </w:r>
      <w:r w:rsidRPr="000B6301">
        <w:rPr>
          <w:shd w:val="clear" w:color="auto" w:fill="FFFFFF"/>
        </w:rPr>
        <w:t>Chung Y.R.</w:t>
      </w:r>
      <w:r w:rsidRPr="000B6301">
        <w:rPr>
          <w:color w:val="000000"/>
          <w:shd w:val="clear" w:color="auto" w:fill="FFFFFF"/>
        </w:rPr>
        <w:t xml:space="preserve">, </w:t>
      </w:r>
      <w:r w:rsidRPr="000B6301">
        <w:rPr>
          <w:shd w:val="clear" w:color="auto" w:fill="FFFFFF"/>
        </w:rPr>
        <w:t>Kim J.Y.</w:t>
      </w:r>
      <w:r w:rsidRPr="000B6301">
        <w:rPr>
          <w:color w:val="000000"/>
          <w:shd w:val="clear" w:color="auto" w:fill="FFFFFF"/>
        </w:rPr>
        <w:t xml:space="preserve">, </w:t>
      </w:r>
      <w:proofErr w:type="spellStart"/>
      <w:r w:rsidRPr="000B6301">
        <w:rPr>
          <w:shd w:val="clear" w:color="auto" w:fill="FFFFFF"/>
        </w:rPr>
        <w:t>Choi</w:t>
      </w:r>
      <w:proofErr w:type="spellEnd"/>
      <w:r w:rsidRPr="000B6301">
        <w:rPr>
          <w:shd w:val="clear" w:color="auto" w:fill="FFFFFF"/>
        </w:rPr>
        <w:t xml:space="preserve"> E.S.</w:t>
      </w:r>
      <w:r w:rsidRPr="000B6301">
        <w:rPr>
          <w:color w:val="000000"/>
          <w:shd w:val="clear" w:color="auto" w:fill="FFFFFF"/>
        </w:rPr>
        <w:t xml:space="preserve">, </w:t>
      </w:r>
      <w:r w:rsidRPr="000B6301">
        <w:rPr>
          <w:shd w:val="clear" w:color="auto" w:fill="FFFFFF"/>
        </w:rPr>
        <w:t>Kim S.W.</w:t>
      </w:r>
      <w:r w:rsidRPr="000B6301">
        <w:rPr>
          <w:color w:val="000000"/>
          <w:shd w:val="clear" w:color="auto" w:fill="FFFFFF"/>
        </w:rPr>
        <w:t xml:space="preserve">, </w:t>
      </w:r>
      <w:r w:rsidRPr="000B6301">
        <w:rPr>
          <w:lang w:val="en-US"/>
        </w:rPr>
        <w:t>2011</w:t>
      </w:r>
      <w:r>
        <w:rPr>
          <w:lang w:val="en-US"/>
        </w:rPr>
        <w:t xml:space="preserve">, </w:t>
      </w:r>
      <w:r w:rsidRPr="000B6301">
        <w:rPr>
          <w:lang w:val="en-US"/>
        </w:rPr>
        <w:t>Metabolic Engineering Of Escherichia Coli For A-</w:t>
      </w:r>
      <w:proofErr w:type="spellStart"/>
      <w:r w:rsidRPr="000B6301">
        <w:rPr>
          <w:lang w:val="en-US"/>
        </w:rPr>
        <w:t>Farnesene</w:t>
      </w:r>
      <w:proofErr w:type="spellEnd"/>
      <w:r w:rsidRPr="000B6301">
        <w:rPr>
          <w:lang w:val="en-US"/>
        </w:rPr>
        <w:t xml:space="preserve"> Production, Metabolic </w:t>
      </w:r>
      <w:proofErr w:type="spellStart"/>
      <w:r w:rsidRPr="000B6301">
        <w:rPr>
          <w:lang w:val="en-US"/>
        </w:rPr>
        <w:t>Engeneering</w:t>
      </w:r>
      <w:proofErr w:type="spellEnd"/>
      <w:r w:rsidRPr="000B6301">
        <w:rPr>
          <w:lang w:val="en-US"/>
        </w:rPr>
        <w:t>, 13, 648–655.</w:t>
      </w:r>
    </w:p>
    <w:p w:rsidR="00A31B21" w:rsidRPr="000B6301" w:rsidRDefault="00A31B21" w:rsidP="00A31B21">
      <w:pPr>
        <w:pStyle w:val="a9"/>
        <w:spacing w:after="0"/>
        <w:ind w:left="284" w:hanging="284"/>
      </w:pPr>
      <w:proofErr w:type="spellStart"/>
      <w:r w:rsidRPr="000B6301">
        <w:rPr>
          <w:iCs/>
        </w:rPr>
        <w:t>Tiwari</w:t>
      </w:r>
      <w:proofErr w:type="spellEnd"/>
      <w:r w:rsidRPr="000B6301">
        <w:rPr>
          <w:iCs/>
        </w:rPr>
        <w:t xml:space="preserve"> </w:t>
      </w:r>
      <w:r>
        <w:rPr>
          <w:iCs/>
        </w:rPr>
        <w:t>B.K.,</w:t>
      </w:r>
      <w:r w:rsidRPr="000B6301">
        <w:rPr>
          <w:iCs/>
        </w:rPr>
        <w:t xml:space="preserve"> Troy D.J.,</w:t>
      </w:r>
      <w:r w:rsidRPr="000B6301">
        <w:t xml:space="preserve"> 2015</w:t>
      </w:r>
      <w:r>
        <w:t xml:space="preserve">, </w:t>
      </w:r>
      <w:r w:rsidRPr="000B6301">
        <w:t>Seaweed Sustainability,</w:t>
      </w:r>
      <w:r w:rsidRPr="000B6301">
        <w:rPr>
          <w:color w:val="2E2E2E"/>
          <w:sz w:val="20"/>
          <w:shd w:val="clear" w:color="auto" w:fill="FFFFFF"/>
        </w:rPr>
        <w:t> </w:t>
      </w:r>
      <w:r>
        <w:t>Elsevier</w:t>
      </w:r>
      <w:r w:rsidRPr="000B6301">
        <w:t>.</w:t>
      </w:r>
    </w:p>
    <w:p w:rsidR="00A96DEF" w:rsidRDefault="0068293F" w:rsidP="0068293F">
      <w:pPr>
        <w:autoSpaceDE w:val="0"/>
        <w:autoSpaceDN w:val="0"/>
        <w:adjustRightInd w:val="0"/>
        <w:ind w:left="284" w:hanging="284"/>
        <w:rPr>
          <w:lang w:val="en-US"/>
        </w:rPr>
      </w:pPr>
      <w:r w:rsidRPr="000B6301">
        <w:rPr>
          <w:lang w:val="en-US"/>
        </w:rPr>
        <w:t xml:space="preserve">Yang </w:t>
      </w:r>
      <w:r w:rsidR="00A96DEF" w:rsidRPr="000B6301">
        <w:rPr>
          <w:lang w:val="en-US"/>
        </w:rPr>
        <w:t xml:space="preserve">J., </w:t>
      </w:r>
      <w:r w:rsidRPr="000B6301">
        <w:rPr>
          <w:lang w:val="en-US"/>
        </w:rPr>
        <w:t xml:space="preserve">Liu </w:t>
      </w:r>
      <w:r w:rsidR="00A96DEF" w:rsidRPr="000B6301">
        <w:rPr>
          <w:lang w:val="en-US"/>
        </w:rPr>
        <w:t xml:space="preserve">X., </w:t>
      </w:r>
      <w:proofErr w:type="spellStart"/>
      <w:r w:rsidRPr="000B6301">
        <w:rPr>
          <w:lang w:val="en-US"/>
        </w:rPr>
        <w:t>Meng</w:t>
      </w:r>
      <w:proofErr w:type="spellEnd"/>
      <w:r w:rsidRPr="000B6301">
        <w:rPr>
          <w:lang w:val="en-US"/>
        </w:rPr>
        <w:t xml:space="preserve"> </w:t>
      </w:r>
      <w:r w:rsidR="00A96DEF" w:rsidRPr="000B6301">
        <w:rPr>
          <w:lang w:val="en-US"/>
        </w:rPr>
        <w:t xml:space="preserve">D.-L., </w:t>
      </w:r>
      <w:r w:rsidRPr="000B6301">
        <w:rPr>
          <w:lang w:val="en-US"/>
        </w:rPr>
        <w:t xml:space="preserve">Chen </w:t>
      </w:r>
      <w:r w:rsidR="00A96DEF" w:rsidRPr="000B6301">
        <w:rPr>
          <w:lang w:val="en-US"/>
        </w:rPr>
        <w:t xml:space="preserve">H.-Y., </w:t>
      </w:r>
      <w:proofErr w:type="spellStart"/>
      <w:r w:rsidRPr="000B6301">
        <w:rPr>
          <w:lang w:val="en-US"/>
        </w:rPr>
        <w:t>Zong</w:t>
      </w:r>
      <w:proofErr w:type="spellEnd"/>
      <w:r w:rsidRPr="000B6301">
        <w:rPr>
          <w:lang w:val="en-US"/>
        </w:rPr>
        <w:t xml:space="preserve"> </w:t>
      </w:r>
      <w:r w:rsidR="00A96DEF" w:rsidRPr="000B6301">
        <w:rPr>
          <w:lang w:val="en-US"/>
        </w:rPr>
        <w:t xml:space="preserve">Z.-H., </w:t>
      </w:r>
      <w:proofErr w:type="spellStart"/>
      <w:r w:rsidRPr="000B6301">
        <w:rPr>
          <w:lang w:val="en-US"/>
        </w:rPr>
        <w:t>Feng</w:t>
      </w:r>
      <w:proofErr w:type="spellEnd"/>
      <w:r w:rsidRPr="000B6301">
        <w:rPr>
          <w:lang w:val="en-US"/>
        </w:rPr>
        <w:t xml:space="preserve"> </w:t>
      </w:r>
      <w:r w:rsidR="00A96DEF" w:rsidRPr="000B6301">
        <w:rPr>
          <w:lang w:val="en-US"/>
        </w:rPr>
        <w:t xml:space="preserve">T.-T., </w:t>
      </w:r>
      <w:r w:rsidRPr="000B6301">
        <w:rPr>
          <w:lang w:val="en-US"/>
        </w:rPr>
        <w:t xml:space="preserve">Sun </w:t>
      </w:r>
      <w:r w:rsidR="00A96DEF" w:rsidRPr="000B6301">
        <w:rPr>
          <w:lang w:val="en-US"/>
        </w:rPr>
        <w:t xml:space="preserve">K., </w:t>
      </w:r>
      <w:r w:rsidRPr="000B6301">
        <w:rPr>
          <w:lang w:val="en-US"/>
        </w:rPr>
        <w:t>2012</w:t>
      </w:r>
      <w:r>
        <w:rPr>
          <w:lang w:val="en-US"/>
        </w:rPr>
        <w:t xml:space="preserve">, </w:t>
      </w:r>
      <w:r w:rsidR="00A96DEF" w:rsidRPr="000B6301">
        <w:rPr>
          <w:lang w:val="en-US"/>
        </w:rPr>
        <w:t xml:space="preserve">Efficient </w:t>
      </w:r>
      <w:r w:rsidRPr="000B6301">
        <w:rPr>
          <w:lang w:val="en-US"/>
        </w:rPr>
        <w:t>Iron-Catalyzed Direct B-Alkylation Of Secondary Alcohols With Primary Alcohols</w:t>
      </w:r>
      <w:r w:rsidR="00A96DEF" w:rsidRPr="000B6301">
        <w:rPr>
          <w:lang w:val="en-US"/>
        </w:rPr>
        <w:t xml:space="preserve">, Adv. </w:t>
      </w:r>
      <w:proofErr w:type="spellStart"/>
      <w:r w:rsidR="00A96DEF" w:rsidRPr="000B6301">
        <w:rPr>
          <w:lang w:val="en-US"/>
        </w:rPr>
        <w:t>Synth</w:t>
      </w:r>
      <w:proofErr w:type="spellEnd"/>
      <w:r w:rsidR="00A96DEF" w:rsidRPr="000B6301">
        <w:rPr>
          <w:lang w:val="en-US"/>
        </w:rPr>
        <w:t xml:space="preserve">. </w:t>
      </w:r>
      <w:proofErr w:type="spellStart"/>
      <w:proofErr w:type="gramStart"/>
      <w:r w:rsidR="00A96DEF" w:rsidRPr="000B6301">
        <w:rPr>
          <w:lang w:val="en-US"/>
        </w:rPr>
        <w:t>Catal</w:t>
      </w:r>
      <w:proofErr w:type="spellEnd"/>
      <w:r w:rsidR="00A96DEF" w:rsidRPr="000B6301">
        <w:rPr>
          <w:lang w:val="en-US"/>
        </w:rPr>
        <w:t>.,</w:t>
      </w:r>
      <w:proofErr w:type="gramEnd"/>
      <w:r w:rsidR="00A96DEF" w:rsidRPr="000B6301">
        <w:rPr>
          <w:lang w:val="en-US"/>
        </w:rPr>
        <w:t xml:space="preserve"> 354, 328 – 334.</w:t>
      </w:r>
    </w:p>
    <w:p w:rsidR="005F0E68" w:rsidRPr="000B6301" w:rsidRDefault="005F0E68" w:rsidP="0068293F">
      <w:pPr>
        <w:autoSpaceDE w:val="0"/>
        <w:autoSpaceDN w:val="0"/>
        <w:adjustRightInd w:val="0"/>
        <w:ind w:left="284" w:hanging="284"/>
        <w:rPr>
          <w:lang w:val="en-US"/>
        </w:rPr>
      </w:pPr>
      <w:proofErr w:type="spellStart"/>
      <w:r w:rsidRPr="005F0E68">
        <w:rPr>
          <w:lang w:val="en-US"/>
        </w:rPr>
        <w:t>Zharova</w:t>
      </w:r>
      <w:proofErr w:type="spellEnd"/>
      <w:r w:rsidRPr="005F0E68">
        <w:rPr>
          <w:lang w:val="en-US"/>
        </w:rPr>
        <w:t xml:space="preserve"> P.A., </w:t>
      </w:r>
      <w:proofErr w:type="spellStart"/>
      <w:r w:rsidRPr="005F0E68">
        <w:rPr>
          <w:lang w:val="en-US"/>
        </w:rPr>
        <w:t>Chistyakov</w:t>
      </w:r>
      <w:proofErr w:type="spellEnd"/>
      <w:r w:rsidRPr="005F0E68">
        <w:rPr>
          <w:lang w:val="en-US"/>
        </w:rPr>
        <w:t xml:space="preserve"> A.V., </w:t>
      </w:r>
      <w:proofErr w:type="spellStart"/>
      <w:r w:rsidRPr="005F0E68">
        <w:rPr>
          <w:lang w:val="en-US"/>
        </w:rPr>
        <w:t>Tsodikov</w:t>
      </w:r>
      <w:proofErr w:type="spellEnd"/>
      <w:r w:rsidRPr="005F0E68">
        <w:rPr>
          <w:lang w:val="en-US"/>
        </w:rPr>
        <w:t xml:space="preserve"> M.V., </w:t>
      </w:r>
      <w:proofErr w:type="spellStart"/>
      <w:r w:rsidRPr="005F0E68">
        <w:rPr>
          <w:lang w:val="en-US"/>
        </w:rPr>
        <w:t>Nikolaev</w:t>
      </w:r>
      <w:proofErr w:type="spellEnd"/>
      <w:r w:rsidRPr="005F0E68">
        <w:rPr>
          <w:lang w:val="en-US"/>
        </w:rPr>
        <w:t xml:space="preserve"> S.A., </w:t>
      </w:r>
      <w:proofErr w:type="spellStart"/>
      <w:r w:rsidRPr="005F0E68">
        <w:rPr>
          <w:lang w:val="en-US"/>
        </w:rPr>
        <w:t>Corbetta</w:t>
      </w:r>
      <w:proofErr w:type="spellEnd"/>
      <w:r w:rsidRPr="005F0E68">
        <w:rPr>
          <w:lang w:val="en-US"/>
        </w:rPr>
        <w:t xml:space="preserve"> M., </w:t>
      </w:r>
      <w:proofErr w:type="spellStart"/>
      <w:r w:rsidRPr="005F0E68">
        <w:rPr>
          <w:lang w:val="en-US"/>
        </w:rPr>
        <w:t>Manenti</w:t>
      </w:r>
      <w:proofErr w:type="spellEnd"/>
      <w:r w:rsidRPr="005F0E68">
        <w:rPr>
          <w:lang w:val="en-US"/>
        </w:rPr>
        <w:t xml:space="preserve"> F., 2016</w:t>
      </w:r>
      <w:r>
        <w:rPr>
          <w:lang w:val="en-US"/>
        </w:rPr>
        <w:t xml:space="preserve">, </w:t>
      </w:r>
      <w:r w:rsidRPr="005F0E68">
        <w:rPr>
          <w:lang w:val="en-US"/>
        </w:rPr>
        <w:t xml:space="preserve">Alkylation Of </w:t>
      </w:r>
      <w:proofErr w:type="spellStart"/>
      <w:r w:rsidRPr="005F0E68">
        <w:rPr>
          <w:lang w:val="en-US"/>
        </w:rPr>
        <w:t>Isopropanol</w:t>
      </w:r>
      <w:proofErr w:type="spellEnd"/>
      <w:r w:rsidRPr="005F0E68">
        <w:rPr>
          <w:lang w:val="en-US"/>
        </w:rPr>
        <w:t xml:space="preserve"> With Ethanol Over Heterogeneous Catalysts</w:t>
      </w:r>
      <w:r>
        <w:rPr>
          <w:lang w:val="en-US"/>
        </w:rPr>
        <w:t>,</w:t>
      </w:r>
      <w:r w:rsidRPr="005F0E68">
        <w:rPr>
          <w:lang w:val="en-US"/>
        </w:rPr>
        <w:t xml:space="preserve"> Ch</w:t>
      </w:r>
      <w:r>
        <w:rPr>
          <w:lang w:val="en-US"/>
        </w:rPr>
        <w:t>emical Engineering Transactions,</w:t>
      </w:r>
      <w:r w:rsidRPr="005F0E68">
        <w:rPr>
          <w:lang w:val="en-US"/>
        </w:rPr>
        <w:t xml:space="preserve"> 50</w:t>
      </w:r>
      <w:r>
        <w:rPr>
          <w:lang w:val="en-US"/>
        </w:rPr>
        <w:t>,</w:t>
      </w:r>
      <w:r w:rsidRPr="005F0E68">
        <w:rPr>
          <w:lang w:val="en-US"/>
        </w:rPr>
        <w:t xml:space="preserve"> 295-300</w:t>
      </w:r>
      <w:r>
        <w:rPr>
          <w:lang w:val="en-US"/>
        </w:rPr>
        <w:t>.</w:t>
      </w:r>
    </w:p>
    <w:sectPr w:rsidR="005F0E68" w:rsidRPr="000B6301"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F1D" w:rsidRDefault="00637F1D" w:rsidP="004F5E36">
      <w:r>
        <w:separator/>
      </w:r>
    </w:p>
  </w:endnote>
  <w:endnote w:type="continuationSeparator" w:id="0">
    <w:p w:rsidR="00637F1D" w:rsidRDefault="00637F1D"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F1D" w:rsidRDefault="00637F1D" w:rsidP="004F5E36">
      <w:r>
        <w:separator/>
      </w:r>
    </w:p>
  </w:footnote>
  <w:footnote w:type="continuationSeparator" w:id="0">
    <w:p w:rsidR="00637F1D" w:rsidRDefault="00637F1D"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styleLockTheme/>
  <w:styleLockQFSet/>
  <w:defaultTabStop w:val="708"/>
  <w:hyphenationZone w:val="283"/>
  <w:clickAndTypeStyle w:val="CETBodytext"/>
  <w:characterSpacingControl w:val="doNotCompress"/>
  <w:hdrShapeDefaults>
    <o:shapedefaults v:ext="edit" spidmax="1741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70AC9"/>
    <w:rsid w:val="00086C39"/>
    <w:rsid w:val="000A03B2"/>
    <w:rsid w:val="000A3B79"/>
    <w:rsid w:val="000B6301"/>
    <w:rsid w:val="000D34BE"/>
    <w:rsid w:val="000E102F"/>
    <w:rsid w:val="000E36F1"/>
    <w:rsid w:val="000E3A73"/>
    <w:rsid w:val="000E414A"/>
    <w:rsid w:val="000F093C"/>
    <w:rsid w:val="000F16BD"/>
    <w:rsid w:val="000F787B"/>
    <w:rsid w:val="00114DA9"/>
    <w:rsid w:val="0012091F"/>
    <w:rsid w:val="00126BC2"/>
    <w:rsid w:val="001308B6"/>
    <w:rsid w:val="0013121F"/>
    <w:rsid w:val="00131FAB"/>
    <w:rsid w:val="00131FE6"/>
    <w:rsid w:val="0013263F"/>
    <w:rsid w:val="00134DE4"/>
    <w:rsid w:val="0014034D"/>
    <w:rsid w:val="00150E59"/>
    <w:rsid w:val="00152DE3"/>
    <w:rsid w:val="00162642"/>
    <w:rsid w:val="00164CF9"/>
    <w:rsid w:val="00174415"/>
    <w:rsid w:val="00184AD6"/>
    <w:rsid w:val="00197750"/>
    <w:rsid w:val="001B0349"/>
    <w:rsid w:val="001B65C1"/>
    <w:rsid w:val="001C684B"/>
    <w:rsid w:val="001D53FC"/>
    <w:rsid w:val="001F42A5"/>
    <w:rsid w:val="001F7B9D"/>
    <w:rsid w:val="002224B4"/>
    <w:rsid w:val="002447EF"/>
    <w:rsid w:val="00251550"/>
    <w:rsid w:val="00252C1A"/>
    <w:rsid w:val="00263B05"/>
    <w:rsid w:val="00265839"/>
    <w:rsid w:val="0027221A"/>
    <w:rsid w:val="00275B61"/>
    <w:rsid w:val="00282656"/>
    <w:rsid w:val="00296B83"/>
    <w:rsid w:val="002B0CED"/>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3F4260"/>
    <w:rsid w:val="00400414"/>
    <w:rsid w:val="0041446B"/>
    <w:rsid w:val="00427A8E"/>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62FAB"/>
    <w:rsid w:val="00580976"/>
    <w:rsid w:val="005B2110"/>
    <w:rsid w:val="005B61E6"/>
    <w:rsid w:val="005C0038"/>
    <w:rsid w:val="005C77E1"/>
    <w:rsid w:val="005D6A2F"/>
    <w:rsid w:val="005E1A82"/>
    <w:rsid w:val="005E794C"/>
    <w:rsid w:val="005F0A28"/>
    <w:rsid w:val="005F0E5E"/>
    <w:rsid w:val="005F0E68"/>
    <w:rsid w:val="005F6088"/>
    <w:rsid w:val="00600535"/>
    <w:rsid w:val="00610CD6"/>
    <w:rsid w:val="00620DEE"/>
    <w:rsid w:val="00621F92"/>
    <w:rsid w:val="00625639"/>
    <w:rsid w:val="00631B33"/>
    <w:rsid w:val="00633AA5"/>
    <w:rsid w:val="00637F1D"/>
    <w:rsid w:val="0064184D"/>
    <w:rsid w:val="006422CC"/>
    <w:rsid w:val="00645689"/>
    <w:rsid w:val="00650CBC"/>
    <w:rsid w:val="00660E3E"/>
    <w:rsid w:val="00662E74"/>
    <w:rsid w:val="00680C23"/>
    <w:rsid w:val="0068293F"/>
    <w:rsid w:val="00693766"/>
    <w:rsid w:val="006A3281"/>
    <w:rsid w:val="006B4888"/>
    <w:rsid w:val="006B49AF"/>
    <w:rsid w:val="006C2E45"/>
    <w:rsid w:val="006C359C"/>
    <w:rsid w:val="006C5579"/>
    <w:rsid w:val="006E28BF"/>
    <w:rsid w:val="006E737D"/>
    <w:rsid w:val="006E7C17"/>
    <w:rsid w:val="0070195D"/>
    <w:rsid w:val="00720689"/>
    <w:rsid w:val="00720A24"/>
    <w:rsid w:val="00732386"/>
    <w:rsid w:val="007352D4"/>
    <w:rsid w:val="007447F3"/>
    <w:rsid w:val="0075499F"/>
    <w:rsid w:val="007618D3"/>
    <w:rsid w:val="007661C8"/>
    <w:rsid w:val="0077098D"/>
    <w:rsid w:val="007915EF"/>
    <w:rsid w:val="007931FA"/>
    <w:rsid w:val="007A7BBA"/>
    <w:rsid w:val="007B0C50"/>
    <w:rsid w:val="007C1A43"/>
    <w:rsid w:val="007E1DC6"/>
    <w:rsid w:val="00813288"/>
    <w:rsid w:val="008168FC"/>
    <w:rsid w:val="00830996"/>
    <w:rsid w:val="008345F1"/>
    <w:rsid w:val="00865B07"/>
    <w:rsid w:val="008667EA"/>
    <w:rsid w:val="00875EC7"/>
    <w:rsid w:val="0087637F"/>
    <w:rsid w:val="008904B9"/>
    <w:rsid w:val="00892AD5"/>
    <w:rsid w:val="008A1512"/>
    <w:rsid w:val="008C78C1"/>
    <w:rsid w:val="008D32B9"/>
    <w:rsid w:val="008D433B"/>
    <w:rsid w:val="008E2F59"/>
    <w:rsid w:val="008E566E"/>
    <w:rsid w:val="0090161A"/>
    <w:rsid w:val="00901EB6"/>
    <w:rsid w:val="00904C62"/>
    <w:rsid w:val="00924DAC"/>
    <w:rsid w:val="00927058"/>
    <w:rsid w:val="009450CE"/>
    <w:rsid w:val="00947179"/>
    <w:rsid w:val="0095164B"/>
    <w:rsid w:val="00954090"/>
    <w:rsid w:val="009573E7"/>
    <w:rsid w:val="00961AD0"/>
    <w:rsid w:val="009635B9"/>
    <w:rsid w:val="00963E05"/>
    <w:rsid w:val="00967D54"/>
    <w:rsid w:val="00982D42"/>
    <w:rsid w:val="00996483"/>
    <w:rsid w:val="00996F5A"/>
    <w:rsid w:val="009A0A3E"/>
    <w:rsid w:val="009B041A"/>
    <w:rsid w:val="009C7C86"/>
    <w:rsid w:val="009D2FF7"/>
    <w:rsid w:val="009E32FE"/>
    <w:rsid w:val="009E7884"/>
    <w:rsid w:val="009E788A"/>
    <w:rsid w:val="009F0E08"/>
    <w:rsid w:val="00A1763D"/>
    <w:rsid w:val="00A17CEC"/>
    <w:rsid w:val="00A27EF0"/>
    <w:rsid w:val="00A31B21"/>
    <w:rsid w:val="00A50B20"/>
    <w:rsid w:val="00A51390"/>
    <w:rsid w:val="00A578A9"/>
    <w:rsid w:val="00A60D13"/>
    <w:rsid w:val="00A72745"/>
    <w:rsid w:val="00A76EFC"/>
    <w:rsid w:val="00A91010"/>
    <w:rsid w:val="00A96DEF"/>
    <w:rsid w:val="00A97F29"/>
    <w:rsid w:val="00AA702E"/>
    <w:rsid w:val="00AB0964"/>
    <w:rsid w:val="00AB5011"/>
    <w:rsid w:val="00AB5E81"/>
    <w:rsid w:val="00AC7368"/>
    <w:rsid w:val="00AD16B9"/>
    <w:rsid w:val="00AE377D"/>
    <w:rsid w:val="00B17FBD"/>
    <w:rsid w:val="00B2054E"/>
    <w:rsid w:val="00B315A6"/>
    <w:rsid w:val="00B31813"/>
    <w:rsid w:val="00B33365"/>
    <w:rsid w:val="00B57B36"/>
    <w:rsid w:val="00B73F3C"/>
    <w:rsid w:val="00B8686D"/>
    <w:rsid w:val="00BB6515"/>
    <w:rsid w:val="00BC30C9"/>
    <w:rsid w:val="00BE3E58"/>
    <w:rsid w:val="00BE4B97"/>
    <w:rsid w:val="00C01616"/>
    <w:rsid w:val="00C0162B"/>
    <w:rsid w:val="00C31698"/>
    <w:rsid w:val="00C345B1"/>
    <w:rsid w:val="00C40142"/>
    <w:rsid w:val="00C57182"/>
    <w:rsid w:val="00C57863"/>
    <w:rsid w:val="00C655FD"/>
    <w:rsid w:val="00C815F6"/>
    <w:rsid w:val="00C870A8"/>
    <w:rsid w:val="00C94434"/>
    <w:rsid w:val="00CA0D75"/>
    <w:rsid w:val="00CA1C95"/>
    <w:rsid w:val="00CA5A9C"/>
    <w:rsid w:val="00CD3517"/>
    <w:rsid w:val="00CD5A00"/>
    <w:rsid w:val="00CD5FE2"/>
    <w:rsid w:val="00CE7C68"/>
    <w:rsid w:val="00D02B4C"/>
    <w:rsid w:val="00D040C4"/>
    <w:rsid w:val="00D4231C"/>
    <w:rsid w:val="00D57C84"/>
    <w:rsid w:val="00D6057D"/>
    <w:rsid w:val="00D750BF"/>
    <w:rsid w:val="00D84576"/>
    <w:rsid w:val="00D9524C"/>
    <w:rsid w:val="00DA1399"/>
    <w:rsid w:val="00DA24C6"/>
    <w:rsid w:val="00DA4D7B"/>
    <w:rsid w:val="00DE264A"/>
    <w:rsid w:val="00E02D18"/>
    <w:rsid w:val="00E041E7"/>
    <w:rsid w:val="00E23CA1"/>
    <w:rsid w:val="00E26995"/>
    <w:rsid w:val="00E409A8"/>
    <w:rsid w:val="00E50C12"/>
    <w:rsid w:val="00E65B91"/>
    <w:rsid w:val="00E7209D"/>
    <w:rsid w:val="00E77223"/>
    <w:rsid w:val="00E8528B"/>
    <w:rsid w:val="00E85B94"/>
    <w:rsid w:val="00E90667"/>
    <w:rsid w:val="00E978D0"/>
    <w:rsid w:val="00EA4613"/>
    <w:rsid w:val="00EA7F91"/>
    <w:rsid w:val="00EB1523"/>
    <w:rsid w:val="00EB6B32"/>
    <w:rsid w:val="00EC0E49"/>
    <w:rsid w:val="00EC1198"/>
    <w:rsid w:val="00EE0131"/>
    <w:rsid w:val="00F155B2"/>
    <w:rsid w:val="00F30C64"/>
    <w:rsid w:val="00F32CDB"/>
    <w:rsid w:val="00F34BF4"/>
    <w:rsid w:val="00F5378C"/>
    <w:rsid w:val="00F63A70"/>
    <w:rsid w:val="00F914D4"/>
    <w:rsid w:val="00FA21D0"/>
    <w:rsid w:val="00FA5F5F"/>
    <w:rsid w:val="00FB730C"/>
    <w:rsid w:val="00FC2695"/>
    <w:rsid w:val="00FC3E03"/>
    <w:rsid w:val="00FC3FC1"/>
    <w:rsid w:val="00FF26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page number" w:uiPriority="0"/>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9">
    <w:name w:val="Body Text"/>
    <w:basedOn w:val="a1"/>
    <w:link w:val="aa"/>
    <w:uiPriority w:val="99"/>
    <w:unhideWhenUsed/>
    <w:rsid w:val="0003148D"/>
    <w:pPr>
      <w:spacing w:after="120"/>
    </w:pPr>
  </w:style>
  <w:style w:type="character" w:customStyle="1" w:styleId="aa">
    <w:name w:val="Основной текст Знак"/>
    <w:basedOn w:val="a2"/>
    <w:link w:val="a9"/>
    <w:uiPriority w:val="99"/>
    <w:rsid w:val="0003148D"/>
  </w:style>
  <w:style w:type="paragraph" w:styleId="ab">
    <w:name w:val="Date"/>
    <w:basedOn w:val="a1"/>
    <w:next w:val="a1"/>
    <w:link w:val="ac"/>
    <w:uiPriority w:val="99"/>
    <w:semiHidden/>
    <w:unhideWhenUsed/>
    <w:rsid w:val="0003148D"/>
  </w:style>
  <w:style w:type="character" w:customStyle="1" w:styleId="ac">
    <w:name w:val="Дата Знак"/>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Подпись Знак"/>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Электронная подпись Знак"/>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Приветствие Знак"/>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Прощание Знак"/>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rsid w:val="0003148D"/>
    <w:pPr>
      <w:spacing w:line="240" w:lineRule="auto"/>
    </w:pPr>
  </w:style>
  <w:style w:type="character" w:customStyle="1" w:styleId="afe">
    <w:name w:val="Заголовок записки Знак"/>
    <w:basedOn w:val="a2"/>
    <w:link w:val="afd"/>
    <w:uiPriority w:val="99"/>
    <w:semiHidden/>
    <w:rsid w:val="0003148D"/>
  </w:style>
  <w:style w:type="paragraph" w:styleId="aff">
    <w:name w:val="Document Map"/>
    <w:basedOn w:val="a1"/>
    <w:link w:val="aff0"/>
    <w:uiPriority w:val="99"/>
    <w:semiHidden/>
    <w:unhideWhenUsed/>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03148D"/>
    <w:rPr>
      <w:rFonts w:ascii="Tahoma" w:hAnsi="Tahoma" w:cs="Tahoma"/>
      <w:sz w:val="16"/>
      <w:szCs w:val="16"/>
    </w:rPr>
  </w:style>
  <w:style w:type="paragraph" w:styleId="aff1">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Красная строка Знак"/>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Основной текст с отступом Знак"/>
    <w:basedOn w:val="a2"/>
    <w:link w:val="aff4"/>
    <w:uiPriority w:val="99"/>
    <w:semiHidden/>
    <w:rsid w:val="0003148D"/>
  </w:style>
  <w:style w:type="paragraph" w:styleId="29">
    <w:name w:val="Body Text First Indent 2"/>
    <w:basedOn w:val="aff4"/>
    <w:link w:val="2a"/>
    <w:uiPriority w:val="99"/>
    <w:semiHidden/>
    <w:unhideWhenUsed/>
    <w:rsid w:val="0003148D"/>
    <w:pPr>
      <w:spacing w:after="200"/>
      <w:ind w:left="360" w:firstLine="360"/>
    </w:pPr>
  </w:style>
  <w:style w:type="character" w:customStyle="1" w:styleId="2a">
    <w:name w:val="Красная строка 2 Знак"/>
    <w:basedOn w:val="aff5"/>
    <w:link w:val="29"/>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b">
    <w:name w:val="Body Text Indent 2"/>
    <w:basedOn w:val="a1"/>
    <w:link w:val="2c"/>
    <w:uiPriority w:val="99"/>
    <w:semiHidden/>
    <w:unhideWhenUs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Текст примечания Знак"/>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Тема примечания Знак"/>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d">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Текст макроса Знак"/>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Текст сноски Знак"/>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Текст концевой сноски Знак"/>
    <w:basedOn w:val="a2"/>
    <w:link w:val="afff2"/>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afffd">
    <w:name w:val="No Spacing"/>
    <w:uiPriority w:val="1"/>
    <w:qFormat/>
    <w:rsid w:val="00A578A9"/>
    <w:pPr>
      <w:tabs>
        <w:tab w:val="right" w:pos="7100"/>
      </w:tabs>
      <w:spacing w:after="0" w:line="240" w:lineRule="auto"/>
      <w:jc w:val="both"/>
    </w:pPr>
    <w:rPr>
      <w:rFonts w:ascii="Arial" w:eastAsia="Times New Roman" w:hAnsi="Arial" w:cs="Times New Roman"/>
      <w:sz w:val="18"/>
      <w:szCs w:val="20"/>
      <w:lang w:val="en-GB"/>
    </w:rPr>
  </w:style>
  <w:style w:type="paragraph" w:customStyle="1" w:styleId="RSCB02ArticleText">
    <w:name w:val="RSC B02 Article Text"/>
    <w:basedOn w:val="a1"/>
    <w:link w:val="RSCB02ArticleTextChar"/>
    <w:qFormat/>
    <w:rsid w:val="00427A8E"/>
    <w:pPr>
      <w:tabs>
        <w:tab w:val="clear" w:pos="7100"/>
      </w:tabs>
      <w:spacing w:line="240" w:lineRule="exact"/>
    </w:pPr>
    <w:rPr>
      <w:rFonts w:asciiTheme="minorHAnsi" w:eastAsiaTheme="minorEastAsia" w:hAnsiTheme="minorHAnsi"/>
      <w:w w:val="108"/>
      <w:szCs w:val="18"/>
    </w:rPr>
  </w:style>
  <w:style w:type="character" w:customStyle="1" w:styleId="RSCB02ArticleTextChar">
    <w:name w:val="RSC B02 Article Text Char"/>
    <w:basedOn w:val="a2"/>
    <w:link w:val="RSCB02ArticleText"/>
    <w:rsid w:val="00427A8E"/>
    <w:rPr>
      <w:rFonts w:eastAsiaTheme="minorEastAsia" w:cs="Times New Roman"/>
      <w:w w:val="108"/>
      <w:sz w:val="18"/>
      <w:szCs w:val="18"/>
      <w:lang w:val="en-GB"/>
    </w:rPr>
  </w:style>
  <w:style w:type="character" w:styleId="afffe">
    <w:name w:val="page number"/>
    <w:rsid w:val="00197750"/>
  </w:style>
  <w:style w:type="paragraph" w:styleId="affff">
    <w:name w:val="List Paragraph"/>
    <w:basedOn w:val="a1"/>
    <w:uiPriority w:val="34"/>
    <w:rsid w:val="00197750"/>
    <w:pPr>
      <w:ind w:left="720"/>
      <w:contextualSpacing/>
    </w:pPr>
  </w:style>
  <w:style w:type="paragraph" w:customStyle="1" w:styleId="FigureHeading">
    <w:name w:val="Figure Heading"/>
    <w:basedOn w:val="a9"/>
    <w:rsid w:val="00197750"/>
    <w:pPr>
      <w:tabs>
        <w:tab w:val="clear" w:pos="7100"/>
      </w:tabs>
      <w:spacing w:before="120" w:line="240" w:lineRule="auto"/>
      <w:jc w:val="center"/>
    </w:pPr>
    <w:rPr>
      <w:sz w:val="24"/>
      <w:szCs w:val="24"/>
    </w:rPr>
  </w:style>
  <w:style w:type="character" w:customStyle="1" w:styleId="text">
    <w:name w:val="text"/>
    <w:basedOn w:val="a2"/>
    <w:rsid w:val="00197750"/>
  </w:style>
  <w:style w:type="paragraph" w:customStyle="1" w:styleId="Default">
    <w:name w:val="Default"/>
    <w:rsid w:val="00197750"/>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js-separator">
    <w:name w:val="js-separator"/>
    <w:basedOn w:val="a2"/>
    <w:rsid w:val="00A96DEF"/>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5.wmf"/><Relationship Id="rId26" Type="http://schemas.openxmlformats.org/officeDocument/2006/relationships/hyperlink" Target="https://www.sciencedirect.com/science/article/pii/S0920586113006287" TargetMode="External"/><Relationship Id="rId3" Type="http://schemas.openxmlformats.org/officeDocument/2006/relationships/styles" Target="styles.xml"/><Relationship Id="rId21" Type="http://schemas.openxmlformats.org/officeDocument/2006/relationships/hyperlink" Target="https://www.sciencedirect.com/science/article/pii/S1876610215022651"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oleObject" Target="embeddings/oleObject2.bin"/><Relationship Id="rId25" Type="http://schemas.openxmlformats.org/officeDocument/2006/relationships/hyperlink" Target="https://www.sciencedirect.com/science/article/pii/S0920586113006287"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www.sciencedirect.com/science/article/pii/S1876610215022651" TargetMode="External"/><Relationship Id="rId29" Type="http://schemas.openxmlformats.org/officeDocument/2006/relationships/hyperlink" Target="https://www.sciencedirect.com/science/journal/09205861/239/sup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sciencedirect.com/science/journal/18766102"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sciencedirect.com/science/article/pii/S1876610215022651" TargetMode="External"/><Relationship Id="rId28" Type="http://schemas.openxmlformats.org/officeDocument/2006/relationships/hyperlink" Target="https://www.sciencedirect.com/science/journal/09205861" TargetMode="External"/><Relationship Id="rId10" Type="http://schemas.openxmlformats.org/officeDocument/2006/relationships/image" Target="media/image3.wmf"/><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hyperlink" Target="https://www.sciencedirect.com/science/article/pii/S1876610215022651" TargetMode="External"/><Relationship Id="rId27" Type="http://schemas.openxmlformats.org/officeDocument/2006/relationships/hyperlink" Target="https://www.sciencedirect.com/science/article/pii/S0920586113006287"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J:\&#1053;&#1086;&#1074;&#1072;&#1103;%20&#1087;&#1072;&#1087;&#1082;&#1072;\&#1088;&#1072;&#1073;&#1086;&#1090;&#1072;\&#1076;&#1086;&#1082;&#1091;&#1084;&#1077;&#1085;&#1090;&#1099;\&#1082;&#1086;&#1085;&#1092;&#1077;&#1088;&#1077;&#1085;&#1094;&#1080;&#1080;\2018\seep\Pd-Cu%20&#1089;&#1090;&#1072;&#107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3;&#1086;&#1074;&#1072;&#1103;%20&#1087;&#1072;&#1087;&#1082;&#1072;\&#1088;&#1072;&#1073;&#1086;&#1090;&#1072;\&#1076;&#1086;&#1082;&#1091;&#1084;&#1077;&#1085;&#1090;&#1099;\&#1082;&#1086;&#1085;&#1092;&#1077;&#1088;&#1077;&#1085;&#1094;&#1080;&#1080;\2018\seep\Pd-C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53;&#1086;&#1074;&#1072;&#1103;%20&#1087;&#1072;&#1087;&#1082;&#1072;\&#1088;&#1072;&#1073;&#1086;&#1090;&#1072;\&#1076;&#1086;&#1082;&#1091;&#1084;&#1077;&#1085;&#1090;&#1099;\&#1082;&#1086;&#1085;&#1092;&#1077;&#1088;&#1077;&#1085;&#1094;&#1080;&#1080;\2018\seep\&#1074;&#1089;&#11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53;&#1086;&#1074;&#1072;&#1103;%20&#1087;&#1072;&#1087;&#1082;&#1072;\&#1088;&#1072;&#1073;&#1086;&#1090;&#1072;\&#1076;&#1086;&#1082;&#1091;&#1084;&#1077;&#1085;&#1090;&#1099;\&#1082;&#1086;&#1085;&#1092;&#1077;&#1088;&#1077;&#1085;&#1094;&#1080;&#1080;\2018\seep\&#1074;&#1089;&#110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1053;&#1086;&#1074;&#1072;&#1103;%20&#1087;&#1072;&#1087;&#1082;&#1072;\&#1088;&#1072;&#1073;&#1086;&#1090;&#1072;\&#1076;&#1086;&#1082;&#1091;&#1084;&#1077;&#1085;&#1090;&#1099;\&#1082;&#1086;&#1085;&#1092;&#1077;&#1088;&#1077;&#1085;&#1094;&#1080;&#1080;\2018\seep\&#1074;&#1089;&#11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0549690752378564E-2"/>
          <c:y val="4.4900087489063913E-2"/>
          <c:w val="0.80760264698513062"/>
          <c:h val="0.74507016622922162"/>
        </c:manualLayout>
      </c:layout>
      <c:scatterChart>
        <c:scatterStyle val="smoothMarker"/>
        <c:ser>
          <c:idx val="0"/>
          <c:order val="0"/>
          <c:tx>
            <c:strRef>
              <c:f>итог!$A$2</c:f>
              <c:strCache>
                <c:ptCount val="1"/>
                <c:pt idx="0">
                  <c:v>conversion</c:v>
                </c:pt>
              </c:strCache>
            </c:strRef>
          </c:tx>
          <c:spPr>
            <a:ln>
              <a:solidFill>
                <a:prstClr val="black"/>
              </a:solidFill>
              <a:prstDash val="sysDot"/>
            </a:ln>
          </c:spPr>
          <c:marker>
            <c:spPr>
              <a:solidFill>
                <a:sysClr val="windowText" lastClr="000000"/>
              </a:solidFill>
              <a:ln>
                <a:solidFill>
                  <a:prstClr val="black"/>
                </a:solidFill>
              </a:ln>
            </c:spPr>
          </c:marker>
          <c:xVal>
            <c:numRef>
              <c:f>итог!$B$1:$R$1</c:f>
              <c:numCache>
                <c:formatCode>General</c:formatCode>
                <c:ptCount val="17"/>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numCache>
            </c:numRef>
          </c:xVal>
          <c:yVal>
            <c:numRef>
              <c:f>итог!$B$2:$R$2</c:f>
              <c:numCache>
                <c:formatCode>0.0</c:formatCode>
                <c:ptCount val="17"/>
                <c:pt idx="0">
                  <c:v>56.336504003556094</c:v>
                </c:pt>
                <c:pt idx="1">
                  <c:v>51.776588816379196</c:v>
                </c:pt>
                <c:pt idx="2">
                  <c:v>44.628261418717472</c:v>
                </c:pt>
                <c:pt idx="3">
                  <c:v>39.113609456657819</c:v>
                </c:pt>
                <c:pt idx="4">
                  <c:v>44.259620988012195</c:v>
                </c:pt>
                <c:pt idx="5">
                  <c:v>45.050296571262294</c:v>
                </c:pt>
                <c:pt idx="6">
                  <c:v>41.580535172740404</c:v>
                </c:pt>
                <c:pt idx="7">
                  <c:v>44.240947614088505</c:v>
                </c:pt>
                <c:pt idx="8">
                  <c:v>42.346756844346004</c:v>
                </c:pt>
                <c:pt idx="9">
                  <c:v>40.994144305419702</c:v>
                </c:pt>
                <c:pt idx="10">
                  <c:v>40.176253329204989</c:v>
                </c:pt>
                <c:pt idx="11">
                  <c:v>35.858028548686804</c:v>
                </c:pt>
                <c:pt idx="12">
                  <c:v>34.196362065382395</c:v>
                </c:pt>
                <c:pt idx="13">
                  <c:v>35.992114637586013</c:v>
                </c:pt>
                <c:pt idx="14">
                  <c:v>30.22888512814573</c:v>
                </c:pt>
                <c:pt idx="15">
                  <c:v>29.450242709563238</c:v>
                </c:pt>
                <c:pt idx="16">
                  <c:v>32.035623089127697</c:v>
                </c:pt>
              </c:numCache>
            </c:numRef>
          </c:yVal>
          <c:smooth val="1"/>
        </c:ser>
        <c:ser>
          <c:idx val="1"/>
          <c:order val="1"/>
          <c:tx>
            <c:strRef>
              <c:f>итог!$A$3</c:f>
              <c:strCache>
                <c:ptCount val="1"/>
                <c:pt idx="0">
                  <c:v>S (1-BuOH)</c:v>
                </c:pt>
              </c:strCache>
            </c:strRef>
          </c:tx>
          <c:spPr>
            <a:ln>
              <a:solidFill>
                <a:schemeClr val="tx1"/>
              </a:solidFill>
            </a:ln>
          </c:spPr>
          <c:marker>
            <c:spPr>
              <a:solidFill>
                <a:schemeClr val="tx1"/>
              </a:solidFill>
              <a:ln>
                <a:solidFill>
                  <a:prstClr val="black"/>
                </a:solidFill>
              </a:ln>
            </c:spPr>
          </c:marker>
          <c:xVal>
            <c:numRef>
              <c:f>итог!$B$1:$R$1</c:f>
              <c:numCache>
                <c:formatCode>General</c:formatCode>
                <c:ptCount val="17"/>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numCache>
            </c:numRef>
          </c:xVal>
          <c:yVal>
            <c:numRef>
              <c:f>итог!$B$3:$R$3</c:f>
              <c:numCache>
                <c:formatCode>0.0</c:formatCode>
                <c:ptCount val="17"/>
                <c:pt idx="0">
                  <c:v>65.604592404528958</c:v>
                </c:pt>
                <c:pt idx="1">
                  <c:v>61.160436675929013</c:v>
                </c:pt>
                <c:pt idx="2">
                  <c:v>66.814372418408908</c:v>
                </c:pt>
                <c:pt idx="3">
                  <c:v>73.560541016442258</c:v>
                </c:pt>
                <c:pt idx="4">
                  <c:v>73.962278500131148</c:v>
                </c:pt>
                <c:pt idx="5">
                  <c:v>74.545476939838778</c:v>
                </c:pt>
                <c:pt idx="6">
                  <c:v>73.172301191423728</c:v>
                </c:pt>
                <c:pt idx="7">
                  <c:v>74.302735999872539</c:v>
                </c:pt>
                <c:pt idx="8">
                  <c:v>74.55867915931313</c:v>
                </c:pt>
                <c:pt idx="9">
                  <c:v>75.19818473891317</c:v>
                </c:pt>
                <c:pt idx="10">
                  <c:v>76.053248216207919</c:v>
                </c:pt>
                <c:pt idx="11">
                  <c:v>76.893218180319437</c:v>
                </c:pt>
                <c:pt idx="12">
                  <c:v>77.097292283869464</c:v>
                </c:pt>
                <c:pt idx="13">
                  <c:v>77.474192904175865</c:v>
                </c:pt>
                <c:pt idx="14">
                  <c:v>78.508701405394959</c:v>
                </c:pt>
                <c:pt idx="15">
                  <c:v>79.437570608639362</c:v>
                </c:pt>
                <c:pt idx="16">
                  <c:v>80.560597402335134</c:v>
                </c:pt>
              </c:numCache>
            </c:numRef>
          </c:yVal>
          <c:smooth val="1"/>
        </c:ser>
        <c:ser>
          <c:idx val="2"/>
          <c:order val="2"/>
          <c:tx>
            <c:strRef>
              <c:f>итог!$A$4</c:f>
              <c:strCache>
                <c:ptCount val="1"/>
                <c:pt idx="0">
                  <c:v>S (1-HexOH)</c:v>
                </c:pt>
              </c:strCache>
            </c:strRef>
          </c:tx>
          <c:spPr>
            <a:ln>
              <a:solidFill>
                <a:schemeClr val="bg1">
                  <a:lumMod val="50000"/>
                </a:schemeClr>
              </a:solidFill>
            </a:ln>
          </c:spPr>
          <c:marker>
            <c:spPr>
              <a:solidFill>
                <a:schemeClr val="bg1">
                  <a:lumMod val="50000"/>
                </a:schemeClr>
              </a:solidFill>
              <a:ln>
                <a:solidFill>
                  <a:prstClr val="white">
                    <a:lumMod val="50000"/>
                  </a:prstClr>
                </a:solidFill>
              </a:ln>
            </c:spPr>
          </c:marker>
          <c:xVal>
            <c:numRef>
              <c:f>итог!$B$1:$R$1</c:f>
              <c:numCache>
                <c:formatCode>General</c:formatCode>
                <c:ptCount val="17"/>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numCache>
            </c:numRef>
          </c:xVal>
          <c:yVal>
            <c:numRef>
              <c:f>итог!$B$4:$R$4</c:f>
              <c:numCache>
                <c:formatCode>0.0</c:formatCode>
                <c:ptCount val="17"/>
                <c:pt idx="0">
                  <c:v>22.392091140009455</c:v>
                </c:pt>
                <c:pt idx="1">
                  <c:v>17.65676553291496</c:v>
                </c:pt>
                <c:pt idx="2">
                  <c:v>21.509422178252329</c:v>
                </c:pt>
                <c:pt idx="3">
                  <c:v>19.510201113850304</c:v>
                </c:pt>
                <c:pt idx="4">
                  <c:v>19.538142266297729</c:v>
                </c:pt>
                <c:pt idx="5">
                  <c:v>19.073206164695307</c:v>
                </c:pt>
                <c:pt idx="6">
                  <c:v>19.247872031194142</c:v>
                </c:pt>
                <c:pt idx="7">
                  <c:v>18.936442810316489</c:v>
                </c:pt>
                <c:pt idx="8">
                  <c:v>18.610149424748705</c:v>
                </c:pt>
                <c:pt idx="9">
                  <c:v>18.887746259584549</c:v>
                </c:pt>
                <c:pt idx="10">
                  <c:v>18.385799559708854</c:v>
                </c:pt>
                <c:pt idx="11">
                  <c:v>18.5959769658071</c:v>
                </c:pt>
                <c:pt idx="12">
                  <c:v>17.991245829525429</c:v>
                </c:pt>
                <c:pt idx="13">
                  <c:v>17.726373622271829</c:v>
                </c:pt>
                <c:pt idx="14">
                  <c:v>16.916077536250928</c:v>
                </c:pt>
                <c:pt idx="15">
                  <c:v>16.53297068711689</c:v>
                </c:pt>
                <c:pt idx="16">
                  <c:v>16.974559152448595</c:v>
                </c:pt>
              </c:numCache>
            </c:numRef>
          </c:yVal>
          <c:smooth val="1"/>
        </c:ser>
        <c:ser>
          <c:idx val="3"/>
          <c:order val="3"/>
          <c:tx>
            <c:strRef>
              <c:f>итог!$A$5</c:f>
              <c:strCache>
                <c:ptCount val="1"/>
                <c:pt idx="0">
                  <c:v>S (1-OctOH)</c:v>
                </c:pt>
              </c:strCache>
            </c:strRef>
          </c:tx>
          <c:spPr>
            <a:ln>
              <a:solidFill>
                <a:prstClr val="white">
                  <a:lumMod val="50000"/>
                </a:prstClr>
              </a:solidFill>
              <a:prstDash val="dash"/>
            </a:ln>
          </c:spPr>
          <c:marker>
            <c:spPr>
              <a:solidFill>
                <a:schemeClr val="bg1">
                  <a:lumMod val="50000"/>
                </a:schemeClr>
              </a:solidFill>
              <a:ln>
                <a:solidFill>
                  <a:schemeClr val="bg1"/>
                </a:solidFill>
              </a:ln>
            </c:spPr>
          </c:marker>
          <c:xVal>
            <c:numRef>
              <c:f>итог!$B$1:$R$1</c:f>
              <c:numCache>
                <c:formatCode>General</c:formatCode>
                <c:ptCount val="17"/>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numCache>
            </c:numRef>
          </c:xVal>
          <c:yVal>
            <c:numRef>
              <c:f>итог!$B$5:$R$5</c:f>
              <c:numCache>
                <c:formatCode>0.0</c:formatCode>
                <c:ptCount val="17"/>
                <c:pt idx="0">
                  <c:v>5.4570816112824359</c:v>
                </c:pt>
                <c:pt idx="1">
                  <c:v>3.6602434431052067</c:v>
                </c:pt>
                <c:pt idx="2">
                  <c:v>4.9799539500612804</c:v>
                </c:pt>
                <c:pt idx="3">
                  <c:v>3.6345541134972787</c:v>
                </c:pt>
                <c:pt idx="4">
                  <c:v>3.7234432506024229</c:v>
                </c:pt>
                <c:pt idx="5">
                  <c:v>3.4256842484671735</c:v>
                </c:pt>
                <c:pt idx="6">
                  <c:v>3.6868295969123852</c:v>
                </c:pt>
                <c:pt idx="7">
                  <c:v>3.5482922327360602</c:v>
                </c:pt>
                <c:pt idx="8">
                  <c:v>3.3891322095245617</c:v>
                </c:pt>
                <c:pt idx="9">
                  <c:v>3.4976748801345861</c:v>
                </c:pt>
                <c:pt idx="10">
                  <c:v>3.2048656156027344</c:v>
                </c:pt>
                <c:pt idx="11">
                  <c:v>3.298237971771012</c:v>
                </c:pt>
                <c:pt idx="12">
                  <c:v>2.7863606510440415</c:v>
                </c:pt>
                <c:pt idx="13">
                  <c:v>3.1020125001434153</c:v>
                </c:pt>
                <c:pt idx="14">
                  <c:v>2.624238736849863</c:v>
                </c:pt>
                <c:pt idx="15">
                  <c:v>2.3764026437563737</c:v>
                </c:pt>
                <c:pt idx="16">
                  <c:v>2.5331198115381053</c:v>
                </c:pt>
              </c:numCache>
            </c:numRef>
          </c:yVal>
          <c:smooth val="1"/>
        </c:ser>
        <c:axId val="87176320"/>
        <c:axId val="87203840"/>
      </c:scatterChart>
      <c:valAx>
        <c:axId val="87176320"/>
        <c:scaling>
          <c:orientation val="minMax"/>
        </c:scaling>
        <c:axPos val="b"/>
        <c:title>
          <c:tx>
            <c:rich>
              <a:bodyPr/>
              <a:lstStyle/>
              <a:p>
                <a:pPr>
                  <a:defRPr/>
                </a:pPr>
                <a:r>
                  <a:rPr lang="en-US"/>
                  <a:t>t, h</a:t>
                </a:r>
                <a:endParaRPr lang="ru-RU"/>
              </a:p>
            </c:rich>
          </c:tx>
        </c:title>
        <c:numFmt formatCode="General" sourceLinked="1"/>
        <c:tickLblPos val="nextTo"/>
        <c:crossAx val="87203840"/>
        <c:crosses val="autoZero"/>
        <c:crossBetween val="midCat"/>
      </c:valAx>
      <c:valAx>
        <c:axId val="87203840"/>
        <c:scaling>
          <c:orientation val="minMax"/>
        </c:scaling>
        <c:axPos val="l"/>
        <c:title>
          <c:tx>
            <c:rich>
              <a:bodyPr rot="-5400000" vert="horz"/>
              <a:lstStyle/>
              <a:p>
                <a:pPr>
                  <a:defRPr/>
                </a:pPr>
                <a:r>
                  <a:rPr lang="ru-RU"/>
                  <a:t> </a:t>
                </a:r>
                <a:r>
                  <a:rPr lang="en-US"/>
                  <a:t>%</a:t>
                </a:r>
                <a:endParaRPr lang="ru-RU"/>
              </a:p>
            </c:rich>
          </c:tx>
        </c:title>
        <c:numFmt formatCode="0" sourceLinked="0"/>
        <c:tickLblPos val="nextTo"/>
        <c:crossAx val="87176320"/>
        <c:crosses val="autoZero"/>
        <c:crossBetween val="midCat"/>
      </c:valAx>
      <c:spPr>
        <a:noFill/>
        <a:ln w="25400">
          <a:noFill/>
        </a:ln>
      </c:spPr>
    </c:plotArea>
    <c:legend>
      <c:legendPos val="r"/>
      <c:layout>
        <c:manualLayout>
          <c:xMode val="edge"/>
          <c:yMode val="edge"/>
          <c:x val="0.50920883625826263"/>
          <c:y val="0.19725807371904611"/>
          <c:w val="0.40774953457130947"/>
          <c:h val="0.21277844345543898"/>
        </c:manualLayout>
      </c:layout>
    </c:legend>
    <c:plotVisOnly val="1"/>
  </c:chart>
  <c:spPr>
    <a:ln>
      <a:noFill/>
    </a:ln>
  </c:spPr>
  <c:txPr>
    <a:bodyPr/>
    <a:lstStyle/>
    <a:p>
      <a:pPr>
        <a:defRPr sz="900" b="0">
          <a:latin typeface="Arial" pitchFamily="34" charset="0"/>
          <a:cs typeface="Arial" pitchFamily="34"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089107611548556"/>
          <c:y val="5.1400554097404488E-2"/>
          <c:w val="0.70165201224846963"/>
          <c:h val="0.78074438611840224"/>
        </c:manualLayout>
      </c:layout>
      <c:barChart>
        <c:barDir val="col"/>
        <c:grouping val="clustered"/>
        <c:ser>
          <c:idx val="0"/>
          <c:order val="0"/>
          <c:tx>
            <c:strRef>
              <c:f>' Pd-Cu'!$I$95</c:f>
              <c:strCache>
                <c:ptCount val="1"/>
                <c:pt idx="0">
                  <c:v>X (EtOH)</c:v>
                </c:pt>
              </c:strCache>
            </c:strRef>
          </c:tx>
          <c:spPr>
            <a:solidFill>
              <a:schemeClr val="tx1"/>
            </a:solidFill>
          </c:spPr>
          <c:cat>
            <c:numRef>
              <c:f>' Pd-Cu'!$H$96:$H$100</c:f>
              <c:numCache>
                <c:formatCode>0</c:formatCode>
                <c:ptCount val="5"/>
                <c:pt idx="0">
                  <c:v>0</c:v>
                </c:pt>
                <c:pt idx="1">
                  <c:v>5</c:v>
                </c:pt>
                <c:pt idx="2">
                  <c:v>10</c:v>
                </c:pt>
                <c:pt idx="3">
                  <c:v>15</c:v>
                </c:pt>
                <c:pt idx="4">
                  <c:v>20</c:v>
                </c:pt>
              </c:numCache>
            </c:numRef>
          </c:cat>
          <c:val>
            <c:numRef>
              <c:f>' Pd-Cu'!$I$96:$I$100</c:f>
              <c:numCache>
                <c:formatCode>0.0</c:formatCode>
                <c:ptCount val="5"/>
                <c:pt idx="0" formatCode="General">
                  <c:v>71.2</c:v>
                </c:pt>
                <c:pt idx="1">
                  <c:v>56.336504003556094</c:v>
                </c:pt>
                <c:pt idx="2" formatCode="0.00">
                  <c:v>41.7</c:v>
                </c:pt>
                <c:pt idx="3" formatCode="0.00">
                  <c:v>22.5</c:v>
                </c:pt>
                <c:pt idx="4" formatCode="General">
                  <c:v>9.8000000000000007</c:v>
                </c:pt>
              </c:numCache>
            </c:numRef>
          </c:val>
        </c:ser>
        <c:ser>
          <c:idx val="1"/>
          <c:order val="1"/>
          <c:tx>
            <c:strRef>
              <c:f>' Pd-Cu'!$J$95</c:f>
              <c:strCache>
                <c:ptCount val="1"/>
                <c:pt idx="0">
                  <c:v>S (BuOH)</c:v>
                </c:pt>
              </c:strCache>
            </c:strRef>
          </c:tx>
          <c:spPr>
            <a:solidFill>
              <a:schemeClr val="bg1">
                <a:lumMod val="50000"/>
              </a:schemeClr>
            </a:solidFill>
          </c:spPr>
          <c:cat>
            <c:numRef>
              <c:f>' Pd-Cu'!$H$96:$H$100</c:f>
              <c:numCache>
                <c:formatCode>0</c:formatCode>
                <c:ptCount val="5"/>
                <c:pt idx="0">
                  <c:v>0</c:v>
                </c:pt>
                <c:pt idx="1">
                  <c:v>5</c:v>
                </c:pt>
                <c:pt idx="2">
                  <c:v>10</c:v>
                </c:pt>
                <c:pt idx="3">
                  <c:v>15</c:v>
                </c:pt>
                <c:pt idx="4">
                  <c:v>20</c:v>
                </c:pt>
              </c:numCache>
            </c:numRef>
          </c:cat>
          <c:val>
            <c:numRef>
              <c:f>' Pd-Cu'!$J$96:$J$100</c:f>
              <c:numCache>
                <c:formatCode>0.0</c:formatCode>
                <c:ptCount val="5"/>
                <c:pt idx="0" formatCode="General">
                  <c:v>67.099999999999994</c:v>
                </c:pt>
                <c:pt idx="1">
                  <c:v>65.604592404529058</c:v>
                </c:pt>
                <c:pt idx="2" formatCode="General">
                  <c:v>64.900000000000006</c:v>
                </c:pt>
                <c:pt idx="3" formatCode="General">
                  <c:v>65.099999999999994</c:v>
                </c:pt>
                <c:pt idx="4" formatCode="General">
                  <c:v>64.8</c:v>
                </c:pt>
              </c:numCache>
            </c:numRef>
          </c:val>
        </c:ser>
        <c:ser>
          <c:idx val="2"/>
          <c:order val="2"/>
          <c:tx>
            <c:strRef>
              <c:f>' Pd-Cu'!$K$95</c:f>
              <c:strCache>
                <c:ptCount val="1"/>
                <c:pt idx="0">
                  <c:v>S (HexOH)</c:v>
                </c:pt>
              </c:strCache>
            </c:strRef>
          </c:tx>
          <c:spPr>
            <a:solidFill>
              <a:schemeClr val="bg1">
                <a:lumMod val="85000"/>
              </a:schemeClr>
            </a:solidFill>
            <a:ln>
              <a:solidFill>
                <a:schemeClr val="tx1"/>
              </a:solidFill>
            </a:ln>
          </c:spPr>
          <c:cat>
            <c:numRef>
              <c:f>' Pd-Cu'!$H$96:$H$100</c:f>
              <c:numCache>
                <c:formatCode>0</c:formatCode>
                <c:ptCount val="5"/>
                <c:pt idx="0">
                  <c:v>0</c:v>
                </c:pt>
                <c:pt idx="1">
                  <c:v>5</c:v>
                </c:pt>
                <c:pt idx="2">
                  <c:v>10</c:v>
                </c:pt>
                <c:pt idx="3">
                  <c:v>15</c:v>
                </c:pt>
                <c:pt idx="4">
                  <c:v>20</c:v>
                </c:pt>
              </c:numCache>
            </c:numRef>
          </c:cat>
          <c:val>
            <c:numRef>
              <c:f>' Pd-Cu'!$K$96:$K$100</c:f>
              <c:numCache>
                <c:formatCode>0.0</c:formatCode>
                <c:ptCount val="5"/>
                <c:pt idx="0" formatCode="General">
                  <c:v>23.8</c:v>
                </c:pt>
                <c:pt idx="1">
                  <c:v>22.392091140009491</c:v>
                </c:pt>
                <c:pt idx="2" formatCode="General">
                  <c:v>21.9</c:v>
                </c:pt>
                <c:pt idx="3" formatCode="General">
                  <c:v>16.8</c:v>
                </c:pt>
                <c:pt idx="4" formatCode="General">
                  <c:v>10.5</c:v>
                </c:pt>
              </c:numCache>
            </c:numRef>
          </c:val>
        </c:ser>
        <c:ser>
          <c:idx val="3"/>
          <c:order val="3"/>
          <c:tx>
            <c:strRef>
              <c:f>' Pd-Cu'!$L$95</c:f>
              <c:strCache>
                <c:ptCount val="1"/>
                <c:pt idx="0">
                  <c:v>S (OctОН)</c:v>
                </c:pt>
              </c:strCache>
            </c:strRef>
          </c:tx>
          <c:spPr>
            <a:noFill/>
            <a:ln>
              <a:solidFill>
                <a:prstClr val="black"/>
              </a:solidFill>
            </a:ln>
          </c:spPr>
          <c:cat>
            <c:numRef>
              <c:f>' Pd-Cu'!$H$96:$H$100</c:f>
              <c:numCache>
                <c:formatCode>0</c:formatCode>
                <c:ptCount val="5"/>
                <c:pt idx="0">
                  <c:v>0</c:v>
                </c:pt>
                <c:pt idx="1">
                  <c:v>5</c:v>
                </c:pt>
                <c:pt idx="2">
                  <c:v>10</c:v>
                </c:pt>
                <c:pt idx="3">
                  <c:v>15</c:v>
                </c:pt>
                <c:pt idx="4">
                  <c:v>20</c:v>
                </c:pt>
              </c:numCache>
            </c:numRef>
          </c:cat>
          <c:val>
            <c:numRef>
              <c:f>' Pd-Cu'!$L$96:$L$100</c:f>
              <c:numCache>
                <c:formatCode>0.0</c:formatCode>
                <c:ptCount val="5"/>
                <c:pt idx="0" formatCode="General">
                  <c:v>6.3</c:v>
                </c:pt>
                <c:pt idx="1">
                  <c:v>5.4570816112824359</c:v>
                </c:pt>
                <c:pt idx="2" formatCode="General">
                  <c:v>2.1</c:v>
                </c:pt>
                <c:pt idx="3" formatCode="General">
                  <c:v>1.1000000000000001</c:v>
                </c:pt>
                <c:pt idx="4" formatCode="General">
                  <c:v>0.9</c:v>
                </c:pt>
              </c:numCache>
            </c:numRef>
          </c:val>
        </c:ser>
        <c:axId val="89762048"/>
        <c:axId val="89905792"/>
      </c:barChart>
      <c:catAx>
        <c:axId val="89762048"/>
        <c:scaling>
          <c:orientation val="minMax"/>
        </c:scaling>
        <c:axPos val="b"/>
        <c:title>
          <c:tx>
            <c:rich>
              <a:bodyPr/>
              <a:lstStyle/>
              <a:p>
                <a:pPr>
                  <a:defRPr/>
                </a:pPr>
                <a:r>
                  <a:rPr lang="en-US"/>
                  <a:t>water content, %</a:t>
                </a:r>
                <a:endParaRPr lang="ru-RU"/>
              </a:p>
            </c:rich>
          </c:tx>
          <c:layout>
            <c:manualLayout>
              <c:xMode val="edge"/>
              <c:yMode val="edge"/>
              <c:x val="0.32673797025371831"/>
              <c:y val="0.90645815106445027"/>
            </c:manualLayout>
          </c:layout>
        </c:title>
        <c:numFmt formatCode="0" sourceLinked="1"/>
        <c:tickLblPos val="nextTo"/>
        <c:crossAx val="89905792"/>
        <c:crosses val="autoZero"/>
        <c:auto val="1"/>
        <c:lblAlgn val="ctr"/>
        <c:lblOffset val="100"/>
      </c:catAx>
      <c:valAx>
        <c:axId val="89905792"/>
        <c:scaling>
          <c:orientation val="minMax"/>
        </c:scaling>
        <c:axPos val="l"/>
        <c:title>
          <c:tx>
            <c:rich>
              <a:bodyPr rot="-5400000" vert="horz"/>
              <a:lstStyle/>
              <a:p>
                <a:pPr>
                  <a:defRPr/>
                </a:pPr>
                <a:r>
                  <a:rPr lang="en-US"/>
                  <a:t>%</a:t>
                </a:r>
                <a:endParaRPr lang="ru-RU"/>
              </a:p>
            </c:rich>
          </c:tx>
        </c:title>
        <c:numFmt formatCode="General" sourceLinked="1"/>
        <c:tickLblPos val="nextTo"/>
        <c:crossAx val="89762048"/>
        <c:crosses val="autoZero"/>
        <c:crossBetween val="between"/>
      </c:valAx>
    </c:plotArea>
    <c:legend>
      <c:legendPos val="r"/>
    </c:legend>
    <c:plotVisOnly val="1"/>
  </c:chart>
  <c:spPr>
    <a:ln>
      <a:noFill/>
    </a:ln>
  </c:spPr>
  <c:txPr>
    <a:bodyPr/>
    <a:lstStyle/>
    <a:p>
      <a:pPr>
        <a:defRPr b="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spPr>
            <a:solidFill>
              <a:schemeClr val="tx1"/>
            </a:solidFill>
          </c:spPr>
          <c:cat>
            <c:strRef>
              <c:f>'Pd-Cu-АБЭ'!$H$119:$H$128</c:f>
              <c:strCache>
                <c:ptCount val="10"/>
                <c:pt idx="0">
                  <c:v>acetaldehyde</c:v>
                </c:pt>
                <c:pt idx="1">
                  <c:v>1-butanol</c:v>
                </c:pt>
                <c:pt idx="2">
                  <c:v>isopropanol</c:v>
                </c:pt>
                <c:pt idx="3">
                  <c:v>2-pentanone</c:v>
                </c:pt>
                <c:pt idx="4">
                  <c:v>2-pentanol</c:v>
                </c:pt>
                <c:pt idx="5">
                  <c:v>4-heptanone</c:v>
                </c:pt>
                <c:pt idx="6">
                  <c:v>2-heptanone</c:v>
                </c:pt>
                <c:pt idx="7">
                  <c:v>4-heptanol</c:v>
                </c:pt>
                <c:pt idx="8">
                  <c:v>2-heptanol</c:v>
                </c:pt>
                <c:pt idx="9">
                  <c:v>other</c:v>
                </c:pt>
              </c:strCache>
            </c:strRef>
          </c:cat>
          <c:val>
            <c:numRef>
              <c:f>'Pd-Cu-АБЭ'!$I$119:$I$128</c:f>
              <c:numCache>
                <c:formatCode>0.0</c:formatCode>
                <c:ptCount val="10"/>
                <c:pt idx="0">
                  <c:v>1.9339853300733501</c:v>
                </c:pt>
                <c:pt idx="1">
                  <c:v>11.726161369193118</c:v>
                </c:pt>
                <c:pt idx="2">
                  <c:v>7.8679706601466766</c:v>
                </c:pt>
                <c:pt idx="3">
                  <c:v>14.623471882640564</c:v>
                </c:pt>
                <c:pt idx="4">
                  <c:v>30.533007334963266</c:v>
                </c:pt>
                <c:pt idx="5">
                  <c:v>1.1024449877750599</c:v>
                </c:pt>
                <c:pt idx="6">
                  <c:v>0.62102689486552565</c:v>
                </c:pt>
                <c:pt idx="7">
                  <c:v>9.5061124694376531</c:v>
                </c:pt>
                <c:pt idx="8">
                  <c:v>1.0220048899755501</c:v>
                </c:pt>
                <c:pt idx="9">
                  <c:v>21.1</c:v>
                </c:pt>
              </c:numCache>
            </c:numRef>
          </c:val>
        </c:ser>
        <c:axId val="92444544"/>
        <c:axId val="92446080"/>
      </c:barChart>
      <c:catAx>
        <c:axId val="92444544"/>
        <c:scaling>
          <c:orientation val="minMax"/>
        </c:scaling>
        <c:axPos val="b"/>
        <c:tickLblPos val="nextTo"/>
        <c:crossAx val="92446080"/>
        <c:crosses val="autoZero"/>
        <c:auto val="1"/>
        <c:lblAlgn val="ctr"/>
        <c:lblOffset val="100"/>
      </c:catAx>
      <c:valAx>
        <c:axId val="92446080"/>
        <c:scaling>
          <c:orientation val="minMax"/>
        </c:scaling>
        <c:axPos val="l"/>
        <c:title>
          <c:tx>
            <c:rich>
              <a:bodyPr rot="-5400000" vert="horz"/>
              <a:lstStyle/>
              <a:p>
                <a:pPr>
                  <a:defRPr b="0"/>
                </a:pPr>
                <a:r>
                  <a:rPr lang="en-US" b="0"/>
                  <a:t>content, wt.%</a:t>
                </a:r>
                <a:endParaRPr lang="ru-RU" b="0"/>
              </a:p>
            </c:rich>
          </c:tx>
        </c:title>
        <c:numFmt formatCode="0" sourceLinked="0"/>
        <c:tickLblPos val="nextTo"/>
        <c:crossAx val="92444544"/>
        <c:crosses val="autoZero"/>
        <c:crossBetween val="between"/>
      </c:valAx>
    </c:plotArea>
    <c:plotVisOnly val="1"/>
  </c:chart>
  <c:spPr>
    <a:ln>
      <a:noFill/>
    </a:ln>
  </c:spPr>
  <c:txPr>
    <a:bodyPr/>
    <a:lstStyle/>
    <a:p>
      <a:pPr>
        <a:defRPr sz="900">
          <a:latin typeface="Arial" pitchFamily="34" charset="0"/>
          <a:cs typeface="Arial" pitchFamily="34"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'Pd-Cu-АБЭ'!$L$118</c:f>
              <c:strCache>
                <c:ptCount val="1"/>
                <c:pt idx="0">
                  <c:v>BuOH+iPrOH</c:v>
                </c:pt>
              </c:strCache>
            </c:strRef>
          </c:tx>
          <c:spPr>
            <a:solidFill>
              <a:schemeClr val="tx1"/>
            </a:solidFill>
          </c:spPr>
          <c:cat>
            <c:strRef>
              <c:f>'Pd-Cu-АБЭ'!$K$119:$K$127</c:f>
              <c:strCache>
                <c:ptCount val="9"/>
                <c:pt idx="0">
                  <c:v>butyralaldehyde</c:v>
                </c:pt>
                <c:pt idx="1">
                  <c:v>isopropanol</c:v>
                </c:pt>
                <c:pt idx="2">
                  <c:v>4-heptanone</c:v>
                </c:pt>
                <c:pt idx="3">
                  <c:v>4-heptanol</c:v>
                </c:pt>
                <c:pt idx="4">
                  <c:v>2-heptanone</c:v>
                </c:pt>
                <c:pt idx="5">
                  <c:v>2-heptanol</c:v>
                </c:pt>
                <c:pt idx="6">
                  <c:v>6-undecanone</c:v>
                </c:pt>
                <c:pt idx="7">
                  <c:v>6-undecanol</c:v>
                </c:pt>
                <c:pt idx="8">
                  <c:v>other</c:v>
                </c:pt>
              </c:strCache>
            </c:strRef>
          </c:cat>
          <c:val>
            <c:numRef>
              <c:f>'Pd-Cu-АБЭ'!$L$119:$L$127</c:f>
              <c:numCache>
                <c:formatCode>General</c:formatCode>
                <c:ptCount val="9"/>
                <c:pt idx="0">
                  <c:v>1.4</c:v>
                </c:pt>
                <c:pt idx="1">
                  <c:v>8.4</c:v>
                </c:pt>
                <c:pt idx="2">
                  <c:v>31.5</c:v>
                </c:pt>
                <c:pt idx="3">
                  <c:v>3.9</c:v>
                </c:pt>
                <c:pt idx="4">
                  <c:v>4.5999999999999996</c:v>
                </c:pt>
                <c:pt idx="5">
                  <c:v>11.9</c:v>
                </c:pt>
                <c:pt idx="6">
                  <c:v>15.7</c:v>
                </c:pt>
                <c:pt idx="7">
                  <c:v>4.0999999999999996</c:v>
                </c:pt>
                <c:pt idx="8">
                  <c:v>18.5</c:v>
                </c:pt>
              </c:numCache>
            </c:numRef>
          </c:val>
        </c:ser>
        <c:axId val="93393280"/>
        <c:axId val="93395584"/>
      </c:barChart>
      <c:catAx>
        <c:axId val="93393280"/>
        <c:scaling>
          <c:orientation val="minMax"/>
        </c:scaling>
        <c:axPos val="b"/>
        <c:tickLblPos val="nextTo"/>
        <c:crossAx val="93395584"/>
        <c:crosses val="autoZero"/>
        <c:auto val="1"/>
        <c:lblAlgn val="ctr"/>
        <c:lblOffset val="100"/>
      </c:catAx>
      <c:valAx>
        <c:axId val="93395584"/>
        <c:scaling>
          <c:orientation val="minMax"/>
        </c:scaling>
        <c:axPos val="l"/>
        <c:title>
          <c:tx>
            <c:rich>
              <a:bodyPr rot="-5400000" vert="horz"/>
              <a:lstStyle/>
              <a:p>
                <a:pPr>
                  <a:defRPr b="0"/>
                </a:pPr>
                <a:r>
                  <a:rPr lang="en-US" b="0"/>
                  <a:t>content, wt.%</a:t>
                </a:r>
                <a:endParaRPr lang="ru-RU" b="0"/>
              </a:p>
            </c:rich>
          </c:tx>
        </c:title>
        <c:numFmt formatCode="General" sourceLinked="1"/>
        <c:tickLblPos val="nextTo"/>
        <c:crossAx val="93393280"/>
        <c:crosses val="autoZero"/>
        <c:crossBetween val="between"/>
      </c:valAx>
    </c:plotArea>
    <c:plotVisOnly val="1"/>
  </c:chart>
  <c:spPr>
    <a:ln>
      <a:noFill/>
    </a:ln>
  </c:spPr>
  <c:txPr>
    <a:bodyPr/>
    <a:lstStyle/>
    <a:p>
      <a:pPr>
        <a:defRPr sz="900">
          <a:latin typeface="Arial" pitchFamily="34" charset="0"/>
          <a:cs typeface="Arial" pitchFamily="34"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'Pd-Cu-АБЭ'!$E$107</c:f>
              <c:strCache>
                <c:ptCount val="1"/>
                <c:pt idx="0">
                  <c:v>content, wt.%</c:v>
                </c:pt>
              </c:strCache>
            </c:strRef>
          </c:tx>
          <c:spPr>
            <a:solidFill>
              <a:schemeClr val="tx1"/>
            </a:solidFill>
          </c:spPr>
          <c:cat>
            <c:strRef>
              <c:f>'Pd-Cu-АБЭ'!$D$108:$D$128</c:f>
              <c:strCache>
                <c:ptCount val="21"/>
                <c:pt idx="0">
                  <c:v>acetaldehyde</c:v>
                </c:pt>
                <c:pt idx="1">
                  <c:v>iso propanol</c:v>
                </c:pt>
                <c:pt idx="2">
                  <c:v>pentanes</c:v>
                </c:pt>
                <c:pt idx="3">
                  <c:v>butanal</c:v>
                </c:pt>
                <c:pt idx="4">
                  <c:v>hexanes</c:v>
                </c:pt>
                <c:pt idx="5">
                  <c:v>2-pentanone</c:v>
                </c:pt>
                <c:pt idx="6">
                  <c:v>2-pentanol</c:v>
                </c:pt>
                <c:pt idx="7">
                  <c:v>heptanes</c:v>
                </c:pt>
                <c:pt idx="8">
                  <c:v>octanes</c:v>
                </c:pt>
                <c:pt idx="9">
                  <c:v>1-hexanol</c:v>
                </c:pt>
                <c:pt idx="10">
                  <c:v>2-heptanone</c:v>
                </c:pt>
                <c:pt idx="11">
                  <c:v>2-heptanol</c:v>
                </c:pt>
                <c:pt idx="12">
                  <c:v>2-ethylhexanol</c:v>
                </c:pt>
                <c:pt idx="13">
                  <c:v>4-nonanone</c:v>
                </c:pt>
                <c:pt idx="14">
                  <c:v>4-nonanol</c:v>
                </c:pt>
                <c:pt idx="15">
                  <c:v>undecanes</c:v>
                </c:pt>
                <c:pt idx="16">
                  <c:v>6-undecanone</c:v>
                </c:pt>
                <c:pt idx="17">
                  <c:v>6-undecanol</c:v>
                </c:pt>
                <c:pt idx="18">
                  <c:v>6-tridecanone</c:v>
                </c:pt>
                <c:pt idx="19">
                  <c:v>6-pentadecanone</c:v>
                </c:pt>
                <c:pt idx="20">
                  <c:v>other</c:v>
                </c:pt>
              </c:strCache>
            </c:strRef>
          </c:cat>
          <c:val>
            <c:numRef>
              <c:f>'Pd-Cu-АБЭ'!$E$108:$E$128</c:f>
              <c:numCache>
                <c:formatCode>0.0</c:formatCode>
                <c:ptCount val="21"/>
                <c:pt idx="0">
                  <c:v>2.5778607763750672</c:v>
                </c:pt>
                <c:pt idx="1">
                  <c:v>5.0405884928522013</c:v>
                </c:pt>
                <c:pt idx="2" formatCode="General">
                  <c:v>2.6</c:v>
                </c:pt>
                <c:pt idx="3">
                  <c:v>1.4467282484357948</c:v>
                </c:pt>
                <c:pt idx="4">
                  <c:v>0.86713156950104531</c:v>
                </c:pt>
                <c:pt idx="5">
                  <c:v>1.7548267945271914</c:v>
                </c:pt>
                <c:pt idx="6">
                  <c:v>0.69908533304721143</c:v>
                </c:pt>
                <c:pt idx="7">
                  <c:v>9.3000000000000007</c:v>
                </c:pt>
                <c:pt idx="8">
                  <c:v>1.1000000000000001</c:v>
                </c:pt>
                <c:pt idx="9">
                  <c:v>3.6</c:v>
                </c:pt>
                <c:pt idx="10">
                  <c:v>16.889210610736079</c:v>
                </c:pt>
                <c:pt idx="11">
                  <c:v>10.974341624801351</c:v>
                </c:pt>
                <c:pt idx="12">
                  <c:v>3.6229587759386597</c:v>
                </c:pt>
                <c:pt idx="13">
                  <c:v>6.8</c:v>
                </c:pt>
                <c:pt idx="14">
                  <c:v>0.96823782806750069</c:v>
                </c:pt>
                <c:pt idx="15">
                  <c:v>0.51847541799851382</c:v>
                </c:pt>
                <c:pt idx="16">
                  <c:v>17.822243289681364</c:v>
                </c:pt>
                <c:pt idx="17">
                  <c:v>2.8191690229737127</c:v>
                </c:pt>
                <c:pt idx="18">
                  <c:v>1.3425903390803493</c:v>
                </c:pt>
                <c:pt idx="19">
                  <c:v>0.47533068578768101</c:v>
                </c:pt>
                <c:pt idx="20">
                  <c:v>8.8000000000000007</c:v>
                </c:pt>
              </c:numCache>
            </c:numRef>
          </c:val>
        </c:ser>
        <c:axId val="103097856"/>
        <c:axId val="103297024"/>
      </c:barChart>
      <c:catAx>
        <c:axId val="103097856"/>
        <c:scaling>
          <c:orientation val="minMax"/>
        </c:scaling>
        <c:axPos val="b"/>
        <c:numFmt formatCode="General" sourceLinked="0"/>
        <c:tickLblPos val="nextTo"/>
        <c:crossAx val="103297024"/>
        <c:crosses val="autoZero"/>
        <c:auto val="1"/>
        <c:lblAlgn val="ctr"/>
        <c:lblOffset val="100"/>
      </c:catAx>
      <c:valAx>
        <c:axId val="103297024"/>
        <c:scaling>
          <c:orientation val="minMax"/>
        </c:scaling>
        <c:axPos val="l"/>
        <c:title>
          <c:tx>
            <c:rich>
              <a:bodyPr rot="-5400000" vert="horz"/>
              <a:lstStyle/>
              <a:p>
                <a:pPr>
                  <a:defRPr/>
                </a:pPr>
                <a:r>
                  <a:rPr lang="en-US"/>
                  <a:t>content, wt.%</a:t>
                </a:r>
                <a:endParaRPr lang="ru-RU"/>
              </a:p>
            </c:rich>
          </c:tx>
        </c:title>
        <c:numFmt formatCode="0" sourceLinked="0"/>
        <c:tickLblPos val="nextTo"/>
        <c:crossAx val="103097856"/>
        <c:crosses val="autoZero"/>
        <c:crossBetween val="between"/>
      </c:valAx>
    </c:plotArea>
    <c:plotVisOnly val="1"/>
  </c:chart>
  <c:spPr>
    <a:ln>
      <a:noFill/>
    </a:ln>
  </c:spPr>
  <c:txPr>
    <a:bodyPr/>
    <a:lstStyle/>
    <a:p>
      <a:pPr>
        <a:defRPr sz="900" b="0">
          <a:latin typeface="Arial" pitchFamily="34" charset="0"/>
          <a:cs typeface="Arial" pitchFamily="34" charset="0"/>
        </a:defRPr>
      </a:pPr>
      <a:endParaRPr lang="ru-RU"/>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A998E-ABFF-481A-B253-02649376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2889</Words>
  <Characters>16468</Characters>
  <Application>Microsoft Office Word</Application>
  <DocSecurity>0</DocSecurity>
  <Lines>137</Lines>
  <Paragraphs>38</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zharova</cp:lastModifiedBy>
  <cp:revision>20</cp:revision>
  <cp:lastPrinted>2015-05-12T18:31:00Z</cp:lastPrinted>
  <dcterms:created xsi:type="dcterms:W3CDTF">2019-03-12T13:48:00Z</dcterms:created>
  <dcterms:modified xsi:type="dcterms:W3CDTF">2019-03-21T11:18:00Z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