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567501">
            <w:pPr>
              <w:tabs>
                <w:tab w:val="left" w:pos="-108"/>
              </w:tabs>
              <w:ind w:left="-108"/>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 xml:space="preserve">Guest </w:t>
            </w:r>
            <w:proofErr w:type="spellStart"/>
            <w:r w:rsidRPr="00252C1A">
              <w:rPr>
                <w:rFonts w:ascii="Tahoma" w:hAnsi="Tahoma" w:cs="Tahoma"/>
                <w:iCs/>
                <w:color w:val="333333"/>
                <w:sz w:val="14"/>
                <w:szCs w:val="14"/>
                <w:lang w:val="it-IT" w:eastAsia="it-IT"/>
              </w:rPr>
              <w:t>Editors</w:t>
            </w:r>
            <w:proofErr w:type="spellEnd"/>
            <w:r w:rsidRPr="00252C1A">
              <w:rPr>
                <w:rFonts w:ascii="Tahoma" w:hAnsi="Tahoma" w:cs="Tahoma"/>
                <w:iCs/>
                <w:color w:val="333333"/>
                <w:sz w:val="14"/>
                <w:szCs w:val="14"/>
                <w:lang w:val="it-IT" w:eastAsia="it-IT"/>
              </w:rPr>
              <w:t>:</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proofErr w:type="spellStart"/>
            <w:r w:rsidR="00047D7F" w:rsidRPr="00252C1A">
              <w:rPr>
                <w:rFonts w:ascii="Tahoma" w:hAnsi="Tahoma" w:cs="Tahoma"/>
                <w:sz w:val="14"/>
                <w:szCs w:val="14"/>
                <w:shd w:val="clear" w:color="auto" w:fill="FFFFFF"/>
                <w:lang w:val="it-IT"/>
              </w:rPr>
              <w:t>Jiří</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Jaromír</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0059BF" w:rsidRDefault="000059BF" w:rsidP="000059BF">
      <w:pPr>
        <w:pStyle w:val="CETAuthors"/>
        <w:rPr>
          <w:noProof w:val="0"/>
          <w:sz w:val="32"/>
        </w:rPr>
      </w:pPr>
      <w:r w:rsidRPr="000059BF">
        <w:rPr>
          <w:noProof w:val="0"/>
          <w:sz w:val="32"/>
        </w:rPr>
        <w:lastRenderedPageBreak/>
        <w:t>Potential utilization as Fertilizer</w:t>
      </w:r>
      <w:r>
        <w:rPr>
          <w:noProof w:val="0"/>
          <w:sz w:val="32"/>
        </w:rPr>
        <w:t xml:space="preserve"> </w:t>
      </w:r>
      <w:r w:rsidRPr="000059BF">
        <w:rPr>
          <w:noProof w:val="0"/>
          <w:sz w:val="32"/>
        </w:rPr>
        <w:t>of waste liquid from bio-trickling reactor for greenhouse gases treatment</w:t>
      </w:r>
    </w:p>
    <w:p w:rsidR="00E978D0" w:rsidRPr="000059BF" w:rsidRDefault="000059BF" w:rsidP="000059BF">
      <w:pPr>
        <w:pStyle w:val="CETAuthors"/>
        <w:rPr>
          <w:noProof w:val="0"/>
          <w:sz w:val="32"/>
          <w:lang w:val="it-IT"/>
        </w:rPr>
      </w:pPr>
      <w:r w:rsidRPr="000059BF">
        <w:rPr>
          <w:lang w:val="it-IT"/>
        </w:rPr>
        <w:t>Maria Sarno</w:t>
      </w:r>
      <w:r w:rsidR="00600535" w:rsidRPr="000059BF">
        <w:rPr>
          <w:vertAlign w:val="superscript"/>
          <w:lang w:val="it-IT"/>
        </w:rPr>
        <w:t>a</w:t>
      </w:r>
      <w:r w:rsidRPr="000059BF">
        <w:rPr>
          <w:vertAlign w:val="superscript"/>
          <w:lang w:val="it-IT"/>
        </w:rPr>
        <w:t>,b</w:t>
      </w:r>
      <w:r w:rsidR="00600535" w:rsidRPr="000059BF">
        <w:rPr>
          <w:lang w:val="it-IT"/>
        </w:rPr>
        <w:t xml:space="preserve">, </w:t>
      </w:r>
      <w:r w:rsidRPr="000059BF">
        <w:rPr>
          <w:lang w:val="it-IT"/>
        </w:rPr>
        <w:t>Mariagrazia Iuliano</w:t>
      </w:r>
      <w:r>
        <w:rPr>
          <w:vertAlign w:val="superscript"/>
          <w:lang w:val="it-IT"/>
        </w:rPr>
        <w:t>a</w:t>
      </w:r>
      <w:r w:rsidR="00600535" w:rsidRPr="000059BF">
        <w:rPr>
          <w:vertAlign w:val="superscript"/>
          <w:lang w:val="it-IT"/>
        </w:rPr>
        <w:t>,</w:t>
      </w:r>
      <w:r w:rsidRPr="000059BF">
        <w:rPr>
          <w:lang w:val="it-IT"/>
        </w:rPr>
        <w:t>*</w:t>
      </w:r>
    </w:p>
    <w:p w:rsidR="000059BF" w:rsidRDefault="000059BF" w:rsidP="000059BF">
      <w:pPr>
        <w:pStyle w:val="CETemail"/>
        <w:spacing w:after="0" w:line="240" w:lineRule="auto"/>
        <w:rPr>
          <w:lang w:val="it-IT"/>
        </w:rPr>
      </w:pPr>
      <w:r w:rsidRPr="000059BF">
        <w:rPr>
          <w:vertAlign w:val="superscript"/>
          <w:lang w:val="it-IT"/>
        </w:rPr>
        <w:t>a</w:t>
      </w:r>
      <w:r w:rsidRPr="000059BF">
        <w:rPr>
          <w:lang w:val="it-IT"/>
        </w:rPr>
        <w:t>Departmen</w:t>
      </w:r>
      <w:r>
        <w:rPr>
          <w:lang w:val="it-IT"/>
        </w:rPr>
        <w:t xml:space="preserve">t of Industrial Engineering, </w:t>
      </w:r>
      <w:r w:rsidRPr="000059BF">
        <w:rPr>
          <w:lang w:val="it-IT"/>
        </w:rPr>
        <w:t>University of Salerno, via Giovanni Paolo II, 132 - 84084 Fisciano (SA), Italy</w:t>
      </w:r>
    </w:p>
    <w:p w:rsidR="000059BF" w:rsidRDefault="000059BF" w:rsidP="000059BF">
      <w:pPr>
        <w:pStyle w:val="CETemail"/>
        <w:spacing w:after="0" w:line="240" w:lineRule="auto"/>
        <w:rPr>
          <w:lang w:val="it-IT"/>
        </w:rPr>
      </w:pPr>
      <w:r w:rsidRPr="000059BF">
        <w:rPr>
          <w:vertAlign w:val="superscript"/>
          <w:lang w:val="it-IT"/>
        </w:rPr>
        <w:t>b</w:t>
      </w:r>
      <w:r w:rsidRPr="000059BF">
        <w:rPr>
          <w:lang w:val="it-IT"/>
        </w:rPr>
        <w:t>NANO_MATES Research Centre,  University of Salerno, via Giovanni Paolo II, 132 - 84084 Fisciano (SA), Italy</w:t>
      </w:r>
    </w:p>
    <w:p w:rsidR="00E978D0" w:rsidRPr="00C12AA8" w:rsidRDefault="00AB5011" w:rsidP="000059BF">
      <w:pPr>
        <w:pStyle w:val="CETemail"/>
        <w:spacing w:after="0" w:line="240" w:lineRule="auto"/>
        <w:rPr>
          <w:lang w:val="en-US"/>
        </w:rPr>
      </w:pPr>
      <w:r w:rsidRPr="000059BF">
        <w:rPr>
          <w:lang w:val="it-IT"/>
        </w:rPr>
        <w:t xml:space="preserve"> </w:t>
      </w:r>
      <w:hyperlink r:id="rId11" w:history="1">
        <w:r w:rsidR="000059BF" w:rsidRPr="00C12AA8">
          <w:rPr>
            <w:rStyle w:val="Collegamentoipertestuale"/>
            <w:lang w:val="en-US"/>
          </w:rPr>
          <w:t>*maiuliano@unisa.it</w:t>
        </w:r>
      </w:hyperlink>
    </w:p>
    <w:p w:rsidR="000059BF" w:rsidRPr="00C12AA8" w:rsidRDefault="000059BF" w:rsidP="000059BF">
      <w:pPr>
        <w:pStyle w:val="CETBodytext"/>
      </w:pPr>
    </w:p>
    <w:p w:rsidR="000059BF" w:rsidRPr="000059BF" w:rsidRDefault="000059BF" w:rsidP="000059BF">
      <w:pPr>
        <w:pStyle w:val="CETBodytext"/>
      </w:pPr>
      <w:r w:rsidRPr="000059BF">
        <w:t xml:space="preserve">This research mainly focused on the exploration of the possibility to utilize the liquid by-products (the circulating alkaline fluid of a bio-trickling reactor, containing NO3-, 7.0 </w:t>
      </w:r>
      <w:r w:rsidRPr="000059BF">
        <w:rPr>
          <w:rFonts w:ascii="Cambria Math" w:hAnsi="Cambria Math" w:cs="Cambria Math"/>
        </w:rPr>
        <w:t>≦</w:t>
      </w:r>
      <w:r w:rsidRPr="000059BF">
        <w:t xml:space="preserve"> pH </w:t>
      </w:r>
      <w:r w:rsidRPr="000059BF">
        <w:rPr>
          <w:rFonts w:ascii="Cambria Math" w:hAnsi="Cambria Math" w:cs="Cambria Math"/>
        </w:rPr>
        <w:t>≦</w:t>
      </w:r>
      <w:r w:rsidRPr="000059BF">
        <w:t xml:space="preserve">7.5) as a fertilizer, with reduced environmental impact and economic benefits. The composition of the exhausted bio-trickling liquid (TL) was </w:t>
      </w:r>
      <w:proofErr w:type="spellStart"/>
      <w:r w:rsidRPr="000059BF">
        <w:t>analysed</w:t>
      </w:r>
      <w:proofErr w:type="spellEnd"/>
      <w:r w:rsidRPr="000059BF">
        <w:t xml:space="preserve"> in accordance with </w:t>
      </w:r>
      <w:proofErr w:type="spellStart"/>
      <w:r w:rsidRPr="000059BF">
        <w:t>Dlgs</w:t>
      </w:r>
      <w:proofErr w:type="spellEnd"/>
      <w:r w:rsidRPr="000059BF">
        <w:t xml:space="preserve">. 75, 2010 of Italian Republic, which recognizes the CE Rules n.2003/2003 and n.834/2007. In particular, the TL discharged from a bio-trickling filter can be recognized into the category of nitrogen mineral </w:t>
      </w:r>
      <w:proofErr w:type="spellStart"/>
      <w:r w:rsidRPr="000059BF">
        <w:t>organo</w:t>
      </w:r>
      <w:proofErr w:type="spellEnd"/>
      <w:r w:rsidRPr="000059BF">
        <w:t>-fluid fertilizers.</w:t>
      </w:r>
    </w:p>
    <w:p w:rsidR="00600535" w:rsidRPr="00B57B36" w:rsidRDefault="00600535" w:rsidP="00600535">
      <w:pPr>
        <w:pStyle w:val="CETHeading1"/>
        <w:rPr>
          <w:lang w:val="en-GB"/>
        </w:rPr>
      </w:pPr>
      <w:r w:rsidRPr="00B57B36">
        <w:rPr>
          <w:lang w:val="en-GB"/>
        </w:rPr>
        <w:t>Introduction</w:t>
      </w:r>
    </w:p>
    <w:p w:rsidR="00567501" w:rsidRDefault="000059BF" w:rsidP="00781523">
      <w:pPr>
        <w:pStyle w:val="CETBodytext"/>
        <w:rPr>
          <w:b/>
        </w:rPr>
      </w:pPr>
      <w:r w:rsidRPr="000059BF">
        <w:t xml:space="preserve">Nowadays, air contamination is gradually acknowledged as a major problem for the  environmental and public health. In particular, the stringent </w:t>
      </w:r>
      <w:proofErr w:type="spellStart"/>
      <w:r w:rsidRPr="000059BF">
        <w:t>sulfur</w:t>
      </w:r>
      <w:proofErr w:type="spellEnd"/>
      <w:r w:rsidRPr="000059BF">
        <w:t xml:space="preserve"> dioxide (SO2) and nitrogen oxide (</w:t>
      </w:r>
      <w:proofErr w:type="spellStart"/>
      <w:r w:rsidRPr="000059BF">
        <w:t>NOx</w:t>
      </w:r>
      <w:proofErr w:type="spellEnd"/>
      <w:r w:rsidRPr="000059BF">
        <w:t>) emission regulations increase a demand for innovative gaseous pollutants abatement technologies, such as: (</w:t>
      </w:r>
      <w:proofErr w:type="spellStart"/>
      <w:r w:rsidRPr="000059BF">
        <w:t>i</w:t>
      </w:r>
      <w:proofErr w:type="spellEnd"/>
      <w:r w:rsidRPr="000059BF">
        <w:t>) wet scrubbing(Xia et al., 2011), (ii) adsorption (</w:t>
      </w:r>
      <w:proofErr w:type="spellStart"/>
      <w:r w:rsidRPr="000059BF">
        <w:t>Sumathi</w:t>
      </w:r>
      <w:proofErr w:type="spellEnd"/>
      <w:r w:rsidRPr="000059BF">
        <w:t xml:space="preserve"> et al., 2010), (iii) oxidation (Liu et al., 2010), (iv) pulse corona (</w:t>
      </w:r>
      <w:proofErr w:type="spellStart"/>
      <w:r w:rsidRPr="000059BF">
        <w:t>Xu</w:t>
      </w:r>
      <w:proofErr w:type="spellEnd"/>
      <w:r w:rsidRPr="000059BF">
        <w:t xml:space="preserve"> et al., 2009). Moreover, in the last years, biotechnologies have demonstrated to be a robust and reliable alternative to conventional technologies. The biological treatment has particular advantages, such as: easy preparation conditions, low cost and energy consumption, suitability for processing low concentration of contaminants. On the other hand, the generation of  by-products is inevitable. Given the growing emphasis on sustainable development and "zero waste" politic, the possibility of utilizing these by-products would, even more, stimulate the application of the biological technology. Bio-trickling filtration is one of the many promising biological techniques for </w:t>
      </w:r>
      <w:proofErr w:type="spellStart"/>
      <w:r w:rsidRPr="000059BF">
        <w:t>odor</w:t>
      </w:r>
      <w:proofErr w:type="spellEnd"/>
      <w:r w:rsidRPr="000059BF">
        <w:t xml:space="preserve"> and VOC control (Oh &amp; </w:t>
      </w:r>
      <w:proofErr w:type="spellStart"/>
      <w:r w:rsidRPr="000059BF">
        <w:t>Bartha</w:t>
      </w:r>
      <w:proofErr w:type="spellEnd"/>
      <w:r w:rsidRPr="000059BF">
        <w:t xml:space="preserve">, 1997; </w:t>
      </w:r>
      <w:proofErr w:type="spellStart"/>
      <w:r w:rsidRPr="000059BF">
        <w:t>Mpanias</w:t>
      </w:r>
      <w:proofErr w:type="spellEnd"/>
      <w:r w:rsidRPr="000059BF">
        <w:t xml:space="preserve"> &amp; Baltzis,1998; Cox, Nguyen &amp; </w:t>
      </w:r>
      <w:proofErr w:type="spellStart"/>
      <w:r w:rsidRPr="000059BF">
        <w:t>Deshusses</w:t>
      </w:r>
      <w:proofErr w:type="spellEnd"/>
      <w:r w:rsidRPr="000059BF">
        <w:t xml:space="preserve">, 2000; Gabriel &amp; </w:t>
      </w:r>
      <w:proofErr w:type="spellStart"/>
      <w:r w:rsidRPr="000059BF">
        <w:t>Deshusses</w:t>
      </w:r>
      <w:proofErr w:type="spellEnd"/>
      <w:r w:rsidRPr="000059BF">
        <w:t xml:space="preserve"> 2003). Bio-trickling filters exploit a distinct liquid phase to control pH, salt or metabolite concentration, and to supplement nutrients to the</w:t>
      </w:r>
      <w:r>
        <w:t xml:space="preserve"> process culture. </w:t>
      </w:r>
      <w:r w:rsidRPr="000059BF">
        <w:t>TL treatments are rarely explored and studied. However, they constitute a waste and often a process significant cost, which has contributed to hinder the practical application of</w:t>
      </w:r>
      <w:r>
        <w:t xml:space="preserve"> the bio-trickling technology. </w:t>
      </w:r>
      <w:r w:rsidRPr="000059BF">
        <w:t xml:space="preserve">Most of the solid organic waste produced by biological treatments, dry sludge and bio-filters (peat, soil, compost, wood bark) can be included in a scheme of recovered resources in terms of land application or composting. For example, in France, about 60% of activated </w:t>
      </w:r>
      <w:proofErr w:type="spellStart"/>
      <w:r w:rsidRPr="000059BF">
        <w:t>sludges</w:t>
      </w:r>
      <w:proofErr w:type="spellEnd"/>
      <w:r w:rsidRPr="000059BF">
        <w:t xml:space="preserve"> produced in "wastewater treatment processes" (WWTPs) were recovered to be applied on land as fertilizer for agricultural soils. The use as compost has numerous points in favour, it allows during the degradation of the organic components the development of heat which can inactivate pathogenic components (</w:t>
      </w:r>
      <w:proofErr w:type="spellStart"/>
      <w:r w:rsidRPr="000059BF">
        <w:t>Shareefdeen</w:t>
      </w:r>
      <w:proofErr w:type="spellEnd"/>
      <w:r w:rsidRPr="000059BF">
        <w:t xml:space="preserve"> &amp; Singh, 2005). Moreover, some literature examples report the use of bio-filtration liquids as feedstock for the catalytic conversion in fertilizers (Zhou et al., 2013). A remarkably innovative alternative can be the usage of the liquid component at the discharge of a biological r</w:t>
      </w:r>
      <w:r>
        <w:t xml:space="preserve">eactor directly as fertilizer. </w:t>
      </w:r>
      <w:r w:rsidRPr="000059BF">
        <w:t xml:space="preserve">This research mainly focuses on the possibility to utilize the liquid by-products (the circulating alkaline fluid of a bio-trickling reactor, containing NO3-, 7.0 </w:t>
      </w:r>
      <w:r w:rsidRPr="000059BF">
        <w:rPr>
          <w:rFonts w:ascii="Cambria Math" w:hAnsi="Cambria Math" w:cs="Cambria Math"/>
        </w:rPr>
        <w:t>≦</w:t>
      </w:r>
      <w:r w:rsidRPr="000059BF">
        <w:t xml:space="preserve"> pH </w:t>
      </w:r>
      <w:r w:rsidRPr="000059BF">
        <w:rPr>
          <w:rFonts w:ascii="Cambria Math" w:hAnsi="Cambria Math" w:cs="Cambria Math"/>
        </w:rPr>
        <w:t>≦</w:t>
      </w:r>
      <w:r w:rsidRPr="000059BF">
        <w:t xml:space="preserve">7.5) as a fertilizer, with reduced environmental impact and economic benefits. The composition of the bio-trickling liquid (TL) was analysed in accordance with </w:t>
      </w:r>
      <w:proofErr w:type="spellStart"/>
      <w:r w:rsidRPr="000059BF">
        <w:t>Dlgs</w:t>
      </w:r>
      <w:proofErr w:type="spellEnd"/>
      <w:r w:rsidRPr="000059BF">
        <w:t xml:space="preserve">. 75, 2010 of Italian Republic, which recognizes the CE Rules n.2003/2003 and n.834/2007. In particular, the TL discharged from a bio-trickling filter was analysed for pH, carbon-nitrogen ratio (C/N), and nitrogen content. The analyses overall demonstrate that it can be recognized into the category of nitrogen mineral </w:t>
      </w:r>
      <w:proofErr w:type="spellStart"/>
      <w:r w:rsidRPr="000059BF">
        <w:t>organo</w:t>
      </w:r>
      <w:proofErr w:type="spellEnd"/>
      <w:r w:rsidRPr="000059BF">
        <w:t>-fluid fertilizers.</w:t>
      </w:r>
    </w:p>
    <w:p w:rsidR="000059BF" w:rsidRPr="000059BF" w:rsidRDefault="000059BF" w:rsidP="000059BF">
      <w:pPr>
        <w:pStyle w:val="CETHeading1"/>
        <w:rPr>
          <w:lang w:val="en-GB"/>
        </w:rPr>
      </w:pPr>
      <w:bookmarkStart w:id="0" w:name="_GoBack"/>
      <w:bookmarkEnd w:id="0"/>
      <w:r w:rsidRPr="000059BF">
        <w:rPr>
          <w:lang w:val="en-GB"/>
        </w:rPr>
        <w:lastRenderedPageBreak/>
        <w:t>Experimental and Results</w:t>
      </w:r>
    </w:p>
    <w:p w:rsidR="000059BF" w:rsidRPr="000059BF" w:rsidRDefault="000059BF" w:rsidP="000059BF">
      <w:pPr>
        <w:pStyle w:val="CETheadingx"/>
      </w:pPr>
      <w:r w:rsidRPr="000059BF">
        <w:t>Materials</w:t>
      </w:r>
    </w:p>
    <w:p w:rsidR="000059BF" w:rsidRDefault="000059BF" w:rsidP="000059BF">
      <w:pPr>
        <w:pStyle w:val="CETBodytext"/>
        <w:rPr>
          <w:lang w:val="en-GB"/>
        </w:rPr>
      </w:pPr>
      <w:r w:rsidRPr="000059BF">
        <w:rPr>
          <w:lang w:val="en-GB"/>
        </w:rPr>
        <w:t>Methyl red (C</w:t>
      </w:r>
      <w:r w:rsidRPr="00F97588">
        <w:rPr>
          <w:vertAlign w:val="subscript"/>
          <w:lang w:val="en-GB"/>
        </w:rPr>
        <w:t>15</w:t>
      </w:r>
      <w:r w:rsidRPr="000059BF">
        <w:rPr>
          <w:lang w:val="en-GB"/>
        </w:rPr>
        <w:t>H</w:t>
      </w:r>
      <w:r w:rsidRPr="00F97588">
        <w:rPr>
          <w:vertAlign w:val="subscript"/>
          <w:lang w:val="en-GB"/>
        </w:rPr>
        <w:t>15</w:t>
      </w:r>
      <w:r w:rsidRPr="000059BF">
        <w:rPr>
          <w:lang w:val="en-GB"/>
        </w:rPr>
        <w:t>N</w:t>
      </w:r>
      <w:r w:rsidRPr="00F97588">
        <w:rPr>
          <w:vertAlign w:val="subscript"/>
          <w:lang w:val="en-GB"/>
        </w:rPr>
        <w:t>3</w:t>
      </w:r>
      <w:r w:rsidRPr="000059BF">
        <w:rPr>
          <w:lang w:val="en-GB"/>
        </w:rPr>
        <w:t>O</w:t>
      </w:r>
      <w:r w:rsidRPr="00F97588">
        <w:rPr>
          <w:vertAlign w:val="subscript"/>
          <w:lang w:val="en-GB"/>
        </w:rPr>
        <w:t>2</w:t>
      </w:r>
      <w:r w:rsidRPr="000059BF">
        <w:rPr>
          <w:lang w:val="en-GB"/>
        </w:rPr>
        <w:t xml:space="preserve">), </w:t>
      </w:r>
      <w:proofErr w:type="spellStart"/>
      <w:r w:rsidRPr="000059BF">
        <w:rPr>
          <w:lang w:val="en-GB"/>
        </w:rPr>
        <w:t>Bromocresol</w:t>
      </w:r>
      <w:proofErr w:type="spellEnd"/>
      <w:r w:rsidRPr="000059BF">
        <w:rPr>
          <w:lang w:val="en-GB"/>
        </w:rPr>
        <w:t xml:space="preserve"> green (C</w:t>
      </w:r>
      <w:r w:rsidRPr="00F97588">
        <w:rPr>
          <w:vertAlign w:val="subscript"/>
          <w:lang w:val="en-GB"/>
        </w:rPr>
        <w:t>21</w:t>
      </w:r>
      <w:r w:rsidRPr="000059BF">
        <w:rPr>
          <w:lang w:val="en-GB"/>
        </w:rPr>
        <w:t>H</w:t>
      </w:r>
      <w:r w:rsidRPr="00F97588">
        <w:rPr>
          <w:vertAlign w:val="subscript"/>
          <w:lang w:val="en-GB"/>
        </w:rPr>
        <w:t>14</w:t>
      </w:r>
      <w:r w:rsidRPr="000059BF">
        <w:rPr>
          <w:lang w:val="en-GB"/>
        </w:rPr>
        <w:t>O</w:t>
      </w:r>
      <w:r w:rsidRPr="00F97588">
        <w:rPr>
          <w:vertAlign w:val="subscript"/>
          <w:lang w:val="en-GB"/>
        </w:rPr>
        <w:t>5</w:t>
      </w:r>
      <w:r w:rsidRPr="000059BF">
        <w:rPr>
          <w:lang w:val="en-GB"/>
        </w:rPr>
        <w:t>Br</w:t>
      </w:r>
      <w:r w:rsidRPr="00F97588">
        <w:rPr>
          <w:vertAlign w:val="subscript"/>
          <w:lang w:val="en-GB"/>
        </w:rPr>
        <w:t>4</w:t>
      </w:r>
      <w:r w:rsidRPr="000059BF">
        <w:rPr>
          <w:lang w:val="en-GB"/>
        </w:rPr>
        <w:t xml:space="preserve">S), Pumice stone, </w:t>
      </w:r>
      <w:proofErr w:type="spellStart"/>
      <w:r w:rsidRPr="000059BF">
        <w:rPr>
          <w:lang w:val="en-GB"/>
        </w:rPr>
        <w:t>Nessler</w:t>
      </w:r>
      <w:proofErr w:type="spellEnd"/>
      <w:r w:rsidRPr="000059BF">
        <w:rPr>
          <w:lang w:val="en-GB"/>
        </w:rPr>
        <w:t xml:space="preserve"> reagent, Potassium dichromate, Iron(II) </w:t>
      </w:r>
      <w:proofErr w:type="spellStart"/>
      <w:r w:rsidRPr="000059BF">
        <w:rPr>
          <w:lang w:val="en-GB"/>
        </w:rPr>
        <w:t>sulfate</w:t>
      </w:r>
      <w:proofErr w:type="spellEnd"/>
      <w:r w:rsidRPr="000059BF">
        <w:rPr>
          <w:lang w:val="en-GB"/>
        </w:rPr>
        <w:t xml:space="preserve"> </w:t>
      </w:r>
      <w:proofErr w:type="spellStart"/>
      <w:r w:rsidRPr="000059BF">
        <w:rPr>
          <w:lang w:val="en-GB"/>
        </w:rPr>
        <w:t>heptahydrate</w:t>
      </w:r>
      <w:proofErr w:type="spellEnd"/>
      <w:r w:rsidRPr="000059BF">
        <w:rPr>
          <w:lang w:val="en-GB"/>
        </w:rPr>
        <w:t xml:space="preserve">, Sodium nitrate, Silver </w:t>
      </w:r>
      <w:proofErr w:type="spellStart"/>
      <w:r w:rsidRPr="000059BF">
        <w:rPr>
          <w:lang w:val="en-GB"/>
        </w:rPr>
        <w:t>Sulfate</w:t>
      </w:r>
      <w:proofErr w:type="spellEnd"/>
      <w:r w:rsidRPr="000059BF">
        <w:rPr>
          <w:lang w:val="en-GB"/>
        </w:rPr>
        <w:t xml:space="preserve"> (Ag</w:t>
      </w:r>
      <w:r w:rsidRPr="00F97588">
        <w:rPr>
          <w:vertAlign w:val="subscript"/>
          <w:lang w:val="en-GB"/>
        </w:rPr>
        <w:t>2</w:t>
      </w:r>
      <w:r w:rsidRPr="000059BF">
        <w:rPr>
          <w:lang w:val="en-GB"/>
        </w:rPr>
        <w:t>SO</w:t>
      </w:r>
      <w:r w:rsidRPr="00F97588">
        <w:rPr>
          <w:vertAlign w:val="subscript"/>
          <w:lang w:val="en-GB"/>
        </w:rPr>
        <w:t>4</w:t>
      </w:r>
      <w:r w:rsidRPr="000059BF">
        <w:rPr>
          <w:lang w:val="en-GB"/>
        </w:rPr>
        <w:t xml:space="preserve">), 4-diphenylamine </w:t>
      </w:r>
      <w:proofErr w:type="spellStart"/>
      <w:r w:rsidRPr="000059BF">
        <w:rPr>
          <w:lang w:val="en-GB"/>
        </w:rPr>
        <w:t>sulfonate</w:t>
      </w:r>
      <w:proofErr w:type="spellEnd"/>
      <w:r w:rsidRPr="000059BF">
        <w:rPr>
          <w:lang w:val="en-GB"/>
        </w:rPr>
        <w:t xml:space="preserve"> of barium, </w:t>
      </w:r>
      <w:proofErr w:type="spellStart"/>
      <w:r w:rsidRPr="000059BF">
        <w:rPr>
          <w:lang w:val="en-GB"/>
        </w:rPr>
        <w:t>Devarda's</w:t>
      </w:r>
      <w:proofErr w:type="spellEnd"/>
      <w:r w:rsidRPr="000059BF">
        <w:rPr>
          <w:lang w:val="en-GB"/>
        </w:rPr>
        <w:t xml:space="preserve"> alloy, Sulphuric Acid (H</w:t>
      </w:r>
      <w:r w:rsidRPr="00F97588">
        <w:rPr>
          <w:vertAlign w:val="subscript"/>
          <w:lang w:val="en-GB"/>
        </w:rPr>
        <w:t>2</w:t>
      </w:r>
      <w:r w:rsidRPr="000059BF">
        <w:rPr>
          <w:lang w:val="en-GB"/>
        </w:rPr>
        <w:t>SO</w:t>
      </w:r>
      <w:r w:rsidRPr="00F97588">
        <w:rPr>
          <w:vertAlign w:val="subscript"/>
          <w:lang w:val="en-GB"/>
        </w:rPr>
        <w:t>4</w:t>
      </w:r>
      <w:r w:rsidRPr="000059BF">
        <w:rPr>
          <w:lang w:val="en-GB"/>
        </w:rPr>
        <w:t xml:space="preserve">, 96%), Phosphoric Acid, Sodium Hydroxide, Sodium </w:t>
      </w:r>
      <w:proofErr w:type="spellStart"/>
      <w:r w:rsidRPr="000059BF">
        <w:rPr>
          <w:lang w:val="en-GB"/>
        </w:rPr>
        <w:t>tetraborate</w:t>
      </w:r>
      <w:proofErr w:type="spellEnd"/>
      <w:r w:rsidRPr="000059BF">
        <w:rPr>
          <w:lang w:val="en-GB"/>
        </w:rPr>
        <w:t xml:space="preserve"> </w:t>
      </w:r>
      <w:proofErr w:type="spellStart"/>
      <w:r w:rsidRPr="000059BF">
        <w:rPr>
          <w:lang w:val="en-GB"/>
        </w:rPr>
        <w:t>decahydrate</w:t>
      </w:r>
      <w:proofErr w:type="spellEnd"/>
      <w:r w:rsidRPr="000059BF">
        <w:rPr>
          <w:lang w:val="en-GB"/>
        </w:rPr>
        <w:t>, Boric Acid, Hydrogen peroxide solution (H</w:t>
      </w:r>
      <w:r w:rsidRPr="00F97588">
        <w:rPr>
          <w:vertAlign w:val="subscript"/>
          <w:lang w:val="en-GB"/>
        </w:rPr>
        <w:t>2</w:t>
      </w:r>
      <w:r w:rsidRPr="000059BF">
        <w:rPr>
          <w:lang w:val="en-GB"/>
        </w:rPr>
        <w:t>O</w:t>
      </w:r>
      <w:r w:rsidRPr="00F97588">
        <w:rPr>
          <w:vertAlign w:val="subscript"/>
          <w:lang w:val="en-GB"/>
        </w:rPr>
        <w:t>2</w:t>
      </w:r>
      <w:r w:rsidRPr="000059BF">
        <w:rPr>
          <w:lang w:val="en-GB"/>
        </w:rPr>
        <w:t>) were acquired from Aldrich Chemical Co. All chemicals were of analytical grade.</w:t>
      </w:r>
    </w:p>
    <w:p w:rsidR="00567501" w:rsidRPr="000059BF" w:rsidRDefault="00567501" w:rsidP="000059BF">
      <w:pPr>
        <w:pStyle w:val="CETBodytext"/>
        <w:rPr>
          <w:lang w:val="en-GB"/>
        </w:rPr>
      </w:pPr>
    </w:p>
    <w:p w:rsidR="000059BF" w:rsidRDefault="000059BF" w:rsidP="000059BF">
      <w:pPr>
        <w:pStyle w:val="CETheadingx"/>
      </w:pPr>
      <w:r w:rsidRPr="000059BF">
        <w:t>Methods</w:t>
      </w:r>
    </w:p>
    <w:p w:rsidR="00F97588" w:rsidRPr="00F97588" w:rsidRDefault="00F97588" w:rsidP="00F97588">
      <w:pPr>
        <w:pStyle w:val="CETBodytext"/>
      </w:pPr>
      <w:r w:rsidRPr="000059BF">
        <w:rPr>
          <w:lang w:val="en-GB"/>
        </w:rPr>
        <w:t>The aim of this paper was to evaluate the properties of the exhausted liquid, from an industrial bio-trickling reactor (Configuration in Table 1) for greenhouse gases emission abatement.</w:t>
      </w:r>
    </w:p>
    <w:tbl>
      <w:tblPr>
        <w:tblW w:w="5000" w:type="pct"/>
        <w:tblBorders>
          <w:top w:val="single" w:sz="12" w:space="0" w:color="008000"/>
          <w:bottom w:val="single" w:sz="12" w:space="0" w:color="008000"/>
        </w:tblBorders>
        <w:tblCellMar>
          <w:left w:w="0" w:type="dxa"/>
          <w:right w:w="0" w:type="dxa"/>
        </w:tblCellMar>
        <w:tblLook w:val="00A0" w:firstRow="1" w:lastRow="0" w:firstColumn="1" w:lastColumn="0" w:noHBand="0" w:noVBand="0"/>
      </w:tblPr>
      <w:tblGrid>
        <w:gridCol w:w="4393"/>
        <w:gridCol w:w="4394"/>
      </w:tblGrid>
      <w:tr w:rsidR="00F97588" w:rsidRPr="00F97588" w:rsidTr="00B7132D">
        <w:tc>
          <w:tcPr>
            <w:tcW w:w="2500" w:type="pct"/>
            <w:tcBorders>
              <w:top w:val="single" w:sz="12" w:space="0" w:color="008000"/>
              <w:bottom w:val="single" w:sz="6" w:space="0" w:color="008000"/>
            </w:tcBorders>
            <w:shd w:val="clear" w:color="auto" w:fill="auto"/>
          </w:tcPr>
          <w:p w:rsidR="00F97588" w:rsidRPr="00F97588" w:rsidRDefault="00F97588" w:rsidP="00B7132D">
            <w:pPr>
              <w:jc w:val="center"/>
              <w:rPr>
                <w:rFonts w:cs="Arial"/>
                <w:b/>
                <w:szCs w:val="18"/>
              </w:rPr>
            </w:pPr>
            <w:r w:rsidRPr="00F97588">
              <w:rPr>
                <w:rFonts w:cs="Arial"/>
                <w:szCs w:val="18"/>
              </w:rPr>
              <w:t>Parameter</w:t>
            </w:r>
          </w:p>
        </w:tc>
        <w:tc>
          <w:tcPr>
            <w:tcW w:w="2500" w:type="pct"/>
            <w:tcBorders>
              <w:top w:val="single" w:sz="12" w:space="0" w:color="008000"/>
              <w:bottom w:val="single" w:sz="6" w:space="0" w:color="008000"/>
            </w:tcBorders>
            <w:shd w:val="clear" w:color="auto" w:fill="auto"/>
          </w:tcPr>
          <w:p w:rsidR="00F97588" w:rsidRPr="00F97588" w:rsidRDefault="00F97588" w:rsidP="00B7132D">
            <w:pPr>
              <w:pStyle w:val="CETBodytext"/>
              <w:rPr>
                <w:rFonts w:cs="Arial"/>
                <w:szCs w:val="18"/>
                <w:lang w:val="en-GB"/>
              </w:rPr>
            </w:pPr>
            <w:r w:rsidRPr="00F97588">
              <w:rPr>
                <w:rFonts w:cs="Arial"/>
                <w:szCs w:val="18"/>
                <w:lang w:val="en-GB"/>
              </w:rPr>
              <w:t>Value</w:t>
            </w:r>
          </w:p>
        </w:tc>
      </w:tr>
      <w:tr w:rsidR="00F97588" w:rsidRPr="00F97588" w:rsidTr="00B7132D">
        <w:tc>
          <w:tcPr>
            <w:tcW w:w="2500" w:type="pct"/>
            <w:shd w:val="clear" w:color="auto" w:fill="auto"/>
          </w:tcPr>
          <w:p w:rsidR="00F97588" w:rsidRPr="00F97588" w:rsidRDefault="00F97588" w:rsidP="00B7132D">
            <w:pPr>
              <w:rPr>
                <w:rFonts w:cs="Arial"/>
                <w:b/>
                <w:szCs w:val="18"/>
              </w:rPr>
            </w:pPr>
            <w:r w:rsidRPr="00F97588">
              <w:rPr>
                <w:rFonts w:cs="Arial"/>
                <w:b/>
                <w:szCs w:val="18"/>
              </w:rPr>
              <w:t>Bed height</w:t>
            </w:r>
          </w:p>
        </w:tc>
        <w:tc>
          <w:tcPr>
            <w:tcW w:w="2500" w:type="pct"/>
            <w:shd w:val="clear" w:color="auto" w:fill="auto"/>
          </w:tcPr>
          <w:p w:rsidR="00F97588" w:rsidRPr="00F97588" w:rsidRDefault="00F97588" w:rsidP="00B7132D">
            <w:pPr>
              <w:pStyle w:val="CETBodytext"/>
              <w:rPr>
                <w:rFonts w:cs="Arial"/>
                <w:szCs w:val="18"/>
                <w:lang w:val="en-GB"/>
              </w:rPr>
            </w:pPr>
            <w:r w:rsidRPr="00F97588">
              <w:rPr>
                <w:rFonts w:cs="Arial"/>
                <w:bCs/>
                <w:szCs w:val="18"/>
              </w:rPr>
              <w:t>3 m</w:t>
            </w:r>
          </w:p>
        </w:tc>
      </w:tr>
      <w:tr w:rsidR="00F97588" w:rsidRPr="00F97588" w:rsidTr="00B7132D">
        <w:trPr>
          <w:trHeight w:val="4230"/>
        </w:trPr>
        <w:tc>
          <w:tcPr>
            <w:tcW w:w="2500" w:type="pct"/>
            <w:tcBorders>
              <w:bottom w:val="single" w:sz="4" w:space="0" w:color="00B050"/>
            </w:tcBorders>
            <w:shd w:val="clear" w:color="auto" w:fill="auto"/>
          </w:tcPr>
          <w:p w:rsidR="00F97588" w:rsidRPr="00F97588" w:rsidRDefault="00F97588" w:rsidP="00B7132D">
            <w:pPr>
              <w:rPr>
                <w:rFonts w:cs="Arial"/>
                <w:b/>
                <w:szCs w:val="18"/>
              </w:rPr>
            </w:pPr>
            <w:r w:rsidRPr="00F97588">
              <w:rPr>
                <w:rFonts w:cs="Arial"/>
                <w:b/>
                <w:szCs w:val="18"/>
              </w:rPr>
              <w:t>Bed cross-sectional area</w:t>
            </w:r>
          </w:p>
          <w:p w:rsidR="00F97588" w:rsidRPr="00F97588" w:rsidRDefault="00F97588" w:rsidP="00B7132D">
            <w:pPr>
              <w:rPr>
                <w:rFonts w:cs="Arial"/>
                <w:b/>
                <w:szCs w:val="18"/>
              </w:rPr>
            </w:pPr>
            <w:r w:rsidRPr="00F97588">
              <w:rPr>
                <w:rFonts w:cs="Arial"/>
                <w:b/>
                <w:szCs w:val="18"/>
              </w:rPr>
              <w:t>Packaging</w:t>
            </w:r>
          </w:p>
          <w:p w:rsidR="00F97588" w:rsidRPr="00F97588" w:rsidRDefault="00F97588" w:rsidP="00B7132D">
            <w:pPr>
              <w:rPr>
                <w:rFonts w:cs="Arial"/>
                <w:b/>
                <w:szCs w:val="18"/>
              </w:rPr>
            </w:pPr>
          </w:p>
          <w:p w:rsidR="00F97588" w:rsidRPr="00F97588" w:rsidRDefault="00F97588" w:rsidP="00B7132D">
            <w:pPr>
              <w:rPr>
                <w:rFonts w:cs="Arial"/>
                <w:b/>
                <w:szCs w:val="18"/>
              </w:rPr>
            </w:pPr>
            <w:r w:rsidRPr="00F97588">
              <w:rPr>
                <w:rFonts w:cs="Arial"/>
                <w:b/>
                <w:szCs w:val="18"/>
              </w:rPr>
              <w:t>Gas feed Rate</w:t>
            </w:r>
          </w:p>
          <w:p w:rsidR="00F97588" w:rsidRPr="00F97588" w:rsidRDefault="00F97588" w:rsidP="00B7132D">
            <w:pPr>
              <w:rPr>
                <w:rFonts w:cs="Arial"/>
                <w:b/>
                <w:szCs w:val="18"/>
              </w:rPr>
            </w:pPr>
            <w:r w:rsidRPr="00F97588">
              <w:rPr>
                <w:rFonts w:cs="Arial"/>
                <w:b/>
                <w:szCs w:val="18"/>
              </w:rPr>
              <w:t>Typical gas feed composition</w:t>
            </w:r>
          </w:p>
          <w:p w:rsidR="00F97588" w:rsidRPr="00F97588" w:rsidRDefault="00F97588" w:rsidP="00B7132D">
            <w:pPr>
              <w:rPr>
                <w:rFonts w:cs="Arial"/>
                <w:b/>
                <w:szCs w:val="18"/>
              </w:rPr>
            </w:pPr>
          </w:p>
          <w:p w:rsidR="00F97588" w:rsidRPr="00F97588" w:rsidRDefault="00F97588" w:rsidP="00B7132D">
            <w:pPr>
              <w:rPr>
                <w:rFonts w:cs="Arial"/>
                <w:b/>
                <w:szCs w:val="18"/>
              </w:rPr>
            </w:pPr>
            <w:r w:rsidRPr="00F97588">
              <w:rPr>
                <w:rFonts w:cs="Arial"/>
                <w:b/>
                <w:szCs w:val="18"/>
              </w:rPr>
              <w:t>Gas temperature</w:t>
            </w:r>
          </w:p>
          <w:p w:rsidR="00F97588" w:rsidRPr="00F97588" w:rsidRDefault="00F97588" w:rsidP="00B7132D">
            <w:pPr>
              <w:rPr>
                <w:rFonts w:cs="Arial"/>
                <w:b/>
                <w:szCs w:val="18"/>
              </w:rPr>
            </w:pPr>
            <w:r w:rsidRPr="00F97588">
              <w:rPr>
                <w:rFonts w:cs="Arial"/>
                <w:b/>
                <w:szCs w:val="18"/>
              </w:rPr>
              <w:t>TL Rate*</w:t>
            </w:r>
          </w:p>
          <w:p w:rsidR="00F97588" w:rsidRPr="00F97588" w:rsidRDefault="00F97588" w:rsidP="00B7132D">
            <w:pPr>
              <w:rPr>
                <w:rFonts w:cs="Arial"/>
                <w:b/>
                <w:szCs w:val="18"/>
              </w:rPr>
            </w:pPr>
          </w:p>
          <w:p w:rsidR="00F97588" w:rsidRPr="00F97588" w:rsidRDefault="00F97588" w:rsidP="00B7132D">
            <w:pPr>
              <w:rPr>
                <w:rFonts w:cs="Arial"/>
                <w:b/>
                <w:szCs w:val="18"/>
              </w:rPr>
            </w:pPr>
            <w:r w:rsidRPr="00F97588">
              <w:rPr>
                <w:rFonts w:cs="Arial"/>
                <w:b/>
                <w:szCs w:val="18"/>
              </w:rPr>
              <w:t>Typical monitored</w:t>
            </w:r>
          </w:p>
          <w:p w:rsidR="00F97588" w:rsidRPr="00F97588" w:rsidRDefault="00F97588" w:rsidP="00B7132D">
            <w:pPr>
              <w:rPr>
                <w:rFonts w:cs="Arial"/>
                <w:b/>
                <w:szCs w:val="18"/>
              </w:rPr>
            </w:pPr>
            <w:r w:rsidRPr="00F97588">
              <w:rPr>
                <w:rFonts w:cs="Arial"/>
                <w:b/>
                <w:szCs w:val="18"/>
              </w:rPr>
              <w:t>Parameters</w:t>
            </w:r>
          </w:p>
          <w:p w:rsidR="00F97588" w:rsidRPr="00F97588" w:rsidRDefault="00F97588" w:rsidP="00B7132D">
            <w:pPr>
              <w:rPr>
                <w:rFonts w:cs="Arial"/>
                <w:b/>
                <w:szCs w:val="18"/>
              </w:rPr>
            </w:pPr>
          </w:p>
          <w:p w:rsidR="00F97588" w:rsidRPr="00F97588" w:rsidRDefault="00F97588" w:rsidP="00B7132D">
            <w:pPr>
              <w:rPr>
                <w:rFonts w:cs="Arial"/>
                <w:b/>
                <w:szCs w:val="18"/>
              </w:rPr>
            </w:pPr>
          </w:p>
          <w:p w:rsidR="00F97588" w:rsidRPr="00F97588" w:rsidRDefault="00F97588" w:rsidP="00B7132D">
            <w:pPr>
              <w:rPr>
                <w:rFonts w:cs="Arial"/>
                <w:b/>
                <w:szCs w:val="18"/>
              </w:rPr>
            </w:pPr>
          </w:p>
          <w:p w:rsidR="00F97588" w:rsidRPr="00F97588" w:rsidRDefault="00F97588" w:rsidP="00B7132D">
            <w:pPr>
              <w:rPr>
                <w:rFonts w:cs="Arial"/>
                <w:b/>
                <w:szCs w:val="18"/>
              </w:rPr>
            </w:pPr>
          </w:p>
          <w:p w:rsidR="00F97588" w:rsidRPr="00F97588" w:rsidRDefault="00F97588" w:rsidP="00B7132D">
            <w:pPr>
              <w:rPr>
                <w:rFonts w:cs="Arial"/>
                <w:b/>
                <w:szCs w:val="18"/>
              </w:rPr>
            </w:pPr>
          </w:p>
          <w:p w:rsidR="00F97588" w:rsidRPr="00F97588" w:rsidRDefault="00F97588" w:rsidP="00B7132D">
            <w:pPr>
              <w:rPr>
                <w:rFonts w:cs="Arial"/>
                <w:b/>
                <w:szCs w:val="18"/>
              </w:rPr>
            </w:pPr>
          </w:p>
          <w:p w:rsidR="00F97588" w:rsidRPr="00F97588" w:rsidRDefault="00F97588" w:rsidP="00B7132D">
            <w:pPr>
              <w:rPr>
                <w:rFonts w:cs="Arial"/>
                <w:b/>
                <w:szCs w:val="18"/>
              </w:rPr>
            </w:pPr>
            <w:r w:rsidRPr="00F97588">
              <w:rPr>
                <w:rFonts w:cs="Arial"/>
                <w:b/>
                <w:szCs w:val="18"/>
              </w:rPr>
              <w:t>Typical controls</w:t>
            </w:r>
          </w:p>
          <w:p w:rsidR="00F97588" w:rsidRPr="00F97588" w:rsidRDefault="00F97588" w:rsidP="00B7132D">
            <w:pPr>
              <w:pStyle w:val="CETBodytext"/>
              <w:rPr>
                <w:rFonts w:cs="Arial"/>
                <w:szCs w:val="18"/>
                <w:lang w:val="en-GB"/>
              </w:rPr>
            </w:pPr>
          </w:p>
          <w:p w:rsidR="00F97588" w:rsidRPr="00F97588" w:rsidRDefault="00F97588" w:rsidP="00B7132D">
            <w:pPr>
              <w:pStyle w:val="CETBodytext"/>
              <w:rPr>
                <w:rFonts w:cs="Arial"/>
                <w:szCs w:val="18"/>
                <w:lang w:val="en-GB"/>
              </w:rPr>
            </w:pPr>
          </w:p>
          <w:p w:rsidR="00F97588" w:rsidRPr="00F97588" w:rsidRDefault="00F97588" w:rsidP="00B7132D">
            <w:pPr>
              <w:pStyle w:val="CETBodytext"/>
              <w:rPr>
                <w:rFonts w:cs="Arial"/>
                <w:szCs w:val="18"/>
                <w:lang w:val="en-GB"/>
              </w:rPr>
            </w:pPr>
          </w:p>
          <w:p w:rsidR="00F97588" w:rsidRPr="00F97588" w:rsidRDefault="00F97588" w:rsidP="00B7132D">
            <w:pPr>
              <w:pStyle w:val="CETBodytext"/>
              <w:rPr>
                <w:rFonts w:cs="Arial"/>
                <w:szCs w:val="18"/>
                <w:lang w:val="en-GB"/>
              </w:rPr>
            </w:pPr>
          </w:p>
          <w:p w:rsidR="00F97588" w:rsidRPr="00F97588" w:rsidRDefault="00F97588" w:rsidP="00B7132D">
            <w:pPr>
              <w:pStyle w:val="Paragrafoelenco"/>
              <w:numPr>
                <w:ilvl w:val="0"/>
                <w:numId w:val="26"/>
              </w:numPr>
              <w:spacing w:line="240" w:lineRule="auto"/>
              <w:ind w:left="356"/>
              <w:contextualSpacing w:val="0"/>
              <w:rPr>
                <w:rFonts w:ascii="Arial" w:hAnsi="Arial" w:cs="Arial"/>
                <w:sz w:val="18"/>
                <w:szCs w:val="18"/>
              </w:rPr>
            </w:pPr>
            <w:r w:rsidRPr="00F97588">
              <w:rPr>
                <w:rFonts w:ascii="Arial" w:hAnsi="Arial" w:cs="Arial"/>
                <w:bCs/>
                <w:sz w:val="18"/>
                <w:szCs w:val="18"/>
              </w:rPr>
              <w:t>*Initial TL was water</w:t>
            </w:r>
          </w:p>
        </w:tc>
        <w:tc>
          <w:tcPr>
            <w:tcW w:w="2500" w:type="pct"/>
            <w:tcBorders>
              <w:bottom w:val="single" w:sz="4" w:space="0" w:color="00B050"/>
            </w:tcBorders>
            <w:shd w:val="clear" w:color="auto" w:fill="auto"/>
          </w:tcPr>
          <w:p w:rsidR="00F97588" w:rsidRPr="00F97588" w:rsidRDefault="00F97588" w:rsidP="00B7132D">
            <w:pPr>
              <w:rPr>
                <w:rFonts w:cs="Arial"/>
                <w:bCs/>
                <w:szCs w:val="18"/>
                <w:vertAlign w:val="superscript"/>
              </w:rPr>
            </w:pPr>
            <w:r w:rsidRPr="00F97588">
              <w:rPr>
                <w:rFonts w:cs="Arial"/>
                <w:bCs/>
                <w:szCs w:val="18"/>
              </w:rPr>
              <w:t>6 m</w:t>
            </w:r>
            <w:r w:rsidRPr="00F97588">
              <w:rPr>
                <w:rFonts w:cs="Arial"/>
                <w:bCs/>
                <w:szCs w:val="18"/>
                <w:vertAlign w:val="superscript"/>
              </w:rPr>
              <w:t>2</w:t>
            </w:r>
          </w:p>
          <w:p w:rsidR="00F97588" w:rsidRPr="00F97588" w:rsidRDefault="00F97588" w:rsidP="00B7132D">
            <w:pPr>
              <w:pStyle w:val="Paragrafoelenco"/>
              <w:numPr>
                <w:ilvl w:val="0"/>
                <w:numId w:val="26"/>
              </w:numPr>
              <w:spacing w:line="240" w:lineRule="auto"/>
              <w:ind w:left="356"/>
              <w:contextualSpacing w:val="0"/>
              <w:rPr>
                <w:rFonts w:ascii="Arial" w:hAnsi="Arial" w:cs="Arial"/>
                <w:sz w:val="18"/>
                <w:szCs w:val="18"/>
              </w:rPr>
            </w:pPr>
            <w:r w:rsidRPr="00F97588">
              <w:rPr>
                <w:rFonts w:ascii="Arial" w:hAnsi="Arial" w:cs="Arial"/>
                <w:bCs/>
                <w:sz w:val="18"/>
                <w:szCs w:val="18"/>
              </w:rPr>
              <w:t>Oak woodchips: 10-200 mm</w:t>
            </w:r>
          </w:p>
          <w:p w:rsidR="00F97588" w:rsidRPr="00F97588" w:rsidRDefault="00F97588" w:rsidP="00B7132D">
            <w:pPr>
              <w:pStyle w:val="Paragrafoelenco"/>
              <w:numPr>
                <w:ilvl w:val="0"/>
                <w:numId w:val="26"/>
              </w:numPr>
              <w:spacing w:line="240" w:lineRule="auto"/>
              <w:ind w:left="356"/>
              <w:contextualSpacing w:val="0"/>
              <w:rPr>
                <w:rFonts w:ascii="Arial" w:hAnsi="Arial" w:cs="Arial"/>
                <w:sz w:val="18"/>
                <w:szCs w:val="18"/>
              </w:rPr>
            </w:pPr>
            <w:r w:rsidRPr="00F97588">
              <w:rPr>
                <w:rFonts w:ascii="Arial" w:hAnsi="Arial" w:cs="Arial"/>
                <w:bCs/>
                <w:sz w:val="18"/>
                <w:szCs w:val="18"/>
              </w:rPr>
              <w:t>Compost</w:t>
            </w:r>
          </w:p>
          <w:p w:rsidR="00F97588" w:rsidRPr="00F97588" w:rsidRDefault="00F97588" w:rsidP="00B7132D">
            <w:pPr>
              <w:spacing w:line="240" w:lineRule="auto"/>
              <w:ind w:left="-4"/>
              <w:rPr>
                <w:rFonts w:cs="Arial"/>
                <w:szCs w:val="18"/>
              </w:rPr>
            </w:pPr>
            <w:r w:rsidRPr="00F97588">
              <w:rPr>
                <w:rFonts w:cs="Arial"/>
                <w:szCs w:val="18"/>
              </w:rPr>
              <w:t>10000 m3/h</w:t>
            </w:r>
          </w:p>
          <w:p w:rsidR="00F97588" w:rsidRPr="00F97588" w:rsidRDefault="00F97588" w:rsidP="00B7132D">
            <w:pPr>
              <w:spacing w:line="240" w:lineRule="auto"/>
              <w:ind w:left="-4"/>
              <w:rPr>
                <w:rFonts w:cs="Arial"/>
                <w:szCs w:val="18"/>
                <w:lang w:val="it-IT"/>
              </w:rPr>
            </w:pPr>
            <w:r w:rsidRPr="00F97588">
              <w:rPr>
                <w:rFonts w:cs="Arial"/>
                <w:szCs w:val="18"/>
                <w:lang w:val="it-IT"/>
              </w:rPr>
              <w:t>O</w:t>
            </w:r>
            <w:r w:rsidRPr="00F97588">
              <w:rPr>
                <w:rFonts w:cs="Arial"/>
                <w:szCs w:val="18"/>
                <w:vertAlign w:val="subscript"/>
                <w:lang w:val="it-IT"/>
              </w:rPr>
              <w:t>2</w:t>
            </w:r>
            <w:r w:rsidRPr="00F97588">
              <w:rPr>
                <w:rFonts w:cs="Arial"/>
                <w:szCs w:val="18"/>
                <w:lang w:val="it-IT"/>
              </w:rPr>
              <w:t xml:space="preserve"> 7%; N</w:t>
            </w:r>
            <w:r w:rsidRPr="00F97588">
              <w:rPr>
                <w:rFonts w:cs="Arial"/>
                <w:szCs w:val="18"/>
                <w:vertAlign w:val="subscript"/>
                <w:lang w:val="it-IT"/>
              </w:rPr>
              <w:t>2</w:t>
            </w:r>
            <w:r w:rsidRPr="00F97588">
              <w:rPr>
                <w:rFonts w:cs="Arial"/>
                <w:szCs w:val="18"/>
                <w:lang w:val="it-IT"/>
              </w:rPr>
              <w:t xml:space="preserve"> 68%; CO</w:t>
            </w:r>
            <w:r w:rsidRPr="00F97588">
              <w:rPr>
                <w:rFonts w:cs="Arial"/>
                <w:szCs w:val="18"/>
                <w:vertAlign w:val="subscript"/>
                <w:lang w:val="it-IT"/>
              </w:rPr>
              <w:t>2</w:t>
            </w:r>
            <w:r w:rsidRPr="00F97588">
              <w:rPr>
                <w:rFonts w:cs="Arial"/>
                <w:szCs w:val="18"/>
                <w:lang w:val="it-IT"/>
              </w:rPr>
              <w:t xml:space="preserve"> 14%; H</w:t>
            </w:r>
            <w:r w:rsidRPr="00F97588">
              <w:rPr>
                <w:rFonts w:cs="Arial"/>
                <w:szCs w:val="18"/>
                <w:vertAlign w:val="subscript"/>
                <w:lang w:val="it-IT"/>
              </w:rPr>
              <w:t>2</w:t>
            </w:r>
            <w:r w:rsidRPr="00F97588">
              <w:rPr>
                <w:rFonts w:cs="Arial"/>
                <w:szCs w:val="18"/>
                <w:lang w:val="it-IT"/>
              </w:rPr>
              <w:t xml:space="preserve">O 7%; </w:t>
            </w:r>
            <w:proofErr w:type="spellStart"/>
            <w:r w:rsidRPr="00F97588">
              <w:rPr>
                <w:rFonts w:cs="Arial"/>
                <w:szCs w:val="18"/>
                <w:lang w:val="it-IT"/>
              </w:rPr>
              <w:t>NOx</w:t>
            </w:r>
            <w:proofErr w:type="spellEnd"/>
            <w:r w:rsidRPr="00F97588">
              <w:rPr>
                <w:rFonts w:cs="Arial"/>
                <w:szCs w:val="18"/>
                <w:lang w:val="it-IT"/>
              </w:rPr>
              <w:t>/m</w:t>
            </w:r>
            <w:r w:rsidRPr="00F97588">
              <w:rPr>
                <w:rFonts w:cs="Arial"/>
                <w:szCs w:val="18"/>
                <w:vertAlign w:val="superscript"/>
                <w:lang w:val="it-IT"/>
              </w:rPr>
              <w:t>3</w:t>
            </w:r>
            <w:r w:rsidRPr="00F97588">
              <w:rPr>
                <w:rFonts w:cs="Arial"/>
                <w:szCs w:val="18"/>
                <w:lang w:val="it-IT"/>
              </w:rPr>
              <w:t xml:space="preserve"> 598.5 mg; SO</w:t>
            </w:r>
            <w:r w:rsidRPr="00F97588">
              <w:rPr>
                <w:rFonts w:cs="Arial"/>
                <w:szCs w:val="18"/>
                <w:vertAlign w:val="subscript"/>
                <w:lang w:val="it-IT"/>
              </w:rPr>
              <w:t>2</w:t>
            </w:r>
            <w:r w:rsidRPr="00F97588">
              <w:rPr>
                <w:rFonts w:cs="Arial"/>
                <w:szCs w:val="18"/>
                <w:lang w:val="it-IT"/>
              </w:rPr>
              <w:t>/m</w:t>
            </w:r>
            <w:r w:rsidRPr="00F97588">
              <w:rPr>
                <w:rFonts w:cs="Arial"/>
                <w:szCs w:val="18"/>
                <w:vertAlign w:val="superscript"/>
                <w:lang w:val="it-IT"/>
              </w:rPr>
              <w:t>3</w:t>
            </w:r>
            <w:r w:rsidRPr="00F97588">
              <w:rPr>
                <w:rFonts w:cs="Arial"/>
                <w:szCs w:val="18"/>
                <w:lang w:val="it-IT"/>
              </w:rPr>
              <w:t xml:space="preserve"> 25 mg</w:t>
            </w:r>
          </w:p>
          <w:p w:rsidR="00F97588" w:rsidRPr="00F97588" w:rsidRDefault="00F97588" w:rsidP="00B7132D">
            <w:pPr>
              <w:spacing w:line="240" w:lineRule="auto"/>
              <w:ind w:left="-4"/>
              <w:rPr>
                <w:rFonts w:cs="Arial"/>
                <w:szCs w:val="18"/>
                <w:lang w:val="it-IT"/>
              </w:rPr>
            </w:pPr>
          </w:p>
          <w:p w:rsidR="00F97588" w:rsidRPr="00F97588" w:rsidRDefault="00F97588" w:rsidP="00B7132D">
            <w:pPr>
              <w:spacing w:line="240" w:lineRule="auto"/>
              <w:ind w:left="-4"/>
              <w:rPr>
                <w:rFonts w:cs="Arial"/>
                <w:szCs w:val="18"/>
                <w:lang w:val="en-US"/>
              </w:rPr>
            </w:pPr>
            <w:r w:rsidRPr="00F97588">
              <w:rPr>
                <w:rFonts w:cs="Arial"/>
                <w:szCs w:val="18"/>
                <w:lang w:val="en-US"/>
              </w:rPr>
              <w:t>10-30 °C</w:t>
            </w:r>
          </w:p>
          <w:p w:rsidR="00F97588" w:rsidRPr="00F97588" w:rsidRDefault="00F97588" w:rsidP="00B7132D">
            <w:pPr>
              <w:spacing w:line="240" w:lineRule="auto"/>
              <w:ind w:left="-4"/>
              <w:rPr>
                <w:rFonts w:cs="Arial"/>
                <w:szCs w:val="18"/>
                <w:lang w:val="en-US"/>
              </w:rPr>
            </w:pPr>
            <w:r w:rsidRPr="00F97588">
              <w:rPr>
                <w:rFonts w:cs="Arial"/>
                <w:szCs w:val="18"/>
                <w:lang w:val="en-US"/>
              </w:rPr>
              <w:t>0,5 mh</w:t>
            </w:r>
            <w:r w:rsidRPr="00F97588">
              <w:rPr>
                <w:rFonts w:cs="Arial"/>
                <w:szCs w:val="18"/>
                <w:vertAlign w:val="superscript"/>
                <w:lang w:val="en-US"/>
              </w:rPr>
              <w:t>-1</w:t>
            </w:r>
          </w:p>
          <w:p w:rsidR="00F97588" w:rsidRPr="00F97588" w:rsidRDefault="00F97588" w:rsidP="00B7132D">
            <w:pPr>
              <w:spacing w:line="240" w:lineRule="auto"/>
              <w:ind w:left="-4"/>
              <w:rPr>
                <w:rFonts w:cs="Arial"/>
                <w:szCs w:val="18"/>
                <w:lang w:val="it-IT"/>
              </w:rPr>
            </w:pPr>
          </w:p>
          <w:p w:rsidR="00F97588" w:rsidRPr="00590D6C" w:rsidRDefault="00F97588" w:rsidP="00B7132D">
            <w:pPr>
              <w:numPr>
                <w:ilvl w:val="0"/>
                <w:numId w:val="26"/>
              </w:numPr>
              <w:tabs>
                <w:tab w:val="clear" w:pos="7100"/>
              </w:tabs>
              <w:spacing w:line="240" w:lineRule="auto"/>
              <w:ind w:left="356"/>
              <w:rPr>
                <w:rFonts w:cs="Arial"/>
                <w:bCs/>
                <w:szCs w:val="18"/>
              </w:rPr>
            </w:pPr>
            <w:r w:rsidRPr="00590D6C">
              <w:rPr>
                <w:rFonts w:cs="Arial"/>
                <w:bCs/>
                <w:szCs w:val="18"/>
              </w:rPr>
              <w:t xml:space="preserve">temperature, </w:t>
            </w:r>
          </w:p>
          <w:p w:rsidR="00F97588" w:rsidRPr="00590D6C" w:rsidRDefault="00F97588" w:rsidP="00B7132D">
            <w:pPr>
              <w:numPr>
                <w:ilvl w:val="0"/>
                <w:numId w:val="26"/>
              </w:numPr>
              <w:tabs>
                <w:tab w:val="clear" w:pos="7100"/>
              </w:tabs>
              <w:spacing w:line="240" w:lineRule="auto"/>
              <w:ind w:left="356"/>
              <w:rPr>
                <w:rFonts w:cs="Arial"/>
                <w:bCs/>
                <w:szCs w:val="18"/>
              </w:rPr>
            </w:pPr>
            <w:r w:rsidRPr="00590D6C">
              <w:rPr>
                <w:rFonts w:cs="Arial"/>
                <w:bCs/>
                <w:szCs w:val="18"/>
              </w:rPr>
              <w:t xml:space="preserve">pH, </w:t>
            </w:r>
          </w:p>
          <w:p w:rsidR="00F97588" w:rsidRPr="00590D6C" w:rsidRDefault="00F97588" w:rsidP="00B7132D">
            <w:pPr>
              <w:numPr>
                <w:ilvl w:val="0"/>
                <w:numId w:val="26"/>
              </w:numPr>
              <w:tabs>
                <w:tab w:val="clear" w:pos="7100"/>
              </w:tabs>
              <w:spacing w:line="240" w:lineRule="auto"/>
              <w:ind w:left="356"/>
              <w:rPr>
                <w:rFonts w:cs="Arial"/>
                <w:bCs/>
                <w:szCs w:val="18"/>
              </w:rPr>
            </w:pPr>
            <w:r w:rsidRPr="00590D6C">
              <w:rPr>
                <w:rFonts w:cs="Arial"/>
                <w:bCs/>
                <w:szCs w:val="18"/>
              </w:rPr>
              <w:t xml:space="preserve">dissolved oxygen and conductivity of recycle liquid, </w:t>
            </w:r>
          </w:p>
          <w:p w:rsidR="00F97588" w:rsidRPr="00590D6C" w:rsidRDefault="00F97588" w:rsidP="00B7132D">
            <w:pPr>
              <w:numPr>
                <w:ilvl w:val="0"/>
                <w:numId w:val="26"/>
              </w:numPr>
              <w:tabs>
                <w:tab w:val="clear" w:pos="7100"/>
              </w:tabs>
              <w:spacing w:line="240" w:lineRule="auto"/>
              <w:ind w:left="356"/>
              <w:rPr>
                <w:rFonts w:cs="Arial"/>
                <w:bCs/>
                <w:szCs w:val="18"/>
              </w:rPr>
            </w:pPr>
            <w:r w:rsidRPr="00590D6C">
              <w:rPr>
                <w:rFonts w:cs="Arial"/>
                <w:bCs/>
                <w:szCs w:val="18"/>
              </w:rPr>
              <w:t>liquid feed</w:t>
            </w:r>
          </w:p>
          <w:p w:rsidR="00F97588" w:rsidRPr="00590D6C" w:rsidRDefault="00F97588" w:rsidP="00B7132D">
            <w:pPr>
              <w:numPr>
                <w:ilvl w:val="0"/>
                <w:numId w:val="26"/>
              </w:numPr>
              <w:tabs>
                <w:tab w:val="clear" w:pos="7100"/>
              </w:tabs>
              <w:spacing w:line="240" w:lineRule="auto"/>
              <w:ind w:left="356"/>
              <w:rPr>
                <w:rFonts w:cs="Arial"/>
                <w:bCs/>
                <w:szCs w:val="18"/>
              </w:rPr>
            </w:pPr>
            <w:r w:rsidRPr="00590D6C">
              <w:rPr>
                <w:rFonts w:cs="Arial"/>
                <w:bCs/>
                <w:szCs w:val="18"/>
              </w:rPr>
              <w:t xml:space="preserve">rate, </w:t>
            </w:r>
          </w:p>
          <w:p w:rsidR="00F97588" w:rsidRPr="00590D6C" w:rsidRDefault="00F97588" w:rsidP="00B7132D">
            <w:pPr>
              <w:numPr>
                <w:ilvl w:val="0"/>
                <w:numId w:val="26"/>
              </w:numPr>
              <w:tabs>
                <w:tab w:val="clear" w:pos="7100"/>
              </w:tabs>
              <w:spacing w:line="240" w:lineRule="auto"/>
              <w:ind w:left="356"/>
              <w:rPr>
                <w:rFonts w:cs="Arial"/>
                <w:bCs/>
                <w:szCs w:val="18"/>
              </w:rPr>
            </w:pPr>
            <w:r w:rsidRPr="00590D6C">
              <w:rPr>
                <w:rFonts w:cs="Arial"/>
                <w:bCs/>
                <w:szCs w:val="18"/>
              </w:rPr>
              <w:t xml:space="preserve">trickling flow rate, </w:t>
            </w:r>
          </w:p>
          <w:p w:rsidR="00F97588" w:rsidRPr="00F97588" w:rsidRDefault="00F97588" w:rsidP="00B7132D">
            <w:pPr>
              <w:numPr>
                <w:ilvl w:val="0"/>
                <w:numId w:val="26"/>
              </w:numPr>
              <w:tabs>
                <w:tab w:val="clear" w:pos="7100"/>
              </w:tabs>
              <w:spacing w:line="240" w:lineRule="auto"/>
              <w:ind w:left="356"/>
              <w:rPr>
                <w:rFonts w:cs="Arial"/>
                <w:bCs/>
                <w:szCs w:val="18"/>
              </w:rPr>
            </w:pPr>
            <w:r w:rsidRPr="00590D6C">
              <w:rPr>
                <w:rFonts w:cs="Arial"/>
                <w:bCs/>
                <w:szCs w:val="18"/>
              </w:rPr>
              <w:t xml:space="preserve">pollutant inlet and outlet concentrations, </w:t>
            </w:r>
          </w:p>
          <w:p w:rsidR="00F97588" w:rsidRPr="00F97588" w:rsidRDefault="00F97588" w:rsidP="00B7132D">
            <w:pPr>
              <w:numPr>
                <w:ilvl w:val="0"/>
                <w:numId w:val="26"/>
              </w:numPr>
              <w:tabs>
                <w:tab w:val="clear" w:pos="7100"/>
              </w:tabs>
              <w:spacing w:line="240" w:lineRule="auto"/>
              <w:ind w:left="356"/>
              <w:rPr>
                <w:rFonts w:cs="Arial"/>
                <w:bCs/>
                <w:szCs w:val="18"/>
              </w:rPr>
            </w:pPr>
            <w:r w:rsidRPr="00F97588">
              <w:rPr>
                <w:rFonts w:cs="Arial"/>
                <w:bCs/>
                <w:szCs w:val="18"/>
              </w:rPr>
              <w:t>pressure drop</w:t>
            </w:r>
          </w:p>
          <w:p w:rsidR="00F97588" w:rsidRPr="00F97588" w:rsidRDefault="00F97588" w:rsidP="00B7132D">
            <w:pPr>
              <w:pStyle w:val="Paragrafoelenco"/>
              <w:numPr>
                <w:ilvl w:val="0"/>
                <w:numId w:val="26"/>
              </w:numPr>
              <w:spacing w:line="240" w:lineRule="auto"/>
              <w:ind w:left="356"/>
              <w:contextualSpacing w:val="0"/>
              <w:rPr>
                <w:rFonts w:ascii="Arial" w:hAnsi="Arial" w:cs="Arial"/>
                <w:bCs/>
                <w:sz w:val="18"/>
                <w:szCs w:val="18"/>
              </w:rPr>
            </w:pPr>
            <w:r w:rsidRPr="00F97588">
              <w:rPr>
                <w:rFonts w:ascii="Arial" w:hAnsi="Arial" w:cs="Arial"/>
                <w:bCs/>
                <w:sz w:val="18"/>
                <w:szCs w:val="18"/>
              </w:rPr>
              <w:t xml:space="preserve">liquid feed rate, </w:t>
            </w:r>
          </w:p>
          <w:p w:rsidR="00F97588" w:rsidRPr="00F97588" w:rsidRDefault="00F97588" w:rsidP="00B7132D">
            <w:pPr>
              <w:pStyle w:val="Paragrafoelenco"/>
              <w:numPr>
                <w:ilvl w:val="0"/>
                <w:numId w:val="26"/>
              </w:numPr>
              <w:spacing w:line="240" w:lineRule="auto"/>
              <w:ind w:left="356"/>
              <w:contextualSpacing w:val="0"/>
              <w:rPr>
                <w:rFonts w:ascii="Arial" w:hAnsi="Arial" w:cs="Arial"/>
                <w:bCs/>
                <w:sz w:val="18"/>
                <w:szCs w:val="18"/>
              </w:rPr>
            </w:pPr>
            <w:r w:rsidRPr="00F97588">
              <w:rPr>
                <w:rFonts w:ascii="Arial" w:hAnsi="Arial" w:cs="Arial"/>
                <w:bCs/>
                <w:sz w:val="18"/>
                <w:szCs w:val="18"/>
              </w:rPr>
              <w:t xml:space="preserve">pH control, </w:t>
            </w:r>
          </w:p>
          <w:p w:rsidR="00F97588" w:rsidRPr="00F97588" w:rsidRDefault="00F97588" w:rsidP="00B7132D">
            <w:pPr>
              <w:pStyle w:val="Paragrafoelenco"/>
              <w:numPr>
                <w:ilvl w:val="0"/>
                <w:numId w:val="26"/>
              </w:numPr>
              <w:spacing w:line="240" w:lineRule="auto"/>
              <w:ind w:left="356"/>
              <w:contextualSpacing w:val="0"/>
              <w:rPr>
                <w:rFonts w:ascii="Arial" w:hAnsi="Arial" w:cs="Arial"/>
                <w:bCs/>
                <w:sz w:val="18"/>
                <w:szCs w:val="18"/>
              </w:rPr>
            </w:pPr>
            <w:r w:rsidRPr="00F97588">
              <w:rPr>
                <w:rFonts w:ascii="Arial" w:hAnsi="Arial" w:cs="Arial"/>
                <w:bCs/>
                <w:sz w:val="18"/>
                <w:szCs w:val="18"/>
              </w:rPr>
              <w:t>low-level liquid</w:t>
            </w:r>
          </w:p>
          <w:p w:rsidR="00F97588" w:rsidRPr="00F97588" w:rsidRDefault="00F97588" w:rsidP="00B7132D">
            <w:pPr>
              <w:pStyle w:val="Paragrafoelenco"/>
              <w:numPr>
                <w:ilvl w:val="0"/>
                <w:numId w:val="26"/>
              </w:numPr>
              <w:spacing w:line="240" w:lineRule="auto"/>
              <w:ind w:left="356"/>
              <w:contextualSpacing w:val="0"/>
              <w:rPr>
                <w:rFonts w:ascii="Arial" w:hAnsi="Arial" w:cs="Arial"/>
                <w:bCs/>
                <w:sz w:val="18"/>
                <w:szCs w:val="18"/>
              </w:rPr>
            </w:pPr>
            <w:r w:rsidRPr="00F97588">
              <w:rPr>
                <w:rFonts w:ascii="Arial" w:hAnsi="Arial" w:cs="Arial"/>
                <w:bCs/>
                <w:sz w:val="18"/>
                <w:szCs w:val="18"/>
              </w:rPr>
              <w:t>alarm or pump shutdown</w:t>
            </w:r>
          </w:p>
          <w:p w:rsidR="00F97588" w:rsidRPr="00F97588" w:rsidRDefault="00F97588" w:rsidP="00B7132D">
            <w:pPr>
              <w:spacing w:line="240" w:lineRule="auto"/>
              <w:ind w:left="-4"/>
              <w:rPr>
                <w:rFonts w:cs="Arial"/>
                <w:szCs w:val="18"/>
                <w:lang w:val="it-IT"/>
              </w:rPr>
            </w:pPr>
          </w:p>
          <w:p w:rsidR="00F97588" w:rsidRPr="00F97588" w:rsidRDefault="00F97588" w:rsidP="00B7132D">
            <w:pPr>
              <w:spacing w:line="240" w:lineRule="auto"/>
              <w:ind w:left="-4"/>
              <w:rPr>
                <w:rFonts w:cs="Arial"/>
                <w:szCs w:val="18"/>
                <w:lang w:val="it-IT"/>
              </w:rPr>
            </w:pPr>
          </w:p>
        </w:tc>
      </w:tr>
    </w:tbl>
    <w:p w:rsidR="00F97588" w:rsidRDefault="00F97588" w:rsidP="000059BF">
      <w:pPr>
        <w:pStyle w:val="CETBodytext"/>
        <w:rPr>
          <w:rFonts w:eastAsia="Batang"/>
          <w:i/>
          <w:sz w:val="20"/>
          <w:lang w:eastAsia="ko-KR"/>
        </w:rPr>
      </w:pPr>
      <w:r w:rsidRPr="00F97588">
        <w:rPr>
          <w:rFonts w:eastAsia="Batang"/>
          <w:i/>
          <w:sz w:val="20"/>
          <w:lang w:eastAsia="ko-KR"/>
        </w:rPr>
        <w:t xml:space="preserve">Table </w:t>
      </w:r>
      <w:r w:rsidRPr="00F97588">
        <w:rPr>
          <w:rFonts w:eastAsia="Batang"/>
          <w:i/>
          <w:sz w:val="20"/>
          <w:lang w:eastAsia="ko-KR"/>
        </w:rPr>
        <w:fldChar w:fldCharType="begin"/>
      </w:r>
      <w:r w:rsidRPr="00F97588">
        <w:rPr>
          <w:rFonts w:eastAsia="Batang"/>
          <w:i/>
          <w:sz w:val="20"/>
          <w:lang w:eastAsia="ko-KR"/>
        </w:rPr>
        <w:instrText xml:space="preserve"> SEQ Table \* ARABIC </w:instrText>
      </w:r>
      <w:r w:rsidRPr="00F97588">
        <w:rPr>
          <w:rFonts w:eastAsia="Batang"/>
          <w:i/>
          <w:sz w:val="20"/>
          <w:lang w:eastAsia="ko-KR"/>
        </w:rPr>
        <w:fldChar w:fldCharType="separate"/>
      </w:r>
      <w:r w:rsidRPr="00F97588">
        <w:rPr>
          <w:rFonts w:eastAsia="Batang"/>
          <w:i/>
          <w:sz w:val="20"/>
          <w:lang w:eastAsia="ko-KR"/>
        </w:rPr>
        <w:t>1</w:t>
      </w:r>
      <w:r w:rsidRPr="00F97588">
        <w:rPr>
          <w:rFonts w:eastAsia="Batang"/>
          <w:i/>
          <w:sz w:val="20"/>
          <w:lang w:eastAsia="ko-KR"/>
        </w:rPr>
        <w:fldChar w:fldCharType="end"/>
      </w:r>
      <w:r w:rsidRPr="00F97588">
        <w:rPr>
          <w:rFonts w:eastAsia="Batang"/>
          <w:i/>
          <w:sz w:val="20"/>
          <w:lang w:eastAsia="ko-KR"/>
        </w:rPr>
        <w:t xml:space="preserve"> Configuration and operating parameters of the bio-trickling filter</w:t>
      </w:r>
    </w:p>
    <w:p w:rsidR="00567501" w:rsidRDefault="00567501" w:rsidP="000059BF">
      <w:pPr>
        <w:pStyle w:val="CETBodytext"/>
        <w:rPr>
          <w:lang w:val="en-GB"/>
        </w:rPr>
      </w:pPr>
    </w:p>
    <w:p w:rsidR="000059BF" w:rsidRPr="000059BF" w:rsidRDefault="000059BF" w:rsidP="000059BF">
      <w:pPr>
        <w:pStyle w:val="CETBodytext"/>
        <w:rPr>
          <w:lang w:val="en-GB"/>
        </w:rPr>
      </w:pPr>
      <w:r w:rsidRPr="000059BF">
        <w:rPr>
          <w:lang w:val="en-GB"/>
        </w:rPr>
        <w:t>In particular, the goal is to evaluate the feasibility of using it as liquid fertilizer in the agricultural field. In particular, the reactor outlet is equipped with an ultrasonic cavitation apparatus for fluid homogenization and microbial inactivation</w:t>
      </w:r>
      <w:r w:rsidR="00567501">
        <w:rPr>
          <w:lang w:val="en-GB"/>
        </w:rPr>
        <w:t xml:space="preserve"> (</w:t>
      </w:r>
      <w:proofErr w:type="spellStart"/>
      <w:r w:rsidR="00567501">
        <w:rPr>
          <w:lang w:val="en-GB"/>
        </w:rPr>
        <w:t>Piyasena</w:t>
      </w:r>
      <w:proofErr w:type="spellEnd"/>
      <w:r w:rsidR="00567501">
        <w:rPr>
          <w:lang w:val="en-GB"/>
        </w:rPr>
        <w:t xml:space="preserve"> et al., 2003; Chen 2017)</w:t>
      </w:r>
      <w:r w:rsidRPr="000059BF">
        <w:rPr>
          <w:lang w:val="en-GB"/>
        </w:rPr>
        <w:t>, and of an electrostatic precipitator at the e</w:t>
      </w:r>
      <w:r>
        <w:rPr>
          <w:lang w:val="en-GB"/>
        </w:rPr>
        <w:t xml:space="preserve">ntrance of the gaseous stream. </w:t>
      </w:r>
      <w:r w:rsidR="00F97588">
        <w:rPr>
          <w:lang w:val="en-GB"/>
        </w:rPr>
        <w:t xml:space="preserve"> Th</w:t>
      </w:r>
      <w:r w:rsidRPr="000059BF">
        <w:rPr>
          <w:lang w:val="en-GB"/>
        </w:rPr>
        <w:t>e gaseous stream at the reactor was split by the outlet current from a diesel combustion boiler. The abatement capacity per pass was about 80% for the greenhouse gases.</w:t>
      </w:r>
      <w:r w:rsidR="00F97588">
        <w:rPr>
          <w:lang w:val="en-GB"/>
        </w:rPr>
        <w:t xml:space="preserve"> </w:t>
      </w:r>
      <w:r w:rsidRPr="000059BF">
        <w:rPr>
          <w:lang w:val="en-GB"/>
        </w:rPr>
        <w:t>After 1 months, 30 different sampling (CE n. 2003 of 13/10/2003, All. IV, Method A) were analysed with this purpose.</w:t>
      </w:r>
    </w:p>
    <w:p w:rsidR="000059BF" w:rsidRPr="000059BF" w:rsidRDefault="000059BF" w:rsidP="000059BF">
      <w:pPr>
        <w:pStyle w:val="CETBodytext"/>
        <w:rPr>
          <w:lang w:val="en-GB"/>
        </w:rPr>
      </w:pPr>
      <w:r w:rsidRPr="000059BF">
        <w:rPr>
          <w:lang w:val="en-GB"/>
        </w:rPr>
        <w:t>In particular, the procedure concerned:</w:t>
      </w:r>
    </w:p>
    <w:p w:rsidR="000059BF" w:rsidRPr="000059BF" w:rsidRDefault="000059BF" w:rsidP="000059BF">
      <w:pPr>
        <w:pStyle w:val="CETBodytext"/>
        <w:numPr>
          <w:ilvl w:val="0"/>
          <w:numId w:val="25"/>
        </w:numPr>
        <w:jc w:val="left"/>
        <w:rPr>
          <w:lang w:val="en-GB"/>
        </w:rPr>
      </w:pPr>
      <w:r w:rsidRPr="000059BF">
        <w:rPr>
          <w:lang w:val="en-GB"/>
        </w:rPr>
        <w:t>samples preparation</w:t>
      </w:r>
    </w:p>
    <w:p w:rsidR="000059BF" w:rsidRPr="000059BF" w:rsidRDefault="000059BF" w:rsidP="000059BF">
      <w:pPr>
        <w:pStyle w:val="CETBodytext"/>
        <w:numPr>
          <w:ilvl w:val="0"/>
          <w:numId w:val="25"/>
        </w:numPr>
        <w:jc w:val="left"/>
        <w:rPr>
          <w:lang w:val="en-GB"/>
        </w:rPr>
      </w:pPr>
      <w:r w:rsidRPr="000059BF">
        <w:rPr>
          <w:lang w:val="en-GB"/>
        </w:rPr>
        <w:t xml:space="preserve">determination of the nitrogen content </w:t>
      </w:r>
    </w:p>
    <w:p w:rsidR="000059BF" w:rsidRPr="000059BF" w:rsidRDefault="000059BF" w:rsidP="000059BF">
      <w:pPr>
        <w:pStyle w:val="CETBodytext"/>
        <w:numPr>
          <w:ilvl w:val="0"/>
          <w:numId w:val="25"/>
        </w:numPr>
        <w:jc w:val="left"/>
        <w:rPr>
          <w:lang w:val="en-GB"/>
        </w:rPr>
      </w:pPr>
      <w:r w:rsidRPr="000059BF">
        <w:rPr>
          <w:lang w:val="en-GB"/>
        </w:rPr>
        <w:t>determination of the total organic carbon content (TOC).</w:t>
      </w:r>
    </w:p>
    <w:p w:rsidR="000059BF" w:rsidRPr="000059BF" w:rsidRDefault="000059BF" w:rsidP="000059BF">
      <w:pPr>
        <w:pStyle w:val="CETheadingx"/>
      </w:pPr>
      <w:r w:rsidRPr="000059BF">
        <w:t>Sample preparation</w:t>
      </w:r>
    </w:p>
    <w:p w:rsidR="000059BF" w:rsidRDefault="00F97588" w:rsidP="000059BF">
      <w:pPr>
        <w:pStyle w:val="CETBodytext"/>
        <w:rPr>
          <w:lang w:val="en-GB"/>
        </w:rPr>
      </w:pPr>
      <w:r>
        <w:rPr>
          <w:lang w:val="en-GB"/>
        </w:rPr>
        <w:t xml:space="preserve">The procedure, </w:t>
      </w:r>
      <w:r w:rsidR="000059BF" w:rsidRPr="000059BF">
        <w:rPr>
          <w:lang w:val="en-GB"/>
        </w:rPr>
        <w:t>involves the following steps:</w:t>
      </w:r>
      <w:r w:rsidR="00DB4441">
        <w:rPr>
          <w:lang w:val="en-GB"/>
        </w:rPr>
        <w:t xml:space="preserve"> </w:t>
      </w:r>
      <w:r w:rsidR="000059BF" w:rsidRPr="000059BF">
        <w:rPr>
          <w:lang w:val="en-GB"/>
        </w:rPr>
        <w:t xml:space="preserve">preparation of the elementary sample (minimum number of samples 7): </w:t>
      </w:r>
      <w:r w:rsidR="00DB4441">
        <w:rPr>
          <w:lang w:val="en-GB"/>
        </w:rPr>
        <w:t xml:space="preserve"> </w:t>
      </w:r>
      <w:r w:rsidR="000059BF" w:rsidRPr="000059BF">
        <w:rPr>
          <w:lang w:val="en-GB"/>
        </w:rPr>
        <w:t>the fluid is divided into a number of roughly equal parts;</w:t>
      </w:r>
      <w:r w:rsidR="00DB4441">
        <w:rPr>
          <w:lang w:val="en-GB"/>
        </w:rPr>
        <w:t xml:space="preserve"> </w:t>
      </w:r>
      <w:r w:rsidR="000059BF" w:rsidRPr="000059BF">
        <w:rPr>
          <w:lang w:val="en-GB"/>
        </w:rPr>
        <w:tab/>
        <w:t>a number of parts corresponding to the number of elementary samples is randomly selected and at least one sample is taken from each part;</w:t>
      </w:r>
      <w:r w:rsidR="00DB4441">
        <w:rPr>
          <w:lang w:val="en-GB"/>
        </w:rPr>
        <w:t xml:space="preserve"> </w:t>
      </w:r>
      <w:r w:rsidR="000059BF" w:rsidRPr="000059BF">
        <w:rPr>
          <w:lang w:val="en-GB"/>
        </w:rPr>
        <w:tab/>
        <w:t>global sample formation: assembly of elementary samples to obtain a single global sample.</w:t>
      </w:r>
    </w:p>
    <w:p w:rsidR="00CF0658" w:rsidRPr="001A79DA" w:rsidRDefault="00CF0658" w:rsidP="00CF0658">
      <w:pPr>
        <w:spacing w:line="240" w:lineRule="auto"/>
        <w:jc w:val="left"/>
        <w:rPr>
          <w:rFonts w:eastAsiaTheme="majorEastAsia"/>
          <w:b/>
          <w:bCs/>
          <w:szCs w:val="24"/>
          <w:lang w:val="en-US"/>
        </w:rPr>
      </w:pPr>
    </w:p>
    <w:p w:rsidR="000059BF" w:rsidRPr="000059BF" w:rsidRDefault="000059BF" w:rsidP="000059BF">
      <w:pPr>
        <w:pStyle w:val="CETheadingx"/>
      </w:pPr>
      <w:r w:rsidRPr="000059BF">
        <w:lastRenderedPageBreak/>
        <w:t>Sample preparation for analysis</w:t>
      </w:r>
    </w:p>
    <w:p w:rsidR="000059BF" w:rsidRDefault="000059BF" w:rsidP="000059BF">
      <w:pPr>
        <w:pStyle w:val="CETBodytext"/>
        <w:rPr>
          <w:lang w:val="en-GB"/>
        </w:rPr>
      </w:pPr>
      <w:r w:rsidRPr="000059BF">
        <w:rPr>
          <w:lang w:val="en-GB"/>
        </w:rPr>
        <w:t xml:space="preserve">Once the final sample was obtained, which thanks to the procedure indicated by the EC Regulation represents a significant amount of the sample, it was subjected to a series of steps (Method 1 EN 1482-2), i.e.: sieving, grinding and homogenization (for fluid, liquid or suspended fertilizers it is prescribed a suitably homogenization at a temperature of 20 °C before analysis) </w:t>
      </w:r>
      <w:r w:rsidR="00DB4441">
        <w:rPr>
          <w:lang w:val="en-GB"/>
        </w:rPr>
        <w:t>.</w:t>
      </w:r>
    </w:p>
    <w:p w:rsidR="000059BF" w:rsidRPr="000059BF" w:rsidRDefault="000059BF" w:rsidP="000059BF">
      <w:pPr>
        <w:pStyle w:val="CETheadingx"/>
      </w:pPr>
      <w:r w:rsidRPr="000059BF">
        <w:t xml:space="preserve">Determination of the content of the different Nitrogen (N) forms </w:t>
      </w:r>
    </w:p>
    <w:p w:rsidR="000059BF" w:rsidRDefault="000059BF" w:rsidP="000059BF">
      <w:pPr>
        <w:pStyle w:val="CETBodytext"/>
        <w:rPr>
          <w:lang w:val="en-GB"/>
        </w:rPr>
      </w:pPr>
      <w:r w:rsidRPr="000059BF">
        <w:rPr>
          <w:lang w:val="en-GB"/>
        </w:rPr>
        <w:t xml:space="preserve">Nitrogen is a primary growth ingredient which can be found in numerous chemical compounds such as fertilizers, food, oils, water/wastewater, </w:t>
      </w:r>
      <w:proofErr w:type="spellStart"/>
      <w:r w:rsidRPr="000059BF">
        <w:rPr>
          <w:lang w:val="en-GB"/>
        </w:rPr>
        <w:t>etc</w:t>
      </w:r>
      <w:proofErr w:type="spellEnd"/>
      <w:r w:rsidRPr="000059BF">
        <w:rPr>
          <w:lang w:val="en-GB"/>
        </w:rPr>
        <w:t xml:space="preserve"> .... Nitrogen can be found in many forms, including: ammonia, organic, nitrate and nitrite forms. The two most common tests for nitrogen consist in the evaluation of organic and inorganic nitrogen. Organic nitrogen is the nitrogen of different organic compounds (amines, amides, imines, etc.) including albuminoidal nitrogen. Its presence in the waters is mainly due to substances with animal and vegetable origin, such as amino acids, polypeptides and proteins. For the determination of organic nitrogen content the procedure of Total </w:t>
      </w:r>
      <w:proofErr w:type="spellStart"/>
      <w:r w:rsidRPr="000059BF">
        <w:rPr>
          <w:lang w:val="en-GB"/>
        </w:rPr>
        <w:t>Kjeldahl</w:t>
      </w:r>
      <w:proofErr w:type="spellEnd"/>
      <w:r w:rsidRPr="000059BF">
        <w:rPr>
          <w:lang w:val="en-GB"/>
        </w:rPr>
        <w:t xml:space="preserve"> nitrogen (TKN, Total </w:t>
      </w:r>
      <w:proofErr w:type="spellStart"/>
      <w:r w:rsidRPr="000059BF">
        <w:rPr>
          <w:lang w:val="en-GB"/>
        </w:rPr>
        <w:t>Kjeldahl</w:t>
      </w:r>
      <w:proofErr w:type="spellEnd"/>
      <w:r w:rsidRPr="000059BF">
        <w:rPr>
          <w:lang w:val="en-GB"/>
        </w:rPr>
        <w:t xml:space="preserve"> Nitrogen) evaluation was used. TKN is defined as the sum of ammonia nitrogen and organic nitrogen, which are transformed into ammonium </w:t>
      </w:r>
      <w:proofErr w:type="spellStart"/>
      <w:r w:rsidRPr="000059BF">
        <w:rPr>
          <w:lang w:val="en-GB"/>
        </w:rPr>
        <w:t>sulfate</w:t>
      </w:r>
      <w:proofErr w:type="spellEnd"/>
      <w:r w:rsidRPr="000059BF">
        <w:rPr>
          <w:lang w:val="en-GB"/>
        </w:rPr>
        <w:t xml:space="preserve"> under the mineralization conditions adopted by the method:</w:t>
      </w: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4464"/>
      </w:tblGrid>
      <w:tr w:rsidR="00CF0658" w:rsidTr="00B7132D">
        <w:tc>
          <w:tcPr>
            <w:tcW w:w="4464" w:type="dxa"/>
          </w:tcPr>
          <w:p w:rsidR="00CF0658" w:rsidRPr="006E332E" w:rsidRDefault="006E332E" w:rsidP="00B7132D">
            <w:pPr>
              <w:spacing w:line="360" w:lineRule="auto"/>
              <w:jc w:val="center"/>
              <w:rPr>
                <w:rFonts w:eastAsia="Batang" w:cs="Arial"/>
                <w:szCs w:val="24"/>
                <w:lang w:val="en-US" w:eastAsia="ko-KR"/>
              </w:rPr>
            </w:pPr>
            <m:oMathPara>
              <m:oMath>
                <m:r>
                  <m:rPr>
                    <m:nor/>
                  </m:rPr>
                  <w:rPr>
                    <w:rFonts w:eastAsia="Batang" w:cs="Arial"/>
                    <w:szCs w:val="24"/>
                    <w:lang w:val="en-US" w:eastAsia="ko-KR"/>
                  </w:rPr>
                  <m:t xml:space="preserve">TKN=Organic </m:t>
                </m:r>
                <w:proofErr w:type="spellStart"/>
                <m:r>
                  <m:rPr>
                    <m:nor/>
                  </m:rPr>
                  <w:rPr>
                    <w:rFonts w:eastAsia="Batang" w:cs="Arial"/>
                    <w:szCs w:val="24"/>
                    <w:lang w:val="en-US" w:eastAsia="ko-KR"/>
                  </w:rPr>
                  <m:t>N+Ammoniacal</m:t>
                </m:r>
                <w:proofErr w:type="spellEnd"/>
                <m:r>
                  <m:rPr>
                    <m:nor/>
                  </m:rPr>
                  <w:rPr>
                    <w:rFonts w:eastAsia="Batang" w:cs="Arial"/>
                    <w:szCs w:val="24"/>
                    <w:lang w:val="en-US" w:eastAsia="ko-KR"/>
                  </w:rPr>
                  <m:t xml:space="preserve"> N</m:t>
                </m:r>
              </m:oMath>
            </m:oMathPara>
          </w:p>
        </w:tc>
        <w:tc>
          <w:tcPr>
            <w:tcW w:w="4464" w:type="dxa"/>
          </w:tcPr>
          <w:p w:rsidR="00CF0658" w:rsidRDefault="00CF0658" w:rsidP="00B7132D">
            <w:pPr>
              <w:spacing w:line="360" w:lineRule="auto"/>
              <w:jc w:val="right"/>
              <w:rPr>
                <w:szCs w:val="24"/>
                <w:lang w:val="en-US" w:eastAsia="ko-KR"/>
              </w:rPr>
            </w:pPr>
            <w:r>
              <w:rPr>
                <w:rFonts w:eastAsia="Calibri"/>
              </w:rPr>
              <w:t>(1)</w:t>
            </w:r>
          </w:p>
        </w:tc>
      </w:tr>
    </w:tbl>
    <w:p w:rsidR="000059BF" w:rsidRPr="000059BF" w:rsidRDefault="000059BF" w:rsidP="000059BF">
      <w:pPr>
        <w:pStyle w:val="CETBodytext"/>
        <w:rPr>
          <w:lang w:val="en-GB"/>
        </w:rPr>
      </w:pPr>
      <w:r w:rsidRPr="000059BF">
        <w:rPr>
          <w:lang w:val="en-GB"/>
        </w:rPr>
        <w:t>Following the procedure for TKN determination, the sum of ammonia N and organic N was determined by: (</w:t>
      </w:r>
      <w:proofErr w:type="spellStart"/>
      <w:r w:rsidRPr="000059BF">
        <w:rPr>
          <w:lang w:val="en-GB"/>
        </w:rPr>
        <w:t>i</w:t>
      </w:r>
      <w:proofErr w:type="spellEnd"/>
      <w:r w:rsidRPr="000059BF">
        <w:rPr>
          <w:lang w:val="en-GB"/>
        </w:rPr>
        <w:t xml:space="preserve">) digestion of the sample (mineralization); (ii) followed by distillation of ammonia and; (iii) titration with a reference solution of a strong acid or measurement by spectrophotometric method. </w:t>
      </w:r>
      <w:r w:rsidR="00CF0658">
        <w:rPr>
          <w:lang w:val="en-GB"/>
        </w:rPr>
        <w:t xml:space="preserve"> </w:t>
      </w:r>
      <w:r w:rsidRPr="000059BF">
        <w:rPr>
          <w:lang w:val="en-GB"/>
        </w:rPr>
        <w:t>After removal of free ammonia, the same procedure allows to evaluate the organic N.</w:t>
      </w:r>
      <w:r w:rsidR="00CF0658">
        <w:rPr>
          <w:lang w:val="en-GB"/>
        </w:rPr>
        <w:t xml:space="preserve"> </w:t>
      </w:r>
      <w:r w:rsidRPr="000059BF">
        <w:rPr>
          <w:lang w:val="en-GB"/>
        </w:rPr>
        <w:t xml:space="preserve">With this method, nitrates and nitrites are not determined. To determine nitrate and nitrite forms the residue of distillation of formed ammonia at the end of the TKN step (ii) can be used. </w:t>
      </w:r>
    </w:p>
    <w:p w:rsidR="000059BF" w:rsidRPr="000059BF" w:rsidRDefault="000059BF" w:rsidP="00A11181">
      <w:pPr>
        <w:pStyle w:val="CETheadingx"/>
      </w:pPr>
      <w:r w:rsidRPr="000059BF">
        <w:t xml:space="preserve">Determination in </w:t>
      </w:r>
      <w:proofErr w:type="spellStart"/>
      <w:r w:rsidRPr="000059BF">
        <w:t>Kjeldahl</w:t>
      </w:r>
      <w:proofErr w:type="spellEnd"/>
      <w:r w:rsidRPr="000059BF">
        <w:t xml:space="preserve"> total nitrogen content</w:t>
      </w:r>
    </w:p>
    <w:p w:rsidR="000059BF" w:rsidRPr="000059BF" w:rsidRDefault="000059BF" w:rsidP="00A11181">
      <w:pPr>
        <w:pStyle w:val="CETheadingx"/>
      </w:pPr>
      <w:r w:rsidRPr="000059BF">
        <w:t>Digestion process (Mineralization)</w:t>
      </w:r>
    </w:p>
    <w:p w:rsidR="000059BF" w:rsidRPr="000059BF" w:rsidRDefault="000059BF" w:rsidP="000059BF">
      <w:pPr>
        <w:pStyle w:val="CETBodytext"/>
        <w:rPr>
          <w:lang w:val="en-GB"/>
        </w:rPr>
      </w:pPr>
      <w:r w:rsidRPr="000059BF">
        <w:rPr>
          <w:lang w:val="en-GB"/>
        </w:rPr>
        <w:t xml:space="preserve">First of all TKN was determined according with </w:t>
      </w:r>
      <w:proofErr w:type="spellStart"/>
      <w:r w:rsidRPr="000059BF">
        <w:rPr>
          <w:lang w:val="en-GB"/>
        </w:rPr>
        <w:t>Dlg</w:t>
      </w:r>
      <w:proofErr w:type="spellEnd"/>
      <w:r w:rsidRPr="000059BF">
        <w:rPr>
          <w:lang w:val="en-GB"/>
        </w:rPr>
        <w:t xml:space="preserve">. 75/2010 and related </w:t>
      </w:r>
      <w:proofErr w:type="spellStart"/>
      <w:r w:rsidRPr="000059BF">
        <w:rPr>
          <w:lang w:val="en-GB"/>
        </w:rPr>
        <w:t>Annexs</w:t>
      </w:r>
      <w:proofErr w:type="spellEnd"/>
      <w:r w:rsidRPr="000059BF">
        <w:rPr>
          <w:lang w:val="en-GB"/>
        </w:rPr>
        <w:t>.</w:t>
      </w:r>
    </w:p>
    <w:p w:rsidR="000059BF" w:rsidRPr="000059BF" w:rsidRDefault="000059BF" w:rsidP="000059BF">
      <w:pPr>
        <w:pStyle w:val="CETBodytext"/>
        <w:rPr>
          <w:lang w:val="en-GB"/>
        </w:rPr>
      </w:pPr>
      <w:r w:rsidRPr="000059BF">
        <w:rPr>
          <w:lang w:val="en-GB"/>
        </w:rPr>
        <w:t xml:space="preserve">In details, the mineralization method is based on a complete oxidation of the sample with sulphuric acid and hydrogen peroxide to transform organic nitrogen into ammonia nitrogen. The procedure carried out is the following: 2.5 g of the collected sample and 11 mL of sulphuric acid (H2SO4, 96%) were added to a 300 mL flat-bottomed </w:t>
      </w:r>
      <w:proofErr w:type="spellStart"/>
      <w:r w:rsidRPr="000059BF">
        <w:rPr>
          <w:lang w:val="en-GB"/>
        </w:rPr>
        <w:t>Kjeldahl</w:t>
      </w:r>
      <w:proofErr w:type="spellEnd"/>
      <w:r w:rsidRPr="000059BF">
        <w:rPr>
          <w:lang w:val="en-GB"/>
        </w:rPr>
        <w:t xml:space="preserve"> flask. Then 4 mL of hydrogen peroxide (H2O2) were slowly added in anti-splash glass beads. At this point, the flask was brought to a boil with a Bunsen flame and left to boil for 30 min (see Figure 3). After 30 minutes the flask was cooled and 4 mL of hydrogen peroxide was added slowly through a funnel. Then the flask was heated again and kept boiling for 30 min. The flask was cooled and the suspension was sent into a 250 mL volumetric flask and brought to volume with water (H2O). Finally, the solution was homogenized and the solid particles were removed by decantation.</w:t>
      </w:r>
    </w:p>
    <w:p w:rsidR="000059BF" w:rsidRPr="000059BF" w:rsidRDefault="000059BF" w:rsidP="00A11181">
      <w:pPr>
        <w:pStyle w:val="CETheadingx"/>
      </w:pPr>
      <w:r w:rsidRPr="000059BF">
        <w:t>Distillation process</w:t>
      </w:r>
    </w:p>
    <w:p w:rsidR="000059BF" w:rsidRPr="000059BF" w:rsidRDefault="000059BF" w:rsidP="000059BF">
      <w:pPr>
        <w:pStyle w:val="CETBodytext"/>
        <w:rPr>
          <w:lang w:val="en-GB"/>
        </w:rPr>
      </w:pPr>
      <w:r w:rsidRPr="000059BF">
        <w:rPr>
          <w:lang w:val="en-GB"/>
        </w:rPr>
        <w:t xml:space="preserve">Distillation allows us to determine the nitrogen content after carefully mineralization of the sample considered. The distillation process was carried out as follows, 200 mL of the clear supernatant obtained after the mineralization was poured into a flask, to this supernatant 2 ÷ 3 pumice granules were, then, added. The flask was connected to the distillation apparatus (see Figure 3). Subsequently, 50 mL of the solution (0.01 molL-1) of the previously prepared sulphuric acid were transferred into a 500 mL </w:t>
      </w:r>
      <w:proofErr w:type="spellStart"/>
      <w:r w:rsidRPr="000059BF">
        <w:rPr>
          <w:lang w:val="en-GB"/>
        </w:rPr>
        <w:t>beker</w:t>
      </w:r>
      <w:proofErr w:type="spellEnd"/>
      <w:r w:rsidRPr="000059BF">
        <w:rPr>
          <w:lang w:val="en-GB"/>
        </w:rPr>
        <w:t>. At this point: the extension of the refrigerant was immersed in the sulphuric solution (the tip of the extension does not touch the bottom); the tap was opened to allow 30 mL of a previously prepared solution (300 gL-1) of sodium hydroxide to flow into the flask, all using the funnel placed above the flask. Before closing the tap, the funnel was washed with water, then it was closed and left full of water. After these operations, the distillation begins by boiling the solution in the flask with a Bunsen flame for 30 ÷ 45 min.</w:t>
      </w:r>
    </w:p>
    <w:p w:rsidR="000059BF" w:rsidRPr="000059BF" w:rsidRDefault="000059BF" w:rsidP="00A11181">
      <w:pPr>
        <w:pStyle w:val="CETheadingx"/>
      </w:pPr>
      <w:r w:rsidRPr="000059BF">
        <w:t>Quantification of ammonia by titration</w:t>
      </w:r>
    </w:p>
    <w:p w:rsidR="000059BF" w:rsidRPr="000059BF" w:rsidRDefault="000059BF" w:rsidP="000059BF">
      <w:pPr>
        <w:pStyle w:val="CETBodytext"/>
        <w:rPr>
          <w:lang w:val="en-GB"/>
        </w:rPr>
      </w:pPr>
      <w:r w:rsidRPr="000059BF">
        <w:rPr>
          <w:lang w:val="en-GB"/>
        </w:rPr>
        <w:t xml:space="preserve">The excess of sulphuric acid present in the </w:t>
      </w:r>
      <w:proofErr w:type="spellStart"/>
      <w:r w:rsidRPr="000059BF">
        <w:rPr>
          <w:lang w:val="en-GB"/>
        </w:rPr>
        <w:t>beker</w:t>
      </w:r>
      <w:proofErr w:type="spellEnd"/>
      <w:r w:rsidRPr="000059BF">
        <w:rPr>
          <w:lang w:val="en-GB"/>
        </w:rPr>
        <w:t xml:space="preserve"> after distillation was titrated with a solution (0.</w:t>
      </w:r>
      <w:r w:rsidR="00F97588">
        <w:rPr>
          <w:lang w:val="en-GB"/>
        </w:rPr>
        <w:t>02 molL-1) of sodium hydroxide</w:t>
      </w:r>
      <w:r w:rsidRPr="000059BF">
        <w:rPr>
          <w:lang w:val="en-GB"/>
        </w:rPr>
        <w:t xml:space="preserve">, the indicators used for the acid/base titration were: </w:t>
      </w:r>
      <w:proofErr w:type="spellStart"/>
      <w:r w:rsidRPr="000059BF">
        <w:rPr>
          <w:lang w:val="en-GB"/>
        </w:rPr>
        <w:t>bromocresol</w:t>
      </w:r>
      <w:proofErr w:type="spellEnd"/>
      <w:r w:rsidRPr="000059BF">
        <w:rPr>
          <w:lang w:val="en-GB"/>
        </w:rPr>
        <w:t xml:space="preserve"> green and methyl red. In particular, the indicator for basic acid titration was obtained by mixing 0.99 g of </w:t>
      </w:r>
      <w:proofErr w:type="spellStart"/>
      <w:r w:rsidRPr="000059BF">
        <w:rPr>
          <w:lang w:val="en-GB"/>
        </w:rPr>
        <w:t>bromocresol</w:t>
      </w:r>
      <w:proofErr w:type="spellEnd"/>
      <w:r w:rsidRPr="000059BF">
        <w:rPr>
          <w:lang w:val="en-GB"/>
        </w:rPr>
        <w:t xml:space="preserve"> green (C</w:t>
      </w:r>
      <w:r w:rsidRPr="00DB4441">
        <w:rPr>
          <w:vertAlign w:val="subscript"/>
          <w:lang w:val="en-GB"/>
        </w:rPr>
        <w:t>21</w:t>
      </w:r>
      <w:r w:rsidRPr="000059BF">
        <w:rPr>
          <w:lang w:val="en-GB"/>
        </w:rPr>
        <w:t>H</w:t>
      </w:r>
      <w:r w:rsidRPr="00DB4441">
        <w:rPr>
          <w:vertAlign w:val="subscript"/>
          <w:lang w:val="en-GB"/>
        </w:rPr>
        <w:t>14</w:t>
      </w:r>
      <w:r w:rsidRPr="000059BF">
        <w:rPr>
          <w:lang w:val="en-GB"/>
        </w:rPr>
        <w:t>O</w:t>
      </w:r>
      <w:r w:rsidRPr="00DB4441">
        <w:rPr>
          <w:vertAlign w:val="subscript"/>
          <w:lang w:val="en-GB"/>
        </w:rPr>
        <w:t>5</w:t>
      </w:r>
      <w:r w:rsidRPr="000059BF">
        <w:rPr>
          <w:lang w:val="en-GB"/>
        </w:rPr>
        <w:t>Br</w:t>
      </w:r>
      <w:r w:rsidRPr="00DB4441">
        <w:rPr>
          <w:vertAlign w:val="subscript"/>
          <w:lang w:val="en-GB"/>
        </w:rPr>
        <w:t>4</w:t>
      </w:r>
      <w:r w:rsidRPr="000059BF">
        <w:rPr>
          <w:lang w:val="en-GB"/>
        </w:rPr>
        <w:t>S) and 0.66 g of methyl red (C</w:t>
      </w:r>
      <w:r w:rsidRPr="00DB4441">
        <w:rPr>
          <w:vertAlign w:val="subscript"/>
          <w:lang w:val="en-GB"/>
        </w:rPr>
        <w:t>15</w:t>
      </w:r>
      <w:r w:rsidRPr="000059BF">
        <w:rPr>
          <w:lang w:val="en-GB"/>
        </w:rPr>
        <w:t>H</w:t>
      </w:r>
      <w:r w:rsidRPr="00DB4441">
        <w:rPr>
          <w:vertAlign w:val="subscript"/>
          <w:lang w:val="en-GB"/>
        </w:rPr>
        <w:t>15</w:t>
      </w:r>
      <w:r w:rsidRPr="000059BF">
        <w:rPr>
          <w:lang w:val="en-GB"/>
        </w:rPr>
        <w:t>N</w:t>
      </w:r>
      <w:r w:rsidRPr="00DB4441">
        <w:rPr>
          <w:vertAlign w:val="subscript"/>
          <w:lang w:val="en-GB"/>
        </w:rPr>
        <w:t>3</w:t>
      </w:r>
      <w:r w:rsidRPr="000059BF">
        <w:rPr>
          <w:lang w:val="en-GB"/>
        </w:rPr>
        <w:t>O</w:t>
      </w:r>
      <w:r w:rsidRPr="00DB4441">
        <w:rPr>
          <w:vertAlign w:val="subscript"/>
          <w:lang w:val="en-GB"/>
        </w:rPr>
        <w:t>2</w:t>
      </w:r>
      <w:r w:rsidRPr="000059BF">
        <w:rPr>
          <w:lang w:val="en-GB"/>
        </w:rPr>
        <w:t>) in 1000 ml of ethanol. After the titration the evaluation of the total nitrogen content was calculated according to the following expression:</w:t>
      </w:r>
    </w:p>
    <w:p w:rsidR="00CF0658" w:rsidRDefault="00CF0658" w:rsidP="000059BF">
      <w:pPr>
        <w:pStyle w:val="CETBodytext"/>
        <w:rPr>
          <w:lang w:val="en-GB"/>
        </w:rPr>
      </w:pPr>
    </w:p>
    <w:tbl>
      <w:tblPr>
        <w:tblStyle w:val="Grigliatabel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F0658" w:rsidRPr="00CF0658" w:rsidTr="00B7132D">
        <w:tc>
          <w:tcPr>
            <w:tcW w:w="4463" w:type="dxa"/>
          </w:tcPr>
          <w:p w:rsidR="00CF0658" w:rsidRPr="00CF0658" w:rsidRDefault="006E332E" w:rsidP="00CF0658">
            <w:pPr>
              <w:tabs>
                <w:tab w:val="clear" w:pos="7100"/>
              </w:tabs>
              <w:spacing w:line="360" w:lineRule="auto"/>
              <w:rPr>
                <w:rFonts w:eastAsia="Calibri" w:cs="Arial"/>
                <w:szCs w:val="18"/>
              </w:rPr>
            </w:pPr>
            <m:oMathPara>
              <m:oMath>
                <m:r>
                  <m:rPr>
                    <m:nor/>
                  </m:rPr>
                  <w:rPr>
                    <w:rFonts w:eastAsia="Calibri" w:cs="Arial"/>
                    <w:szCs w:val="18"/>
                  </w:rPr>
                  <w:lastRenderedPageBreak/>
                  <m:t>TKN=</m:t>
                </m:r>
                <m:f>
                  <m:fPr>
                    <m:ctrlPr>
                      <w:rPr>
                        <w:rFonts w:ascii="Cambria Math" w:eastAsia="Calibri" w:hAnsi="Cambria Math" w:cs="Arial"/>
                        <w:i/>
                        <w:szCs w:val="18"/>
                      </w:rPr>
                    </m:ctrlPr>
                  </m:fPr>
                  <m:num>
                    <m:r>
                      <m:rPr>
                        <m:nor/>
                      </m:rPr>
                      <w:rPr>
                        <w:rFonts w:eastAsia="Calibri" w:cs="Arial"/>
                        <w:szCs w:val="18"/>
                      </w:rPr>
                      <m:t>B*</m:t>
                    </m:r>
                    <m:d>
                      <m:dPr>
                        <m:ctrlPr>
                          <w:rPr>
                            <w:rFonts w:ascii="Cambria Math" w:eastAsia="Calibri" w:hAnsi="Cambria Math" w:cs="Arial"/>
                            <w:i/>
                            <w:szCs w:val="18"/>
                          </w:rPr>
                        </m:ctrlPr>
                      </m:dPr>
                      <m:e>
                        <m:r>
                          <m:rPr>
                            <m:nor/>
                          </m:rPr>
                          <w:rPr>
                            <w:rFonts w:eastAsia="Calibri" w:cs="Arial"/>
                            <w:szCs w:val="18"/>
                          </w:rPr>
                          <m:t>K-</m:t>
                        </m:r>
                        <m:sSub>
                          <m:sSubPr>
                            <m:ctrlPr>
                              <w:rPr>
                                <w:rFonts w:ascii="Cambria Math" w:eastAsia="Calibri" w:hAnsi="Cambria Math" w:cs="Arial"/>
                                <w:i/>
                                <w:szCs w:val="18"/>
                              </w:rPr>
                            </m:ctrlPr>
                          </m:sSubPr>
                          <m:e>
                            <m:r>
                              <m:rPr>
                                <m:nor/>
                              </m:rPr>
                              <w:rPr>
                                <w:rFonts w:eastAsia="Calibri" w:cs="Arial"/>
                                <w:szCs w:val="18"/>
                              </w:rPr>
                              <m:t>B</m:t>
                            </m:r>
                          </m:e>
                          <m:sub>
                            <m:r>
                              <m:rPr>
                                <m:nor/>
                              </m:rPr>
                              <w:rPr>
                                <w:rFonts w:eastAsia="Calibri" w:cs="Arial"/>
                                <w:szCs w:val="18"/>
                              </w:rPr>
                              <m:t xml:space="preserve">1 </m:t>
                            </m:r>
                          </m:sub>
                        </m:sSub>
                      </m:e>
                    </m:d>
                    <m:r>
                      <m:rPr>
                        <m:nor/>
                      </m:rPr>
                      <w:rPr>
                        <w:rFonts w:eastAsia="Calibri" w:cs="Arial"/>
                        <w:szCs w:val="18"/>
                      </w:rPr>
                      <m:t>*</m:t>
                    </m:r>
                    <m:sSub>
                      <m:sSubPr>
                        <m:ctrlPr>
                          <w:rPr>
                            <w:rFonts w:ascii="Cambria Math" w:eastAsia="Calibri" w:hAnsi="Cambria Math" w:cs="Arial"/>
                            <w:i/>
                            <w:szCs w:val="18"/>
                          </w:rPr>
                        </m:ctrlPr>
                      </m:sSubPr>
                      <m:e>
                        <m:r>
                          <m:rPr>
                            <m:nor/>
                          </m:rPr>
                          <w:rPr>
                            <w:rFonts w:eastAsia="Calibri" w:cs="Arial"/>
                            <w:szCs w:val="18"/>
                          </w:rPr>
                          <m:t>K</m:t>
                        </m:r>
                      </m:e>
                      <m:sub>
                        <m:r>
                          <m:rPr>
                            <m:nor/>
                          </m:rPr>
                          <w:rPr>
                            <w:rFonts w:eastAsia="Calibri" w:cs="Arial"/>
                            <w:szCs w:val="18"/>
                          </w:rPr>
                          <m:t>1</m:t>
                        </m:r>
                      </m:sub>
                    </m:sSub>
                    <m:r>
                      <m:rPr>
                        <m:nor/>
                      </m:rPr>
                      <w:rPr>
                        <w:rFonts w:eastAsia="Calibri" w:cs="Arial"/>
                        <w:szCs w:val="18"/>
                      </w:rPr>
                      <m:t>*0.28*D</m:t>
                    </m:r>
                  </m:num>
                  <m:den>
                    <m:r>
                      <m:rPr>
                        <m:nor/>
                      </m:rPr>
                      <w:rPr>
                        <w:rFonts w:eastAsia="Calibri" w:cs="Arial"/>
                        <w:szCs w:val="18"/>
                      </w:rPr>
                      <m:t>V</m:t>
                    </m:r>
                  </m:den>
                </m:f>
              </m:oMath>
            </m:oMathPara>
          </w:p>
        </w:tc>
        <w:tc>
          <w:tcPr>
            <w:tcW w:w="4464" w:type="dxa"/>
          </w:tcPr>
          <w:p w:rsidR="00CF0658" w:rsidRPr="00CF0658" w:rsidRDefault="00CF0658" w:rsidP="00CF0658">
            <w:pPr>
              <w:tabs>
                <w:tab w:val="clear" w:pos="7100"/>
              </w:tabs>
              <w:spacing w:line="360" w:lineRule="auto"/>
              <w:jc w:val="right"/>
              <w:rPr>
                <w:rFonts w:ascii="Times New Roman" w:eastAsia="Calibri" w:hAnsi="Times New Roman"/>
                <w:szCs w:val="18"/>
              </w:rPr>
            </w:pPr>
            <w:r w:rsidRPr="00CF0658">
              <w:rPr>
                <w:rFonts w:ascii="Times New Roman" w:eastAsia="Calibri" w:hAnsi="Times New Roman"/>
                <w:szCs w:val="18"/>
              </w:rPr>
              <w:t>(2)</w:t>
            </w:r>
          </w:p>
        </w:tc>
      </w:tr>
    </w:tbl>
    <w:p w:rsidR="00CF0658" w:rsidRDefault="00CF0658" w:rsidP="000059BF">
      <w:pPr>
        <w:pStyle w:val="CETBodytext"/>
        <w:rPr>
          <w:lang w:val="en-GB"/>
        </w:rPr>
      </w:pPr>
    </w:p>
    <w:p w:rsidR="000059BF" w:rsidRPr="000059BF" w:rsidRDefault="000059BF" w:rsidP="000059BF">
      <w:pPr>
        <w:pStyle w:val="CETBodytext"/>
        <w:rPr>
          <w:lang w:val="en-GB"/>
        </w:rPr>
      </w:pPr>
      <w:r w:rsidRPr="000059BF">
        <w:rPr>
          <w:lang w:val="en-GB"/>
        </w:rPr>
        <w:t>where:</w:t>
      </w:r>
    </w:p>
    <w:p w:rsidR="000059BF" w:rsidRPr="000059BF" w:rsidRDefault="000059BF" w:rsidP="000059BF">
      <w:pPr>
        <w:pStyle w:val="CETBodytext"/>
        <w:rPr>
          <w:lang w:val="en-GB"/>
        </w:rPr>
      </w:pPr>
      <w:r w:rsidRPr="000059BF">
        <w:rPr>
          <w:lang w:val="en-GB"/>
        </w:rPr>
        <w:t>TKN = total nitrogen content present, expressed in g/L;</w:t>
      </w:r>
    </w:p>
    <w:p w:rsidR="000059BF" w:rsidRPr="000059BF" w:rsidRDefault="000059BF" w:rsidP="000059BF">
      <w:pPr>
        <w:pStyle w:val="CETBodytext"/>
        <w:rPr>
          <w:lang w:val="en-GB"/>
        </w:rPr>
      </w:pPr>
      <w:r w:rsidRPr="000059BF">
        <w:rPr>
          <w:lang w:val="en-GB"/>
        </w:rPr>
        <w:t>B = volume of the sulphuric acid solution (0.01 molL-1), expressed in millilitres (50 mL);</w:t>
      </w:r>
    </w:p>
    <w:p w:rsidR="000059BF" w:rsidRPr="000059BF" w:rsidRDefault="000059BF" w:rsidP="000059BF">
      <w:pPr>
        <w:pStyle w:val="CETBodytext"/>
        <w:rPr>
          <w:lang w:val="en-GB"/>
        </w:rPr>
      </w:pPr>
      <w:r w:rsidRPr="000059BF">
        <w:rPr>
          <w:lang w:val="en-GB"/>
        </w:rPr>
        <w:t>K = correction factor of the sulphuric acid solution (0.01 molL-1);</w:t>
      </w:r>
    </w:p>
    <w:p w:rsidR="000059BF" w:rsidRPr="000059BF" w:rsidRDefault="000059BF" w:rsidP="000059BF">
      <w:pPr>
        <w:pStyle w:val="CETBodytext"/>
        <w:rPr>
          <w:lang w:val="en-GB"/>
        </w:rPr>
      </w:pPr>
      <w:r w:rsidRPr="000059BF">
        <w:rPr>
          <w:lang w:val="en-GB"/>
        </w:rPr>
        <w:t>B1 = volume of the sodium (or potassium) hydroxide solution (0.02 molL-1) expressed in millilitres;</w:t>
      </w:r>
    </w:p>
    <w:p w:rsidR="000059BF" w:rsidRPr="000059BF" w:rsidRDefault="000059BF" w:rsidP="000059BF">
      <w:pPr>
        <w:pStyle w:val="CETBodytext"/>
        <w:rPr>
          <w:lang w:val="en-GB"/>
        </w:rPr>
      </w:pPr>
      <w:r w:rsidRPr="000059BF">
        <w:rPr>
          <w:lang w:val="en-GB"/>
        </w:rPr>
        <w:t>K1 = correction factor of the sodium hydroxide solution (0.02 molL-1);</w:t>
      </w:r>
    </w:p>
    <w:p w:rsidR="000059BF" w:rsidRPr="000059BF" w:rsidRDefault="000059BF" w:rsidP="000059BF">
      <w:pPr>
        <w:pStyle w:val="CETBodytext"/>
        <w:rPr>
          <w:lang w:val="en-GB"/>
        </w:rPr>
      </w:pPr>
      <w:r w:rsidRPr="000059BF">
        <w:rPr>
          <w:lang w:val="en-GB"/>
        </w:rPr>
        <w:t>0.28 = volumetric equivalent • 1000;</w:t>
      </w:r>
    </w:p>
    <w:p w:rsidR="000059BF" w:rsidRPr="000059BF" w:rsidRDefault="000059BF" w:rsidP="000059BF">
      <w:pPr>
        <w:pStyle w:val="CETBodytext"/>
        <w:rPr>
          <w:lang w:val="en-GB"/>
        </w:rPr>
      </w:pPr>
      <w:r w:rsidRPr="000059BF">
        <w:rPr>
          <w:lang w:val="en-GB"/>
        </w:rPr>
        <w:t>D = dilution factor (250 mL / 200 mL = 1.25)</w:t>
      </w:r>
    </w:p>
    <w:p w:rsidR="000059BF" w:rsidRDefault="000059BF" w:rsidP="000059BF">
      <w:pPr>
        <w:pStyle w:val="CETBodytext"/>
        <w:rPr>
          <w:lang w:val="en-GB"/>
        </w:rPr>
      </w:pPr>
      <w:r w:rsidRPr="000059BF">
        <w:rPr>
          <w:lang w:val="en-GB"/>
        </w:rPr>
        <w:t>V = sample volume</w:t>
      </w:r>
    </w:p>
    <w:p w:rsidR="000059BF" w:rsidRPr="000059BF" w:rsidRDefault="000059BF" w:rsidP="00A11181">
      <w:pPr>
        <w:pStyle w:val="CETheadingx"/>
      </w:pPr>
      <w:r w:rsidRPr="000059BF">
        <w:t>Determination of the organic nitrogen content</w:t>
      </w:r>
    </w:p>
    <w:p w:rsidR="00A11181" w:rsidRPr="000059BF" w:rsidRDefault="000059BF" w:rsidP="000059BF">
      <w:pPr>
        <w:pStyle w:val="CETBodytext"/>
        <w:rPr>
          <w:lang w:val="en-GB"/>
        </w:rPr>
      </w:pPr>
      <w:r w:rsidRPr="000059BF">
        <w:rPr>
          <w:lang w:val="en-GB"/>
        </w:rPr>
        <w:t xml:space="preserve">For organic nitrogen the sample under test is subjected to a process of distillation of the free ammonia before submitting it to the digestion process according to the </w:t>
      </w:r>
      <w:proofErr w:type="spellStart"/>
      <w:r w:rsidRPr="000059BF">
        <w:rPr>
          <w:lang w:val="en-GB"/>
        </w:rPr>
        <w:t>Kjeldhal</w:t>
      </w:r>
      <w:proofErr w:type="spellEnd"/>
      <w:r w:rsidRPr="000059BF">
        <w:rPr>
          <w:lang w:val="en-GB"/>
        </w:rPr>
        <w:t xml:space="preserve"> methodology. The procedure performed for the removal of free ammonia was as follows: a known volume of the sample diluted with water and neutralized at pH = 7 was introduced into a </w:t>
      </w:r>
      <w:proofErr w:type="spellStart"/>
      <w:r w:rsidRPr="000059BF">
        <w:rPr>
          <w:lang w:val="en-GB"/>
        </w:rPr>
        <w:t>Kjeldahl</w:t>
      </w:r>
      <w:proofErr w:type="spellEnd"/>
      <w:r w:rsidRPr="000059BF">
        <w:rPr>
          <w:lang w:val="en-GB"/>
        </w:rPr>
        <w:t xml:space="preserve"> flask; then, 25 ml of previously prepared borate buffer solution and </w:t>
      </w:r>
      <w:proofErr w:type="spellStart"/>
      <w:r w:rsidRPr="000059BF">
        <w:rPr>
          <w:lang w:val="en-GB"/>
        </w:rPr>
        <w:t>NaOH</w:t>
      </w:r>
      <w:proofErr w:type="spellEnd"/>
      <w:r w:rsidRPr="000059BF">
        <w:rPr>
          <w:lang w:val="en-GB"/>
        </w:rPr>
        <w:t xml:space="preserve"> 6 N were added until a pH of 9.5 was achieved; after that the free ammonia was distilled, up to distillate no longer reacts positively with the </w:t>
      </w:r>
      <w:proofErr w:type="spellStart"/>
      <w:r w:rsidRPr="000059BF">
        <w:rPr>
          <w:lang w:val="en-GB"/>
        </w:rPr>
        <w:t>Nessler</w:t>
      </w:r>
      <w:proofErr w:type="spellEnd"/>
      <w:r w:rsidRPr="000059BF">
        <w:rPr>
          <w:lang w:val="en-GB"/>
        </w:rPr>
        <w:t xml:space="preserve"> reagent. The solution left after ammonia distillation was used for the determination of organic nitrogen. Once the digestion process has been carried out as described above, the distillation was then promoted by connecting the </w:t>
      </w:r>
      <w:proofErr w:type="spellStart"/>
      <w:r w:rsidRPr="000059BF">
        <w:rPr>
          <w:lang w:val="en-GB"/>
        </w:rPr>
        <w:t>Kjeldahl</w:t>
      </w:r>
      <w:proofErr w:type="spellEnd"/>
      <w:r w:rsidRPr="000059BF">
        <w:rPr>
          <w:lang w:val="en-GB"/>
        </w:rPr>
        <w:t xml:space="preserve"> flask to the distillation apparatus as described in the previous paragraph.</w:t>
      </w:r>
    </w:p>
    <w:p w:rsidR="000059BF" w:rsidRPr="000059BF" w:rsidRDefault="000059BF" w:rsidP="000059BF">
      <w:pPr>
        <w:pStyle w:val="CETBodytext"/>
        <w:rPr>
          <w:lang w:val="en-GB"/>
        </w:rPr>
      </w:pPr>
      <w:r w:rsidRPr="000059BF">
        <w:rPr>
          <w:lang w:val="en-GB"/>
        </w:rPr>
        <w:t>The organic nitrogen content was obtained by:</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1731"/>
      </w:tblGrid>
      <w:tr w:rsidR="00590D6C" w:rsidRPr="00C63530" w:rsidTr="00B7132D">
        <w:tc>
          <w:tcPr>
            <w:tcW w:w="7196" w:type="dxa"/>
          </w:tcPr>
          <w:p w:rsidR="00590D6C" w:rsidRPr="006E332E" w:rsidRDefault="006E332E" w:rsidP="00B7132D">
            <w:pPr>
              <w:spacing w:line="360" w:lineRule="auto"/>
              <w:rPr>
                <w:rFonts w:eastAsia="Calibri" w:cs="Arial"/>
              </w:rPr>
            </w:pPr>
            <m:oMathPara>
              <m:oMathParaPr>
                <m:jc m:val="left"/>
              </m:oMathParaPr>
              <m:oMath>
                <m:r>
                  <m:rPr>
                    <m:nor/>
                  </m:rPr>
                  <w:rPr>
                    <w:rFonts w:eastAsia="Calibri" w:cs="Arial"/>
                  </w:rPr>
                  <m:t>Organic N=C=</m:t>
                </m:r>
                <m:f>
                  <m:fPr>
                    <m:ctrlPr>
                      <w:rPr>
                        <w:rFonts w:ascii="Cambria Math" w:eastAsia="Calibri" w:hAnsi="Cambria Math" w:cs="Arial"/>
                        <w:i/>
                      </w:rPr>
                    </m:ctrlPr>
                  </m:fPr>
                  <m:num>
                    <m:r>
                      <m:rPr>
                        <m:nor/>
                      </m:rPr>
                      <w:rPr>
                        <w:rFonts w:eastAsia="Calibri" w:cs="Arial"/>
                      </w:rPr>
                      <m:t>B*</m:t>
                    </m:r>
                    <m:d>
                      <m:dPr>
                        <m:ctrlPr>
                          <w:rPr>
                            <w:rFonts w:ascii="Cambria Math" w:eastAsia="Calibri" w:hAnsi="Cambria Math" w:cs="Arial"/>
                            <w:i/>
                          </w:rPr>
                        </m:ctrlPr>
                      </m:dPr>
                      <m:e>
                        <m:r>
                          <m:rPr>
                            <m:nor/>
                          </m:rPr>
                          <w:rPr>
                            <w:rFonts w:eastAsia="Calibri" w:cs="Arial"/>
                          </w:rPr>
                          <m:t>K-</m:t>
                        </m:r>
                        <m:sSub>
                          <m:sSubPr>
                            <m:ctrlPr>
                              <w:rPr>
                                <w:rFonts w:ascii="Cambria Math" w:eastAsia="Calibri" w:hAnsi="Cambria Math" w:cs="Arial"/>
                                <w:i/>
                              </w:rPr>
                            </m:ctrlPr>
                          </m:sSubPr>
                          <m:e>
                            <m:r>
                              <m:rPr>
                                <m:nor/>
                              </m:rPr>
                              <w:rPr>
                                <w:rFonts w:eastAsia="Calibri" w:cs="Arial"/>
                              </w:rPr>
                              <m:t>B</m:t>
                            </m:r>
                          </m:e>
                          <m:sub>
                            <m:r>
                              <m:rPr>
                                <m:nor/>
                              </m:rPr>
                              <w:rPr>
                                <w:rFonts w:eastAsia="Calibri" w:cs="Arial"/>
                              </w:rPr>
                              <m:t>1</m:t>
                            </m:r>
                            <m:r>
                              <w:rPr>
                                <w:rFonts w:ascii="Cambria Math" w:eastAsia="Calibri" w:hAnsi="Cambria Math" w:cs="Arial"/>
                              </w:rPr>
                              <m:t xml:space="preserve"> </m:t>
                            </m:r>
                          </m:sub>
                        </m:sSub>
                      </m:e>
                    </m:d>
                    <m:r>
                      <m:rPr>
                        <m:nor/>
                      </m:rPr>
                      <w:rPr>
                        <w:rFonts w:eastAsia="Calibri" w:cs="Arial"/>
                      </w:rPr>
                      <m:t>*</m:t>
                    </m:r>
                    <m:sSub>
                      <m:sSubPr>
                        <m:ctrlPr>
                          <w:rPr>
                            <w:rFonts w:ascii="Cambria Math" w:eastAsia="Calibri" w:hAnsi="Cambria Math" w:cs="Arial"/>
                            <w:i/>
                          </w:rPr>
                        </m:ctrlPr>
                      </m:sSubPr>
                      <m:e>
                        <m:r>
                          <m:rPr>
                            <m:nor/>
                          </m:rPr>
                          <w:rPr>
                            <w:rFonts w:eastAsia="Calibri" w:cs="Arial"/>
                          </w:rPr>
                          <m:t>K</m:t>
                        </m:r>
                      </m:e>
                      <m:sub>
                        <m:r>
                          <m:rPr>
                            <m:nor/>
                          </m:rPr>
                          <w:rPr>
                            <w:rFonts w:eastAsia="Calibri" w:cs="Arial"/>
                          </w:rPr>
                          <m:t>1</m:t>
                        </m:r>
                      </m:sub>
                    </m:sSub>
                    <m:r>
                      <m:rPr>
                        <m:nor/>
                      </m:rPr>
                      <w:rPr>
                        <w:rFonts w:eastAsia="Calibri" w:cs="Arial"/>
                      </w:rPr>
                      <m:t>*0.28*D</m:t>
                    </m:r>
                  </m:num>
                  <m:den>
                    <m:r>
                      <m:rPr>
                        <m:nor/>
                      </m:rPr>
                      <w:rPr>
                        <w:rFonts w:eastAsia="Calibri" w:cs="Arial"/>
                      </w:rPr>
                      <m:t>V</m:t>
                    </m:r>
                  </m:den>
                </m:f>
              </m:oMath>
            </m:oMathPara>
          </w:p>
        </w:tc>
        <w:tc>
          <w:tcPr>
            <w:tcW w:w="1731" w:type="dxa"/>
          </w:tcPr>
          <w:p w:rsidR="00590D6C" w:rsidRPr="00C63530" w:rsidRDefault="00590D6C" w:rsidP="00B7132D">
            <w:pPr>
              <w:spacing w:line="360" w:lineRule="auto"/>
              <w:jc w:val="right"/>
              <w:rPr>
                <w:rFonts w:eastAsia="Calibri"/>
              </w:rPr>
            </w:pPr>
            <w:r w:rsidRPr="00C63530">
              <w:rPr>
                <w:rFonts w:eastAsia="Calibri"/>
              </w:rPr>
              <w:t>(</w:t>
            </w:r>
            <w:r>
              <w:rPr>
                <w:rFonts w:eastAsia="Calibri"/>
              </w:rPr>
              <w:t>3</w:t>
            </w:r>
            <w:r w:rsidRPr="00C63530">
              <w:rPr>
                <w:rFonts w:eastAsia="Calibri"/>
              </w:rPr>
              <w:t>)</w:t>
            </w:r>
          </w:p>
        </w:tc>
      </w:tr>
    </w:tbl>
    <w:p w:rsidR="000059BF" w:rsidRPr="000059BF" w:rsidRDefault="000059BF" w:rsidP="000059BF">
      <w:pPr>
        <w:pStyle w:val="CETBodytext"/>
        <w:rPr>
          <w:lang w:val="en-GB"/>
        </w:rPr>
      </w:pPr>
      <w:r w:rsidRPr="000059BF">
        <w:rPr>
          <w:lang w:val="en-GB"/>
        </w:rPr>
        <w:t xml:space="preserve">where: </w:t>
      </w:r>
    </w:p>
    <w:p w:rsidR="000059BF" w:rsidRPr="000059BF" w:rsidRDefault="000059BF" w:rsidP="000059BF">
      <w:pPr>
        <w:pStyle w:val="CETBodytext"/>
        <w:rPr>
          <w:lang w:val="en-GB"/>
        </w:rPr>
      </w:pPr>
      <w:r w:rsidRPr="000059BF">
        <w:rPr>
          <w:lang w:val="en-GB"/>
        </w:rPr>
        <w:t>C = total nitrogen content present, expressed in g / L;</w:t>
      </w:r>
    </w:p>
    <w:p w:rsidR="000059BF" w:rsidRPr="000059BF" w:rsidRDefault="000059BF" w:rsidP="000059BF">
      <w:pPr>
        <w:pStyle w:val="CETBodytext"/>
        <w:rPr>
          <w:lang w:val="en-GB"/>
        </w:rPr>
      </w:pPr>
      <w:r w:rsidRPr="000059BF">
        <w:rPr>
          <w:lang w:val="en-GB"/>
        </w:rPr>
        <w:t>B = volume of the solution (0.01 molL-1) of sulphuric acid, expressed in millilitres (50 mL);</w:t>
      </w:r>
    </w:p>
    <w:p w:rsidR="000059BF" w:rsidRPr="000059BF" w:rsidRDefault="000059BF" w:rsidP="000059BF">
      <w:pPr>
        <w:pStyle w:val="CETBodytext"/>
        <w:rPr>
          <w:lang w:val="en-GB"/>
        </w:rPr>
      </w:pPr>
      <w:r w:rsidRPr="000059BF">
        <w:rPr>
          <w:lang w:val="en-GB"/>
        </w:rPr>
        <w:t>K = correction factor of the solution (0.01 molL-1) of sulphuric acid;</w:t>
      </w:r>
    </w:p>
    <w:p w:rsidR="000059BF" w:rsidRPr="000059BF" w:rsidRDefault="000059BF" w:rsidP="000059BF">
      <w:pPr>
        <w:pStyle w:val="CETBodytext"/>
        <w:rPr>
          <w:lang w:val="en-GB"/>
        </w:rPr>
      </w:pPr>
      <w:r w:rsidRPr="000059BF">
        <w:rPr>
          <w:lang w:val="en-GB"/>
        </w:rPr>
        <w:t>B1 = volume of the solution (0.02 molL-1) of sodium hydroxide expressed in millilitres;</w:t>
      </w:r>
    </w:p>
    <w:p w:rsidR="000059BF" w:rsidRPr="000059BF" w:rsidRDefault="000059BF" w:rsidP="000059BF">
      <w:pPr>
        <w:pStyle w:val="CETBodytext"/>
        <w:rPr>
          <w:lang w:val="en-GB"/>
        </w:rPr>
      </w:pPr>
      <w:r w:rsidRPr="000059BF">
        <w:rPr>
          <w:lang w:val="en-GB"/>
        </w:rPr>
        <w:t>K1 = correction factor of the solution (0.02 molL-1) of sodium hydroxide;</w:t>
      </w:r>
    </w:p>
    <w:p w:rsidR="000059BF" w:rsidRPr="000059BF" w:rsidRDefault="000059BF" w:rsidP="000059BF">
      <w:pPr>
        <w:pStyle w:val="CETBodytext"/>
        <w:rPr>
          <w:lang w:val="en-GB"/>
        </w:rPr>
      </w:pPr>
      <w:r w:rsidRPr="000059BF">
        <w:rPr>
          <w:lang w:val="en-GB"/>
        </w:rPr>
        <w:t>0.28 = equivalent volume • 1000;</w:t>
      </w:r>
    </w:p>
    <w:p w:rsidR="000059BF" w:rsidRPr="000059BF" w:rsidRDefault="000059BF" w:rsidP="000059BF">
      <w:pPr>
        <w:pStyle w:val="CETBodytext"/>
        <w:rPr>
          <w:lang w:val="en-GB"/>
        </w:rPr>
      </w:pPr>
      <w:r w:rsidRPr="000059BF">
        <w:rPr>
          <w:lang w:val="en-GB"/>
        </w:rPr>
        <w:t>D = dilution factor (250 mL / 200 mL = 1.25)</w:t>
      </w:r>
    </w:p>
    <w:p w:rsidR="000059BF" w:rsidRPr="000059BF" w:rsidRDefault="000059BF" w:rsidP="000059BF">
      <w:pPr>
        <w:pStyle w:val="CETBodytext"/>
        <w:rPr>
          <w:lang w:val="en-GB"/>
        </w:rPr>
      </w:pPr>
      <w:r w:rsidRPr="000059BF">
        <w:rPr>
          <w:lang w:val="en-GB"/>
        </w:rPr>
        <w:t>V = Sample volume</w:t>
      </w:r>
    </w:p>
    <w:p w:rsidR="000059BF" w:rsidRPr="000059BF" w:rsidRDefault="000059BF" w:rsidP="00A11181">
      <w:pPr>
        <w:pStyle w:val="CETheadingx"/>
      </w:pPr>
      <w:r w:rsidRPr="000059BF">
        <w:t>Determination of ammonia nitrogen content</w:t>
      </w:r>
    </w:p>
    <w:p w:rsidR="000059BF" w:rsidRDefault="000059BF" w:rsidP="000059BF">
      <w:pPr>
        <w:pStyle w:val="CETBodytext"/>
        <w:rPr>
          <w:lang w:val="en-GB"/>
        </w:rPr>
      </w:pPr>
      <w:r w:rsidRPr="000059BF">
        <w:rPr>
          <w:lang w:val="en-GB"/>
        </w:rPr>
        <w:t xml:space="preserve">Ammonia nitrogen was evaluated by the difference between total </w:t>
      </w:r>
      <w:proofErr w:type="spellStart"/>
      <w:r w:rsidRPr="000059BF">
        <w:rPr>
          <w:lang w:val="en-GB"/>
        </w:rPr>
        <w:t>Kjeldahl</w:t>
      </w:r>
      <w:proofErr w:type="spellEnd"/>
      <w:r w:rsidRPr="000059BF">
        <w:rPr>
          <w:lang w:val="en-GB"/>
        </w:rPr>
        <w:t xml:space="preserve"> nitrogen and organic nitrogen:</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1731"/>
      </w:tblGrid>
      <w:tr w:rsidR="00590D6C" w:rsidRPr="00C63530" w:rsidTr="00B7132D">
        <w:tc>
          <w:tcPr>
            <w:tcW w:w="7196" w:type="dxa"/>
          </w:tcPr>
          <w:p w:rsidR="00590D6C" w:rsidRPr="006E332E" w:rsidRDefault="006E332E" w:rsidP="00B7132D">
            <w:pPr>
              <w:spacing w:line="360" w:lineRule="auto"/>
              <w:rPr>
                <w:rFonts w:eastAsia="Calibri" w:cs="Arial"/>
                <w:lang w:val="it-IT"/>
              </w:rPr>
            </w:pPr>
            <w:proofErr w:type="spellStart"/>
            <m:oMathPara>
              <m:oMathParaPr>
                <m:jc m:val="left"/>
              </m:oMathParaPr>
              <m:oMath>
                <m:r>
                  <m:rPr>
                    <m:nor/>
                  </m:rPr>
                  <w:rPr>
                    <w:rFonts w:eastAsia="Calibri" w:cs="Arial"/>
                    <w:lang w:val="it-IT"/>
                  </w:rPr>
                  <m:t>Ammonia</m:t>
                </m:r>
                <w:proofErr w:type="spellEnd"/>
                <m:r>
                  <m:rPr>
                    <m:nor/>
                  </m:rPr>
                  <w:rPr>
                    <w:rFonts w:eastAsia="Calibri" w:cs="Arial"/>
                    <w:lang w:val="it-IT"/>
                  </w:rPr>
                  <m:t xml:space="preserve"> N=TKN-</m:t>
                </m:r>
                <w:proofErr w:type="spellStart"/>
                <m:r>
                  <m:rPr>
                    <m:nor/>
                  </m:rPr>
                  <w:rPr>
                    <w:rFonts w:eastAsia="Calibri" w:cs="Arial"/>
                    <w:lang w:val="it-IT"/>
                  </w:rPr>
                  <m:t>Organic</m:t>
                </m:r>
                <w:proofErr w:type="spellEnd"/>
                <m:r>
                  <m:rPr>
                    <m:nor/>
                  </m:rPr>
                  <w:rPr>
                    <w:rFonts w:eastAsia="Calibri" w:cs="Arial"/>
                    <w:lang w:val="it-IT"/>
                  </w:rPr>
                  <m:t xml:space="preserve"> N</m:t>
                </m:r>
              </m:oMath>
            </m:oMathPara>
          </w:p>
        </w:tc>
        <w:tc>
          <w:tcPr>
            <w:tcW w:w="1731" w:type="dxa"/>
          </w:tcPr>
          <w:p w:rsidR="00590D6C" w:rsidRPr="00C63530" w:rsidRDefault="00590D6C" w:rsidP="00B7132D">
            <w:pPr>
              <w:spacing w:line="360" w:lineRule="auto"/>
              <w:jc w:val="right"/>
              <w:rPr>
                <w:rFonts w:eastAsia="Calibri"/>
              </w:rPr>
            </w:pPr>
            <w:r w:rsidRPr="00C63530">
              <w:rPr>
                <w:rFonts w:eastAsia="Calibri"/>
              </w:rPr>
              <w:t>(</w:t>
            </w:r>
            <w:r>
              <w:rPr>
                <w:rFonts w:eastAsia="Calibri"/>
              </w:rPr>
              <w:t>4</w:t>
            </w:r>
            <w:r w:rsidRPr="00C63530">
              <w:rPr>
                <w:rFonts w:eastAsia="Calibri"/>
              </w:rPr>
              <w:t>)</w:t>
            </w:r>
          </w:p>
        </w:tc>
      </w:tr>
    </w:tbl>
    <w:p w:rsidR="000059BF" w:rsidRPr="000059BF" w:rsidRDefault="000059BF" w:rsidP="00A11181">
      <w:pPr>
        <w:pStyle w:val="CETheadingx"/>
      </w:pPr>
      <w:r w:rsidRPr="000059BF">
        <w:t>Determination of the content of nitric and nitrous nitrogen</w:t>
      </w:r>
    </w:p>
    <w:p w:rsidR="000059BF" w:rsidRPr="000059BF" w:rsidRDefault="000059BF" w:rsidP="000059BF">
      <w:pPr>
        <w:pStyle w:val="CETBodytext"/>
        <w:rPr>
          <w:lang w:val="en-GB"/>
        </w:rPr>
      </w:pPr>
      <w:r w:rsidRPr="000059BF">
        <w:rPr>
          <w:lang w:val="en-GB"/>
        </w:rPr>
        <w:t xml:space="preserve">The residue of the distillation present in the flask was used for the determination of nitrous and nitric nitrogen forms. The carried out process was the following: 2 g of </w:t>
      </w:r>
      <w:proofErr w:type="spellStart"/>
      <w:r w:rsidRPr="000059BF">
        <w:rPr>
          <w:lang w:val="en-GB"/>
        </w:rPr>
        <w:t>Devarda’s</w:t>
      </w:r>
      <w:proofErr w:type="spellEnd"/>
      <w:r w:rsidRPr="000059BF">
        <w:rPr>
          <w:lang w:val="en-GB"/>
        </w:rPr>
        <w:t xml:space="preserve"> alloy were added to the distillation residue (to reduce the nitrous and nitric forms in ammonia), the flask was connected to the distillation apparatus previously used. The extension of the refrigerant was immersed in 10 mL of a solution of sulphuric acid (30 g/L), the system was allowed to react at room temperature for 15 ÷ 20 minutes, then the distillation and titration process described previously was continued. A blank test was performed following the same operating procedures.</w:t>
      </w:r>
    </w:p>
    <w:p w:rsidR="000059BF" w:rsidRPr="000059BF" w:rsidRDefault="000059BF" w:rsidP="000059BF">
      <w:pPr>
        <w:pStyle w:val="CETBodytext"/>
        <w:rPr>
          <w:lang w:val="en-GB"/>
        </w:rPr>
      </w:pPr>
      <w:r w:rsidRPr="000059BF">
        <w:rPr>
          <w:lang w:val="en-GB"/>
        </w:rPr>
        <w:t>The mineral nitrogen content (N-NO2 + N-NO3), for example expressed in gL-1, can be calculated by the expression:</w:t>
      </w:r>
    </w:p>
    <w:tbl>
      <w:tblPr>
        <w:tblStyle w:val="Grigliatabella3"/>
        <w:tblW w:w="9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684"/>
      </w:tblGrid>
      <w:tr w:rsidR="00590D6C" w:rsidRPr="00CF0658" w:rsidTr="00B7132D">
        <w:tc>
          <w:tcPr>
            <w:tcW w:w="7479" w:type="dxa"/>
          </w:tcPr>
          <w:p w:rsidR="00590D6C" w:rsidRPr="00CF0658" w:rsidRDefault="006E332E" w:rsidP="00B7132D">
            <w:pPr>
              <w:tabs>
                <w:tab w:val="clear" w:pos="7100"/>
              </w:tabs>
              <w:spacing w:line="360" w:lineRule="auto"/>
              <w:rPr>
                <w:rFonts w:eastAsia="Calibri" w:cs="Arial"/>
                <w:szCs w:val="18"/>
              </w:rPr>
            </w:pPr>
            <m:oMathPara>
              <m:oMathParaPr>
                <m:jc m:val="left"/>
              </m:oMathParaPr>
              <m:oMath>
                <m:r>
                  <m:rPr>
                    <m:nor/>
                  </m:rPr>
                  <w:rPr>
                    <w:rFonts w:eastAsia="Calibri" w:cs="Arial"/>
                    <w:szCs w:val="18"/>
                  </w:rPr>
                  <m:t>Nitric and Nitrous nitrogen=</m:t>
                </m:r>
                <m:f>
                  <m:fPr>
                    <m:ctrlPr>
                      <w:rPr>
                        <w:rFonts w:ascii="Cambria Math" w:eastAsia="Calibri" w:hAnsi="Cambria Math" w:cs="Arial"/>
                        <w:i/>
                        <w:szCs w:val="18"/>
                      </w:rPr>
                    </m:ctrlPr>
                  </m:fPr>
                  <m:num>
                    <m:d>
                      <m:dPr>
                        <m:ctrlPr>
                          <w:rPr>
                            <w:rFonts w:ascii="Cambria Math" w:eastAsia="Calibri" w:hAnsi="Cambria Math" w:cs="Arial"/>
                            <w:i/>
                            <w:szCs w:val="18"/>
                          </w:rPr>
                        </m:ctrlPr>
                      </m:dPr>
                      <m:e>
                        <m:r>
                          <m:rPr>
                            <m:nor/>
                          </m:rPr>
                          <w:rPr>
                            <w:rFonts w:eastAsia="Calibri" w:cs="Arial"/>
                            <w:szCs w:val="18"/>
                          </w:rPr>
                          <m:t>A-</m:t>
                        </m:r>
                        <m:sSub>
                          <m:sSubPr>
                            <m:ctrlPr>
                              <w:rPr>
                                <w:rFonts w:ascii="Cambria Math" w:eastAsia="Calibri" w:hAnsi="Cambria Math" w:cs="Arial"/>
                                <w:i/>
                                <w:szCs w:val="18"/>
                              </w:rPr>
                            </m:ctrlPr>
                          </m:sSubPr>
                          <m:e>
                            <m:r>
                              <m:rPr>
                                <m:nor/>
                              </m:rPr>
                              <w:rPr>
                                <w:rFonts w:eastAsia="Calibri" w:cs="Arial"/>
                                <w:szCs w:val="18"/>
                              </w:rPr>
                              <m:t>B</m:t>
                            </m:r>
                          </m:e>
                          <m:sub>
                            <m:r>
                              <m:rPr>
                                <m:nor/>
                              </m:rPr>
                              <w:rPr>
                                <w:rFonts w:eastAsia="Calibri" w:cs="Arial"/>
                                <w:szCs w:val="18"/>
                              </w:rPr>
                              <m:t xml:space="preserve"> </m:t>
                            </m:r>
                          </m:sub>
                        </m:sSub>
                      </m:e>
                    </m:d>
                    <m:r>
                      <m:rPr>
                        <m:nor/>
                      </m:rPr>
                      <w:rPr>
                        <w:rFonts w:eastAsia="Calibri" w:cs="Arial"/>
                        <w:szCs w:val="18"/>
                      </w:rPr>
                      <m:t>*4*0.14</m:t>
                    </m:r>
                  </m:num>
                  <m:den>
                    <m:r>
                      <m:rPr>
                        <m:nor/>
                      </m:rPr>
                      <w:rPr>
                        <w:rFonts w:eastAsia="Calibri" w:cs="Arial"/>
                        <w:szCs w:val="18"/>
                      </w:rPr>
                      <m:t>V</m:t>
                    </m:r>
                  </m:den>
                </m:f>
              </m:oMath>
            </m:oMathPara>
          </w:p>
        </w:tc>
        <w:tc>
          <w:tcPr>
            <w:tcW w:w="1684" w:type="dxa"/>
          </w:tcPr>
          <w:p w:rsidR="00590D6C" w:rsidRPr="00CF0658" w:rsidRDefault="00590D6C" w:rsidP="00590D6C">
            <w:pPr>
              <w:tabs>
                <w:tab w:val="clear" w:pos="7100"/>
              </w:tabs>
              <w:spacing w:line="360" w:lineRule="auto"/>
              <w:jc w:val="right"/>
              <w:rPr>
                <w:rFonts w:ascii="Times New Roman" w:eastAsia="Calibri" w:hAnsi="Times New Roman"/>
                <w:szCs w:val="18"/>
              </w:rPr>
            </w:pPr>
            <w:r w:rsidRPr="00CF0658">
              <w:rPr>
                <w:rFonts w:ascii="Times New Roman" w:eastAsia="Calibri" w:hAnsi="Times New Roman"/>
                <w:szCs w:val="18"/>
              </w:rPr>
              <w:t>(</w:t>
            </w:r>
            <w:r>
              <w:rPr>
                <w:rFonts w:ascii="Times New Roman" w:eastAsia="Calibri" w:hAnsi="Times New Roman"/>
                <w:szCs w:val="18"/>
              </w:rPr>
              <w:t>5</w:t>
            </w:r>
            <w:r w:rsidRPr="00CF0658">
              <w:rPr>
                <w:rFonts w:ascii="Times New Roman" w:eastAsia="Calibri" w:hAnsi="Times New Roman"/>
                <w:szCs w:val="18"/>
              </w:rPr>
              <w:t>)</w:t>
            </w:r>
          </w:p>
        </w:tc>
      </w:tr>
    </w:tbl>
    <w:p w:rsidR="000059BF" w:rsidRPr="000059BF" w:rsidRDefault="000059BF" w:rsidP="000059BF">
      <w:pPr>
        <w:pStyle w:val="CETBodytext"/>
        <w:rPr>
          <w:lang w:val="en-GB"/>
        </w:rPr>
      </w:pPr>
      <w:r w:rsidRPr="000059BF">
        <w:rPr>
          <w:lang w:val="en-GB"/>
        </w:rPr>
        <w:t>where:</w:t>
      </w:r>
    </w:p>
    <w:p w:rsidR="000059BF" w:rsidRPr="000059BF" w:rsidRDefault="000059BF" w:rsidP="000059BF">
      <w:pPr>
        <w:pStyle w:val="CETBodytext"/>
        <w:rPr>
          <w:lang w:val="en-GB"/>
        </w:rPr>
      </w:pPr>
      <w:r w:rsidRPr="000059BF">
        <w:rPr>
          <w:lang w:val="en-GB"/>
        </w:rPr>
        <w:t>nitric and nitrous nitrogen = nitric and nitrous nitrogen content in the sample</w:t>
      </w:r>
    </w:p>
    <w:p w:rsidR="000059BF" w:rsidRPr="000059BF" w:rsidRDefault="000059BF" w:rsidP="000059BF">
      <w:pPr>
        <w:pStyle w:val="CETBodytext"/>
        <w:rPr>
          <w:lang w:val="en-GB"/>
        </w:rPr>
      </w:pPr>
      <w:r w:rsidRPr="000059BF">
        <w:rPr>
          <w:lang w:val="en-GB"/>
        </w:rPr>
        <w:t>A = volume of the solution (0.005 molL-1) of sulphuric acid consumed for titration of the</w:t>
      </w:r>
    </w:p>
    <w:p w:rsidR="000059BF" w:rsidRPr="000059BF" w:rsidRDefault="000059BF" w:rsidP="000059BF">
      <w:pPr>
        <w:pStyle w:val="CETBodytext"/>
        <w:rPr>
          <w:lang w:val="en-GB"/>
        </w:rPr>
      </w:pPr>
      <w:r w:rsidRPr="000059BF">
        <w:rPr>
          <w:lang w:val="en-GB"/>
        </w:rPr>
        <w:t>sample, expressed in millilitres</w:t>
      </w:r>
    </w:p>
    <w:p w:rsidR="000059BF" w:rsidRPr="000059BF" w:rsidRDefault="000059BF" w:rsidP="000059BF">
      <w:pPr>
        <w:pStyle w:val="CETBodytext"/>
        <w:rPr>
          <w:lang w:val="en-GB"/>
        </w:rPr>
      </w:pPr>
      <w:r w:rsidRPr="000059BF">
        <w:rPr>
          <w:lang w:val="en-GB"/>
        </w:rPr>
        <w:t>B = volume of the solution (0.005 molL-1) of sulphuric acids consumed for titration of the</w:t>
      </w:r>
    </w:p>
    <w:p w:rsidR="000059BF" w:rsidRPr="000059BF" w:rsidRDefault="000059BF" w:rsidP="000059BF">
      <w:pPr>
        <w:pStyle w:val="CETBodytext"/>
        <w:rPr>
          <w:lang w:val="en-GB"/>
        </w:rPr>
      </w:pPr>
      <w:r w:rsidRPr="000059BF">
        <w:rPr>
          <w:lang w:val="en-GB"/>
        </w:rPr>
        <w:lastRenderedPageBreak/>
        <w:t>blank test, expressed in millilitres</w:t>
      </w:r>
    </w:p>
    <w:p w:rsidR="000059BF" w:rsidRPr="000059BF" w:rsidRDefault="000059BF" w:rsidP="000059BF">
      <w:pPr>
        <w:pStyle w:val="CETBodytext"/>
        <w:rPr>
          <w:lang w:val="en-GB"/>
        </w:rPr>
      </w:pPr>
      <w:r w:rsidRPr="000059BF">
        <w:rPr>
          <w:lang w:val="en-GB"/>
        </w:rPr>
        <w:t>0.14 = equivalent volume</w:t>
      </w:r>
    </w:p>
    <w:p w:rsidR="000059BF" w:rsidRPr="000059BF" w:rsidRDefault="000059BF" w:rsidP="000059BF">
      <w:pPr>
        <w:pStyle w:val="CETBodytext"/>
        <w:rPr>
          <w:lang w:val="en-GB"/>
        </w:rPr>
      </w:pPr>
      <w:r w:rsidRPr="000059BF">
        <w:rPr>
          <w:lang w:val="en-GB"/>
        </w:rPr>
        <w:t>4 = 200 mL / 50 mL = volumetric ratio</w:t>
      </w:r>
    </w:p>
    <w:p w:rsidR="000059BF" w:rsidRPr="000059BF" w:rsidRDefault="000059BF" w:rsidP="000059BF">
      <w:pPr>
        <w:pStyle w:val="CETBodytext"/>
        <w:rPr>
          <w:lang w:val="en-GB"/>
        </w:rPr>
      </w:pPr>
      <w:r w:rsidRPr="000059BF">
        <w:rPr>
          <w:lang w:val="en-GB"/>
        </w:rPr>
        <w:t>V = sample volume</w:t>
      </w:r>
    </w:p>
    <w:p w:rsidR="000059BF" w:rsidRPr="000059BF" w:rsidRDefault="000059BF" w:rsidP="00B4115E">
      <w:pPr>
        <w:pStyle w:val="CETheadingx"/>
      </w:pPr>
      <w:r w:rsidRPr="000059BF">
        <w:t>Determination of total organic carbon (TOC)</w:t>
      </w:r>
    </w:p>
    <w:p w:rsidR="000059BF" w:rsidRPr="000059BF" w:rsidRDefault="000059BF" w:rsidP="000059BF">
      <w:pPr>
        <w:pStyle w:val="CETBodytext"/>
        <w:rPr>
          <w:lang w:val="en-GB"/>
        </w:rPr>
      </w:pPr>
      <w:r w:rsidRPr="000059BF">
        <w:rPr>
          <w:lang w:val="en-GB"/>
        </w:rPr>
        <w:t xml:space="preserve">The determination of TOC (Total Organic Carbon) is a rapid, precise and concrete analytical technique both in environmental and in industrial chemistry. The TOC measures the concentration of organic carbon in a sample; "organic carbon" means: carbon in the form of well-defined compounds (sugars, fatty acids, hydrocarbons, etc.), carbon from bacteria and other microorganisms, other form of C. </w:t>
      </w:r>
    </w:p>
    <w:p w:rsidR="000059BF" w:rsidRPr="000059BF" w:rsidRDefault="000059BF" w:rsidP="00B4115E">
      <w:pPr>
        <w:pStyle w:val="CETheadingx"/>
      </w:pPr>
      <w:r w:rsidRPr="000059BF">
        <w:t>Determination of carbon according to Springer-Klee</w:t>
      </w:r>
    </w:p>
    <w:p w:rsidR="000059BF" w:rsidRPr="000059BF" w:rsidRDefault="000059BF" w:rsidP="000059BF">
      <w:pPr>
        <w:pStyle w:val="CETBodytext"/>
        <w:rPr>
          <w:lang w:val="en-GB"/>
        </w:rPr>
      </w:pPr>
      <w:r w:rsidRPr="000059BF">
        <w:rPr>
          <w:lang w:val="en-GB"/>
        </w:rPr>
        <w:t xml:space="preserve">The measurement of TOC (Total Organic Carbon) was evaluated according to the "Springer-Klee" method. The principle is based on the oxidation of the organic substances by treatment at defined conditions of acidity and temperature (160 °C) with known amount of potassium dichromate. The amount of potassium dichromate consumed in the reaction can be measured by titration with ferrous sulphate. For manual titration the 4-diphenylamine </w:t>
      </w:r>
      <w:proofErr w:type="spellStart"/>
      <w:r w:rsidRPr="000059BF">
        <w:rPr>
          <w:lang w:val="en-GB"/>
        </w:rPr>
        <w:t>sulfonate</w:t>
      </w:r>
      <w:proofErr w:type="spellEnd"/>
      <w:r w:rsidRPr="000059BF">
        <w:rPr>
          <w:lang w:val="en-GB"/>
        </w:rPr>
        <w:t xml:space="preserve"> of barium is used as </w:t>
      </w:r>
      <w:proofErr w:type="spellStart"/>
      <w:r w:rsidRPr="000059BF">
        <w:rPr>
          <w:lang w:val="en-GB"/>
        </w:rPr>
        <w:t>indicator.The</w:t>
      </w:r>
      <w:proofErr w:type="spellEnd"/>
      <w:r w:rsidRPr="000059BF">
        <w:rPr>
          <w:lang w:val="en-GB"/>
        </w:rPr>
        <w:t xml:space="preserve"> sample is sieved and dried in an oven and transferred, in a known amount, into a flask.  With 20 ml of a solution (0.3334 molL-1) of potassium dichromate (K2Cr2O7) were collected in a precision burette and transferred in the flask containing the sample to be examined. The flask was placed in a bath of water and ice, than 26 mL of H2SO4 were added. After inserting the thermometer, the bulb must not touch the bottom of the flask, the mixture was heated, with a Bunsen flame, up to a temperature of 160 ± 2 °C. This temperature was kept constant for 10 minutes. After 10 minutes the solution was cooled rapidly and transferred to a 200 ml graduated flask and taken to a volume with H2O. After sedimentation of the mineral solid residue, Ag2SO4 crystals, were </w:t>
      </w:r>
      <w:proofErr w:type="spellStart"/>
      <w:r w:rsidRPr="000059BF">
        <w:rPr>
          <w:lang w:val="en-GB"/>
        </w:rPr>
        <w:t>added.The</w:t>
      </w:r>
      <w:proofErr w:type="spellEnd"/>
      <w:r w:rsidRPr="000059BF">
        <w:rPr>
          <w:lang w:val="en-GB"/>
        </w:rPr>
        <w:t xml:space="preserve"> volumetric titration was performed by taking 20 ml of the clear solution with a precision pipette and transferred to a conical flask of 250 ml Erlenmeyer a wide neck. 100 ml of H2O and, in succession, 8 ml of H3PO4 and 0.5 ml of oxide hardener were added. The Erlenmeyer conical flask was placed on the agent and the titrated with </w:t>
      </w:r>
      <w:proofErr w:type="spellStart"/>
      <w:r w:rsidRPr="000059BF">
        <w:rPr>
          <w:lang w:val="en-GB"/>
        </w:rPr>
        <w:t>sulfate</w:t>
      </w:r>
      <w:proofErr w:type="spellEnd"/>
      <w:r w:rsidRPr="000059BF">
        <w:rPr>
          <w:lang w:val="en-GB"/>
        </w:rPr>
        <w:t xml:space="preserve"> iron solution until the solution changed from dark violet to green. The process was repeated under the same experimental conditions, and in a blank test to ascertain the error caused by the possible decomposition of the dichromate due to heating.</w:t>
      </w:r>
    </w:p>
    <w:p w:rsidR="000059BF" w:rsidRPr="000059BF" w:rsidRDefault="000059BF" w:rsidP="000059BF">
      <w:pPr>
        <w:pStyle w:val="CETBodytext"/>
        <w:rPr>
          <w:lang w:val="en-GB"/>
        </w:rPr>
      </w:pPr>
      <w:r w:rsidRPr="000059BF">
        <w:rPr>
          <w:lang w:val="en-GB"/>
        </w:rPr>
        <w:t>The organic carbon content is expressed in g / kg.</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1731"/>
      </w:tblGrid>
      <w:tr w:rsidR="00590D6C" w:rsidTr="00B7132D">
        <w:tc>
          <w:tcPr>
            <w:tcW w:w="7196" w:type="dxa"/>
          </w:tcPr>
          <w:p w:rsidR="00590D6C" w:rsidRPr="006E332E" w:rsidRDefault="006E332E" w:rsidP="00B7132D">
            <w:pPr>
              <w:spacing w:line="360" w:lineRule="auto"/>
              <w:rPr>
                <w:rFonts w:eastAsia="Calibri" w:cs="Arial"/>
                <w:bCs/>
                <w:highlight w:val="yellow"/>
                <w:lang w:val="en-US" w:eastAsia="it-IT"/>
              </w:rPr>
            </w:pPr>
            <m:oMathPara>
              <m:oMathParaPr>
                <m:jc m:val="left"/>
              </m:oMathParaPr>
              <m:oMath>
                <m:r>
                  <m:rPr>
                    <m:nor/>
                  </m:rPr>
                  <w:rPr>
                    <w:rFonts w:eastAsia="Calibri" w:cs="Arial"/>
                  </w:rPr>
                  <m:t>C%(</m:t>
                </m:r>
                <m:f>
                  <m:fPr>
                    <m:ctrlPr>
                      <w:rPr>
                        <w:rFonts w:ascii="Cambria Math" w:eastAsia="Calibri" w:hAnsi="Cambria Math" w:cs="Arial"/>
                        <w:i/>
                      </w:rPr>
                    </m:ctrlPr>
                  </m:fPr>
                  <m:num>
                    <m:r>
                      <m:rPr>
                        <m:nor/>
                      </m:rPr>
                      <w:rPr>
                        <w:rFonts w:eastAsia="Calibri" w:cs="Arial"/>
                      </w:rPr>
                      <m:t>m</m:t>
                    </m:r>
                  </m:num>
                  <m:den>
                    <m:r>
                      <m:rPr>
                        <m:nor/>
                      </m:rPr>
                      <w:rPr>
                        <w:rFonts w:eastAsia="Calibri" w:cs="Arial"/>
                      </w:rPr>
                      <m:t>m</m:t>
                    </m:r>
                  </m:den>
                </m:f>
                <m:r>
                  <m:rPr>
                    <m:nor/>
                  </m:rPr>
                  <w:rPr>
                    <w:rFonts w:eastAsia="Calibri" w:cs="Arial"/>
                  </w:rPr>
                  <m:t>)=</m:t>
                </m:r>
                <m:f>
                  <m:fPr>
                    <m:ctrlPr>
                      <w:rPr>
                        <w:rFonts w:ascii="Cambria Math" w:eastAsia="Calibri" w:hAnsi="Cambria Math" w:cs="Arial"/>
                        <w:i/>
                      </w:rPr>
                    </m:ctrlPr>
                  </m:fPr>
                  <m:num>
                    <m:d>
                      <m:dPr>
                        <m:ctrlPr>
                          <w:rPr>
                            <w:rFonts w:ascii="Cambria Math" w:eastAsia="Calibri" w:hAnsi="Cambria Math" w:cs="Arial"/>
                            <w:i/>
                          </w:rPr>
                        </m:ctrlPr>
                      </m:dPr>
                      <m:e>
                        <m:r>
                          <m:rPr>
                            <m:nor/>
                          </m:rPr>
                          <w:rPr>
                            <w:rFonts w:eastAsia="Calibri" w:cs="Arial"/>
                          </w:rPr>
                          <m:t>A-B</m:t>
                        </m:r>
                      </m:e>
                    </m:d>
                    <m:r>
                      <m:rPr>
                        <m:nor/>
                      </m:rPr>
                      <w:rPr>
                        <w:rFonts w:eastAsia="Calibri" w:cs="Arial"/>
                      </w:rPr>
                      <m:t>*</m:t>
                    </m:r>
                    <m:sSub>
                      <m:sSubPr>
                        <m:ctrlPr>
                          <w:rPr>
                            <w:rFonts w:ascii="Cambria Math" w:eastAsia="Calibri" w:hAnsi="Cambria Math" w:cs="Arial"/>
                            <w:i/>
                          </w:rPr>
                        </m:ctrlPr>
                      </m:sSubPr>
                      <m:e>
                        <m:r>
                          <m:rPr>
                            <m:nor/>
                          </m:rPr>
                          <w:rPr>
                            <w:rFonts w:eastAsia="Calibri" w:cs="Arial"/>
                          </w:rPr>
                          <m:t>N</m:t>
                        </m:r>
                      </m:e>
                      <m:sub>
                        <m:r>
                          <m:rPr>
                            <m:nor/>
                          </m:rPr>
                          <w:rPr>
                            <w:rFonts w:eastAsia="Calibri" w:cs="Arial"/>
                          </w:rPr>
                          <m:t>1</m:t>
                        </m:r>
                      </m:sub>
                    </m:sSub>
                    <m:r>
                      <m:rPr>
                        <m:nor/>
                      </m:rPr>
                      <w:rPr>
                        <w:rFonts w:eastAsia="Calibri" w:cs="Arial"/>
                      </w:rPr>
                      <m:t>*0.003*200</m:t>
                    </m:r>
                  </m:num>
                  <m:den>
                    <m:r>
                      <m:rPr>
                        <m:nor/>
                      </m:rPr>
                      <w:rPr>
                        <w:rFonts w:eastAsia="Calibri" w:cs="Arial"/>
                      </w:rPr>
                      <m:t>(20*M)</m:t>
                    </m:r>
                  </m:den>
                </m:f>
              </m:oMath>
            </m:oMathPara>
          </w:p>
        </w:tc>
        <w:tc>
          <w:tcPr>
            <w:tcW w:w="1731" w:type="dxa"/>
          </w:tcPr>
          <w:p w:rsidR="00590D6C" w:rsidRDefault="00590D6C" w:rsidP="00B7132D">
            <w:pPr>
              <w:spacing w:line="360" w:lineRule="auto"/>
              <w:jc w:val="right"/>
              <w:rPr>
                <w:rFonts w:eastAsia="Calibri"/>
              </w:rPr>
            </w:pPr>
            <w:r>
              <w:rPr>
                <w:rFonts w:eastAsia="Calibri"/>
              </w:rPr>
              <w:t>(6)</w:t>
            </w:r>
          </w:p>
        </w:tc>
      </w:tr>
    </w:tbl>
    <w:p w:rsidR="000059BF" w:rsidRPr="000059BF" w:rsidRDefault="000059BF" w:rsidP="000059BF">
      <w:pPr>
        <w:pStyle w:val="CETBodytext"/>
        <w:rPr>
          <w:lang w:val="en-GB"/>
        </w:rPr>
      </w:pPr>
      <w:r w:rsidRPr="000059BF">
        <w:rPr>
          <w:lang w:val="en-GB"/>
        </w:rPr>
        <w:t>where:</w:t>
      </w:r>
    </w:p>
    <w:p w:rsidR="000059BF" w:rsidRPr="000059BF" w:rsidRDefault="000059BF" w:rsidP="000059BF">
      <w:pPr>
        <w:pStyle w:val="CETBodytext"/>
        <w:rPr>
          <w:lang w:val="en-GB"/>
        </w:rPr>
      </w:pPr>
      <w:r w:rsidRPr="000059BF">
        <w:rPr>
          <w:lang w:val="en-GB"/>
        </w:rPr>
        <w:t>A = volume, expressed in millilitres, of ferrous sulphate solution consumed for the blank test;</w:t>
      </w:r>
    </w:p>
    <w:p w:rsidR="000059BF" w:rsidRPr="000059BF" w:rsidRDefault="000059BF" w:rsidP="000059BF">
      <w:pPr>
        <w:pStyle w:val="CETBodytext"/>
        <w:rPr>
          <w:lang w:val="en-GB"/>
        </w:rPr>
      </w:pPr>
      <w:r w:rsidRPr="000059BF">
        <w:rPr>
          <w:lang w:val="en-GB"/>
        </w:rPr>
        <w:t>B = volume, expressed in millilitres, of ferrous sulphate solution consumed for the analysis of the sample;</w:t>
      </w:r>
    </w:p>
    <w:p w:rsidR="000059BF" w:rsidRPr="000059BF" w:rsidRDefault="000059BF" w:rsidP="000059BF">
      <w:pPr>
        <w:pStyle w:val="CETBodytext"/>
        <w:rPr>
          <w:lang w:val="en-GB"/>
        </w:rPr>
      </w:pPr>
      <w:r w:rsidRPr="000059BF">
        <w:rPr>
          <w:lang w:val="en-GB"/>
        </w:rPr>
        <w:t>N1 = normality of the ferrous sulphate solution;</w:t>
      </w:r>
    </w:p>
    <w:p w:rsidR="000059BF" w:rsidRPr="000059BF" w:rsidRDefault="000059BF" w:rsidP="000059BF">
      <w:pPr>
        <w:pStyle w:val="CETBodytext"/>
        <w:rPr>
          <w:lang w:val="en-GB"/>
        </w:rPr>
      </w:pPr>
      <w:r w:rsidRPr="000059BF">
        <w:rPr>
          <w:lang w:val="en-GB"/>
        </w:rPr>
        <w:t>M = mass, expressed in grams, of the sample analysed</w:t>
      </w:r>
    </w:p>
    <w:p w:rsidR="000059BF" w:rsidRPr="000059BF" w:rsidRDefault="000059BF" w:rsidP="00B4115E">
      <w:pPr>
        <w:pStyle w:val="CETHeading1"/>
      </w:pPr>
      <w:r w:rsidRPr="000059BF">
        <w:t>Characterization of the process liquid.</w:t>
      </w:r>
    </w:p>
    <w:p w:rsidR="000059BF" w:rsidRDefault="000059BF" w:rsidP="0025781B">
      <w:pPr>
        <w:pStyle w:val="CETBodytext"/>
        <w:rPr>
          <w:lang w:val="en-GB"/>
        </w:rPr>
      </w:pPr>
      <w:r w:rsidRPr="000059BF">
        <w:rPr>
          <w:lang w:val="en-GB"/>
        </w:rPr>
        <w:t xml:space="preserve">In the following, the results of the experiments on the various samplings are reported, (see  Table 2). </w:t>
      </w:r>
    </w:p>
    <w:p w:rsidR="00567501" w:rsidRDefault="00567501" w:rsidP="0025781B">
      <w:pPr>
        <w:keepNext/>
        <w:spacing w:after="200" w:line="240" w:lineRule="auto"/>
        <w:rPr>
          <w:rFonts w:eastAsiaTheme="minorHAnsi"/>
          <w:bCs/>
          <w:i/>
          <w:szCs w:val="18"/>
        </w:rPr>
      </w:pPr>
      <w:r w:rsidRPr="000059BF">
        <w:t xml:space="preserve">The total nitrogen and carbon contents are due to residues in the TL derived from the contact with the biofilm and molecules coming from the reacted gas stream with the microorganism beds (Yang  et al., 2012; Liang  et al., 2012; </w:t>
      </w:r>
      <w:proofErr w:type="spellStart"/>
      <w:r w:rsidRPr="000059BF">
        <w:t>Frutos</w:t>
      </w:r>
      <w:proofErr w:type="spellEnd"/>
      <w:r w:rsidRPr="000059BF">
        <w:t xml:space="preserve"> et al., 2016).</w:t>
      </w:r>
      <w:r>
        <w:t xml:space="preserve"> </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393"/>
        <w:gridCol w:w="4394"/>
      </w:tblGrid>
      <w:tr w:rsidR="00DB4441" w:rsidRPr="00DB4441" w:rsidTr="00B7132D">
        <w:tc>
          <w:tcPr>
            <w:tcW w:w="2500" w:type="pct"/>
            <w:tcBorders>
              <w:top w:val="single" w:sz="12" w:space="0" w:color="008000"/>
              <w:bottom w:val="single" w:sz="6" w:space="0" w:color="008000"/>
            </w:tcBorders>
            <w:shd w:val="clear" w:color="auto" w:fill="FFFFFF"/>
          </w:tcPr>
          <w:p w:rsidR="00DB4441" w:rsidRPr="00F97588" w:rsidRDefault="00DB4441" w:rsidP="00B7132D">
            <w:pPr>
              <w:tabs>
                <w:tab w:val="clear" w:pos="7100"/>
              </w:tabs>
              <w:spacing w:line="240" w:lineRule="auto"/>
              <w:jc w:val="center"/>
              <w:rPr>
                <w:rFonts w:eastAsiaTheme="minorHAnsi" w:cs="Arial"/>
                <w:b/>
                <w:sz w:val="20"/>
                <w:lang w:eastAsia="ko-KR"/>
              </w:rPr>
            </w:pPr>
            <w:r w:rsidRPr="00F97588">
              <w:rPr>
                <w:rFonts w:eastAsiaTheme="minorHAnsi" w:cs="Arial"/>
                <w:sz w:val="20"/>
                <w:lang w:eastAsia="ko-KR"/>
              </w:rPr>
              <w:t>Parameter</w:t>
            </w:r>
          </w:p>
        </w:tc>
        <w:tc>
          <w:tcPr>
            <w:tcW w:w="2500" w:type="pct"/>
            <w:tcBorders>
              <w:top w:val="single" w:sz="12" w:space="0" w:color="008000"/>
              <w:bottom w:val="single" w:sz="6" w:space="0" w:color="008000"/>
            </w:tcBorders>
            <w:shd w:val="clear" w:color="auto" w:fill="FFFFFF"/>
          </w:tcPr>
          <w:p w:rsidR="00DB4441" w:rsidRPr="00F97588" w:rsidRDefault="00DB4441" w:rsidP="00B7132D">
            <w:pPr>
              <w:tabs>
                <w:tab w:val="clear" w:pos="7100"/>
              </w:tabs>
              <w:spacing w:line="240" w:lineRule="auto"/>
              <w:jc w:val="center"/>
              <w:rPr>
                <w:rFonts w:eastAsiaTheme="minorHAnsi" w:cs="Arial"/>
                <w:sz w:val="20"/>
                <w:lang w:eastAsia="ko-KR"/>
              </w:rPr>
            </w:pPr>
            <w:r w:rsidRPr="00F97588">
              <w:rPr>
                <w:rFonts w:eastAsiaTheme="minorHAnsi" w:cs="Arial"/>
                <w:sz w:val="20"/>
                <w:lang w:eastAsia="ko-KR"/>
              </w:rPr>
              <w:t>Value</w:t>
            </w:r>
            <w:r w:rsidRPr="00F97588">
              <w:rPr>
                <w:rFonts w:eastAsiaTheme="minorHAnsi" w:cs="Arial"/>
                <w:sz w:val="20"/>
                <w:vertAlign w:val="superscript"/>
                <w:lang w:eastAsia="ko-KR"/>
              </w:rPr>
              <w:t>*</w:t>
            </w:r>
          </w:p>
        </w:tc>
      </w:tr>
      <w:tr w:rsidR="00DB4441" w:rsidRPr="00DB4441" w:rsidTr="00B7132D">
        <w:tc>
          <w:tcPr>
            <w:tcW w:w="2500" w:type="pct"/>
            <w:shd w:val="clear" w:color="auto" w:fill="FFFFFF"/>
          </w:tcPr>
          <w:p w:rsidR="00DB4441" w:rsidRPr="00F97588" w:rsidRDefault="00DB4441" w:rsidP="00B7132D">
            <w:pPr>
              <w:tabs>
                <w:tab w:val="clear" w:pos="7100"/>
              </w:tabs>
              <w:spacing w:line="240" w:lineRule="auto"/>
              <w:jc w:val="center"/>
              <w:rPr>
                <w:rFonts w:eastAsiaTheme="minorHAnsi" w:cs="Arial"/>
                <w:b/>
                <w:sz w:val="20"/>
                <w:lang w:eastAsia="ko-KR"/>
              </w:rPr>
            </w:pPr>
            <w:r w:rsidRPr="00F97588">
              <w:rPr>
                <w:rFonts w:eastAsiaTheme="minorHAnsi" w:cs="Arial"/>
                <w:sz w:val="20"/>
                <w:lang w:eastAsia="ko-KR"/>
              </w:rPr>
              <w:t>TN  (mg/l)</w:t>
            </w:r>
          </w:p>
        </w:tc>
        <w:tc>
          <w:tcPr>
            <w:tcW w:w="2500" w:type="pct"/>
            <w:shd w:val="clear" w:color="auto" w:fill="FFFFFF"/>
          </w:tcPr>
          <w:p w:rsidR="00DB4441" w:rsidRPr="00F97588" w:rsidRDefault="00DB4441" w:rsidP="00B7132D">
            <w:pPr>
              <w:tabs>
                <w:tab w:val="clear" w:pos="7100"/>
              </w:tabs>
              <w:spacing w:line="240" w:lineRule="auto"/>
              <w:jc w:val="center"/>
              <w:rPr>
                <w:rFonts w:eastAsiaTheme="minorHAnsi" w:cs="Arial"/>
                <w:sz w:val="20"/>
                <w:lang w:eastAsia="ko-KR"/>
              </w:rPr>
            </w:pPr>
            <w:r w:rsidRPr="00F97588">
              <w:rPr>
                <w:rFonts w:eastAsiaTheme="minorHAnsi" w:cs="Arial"/>
                <w:sz w:val="20"/>
                <w:lang w:eastAsia="ko-KR"/>
              </w:rPr>
              <w:t>835.1±18</w:t>
            </w:r>
          </w:p>
        </w:tc>
      </w:tr>
      <w:tr w:rsidR="00DB4441" w:rsidRPr="00DB4441" w:rsidTr="00B7132D">
        <w:tc>
          <w:tcPr>
            <w:tcW w:w="2500" w:type="pct"/>
            <w:shd w:val="clear" w:color="auto" w:fill="FFFFFF"/>
          </w:tcPr>
          <w:p w:rsidR="00DB4441" w:rsidRPr="00F97588" w:rsidRDefault="00DB4441" w:rsidP="00B7132D">
            <w:pPr>
              <w:tabs>
                <w:tab w:val="clear" w:pos="7100"/>
              </w:tabs>
              <w:spacing w:line="240" w:lineRule="auto"/>
              <w:jc w:val="center"/>
              <w:rPr>
                <w:rFonts w:eastAsiaTheme="minorHAnsi" w:cs="Arial"/>
                <w:b/>
                <w:sz w:val="20"/>
                <w:lang w:eastAsia="ko-KR"/>
              </w:rPr>
            </w:pPr>
            <w:r w:rsidRPr="00F97588">
              <w:rPr>
                <w:rFonts w:eastAsiaTheme="minorHAnsi" w:cs="Arial"/>
                <w:sz w:val="20"/>
                <w:lang w:eastAsia="ko-KR"/>
              </w:rPr>
              <w:t>TKN (mg/l)</w:t>
            </w:r>
          </w:p>
        </w:tc>
        <w:tc>
          <w:tcPr>
            <w:tcW w:w="2500" w:type="pct"/>
            <w:shd w:val="clear" w:color="auto" w:fill="FFFFFF"/>
          </w:tcPr>
          <w:p w:rsidR="00DB4441" w:rsidRPr="00F97588" w:rsidRDefault="00DB4441" w:rsidP="00B7132D">
            <w:pPr>
              <w:tabs>
                <w:tab w:val="clear" w:pos="7100"/>
              </w:tabs>
              <w:spacing w:line="240" w:lineRule="auto"/>
              <w:jc w:val="center"/>
              <w:rPr>
                <w:rFonts w:eastAsiaTheme="minorHAnsi" w:cs="Arial"/>
                <w:sz w:val="20"/>
                <w:lang w:eastAsia="ko-KR"/>
              </w:rPr>
            </w:pPr>
            <w:r w:rsidRPr="00F97588">
              <w:rPr>
                <w:rFonts w:eastAsiaTheme="minorHAnsi" w:cs="Arial"/>
                <w:sz w:val="20"/>
                <w:lang w:eastAsia="ko-KR"/>
              </w:rPr>
              <w:t>325.1±15</w:t>
            </w:r>
          </w:p>
        </w:tc>
      </w:tr>
      <w:tr w:rsidR="00DB4441" w:rsidRPr="00DB4441" w:rsidTr="00B7132D">
        <w:tc>
          <w:tcPr>
            <w:tcW w:w="2500" w:type="pct"/>
            <w:shd w:val="clear" w:color="auto" w:fill="FFFFFF"/>
          </w:tcPr>
          <w:p w:rsidR="00DB4441" w:rsidRPr="00F97588" w:rsidRDefault="00DB4441" w:rsidP="00B7132D">
            <w:pPr>
              <w:tabs>
                <w:tab w:val="clear" w:pos="7100"/>
              </w:tabs>
              <w:spacing w:line="240" w:lineRule="auto"/>
              <w:jc w:val="center"/>
              <w:rPr>
                <w:rFonts w:eastAsiaTheme="minorHAnsi" w:cs="Arial"/>
                <w:b/>
                <w:sz w:val="20"/>
                <w:lang w:eastAsia="ko-KR"/>
              </w:rPr>
            </w:pPr>
            <w:r w:rsidRPr="00F97588">
              <w:rPr>
                <w:rFonts w:eastAsiaTheme="minorHAnsi" w:cs="Arial"/>
                <w:sz w:val="20"/>
                <w:lang w:eastAsia="ko-KR"/>
              </w:rPr>
              <w:t>N-NH</w:t>
            </w:r>
            <w:r w:rsidRPr="00F97588">
              <w:rPr>
                <w:rFonts w:eastAsiaTheme="minorHAnsi" w:cs="Arial"/>
                <w:sz w:val="20"/>
                <w:vertAlign w:val="subscript"/>
                <w:lang w:eastAsia="ko-KR"/>
              </w:rPr>
              <w:t>4</w:t>
            </w:r>
            <w:r w:rsidRPr="00F97588">
              <w:rPr>
                <w:rFonts w:eastAsiaTheme="minorHAnsi" w:cs="Arial"/>
                <w:sz w:val="20"/>
                <w:lang w:eastAsia="ko-KR"/>
              </w:rPr>
              <w:t>+ (mg/l)</w:t>
            </w:r>
          </w:p>
        </w:tc>
        <w:tc>
          <w:tcPr>
            <w:tcW w:w="2500" w:type="pct"/>
            <w:shd w:val="clear" w:color="auto" w:fill="FFFFFF"/>
          </w:tcPr>
          <w:p w:rsidR="00DB4441" w:rsidRPr="00F97588" w:rsidRDefault="00DB4441" w:rsidP="00B7132D">
            <w:pPr>
              <w:tabs>
                <w:tab w:val="clear" w:pos="7100"/>
              </w:tabs>
              <w:spacing w:line="240" w:lineRule="auto"/>
              <w:jc w:val="center"/>
              <w:rPr>
                <w:rFonts w:eastAsiaTheme="minorHAnsi" w:cs="Arial"/>
                <w:sz w:val="20"/>
                <w:lang w:eastAsia="ko-KR"/>
              </w:rPr>
            </w:pPr>
            <w:r w:rsidRPr="00F97588">
              <w:rPr>
                <w:rFonts w:eastAsiaTheme="minorHAnsi" w:cs="Arial"/>
                <w:sz w:val="20"/>
                <w:lang w:eastAsia="ko-KR"/>
              </w:rPr>
              <w:t>122.2±13</w:t>
            </w:r>
          </w:p>
        </w:tc>
      </w:tr>
      <w:tr w:rsidR="00DB4441" w:rsidRPr="00DB4441" w:rsidTr="00B7132D">
        <w:tc>
          <w:tcPr>
            <w:tcW w:w="2500" w:type="pct"/>
            <w:shd w:val="clear" w:color="auto" w:fill="FFFFFF"/>
          </w:tcPr>
          <w:p w:rsidR="00DB4441" w:rsidRPr="00F97588" w:rsidRDefault="00DB4441" w:rsidP="00B7132D">
            <w:pPr>
              <w:tabs>
                <w:tab w:val="clear" w:pos="7100"/>
              </w:tabs>
              <w:spacing w:line="240" w:lineRule="auto"/>
              <w:jc w:val="center"/>
              <w:rPr>
                <w:rFonts w:eastAsiaTheme="minorHAnsi" w:cs="Arial"/>
                <w:b/>
                <w:sz w:val="20"/>
                <w:lang w:eastAsia="ko-KR"/>
              </w:rPr>
            </w:pPr>
            <w:r w:rsidRPr="00F97588">
              <w:rPr>
                <w:rFonts w:eastAsiaTheme="minorHAnsi" w:cs="Arial"/>
                <w:sz w:val="20"/>
                <w:lang w:eastAsia="ko-KR"/>
              </w:rPr>
              <w:t>Total organic N (mg/l)</w:t>
            </w:r>
          </w:p>
        </w:tc>
        <w:tc>
          <w:tcPr>
            <w:tcW w:w="2500" w:type="pct"/>
            <w:shd w:val="clear" w:color="auto" w:fill="FFFFFF"/>
          </w:tcPr>
          <w:p w:rsidR="00DB4441" w:rsidRPr="00F97588" w:rsidRDefault="00DB4441" w:rsidP="00B7132D">
            <w:pPr>
              <w:tabs>
                <w:tab w:val="clear" w:pos="7100"/>
              </w:tabs>
              <w:spacing w:line="240" w:lineRule="auto"/>
              <w:jc w:val="center"/>
              <w:rPr>
                <w:rFonts w:eastAsiaTheme="minorHAnsi" w:cs="Arial"/>
                <w:sz w:val="20"/>
                <w:lang w:eastAsia="ko-KR"/>
              </w:rPr>
            </w:pPr>
            <w:r w:rsidRPr="00F97588">
              <w:rPr>
                <w:rFonts w:eastAsiaTheme="minorHAnsi" w:cs="Arial"/>
                <w:sz w:val="20"/>
                <w:lang w:eastAsia="ko-KR"/>
              </w:rPr>
              <w:t>215.4±10</w:t>
            </w:r>
          </w:p>
        </w:tc>
      </w:tr>
      <w:tr w:rsidR="00DB4441" w:rsidRPr="00DB4441" w:rsidTr="00B7132D">
        <w:tc>
          <w:tcPr>
            <w:tcW w:w="2500" w:type="pct"/>
            <w:shd w:val="clear" w:color="auto" w:fill="FFFFFF"/>
          </w:tcPr>
          <w:p w:rsidR="00DB4441" w:rsidRPr="00F97588" w:rsidRDefault="00DB4441" w:rsidP="00B7132D">
            <w:pPr>
              <w:tabs>
                <w:tab w:val="clear" w:pos="7100"/>
              </w:tabs>
              <w:spacing w:line="240" w:lineRule="auto"/>
              <w:jc w:val="center"/>
              <w:rPr>
                <w:rFonts w:eastAsiaTheme="minorHAnsi" w:cs="Arial"/>
                <w:b/>
                <w:sz w:val="20"/>
                <w:lang w:val="it-IT" w:eastAsia="ko-KR"/>
              </w:rPr>
            </w:pPr>
            <w:r w:rsidRPr="00F97588">
              <w:rPr>
                <w:rFonts w:eastAsiaTheme="minorHAnsi" w:cs="Arial"/>
                <w:sz w:val="20"/>
                <w:lang w:val="it-IT" w:eastAsia="ko-KR"/>
              </w:rPr>
              <w:t>N-NO</w:t>
            </w:r>
            <w:r w:rsidRPr="00F97588">
              <w:rPr>
                <w:rFonts w:eastAsiaTheme="minorHAnsi" w:cs="Arial"/>
                <w:sz w:val="20"/>
                <w:vertAlign w:val="subscript"/>
                <w:lang w:val="it-IT" w:eastAsia="ko-KR"/>
              </w:rPr>
              <w:t>2</w:t>
            </w:r>
            <w:r w:rsidRPr="00F97588">
              <w:rPr>
                <w:rFonts w:eastAsiaTheme="minorHAnsi" w:cs="Arial"/>
                <w:sz w:val="20"/>
                <w:vertAlign w:val="superscript"/>
                <w:lang w:val="it-IT" w:eastAsia="ko-KR"/>
              </w:rPr>
              <w:t>-</w:t>
            </w:r>
            <w:r w:rsidRPr="00F97588">
              <w:rPr>
                <w:rFonts w:eastAsiaTheme="minorHAnsi" w:cs="Arial"/>
                <w:sz w:val="20"/>
                <w:lang w:val="it-IT" w:eastAsia="ko-KR"/>
              </w:rPr>
              <w:t xml:space="preserve"> e N-NO</w:t>
            </w:r>
            <w:r w:rsidRPr="00F97588">
              <w:rPr>
                <w:rFonts w:eastAsiaTheme="minorHAnsi" w:cs="Arial"/>
                <w:sz w:val="20"/>
                <w:vertAlign w:val="subscript"/>
                <w:lang w:val="it-IT" w:eastAsia="ko-KR"/>
              </w:rPr>
              <w:t>3</w:t>
            </w:r>
            <w:r w:rsidRPr="00F97588">
              <w:rPr>
                <w:rFonts w:eastAsiaTheme="minorHAnsi" w:cs="Arial"/>
                <w:sz w:val="20"/>
                <w:vertAlign w:val="superscript"/>
                <w:lang w:val="it-IT" w:eastAsia="ko-KR"/>
              </w:rPr>
              <w:t>-</w:t>
            </w:r>
            <w:r w:rsidRPr="00F97588">
              <w:rPr>
                <w:rFonts w:eastAsiaTheme="minorHAnsi" w:cs="Arial"/>
                <w:sz w:val="20"/>
                <w:lang w:val="it-IT" w:eastAsia="ko-KR"/>
              </w:rPr>
              <w:t xml:space="preserve"> (mg/l)</w:t>
            </w:r>
          </w:p>
        </w:tc>
        <w:tc>
          <w:tcPr>
            <w:tcW w:w="2500" w:type="pct"/>
            <w:shd w:val="clear" w:color="auto" w:fill="FFFFFF"/>
          </w:tcPr>
          <w:p w:rsidR="00DB4441" w:rsidRPr="00F97588" w:rsidRDefault="00DB4441" w:rsidP="00B7132D">
            <w:pPr>
              <w:tabs>
                <w:tab w:val="clear" w:pos="7100"/>
              </w:tabs>
              <w:spacing w:line="240" w:lineRule="auto"/>
              <w:jc w:val="center"/>
              <w:rPr>
                <w:rFonts w:eastAsiaTheme="minorHAnsi" w:cs="Arial"/>
                <w:sz w:val="20"/>
                <w:lang w:eastAsia="ko-KR"/>
              </w:rPr>
            </w:pPr>
            <w:r w:rsidRPr="00F97588">
              <w:rPr>
                <w:rFonts w:eastAsiaTheme="minorHAnsi" w:cs="Arial"/>
                <w:sz w:val="20"/>
                <w:lang w:eastAsia="ko-KR"/>
              </w:rPr>
              <w:t>529.2±14</w:t>
            </w:r>
          </w:p>
        </w:tc>
      </w:tr>
      <w:tr w:rsidR="00DB4441" w:rsidRPr="00DB4441" w:rsidTr="00B7132D">
        <w:tc>
          <w:tcPr>
            <w:tcW w:w="2500" w:type="pct"/>
            <w:shd w:val="clear" w:color="auto" w:fill="FFFFFF"/>
          </w:tcPr>
          <w:p w:rsidR="00DB4441" w:rsidRPr="00F97588" w:rsidRDefault="00DB4441" w:rsidP="00B7132D">
            <w:pPr>
              <w:tabs>
                <w:tab w:val="clear" w:pos="7100"/>
              </w:tabs>
              <w:spacing w:line="240" w:lineRule="auto"/>
              <w:jc w:val="center"/>
              <w:rPr>
                <w:rFonts w:eastAsiaTheme="minorHAnsi" w:cs="Arial"/>
                <w:b/>
                <w:sz w:val="20"/>
                <w:lang w:eastAsia="ko-KR"/>
              </w:rPr>
            </w:pPr>
            <w:r w:rsidRPr="00F97588">
              <w:rPr>
                <w:rFonts w:eastAsiaTheme="minorHAnsi" w:cs="Arial"/>
                <w:sz w:val="20"/>
                <w:lang w:eastAsia="ko-KR"/>
              </w:rPr>
              <w:t>TOC (g/kg)</w:t>
            </w:r>
          </w:p>
        </w:tc>
        <w:tc>
          <w:tcPr>
            <w:tcW w:w="2500" w:type="pct"/>
            <w:shd w:val="clear" w:color="auto" w:fill="FFFFFF"/>
          </w:tcPr>
          <w:p w:rsidR="00DB4441" w:rsidRPr="00F97588" w:rsidRDefault="00DB4441" w:rsidP="00B7132D">
            <w:pPr>
              <w:tabs>
                <w:tab w:val="clear" w:pos="7100"/>
              </w:tabs>
              <w:spacing w:line="240" w:lineRule="auto"/>
              <w:jc w:val="center"/>
              <w:rPr>
                <w:rFonts w:eastAsiaTheme="minorHAnsi" w:cs="Arial"/>
                <w:sz w:val="20"/>
                <w:lang w:eastAsia="ko-KR"/>
              </w:rPr>
            </w:pPr>
            <w:r w:rsidRPr="00F97588">
              <w:rPr>
                <w:rFonts w:eastAsiaTheme="minorHAnsi" w:cs="Arial"/>
                <w:sz w:val="20"/>
                <w:lang w:eastAsia="ko-KR"/>
              </w:rPr>
              <w:t>240.1±16</w:t>
            </w:r>
          </w:p>
        </w:tc>
      </w:tr>
      <w:tr w:rsidR="00DB4441" w:rsidRPr="00DB4441" w:rsidTr="00B7132D">
        <w:tc>
          <w:tcPr>
            <w:tcW w:w="5000" w:type="pct"/>
            <w:gridSpan w:val="2"/>
            <w:shd w:val="clear" w:color="auto" w:fill="FFFFFF"/>
          </w:tcPr>
          <w:p w:rsidR="00DB4441" w:rsidRPr="00F97588" w:rsidRDefault="00DB4441" w:rsidP="00B7132D">
            <w:pPr>
              <w:tabs>
                <w:tab w:val="clear" w:pos="7100"/>
              </w:tabs>
              <w:spacing w:line="240" w:lineRule="auto"/>
              <w:jc w:val="center"/>
              <w:rPr>
                <w:rFonts w:eastAsiaTheme="minorHAnsi" w:cs="Arial"/>
                <w:sz w:val="20"/>
                <w:lang w:eastAsia="ko-KR"/>
              </w:rPr>
            </w:pPr>
            <w:r w:rsidRPr="00F97588">
              <w:rPr>
                <w:rFonts w:eastAsiaTheme="minorHAnsi" w:cs="Arial"/>
                <w:sz w:val="20"/>
                <w:lang w:eastAsia="ko-KR"/>
              </w:rPr>
              <w:t>*The results are the average of three experiments replicated on the liquid after sampling.</w:t>
            </w:r>
          </w:p>
        </w:tc>
      </w:tr>
    </w:tbl>
    <w:p w:rsidR="00E61C6F" w:rsidRDefault="00E61C6F" w:rsidP="00E61C6F">
      <w:pPr>
        <w:pStyle w:val="CETBodytext"/>
        <w:rPr>
          <w:i/>
          <w:lang w:val="en-GB"/>
        </w:rPr>
      </w:pPr>
      <w:r w:rsidRPr="0025781B">
        <w:rPr>
          <w:i/>
          <w:lang w:val="en-GB"/>
        </w:rPr>
        <w:t>Table 2 TL Parameters</w:t>
      </w:r>
    </w:p>
    <w:p w:rsidR="00E61C6F" w:rsidRDefault="00E61C6F" w:rsidP="00E61C6F">
      <w:pPr>
        <w:pStyle w:val="CETBodytext"/>
      </w:pPr>
    </w:p>
    <w:p w:rsidR="00E61C6F" w:rsidRDefault="00E61C6F" w:rsidP="00E61C6F">
      <w:pPr>
        <w:pStyle w:val="CETBodytext"/>
      </w:pPr>
      <w:r>
        <w:t>I</w:t>
      </w:r>
      <w:r w:rsidRPr="000059BF">
        <w:t xml:space="preserve">n particular, in the second column of the Table 2 the mean values (the mean of 3 different values obtained on three different TL collected at the end of three consecutive months) of total nitrogen, organic and inorganic </w:t>
      </w:r>
      <w:r w:rsidRPr="000059BF">
        <w:lastRenderedPageBreak/>
        <w:t>nitrogen and of TOC were reported. The latter evidently shows the highest values of inorganic nitrogen deriving from the microbial action.</w:t>
      </w:r>
    </w:p>
    <w:p w:rsidR="000059BF" w:rsidRPr="000059BF" w:rsidRDefault="000059BF" w:rsidP="00B4115E">
      <w:pPr>
        <w:pStyle w:val="CETHeading1"/>
      </w:pPr>
      <w:r w:rsidRPr="000059BF">
        <w:t xml:space="preserve">Conclusion </w:t>
      </w:r>
    </w:p>
    <w:p w:rsidR="000059BF" w:rsidRPr="000059BF" w:rsidRDefault="000059BF" w:rsidP="000059BF">
      <w:pPr>
        <w:pStyle w:val="CETBodytext"/>
        <w:rPr>
          <w:lang w:val="en-GB"/>
        </w:rPr>
      </w:pPr>
      <w:r w:rsidRPr="000059BF">
        <w:rPr>
          <w:lang w:val="en-GB"/>
        </w:rPr>
        <w:t xml:space="preserve">Most of the organic solid waste produced by biological treatments, dry sludge and bio-filters (peat, soil, compost, wood bark) can be included in a scheme to recover resources in terms of land application or composting. The results of the experiments highlight the increase of the inorganic nitrogen content due to the microbial action. In general, all the values suggest the possibility of using these liquids as a base for fertilizers or as fertilizers. Due to their characteristics, and also thanks to the sterilizing action of the ultrasonic cavitation treatment before discharge, the recovered TL can be recognized into the category of nitrogen mineral </w:t>
      </w:r>
      <w:proofErr w:type="spellStart"/>
      <w:r w:rsidRPr="000059BF">
        <w:rPr>
          <w:lang w:val="en-GB"/>
        </w:rPr>
        <w:t>organo</w:t>
      </w:r>
      <w:proofErr w:type="spellEnd"/>
      <w:r w:rsidRPr="000059BF">
        <w:rPr>
          <w:lang w:val="en-GB"/>
        </w:rPr>
        <w:t xml:space="preserve">-fluid fertilizers (Annex 1 of </w:t>
      </w:r>
      <w:proofErr w:type="spellStart"/>
      <w:r w:rsidRPr="000059BF">
        <w:rPr>
          <w:lang w:val="en-GB"/>
        </w:rPr>
        <w:t>Dlgs</w:t>
      </w:r>
      <w:proofErr w:type="spellEnd"/>
      <w:r w:rsidRPr="000059BF">
        <w:rPr>
          <w:lang w:val="en-GB"/>
        </w:rPr>
        <w:t>. 75/2010 Table 6.1.1). It should also be stressed that nitrogen in the nitric form is absorbed faster by plants, producing visible results in the short term. Moreover, the N/C ratio ensures good biodegradability of the material. Finally, the high moisture content makes it possible to produce more concentrated fertilizers, thus determining an increase in nutrient contents at the same weight. It is worth noticing, that the microbial charge after ultrasonic cavitation, which evaluation is not object of this paper, is non-pathogenic.</w:t>
      </w:r>
    </w:p>
    <w:p w:rsidR="000059BF" w:rsidRPr="000059BF" w:rsidRDefault="000059BF" w:rsidP="00B4115E">
      <w:pPr>
        <w:pStyle w:val="CETAcknowledgementstitle"/>
      </w:pPr>
      <w:r w:rsidRPr="000059BF">
        <w:t>Acknowledgements</w:t>
      </w:r>
    </w:p>
    <w:p w:rsidR="000059BF" w:rsidRPr="000059BF" w:rsidRDefault="000059BF" w:rsidP="000059BF">
      <w:pPr>
        <w:pStyle w:val="CETBodytext"/>
        <w:rPr>
          <w:lang w:val="en-GB"/>
        </w:rPr>
      </w:pPr>
      <w:r w:rsidRPr="000059BF">
        <w:rPr>
          <w:lang w:val="en-GB"/>
        </w:rPr>
        <w:t>This research was supported by National Operative Programme for Enterprises and Competitiveness 2014-2020, funded by the European Union (Horizon 2020. Zero bio-emissions. PON_014/2020).</w:t>
      </w:r>
    </w:p>
    <w:p w:rsidR="000059BF" w:rsidRPr="000059BF" w:rsidRDefault="000059BF" w:rsidP="000059BF">
      <w:pPr>
        <w:pStyle w:val="CETBodytext"/>
        <w:rPr>
          <w:lang w:val="en-GB"/>
        </w:rPr>
      </w:pPr>
      <w:r w:rsidRPr="000059BF">
        <w:rPr>
          <w:lang w:val="en-GB"/>
        </w:rPr>
        <w:t xml:space="preserve">We thanks </w:t>
      </w:r>
      <w:proofErr w:type="spellStart"/>
      <w:r w:rsidRPr="000059BF">
        <w:rPr>
          <w:lang w:val="en-GB"/>
        </w:rPr>
        <w:t>Dr.</w:t>
      </w:r>
      <w:proofErr w:type="spellEnd"/>
      <w:r w:rsidRPr="000059BF">
        <w:rPr>
          <w:lang w:val="en-GB"/>
        </w:rPr>
        <w:t xml:space="preserve"> Gerardo </w:t>
      </w:r>
      <w:proofErr w:type="spellStart"/>
      <w:r w:rsidRPr="000059BF">
        <w:rPr>
          <w:lang w:val="en-GB"/>
        </w:rPr>
        <w:t>Vuotto</w:t>
      </w:r>
      <w:proofErr w:type="spellEnd"/>
      <w:r w:rsidRPr="000059BF">
        <w:rPr>
          <w:lang w:val="en-GB"/>
        </w:rPr>
        <w:t xml:space="preserve"> of “Centro </w:t>
      </w:r>
      <w:proofErr w:type="spellStart"/>
      <w:r w:rsidRPr="000059BF">
        <w:rPr>
          <w:lang w:val="en-GB"/>
        </w:rPr>
        <w:t>Diagnostico</w:t>
      </w:r>
      <w:proofErr w:type="spellEnd"/>
      <w:r w:rsidRPr="000059BF">
        <w:rPr>
          <w:lang w:val="en-GB"/>
        </w:rPr>
        <w:t xml:space="preserve"> </w:t>
      </w:r>
      <w:proofErr w:type="spellStart"/>
      <w:r w:rsidRPr="000059BF">
        <w:rPr>
          <w:lang w:val="en-GB"/>
        </w:rPr>
        <w:t>Baronia</w:t>
      </w:r>
      <w:proofErr w:type="spellEnd"/>
      <w:r w:rsidRPr="000059BF">
        <w:rPr>
          <w:lang w:val="en-GB"/>
        </w:rPr>
        <w:t>” for supplying bio-trickling liquid waste residue.</w:t>
      </w:r>
    </w:p>
    <w:p w:rsidR="00DB4441" w:rsidRDefault="000059BF" w:rsidP="00DB4441">
      <w:pPr>
        <w:pStyle w:val="CETBodytext"/>
        <w:rPr>
          <w:lang w:val="en-GB"/>
        </w:rPr>
      </w:pPr>
      <w:r w:rsidRPr="000059BF">
        <w:rPr>
          <w:lang w:val="en-GB"/>
        </w:rPr>
        <w:t xml:space="preserve">  </w:t>
      </w:r>
    </w:p>
    <w:p w:rsidR="000059BF" w:rsidRPr="00DB4441" w:rsidRDefault="000059BF" w:rsidP="00DB4441">
      <w:pPr>
        <w:pStyle w:val="CETBodytext"/>
        <w:rPr>
          <w:b/>
        </w:rPr>
      </w:pPr>
      <w:r w:rsidRPr="00DB4441">
        <w:rPr>
          <w:b/>
        </w:rPr>
        <w:t xml:space="preserve">References. </w:t>
      </w:r>
    </w:p>
    <w:p w:rsidR="000059BF" w:rsidRPr="000059BF" w:rsidRDefault="000059BF" w:rsidP="000059BF">
      <w:pPr>
        <w:pStyle w:val="CETBodytext"/>
        <w:rPr>
          <w:lang w:val="en-GB"/>
        </w:rPr>
      </w:pPr>
      <w:r w:rsidRPr="000059BF">
        <w:rPr>
          <w:lang w:val="en-GB"/>
        </w:rPr>
        <w:t>Cox H</w:t>
      </w:r>
      <w:r w:rsidR="00CF0658">
        <w:rPr>
          <w:lang w:val="en-GB"/>
        </w:rPr>
        <w:t>.</w:t>
      </w:r>
      <w:r w:rsidRPr="000059BF">
        <w:rPr>
          <w:lang w:val="en-GB"/>
        </w:rPr>
        <w:t>H</w:t>
      </w:r>
      <w:r w:rsidR="00CF0658">
        <w:rPr>
          <w:lang w:val="en-GB"/>
        </w:rPr>
        <w:t>.</w:t>
      </w:r>
      <w:r w:rsidRPr="000059BF">
        <w:rPr>
          <w:lang w:val="en-GB"/>
        </w:rPr>
        <w:t>J</w:t>
      </w:r>
      <w:r w:rsidR="00CF0658">
        <w:rPr>
          <w:lang w:val="en-GB"/>
        </w:rPr>
        <w:t>.</w:t>
      </w:r>
      <w:r w:rsidRPr="000059BF">
        <w:rPr>
          <w:lang w:val="en-GB"/>
        </w:rPr>
        <w:t>, Nguyen T</w:t>
      </w:r>
      <w:r w:rsidR="00CF0658">
        <w:rPr>
          <w:lang w:val="en-GB"/>
        </w:rPr>
        <w:t>.</w:t>
      </w:r>
      <w:r w:rsidRPr="000059BF">
        <w:rPr>
          <w:lang w:val="en-GB"/>
        </w:rPr>
        <w:t>T</w:t>
      </w:r>
      <w:r w:rsidR="00CF0658">
        <w:rPr>
          <w:lang w:val="en-GB"/>
        </w:rPr>
        <w:t xml:space="preserve">., </w:t>
      </w:r>
      <w:proofErr w:type="spellStart"/>
      <w:r w:rsidRPr="000059BF">
        <w:rPr>
          <w:lang w:val="en-GB"/>
        </w:rPr>
        <w:t>Deshusses</w:t>
      </w:r>
      <w:proofErr w:type="spellEnd"/>
      <w:r w:rsidRPr="000059BF">
        <w:rPr>
          <w:lang w:val="en-GB"/>
        </w:rPr>
        <w:t xml:space="preserve"> M</w:t>
      </w:r>
      <w:r w:rsidR="00CF0658">
        <w:rPr>
          <w:lang w:val="en-GB"/>
        </w:rPr>
        <w:t>.</w:t>
      </w:r>
      <w:r w:rsidRPr="000059BF">
        <w:rPr>
          <w:lang w:val="en-GB"/>
        </w:rPr>
        <w:t>A</w:t>
      </w:r>
      <w:r w:rsidR="00CF0658">
        <w:rPr>
          <w:lang w:val="en-GB"/>
        </w:rPr>
        <w:t xml:space="preserve">., 2000, </w:t>
      </w:r>
      <w:r w:rsidRPr="000059BF">
        <w:rPr>
          <w:lang w:val="en-GB"/>
        </w:rPr>
        <w:t xml:space="preserve">Toluene degradation in the recycle liquid of </w:t>
      </w:r>
      <w:proofErr w:type="spellStart"/>
      <w:r w:rsidRPr="000059BF">
        <w:rPr>
          <w:lang w:val="en-GB"/>
        </w:rPr>
        <w:t>biotrickling</w:t>
      </w:r>
      <w:proofErr w:type="spellEnd"/>
      <w:r w:rsidRPr="000059BF">
        <w:rPr>
          <w:lang w:val="en-GB"/>
        </w:rPr>
        <w:t xml:space="preserve"> filters for air pollution control, Applied Microbiology and Biotechnology 54, 133–137.</w:t>
      </w:r>
    </w:p>
    <w:p w:rsidR="000059BF" w:rsidRPr="000059BF" w:rsidRDefault="000059BF" w:rsidP="000059BF">
      <w:pPr>
        <w:pStyle w:val="CETBodytext"/>
        <w:rPr>
          <w:lang w:val="en-GB"/>
        </w:rPr>
      </w:pPr>
      <w:proofErr w:type="spellStart"/>
      <w:r w:rsidRPr="000059BF">
        <w:rPr>
          <w:lang w:val="en-GB"/>
        </w:rPr>
        <w:t>Frutos</w:t>
      </w:r>
      <w:proofErr w:type="spellEnd"/>
      <w:r w:rsidRPr="000059BF">
        <w:rPr>
          <w:lang w:val="en-GB"/>
        </w:rPr>
        <w:t xml:space="preserve"> O</w:t>
      </w:r>
      <w:r w:rsidR="00CF0658">
        <w:rPr>
          <w:lang w:val="en-GB"/>
        </w:rPr>
        <w:t>.</w:t>
      </w:r>
      <w:r w:rsidRPr="000059BF">
        <w:rPr>
          <w:lang w:val="en-GB"/>
        </w:rPr>
        <w:t>D</w:t>
      </w:r>
      <w:r w:rsidR="00CF0658">
        <w:rPr>
          <w:lang w:val="en-GB"/>
        </w:rPr>
        <w:t>.</w:t>
      </w:r>
      <w:r w:rsidRPr="000059BF">
        <w:rPr>
          <w:lang w:val="en-GB"/>
        </w:rPr>
        <w:t xml:space="preserve">, </w:t>
      </w:r>
      <w:proofErr w:type="spellStart"/>
      <w:r w:rsidRPr="000059BF">
        <w:rPr>
          <w:lang w:val="en-GB"/>
        </w:rPr>
        <w:t>Quijano</w:t>
      </w:r>
      <w:proofErr w:type="spellEnd"/>
      <w:r w:rsidRPr="000059BF">
        <w:rPr>
          <w:lang w:val="en-GB"/>
        </w:rPr>
        <w:t xml:space="preserve"> G</w:t>
      </w:r>
      <w:r w:rsidR="00CF0658">
        <w:rPr>
          <w:lang w:val="en-GB"/>
        </w:rPr>
        <w:t>.</w:t>
      </w:r>
      <w:r w:rsidRPr="000059BF">
        <w:rPr>
          <w:lang w:val="en-GB"/>
        </w:rPr>
        <w:t>, Pérez R</w:t>
      </w:r>
      <w:r w:rsidR="00CF0658">
        <w:rPr>
          <w:lang w:val="en-GB"/>
        </w:rPr>
        <w:t xml:space="preserve">., </w:t>
      </w:r>
      <w:r w:rsidRPr="000059BF">
        <w:rPr>
          <w:lang w:val="en-GB"/>
        </w:rPr>
        <w:t>Muñoz R</w:t>
      </w:r>
      <w:r w:rsidR="00CF0658">
        <w:rPr>
          <w:lang w:val="en-GB"/>
        </w:rPr>
        <w:t xml:space="preserve">., </w:t>
      </w:r>
      <w:r w:rsidRPr="000059BF">
        <w:rPr>
          <w:lang w:val="en-GB"/>
        </w:rPr>
        <w:t>2016</w:t>
      </w:r>
      <w:r w:rsidR="00CF0658">
        <w:rPr>
          <w:lang w:val="en-GB"/>
        </w:rPr>
        <w:t>,</w:t>
      </w:r>
      <w:r w:rsidRPr="000059BF">
        <w:rPr>
          <w:lang w:val="en-GB"/>
        </w:rPr>
        <w:t xml:space="preserve"> Simultaneous biological nitrous oxide abatement and wastewater treatment in a denitrifying off-gas </w:t>
      </w:r>
      <w:proofErr w:type="spellStart"/>
      <w:r w:rsidRPr="000059BF">
        <w:rPr>
          <w:lang w:val="en-GB"/>
        </w:rPr>
        <w:t>bioscrubber</w:t>
      </w:r>
      <w:proofErr w:type="spellEnd"/>
      <w:r w:rsidRPr="000059BF">
        <w:rPr>
          <w:lang w:val="en-GB"/>
        </w:rPr>
        <w:t>, Chemical Engineering Journal 288</w:t>
      </w:r>
      <w:r w:rsidR="00CF0658">
        <w:rPr>
          <w:lang w:val="en-GB"/>
        </w:rPr>
        <w:t xml:space="preserve">, </w:t>
      </w:r>
      <w:r w:rsidRPr="000059BF">
        <w:rPr>
          <w:lang w:val="en-GB"/>
        </w:rPr>
        <w:t xml:space="preserve"> 28-37</w:t>
      </w:r>
    </w:p>
    <w:p w:rsidR="000059BF" w:rsidRPr="000059BF" w:rsidRDefault="000059BF" w:rsidP="000059BF">
      <w:pPr>
        <w:pStyle w:val="CETBodytext"/>
        <w:rPr>
          <w:lang w:val="en-GB"/>
        </w:rPr>
      </w:pPr>
      <w:r w:rsidRPr="000059BF">
        <w:rPr>
          <w:lang w:val="en-GB"/>
        </w:rPr>
        <w:t>Gabriel D</w:t>
      </w:r>
      <w:r w:rsidR="00CF0658">
        <w:rPr>
          <w:lang w:val="en-GB"/>
        </w:rPr>
        <w:t xml:space="preserve">., </w:t>
      </w:r>
      <w:proofErr w:type="spellStart"/>
      <w:r w:rsidRPr="000059BF">
        <w:rPr>
          <w:lang w:val="en-GB"/>
        </w:rPr>
        <w:t>Deshusses</w:t>
      </w:r>
      <w:proofErr w:type="spellEnd"/>
      <w:r w:rsidRPr="000059BF">
        <w:rPr>
          <w:lang w:val="en-GB"/>
        </w:rPr>
        <w:t xml:space="preserve"> M</w:t>
      </w:r>
      <w:r w:rsidR="00CF0658">
        <w:rPr>
          <w:lang w:val="en-GB"/>
        </w:rPr>
        <w:t>.</w:t>
      </w:r>
      <w:r w:rsidRPr="000059BF">
        <w:rPr>
          <w:lang w:val="en-GB"/>
        </w:rPr>
        <w:t>A</w:t>
      </w:r>
      <w:r w:rsidR="00CF0658">
        <w:rPr>
          <w:lang w:val="en-GB"/>
        </w:rPr>
        <w:t xml:space="preserve">., </w:t>
      </w:r>
      <w:r w:rsidRPr="000059BF">
        <w:rPr>
          <w:lang w:val="en-GB"/>
        </w:rPr>
        <w:t>2003</w:t>
      </w:r>
      <w:r w:rsidR="00CF0658">
        <w:rPr>
          <w:lang w:val="en-GB"/>
        </w:rPr>
        <w:t>,</w:t>
      </w:r>
      <w:r w:rsidRPr="000059BF">
        <w:rPr>
          <w:lang w:val="en-GB"/>
        </w:rPr>
        <w:t xml:space="preserve"> Retrofitting existing chemical scrubbers to </w:t>
      </w:r>
      <w:proofErr w:type="spellStart"/>
      <w:r w:rsidRPr="000059BF">
        <w:rPr>
          <w:lang w:val="en-GB"/>
        </w:rPr>
        <w:t>biotrickling</w:t>
      </w:r>
      <w:proofErr w:type="spellEnd"/>
      <w:r w:rsidRPr="000059BF">
        <w:rPr>
          <w:lang w:val="en-GB"/>
        </w:rPr>
        <w:t xml:space="preserve"> filters for H2S emission control, Proceedings the Nation</w:t>
      </w:r>
      <w:r w:rsidR="00CF0658">
        <w:rPr>
          <w:lang w:val="en-GB"/>
        </w:rPr>
        <w:t xml:space="preserve">al. Academy of science USA 100, </w:t>
      </w:r>
      <w:r w:rsidRPr="000059BF">
        <w:rPr>
          <w:lang w:val="en-GB"/>
        </w:rPr>
        <w:t>6308–6312</w:t>
      </w:r>
      <w:r w:rsidR="00CF0658">
        <w:rPr>
          <w:lang w:val="en-GB"/>
        </w:rPr>
        <w:t>.</w:t>
      </w:r>
    </w:p>
    <w:p w:rsidR="000059BF" w:rsidRPr="000059BF" w:rsidRDefault="000059BF" w:rsidP="000059BF">
      <w:pPr>
        <w:pStyle w:val="CETBodytext"/>
        <w:rPr>
          <w:lang w:val="en-GB"/>
        </w:rPr>
      </w:pPr>
      <w:r w:rsidRPr="000059BF">
        <w:rPr>
          <w:lang w:val="en-GB"/>
        </w:rPr>
        <w:t>Liang W</w:t>
      </w:r>
      <w:r w:rsidR="00CF0658">
        <w:rPr>
          <w:lang w:val="en-GB"/>
        </w:rPr>
        <w:t>.</w:t>
      </w:r>
      <w:r w:rsidRPr="000059BF">
        <w:rPr>
          <w:lang w:val="en-GB"/>
        </w:rPr>
        <w:t>, Huang S</w:t>
      </w:r>
      <w:r w:rsidR="00CF0658">
        <w:rPr>
          <w:lang w:val="en-GB"/>
        </w:rPr>
        <w:t>.</w:t>
      </w:r>
      <w:r w:rsidRPr="000059BF">
        <w:rPr>
          <w:lang w:val="en-GB"/>
        </w:rPr>
        <w:t>, Liu J</w:t>
      </w:r>
      <w:r w:rsidR="00CF0658">
        <w:rPr>
          <w:lang w:val="en-GB"/>
        </w:rPr>
        <w:t>.</w:t>
      </w:r>
      <w:r w:rsidRPr="000059BF">
        <w:rPr>
          <w:lang w:val="en-GB"/>
        </w:rPr>
        <w:t>, Zhang R</w:t>
      </w:r>
      <w:r w:rsidR="00CF0658">
        <w:rPr>
          <w:lang w:val="en-GB"/>
        </w:rPr>
        <w:t xml:space="preserve">., </w:t>
      </w:r>
      <w:r w:rsidRPr="000059BF">
        <w:rPr>
          <w:lang w:val="en-GB"/>
        </w:rPr>
        <w:t>Yan F</w:t>
      </w:r>
      <w:r w:rsidR="00CF0658">
        <w:rPr>
          <w:lang w:val="en-GB"/>
        </w:rPr>
        <w:t>.,</w:t>
      </w:r>
      <w:r w:rsidRPr="000059BF">
        <w:rPr>
          <w:lang w:val="en-GB"/>
        </w:rPr>
        <w:t xml:space="preserve"> 2012</w:t>
      </w:r>
      <w:r w:rsidR="00CF0658">
        <w:rPr>
          <w:lang w:val="en-GB"/>
        </w:rPr>
        <w:t>,</w:t>
      </w:r>
      <w:r w:rsidRPr="000059BF">
        <w:rPr>
          <w:lang w:val="en-GB"/>
        </w:rPr>
        <w:t xml:space="preserve"> Removal of nitric oxide in a </w:t>
      </w:r>
      <w:proofErr w:type="spellStart"/>
      <w:r w:rsidRPr="000059BF">
        <w:rPr>
          <w:lang w:val="en-GB"/>
        </w:rPr>
        <w:t>biotrickling</w:t>
      </w:r>
      <w:proofErr w:type="spellEnd"/>
      <w:r w:rsidRPr="000059BF">
        <w:rPr>
          <w:lang w:val="en-GB"/>
        </w:rPr>
        <w:t xml:space="preserve"> filter under </w:t>
      </w:r>
      <w:proofErr w:type="spellStart"/>
      <w:r w:rsidRPr="000059BF">
        <w:rPr>
          <w:lang w:val="en-GB"/>
        </w:rPr>
        <w:t>thermophilic</w:t>
      </w:r>
      <w:proofErr w:type="spellEnd"/>
      <w:r w:rsidRPr="000059BF">
        <w:rPr>
          <w:lang w:val="en-GB"/>
        </w:rPr>
        <w:t xml:space="preserve"> condition using </w:t>
      </w:r>
      <w:proofErr w:type="spellStart"/>
      <w:r w:rsidRPr="000059BF">
        <w:rPr>
          <w:lang w:val="en-GB"/>
        </w:rPr>
        <w:t>Chelatococcus</w:t>
      </w:r>
      <w:proofErr w:type="spellEnd"/>
      <w:r w:rsidRPr="000059BF">
        <w:rPr>
          <w:lang w:val="en-GB"/>
        </w:rPr>
        <w:t xml:space="preserve"> </w:t>
      </w:r>
      <w:proofErr w:type="spellStart"/>
      <w:r w:rsidRPr="000059BF">
        <w:rPr>
          <w:lang w:val="en-GB"/>
        </w:rPr>
        <w:t>daeguensis</w:t>
      </w:r>
      <w:proofErr w:type="spellEnd"/>
      <w:r w:rsidRPr="000059BF">
        <w:rPr>
          <w:lang w:val="en-GB"/>
        </w:rPr>
        <w:t>, Journal of the Air &amp; Waste Management Association  62</w:t>
      </w:r>
      <w:r w:rsidR="00CF0658">
        <w:rPr>
          <w:lang w:val="en-GB"/>
        </w:rPr>
        <w:t xml:space="preserve">, </w:t>
      </w:r>
      <w:r w:rsidRPr="000059BF">
        <w:rPr>
          <w:lang w:val="en-GB"/>
        </w:rPr>
        <w:t>509-516</w:t>
      </w:r>
      <w:r w:rsidR="00CF0658">
        <w:rPr>
          <w:lang w:val="en-GB"/>
        </w:rPr>
        <w:t>.</w:t>
      </w:r>
    </w:p>
    <w:p w:rsidR="000059BF" w:rsidRPr="000059BF" w:rsidRDefault="000059BF" w:rsidP="000059BF">
      <w:pPr>
        <w:pStyle w:val="CETBodytext"/>
        <w:rPr>
          <w:lang w:val="en-GB"/>
        </w:rPr>
      </w:pPr>
      <w:r w:rsidRPr="000059BF">
        <w:rPr>
          <w:lang w:val="en-GB"/>
        </w:rPr>
        <w:t>Liu Y</w:t>
      </w:r>
      <w:r w:rsidR="00CF0658">
        <w:rPr>
          <w:lang w:val="en-GB"/>
        </w:rPr>
        <w:t>.</w:t>
      </w:r>
      <w:r w:rsidRPr="000059BF">
        <w:rPr>
          <w:lang w:val="en-GB"/>
        </w:rPr>
        <w:t>, Zhang J</w:t>
      </w:r>
      <w:r w:rsidR="00CF0658">
        <w:rPr>
          <w:lang w:val="en-GB"/>
        </w:rPr>
        <w:t>.</w:t>
      </w:r>
      <w:r w:rsidRPr="000059BF">
        <w:rPr>
          <w:lang w:val="en-GB"/>
        </w:rPr>
        <w:t>, Sheng C</w:t>
      </w:r>
      <w:r w:rsidR="00CF0658">
        <w:rPr>
          <w:lang w:val="en-GB"/>
        </w:rPr>
        <w:t>.</w:t>
      </w:r>
      <w:r w:rsidRPr="000059BF">
        <w:rPr>
          <w:lang w:val="en-GB"/>
        </w:rPr>
        <w:t>, Zhang Y</w:t>
      </w:r>
      <w:r w:rsidR="00CF0658">
        <w:rPr>
          <w:lang w:val="en-GB"/>
        </w:rPr>
        <w:t xml:space="preserve">., </w:t>
      </w:r>
      <w:r w:rsidRPr="000059BF">
        <w:rPr>
          <w:lang w:val="en-GB"/>
        </w:rPr>
        <w:t xml:space="preserve"> Zhao L</w:t>
      </w:r>
      <w:r w:rsidR="00CF0658">
        <w:rPr>
          <w:lang w:val="en-GB"/>
        </w:rPr>
        <w:t>.,  2</w:t>
      </w:r>
      <w:r w:rsidRPr="000059BF">
        <w:rPr>
          <w:lang w:val="en-GB"/>
        </w:rPr>
        <w:t>010</w:t>
      </w:r>
      <w:r w:rsidR="00CF0658">
        <w:rPr>
          <w:lang w:val="en-GB"/>
        </w:rPr>
        <w:t>,</w:t>
      </w:r>
      <w:r w:rsidRPr="000059BF">
        <w:rPr>
          <w:lang w:val="en-GB"/>
        </w:rPr>
        <w:t xml:space="preserve"> Simultaneous removal of NO and SO2 from coal-fired flue gas by UV/H2O2 advanced oxidation process, Chemical Engineering Journal  162</w:t>
      </w:r>
      <w:r w:rsidR="00CF0658">
        <w:rPr>
          <w:lang w:val="en-GB"/>
        </w:rPr>
        <w:t>, 1</w:t>
      </w:r>
      <w:r w:rsidRPr="000059BF">
        <w:rPr>
          <w:lang w:val="en-GB"/>
        </w:rPr>
        <w:t>006-1011</w:t>
      </w:r>
      <w:r w:rsidR="00CF0658">
        <w:rPr>
          <w:lang w:val="en-GB"/>
        </w:rPr>
        <w:t>.</w:t>
      </w:r>
    </w:p>
    <w:p w:rsidR="000059BF" w:rsidRPr="000059BF" w:rsidRDefault="000059BF" w:rsidP="000059BF">
      <w:pPr>
        <w:pStyle w:val="CETBodytext"/>
        <w:rPr>
          <w:lang w:val="en-GB"/>
        </w:rPr>
      </w:pPr>
      <w:proofErr w:type="spellStart"/>
      <w:r w:rsidRPr="000059BF">
        <w:rPr>
          <w:lang w:val="en-GB"/>
        </w:rPr>
        <w:t>Mpanias</w:t>
      </w:r>
      <w:proofErr w:type="spellEnd"/>
      <w:r w:rsidRPr="000059BF">
        <w:rPr>
          <w:lang w:val="en-GB"/>
        </w:rPr>
        <w:t xml:space="preserve"> CJ &amp; </w:t>
      </w:r>
      <w:proofErr w:type="spellStart"/>
      <w:r w:rsidRPr="000059BF">
        <w:rPr>
          <w:lang w:val="en-GB"/>
        </w:rPr>
        <w:t>Baltzis</w:t>
      </w:r>
      <w:proofErr w:type="spellEnd"/>
      <w:r w:rsidRPr="000059BF">
        <w:rPr>
          <w:lang w:val="en-GB"/>
        </w:rPr>
        <w:t xml:space="preserve"> BC (1998) An experimental and </w:t>
      </w:r>
      <w:proofErr w:type="spellStart"/>
      <w:r w:rsidRPr="000059BF">
        <w:rPr>
          <w:lang w:val="en-GB"/>
        </w:rPr>
        <w:t>modeling</w:t>
      </w:r>
      <w:proofErr w:type="spellEnd"/>
      <w:r w:rsidRPr="000059BF">
        <w:rPr>
          <w:lang w:val="en-GB"/>
        </w:rPr>
        <w:t xml:space="preserve"> study on the removal of mono</w:t>
      </w:r>
      <w:r w:rsidRPr="000059BF">
        <w:rPr>
          <w:rFonts w:ascii="Cambria Math" w:hAnsi="Cambria Math" w:cs="Cambria Math"/>
          <w:lang w:val="en-GB"/>
        </w:rPr>
        <w:t>‐</w:t>
      </w:r>
      <w:proofErr w:type="spellStart"/>
      <w:r w:rsidRPr="000059BF">
        <w:rPr>
          <w:lang w:val="en-GB"/>
        </w:rPr>
        <w:t>chlorobenzene</w:t>
      </w:r>
      <w:proofErr w:type="spellEnd"/>
      <w:r w:rsidRPr="000059BF">
        <w:rPr>
          <w:lang w:val="en-GB"/>
        </w:rPr>
        <w:t xml:space="preserve"> </w:t>
      </w:r>
      <w:proofErr w:type="spellStart"/>
      <w:r w:rsidRPr="000059BF">
        <w:rPr>
          <w:lang w:val="en-GB"/>
        </w:rPr>
        <w:t>vapor</w:t>
      </w:r>
      <w:proofErr w:type="spellEnd"/>
      <w:r w:rsidRPr="000059BF">
        <w:rPr>
          <w:lang w:val="en-GB"/>
        </w:rPr>
        <w:t xml:space="preserve"> in </w:t>
      </w:r>
      <w:proofErr w:type="spellStart"/>
      <w:r w:rsidRPr="000059BF">
        <w:rPr>
          <w:lang w:val="en-GB"/>
        </w:rPr>
        <w:t>biotrickling</w:t>
      </w:r>
      <w:proofErr w:type="spellEnd"/>
      <w:r w:rsidRPr="000059BF">
        <w:rPr>
          <w:lang w:val="en-GB"/>
        </w:rPr>
        <w:t xml:space="preserve"> filters, Biotechnology and Bioengineering 59: 328-343</w:t>
      </w:r>
      <w:r w:rsidR="00CF0658">
        <w:rPr>
          <w:lang w:val="en-GB"/>
        </w:rPr>
        <w:t>.</w:t>
      </w:r>
    </w:p>
    <w:p w:rsidR="000059BF" w:rsidRPr="000059BF" w:rsidRDefault="000059BF" w:rsidP="000059BF">
      <w:pPr>
        <w:pStyle w:val="CETBodytext"/>
        <w:rPr>
          <w:lang w:val="en-GB"/>
        </w:rPr>
      </w:pPr>
      <w:r w:rsidRPr="000059BF">
        <w:rPr>
          <w:lang w:val="en-GB"/>
        </w:rPr>
        <w:t>Oh Y</w:t>
      </w:r>
      <w:r w:rsidR="00CF0658">
        <w:rPr>
          <w:lang w:val="en-GB"/>
        </w:rPr>
        <w:t>.</w:t>
      </w:r>
      <w:r w:rsidRPr="000059BF">
        <w:rPr>
          <w:lang w:val="en-GB"/>
        </w:rPr>
        <w:t>S</w:t>
      </w:r>
      <w:r w:rsidR="00CF0658">
        <w:rPr>
          <w:lang w:val="en-GB"/>
        </w:rPr>
        <w:t xml:space="preserve">., </w:t>
      </w:r>
      <w:proofErr w:type="spellStart"/>
      <w:r w:rsidRPr="000059BF">
        <w:rPr>
          <w:lang w:val="en-GB"/>
        </w:rPr>
        <w:t>Bartha</w:t>
      </w:r>
      <w:proofErr w:type="spellEnd"/>
      <w:r w:rsidRPr="000059BF">
        <w:rPr>
          <w:lang w:val="en-GB"/>
        </w:rPr>
        <w:t xml:space="preserve"> R</w:t>
      </w:r>
      <w:r w:rsidR="00CF0658">
        <w:rPr>
          <w:lang w:val="en-GB"/>
        </w:rPr>
        <w:t xml:space="preserve">., </w:t>
      </w:r>
      <w:r w:rsidRPr="000059BF">
        <w:rPr>
          <w:lang w:val="en-GB"/>
        </w:rPr>
        <w:t>1997</w:t>
      </w:r>
      <w:r w:rsidR="00CF0658">
        <w:rPr>
          <w:lang w:val="en-GB"/>
        </w:rPr>
        <w:t>,</w:t>
      </w:r>
      <w:r w:rsidRPr="000059BF">
        <w:rPr>
          <w:lang w:val="en-GB"/>
        </w:rPr>
        <w:t xml:space="preserve"> Removal of nitrobenzene </w:t>
      </w:r>
      <w:proofErr w:type="spellStart"/>
      <w:r w:rsidRPr="000059BF">
        <w:rPr>
          <w:lang w:val="en-GB"/>
        </w:rPr>
        <w:t>vapors</w:t>
      </w:r>
      <w:proofErr w:type="spellEnd"/>
      <w:r w:rsidRPr="000059BF">
        <w:rPr>
          <w:lang w:val="en-GB"/>
        </w:rPr>
        <w:t xml:space="preserve"> by a trickling air </w:t>
      </w:r>
      <w:proofErr w:type="spellStart"/>
      <w:r w:rsidRPr="000059BF">
        <w:rPr>
          <w:lang w:val="en-GB"/>
        </w:rPr>
        <w:t>biofilter</w:t>
      </w:r>
      <w:proofErr w:type="spellEnd"/>
      <w:r w:rsidRPr="000059BF">
        <w:rPr>
          <w:lang w:val="en-GB"/>
        </w:rPr>
        <w:t>,  Journal of Industrial Microbiology and Biote</w:t>
      </w:r>
      <w:r w:rsidR="00CF0658">
        <w:rPr>
          <w:lang w:val="en-GB"/>
        </w:rPr>
        <w:t xml:space="preserve">chnology 18, </w:t>
      </w:r>
      <w:r w:rsidRPr="000059BF">
        <w:rPr>
          <w:lang w:val="en-GB"/>
        </w:rPr>
        <w:t>293-296</w:t>
      </w:r>
      <w:r w:rsidR="00CF0658">
        <w:rPr>
          <w:lang w:val="en-GB"/>
        </w:rPr>
        <w:t>.</w:t>
      </w:r>
    </w:p>
    <w:p w:rsidR="000059BF" w:rsidRPr="000059BF" w:rsidRDefault="00CF0658" w:rsidP="000059BF">
      <w:pPr>
        <w:pStyle w:val="CETBodytext"/>
        <w:rPr>
          <w:lang w:val="en-GB"/>
        </w:rPr>
      </w:pPr>
      <w:proofErr w:type="spellStart"/>
      <w:r>
        <w:rPr>
          <w:lang w:val="en-GB"/>
        </w:rPr>
        <w:t>Shareefdeen</w:t>
      </w:r>
      <w:proofErr w:type="spellEnd"/>
      <w:r>
        <w:rPr>
          <w:lang w:val="en-GB"/>
        </w:rPr>
        <w:t xml:space="preserve"> Z., Singh A., 2005, </w:t>
      </w:r>
      <w:r w:rsidR="000059BF" w:rsidRPr="000059BF">
        <w:rPr>
          <w:lang w:val="en-GB"/>
        </w:rPr>
        <w:t xml:space="preserve"> Biotechnology for </w:t>
      </w:r>
      <w:proofErr w:type="spellStart"/>
      <w:r w:rsidR="000059BF" w:rsidRPr="000059BF">
        <w:rPr>
          <w:lang w:val="en-GB"/>
        </w:rPr>
        <w:t>Odor</w:t>
      </w:r>
      <w:proofErr w:type="spellEnd"/>
      <w:r w:rsidR="000059BF" w:rsidRPr="000059BF">
        <w:rPr>
          <w:lang w:val="en-GB"/>
        </w:rPr>
        <w:t xml:space="preserve"> and Air Pollution Control, Berlin, Heidelberg: Springer</w:t>
      </w:r>
    </w:p>
    <w:p w:rsidR="000059BF" w:rsidRPr="000059BF" w:rsidRDefault="000059BF" w:rsidP="000059BF">
      <w:pPr>
        <w:pStyle w:val="CETBodytext"/>
        <w:rPr>
          <w:lang w:val="en-GB"/>
        </w:rPr>
      </w:pPr>
      <w:proofErr w:type="spellStart"/>
      <w:r w:rsidRPr="000059BF">
        <w:rPr>
          <w:lang w:val="en-GB"/>
        </w:rPr>
        <w:t>Sumathi</w:t>
      </w:r>
      <w:proofErr w:type="spellEnd"/>
      <w:r w:rsidRPr="000059BF">
        <w:rPr>
          <w:lang w:val="en-GB"/>
        </w:rPr>
        <w:t xml:space="preserve"> S</w:t>
      </w:r>
      <w:r w:rsidR="00CF0658">
        <w:rPr>
          <w:lang w:val="en-GB"/>
        </w:rPr>
        <w:t>.</w:t>
      </w:r>
      <w:r w:rsidRPr="000059BF">
        <w:rPr>
          <w:lang w:val="en-GB"/>
        </w:rPr>
        <w:t>, Bhatia S</w:t>
      </w:r>
      <w:r w:rsidR="00CF0658">
        <w:rPr>
          <w:lang w:val="en-GB"/>
        </w:rPr>
        <w:t>.</w:t>
      </w:r>
      <w:r w:rsidRPr="000059BF">
        <w:rPr>
          <w:lang w:val="en-GB"/>
        </w:rPr>
        <w:t>, Lee K</w:t>
      </w:r>
      <w:r w:rsidR="00CF0658">
        <w:rPr>
          <w:lang w:val="en-GB"/>
        </w:rPr>
        <w:t>.</w:t>
      </w:r>
      <w:r w:rsidRPr="000059BF">
        <w:rPr>
          <w:lang w:val="en-GB"/>
        </w:rPr>
        <w:t>T</w:t>
      </w:r>
      <w:r w:rsidR="00CF0658">
        <w:rPr>
          <w:lang w:val="en-GB"/>
        </w:rPr>
        <w:t xml:space="preserve">., </w:t>
      </w:r>
      <w:r w:rsidRPr="000059BF">
        <w:rPr>
          <w:lang w:val="en-GB"/>
        </w:rPr>
        <w:t>Mohamed A</w:t>
      </w:r>
      <w:r w:rsidR="00CF0658">
        <w:rPr>
          <w:lang w:val="en-GB"/>
        </w:rPr>
        <w:t>.</w:t>
      </w:r>
      <w:r w:rsidRPr="000059BF">
        <w:rPr>
          <w:lang w:val="en-GB"/>
        </w:rPr>
        <w:t>R</w:t>
      </w:r>
      <w:r w:rsidR="00CF0658">
        <w:rPr>
          <w:lang w:val="en-GB"/>
        </w:rPr>
        <w:t xml:space="preserve">., </w:t>
      </w:r>
      <w:r w:rsidRPr="000059BF">
        <w:rPr>
          <w:lang w:val="en-GB"/>
        </w:rPr>
        <w:t>2010</w:t>
      </w:r>
      <w:r w:rsidR="00CF0658">
        <w:rPr>
          <w:lang w:val="en-GB"/>
        </w:rPr>
        <w:t xml:space="preserve"> </w:t>
      </w:r>
      <w:r w:rsidRPr="000059BF">
        <w:rPr>
          <w:lang w:val="en-GB"/>
        </w:rPr>
        <w:t xml:space="preserve"> Adsorption isotherm models and properties of SO2 and NO removal by palm shell activated carbon supported with cerium (</w:t>
      </w:r>
      <w:proofErr w:type="spellStart"/>
      <w:r w:rsidRPr="000059BF">
        <w:rPr>
          <w:lang w:val="en-GB"/>
        </w:rPr>
        <w:t>Ce</w:t>
      </w:r>
      <w:proofErr w:type="spellEnd"/>
      <w:r w:rsidRPr="000059BF">
        <w:rPr>
          <w:lang w:val="en-GB"/>
        </w:rPr>
        <w:t>/PSAC), Ch</w:t>
      </w:r>
      <w:r w:rsidR="00CF0658">
        <w:rPr>
          <w:lang w:val="en-GB"/>
        </w:rPr>
        <w:t xml:space="preserve">emical Engineering Journal 162, </w:t>
      </w:r>
      <w:r w:rsidRPr="000059BF">
        <w:rPr>
          <w:lang w:val="en-GB"/>
        </w:rPr>
        <w:t>194-200</w:t>
      </w:r>
      <w:r w:rsidR="00CF0658">
        <w:rPr>
          <w:lang w:val="en-GB"/>
        </w:rPr>
        <w:t>.</w:t>
      </w:r>
    </w:p>
    <w:p w:rsidR="000059BF" w:rsidRPr="000059BF" w:rsidRDefault="000059BF" w:rsidP="000059BF">
      <w:pPr>
        <w:pStyle w:val="CETBodytext"/>
        <w:rPr>
          <w:lang w:val="en-GB"/>
        </w:rPr>
      </w:pPr>
      <w:r w:rsidRPr="000059BF">
        <w:rPr>
          <w:lang w:val="en-GB"/>
        </w:rPr>
        <w:t>Xia D</w:t>
      </w:r>
      <w:r w:rsidR="00CF0658">
        <w:rPr>
          <w:lang w:val="en-GB"/>
        </w:rPr>
        <w:t>.</w:t>
      </w:r>
      <w:r w:rsidRPr="000059BF">
        <w:rPr>
          <w:lang w:val="en-GB"/>
        </w:rPr>
        <w:t>, He C</w:t>
      </w:r>
      <w:r w:rsidR="00CF0658">
        <w:rPr>
          <w:lang w:val="en-GB"/>
        </w:rPr>
        <w:t>.</w:t>
      </w:r>
      <w:r w:rsidRPr="000059BF">
        <w:rPr>
          <w:lang w:val="en-GB"/>
        </w:rPr>
        <w:t>, Zhu L</w:t>
      </w:r>
      <w:r w:rsidR="00CF0658">
        <w:rPr>
          <w:lang w:val="en-GB"/>
        </w:rPr>
        <w:t>.</w:t>
      </w:r>
      <w:r w:rsidRPr="000059BF">
        <w:rPr>
          <w:lang w:val="en-GB"/>
        </w:rPr>
        <w:t>, Huang Y</w:t>
      </w:r>
      <w:r w:rsidR="00CF0658">
        <w:rPr>
          <w:lang w:val="en-GB"/>
        </w:rPr>
        <w:t>.</w:t>
      </w:r>
      <w:r w:rsidRPr="000059BF">
        <w:rPr>
          <w:lang w:val="en-GB"/>
        </w:rPr>
        <w:t>, Dong H</w:t>
      </w:r>
      <w:r w:rsidR="00CF0658">
        <w:rPr>
          <w:lang w:val="en-GB"/>
        </w:rPr>
        <w:t>.</w:t>
      </w:r>
      <w:r w:rsidRPr="000059BF">
        <w:rPr>
          <w:lang w:val="en-GB"/>
        </w:rPr>
        <w:t>, Su M</w:t>
      </w:r>
      <w:r w:rsidR="00CF0658">
        <w:rPr>
          <w:lang w:val="en-GB"/>
        </w:rPr>
        <w:t>.</w:t>
      </w:r>
      <w:r w:rsidRPr="000059BF">
        <w:rPr>
          <w:lang w:val="en-GB"/>
        </w:rPr>
        <w:t xml:space="preserve">, </w:t>
      </w:r>
      <w:proofErr w:type="spellStart"/>
      <w:r w:rsidRPr="000059BF">
        <w:rPr>
          <w:lang w:val="en-GB"/>
        </w:rPr>
        <w:t>Asi</w:t>
      </w:r>
      <w:proofErr w:type="spellEnd"/>
      <w:r w:rsidRPr="000059BF">
        <w:rPr>
          <w:lang w:val="en-GB"/>
        </w:rPr>
        <w:t xml:space="preserve"> M</w:t>
      </w:r>
      <w:r w:rsidR="00CF0658">
        <w:rPr>
          <w:lang w:val="en-GB"/>
        </w:rPr>
        <w:t>.</w:t>
      </w:r>
      <w:r w:rsidRPr="000059BF">
        <w:rPr>
          <w:lang w:val="en-GB"/>
        </w:rPr>
        <w:t>A</w:t>
      </w:r>
      <w:r w:rsidR="00CF0658">
        <w:rPr>
          <w:lang w:val="en-GB"/>
        </w:rPr>
        <w:t>.,</w:t>
      </w:r>
      <w:proofErr w:type="spellStart"/>
      <w:r w:rsidRPr="000059BF">
        <w:rPr>
          <w:lang w:val="en-GB"/>
        </w:rPr>
        <w:t>Bian</w:t>
      </w:r>
      <w:proofErr w:type="spellEnd"/>
      <w:r w:rsidRPr="000059BF">
        <w:rPr>
          <w:lang w:val="en-GB"/>
        </w:rPr>
        <w:t xml:space="preserve"> D</w:t>
      </w:r>
      <w:r w:rsidR="00CF0658">
        <w:rPr>
          <w:lang w:val="en-GB"/>
        </w:rPr>
        <w:t xml:space="preserve">., </w:t>
      </w:r>
      <w:r w:rsidRPr="000059BF">
        <w:rPr>
          <w:lang w:val="en-GB"/>
        </w:rPr>
        <w:t>2011</w:t>
      </w:r>
      <w:r w:rsidR="00CF0658">
        <w:rPr>
          <w:lang w:val="en-GB"/>
        </w:rPr>
        <w:t xml:space="preserve">, </w:t>
      </w:r>
      <w:r w:rsidRPr="000059BF">
        <w:rPr>
          <w:lang w:val="en-GB"/>
        </w:rPr>
        <w:t xml:space="preserve"> A novel wet-scrubbing process using Fe(VI) for simultaneous removal of SO2 and NO, Journal of Environmental Monitoring 13</w:t>
      </w:r>
      <w:r w:rsidR="00CF0658">
        <w:rPr>
          <w:lang w:val="en-GB"/>
        </w:rPr>
        <w:t xml:space="preserve">, </w:t>
      </w:r>
      <w:r w:rsidRPr="000059BF">
        <w:rPr>
          <w:lang w:val="en-GB"/>
        </w:rPr>
        <w:t>864-870.</w:t>
      </w:r>
    </w:p>
    <w:p w:rsidR="000059BF" w:rsidRPr="000059BF" w:rsidRDefault="000059BF" w:rsidP="000059BF">
      <w:pPr>
        <w:pStyle w:val="CETBodytext"/>
        <w:rPr>
          <w:lang w:val="en-GB"/>
        </w:rPr>
      </w:pPr>
      <w:proofErr w:type="spellStart"/>
      <w:r w:rsidRPr="000059BF">
        <w:rPr>
          <w:lang w:val="en-GB"/>
        </w:rPr>
        <w:t>Xu</w:t>
      </w:r>
      <w:proofErr w:type="spellEnd"/>
      <w:r w:rsidRPr="000059BF">
        <w:rPr>
          <w:lang w:val="en-GB"/>
        </w:rPr>
        <w:t xml:space="preserve"> F</w:t>
      </w:r>
      <w:r w:rsidR="00CF0658">
        <w:rPr>
          <w:lang w:val="en-GB"/>
        </w:rPr>
        <w:t>.</w:t>
      </w:r>
      <w:r w:rsidRPr="000059BF">
        <w:rPr>
          <w:lang w:val="en-GB"/>
        </w:rPr>
        <w:t xml:space="preserve">, </w:t>
      </w:r>
      <w:proofErr w:type="spellStart"/>
      <w:r w:rsidRPr="000059BF">
        <w:rPr>
          <w:lang w:val="en-GB"/>
        </w:rPr>
        <w:t>Luo</w:t>
      </w:r>
      <w:proofErr w:type="spellEnd"/>
      <w:r w:rsidRPr="000059BF">
        <w:rPr>
          <w:lang w:val="en-GB"/>
        </w:rPr>
        <w:t xml:space="preserve"> Z</w:t>
      </w:r>
      <w:r w:rsidR="00CF0658">
        <w:rPr>
          <w:lang w:val="en-GB"/>
        </w:rPr>
        <w:t>.</w:t>
      </w:r>
      <w:r w:rsidRPr="000059BF">
        <w:rPr>
          <w:lang w:val="en-GB"/>
        </w:rPr>
        <w:t>, Cao W</w:t>
      </w:r>
      <w:r w:rsidR="00CF0658">
        <w:rPr>
          <w:lang w:val="en-GB"/>
        </w:rPr>
        <w:t>.</w:t>
      </w:r>
      <w:r w:rsidRPr="000059BF">
        <w:rPr>
          <w:lang w:val="en-GB"/>
        </w:rPr>
        <w:t>, Wang P</w:t>
      </w:r>
      <w:r w:rsidR="00CF0658">
        <w:rPr>
          <w:lang w:val="en-GB"/>
        </w:rPr>
        <w:t>.</w:t>
      </w:r>
      <w:r w:rsidRPr="000059BF">
        <w:rPr>
          <w:lang w:val="en-GB"/>
        </w:rPr>
        <w:t>, Wei B</w:t>
      </w:r>
      <w:r w:rsidR="00CF0658">
        <w:rPr>
          <w:lang w:val="en-GB"/>
        </w:rPr>
        <w:t>.</w:t>
      </w:r>
      <w:r w:rsidRPr="000059BF">
        <w:rPr>
          <w:lang w:val="en-GB"/>
        </w:rPr>
        <w:t xml:space="preserve">, </w:t>
      </w:r>
      <w:proofErr w:type="spellStart"/>
      <w:r w:rsidRPr="000059BF">
        <w:rPr>
          <w:lang w:val="en-GB"/>
        </w:rPr>
        <w:t>Gao</w:t>
      </w:r>
      <w:proofErr w:type="spellEnd"/>
      <w:r w:rsidRPr="000059BF">
        <w:rPr>
          <w:lang w:val="en-GB"/>
        </w:rPr>
        <w:t xml:space="preserve"> X</w:t>
      </w:r>
      <w:r w:rsidR="00CF0658">
        <w:rPr>
          <w:lang w:val="en-GB"/>
        </w:rPr>
        <w:t>.</w:t>
      </w:r>
      <w:r w:rsidRPr="000059BF">
        <w:rPr>
          <w:lang w:val="en-GB"/>
        </w:rPr>
        <w:t>, Fang M</w:t>
      </w:r>
      <w:r w:rsidR="00CF0658">
        <w:rPr>
          <w:lang w:val="en-GB"/>
        </w:rPr>
        <w:t>.,</w:t>
      </w:r>
      <w:r w:rsidRPr="000059BF">
        <w:rPr>
          <w:lang w:val="en-GB"/>
        </w:rPr>
        <w:t xml:space="preserve"> Cen K</w:t>
      </w:r>
      <w:r w:rsidR="00CF0658">
        <w:rPr>
          <w:lang w:val="en-GB"/>
        </w:rPr>
        <w:t xml:space="preserve">., </w:t>
      </w:r>
      <w:r w:rsidRPr="000059BF">
        <w:rPr>
          <w:lang w:val="en-GB"/>
        </w:rPr>
        <w:t>2009</w:t>
      </w:r>
      <w:r w:rsidR="00CF0658">
        <w:rPr>
          <w:lang w:val="en-GB"/>
        </w:rPr>
        <w:t xml:space="preserve">, </w:t>
      </w:r>
      <w:r w:rsidRPr="000059BF">
        <w:rPr>
          <w:lang w:val="en-GB"/>
        </w:rPr>
        <w:t xml:space="preserve"> Simultaneous oxidation of NO, SO2 and Hg0 from flue gas by pulsed corona discharge, Journal of Environmental Sciences 21</w:t>
      </w:r>
      <w:r w:rsidR="00CF0658">
        <w:rPr>
          <w:lang w:val="en-GB"/>
        </w:rPr>
        <w:t>,</w:t>
      </w:r>
      <w:r w:rsidRPr="000059BF">
        <w:rPr>
          <w:lang w:val="en-GB"/>
        </w:rPr>
        <w:t xml:space="preserve"> 328–332</w:t>
      </w:r>
      <w:r w:rsidR="00CF0658">
        <w:rPr>
          <w:lang w:val="en-GB"/>
        </w:rPr>
        <w:t>.</w:t>
      </w:r>
    </w:p>
    <w:p w:rsidR="000059BF" w:rsidRPr="000059BF" w:rsidRDefault="000059BF" w:rsidP="000059BF">
      <w:pPr>
        <w:pStyle w:val="CETBodytext"/>
        <w:rPr>
          <w:lang w:val="en-GB"/>
        </w:rPr>
      </w:pPr>
      <w:r w:rsidRPr="000059BF">
        <w:rPr>
          <w:lang w:val="en-GB"/>
        </w:rPr>
        <w:t>Yang Y</w:t>
      </w:r>
      <w:r w:rsidR="00CF0658">
        <w:rPr>
          <w:lang w:val="en-GB"/>
        </w:rPr>
        <w:t>.</w:t>
      </w:r>
      <w:r w:rsidRPr="000059BF">
        <w:rPr>
          <w:lang w:val="en-GB"/>
        </w:rPr>
        <w:t>, Huang S</w:t>
      </w:r>
      <w:r w:rsidR="00CF0658">
        <w:rPr>
          <w:lang w:val="en-GB"/>
        </w:rPr>
        <w:t>.</w:t>
      </w:r>
      <w:r w:rsidRPr="000059BF">
        <w:rPr>
          <w:lang w:val="en-GB"/>
        </w:rPr>
        <w:t>, Liang W</w:t>
      </w:r>
      <w:r w:rsidR="00CF0658">
        <w:rPr>
          <w:lang w:val="en-GB"/>
        </w:rPr>
        <w:t>.</w:t>
      </w:r>
      <w:r w:rsidRPr="000059BF">
        <w:rPr>
          <w:lang w:val="en-GB"/>
        </w:rPr>
        <w:t>I</w:t>
      </w:r>
      <w:r w:rsidR="00CF0658">
        <w:rPr>
          <w:lang w:val="en-GB"/>
        </w:rPr>
        <w:t>.</w:t>
      </w:r>
      <w:r w:rsidRPr="000059BF">
        <w:rPr>
          <w:lang w:val="en-GB"/>
        </w:rPr>
        <w:t>, Zhang Y</w:t>
      </w:r>
      <w:r w:rsidR="00CF0658">
        <w:rPr>
          <w:lang w:val="en-GB"/>
        </w:rPr>
        <w:t>.</w:t>
      </w:r>
      <w:r w:rsidRPr="000059BF">
        <w:rPr>
          <w:lang w:val="en-GB"/>
        </w:rPr>
        <w:t>, Huang H</w:t>
      </w:r>
      <w:r w:rsidR="00CF0658">
        <w:rPr>
          <w:lang w:val="en-GB"/>
        </w:rPr>
        <w:t>.,</w:t>
      </w:r>
      <w:r w:rsidRPr="000059BF">
        <w:rPr>
          <w:lang w:val="en-GB"/>
        </w:rPr>
        <w:t xml:space="preserve"> </w:t>
      </w:r>
      <w:proofErr w:type="spellStart"/>
      <w:r w:rsidRPr="000059BF">
        <w:rPr>
          <w:lang w:val="en-GB"/>
        </w:rPr>
        <w:t>Xu</w:t>
      </w:r>
      <w:proofErr w:type="spellEnd"/>
      <w:r w:rsidRPr="000059BF">
        <w:rPr>
          <w:lang w:val="en-GB"/>
        </w:rPr>
        <w:t xml:space="preserve"> F</w:t>
      </w:r>
      <w:r w:rsidR="00CF0658">
        <w:rPr>
          <w:lang w:val="en-GB"/>
        </w:rPr>
        <w:t>., 2012,</w:t>
      </w:r>
      <w:r w:rsidRPr="000059BF">
        <w:rPr>
          <w:lang w:val="en-GB"/>
        </w:rPr>
        <w:t xml:space="preserve"> Microbial removal of NOX at high temperature by a novel aerobic strain </w:t>
      </w:r>
      <w:proofErr w:type="spellStart"/>
      <w:r w:rsidRPr="000059BF">
        <w:rPr>
          <w:lang w:val="en-GB"/>
        </w:rPr>
        <w:t>Chelatococcus</w:t>
      </w:r>
      <w:proofErr w:type="spellEnd"/>
      <w:r w:rsidRPr="000059BF">
        <w:rPr>
          <w:lang w:val="en-GB"/>
        </w:rPr>
        <w:t xml:space="preserve"> </w:t>
      </w:r>
      <w:proofErr w:type="spellStart"/>
      <w:r w:rsidRPr="000059BF">
        <w:rPr>
          <w:lang w:val="en-GB"/>
        </w:rPr>
        <w:t>daeguensis</w:t>
      </w:r>
      <w:proofErr w:type="spellEnd"/>
      <w:r w:rsidRPr="000059BF">
        <w:rPr>
          <w:lang w:val="en-GB"/>
        </w:rPr>
        <w:t xml:space="preserve"> TAD1 in a </w:t>
      </w:r>
      <w:proofErr w:type="spellStart"/>
      <w:r w:rsidRPr="000059BF">
        <w:rPr>
          <w:lang w:val="en-GB"/>
        </w:rPr>
        <w:t>biotrickling</w:t>
      </w:r>
      <w:proofErr w:type="spellEnd"/>
      <w:r w:rsidRPr="000059BF">
        <w:rPr>
          <w:lang w:val="en-GB"/>
        </w:rPr>
        <w:t xml:space="preserve"> filter,  Journal of Hazardous Materials 203-204</w:t>
      </w:r>
      <w:r w:rsidR="00CF0658">
        <w:rPr>
          <w:lang w:val="en-GB"/>
        </w:rPr>
        <w:t>,</w:t>
      </w:r>
      <w:r w:rsidRPr="000059BF">
        <w:rPr>
          <w:lang w:val="en-GB"/>
        </w:rPr>
        <w:t xml:space="preserve"> 326-332</w:t>
      </w:r>
    </w:p>
    <w:p w:rsidR="000059BF" w:rsidRDefault="000059BF" w:rsidP="000059BF">
      <w:pPr>
        <w:pStyle w:val="CETBodytext"/>
        <w:rPr>
          <w:lang w:val="en-GB"/>
        </w:rPr>
      </w:pPr>
      <w:r w:rsidRPr="000059BF">
        <w:rPr>
          <w:lang w:val="en-GB"/>
        </w:rPr>
        <w:t>Zhou W</w:t>
      </w:r>
      <w:r w:rsidR="00CF0658">
        <w:rPr>
          <w:lang w:val="en-GB"/>
        </w:rPr>
        <w:t>.</w:t>
      </w:r>
      <w:r w:rsidRPr="000059BF">
        <w:rPr>
          <w:lang w:val="en-GB"/>
        </w:rPr>
        <w:t xml:space="preserve">, </w:t>
      </w:r>
      <w:proofErr w:type="spellStart"/>
      <w:r w:rsidRPr="000059BF">
        <w:rPr>
          <w:lang w:val="en-GB"/>
        </w:rPr>
        <w:t>Zou</w:t>
      </w:r>
      <w:proofErr w:type="spellEnd"/>
      <w:r w:rsidRPr="000059BF">
        <w:rPr>
          <w:lang w:val="en-GB"/>
        </w:rPr>
        <w:t xml:space="preserve"> P</w:t>
      </w:r>
      <w:r w:rsidR="00CF0658">
        <w:rPr>
          <w:lang w:val="en-GB"/>
        </w:rPr>
        <w:t>.</w:t>
      </w:r>
      <w:r w:rsidRPr="000059BF">
        <w:rPr>
          <w:lang w:val="en-GB"/>
        </w:rPr>
        <w:t>, Sun P</w:t>
      </w:r>
      <w:r w:rsidR="00CF0658">
        <w:rPr>
          <w:lang w:val="en-GB"/>
        </w:rPr>
        <w:t>.</w:t>
      </w:r>
      <w:r w:rsidRPr="000059BF">
        <w:rPr>
          <w:lang w:val="en-GB"/>
        </w:rPr>
        <w:t>, Bi X</w:t>
      </w:r>
      <w:r w:rsidR="00CF0658">
        <w:rPr>
          <w:lang w:val="en-GB"/>
        </w:rPr>
        <w:t>.</w:t>
      </w:r>
      <w:r w:rsidRPr="000059BF">
        <w:rPr>
          <w:lang w:val="en-GB"/>
        </w:rPr>
        <w:t>, Mao Y</w:t>
      </w:r>
      <w:r w:rsidR="00CF0658">
        <w:rPr>
          <w:lang w:val="en-GB"/>
        </w:rPr>
        <w:t>.,</w:t>
      </w:r>
      <w:r w:rsidRPr="000059BF">
        <w:rPr>
          <w:lang w:val="en-GB"/>
        </w:rPr>
        <w:t xml:space="preserve"> </w:t>
      </w:r>
      <w:proofErr w:type="spellStart"/>
      <w:r w:rsidRPr="000059BF">
        <w:rPr>
          <w:lang w:val="en-GB"/>
        </w:rPr>
        <w:t>Zheng</w:t>
      </w:r>
      <w:proofErr w:type="spellEnd"/>
      <w:r w:rsidRPr="000059BF">
        <w:rPr>
          <w:lang w:val="en-GB"/>
        </w:rPr>
        <w:t xml:space="preserve"> X</w:t>
      </w:r>
      <w:r w:rsidR="00CF0658">
        <w:rPr>
          <w:lang w:val="en-GB"/>
        </w:rPr>
        <w:t xml:space="preserve">., </w:t>
      </w:r>
      <w:r w:rsidRPr="000059BF">
        <w:rPr>
          <w:lang w:val="en-GB"/>
        </w:rPr>
        <w:t>2013</w:t>
      </w:r>
      <w:r w:rsidR="00CF0658">
        <w:rPr>
          <w:lang w:val="en-GB"/>
        </w:rPr>
        <w:t>,</w:t>
      </w:r>
      <w:r w:rsidRPr="000059BF">
        <w:rPr>
          <w:lang w:val="en-GB"/>
        </w:rPr>
        <w:t xml:space="preserve"> Utilization of the by-products for simultaneous purification of sulphur dioxide and nitrogen oxide in bio-trickling process, Advanced Ma</w:t>
      </w:r>
      <w:r w:rsidR="00CF0658">
        <w:rPr>
          <w:lang w:val="en-GB"/>
        </w:rPr>
        <w:t>terials Research 779-780,</w:t>
      </w:r>
      <w:r w:rsidRPr="000059BF">
        <w:rPr>
          <w:lang w:val="en-GB"/>
        </w:rPr>
        <w:t>1220-1223.</w:t>
      </w:r>
    </w:p>
    <w:p w:rsidR="00567501" w:rsidRDefault="00567501" w:rsidP="000059BF">
      <w:pPr>
        <w:pStyle w:val="CETBodytext"/>
        <w:rPr>
          <w:lang w:val="en-GB"/>
        </w:rPr>
      </w:pPr>
      <w:r w:rsidRPr="00567501">
        <w:rPr>
          <w:lang w:val="en-GB"/>
        </w:rPr>
        <w:t xml:space="preserve">Chen </w:t>
      </w:r>
      <w:r w:rsidRPr="00567501">
        <w:rPr>
          <w:lang w:val="en-GB"/>
        </w:rPr>
        <w:t>Z</w:t>
      </w:r>
      <w:r>
        <w:rPr>
          <w:lang w:val="en-GB"/>
        </w:rPr>
        <w:t xml:space="preserve">., 2017, </w:t>
      </w:r>
      <w:r w:rsidRPr="00567501">
        <w:rPr>
          <w:lang w:val="en-GB"/>
        </w:rPr>
        <w:t>Microbial Inactivation in Foods by Ultrasound</w:t>
      </w:r>
      <w:r>
        <w:rPr>
          <w:lang w:val="en-GB"/>
        </w:rPr>
        <w:t xml:space="preserve">, </w:t>
      </w:r>
      <w:r w:rsidRPr="00567501">
        <w:rPr>
          <w:lang w:val="en-GB"/>
        </w:rPr>
        <w:t>Journal of Food: Microbiology, Safety and Hygiene E102</w:t>
      </w:r>
    </w:p>
    <w:p w:rsidR="00567501" w:rsidRPr="00567501" w:rsidRDefault="00567501" w:rsidP="00567501">
      <w:pPr>
        <w:pStyle w:val="CETBodytext"/>
      </w:pPr>
      <w:proofErr w:type="spellStart"/>
      <w:r>
        <w:t>Piyasena</w:t>
      </w:r>
      <w:proofErr w:type="spellEnd"/>
      <w:r>
        <w:t xml:space="preserve"> P</w:t>
      </w:r>
      <w:r>
        <w:t>.</w:t>
      </w:r>
      <w:r>
        <w:t xml:space="preserve">, </w:t>
      </w:r>
      <w:proofErr w:type="spellStart"/>
      <w:r>
        <w:t>Mohareb</w:t>
      </w:r>
      <w:proofErr w:type="spellEnd"/>
      <w:r>
        <w:t xml:space="preserve"> E</w:t>
      </w:r>
      <w:r>
        <w:t>.</w:t>
      </w:r>
      <w:r>
        <w:t>, McKellar R</w:t>
      </w:r>
      <w:r>
        <w:t>.</w:t>
      </w:r>
      <w:r>
        <w:t>C</w:t>
      </w:r>
      <w:r>
        <w:t xml:space="preserve">., 2003, Inactivation of microbes </w:t>
      </w:r>
      <w:r>
        <w:t xml:space="preserve">using ultrasound: a review. </w:t>
      </w:r>
      <w:r w:rsidRPr="00567501">
        <w:t>International Journal of Food Microbiology</w:t>
      </w:r>
      <w:r>
        <w:t>,</w:t>
      </w:r>
      <w:r>
        <w:t xml:space="preserve"> 87</w:t>
      </w:r>
      <w:r>
        <w:t>,</w:t>
      </w:r>
      <w:r>
        <w:t xml:space="preserve"> 207-216.</w:t>
      </w:r>
    </w:p>
    <w:sectPr w:rsidR="00567501" w:rsidRPr="00567501"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5D9" w:rsidRDefault="008415D9" w:rsidP="004F5E36">
      <w:r>
        <w:separator/>
      </w:r>
    </w:p>
  </w:endnote>
  <w:endnote w:type="continuationSeparator" w:id="0">
    <w:p w:rsidR="008415D9" w:rsidRDefault="008415D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5D9" w:rsidRDefault="008415D9" w:rsidP="004F5E36">
      <w:r>
        <w:separator/>
      </w:r>
    </w:p>
  </w:footnote>
  <w:footnote w:type="continuationSeparator" w:id="0">
    <w:p w:rsidR="008415D9" w:rsidRDefault="008415D9"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16EF03EA"/>
    <w:multiLevelType w:val="hybridMultilevel"/>
    <w:tmpl w:val="CF8E3518"/>
    <w:lvl w:ilvl="0" w:tplc="6BE0D9E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567E00"/>
    <w:multiLevelType w:val="hybridMultilevel"/>
    <w:tmpl w:val="27FC3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48035E4"/>
    <w:multiLevelType w:val="hybridMultilevel"/>
    <w:tmpl w:val="493251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1"/>
  </w:num>
  <w:num w:numId="23">
    <w:abstractNumId w:val="11"/>
  </w:num>
  <w:num w:numId="24">
    <w:abstractNumId w:val="22"/>
  </w:num>
  <w:num w:numId="25">
    <w:abstractNumId w:val="1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9BF"/>
    <w:rsid w:val="00010F40"/>
    <w:rsid w:val="000117CB"/>
    <w:rsid w:val="0003148D"/>
    <w:rsid w:val="00047D7F"/>
    <w:rsid w:val="00051566"/>
    <w:rsid w:val="00062A9A"/>
    <w:rsid w:val="00065058"/>
    <w:rsid w:val="00086C39"/>
    <w:rsid w:val="000A03B2"/>
    <w:rsid w:val="000A3B79"/>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50E59"/>
    <w:rsid w:val="00152DE3"/>
    <w:rsid w:val="00162642"/>
    <w:rsid w:val="00164CF9"/>
    <w:rsid w:val="00184AD6"/>
    <w:rsid w:val="001B0349"/>
    <w:rsid w:val="001B65C1"/>
    <w:rsid w:val="001C684B"/>
    <w:rsid w:val="001D53FC"/>
    <w:rsid w:val="001F42A5"/>
    <w:rsid w:val="001F7B9D"/>
    <w:rsid w:val="002224B4"/>
    <w:rsid w:val="002447EF"/>
    <w:rsid w:val="00251550"/>
    <w:rsid w:val="00252C1A"/>
    <w:rsid w:val="0025781B"/>
    <w:rsid w:val="00263B05"/>
    <w:rsid w:val="0027221A"/>
    <w:rsid w:val="00275B61"/>
    <w:rsid w:val="00282656"/>
    <w:rsid w:val="00296B83"/>
    <w:rsid w:val="002B78CE"/>
    <w:rsid w:val="002C2FB6"/>
    <w:rsid w:val="002D5BCD"/>
    <w:rsid w:val="003009B7"/>
    <w:rsid w:val="00300E56"/>
    <w:rsid w:val="0030469C"/>
    <w:rsid w:val="00321CA6"/>
    <w:rsid w:val="00334C09"/>
    <w:rsid w:val="003365E3"/>
    <w:rsid w:val="003723D4"/>
    <w:rsid w:val="00384CC8"/>
    <w:rsid w:val="003871FD"/>
    <w:rsid w:val="003A1E30"/>
    <w:rsid w:val="003A7D1C"/>
    <w:rsid w:val="003B304B"/>
    <w:rsid w:val="003B3146"/>
    <w:rsid w:val="003B60F3"/>
    <w:rsid w:val="003F015E"/>
    <w:rsid w:val="00400414"/>
    <w:rsid w:val="0041446B"/>
    <w:rsid w:val="0044329C"/>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5E36"/>
    <w:rsid w:val="00507B47"/>
    <w:rsid w:val="00507CC9"/>
    <w:rsid w:val="005119A5"/>
    <w:rsid w:val="005278B7"/>
    <w:rsid w:val="00532016"/>
    <w:rsid w:val="005346C8"/>
    <w:rsid w:val="00543E7D"/>
    <w:rsid w:val="00546B05"/>
    <w:rsid w:val="00547A68"/>
    <w:rsid w:val="005531C9"/>
    <w:rsid w:val="00567501"/>
    <w:rsid w:val="00590D6C"/>
    <w:rsid w:val="005B2110"/>
    <w:rsid w:val="005B61E6"/>
    <w:rsid w:val="005C77E1"/>
    <w:rsid w:val="005D6A2F"/>
    <w:rsid w:val="005E1A82"/>
    <w:rsid w:val="005E794C"/>
    <w:rsid w:val="005F0A28"/>
    <w:rsid w:val="005F0E5E"/>
    <w:rsid w:val="00600535"/>
    <w:rsid w:val="00610CD6"/>
    <w:rsid w:val="00620DEE"/>
    <w:rsid w:val="00621F92"/>
    <w:rsid w:val="00625639"/>
    <w:rsid w:val="00631B33"/>
    <w:rsid w:val="0064184D"/>
    <w:rsid w:val="006422CC"/>
    <w:rsid w:val="00660E3E"/>
    <w:rsid w:val="00662E74"/>
    <w:rsid w:val="00680C23"/>
    <w:rsid w:val="00693766"/>
    <w:rsid w:val="006A3281"/>
    <w:rsid w:val="006B4888"/>
    <w:rsid w:val="006C2E45"/>
    <w:rsid w:val="006C359C"/>
    <w:rsid w:val="006C5579"/>
    <w:rsid w:val="006E332E"/>
    <w:rsid w:val="006E737D"/>
    <w:rsid w:val="0070195D"/>
    <w:rsid w:val="00720A24"/>
    <w:rsid w:val="00732386"/>
    <w:rsid w:val="007447F3"/>
    <w:rsid w:val="0075499F"/>
    <w:rsid w:val="007661C8"/>
    <w:rsid w:val="0077098D"/>
    <w:rsid w:val="00781523"/>
    <w:rsid w:val="007931FA"/>
    <w:rsid w:val="007A7BBA"/>
    <w:rsid w:val="007B0C50"/>
    <w:rsid w:val="007C1A43"/>
    <w:rsid w:val="007E1DC6"/>
    <w:rsid w:val="00813288"/>
    <w:rsid w:val="008168FC"/>
    <w:rsid w:val="00830996"/>
    <w:rsid w:val="008345F1"/>
    <w:rsid w:val="008415D9"/>
    <w:rsid w:val="008630C7"/>
    <w:rsid w:val="00865B07"/>
    <w:rsid w:val="008667EA"/>
    <w:rsid w:val="0087637F"/>
    <w:rsid w:val="008904B9"/>
    <w:rsid w:val="00892AD5"/>
    <w:rsid w:val="008A1512"/>
    <w:rsid w:val="008C78C1"/>
    <w:rsid w:val="008D32B9"/>
    <w:rsid w:val="008D433B"/>
    <w:rsid w:val="008E566E"/>
    <w:rsid w:val="0090161A"/>
    <w:rsid w:val="00901EB6"/>
    <w:rsid w:val="00904C62"/>
    <w:rsid w:val="00924DAC"/>
    <w:rsid w:val="00927058"/>
    <w:rsid w:val="009450CE"/>
    <w:rsid w:val="00947179"/>
    <w:rsid w:val="0095164B"/>
    <w:rsid w:val="00954090"/>
    <w:rsid w:val="009573E7"/>
    <w:rsid w:val="009635B9"/>
    <w:rsid w:val="00963E05"/>
    <w:rsid w:val="00967D54"/>
    <w:rsid w:val="00996483"/>
    <w:rsid w:val="00996F5A"/>
    <w:rsid w:val="009A0A3E"/>
    <w:rsid w:val="009A682D"/>
    <w:rsid w:val="009B041A"/>
    <w:rsid w:val="009C7C86"/>
    <w:rsid w:val="009D2FF7"/>
    <w:rsid w:val="009E7884"/>
    <w:rsid w:val="009E788A"/>
    <w:rsid w:val="009F0E08"/>
    <w:rsid w:val="00A11181"/>
    <w:rsid w:val="00A1763D"/>
    <w:rsid w:val="00A17CEC"/>
    <w:rsid w:val="00A27EF0"/>
    <w:rsid w:val="00A50B20"/>
    <w:rsid w:val="00A51390"/>
    <w:rsid w:val="00A60D13"/>
    <w:rsid w:val="00A72745"/>
    <w:rsid w:val="00A76EFC"/>
    <w:rsid w:val="00A91010"/>
    <w:rsid w:val="00A97F29"/>
    <w:rsid w:val="00AA702E"/>
    <w:rsid w:val="00AB0964"/>
    <w:rsid w:val="00AB5011"/>
    <w:rsid w:val="00AC7368"/>
    <w:rsid w:val="00AD16B9"/>
    <w:rsid w:val="00AE377D"/>
    <w:rsid w:val="00B17FBD"/>
    <w:rsid w:val="00B315A6"/>
    <w:rsid w:val="00B31813"/>
    <w:rsid w:val="00B33365"/>
    <w:rsid w:val="00B4115E"/>
    <w:rsid w:val="00B57B36"/>
    <w:rsid w:val="00B8686D"/>
    <w:rsid w:val="00BC30C9"/>
    <w:rsid w:val="00BC4551"/>
    <w:rsid w:val="00BE3E58"/>
    <w:rsid w:val="00C01616"/>
    <w:rsid w:val="00C0162B"/>
    <w:rsid w:val="00C12AA8"/>
    <w:rsid w:val="00C345B1"/>
    <w:rsid w:val="00C40142"/>
    <w:rsid w:val="00C57182"/>
    <w:rsid w:val="00C57863"/>
    <w:rsid w:val="00C655FD"/>
    <w:rsid w:val="00C870A8"/>
    <w:rsid w:val="00C94434"/>
    <w:rsid w:val="00CA0D75"/>
    <w:rsid w:val="00CA1C95"/>
    <w:rsid w:val="00CA5A9C"/>
    <w:rsid w:val="00CD3517"/>
    <w:rsid w:val="00CD5A00"/>
    <w:rsid w:val="00CD5FE2"/>
    <w:rsid w:val="00CE7C68"/>
    <w:rsid w:val="00CF0658"/>
    <w:rsid w:val="00D02B4C"/>
    <w:rsid w:val="00D040C4"/>
    <w:rsid w:val="00D57C84"/>
    <w:rsid w:val="00D6057D"/>
    <w:rsid w:val="00D84576"/>
    <w:rsid w:val="00DA1399"/>
    <w:rsid w:val="00DA24C6"/>
    <w:rsid w:val="00DA4D7B"/>
    <w:rsid w:val="00DB4441"/>
    <w:rsid w:val="00DE264A"/>
    <w:rsid w:val="00E02D18"/>
    <w:rsid w:val="00E041E7"/>
    <w:rsid w:val="00E23CA1"/>
    <w:rsid w:val="00E26995"/>
    <w:rsid w:val="00E409A8"/>
    <w:rsid w:val="00E50C12"/>
    <w:rsid w:val="00E61C6F"/>
    <w:rsid w:val="00E65B91"/>
    <w:rsid w:val="00E7209D"/>
    <w:rsid w:val="00E77223"/>
    <w:rsid w:val="00E8528B"/>
    <w:rsid w:val="00E85B94"/>
    <w:rsid w:val="00E978D0"/>
    <w:rsid w:val="00EA4613"/>
    <w:rsid w:val="00EA7F91"/>
    <w:rsid w:val="00EB1523"/>
    <w:rsid w:val="00EC0E49"/>
    <w:rsid w:val="00EE0131"/>
    <w:rsid w:val="00F155B2"/>
    <w:rsid w:val="00F30C64"/>
    <w:rsid w:val="00F32CDB"/>
    <w:rsid w:val="00F63A70"/>
    <w:rsid w:val="00F97588"/>
    <w:rsid w:val="00FA21D0"/>
    <w:rsid w:val="00FA5F5F"/>
    <w:rsid w:val="00FB730C"/>
    <w:rsid w:val="00FC2695"/>
    <w:rsid w:val="00FC3E03"/>
    <w:rsid w:val="00FC3FC1"/>
    <w:rsid w:val="00FE7A0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CF0658"/>
    <w:rPr>
      <w:color w:val="808080"/>
    </w:rPr>
  </w:style>
  <w:style w:type="table" w:customStyle="1" w:styleId="Grigliatabella1">
    <w:name w:val="Griglia tabella1"/>
    <w:basedOn w:val="Tabellanormale"/>
    <w:next w:val="Grigliatabella"/>
    <w:uiPriority w:val="59"/>
    <w:rsid w:val="00CF0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CF0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CF0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590D6C"/>
    <w:pPr>
      <w:tabs>
        <w:tab w:val="clear" w:pos="7100"/>
      </w:tabs>
      <w:ind w:left="720"/>
      <w:contextualSpacing/>
    </w:pPr>
    <w:rPr>
      <w:rFonts w:ascii="Times New Roman" w:hAnsi="Times New Roman"/>
      <w:sz w:val="24"/>
    </w:rPr>
  </w:style>
  <w:style w:type="table" w:customStyle="1" w:styleId="Tabellasemplice-221">
    <w:name w:val="Tabella semplice - 221"/>
    <w:basedOn w:val="Tabellanormale"/>
    <w:next w:val="Tabellanormale"/>
    <w:uiPriority w:val="42"/>
    <w:rsid w:val="00590D6C"/>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Sfondochiaro-Colore3">
    <w:name w:val="Light Shading Accent 3"/>
    <w:basedOn w:val="Tabellanormale"/>
    <w:uiPriority w:val="60"/>
    <w:rsid w:val="00590D6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asemplice-2211">
    <w:name w:val="Tabella semplice - 2211"/>
    <w:basedOn w:val="Tabellanormale"/>
    <w:next w:val="Tabellanormale"/>
    <w:uiPriority w:val="42"/>
    <w:rsid w:val="00F97588"/>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CF0658"/>
    <w:rPr>
      <w:color w:val="808080"/>
    </w:rPr>
  </w:style>
  <w:style w:type="table" w:customStyle="1" w:styleId="Grigliatabella1">
    <w:name w:val="Griglia tabella1"/>
    <w:basedOn w:val="Tabellanormale"/>
    <w:next w:val="Grigliatabella"/>
    <w:uiPriority w:val="59"/>
    <w:rsid w:val="00CF0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CF0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CF0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590D6C"/>
    <w:pPr>
      <w:tabs>
        <w:tab w:val="clear" w:pos="7100"/>
      </w:tabs>
      <w:ind w:left="720"/>
      <w:contextualSpacing/>
    </w:pPr>
    <w:rPr>
      <w:rFonts w:ascii="Times New Roman" w:hAnsi="Times New Roman"/>
      <w:sz w:val="24"/>
    </w:rPr>
  </w:style>
  <w:style w:type="table" w:customStyle="1" w:styleId="Tabellasemplice-221">
    <w:name w:val="Tabella semplice - 221"/>
    <w:basedOn w:val="Tabellanormale"/>
    <w:next w:val="Tabellanormale"/>
    <w:uiPriority w:val="42"/>
    <w:rsid w:val="00590D6C"/>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Sfondochiaro-Colore3">
    <w:name w:val="Light Shading Accent 3"/>
    <w:basedOn w:val="Tabellanormale"/>
    <w:uiPriority w:val="60"/>
    <w:rsid w:val="00590D6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asemplice-2211">
    <w:name w:val="Tabella semplice - 2211"/>
    <w:basedOn w:val="Tabellanormale"/>
    <w:next w:val="Tabellanormale"/>
    <w:uiPriority w:val="42"/>
    <w:rsid w:val="00F97588"/>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770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2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uliano@unisa.it"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F1EEB-DC06-45C2-81EC-CFB4D16C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3523</Words>
  <Characters>20085</Characters>
  <Application>Microsoft Office Word</Application>
  <DocSecurity>0</DocSecurity>
  <Lines>167</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Utente</cp:lastModifiedBy>
  <cp:revision>9</cp:revision>
  <cp:lastPrinted>2015-05-12T18:31:00Z</cp:lastPrinted>
  <dcterms:created xsi:type="dcterms:W3CDTF">2019-02-13T15:29:00Z</dcterms:created>
  <dcterms:modified xsi:type="dcterms:W3CDTF">2019-04-10T13:08:00Z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