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5885DC06" w14:textId="77777777">
        <w:trPr>
          <w:trHeight w:val="852"/>
          <w:jc w:val="center"/>
        </w:trPr>
        <w:tc>
          <w:tcPr>
            <w:tcW w:w="6946" w:type="dxa"/>
            <w:vMerge w:val="restart"/>
            <w:tcBorders>
              <w:right w:val="single" w:sz="4" w:space="0" w:color="auto"/>
            </w:tcBorders>
          </w:tcPr>
          <w:p w14:paraId="2CF3B9BF"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15F1A75B" wp14:editId="72AE074D">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1D29A5D6"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61CBC73A"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1A6D6A8" w14:textId="77777777" w:rsidR="000A03B2" w:rsidRPr="00B57B36" w:rsidRDefault="000A03B2" w:rsidP="00CD5FE2">
            <w:pPr>
              <w:jc w:val="right"/>
            </w:pPr>
            <w:r w:rsidRPr="00B57B36">
              <w:rPr>
                <w:noProof/>
                <w:lang w:val="pt-BR" w:eastAsia="pt-BR"/>
              </w:rPr>
              <w:drawing>
                <wp:inline distT="0" distB="0" distL="0" distR="0" wp14:anchorId="195B0C7C" wp14:editId="54FAC018">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5FCA9D6A" w14:textId="77777777">
        <w:trPr>
          <w:trHeight w:val="567"/>
          <w:jc w:val="center"/>
        </w:trPr>
        <w:tc>
          <w:tcPr>
            <w:tcW w:w="6946" w:type="dxa"/>
            <w:vMerge/>
            <w:tcBorders>
              <w:right w:val="single" w:sz="4" w:space="0" w:color="auto"/>
            </w:tcBorders>
          </w:tcPr>
          <w:p w14:paraId="2256A8B9"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7193932D"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45821A9C"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2B43B6DA"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5990F3B8" w14:textId="77777777">
        <w:trPr>
          <w:trHeight w:val="68"/>
          <w:jc w:val="center"/>
        </w:trPr>
        <w:tc>
          <w:tcPr>
            <w:tcW w:w="8789" w:type="dxa"/>
            <w:gridSpan w:val="2"/>
          </w:tcPr>
          <w:p w14:paraId="7B05CBA3"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28622E24"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8E2AF1D"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1B64BA23" w14:textId="77777777" w:rsidR="00E07F86" w:rsidRDefault="00E07F86" w:rsidP="006F0EEA">
      <w:pPr>
        <w:rPr>
          <w:sz w:val="32"/>
        </w:rPr>
      </w:pPr>
    </w:p>
    <w:p w14:paraId="430959A6" w14:textId="4D642BE9" w:rsidR="00E07F86" w:rsidRPr="006F0EEA" w:rsidRDefault="00E07F86" w:rsidP="006F0EEA">
      <w:pPr>
        <w:jc w:val="center"/>
        <w:rPr>
          <w:sz w:val="32"/>
        </w:rPr>
      </w:pPr>
      <w:r w:rsidRPr="00E07F86">
        <w:rPr>
          <w:sz w:val="32"/>
        </w:rPr>
        <w:t>D</w:t>
      </w:r>
      <w:r w:rsidR="00A7129E">
        <w:rPr>
          <w:sz w:val="32"/>
        </w:rPr>
        <w:t>evelopment</w:t>
      </w:r>
      <w:r w:rsidRPr="00E07F86">
        <w:rPr>
          <w:sz w:val="32"/>
        </w:rPr>
        <w:t xml:space="preserve"> </w:t>
      </w:r>
      <w:r w:rsidR="00A7129E">
        <w:rPr>
          <w:sz w:val="32"/>
        </w:rPr>
        <w:t>of</w:t>
      </w:r>
      <w:r w:rsidRPr="00E07F86">
        <w:rPr>
          <w:sz w:val="32"/>
        </w:rPr>
        <w:t xml:space="preserve"> M</w:t>
      </w:r>
      <w:r w:rsidR="00A7129E">
        <w:rPr>
          <w:sz w:val="32"/>
        </w:rPr>
        <w:t>athematical</w:t>
      </w:r>
      <w:r w:rsidRPr="00E07F86">
        <w:rPr>
          <w:sz w:val="32"/>
        </w:rPr>
        <w:t xml:space="preserve"> M</w:t>
      </w:r>
      <w:r w:rsidR="00A7129E">
        <w:rPr>
          <w:sz w:val="32"/>
        </w:rPr>
        <w:t>odel</w:t>
      </w:r>
      <w:r w:rsidRPr="00E07F86">
        <w:rPr>
          <w:sz w:val="32"/>
        </w:rPr>
        <w:t xml:space="preserve"> B</w:t>
      </w:r>
      <w:r w:rsidR="00A7129E">
        <w:rPr>
          <w:sz w:val="32"/>
        </w:rPr>
        <w:t>ased</w:t>
      </w:r>
      <w:r w:rsidRPr="00E07F86">
        <w:rPr>
          <w:sz w:val="32"/>
        </w:rPr>
        <w:t xml:space="preserve"> </w:t>
      </w:r>
      <w:r w:rsidR="00A7129E">
        <w:rPr>
          <w:sz w:val="32"/>
        </w:rPr>
        <w:t>on</w:t>
      </w:r>
      <w:r w:rsidRPr="00E07F86">
        <w:rPr>
          <w:sz w:val="32"/>
        </w:rPr>
        <w:t xml:space="preserve"> A</w:t>
      </w:r>
      <w:r w:rsidR="00A7129E">
        <w:rPr>
          <w:sz w:val="32"/>
        </w:rPr>
        <w:t>rtificial</w:t>
      </w:r>
      <w:r w:rsidRPr="00E07F86">
        <w:rPr>
          <w:sz w:val="32"/>
        </w:rPr>
        <w:t xml:space="preserve"> N</w:t>
      </w:r>
      <w:r w:rsidR="00A7129E">
        <w:rPr>
          <w:sz w:val="32"/>
        </w:rPr>
        <w:t>eural</w:t>
      </w:r>
      <w:r w:rsidRPr="00E07F86">
        <w:rPr>
          <w:sz w:val="32"/>
        </w:rPr>
        <w:t xml:space="preserve"> N</w:t>
      </w:r>
      <w:r w:rsidR="00A7129E">
        <w:rPr>
          <w:sz w:val="32"/>
        </w:rPr>
        <w:t>et</w:t>
      </w:r>
      <w:r w:rsidR="004D19D6">
        <w:rPr>
          <w:sz w:val="32"/>
        </w:rPr>
        <w:t>work</w:t>
      </w:r>
      <w:r w:rsidRPr="00E07F86">
        <w:rPr>
          <w:sz w:val="32"/>
        </w:rPr>
        <w:t xml:space="preserve"> </w:t>
      </w:r>
      <w:r w:rsidR="004D19D6">
        <w:rPr>
          <w:sz w:val="32"/>
        </w:rPr>
        <w:t>to</w:t>
      </w:r>
      <w:r w:rsidRPr="00E07F86">
        <w:rPr>
          <w:sz w:val="32"/>
        </w:rPr>
        <w:t xml:space="preserve"> P</w:t>
      </w:r>
      <w:r w:rsidR="004D19D6">
        <w:rPr>
          <w:sz w:val="32"/>
        </w:rPr>
        <w:t>redict</w:t>
      </w:r>
      <w:r w:rsidRPr="00E07F86">
        <w:rPr>
          <w:sz w:val="32"/>
        </w:rPr>
        <w:t xml:space="preserve"> D</w:t>
      </w:r>
      <w:r w:rsidR="004D19D6">
        <w:rPr>
          <w:sz w:val="32"/>
        </w:rPr>
        <w:t>ensity</w:t>
      </w:r>
      <w:r w:rsidRPr="00E07F86">
        <w:rPr>
          <w:sz w:val="32"/>
        </w:rPr>
        <w:t xml:space="preserve"> </w:t>
      </w:r>
      <w:r w:rsidR="004D19D6">
        <w:rPr>
          <w:sz w:val="32"/>
        </w:rPr>
        <w:t>in</w:t>
      </w:r>
      <w:r w:rsidRPr="00E07F86">
        <w:rPr>
          <w:sz w:val="32"/>
        </w:rPr>
        <w:t xml:space="preserve"> P</w:t>
      </w:r>
      <w:r w:rsidR="004D19D6">
        <w:rPr>
          <w:sz w:val="32"/>
        </w:rPr>
        <w:t>olymerization</w:t>
      </w:r>
      <w:r w:rsidRPr="00E07F86">
        <w:rPr>
          <w:sz w:val="32"/>
        </w:rPr>
        <w:t xml:space="preserve"> P</w:t>
      </w:r>
      <w:r w:rsidR="004D19D6">
        <w:rPr>
          <w:sz w:val="32"/>
        </w:rPr>
        <w:t>rocess</w:t>
      </w:r>
      <w:r w:rsidRPr="00E07F86">
        <w:rPr>
          <w:sz w:val="32"/>
        </w:rPr>
        <w:t xml:space="preserve"> </w:t>
      </w:r>
      <w:r w:rsidR="004D19D6">
        <w:rPr>
          <w:sz w:val="32"/>
        </w:rPr>
        <w:t>of</w:t>
      </w:r>
      <w:r w:rsidRPr="00E07F86">
        <w:rPr>
          <w:sz w:val="32"/>
        </w:rPr>
        <w:t xml:space="preserve"> S</w:t>
      </w:r>
      <w:r w:rsidR="004D19D6">
        <w:rPr>
          <w:sz w:val="32"/>
        </w:rPr>
        <w:t>tyrene</w:t>
      </w:r>
    </w:p>
    <w:p w14:paraId="58C11810" w14:textId="77777777" w:rsidR="00E978D0" w:rsidRPr="00170CA3" w:rsidRDefault="00E418D5" w:rsidP="00AB5011">
      <w:pPr>
        <w:pStyle w:val="CETAuthors"/>
        <w:rPr>
          <w:lang w:val="pt-BR"/>
        </w:rPr>
      </w:pPr>
      <w:r w:rsidRPr="00D61B95">
        <w:rPr>
          <w:lang w:val="pt-BR"/>
        </w:rPr>
        <w:t>Isabelle C. Valim</w:t>
      </w:r>
      <w:r w:rsidRPr="00D61B95">
        <w:rPr>
          <w:vertAlign w:val="superscript"/>
          <w:lang w:val="pt-BR"/>
        </w:rPr>
        <w:t>a</w:t>
      </w:r>
      <w:r w:rsidRPr="00D61B95">
        <w:rPr>
          <w:lang w:val="pt-BR"/>
        </w:rPr>
        <w:t xml:space="preserve">, </w:t>
      </w:r>
      <w:r w:rsidR="00374396" w:rsidRPr="00D61B95">
        <w:rPr>
          <w:lang w:val="pt-BR"/>
        </w:rPr>
        <w:t xml:space="preserve">Alessandra </w:t>
      </w:r>
      <w:r w:rsidR="00374396" w:rsidRPr="00170CA3">
        <w:rPr>
          <w:lang w:val="pt-BR"/>
        </w:rPr>
        <w:t>M. M. Silva</w:t>
      </w:r>
      <w:r w:rsidR="00374396" w:rsidRPr="00170CA3">
        <w:rPr>
          <w:vertAlign w:val="superscript"/>
          <w:lang w:val="pt-BR"/>
        </w:rPr>
        <w:t>a</w:t>
      </w:r>
      <w:r w:rsidR="00600535" w:rsidRPr="00170CA3">
        <w:rPr>
          <w:lang w:val="pt-BR"/>
        </w:rPr>
        <w:t>,</w:t>
      </w:r>
      <w:r>
        <w:rPr>
          <w:lang w:val="pt-BR"/>
        </w:rPr>
        <w:t xml:space="preserve"> </w:t>
      </w:r>
      <w:r w:rsidR="00374396" w:rsidRPr="00170CA3">
        <w:rPr>
          <w:lang w:val="pt-BR"/>
        </w:rPr>
        <w:t>Alexandre V. Grillo</w:t>
      </w:r>
      <w:r w:rsidR="00374396" w:rsidRPr="00170CA3">
        <w:rPr>
          <w:vertAlign w:val="superscript"/>
          <w:lang w:val="pt-BR"/>
        </w:rPr>
        <w:t>b</w:t>
      </w:r>
      <w:r w:rsidR="00374396" w:rsidRPr="00170CA3">
        <w:rPr>
          <w:lang w:val="pt-BR"/>
        </w:rPr>
        <w:t>, Brunno F. dos Santos</w:t>
      </w:r>
      <w:r w:rsidR="00374396" w:rsidRPr="00170CA3">
        <w:rPr>
          <w:vertAlign w:val="superscript"/>
          <w:lang w:val="pt-BR"/>
        </w:rPr>
        <w:t xml:space="preserve"> a,</w:t>
      </w:r>
      <w:r w:rsidR="00374396" w:rsidRPr="00170CA3">
        <w:rPr>
          <w:lang w:val="pt-BR"/>
        </w:rPr>
        <w:t>*</w:t>
      </w:r>
      <w:r w:rsidR="00600535" w:rsidRPr="00170CA3">
        <w:rPr>
          <w:lang w:val="pt-BR"/>
        </w:rPr>
        <w:t xml:space="preserve"> </w:t>
      </w:r>
    </w:p>
    <w:p w14:paraId="02C4F7BB" w14:textId="77777777" w:rsidR="00E978D0" w:rsidRPr="00374396" w:rsidRDefault="00E978D0" w:rsidP="00E978D0">
      <w:pPr>
        <w:pStyle w:val="CETAddress"/>
        <w:rPr>
          <w:lang w:val="pt-BR"/>
        </w:rPr>
      </w:pPr>
      <w:r w:rsidRPr="00B57B36">
        <w:rPr>
          <w:vertAlign w:val="superscript"/>
        </w:rPr>
        <w:t>a</w:t>
      </w:r>
      <w:r w:rsidR="00374396">
        <w:t xml:space="preserve">Department of Chemical and Materials Engineering (DEQM), Pontifical Catholic University of Rio de Janeiro (PUC-Rio). </w:t>
      </w:r>
      <w:r w:rsidR="00374396" w:rsidRPr="00374396">
        <w:rPr>
          <w:lang w:val="pt-BR"/>
        </w:rPr>
        <w:t>Rua Marquês de São Vicente, 225 – Gávea, Rio de Janeiro – RJ, 22430-060, Brazil.</w:t>
      </w:r>
    </w:p>
    <w:p w14:paraId="59607336" w14:textId="77777777" w:rsidR="00E978D0" w:rsidRPr="0000217D" w:rsidRDefault="00E978D0" w:rsidP="00E978D0">
      <w:pPr>
        <w:pStyle w:val="CETAddress"/>
        <w:rPr>
          <w:lang w:val="pt-BR"/>
        </w:rPr>
      </w:pPr>
      <w:r w:rsidRPr="00B57B36">
        <w:rPr>
          <w:vertAlign w:val="superscript"/>
        </w:rPr>
        <w:t>b</w:t>
      </w:r>
      <w:r w:rsidR="0000217D">
        <w:t xml:space="preserve">Federal Institute of Education, Science and Technology (IFRJ). </w:t>
      </w:r>
      <w:r w:rsidR="0000217D" w:rsidRPr="0000217D">
        <w:rPr>
          <w:lang w:val="pt-BR"/>
        </w:rPr>
        <w:t>Rua Lúcio Tavares, 1045 – Centro, Nilópolis – RJ, 26530-060, Brazil.</w:t>
      </w:r>
      <w:r w:rsidRPr="0000217D">
        <w:rPr>
          <w:lang w:val="pt-BR"/>
        </w:rPr>
        <w:t xml:space="preserve"> </w:t>
      </w:r>
    </w:p>
    <w:p w14:paraId="6430B3E3" w14:textId="77777777" w:rsidR="005A20D9" w:rsidRPr="005A20D9" w:rsidRDefault="005A20D9" w:rsidP="00EF395D">
      <w:pPr>
        <w:pStyle w:val="CETemail"/>
      </w:pPr>
      <w:r w:rsidRPr="005A20D9">
        <w:t>bsantos@puc-rio.br</w:t>
      </w:r>
    </w:p>
    <w:p w14:paraId="3B71F111" w14:textId="3C2CD450" w:rsidR="0000217D" w:rsidRPr="00EF395D" w:rsidRDefault="0000217D" w:rsidP="0000217D">
      <w:pPr>
        <w:pStyle w:val="CETBodytext"/>
        <w:rPr>
          <w:lang w:val="en-GB"/>
        </w:rPr>
      </w:pPr>
      <w:r>
        <w:rPr>
          <w:lang w:val="en-GB"/>
        </w:rPr>
        <w:t xml:space="preserve">In the chemical industry is important to </w:t>
      </w:r>
      <w:r w:rsidR="00D85910">
        <w:rPr>
          <w:lang w:val="en-GB"/>
        </w:rPr>
        <w:t xml:space="preserve">control the </w:t>
      </w:r>
      <w:r>
        <w:rPr>
          <w:lang w:val="en-GB"/>
        </w:rPr>
        <w:t xml:space="preserve">process in order to guarantee the quality and repeatability of the final product. </w:t>
      </w:r>
      <w:r w:rsidR="00D85910">
        <w:rPr>
          <w:lang w:val="en-GB"/>
        </w:rPr>
        <w:t>Using</w:t>
      </w:r>
      <w:r>
        <w:rPr>
          <w:lang w:val="en-GB"/>
        </w:rPr>
        <w:t xml:space="preserve"> sensors in the industrial plant allows a large volume of data to be captured regarding the process. These data can be used for modelling to better understanding and predict the properties of the product in the process. In this work, two types of Artificial Neural Networks (ANN) </w:t>
      </w:r>
      <w:r w:rsidR="005A20D9">
        <w:rPr>
          <w:lang w:val="en-GB"/>
        </w:rPr>
        <w:t xml:space="preserve">and the hybrid model Adaptive Neuro Fuzzy Inference System (ANFIS) </w:t>
      </w:r>
      <w:r>
        <w:rPr>
          <w:lang w:val="en-GB"/>
        </w:rPr>
        <w:t>were used to predict the density of polystyrene along the styrene polymerization process</w:t>
      </w:r>
      <w:r w:rsidR="005A20D9">
        <w:rPr>
          <w:lang w:val="en-GB"/>
        </w:rPr>
        <w:t>.</w:t>
      </w:r>
      <w:r w:rsidR="005E4054">
        <w:rPr>
          <w:lang w:val="en-GB"/>
        </w:rPr>
        <w:t xml:space="preserve"> The dataset used was extracted from the batch of polymerization reactions performed in open-loop, manual control and closed-loop and monitored in each 5 seconds. The Feedforward and Elman ANN has coefficient of correlation (R) equal 94.2%. </w:t>
      </w:r>
      <w:r w:rsidR="005E4054" w:rsidRPr="005E4054">
        <w:t xml:space="preserve">However, the best topology obtained </w:t>
      </w:r>
      <w:r w:rsidR="005E4054">
        <w:t>to</w:t>
      </w:r>
      <w:r w:rsidR="005E4054" w:rsidRPr="005E4054">
        <w:t xml:space="preserve"> Feedforward ANN present</w:t>
      </w:r>
      <w:r w:rsidR="005E4054">
        <w:t xml:space="preserve">s </w:t>
      </w:r>
      <w:r w:rsidR="005E4054" w:rsidRPr="005E4054">
        <w:t xml:space="preserve">2 </w:t>
      </w:r>
      <w:r w:rsidR="005E4054">
        <w:t>hidden layers</w:t>
      </w:r>
      <w:r w:rsidR="005E4054" w:rsidRPr="005E4054">
        <w:t xml:space="preserve"> </w:t>
      </w:r>
      <w:r w:rsidR="005E4054">
        <w:t>and</w:t>
      </w:r>
      <w:r w:rsidR="005E4054" w:rsidRPr="005E4054">
        <w:t xml:space="preserve"> </w:t>
      </w:r>
      <w:r w:rsidR="005E4054">
        <w:t>error index</w:t>
      </w:r>
      <w:r w:rsidR="005E4054" w:rsidRPr="005E4054">
        <w:t xml:space="preserve"> </w:t>
      </w:r>
      <w:r w:rsidR="005E4054">
        <w:t>RM</w:t>
      </w:r>
      <w:r w:rsidR="005E4054" w:rsidRPr="005E4054">
        <w:t>SE (</w:t>
      </w:r>
      <w:r w:rsidR="005E4054">
        <w:t>Root Mean</w:t>
      </w:r>
      <w:r w:rsidR="005E4054" w:rsidRPr="005E4054">
        <w:t xml:space="preserve"> Squared Error) equal to </w:t>
      </w:r>
      <w:r w:rsidR="005E4054">
        <w:rPr>
          <w:lang w:val="en-GB"/>
        </w:rPr>
        <w:t>2.69x10</w:t>
      </w:r>
      <w:r w:rsidR="005E4054" w:rsidRPr="006B70B6">
        <w:rPr>
          <w:vertAlign w:val="superscript"/>
          <w:lang w:val="en-GB"/>
        </w:rPr>
        <w:t>-2</w:t>
      </w:r>
      <w:r w:rsidR="005E4054">
        <w:rPr>
          <w:lang w:val="en-GB"/>
        </w:rPr>
        <w:t>. The Elman ANN presents only 1 hidden layer and RMSE of 3.39x10</w:t>
      </w:r>
      <w:r w:rsidR="005E4054" w:rsidRPr="006B70B6">
        <w:rPr>
          <w:vertAlign w:val="superscript"/>
          <w:lang w:val="en-GB"/>
        </w:rPr>
        <w:t>-2</w:t>
      </w:r>
      <w:r w:rsidR="005E4054">
        <w:rPr>
          <w:lang w:val="en-GB"/>
        </w:rPr>
        <w:t>.</w:t>
      </w:r>
      <w:r w:rsidR="005A20D9">
        <w:rPr>
          <w:lang w:val="en-GB"/>
        </w:rPr>
        <w:t xml:space="preserve"> The ANFIS model, in turn, presented R equal to 91% and RMSE of 0.2123. Therefore, ANFIS model did not prove to be the most adequate for the prediction of the polystyrene density in the studied process.</w:t>
      </w:r>
    </w:p>
    <w:p w14:paraId="1D39FEB5" w14:textId="77777777" w:rsidR="00600535" w:rsidRDefault="00600535" w:rsidP="00600535">
      <w:pPr>
        <w:pStyle w:val="CETHeading1"/>
        <w:rPr>
          <w:lang w:val="en-GB"/>
        </w:rPr>
      </w:pPr>
      <w:r w:rsidRPr="00B57B36">
        <w:rPr>
          <w:lang w:val="en-GB"/>
        </w:rPr>
        <w:t>Introduction</w:t>
      </w:r>
    </w:p>
    <w:p w14:paraId="54ED1DF3" w14:textId="1ED9D5CF" w:rsidR="002701FB" w:rsidRDefault="002701FB" w:rsidP="00862149">
      <w:pPr>
        <w:pStyle w:val="CET-table-title"/>
        <w:jc w:val="both"/>
        <w:rPr>
          <w:i w:val="0"/>
          <w:lang w:val="en-GB"/>
        </w:rPr>
      </w:pPr>
      <w:r>
        <w:rPr>
          <w:i w:val="0"/>
          <w:lang w:val="en-GB"/>
        </w:rPr>
        <w:t>Polystyrene is the styrene polymerization pro</w:t>
      </w:r>
      <w:r w:rsidR="00DF5A0E">
        <w:rPr>
          <w:i w:val="0"/>
          <w:lang w:val="en-GB"/>
        </w:rPr>
        <w:t>duct</w:t>
      </w:r>
      <w:r>
        <w:rPr>
          <w:i w:val="0"/>
          <w:lang w:val="en-GB"/>
        </w:rPr>
        <w:t xml:space="preserve"> that can be used in fiberglass, laminates, rubber and resins found in consumer products and commercial and residential building materials</w:t>
      </w:r>
      <w:r w:rsidR="00DF5A0E">
        <w:rPr>
          <w:i w:val="0"/>
          <w:lang w:val="en-GB"/>
        </w:rPr>
        <w:t xml:space="preserve"> (Werder et al., 2018). Polystyrene is also used by painters and vehicle repair shop works</w:t>
      </w:r>
      <w:r w:rsidR="00D85910">
        <w:rPr>
          <w:i w:val="0"/>
          <w:lang w:val="en-GB"/>
        </w:rPr>
        <w:t xml:space="preserve"> and </w:t>
      </w:r>
      <w:r w:rsidR="00DF5A0E">
        <w:rPr>
          <w:i w:val="0"/>
          <w:lang w:val="en-GB"/>
        </w:rPr>
        <w:t>in sewer pipe reconstruction</w:t>
      </w:r>
      <w:r w:rsidR="00D85910">
        <w:rPr>
          <w:i w:val="0"/>
          <w:lang w:val="en-GB"/>
        </w:rPr>
        <w:t xml:space="preserve"> as well</w:t>
      </w:r>
      <w:r w:rsidR="00DF5A0E">
        <w:rPr>
          <w:i w:val="0"/>
          <w:lang w:val="en-GB"/>
        </w:rPr>
        <w:t xml:space="preserve"> (Persoons et al., 2018).</w:t>
      </w:r>
      <w:r w:rsidR="003D0743">
        <w:rPr>
          <w:i w:val="0"/>
          <w:lang w:val="en-GB"/>
        </w:rPr>
        <w:t xml:space="preserve"> Furthermore, polystyrene can be used in the food processing and packaging industry (Sanahuja-Parejo et al., 2018).</w:t>
      </w:r>
    </w:p>
    <w:p w14:paraId="27A2D5F6" w14:textId="25EC2A63" w:rsidR="00B708D8" w:rsidRPr="00862149" w:rsidRDefault="006849E8" w:rsidP="00862149">
      <w:pPr>
        <w:pStyle w:val="CET-table-title"/>
        <w:jc w:val="both"/>
        <w:rPr>
          <w:i w:val="0"/>
          <w:lang w:val="en-GB"/>
        </w:rPr>
      </w:pPr>
      <w:r w:rsidRPr="00862149">
        <w:rPr>
          <w:i w:val="0"/>
          <w:lang w:val="en-GB"/>
        </w:rPr>
        <w:t>Polymerization</w:t>
      </w:r>
      <w:r w:rsidR="00B708D8" w:rsidRPr="00862149">
        <w:rPr>
          <w:i w:val="0"/>
          <w:lang w:val="en-GB"/>
        </w:rPr>
        <w:t xml:space="preserve"> process pose significant challenges to the industrial community as </w:t>
      </w:r>
      <w:r w:rsidR="00D85910">
        <w:rPr>
          <w:i w:val="0"/>
          <w:lang w:val="en-GB"/>
        </w:rPr>
        <w:t xml:space="preserve">it </w:t>
      </w:r>
      <w:r w:rsidR="00B708D8" w:rsidRPr="00862149">
        <w:rPr>
          <w:i w:val="0"/>
          <w:lang w:val="en-GB"/>
        </w:rPr>
        <w:t xml:space="preserve">is difficult to control with high nonlinearity </w:t>
      </w:r>
      <w:r w:rsidR="00170CA3" w:rsidRPr="00862149">
        <w:rPr>
          <w:i w:val="0"/>
          <w:lang w:val="en-GB"/>
        </w:rPr>
        <w:t>behaviour</w:t>
      </w:r>
      <w:r w:rsidR="00B708D8" w:rsidRPr="00862149">
        <w:rPr>
          <w:i w:val="0"/>
          <w:lang w:val="en-GB"/>
        </w:rPr>
        <w:t xml:space="preserve"> and fast dynamic response. </w:t>
      </w:r>
      <w:r w:rsidR="004B7167" w:rsidRPr="00862149">
        <w:rPr>
          <w:i w:val="0"/>
          <w:lang w:val="en-GB"/>
        </w:rPr>
        <w:t>The monitoring and control of polymer processes guarantee to the final product the qualities required by the market</w:t>
      </w:r>
      <w:r w:rsidR="004B7167" w:rsidRPr="00D61B95">
        <w:rPr>
          <w:i w:val="0"/>
          <w:lang w:val="en-GB"/>
        </w:rPr>
        <w:t xml:space="preserve">. </w:t>
      </w:r>
      <w:r w:rsidR="005931C9" w:rsidRPr="00D61B95">
        <w:rPr>
          <w:i w:val="0"/>
          <w:lang w:val="en-GB"/>
        </w:rPr>
        <w:t xml:space="preserve">Muhammad and Aziz (2017), for instance, </w:t>
      </w:r>
      <w:r w:rsidRPr="00D61B95">
        <w:rPr>
          <w:i w:val="0"/>
          <w:lang w:val="en-GB"/>
        </w:rPr>
        <w:t xml:space="preserve">studied the production of low density </w:t>
      </w:r>
      <w:r w:rsidR="005931C9" w:rsidRPr="00D61B95">
        <w:rPr>
          <w:i w:val="0"/>
          <w:lang w:val="en-GB"/>
        </w:rPr>
        <w:t>polyethylene (LDPE) and</w:t>
      </w:r>
      <w:r w:rsidRPr="00D61B95">
        <w:rPr>
          <w:i w:val="0"/>
          <w:lang w:val="en-GB"/>
        </w:rPr>
        <w:t xml:space="preserve"> present</w:t>
      </w:r>
      <w:r w:rsidR="005931C9" w:rsidRPr="00D61B95">
        <w:rPr>
          <w:i w:val="0"/>
          <w:lang w:val="en-GB"/>
        </w:rPr>
        <w:t>ed</w:t>
      </w:r>
      <w:r w:rsidRPr="00D61B95">
        <w:rPr>
          <w:i w:val="0"/>
          <w:lang w:val="en-GB"/>
        </w:rPr>
        <w:t xml:space="preserve"> a review of the control strategies </w:t>
      </w:r>
      <w:r w:rsidRPr="00D61B95">
        <w:rPr>
          <w:i w:val="0"/>
          <w:lang w:val="en-GB"/>
        </w:rPr>
        <w:lastRenderedPageBreak/>
        <w:t>developed for the LDPE process. T</w:t>
      </w:r>
      <w:r w:rsidRPr="00862149">
        <w:rPr>
          <w:i w:val="0"/>
          <w:lang w:val="en-GB"/>
        </w:rPr>
        <w:t>he strategies presented were developed in tubular and autoclave reactors</w:t>
      </w:r>
      <w:r w:rsidR="009011F8" w:rsidRPr="00862149">
        <w:rPr>
          <w:i w:val="0"/>
          <w:lang w:val="en-GB"/>
        </w:rPr>
        <w:t xml:space="preserve"> and highlights the importance of nonlinear control in polymerization process.</w:t>
      </w:r>
    </w:p>
    <w:p w14:paraId="2CF6FA50" w14:textId="0392AC54" w:rsidR="00E418D5" w:rsidRDefault="004B7167" w:rsidP="00862149">
      <w:pPr>
        <w:pStyle w:val="CET-table-title"/>
        <w:jc w:val="both"/>
        <w:rPr>
          <w:i w:val="0"/>
          <w:lang w:val="en-GB"/>
        </w:rPr>
      </w:pPr>
      <w:r w:rsidRPr="00862149">
        <w:rPr>
          <w:i w:val="0"/>
          <w:lang w:val="en-GB"/>
        </w:rPr>
        <w:t xml:space="preserve">The use of sensors to monitor production allows a large volume of </w:t>
      </w:r>
      <w:r w:rsidR="00AB16B5">
        <w:rPr>
          <w:i w:val="0"/>
          <w:lang w:val="en-GB"/>
        </w:rPr>
        <w:t xml:space="preserve">process </w:t>
      </w:r>
      <w:r w:rsidRPr="00862149">
        <w:rPr>
          <w:i w:val="0"/>
          <w:lang w:val="en-GB"/>
        </w:rPr>
        <w:t xml:space="preserve">data to be collected. Therefore, it is necessary to construct mathematical models of prediction </w:t>
      </w:r>
      <w:r w:rsidR="00AB16B5" w:rsidRPr="00AB16B5">
        <w:rPr>
          <w:i w:val="0"/>
          <w:lang w:val="en-GB"/>
        </w:rPr>
        <w:t>to interpret and correlate</w:t>
      </w:r>
      <w:r w:rsidR="00AB16B5">
        <w:rPr>
          <w:i w:val="0"/>
          <w:lang w:val="en-GB"/>
        </w:rPr>
        <w:t xml:space="preserve"> </w:t>
      </w:r>
      <w:r w:rsidRPr="00862149">
        <w:rPr>
          <w:i w:val="0"/>
          <w:lang w:val="en-GB"/>
        </w:rPr>
        <w:t>significant patterns, indispensable to assist in the management of decisions and risk analysis.</w:t>
      </w:r>
    </w:p>
    <w:p w14:paraId="19ED8E88" w14:textId="77777777" w:rsidR="0084466F" w:rsidRPr="00014A45" w:rsidRDefault="0084466F" w:rsidP="00862149">
      <w:pPr>
        <w:pStyle w:val="CET-table-title"/>
        <w:jc w:val="both"/>
        <w:rPr>
          <w:i w:val="0"/>
          <w:lang w:val="en-GB"/>
        </w:rPr>
      </w:pPr>
      <w:r w:rsidRPr="00014A45">
        <w:rPr>
          <w:i w:val="0"/>
          <w:lang w:val="en-GB"/>
        </w:rPr>
        <w:t xml:space="preserve">The development of phenomenological models for polymerization is complex and requires deep knowledge about the processes involved in each step. Modelling using artificial intelligence is a strategy that can provide valuable information about the process and allows the construction of an intelligent model capable of predicting process response based on parameters provided. ANN and ANFIS are </w:t>
      </w:r>
      <w:r w:rsidR="00584E54" w:rsidRPr="00014A45">
        <w:rPr>
          <w:i w:val="0"/>
          <w:lang w:val="en-GB"/>
        </w:rPr>
        <w:t xml:space="preserve">artificial intelligence </w:t>
      </w:r>
      <w:r w:rsidRPr="00014A45">
        <w:rPr>
          <w:i w:val="0"/>
          <w:lang w:val="en-GB"/>
        </w:rPr>
        <w:t>tools that can be used to build predictive models. In supervised learning, the data are presented to the network and its main objective is to provide a model that correctly correlates the pairs inputs - outputs of the problems. The use of ANN and ANFIS to predict the density of the polystyrene produced in the process becomes attractive since it is a type of non-linear modelling.</w:t>
      </w:r>
    </w:p>
    <w:p w14:paraId="4981A51D" w14:textId="77777777" w:rsidR="00374396" w:rsidRPr="00862149" w:rsidRDefault="00E418D5" w:rsidP="00862149">
      <w:pPr>
        <w:pStyle w:val="CET-table-title"/>
        <w:jc w:val="both"/>
        <w:rPr>
          <w:i w:val="0"/>
          <w:lang w:val="en-GB"/>
        </w:rPr>
      </w:pPr>
      <w:r>
        <w:rPr>
          <w:i w:val="0"/>
          <w:lang w:val="en-GB"/>
        </w:rPr>
        <w:t>Jumari and Mohd-Yusof</w:t>
      </w:r>
      <w:r w:rsidR="004B7167" w:rsidRPr="00862149">
        <w:rPr>
          <w:i w:val="0"/>
          <w:lang w:val="en-GB"/>
        </w:rPr>
        <w:t xml:space="preserve"> </w:t>
      </w:r>
      <w:r>
        <w:rPr>
          <w:i w:val="0"/>
          <w:lang w:val="en-GB"/>
        </w:rPr>
        <w:t>(</w:t>
      </w:r>
      <w:r w:rsidR="004B7167" w:rsidRPr="00862149">
        <w:rPr>
          <w:i w:val="0"/>
          <w:lang w:val="en-GB"/>
        </w:rPr>
        <w:t>2017</w:t>
      </w:r>
      <w:r>
        <w:rPr>
          <w:i w:val="0"/>
          <w:lang w:val="en-GB"/>
        </w:rPr>
        <w:t>)</w:t>
      </w:r>
      <w:r w:rsidR="004B7167" w:rsidRPr="00862149">
        <w:rPr>
          <w:i w:val="0"/>
          <w:lang w:val="en-GB"/>
        </w:rPr>
        <w:t xml:space="preserve"> </w:t>
      </w:r>
      <w:r w:rsidR="00515284" w:rsidRPr="00862149">
        <w:rPr>
          <w:i w:val="0"/>
          <w:lang w:val="en-GB"/>
        </w:rPr>
        <w:t>presents models to measure melt flow index (MFI) in industrial polypropylene loop reactors using first principle (FP) model and ANN model. The authors state that the prediction of the ANN model is more accurate compare to the MFI calculated by the FP model. Furthermore, the CPU time recorded that ANN model is much faster than FP model</w:t>
      </w:r>
      <w:r w:rsidR="00B708D8" w:rsidRPr="00862149">
        <w:rPr>
          <w:i w:val="0"/>
          <w:lang w:val="en-GB"/>
        </w:rPr>
        <w:t>.</w:t>
      </w:r>
    </w:p>
    <w:p w14:paraId="0DA81BBC" w14:textId="77777777" w:rsidR="00374396" w:rsidRPr="00862149" w:rsidRDefault="00374396" w:rsidP="00862149">
      <w:pPr>
        <w:pStyle w:val="CET-table-title"/>
        <w:jc w:val="both"/>
        <w:rPr>
          <w:i w:val="0"/>
          <w:lang w:val="en-GB"/>
        </w:rPr>
      </w:pPr>
      <w:r w:rsidRPr="00862149">
        <w:rPr>
          <w:i w:val="0"/>
          <w:lang w:val="en-GB"/>
        </w:rPr>
        <w:t>This work aims to develop direct and recursive ANN</w:t>
      </w:r>
      <w:r w:rsidR="00FE62F4">
        <w:rPr>
          <w:i w:val="0"/>
          <w:lang w:val="en-GB"/>
        </w:rPr>
        <w:t xml:space="preserve"> and ANFIS</w:t>
      </w:r>
      <w:r w:rsidRPr="00862149">
        <w:rPr>
          <w:i w:val="0"/>
          <w:lang w:val="en-GB"/>
        </w:rPr>
        <w:t xml:space="preserve"> models from a set of experimental data from a controlled styrene polymerization plant capable of predicting the density of the product satisfactorily.</w:t>
      </w:r>
    </w:p>
    <w:p w14:paraId="053CB8BE" w14:textId="77777777" w:rsidR="00600535" w:rsidRPr="00946AA8" w:rsidRDefault="00582931" w:rsidP="00600535">
      <w:pPr>
        <w:pStyle w:val="CETHeading1"/>
        <w:tabs>
          <w:tab w:val="clear" w:pos="360"/>
          <w:tab w:val="right" w:pos="7100"/>
        </w:tabs>
        <w:jc w:val="both"/>
        <w:rPr>
          <w:lang w:val="pt-BR"/>
        </w:rPr>
      </w:pPr>
      <w:r w:rsidRPr="00946AA8">
        <w:rPr>
          <w:lang w:val="pt-BR"/>
        </w:rPr>
        <w:t>Materials and Methods</w:t>
      </w:r>
    </w:p>
    <w:p w14:paraId="05880268" w14:textId="2CE9C133" w:rsidR="00582931" w:rsidRDefault="00582931" w:rsidP="00582931">
      <w:pPr>
        <w:pStyle w:val="CETBodytext"/>
        <w:rPr>
          <w:lang w:val="en-GB"/>
        </w:rPr>
      </w:pPr>
      <w:r w:rsidRPr="00170CA3">
        <w:t xml:space="preserve">The experiments were performed according Santos et al., 2013. Figure 1 shows the prototype used </w:t>
      </w:r>
      <w:r w:rsidR="00094934">
        <w:t>to</w:t>
      </w:r>
      <w:r w:rsidRPr="00170CA3">
        <w:t xml:space="preserve"> </w:t>
      </w:r>
      <w:r>
        <w:rPr>
          <w:lang w:val="en-GB"/>
        </w:rPr>
        <w:t>study the behaviour of the polystyrene density in the batch styrene polymerization process.</w:t>
      </w:r>
    </w:p>
    <w:p w14:paraId="4DD0F7CB" w14:textId="77777777" w:rsidR="003D0743" w:rsidRDefault="00582931" w:rsidP="008B430E">
      <w:pPr>
        <w:pStyle w:val="CETBodytext"/>
        <w:rPr>
          <w:lang w:val="en-GB"/>
        </w:rPr>
      </w:pPr>
      <w:r>
        <w:rPr>
          <w:noProof/>
          <w:lang w:val="pt-BR" w:eastAsia="pt-BR"/>
        </w:rPr>
        <w:drawing>
          <wp:inline distT="0" distB="0" distL="0" distR="0" wp14:anchorId="3F7A3C54" wp14:editId="4F694558">
            <wp:extent cx="1990725" cy="187391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9405" cy="1919736"/>
                    </a:xfrm>
                    <a:prstGeom prst="rect">
                      <a:avLst/>
                    </a:prstGeom>
                  </pic:spPr>
                </pic:pic>
              </a:graphicData>
            </a:graphic>
          </wp:inline>
        </w:drawing>
      </w:r>
    </w:p>
    <w:p w14:paraId="3C5039B6" w14:textId="77777777" w:rsidR="00A87693" w:rsidRDefault="00582931" w:rsidP="00EA6C94">
      <w:pPr>
        <w:pStyle w:val="CETBodytext"/>
        <w:rPr>
          <w:i/>
          <w:lang w:val="en-GB"/>
        </w:rPr>
      </w:pPr>
      <w:r w:rsidRPr="003D0743">
        <w:rPr>
          <w:i/>
          <w:lang w:val="en-GB"/>
        </w:rPr>
        <w:t>Figure 1. Scheme of the polymerization experimental prototype</w:t>
      </w:r>
    </w:p>
    <w:p w14:paraId="09D52827" w14:textId="77777777" w:rsidR="00A87693" w:rsidRDefault="00A87693" w:rsidP="00EA6C94">
      <w:pPr>
        <w:pStyle w:val="CETBodytext"/>
        <w:rPr>
          <w:lang w:val="en-GB"/>
        </w:rPr>
      </w:pPr>
    </w:p>
    <w:p w14:paraId="0E808C6D" w14:textId="0149B347" w:rsidR="00582931" w:rsidRDefault="00582931" w:rsidP="00EA6C94">
      <w:pPr>
        <w:pStyle w:val="CETBodytext"/>
        <w:rPr>
          <w:i/>
          <w:lang w:val="en-GB"/>
        </w:rPr>
      </w:pPr>
      <w:r>
        <w:rPr>
          <w:lang w:val="en-GB"/>
        </w:rPr>
        <w:t xml:space="preserve">This prototype was composed </w:t>
      </w:r>
      <w:r w:rsidR="00094934">
        <w:rPr>
          <w:lang w:val="en-GB"/>
        </w:rPr>
        <w:t>by</w:t>
      </w:r>
      <w:r>
        <w:rPr>
          <w:lang w:val="en-GB"/>
        </w:rPr>
        <w:t xml:space="preserve"> a jacketed stainless steel reactor (R-1) with 2L, a 7L thermal fluid storage tank (TQ-1) with agitator and system of heating, two positive displacement pumps (P-1 and P-2), </w:t>
      </w:r>
      <w:r w:rsidR="00094934">
        <w:rPr>
          <w:lang w:val="en-GB"/>
        </w:rPr>
        <w:t xml:space="preserve">a </w:t>
      </w:r>
      <w:r>
        <w:rPr>
          <w:lang w:val="en-GB"/>
        </w:rPr>
        <w:t>thermal oil circulation through the reactor jacket and another for the reaction mixture to pass through a specific mass sampling (DS-1), three temperature sensors located inside the reactor (TT-2), at inlet (TT-1) and at outlet of the jacket (TT-3) and a nitrogen (N</w:t>
      </w:r>
      <w:r>
        <w:rPr>
          <w:vertAlign w:val="subscript"/>
          <w:lang w:val="en-GB"/>
        </w:rPr>
        <w:t>2</w:t>
      </w:r>
      <w:r>
        <w:rPr>
          <w:lang w:val="en-GB"/>
        </w:rPr>
        <w:t>) bubbling system.</w:t>
      </w:r>
    </w:p>
    <w:p w14:paraId="7497ECDD" w14:textId="164B922B" w:rsidR="00582931" w:rsidRDefault="00582931" w:rsidP="00582931">
      <w:pPr>
        <w:pStyle w:val="CET-table-title"/>
        <w:jc w:val="both"/>
        <w:rPr>
          <w:i w:val="0"/>
          <w:lang w:val="en-GB"/>
        </w:rPr>
      </w:pPr>
      <w:r>
        <w:rPr>
          <w:i w:val="0"/>
          <w:lang w:val="en-GB"/>
        </w:rPr>
        <w:t>The reaction mixture of 1100 mL, consisting of 50% styrene and 50% toluene in volume, was heated by thermal exchange until reaching 90ºC,</w:t>
      </w:r>
      <w:r w:rsidR="00094934">
        <w:rPr>
          <w:i w:val="0"/>
          <w:lang w:val="en-GB"/>
        </w:rPr>
        <w:t xml:space="preserve"> which is the </w:t>
      </w:r>
      <w:r>
        <w:rPr>
          <w:i w:val="0"/>
          <w:lang w:val="en-GB"/>
        </w:rPr>
        <w:t xml:space="preserve">condition to start the reaction. The nitrogen was bubbled into the mixture all the time. To initiate the reaction by free radical, was added 6.57g of benzoyl peroxide. In this process, the controlled variable was the temperature of the reactor by manipulating the power of the resistance in the tank. The supervision of the system was adopted every 5 seconds. </w:t>
      </w:r>
    </w:p>
    <w:p w14:paraId="0366CE21" w14:textId="4180217E" w:rsidR="00582931" w:rsidRPr="00B50475" w:rsidRDefault="00582931" w:rsidP="00B50475">
      <w:pPr>
        <w:pStyle w:val="Pr-formataoHTML"/>
        <w:shd w:val="clear" w:color="auto" w:fill="FFFFFF"/>
        <w:rPr>
          <w:rFonts w:ascii="Arial" w:hAnsi="Arial" w:cs="Times New Roman"/>
        </w:rPr>
      </w:pPr>
      <w:r w:rsidRPr="00B50475">
        <w:rPr>
          <w:rFonts w:ascii="Arial" w:hAnsi="Arial" w:cs="Times New Roman"/>
        </w:rPr>
        <w:t xml:space="preserve">In this work, two types of neural models (Feedforward and Elman) and ANFIS model were developed for the prediction of polystyrene density behaviour. The dataset used for training and testing of the neural models totalizes 6,732 information arrays </w:t>
      </w:r>
      <w:r w:rsidRPr="000C4C34">
        <w:rPr>
          <w:rFonts w:ascii="Arial" w:hAnsi="Arial" w:cs="Times New Roman"/>
        </w:rPr>
        <w:t>extracted</w:t>
      </w:r>
      <w:r w:rsidR="00B50475" w:rsidRPr="000C4C34">
        <w:rPr>
          <w:rFonts w:ascii="Arial" w:hAnsi="Arial" w:cs="Times New Roman"/>
        </w:rPr>
        <w:t xml:space="preserve"> from 3 experiments randomly selected </w:t>
      </w:r>
      <w:r w:rsidRPr="000C4C34">
        <w:rPr>
          <w:rFonts w:ascii="Arial" w:hAnsi="Arial" w:cs="Times New Roman"/>
        </w:rPr>
        <w:t xml:space="preserve">from the </w:t>
      </w:r>
      <w:r w:rsidRPr="00B50475">
        <w:rPr>
          <w:rFonts w:ascii="Arial" w:hAnsi="Arial" w:cs="Times New Roman"/>
        </w:rPr>
        <w:t xml:space="preserve">batch of </w:t>
      </w:r>
      <w:r w:rsidRPr="00B50475">
        <w:rPr>
          <w:rFonts w:ascii="Arial" w:hAnsi="Arial" w:cs="Times New Roman"/>
        </w:rPr>
        <w:lastRenderedPageBreak/>
        <w:t>polymerization reactions performed in open-loop, manual control and closed-loop with a conventional controller tuned by Ziegler-Nichols method.</w:t>
      </w:r>
    </w:p>
    <w:p w14:paraId="19FE7493" w14:textId="77777777" w:rsidR="00AB5011" w:rsidRDefault="00582931" w:rsidP="005E4054">
      <w:pPr>
        <w:pStyle w:val="CET-table-title"/>
        <w:jc w:val="both"/>
        <w:rPr>
          <w:i w:val="0"/>
          <w:lang w:val="en-GB"/>
        </w:rPr>
      </w:pPr>
      <w:r>
        <w:rPr>
          <w:i w:val="0"/>
          <w:lang w:val="en-GB"/>
        </w:rPr>
        <w:t xml:space="preserve">For all types of ANN and ANFIS developed, the input variables were temperature inside the reactor, temperature input and temperature output of the jacket and power variation. The output variable was the behaviour of the polystyrene density. In ANN models, the activation functions for the hidden layer neurons tested were </w:t>
      </w:r>
      <w:r w:rsidRPr="00BE46CC">
        <w:rPr>
          <w:lang w:val="en-GB"/>
        </w:rPr>
        <w:t>tansig</w:t>
      </w:r>
      <w:r>
        <w:rPr>
          <w:i w:val="0"/>
          <w:lang w:val="en-GB"/>
        </w:rPr>
        <w:t xml:space="preserve"> and </w:t>
      </w:r>
      <w:r w:rsidRPr="00BE46CC">
        <w:rPr>
          <w:lang w:val="en-GB"/>
        </w:rPr>
        <w:t>logsig</w:t>
      </w:r>
      <w:r>
        <w:rPr>
          <w:i w:val="0"/>
          <w:lang w:val="en-GB"/>
        </w:rPr>
        <w:t xml:space="preserve"> and the training algorithms were </w:t>
      </w:r>
      <w:r w:rsidRPr="00BE46CC">
        <w:rPr>
          <w:lang w:val="en-GB"/>
        </w:rPr>
        <w:t>trainbr</w:t>
      </w:r>
      <w:r>
        <w:rPr>
          <w:i w:val="0"/>
          <w:lang w:val="en-GB"/>
        </w:rPr>
        <w:t xml:space="preserve"> and </w:t>
      </w:r>
      <w:r w:rsidRPr="00BE46CC">
        <w:rPr>
          <w:lang w:val="en-GB"/>
        </w:rPr>
        <w:t>trainlm</w:t>
      </w:r>
      <w:r>
        <w:rPr>
          <w:i w:val="0"/>
          <w:lang w:val="en-GB"/>
        </w:rPr>
        <w:t xml:space="preserve">. In ANFIS model, the Sugeno inference method with </w:t>
      </w:r>
      <w:r w:rsidR="001E116B">
        <w:rPr>
          <w:i w:val="0"/>
          <w:lang w:val="en-GB"/>
        </w:rPr>
        <w:t>s</w:t>
      </w:r>
      <w:r>
        <w:rPr>
          <w:i w:val="0"/>
          <w:lang w:val="en-GB"/>
        </w:rPr>
        <w:t xml:space="preserve">ubtractive </w:t>
      </w:r>
      <w:r w:rsidR="001E116B">
        <w:rPr>
          <w:i w:val="0"/>
          <w:lang w:val="en-GB"/>
        </w:rPr>
        <w:t>c</w:t>
      </w:r>
      <w:r>
        <w:rPr>
          <w:i w:val="0"/>
          <w:lang w:val="en-GB"/>
        </w:rPr>
        <w:t>lustering and the hybrid training algorithm was used. To evaluate the performance of the ANN and ANFIS models, the value of coefficient of correlation (R) and error index RMSE (Root Mean Squared Error) was observed.</w:t>
      </w:r>
    </w:p>
    <w:p w14:paraId="51CAE1CD" w14:textId="77777777" w:rsidR="00600535" w:rsidRPr="00B57B36" w:rsidRDefault="00582931" w:rsidP="00600535">
      <w:pPr>
        <w:pStyle w:val="CETHeading1"/>
        <w:rPr>
          <w:lang w:val="en-GB"/>
        </w:rPr>
      </w:pPr>
      <w:r>
        <w:rPr>
          <w:lang w:val="en-GB"/>
        </w:rPr>
        <w:t>Results and Discussion</w:t>
      </w:r>
    </w:p>
    <w:p w14:paraId="25CC9B3F" w14:textId="77777777" w:rsidR="00B50475" w:rsidRPr="000C4C34" w:rsidRDefault="00582931" w:rsidP="00B50475">
      <w:pPr>
        <w:pStyle w:val="Pr-formataoHTML"/>
        <w:shd w:val="clear" w:color="auto" w:fill="FFFFFF"/>
        <w:rPr>
          <w:rFonts w:ascii="Arial" w:hAnsi="Arial" w:cs="Times New Roman"/>
        </w:rPr>
      </w:pPr>
      <w:r w:rsidRPr="00B50475">
        <w:rPr>
          <w:rFonts w:ascii="Arial" w:hAnsi="Arial" w:cs="Times New Roman"/>
        </w:rPr>
        <w:t xml:space="preserve">The data set used to develop the neural models was normalized between 0 and 1 and </w:t>
      </w:r>
      <w:bookmarkStart w:id="0" w:name="_GoBack"/>
      <w:r w:rsidRPr="000C4C34">
        <w:rPr>
          <w:rFonts w:ascii="Arial" w:hAnsi="Arial" w:cs="Times New Roman"/>
        </w:rPr>
        <w:t xml:space="preserve">was divided in </w:t>
      </w:r>
      <w:r w:rsidR="00B50475" w:rsidRPr="000C4C34">
        <w:rPr>
          <w:rFonts w:ascii="Arial" w:hAnsi="Arial" w:cs="Times New Roman"/>
        </w:rPr>
        <w:t>approximately 70% for training and 30% for testing of the models.</w:t>
      </w:r>
    </w:p>
    <w:bookmarkEnd w:id="0"/>
    <w:p w14:paraId="6F454A5D" w14:textId="10624A64" w:rsidR="00582931" w:rsidRPr="00B50475" w:rsidRDefault="00582931" w:rsidP="00582931">
      <w:pPr>
        <w:pStyle w:val="CETBodytext"/>
      </w:pPr>
    </w:p>
    <w:p w14:paraId="5042CA45" w14:textId="77777777" w:rsidR="00582931" w:rsidRDefault="00582931" w:rsidP="00582931">
      <w:pPr>
        <w:pStyle w:val="CETBodytext"/>
        <w:rPr>
          <w:lang w:val="en-GB"/>
        </w:rPr>
      </w:pPr>
      <w:r>
        <w:rPr>
          <w:lang w:val="en-GB"/>
        </w:rPr>
        <w:t>The Feedforward ANN was used to develop the first model studied. Table 1 shows several topologies with one and two hidden layers were heuristically tested.</w:t>
      </w:r>
    </w:p>
    <w:p w14:paraId="2D5695E7" w14:textId="77777777" w:rsidR="00582931" w:rsidRPr="00BC1BFD" w:rsidRDefault="00582931" w:rsidP="00582931">
      <w:pPr>
        <w:pStyle w:val="CET-table-title"/>
        <w:rPr>
          <w:lang w:val="en-GB"/>
        </w:rPr>
      </w:pPr>
      <w:r w:rsidRPr="009378F0">
        <w:rPr>
          <w:lang w:val="en-GB"/>
        </w:rPr>
        <w:t xml:space="preserve">Table 1:  </w:t>
      </w:r>
      <w:r>
        <w:rPr>
          <w:lang w:val="en-GB"/>
        </w:rPr>
        <w:t>Several topologies tested with one and two hidden layers for Feedforward ANN</w:t>
      </w:r>
    </w:p>
    <w:tbl>
      <w:tblPr>
        <w:tblW w:w="7570" w:type="dxa"/>
        <w:jc w:val="center"/>
        <w:tblLook w:val="04A0" w:firstRow="1" w:lastRow="0" w:firstColumn="1" w:lastColumn="0" w:noHBand="0" w:noVBand="1"/>
      </w:tblPr>
      <w:tblGrid>
        <w:gridCol w:w="980"/>
        <w:gridCol w:w="897"/>
        <w:gridCol w:w="1080"/>
        <w:gridCol w:w="913"/>
        <w:gridCol w:w="1000"/>
        <w:gridCol w:w="980"/>
        <w:gridCol w:w="760"/>
        <w:gridCol w:w="960"/>
      </w:tblGrid>
      <w:tr w:rsidR="00582931" w:rsidRPr="002F0DB7" w14:paraId="2673AEBB" w14:textId="77777777" w:rsidTr="003D5160">
        <w:trPr>
          <w:trHeight w:val="510"/>
          <w:jc w:val="center"/>
        </w:trPr>
        <w:tc>
          <w:tcPr>
            <w:tcW w:w="980" w:type="dxa"/>
            <w:vMerge w:val="restart"/>
            <w:tcBorders>
              <w:top w:val="single" w:sz="12" w:space="0" w:color="008000"/>
              <w:left w:val="nil"/>
              <w:bottom w:val="single" w:sz="8" w:space="0" w:color="008000"/>
              <w:right w:val="nil"/>
            </w:tcBorders>
            <w:shd w:val="clear" w:color="000000" w:fill="FFFFFF"/>
            <w:vAlign w:val="center"/>
            <w:hideMark/>
          </w:tcPr>
          <w:p w14:paraId="6DC19AC7"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Model</w:t>
            </w:r>
          </w:p>
        </w:tc>
        <w:tc>
          <w:tcPr>
            <w:tcW w:w="1977" w:type="dxa"/>
            <w:gridSpan w:val="2"/>
            <w:tcBorders>
              <w:top w:val="single" w:sz="12" w:space="0" w:color="008000"/>
              <w:left w:val="nil"/>
              <w:bottom w:val="single" w:sz="8" w:space="0" w:color="008000"/>
              <w:right w:val="nil"/>
            </w:tcBorders>
            <w:shd w:val="clear" w:color="000000" w:fill="FFFFFF"/>
            <w:vAlign w:val="center"/>
            <w:hideMark/>
          </w:tcPr>
          <w:p w14:paraId="375BB8A8"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Hidden layer 1</w:t>
            </w:r>
          </w:p>
        </w:tc>
        <w:tc>
          <w:tcPr>
            <w:tcW w:w="1913" w:type="dxa"/>
            <w:gridSpan w:val="2"/>
            <w:tcBorders>
              <w:top w:val="single" w:sz="12" w:space="0" w:color="008000"/>
              <w:left w:val="nil"/>
              <w:bottom w:val="single" w:sz="8" w:space="0" w:color="008000"/>
              <w:right w:val="nil"/>
            </w:tcBorders>
            <w:shd w:val="clear" w:color="000000" w:fill="FFFFFF"/>
            <w:vAlign w:val="center"/>
            <w:hideMark/>
          </w:tcPr>
          <w:p w14:paraId="54C7E251"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Hidden layer 2</w:t>
            </w:r>
          </w:p>
        </w:tc>
        <w:tc>
          <w:tcPr>
            <w:tcW w:w="980" w:type="dxa"/>
            <w:vMerge w:val="restart"/>
            <w:tcBorders>
              <w:top w:val="single" w:sz="12" w:space="0" w:color="008000"/>
              <w:left w:val="nil"/>
              <w:right w:val="nil"/>
            </w:tcBorders>
            <w:shd w:val="clear" w:color="000000" w:fill="FFFFFF"/>
            <w:vAlign w:val="center"/>
            <w:hideMark/>
          </w:tcPr>
          <w:p w14:paraId="13421CBD" w14:textId="77777777" w:rsidR="00582931" w:rsidRPr="002F0DB7" w:rsidRDefault="00582931" w:rsidP="003D5160">
            <w:pPr>
              <w:tabs>
                <w:tab w:val="clear" w:pos="7100"/>
              </w:tabs>
              <w:spacing w:line="240" w:lineRule="auto"/>
              <w:rPr>
                <w:rFonts w:cs="Arial"/>
                <w:color w:val="000000"/>
                <w:szCs w:val="18"/>
                <w:lang w:val="en-US"/>
              </w:rPr>
            </w:pPr>
            <w:r w:rsidRPr="002F0DB7">
              <w:rPr>
                <w:rFonts w:cs="Arial"/>
                <w:color w:val="000000"/>
                <w:szCs w:val="18"/>
                <w:lang w:val="en-US"/>
              </w:rPr>
              <w:t>Training algorithm</w:t>
            </w:r>
          </w:p>
        </w:tc>
        <w:tc>
          <w:tcPr>
            <w:tcW w:w="760" w:type="dxa"/>
            <w:vMerge w:val="restart"/>
            <w:tcBorders>
              <w:top w:val="single" w:sz="12" w:space="0" w:color="008000"/>
              <w:left w:val="nil"/>
              <w:right w:val="nil"/>
            </w:tcBorders>
            <w:shd w:val="clear" w:color="000000" w:fill="FFFFFF"/>
            <w:vAlign w:val="center"/>
            <w:hideMark/>
          </w:tcPr>
          <w:p w14:paraId="6A5533EF"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R</w:t>
            </w:r>
          </w:p>
        </w:tc>
        <w:tc>
          <w:tcPr>
            <w:tcW w:w="960" w:type="dxa"/>
            <w:vMerge w:val="restart"/>
            <w:tcBorders>
              <w:top w:val="single" w:sz="12" w:space="0" w:color="008000"/>
              <w:left w:val="nil"/>
              <w:right w:val="nil"/>
            </w:tcBorders>
            <w:shd w:val="clear" w:color="000000" w:fill="FFFFFF"/>
            <w:vAlign w:val="center"/>
            <w:hideMark/>
          </w:tcPr>
          <w:p w14:paraId="61B63748"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RMSE</w:t>
            </w:r>
          </w:p>
        </w:tc>
      </w:tr>
      <w:tr w:rsidR="00582931" w:rsidRPr="002F0DB7" w14:paraId="7149AF38" w14:textId="77777777" w:rsidTr="003D5160">
        <w:trPr>
          <w:trHeight w:val="495"/>
          <w:jc w:val="center"/>
        </w:trPr>
        <w:tc>
          <w:tcPr>
            <w:tcW w:w="980" w:type="dxa"/>
            <w:vMerge/>
            <w:tcBorders>
              <w:top w:val="single" w:sz="12" w:space="0" w:color="008000"/>
              <w:left w:val="nil"/>
              <w:bottom w:val="single" w:sz="8" w:space="0" w:color="008000"/>
              <w:right w:val="nil"/>
            </w:tcBorders>
            <w:vAlign w:val="center"/>
            <w:hideMark/>
          </w:tcPr>
          <w:p w14:paraId="3F031327" w14:textId="77777777" w:rsidR="00582931" w:rsidRPr="002F0DB7" w:rsidRDefault="00582931" w:rsidP="003D5160">
            <w:pPr>
              <w:tabs>
                <w:tab w:val="clear" w:pos="7100"/>
              </w:tabs>
              <w:spacing w:line="240" w:lineRule="auto"/>
              <w:jc w:val="left"/>
              <w:rPr>
                <w:rFonts w:cs="Arial"/>
                <w:color w:val="000000"/>
                <w:szCs w:val="18"/>
                <w:lang w:val="en-US"/>
              </w:rPr>
            </w:pPr>
          </w:p>
        </w:tc>
        <w:tc>
          <w:tcPr>
            <w:tcW w:w="897" w:type="dxa"/>
            <w:tcBorders>
              <w:top w:val="nil"/>
              <w:left w:val="nil"/>
              <w:bottom w:val="single" w:sz="8" w:space="0" w:color="008000"/>
              <w:right w:val="nil"/>
            </w:tcBorders>
            <w:shd w:val="clear" w:color="000000" w:fill="FFFFFF"/>
            <w:vAlign w:val="center"/>
            <w:hideMark/>
          </w:tcPr>
          <w:p w14:paraId="74028320"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Neurons</w:t>
            </w:r>
          </w:p>
        </w:tc>
        <w:tc>
          <w:tcPr>
            <w:tcW w:w="1080" w:type="dxa"/>
            <w:tcBorders>
              <w:top w:val="nil"/>
              <w:left w:val="nil"/>
              <w:bottom w:val="single" w:sz="8" w:space="0" w:color="008000"/>
              <w:right w:val="nil"/>
            </w:tcBorders>
            <w:shd w:val="clear" w:color="000000" w:fill="FFFFFF"/>
            <w:vAlign w:val="center"/>
            <w:hideMark/>
          </w:tcPr>
          <w:p w14:paraId="1F6D592A"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Activation Function</w:t>
            </w:r>
          </w:p>
        </w:tc>
        <w:tc>
          <w:tcPr>
            <w:tcW w:w="913" w:type="dxa"/>
            <w:tcBorders>
              <w:top w:val="nil"/>
              <w:left w:val="nil"/>
              <w:bottom w:val="single" w:sz="8" w:space="0" w:color="008000"/>
              <w:right w:val="nil"/>
            </w:tcBorders>
            <w:shd w:val="clear" w:color="000000" w:fill="FFFFFF"/>
            <w:vAlign w:val="center"/>
            <w:hideMark/>
          </w:tcPr>
          <w:p w14:paraId="4102618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Neurons</w:t>
            </w:r>
          </w:p>
        </w:tc>
        <w:tc>
          <w:tcPr>
            <w:tcW w:w="1000" w:type="dxa"/>
            <w:tcBorders>
              <w:top w:val="nil"/>
              <w:left w:val="nil"/>
              <w:bottom w:val="single" w:sz="8" w:space="0" w:color="008000"/>
              <w:right w:val="nil"/>
            </w:tcBorders>
            <w:shd w:val="clear" w:color="000000" w:fill="FFFFFF"/>
            <w:vAlign w:val="center"/>
            <w:hideMark/>
          </w:tcPr>
          <w:p w14:paraId="13640D2D"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Activation Function</w:t>
            </w:r>
          </w:p>
        </w:tc>
        <w:tc>
          <w:tcPr>
            <w:tcW w:w="980" w:type="dxa"/>
            <w:vMerge/>
            <w:tcBorders>
              <w:left w:val="nil"/>
              <w:bottom w:val="single" w:sz="8" w:space="0" w:color="008000"/>
              <w:right w:val="nil"/>
            </w:tcBorders>
            <w:vAlign w:val="center"/>
            <w:hideMark/>
          </w:tcPr>
          <w:p w14:paraId="005A335F" w14:textId="77777777" w:rsidR="00582931" w:rsidRPr="002F0DB7" w:rsidRDefault="00582931" w:rsidP="003D5160">
            <w:pPr>
              <w:tabs>
                <w:tab w:val="clear" w:pos="7100"/>
              </w:tabs>
              <w:spacing w:line="240" w:lineRule="auto"/>
              <w:rPr>
                <w:rFonts w:cs="Arial"/>
                <w:color w:val="000000"/>
                <w:szCs w:val="18"/>
                <w:lang w:val="en-US"/>
              </w:rPr>
            </w:pPr>
          </w:p>
        </w:tc>
        <w:tc>
          <w:tcPr>
            <w:tcW w:w="760" w:type="dxa"/>
            <w:vMerge/>
            <w:tcBorders>
              <w:left w:val="nil"/>
              <w:bottom w:val="single" w:sz="8" w:space="0" w:color="008000"/>
              <w:right w:val="nil"/>
            </w:tcBorders>
            <w:vAlign w:val="center"/>
            <w:hideMark/>
          </w:tcPr>
          <w:p w14:paraId="1F716395" w14:textId="77777777" w:rsidR="00582931" w:rsidRPr="002F0DB7" w:rsidRDefault="00582931" w:rsidP="003D5160">
            <w:pPr>
              <w:tabs>
                <w:tab w:val="clear" w:pos="7100"/>
              </w:tabs>
              <w:spacing w:line="240" w:lineRule="auto"/>
              <w:jc w:val="left"/>
              <w:rPr>
                <w:rFonts w:cs="Arial"/>
                <w:color w:val="000000"/>
                <w:szCs w:val="18"/>
                <w:lang w:val="en-US"/>
              </w:rPr>
            </w:pPr>
          </w:p>
        </w:tc>
        <w:tc>
          <w:tcPr>
            <w:tcW w:w="960" w:type="dxa"/>
            <w:vMerge/>
            <w:tcBorders>
              <w:left w:val="nil"/>
              <w:bottom w:val="single" w:sz="8" w:space="0" w:color="008000"/>
              <w:right w:val="nil"/>
            </w:tcBorders>
            <w:vAlign w:val="center"/>
            <w:hideMark/>
          </w:tcPr>
          <w:p w14:paraId="5C061B14" w14:textId="77777777" w:rsidR="00582931" w:rsidRPr="002F0DB7" w:rsidRDefault="00582931" w:rsidP="003D5160">
            <w:pPr>
              <w:tabs>
                <w:tab w:val="clear" w:pos="7100"/>
              </w:tabs>
              <w:spacing w:line="240" w:lineRule="auto"/>
              <w:jc w:val="left"/>
              <w:rPr>
                <w:rFonts w:cs="Arial"/>
                <w:color w:val="000000"/>
                <w:szCs w:val="18"/>
                <w:lang w:val="en-US"/>
              </w:rPr>
            </w:pPr>
          </w:p>
        </w:tc>
      </w:tr>
      <w:tr w:rsidR="00582931" w:rsidRPr="002F0DB7" w14:paraId="24EEFFF3"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32D3F932"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ANN1</w:t>
            </w:r>
          </w:p>
        </w:tc>
        <w:tc>
          <w:tcPr>
            <w:tcW w:w="897" w:type="dxa"/>
            <w:tcBorders>
              <w:top w:val="nil"/>
              <w:left w:val="nil"/>
              <w:bottom w:val="nil"/>
              <w:right w:val="nil"/>
            </w:tcBorders>
            <w:shd w:val="clear" w:color="000000" w:fill="FFFFFF"/>
            <w:noWrap/>
            <w:vAlign w:val="center"/>
            <w:hideMark/>
          </w:tcPr>
          <w:p w14:paraId="090BC4C4"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6</w:t>
            </w:r>
          </w:p>
        </w:tc>
        <w:tc>
          <w:tcPr>
            <w:tcW w:w="1080" w:type="dxa"/>
            <w:tcBorders>
              <w:top w:val="nil"/>
              <w:left w:val="nil"/>
              <w:bottom w:val="nil"/>
              <w:right w:val="nil"/>
            </w:tcBorders>
            <w:shd w:val="clear" w:color="000000" w:fill="FFFFFF"/>
            <w:noWrap/>
            <w:vAlign w:val="center"/>
            <w:hideMark/>
          </w:tcPr>
          <w:p w14:paraId="23883F43"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13" w:type="dxa"/>
            <w:tcBorders>
              <w:top w:val="nil"/>
              <w:left w:val="nil"/>
              <w:bottom w:val="nil"/>
              <w:right w:val="nil"/>
            </w:tcBorders>
            <w:shd w:val="clear" w:color="000000" w:fill="FFFFFF"/>
            <w:noWrap/>
            <w:vAlign w:val="bottom"/>
            <w:hideMark/>
          </w:tcPr>
          <w:p w14:paraId="3CEFBFB0"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1000" w:type="dxa"/>
            <w:tcBorders>
              <w:top w:val="nil"/>
              <w:left w:val="nil"/>
              <w:bottom w:val="nil"/>
              <w:right w:val="nil"/>
            </w:tcBorders>
            <w:shd w:val="clear" w:color="000000" w:fill="FFFFFF"/>
            <w:noWrap/>
            <w:vAlign w:val="bottom"/>
            <w:hideMark/>
          </w:tcPr>
          <w:p w14:paraId="54998E50"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980" w:type="dxa"/>
            <w:tcBorders>
              <w:top w:val="nil"/>
              <w:left w:val="nil"/>
              <w:bottom w:val="nil"/>
              <w:right w:val="nil"/>
            </w:tcBorders>
            <w:shd w:val="clear" w:color="000000" w:fill="FFFFFF"/>
            <w:noWrap/>
            <w:vAlign w:val="center"/>
            <w:hideMark/>
          </w:tcPr>
          <w:p w14:paraId="21F588ED"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trainbr</w:t>
            </w:r>
          </w:p>
        </w:tc>
        <w:tc>
          <w:tcPr>
            <w:tcW w:w="760" w:type="dxa"/>
            <w:tcBorders>
              <w:top w:val="nil"/>
              <w:left w:val="nil"/>
              <w:bottom w:val="nil"/>
              <w:right w:val="nil"/>
            </w:tcBorders>
            <w:shd w:val="clear" w:color="000000" w:fill="FFFFFF"/>
            <w:noWrap/>
            <w:vAlign w:val="center"/>
            <w:hideMark/>
          </w:tcPr>
          <w:p w14:paraId="6392BB38"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93.80</w:t>
            </w:r>
          </w:p>
        </w:tc>
        <w:tc>
          <w:tcPr>
            <w:tcW w:w="960" w:type="dxa"/>
            <w:tcBorders>
              <w:top w:val="nil"/>
              <w:left w:val="nil"/>
              <w:bottom w:val="nil"/>
              <w:right w:val="nil"/>
            </w:tcBorders>
            <w:shd w:val="clear" w:color="000000" w:fill="FFFFFF"/>
            <w:noWrap/>
            <w:vAlign w:val="bottom"/>
            <w:hideMark/>
          </w:tcPr>
          <w:p w14:paraId="0F254C5B"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3.12E-02</w:t>
            </w:r>
          </w:p>
        </w:tc>
      </w:tr>
      <w:tr w:rsidR="00582931" w:rsidRPr="002F0DB7" w14:paraId="4C1DF5FB"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7FDDCC4A"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ANN2</w:t>
            </w:r>
          </w:p>
        </w:tc>
        <w:tc>
          <w:tcPr>
            <w:tcW w:w="897" w:type="dxa"/>
            <w:tcBorders>
              <w:top w:val="nil"/>
              <w:left w:val="nil"/>
              <w:bottom w:val="nil"/>
              <w:right w:val="nil"/>
            </w:tcBorders>
            <w:shd w:val="clear" w:color="000000" w:fill="FFFFFF"/>
            <w:noWrap/>
            <w:vAlign w:val="center"/>
            <w:hideMark/>
          </w:tcPr>
          <w:p w14:paraId="7AF329DE"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6</w:t>
            </w:r>
          </w:p>
        </w:tc>
        <w:tc>
          <w:tcPr>
            <w:tcW w:w="1080" w:type="dxa"/>
            <w:tcBorders>
              <w:top w:val="nil"/>
              <w:left w:val="nil"/>
              <w:bottom w:val="nil"/>
              <w:right w:val="nil"/>
            </w:tcBorders>
            <w:shd w:val="clear" w:color="000000" w:fill="FFFFFF"/>
            <w:noWrap/>
            <w:vAlign w:val="center"/>
            <w:hideMark/>
          </w:tcPr>
          <w:p w14:paraId="5D9A1492"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13" w:type="dxa"/>
            <w:tcBorders>
              <w:top w:val="nil"/>
              <w:left w:val="nil"/>
              <w:bottom w:val="nil"/>
              <w:right w:val="nil"/>
            </w:tcBorders>
            <w:shd w:val="clear" w:color="000000" w:fill="FFFFFF"/>
            <w:noWrap/>
            <w:vAlign w:val="bottom"/>
            <w:hideMark/>
          </w:tcPr>
          <w:p w14:paraId="7B1406AB"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1000" w:type="dxa"/>
            <w:tcBorders>
              <w:top w:val="nil"/>
              <w:left w:val="nil"/>
              <w:bottom w:val="nil"/>
              <w:right w:val="nil"/>
            </w:tcBorders>
            <w:shd w:val="clear" w:color="000000" w:fill="FFFFFF"/>
            <w:noWrap/>
            <w:vAlign w:val="bottom"/>
            <w:hideMark/>
          </w:tcPr>
          <w:p w14:paraId="4A50C1F6"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980" w:type="dxa"/>
            <w:tcBorders>
              <w:top w:val="nil"/>
              <w:left w:val="nil"/>
              <w:bottom w:val="nil"/>
              <w:right w:val="nil"/>
            </w:tcBorders>
            <w:shd w:val="clear" w:color="000000" w:fill="FFFFFF"/>
            <w:noWrap/>
            <w:vAlign w:val="center"/>
            <w:hideMark/>
          </w:tcPr>
          <w:p w14:paraId="172DCD51"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trainlm</w:t>
            </w:r>
          </w:p>
        </w:tc>
        <w:tc>
          <w:tcPr>
            <w:tcW w:w="760" w:type="dxa"/>
            <w:tcBorders>
              <w:top w:val="nil"/>
              <w:left w:val="nil"/>
              <w:bottom w:val="nil"/>
              <w:right w:val="nil"/>
            </w:tcBorders>
            <w:shd w:val="clear" w:color="000000" w:fill="FFFFFF"/>
            <w:noWrap/>
            <w:vAlign w:val="center"/>
            <w:hideMark/>
          </w:tcPr>
          <w:p w14:paraId="532A52D3"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64.16</w:t>
            </w:r>
          </w:p>
        </w:tc>
        <w:tc>
          <w:tcPr>
            <w:tcW w:w="960" w:type="dxa"/>
            <w:tcBorders>
              <w:top w:val="nil"/>
              <w:left w:val="nil"/>
              <w:bottom w:val="nil"/>
              <w:right w:val="nil"/>
            </w:tcBorders>
            <w:shd w:val="clear" w:color="000000" w:fill="FFFFFF"/>
            <w:noWrap/>
            <w:vAlign w:val="bottom"/>
            <w:hideMark/>
          </w:tcPr>
          <w:p w14:paraId="19B83D8C"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3.28E-02</w:t>
            </w:r>
          </w:p>
        </w:tc>
      </w:tr>
      <w:tr w:rsidR="00582931" w:rsidRPr="002F0DB7" w14:paraId="0058348C"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34727B0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ANN3</w:t>
            </w:r>
          </w:p>
        </w:tc>
        <w:tc>
          <w:tcPr>
            <w:tcW w:w="897" w:type="dxa"/>
            <w:tcBorders>
              <w:top w:val="nil"/>
              <w:left w:val="nil"/>
              <w:bottom w:val="nil"/>
              <w:right w:val="nil"/>
            </w:tcBorders>
            <w:shd w:val="clear" w:color="000000" w:fill="FFFFFF"/>
            <w:noWrap/>
            <w:vAlign w:val="center"/>
            <w:hideMark/>
          </w:tcPr>
          <w:p w14:paraId="26E64AAE"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6</w:t>
            </w:r>
          </w:p>
        </w:tc>
        <w:tc>
          <w:tcPr>
            <w:tcW w:w="1080" w:type="dxa"/>
            <w:tcBorders>
              <w:top w:val="nil"/>
              <w:left w:val="nil"/>
              <w:bottom w:val="nil"/>
              <w:right w:val="nil"/>
            </w:tcBorders>
            <w:shd w:val="clear" w:color="000000" w:fill="FFFFFF"/>
            <w:noWrap/>
            <w:vAlign w:val="center"/>
            <w:hideMark/>
          </w:tcPr>
          <w:p w14:paraId="6BCBC33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13" w:type="dxa"/>
            <w:tcBorders>
              <w:top w:val="nil"/>
              <w:left w:val="nil"/>
              <w:bottom w:val="nil"/>
              <w:right w:val="nil"/>
            </w:tcBorders>
            <w:shd w:val="clear" w:color="000000" w:fill="FFFFFF"/>
            <w:noWrap/>
            <w:vAlign w:val="center"/>
            <w:hideMark/>
          </w:tcPr>
          <w:p w14:paraId="030CCBD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6</w:t>
            </w:r>
          </w:p>
        </w:tc>
        <w:tc>
          <w:tcPr>
            <w:tcW w:w="1000" w:type="dxa"/>
            <w:tcBorders>
              <w:top w:val="nil"/>
              <w:left w:val="nil"/>
              <w:bottom w:val="nil"/>
              <w:right w:val="nil"/>
            </w:tcBorders>
            <w:shd w:val="clear" w:color="000000" w:fill="FFFFFF"/>
            <w:noWrap/>
            <w:vAlign w:val="center"/>
            <w:hideMark/>
          </w:tcPr>
          <w:p w14:paraId="1CF45C5C"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80" w:type="dxa"/>
            <w:tcBorders>
              <w:top w:val="nil"/>
              <w:left w:val="nil"/>
              <w:bottom w:val="nil"/>
              <w:right w:val="nil"/>
            </w:tcBorders>
            <w:shd w:val="clear" w:color="000000" w:fill="FFFFFF"/>
            <w:noWrap/>
            <w:vAlign w:val="center"/>
            <w:hideMark/>
          </w:tcPr>
          <w:p w14:paraId="6587EED1"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trainbr</w:t>
            </w:r>
          </w:p>
        </w:tc>
        <w:tc>
          <w:tcPr>
            <w:tcW w:w="760" w:type="dxa"/>
            <w:tcBorders>
              <w:top w:val="nil"/>
              <w:left w:val="nil"/>
              <w:bottom w:val="nil"/>
              <w:right w:val="nil"/>
            </w:tcBorders>
            <w:shd w:val="clear" w:color="000000" w:fill="FFFFFF"/>
            <w:noWrap/>
            <w:vAlign w:val="bottom"/>
            <w:hideMark/>
          </w:tcPr>
          <w:p w14:paraId="2AE1BE04"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86.84</w:t>
            </w:r>
          </w:p>
        </w:tc>
        <w:tc>
          <w:tcPr>
            <w:tcW w:w="960" w:type="dxa"/>
            <w:tcBorders>
              <w:top w:val="nil"/>
              <w:left w:val="nil"/>
              <w:bottom w:val="nil"/>
              <w:right w:val="nil"/>
            </w:tcBorders>
            <w:shd w:val="clear" w:color="000000" w:fill="FFFFFF"/>
            <w:noWrap/>
            <w:vAlign w:val="bottom"/>
            <w:hideMark/>
          </w:tcPr>
          <w:p w14:paraId="31435D1F"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2.77E-02</w:t>
            </w:r>
          </w:p>
        </w:tc>
      </w:tr>
      <w:tr w:rsidR="00582931" w:rsidRPr="002F0DB7" w14:paraId="7B1F9EF1"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52E4A0DF"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ANN4</w:t>
            </w:r>
          </w:p>
        </w:tc>
        <w:tc>
          <w:tcPr>
            <w:tcW w:w="897" w:type="dxa"/>
            <w:tcBorders>
              <w:top w:val="nil"/>
              <w:left w:val="nil"/>
              <w:bottom w:val="nil"/>
              <w:right w:val="nil"/>
            </w:tcBorders>
            <w:shd w:val="clear" w:color="000000" w:fill="FFFFFF"/>
            <w:noWrap/>
            <w:vAlign w:val="center"/>
            <w:hideMark/>
          </w:tcPr>
          <w:p w14:paraId="27FC65D4"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6</w:t>
            </w:r>
          </w:p>
        </w:tc>
        <w:tc>
          <w:tcPr>
            <w:tcW w:w="1080" w:type="dxa"/>
            <w:tcBorders>
              <w:top w:val="nil"/>
              <w:left w:val="nil"/>
              <w:bottom w:val="nil"/>
              <w:right w:val="nil"/>
            </w:tcBorders>
            <w:shd w:val="clear" w:color="000000" w:fill="FFFFFF"/>
            <w:noWrap/>
            <w:vAlign w:val="center"/>
            <w:hideMark/>
          </w:tcPr>
          <w:p w14:paraId="18DB3D93"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13" w:type="dxa"/>
            <w:tcBorders>
              <w:top w:val="nil"/>
              <w:left w:val="nil"/>
              <w:bottom w:val="nil"/>
              <w:right w:val="nil"/>
            </w:tcBorders>
            <w:shd w:val="clear" w:color="000000" w:fill="FFFFFF"/>
            <w:noWrap/>
            <w:vAlign w:val="center"/>
            <w:hideMark/>
          </w:tcPr>
          <w:p w14:paraId="2DD5F5CA"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6</w:t>
            </w:r>
          </w:p>
        </w:tc>
        <w:tc>
          <w:tcPr>
            <w:tcW w:w="1000" w:type="dxa"/>
            <w:tcBorders>
              <w:top w:val="nil"/>
              <w:left w:val="nil"/>
              <w:bottom w:val="nil"/>
              <w:right w:val="nil"/>
            </w:tcBorders>
            <w:shd w:val="clear" w:color="000000" w:fill="FFFFFF"/>
            <w:noWrap/>
            <w:vAlign w:val="center"/>
            <w:hideMark/>
          </w:tcPr>
          <w:p w14:paraId="04430181"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80" w:type="dxa"/>
            <w:tcBorders>
              <w:top w:val="nil"/>
              <w:left w:val="nil"/>
              <w:bottom w:val="nil"/>
              <w:right w:val="nil"/>
            </w:tcBorders>
            <w:shd w:val="clear" w:color="000000" w:fill="FFFFFF"/>
            <w:noWrap/>
            <w:vAlign w:val="center"/>
            <w:hideMark/>
          </w:tcPr>
          <w:p w14:paraId="199D7168"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trainlm</w:t>
            </w:r>
          </w:p>
        </w:tc>
        <w:tc>
          <w:tcPr>
            <w:tcW w:w="760" w:type="dxa"/>
            <w:tcBorders>
              <w:top w:val="nil"/>
              <w:left w:val="nil"/>
              <w:bottom w:val="nil"/>
              <w:right w:val="nil"/>
            </w:tcBorders>
            <w:shd w:val="clear" w:color="000000" w:fill="FFFFFF"/>
            <w:noWrap/>
            <w:vAlign w:val="bottom"/>
            <w:hideMark/>
          </w:tcPr>
          <w:p w14:paraId="4814577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94.20</w:t>
            </w:r>
          </w:p>
        </w:tc>
        <w:tc>
          <w:tcPr>
            <w:tcW w:w="960" w:type="dxa"/>
            <w:tcBorders>
              <w:top w:val="nil"/>
              <w:left w:val="nil"/>
              <w:bottom w:val="nil"/>
              <w:right w:val="nil"/>
            </w:tcBorders>
            <w:shd w:val="clear" w:color="000000" w:fill="FFFFFF"/>
            <w:noWrap/>
            <w:vAlign w:val="bottom"/>
            <w:hideMark/>
          </w:tcPr>
          <w:p w14:paraId="4F6BF194"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2.69E-02</w:t>
            </w:r>
          </w:p>
        </w:tc>
      </w:tr>
      <w:tr w:rsidR="00582931" w:rsidRPr="002F0DB7" w14:paraId="41CEDD35"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07217E23"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ANN5</w:t>
            </w:r>
          </w:p>
        </w:tc>
        <w:tc>
          <w:tcPr>
            <w:tcW w:w="897" w:type="dxa"/>
            <w:tcBorders>
              <w:top w:val="nil"/>
              <w:left w:val="nil"/>
              <w:bottom w:val="nil"/>
              <w:right w:val="nil"/>
            </w:tcBorders>
            <w:shd w:val="clear" w:color="000000" w:fill="FFFFFF"/>
            <w:noWrap/>
            <w:vAlign w:val="center"/>
            <w:hideMark/>
          </w:tcPr>
          <w:p w14:paraId="2AF0BE7C"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w:t>
            </w:r>
          </w:p>
        </w:tc>
        <w:tc>
          <w:tcPr>
            <w:tcW w:w="1080" w:type="dxa"/>
            <w:tcBorders>
              <w:top w:val="nil"/>
              <w:left w:val="nil"/>
              <w:bottom w:val="nil"/>
              <w:right w:val="nil"/>
            </w:tcBorders>
            <w:shd w:val="clear" w:color="000000" w:fill="FFFFFF"/>
            <w:noWrap/>
            <w:vAlign w:val="center"/>
            <w:hideMark/>
          </w:tcPr>
          <w:p w14:paraId="70C8769B"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13" w:type="dxa"/>
            <w:tcBorders>
              <w:top w:val="nil"/>
              <w:left w:val="nil"/>
              <w:bottom w:val="nil"/>
              <w:right w:val="nil"/>
            </w:tcBorders>
            <w:shd w:val="clear" w:color="000000" w:fill="FFFFFF"/>
            <w:noWrap/>
            <w:vAlign w:val="bottom"/>
            <w:hideMark/>
          </w:tcPr>
          <w:p w14:paraId="557B1729"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1000" w:type="dxa"/>
            <w:tcBorders>
              <w:top w:val="nil"/>
              <w:left w:val="nil"/>
              <w:bottom w:val="nil"/>
              <w:right w:val="nil"/>
            </w:tcBorders>
            <w:shd w:val="clear" w:color="000000" w:fill="FFFFFF"/>
            <w:noWrap/>
            <w:vAlign w:val="bottom"/>
            <w:hideMark/>
          </w:tcPr>
          <w:p w14:paraId="6E346DA9"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980" w:type="dxa"/>
            <w:tcBorders>
              <w:top w:val="nil"/>
              <w:left w:val="nil"/>
              <w:bottom w:val="nil"/>
              <w:right w:val="nil"/>
            </w:tcBorders>
            <w:shd w:val="clear" w:color="000000" w:fill="FFFFFF"/>
            <w:noWrap/>
            <w:vAlign w:val="center"/>
            <w:hideMark/>
          </w:tcPr>
          <w:p w14:paraId="6C5FF091"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trainlm</w:t>
            </w:r>
          </w:p>
        </w:tc>
        <w:tc>
          <w:tcPr>
            <w:tcW w:w="760" w:type="dxa"/>
            <w:tcBorders>
              <w:top w:val="nil"/>
              <w:left w:val="nil"/>
              <w:bottom w:val="nil"/>
              <w:right w:val="nil"/>
            </w:tcBorders>
            <w:shd w:val="clear" w:color="000000" w:fill="FFFFFF"/>
            <w:noWrap/>
            <w:vAlign w:val="center"/>
            <w:hideMark/>
          </w:tcPr>
          <w:p w14:paraId="379CD467"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82.71</w:t>
            </w:r>
          </w:p>
        </w:tc>
        <w:tc>
          <w:tcPr>
            <w:tcW w:w="960" w:type="dxa"/>
            <w:tcBorders>
              <w:top w:val="nil"/>
              <w:left w:val="nil"/>
              <w:bottom w:val="nil"/>
              <w:right w:val="nil"/>
            </w:tcBorders>
            <w:shd w:val="clear" w:color="000000" w:fill="FFFFFF"/>
            <w:noWrap/>
            <w:vAlign w:val="bottom"/>
            <w:hideMark/>
          </w:tcPr>
          <w:p w14:paraId="168D3249"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2.85E-02</w:t>
            </w:r>
          </w:p>
        </w:tc>
      </w:tr>
      <w:tr w:rsidR="00582931" w:rsidRPr="002F0DB7" w14:paraId="2D34C6FA"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3809070E"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ANN6</w:t>
            </w:r>
          </w:p>
        </w:tc>
        <w:tc>
          <w:tcPr>
            <w:tcW w:w="897" w:type="dxa"/>
            <w:tcBorders>
              <w:top w:val="nil"/>
              <w:left w:val="nil"/>
              <w:bottom w:val="nil"/>
              <w:right w:val="nil"/>
            </w:tcBorders>
            <w:shd w:val="clear" w:color="000000" w:fill="FFFFFF"/>
            <w:noWrap/>
            <w:vAlign w:val="center"/>
            <w:hideMark/>
          </w:tcPr>
          <w:p w14:paraId="4D6084E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10</w:t>
            </w:r>
          </w:p>
        </w:tc>
        <w:tc>
          <w:tcPr>
            <w:tcW w:w="1080" w:type="dxa"/>
            <w:tcBorders>
              <w:top w:val="nil"/>
              <w:left w:val="nil"/>
              <w:bottom w:val="nil"/>
              <w:right w:val="nil"/>
            </w:tcBorders>
            <w:shd w:val="clear" w:color="000000" w:fill="FFFFFF"/>
            <w:noWrap/>
            <w:vAlign w:val="center"/>
            <w:hideMark/>
          </w:tcPr>
          <w:p w14:paraId="0AD712BF"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13" w:type="dxa"/>
            <w:tcBorders>
              <w:top w:val="nil"/>
              <w:left w:val="nil"/>
              <w:bottom w:val="nil"/>
              <w:right w:val="nil"/>
            </w:tcBorders>
            <w:shd w:val="clear" w:color="000000" w:fill="FFFFFF"/>
            <w:noWrap/>
            <w:vAlign w:val="center"/>
            <w:hideMark/>
          </w:tcPr>
          <w:p w14:paraId="77F6DCC9"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w:t>
            </w:r>
          </w:p>
        </w:tc>
        <w:tc>
          <w:tcPr>
            <w:tcW w:w="1000" w:type="dxa"/>
            <w:tcBorders>
              <w:top w:val="nil"/>
              <w:left w:val="nil"/>
              <w:bottom w:val="nil"/>
              <w:right w:val="nil"/>
            </w:tcBorders>
            <w:shd w:val="clear" w:color="000000" w:fill="FFFFFF"/>
            <w:noWrap/>
            <w:vAlign w:val="center"/>
            <w:hideMark/>
          </w:tcPr>
          <w:p w14:paraId="5480FC16"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80" w:type="dxa"/>
            <w:tcBorders>
              <w:top w:val="nil"/>
              <w:left w:val="nil"/>
              <w:bottom w:val="nil"/>
              <w:right w:val="nil"/>
            </w:tcBorders>
            <w:shd w:val="clear" w:color="000000" w:fill="FFFFFF"/>
            <w:noWrap/>
            <w:vAlign w:val="center"/>
            <w:hideMark/>
          </w:tcPr>
          <w:p w14:paraId="7353B593"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trainlm</w:t>
            </w:r>
          </w:p>
        </w:tc>
        <w:tc>
          <w:tcPr>
            <w:tcW w:w="760" w:type="dxa"/>
            <w:tcBorders>
              <w:top w:val="nil"/>
              <w:left w:val="nil"/>
              <w:bottom w:val="nil"/>
              <w:right w:val="nil"/>
            </w:tcBorders>
            <w:shd w:val="clear" w:color="000000" w:fill="FFFFFF"/>
            <w:noWrap/>
            <w:vAlign w:val="bottom"/>
            <w:hideMark/>
          </w:tcPr>
          <w:p w14:paraId="6D69C39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84.14</w:t>
            </w:r>
          </w:p>
        </w:tc>
        <w:tc>
          <w:tcPr>
            <w:tcW w:w="960" w:type="dxa"/>
            <w:tcBorders>
              <w:top w:val="nil"/>
              <w:left w:val="nil"/>
              <w:bottom w:val="nil"/>
              <w:right w:val="nil"/>
            </w:tcBorders>
            <w:shd w:val="clear" w:color="000000" w:fill="FFFFFF"/>
            <w:noWrap/>
            <w:vAlign w:val="bottom"/>
            <w:hideMark/>
          </w:tcPr>
          <w:p w14:paraId="0D811CA6"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2.38E-02</w:t>
            </w:r>
          </w:p>
        </w:tc>
      </w:tr>
      <w:tr w:rsidR="00582931" w:rsidRPr="002F0DB7" w14:paraId="20C366F9"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5CC220E9"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ANN7</w:t>
            </w:r>
          </w:p>
        </w:tc>
        <w:tc>
          <w:tcPr>
            <w:tcW w:w="897" w:type="dxa"/>
            <w:tcBorders>
              <w:top w:val="nil"/>
              <w:left w:val="nil"/>
              <w:bottom w:val="nil"/>
              <w:right w:val="nil"/>
            </w:tcBorders>
            <w:shd w:val="clear" w:color="000000" w:fill="FFFFFF"/>
            <w:noWrap/>
            <w:vAlign w:val="center"/>
            <w:hideMark/>
          </w:tcPr>
          <w:p w14:paraId="1E757E69"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w:t>
            </w:r>
          </w:p>
        </w:tc>
        <w:tc>
          <w:tcPr>
            <w:tcW w:w="1080" w:type="dxa"/>
            <w:tcBorders>
              <w:top w:val="nil"/>
              <w:left w:val="nil"/>
              <w:bottom w:val="nil"/>
              <w:right w:val="nil"/>
            </w:tcBorders>
            <w:shd w:val="clear" w:color="000000" w:fill="FFFFFF"/>
            <w:noWrap/>
            <w:vAlign w:val="center"/>
            <w:hideMark/>
          </w:tcPr>
          <w:p w14:paraId="1C7F4DF9"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13" w:type="dxa"/>
            <w:tcBorders>
              <w:top w:val="nil"/>
              <w:left w:val="nil"/>
              <w:bottom w:val="nil"/>
              <w:right w:val="nil"/>
            </w:tcBorders>
            <w:shd w:val="clear" w:color="000000" w:fill="FFFFFF"/>
            <w:noWrap/>
            <w:vAlign w:val="center"/>
            <w:hideMark/>
          </w:tcPr>
          <w:p w14:paraId="5ADF1C67"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10</w:t>
            </w:r>
          </w:p>
        </w:tc>
        <w:tc>
          <w:tcPr>
            <w:tcW w:w="1000" w:type="dxa"/>
            <w:tcBorders>
              <w:top w:val="nil"/>
              <w:left w:val="nil"/>
              <w:bottom w:val="nil"/>
              <w:right w:val="nil"/>
            </w:tcBorders>
            <w:shd w:val="clear" w:color="000000" w:fill="FFFFFF"/>
            <w:noWrap/>
            <w:vAlign w:val="center"/>
            <w:hideMark/>
          </w:tcPr>
          <w:p w14:paraId="3C51782E"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80" w:type="dxa"/>
            <w:tcBorders>
              <w:top w:val="nil"/>
              <w:left w:val="nil"/>
              <w:bottom w:val="nil"/>
              <w:right w:val="nil"/>
            </w:tcBorders>
            <w:shd w:val="clear" w:color="000000" w:fill="FFFFFF"/>
            <w:noWrap/>
            <w:vAlign w:val="center"/>
            <w:hideMark/>
          </w:tcPr>
          <w:p w14:paraId="1C7C519B"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trainlm</w:t>
            </w:r>
          </w:p>
        </w:tc>
        <w:tc>
          <w:tcPr>
            <w:tcW w:w="760" w:type="dxa"/>
            <w:tcBorders>
              <w:top w:val="nil"/>
              <w:left w:val="nil"/>
              <w:bottom w:val="nil"/>
              <w:right w:val="nil"/>
            </w:tcBorders>
            <w:shd w:val="clear" w:color="000000" w:fill="FFFFFF"/>
            <w:noWrap/>
            <w:vAlign w:val="bottom"/>
            <w:hideMark/>
          </w:tcPr>
          <w:p w14:paraId="6853796E"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87.02</w:t>
            </w:r>
          </w:p>
        </w:tc>
        <w:tc>
          <w:tcPr>
            <w:tcW w:w="960" w:type="dxa"/>
            <w:tcBorders>
              <w:top w:val="nil"/>
              <w:left w:val="nil"/>
              <w:bottom w:val="nil"/>
              <w:right w:val="nil"/>
            </w:tcBorders>
            <w:shd w:val="clear" w:color="000000" w:fill="FFFFFF"/>
            <w:noWrap/>
            <w:vAlign w:val="bottom"/>
            <w:hideMark/>
          </w:tcPr>
          <w:p w14:paraId="65664DCC"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2.33E-02</w:t>
            </w:r>
          </w:p>
        </w:tc>
      </w:tr>
      <w:tr w:rsidR="00582931" w:rsidRPr="002F0DB7" w14:paraId="344AC340"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03522C76"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ANN8</w:t>
            </w:r>
          </w:p>
        </w:tc>
        <w:tc>
          <w:tcPr>
            <w:tcW w:w="897" w:type="dxa"/>
            <w:tcBorders>
              <w:top w:val="nil"/>
              <w:left w:val="nil"/>
              <w:bottom w:val="nil"/>
              <w:right w:val="nil"/>
            </w:tcBorders>
            <w:shd w:val="clear" w:color="000000" w:fill="FFFFFF"/>
            <w:noWrap/>
            <w:vAlign w:val="center"/>
            <w:hideMark/>
          </w:tcPr>
          <w:p w14:paraId="028061B8"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12</w:t>
            </w:r>
          </w:p>
        </w:tc>
        <w:tc>
          <w:tcPr>
            <w:tcW w:w="1080" w:type="dxa"/>
            <w:tcBorders>
              <w:top w:val="nil"/>
              <w:left w:val="nil"/>
              <w:bottom w:val="nil"/>
              <w:right w:val="nil"/>
            </w:tcBorders>
            <w:shd w:val="clear" w:color="000000" w:fill="FFFFFF"/>
            <w:noWrap/>
            <w:vAlign w:val="center"/>
            <w:hideMark/>
          </w:tcPr>
          <w:p w14:paraId="123181D4"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13" w:type="dxa"/>
            <w:tcBorders>
              <w:top w:val="nil"/>
              <w:left w:val="nil"/>
              <w:bottom w:val="nil"/>
              <w:right w:val="nil"/>
            </w:tcBorders>
            <w:shd w:val="clear" w:color="000000" w:fill="FFFFFF"/>
            <w:noWrap/>
            <w:vAlign w:val="bottom"/>
            <w:hideMark/>
          </w:tcPr>
          <w:p w14:paraId="104E4C0D"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1000" w:type="dxa"/>
            <w:tcBorders>
              <w:top w:val="nil"/>
              <w:left w:val="nil"/>
              <w:bottom w:val="nil"/>
              <w:right w:val="nil"/>
            </w:tcBorders>
            <w:shd w:val="clear" w:color="000000" w:fill="FFFFFF"/>
            <w:noWrap/>
            <w:vAlign w:val="bottom"/>
            <w:hideMark/>
          </w:tcPr>
          <w:p w14:paraId="26C836C1"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980" w:type="dxa"/>
            <w:tcBorders>
              <w:top w:val="nil"/>
              <w:left w:val="nil"/>
              <w:bottom w:val="nil"/>
              <w:right w:val="nil"/>
            </w:tcBorders>
            <w:shd w:val="clear" w:color="000000" w:fill="FFFFFF"/>
            <w:noWrap/>
            <w:vAlign w:val="center"/>
            <w:hideMark/>
          </w:tcPr>
          <w:p w14:paraId="69E95BF4"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trainbr</w:t>
            </w:r>
          </w:p>
        </w:tc>
        <w:tc>
          <w:tcPr>
            <w:tcW w:w="760" w:type="dxa"/>
            <w:tcBorders>
              <w:top w:val="nil"/>
              <w:left w:val="nil"/>
              <w:bottom w:val="nil"/>
              <w:right w:val="nil"/>
            </w:tcBorders>
            <w:shd w:val="clear" w:color="000000" w:fill="FFFFFF"/>
            <w:noWrap/>
            <w:vAlign w:val="center"/>
            <w:hideMark/>
          </w:tcPr>
          <w:p w14:paraId="38797F1A"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76.27</w:t>
            </w:r>
          </w:p>
        </w:tc>
        <w:tc>
          <w:tcPr>
            <w:tcW w:w="960" w:type="dxa"/>
            <w:tcBorders>
              <w:top w:val="nil"/>
              <w:left w:val="nil"/>
              <w:bottom w:val="nil"/>
              <w:right w:val="nil"/>
            </w:tcBorders>
            <w:shd w:val="clear" w:color="000000" w:fill="FFFFFF"/>
            <w:noWrap/>
            <w:vAlign w:val="bottom"/>
            <w:hideMark/>
          </w:tcPr>
          <w:p w14:paraId="280DCBA8"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2.87E-02</w:t>
            </w:r>
          </w:p>
        </w:tc>
      </w:tr>
      <w:tr w:rsidR="00582931" w:rsidRPr="002F0DB7" w14:paraId="3A061D62"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33313236"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ANN9</w:t>
            </w:r>
          </w:p>
        </w:tc>
        <w:tc>
          <w:tcPr>
            <w:tcW w:w="897" w:type="dxa"/>
            <w:tcBorders>
              <w:top w:val="nil"/>
              <w:left w:val="nil"/>
              <w:bottom w:val="nil"/>
              <w:right w:val="nil"/>
            </w:tcBorders>
            <w:shd w:val="clear" w:color="000000" w:fill="FFFFFF"/>
            <w:noWrap/>
            <w:vAlign w:val="center"/>
            <w:hideMark/>
          </w:tcPr>
          <w:p w14:paraId="016011CB"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10</w:t>
            </w:r>
          </w:p>
        </w:tc>
        <w:tc>
          <w:tcPr>
            <w:tcW w:w="1080" w:type="dxa"/>
            <w:tcBorders>
              <w:top w:val="nil"/>
              <w:left w:val="nil"/>
              <w:bottom w:val="nil"/>
              <w:right w:val="nil"/>
            </w:tcBorders>
            <w:shd w:val="clear" w:color="000000" w:fill="FFFFFF"/>
            <w:noWrap/>
            <w:vAlign w:val="center"/>
            <w:hideMark/>
          </w:tcPr>
          <w:p w14:paraId="5D9759DB"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13" w:type="dxa"/>
            <w:tcBorders>
              <w:top w:val="nil"/>
              <w:left w:val="nil"/>
              <w:bottom w:val="nil"/>
              <w:right w:val="nil"/>
            </w:tcBorders>
            <w:shd w:val="clear" w:color="000000" w:fill="FFFFFF"/>
            <w:noWrap/>
            <w:vAlign w:val="bottom"/>
            <w:hideMark/>
          </w:tcPr>
          <w:p w14:paraId="125F20D9"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w:t>
            </w:r>
          </w:p>
        </w:tc>
        <w:tc>
          <w:tcPr>
            <w:tcW w:w="1000" w:type="dxa"/>
            <w:tcBorders>
              <w:top w:val="nil"/>
              <w:left w:val="nil"/>
              <w:bottom w:val="nil"/>
              <w:right w:val="nil"/>
            </w:tcBorders>
            <w:shd w:val="clear" w:color="000000" w:fill="FFFFFF"/>
            <w:noWrap/>
            <w:vAlign w:val="center"/>
            <w:hideMark/>
          </w:tcPr>
          <w:p w14:paraId="667BCE31"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80" w:type="dxa"/>
            <w:tcBorders>
              <w:top w:val="nil"/>
              <w:left w:val="nil"/>
              <w:bottom w:val="nil"/>
              <w:right w:val="nil"/>
            </w:tcBorders>
            <w:shd w:val="clear" w:color="000000" w:fill="FFFFFF"/>
            <w:noWrap/>
            <w:vAlign w:val="center"/>
            <w:hideMark/>
          </w:tcPr>
          <w:p w14:paraId="36A211D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trainlm</w:t>
            </w:r>
          </w:p>
        </w:tc>
        <w:tc>
          <w:tcPr>
            <w:tcW w:w="760" w:type="dxa"/>
            <w:tcBorders>
              <w:top w:val="nil"/>
              <w:left w:val="nil"/>
              <w:bottom w:val="nil"/>
              <w:right w:val="nil"/>
            </w:tcBorders>
            <w:shd w:val="clear" w:color="000000" w:fill="FFFFFF"/>
            <w:noWrap/>
            <w:vAlign w:val="bottom"/>
            <w:hideMark/>
          </w:tcPr>
          <w:p w14:paraId="0292DEAA"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85.89</w:t>
            </w:r>
          </w:p>
        </w:tc>
        <w:tc>
          <w:tcPr>
            <w:tcW w:w="960" w:type="dxa"/>
            <w:tcBorders>
              <w:top w:val="nil"/>
              <w:left w:val="nil"/>
              <w:bottom w:val="nil"/>
              <w:right w:val="nil"/>
            </w:tcBorders>
            <w:shd w:val="clear" w:color="000000" w:fill="FFFFFF"/>
            <w:noWrap/>
            <w:vAlign w:val="bottom"/>
            <w:hideMark/>
          </w:tcPr>
          <w:p w14:paraId="5774E1C5"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2.61E-02</w:t>
            </w:r>
          </w:p>
        </w:tc>
      </w:tr>
      <w:tr w:rsidR="00582931" w:rsidRPr="002F0DB7" w14:paraId="62A1D7F1"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17A208C7"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ANN10</w:t>
            </w:r>
          </w:p>
        </w:tc>
        <w:tc>
          <w:tcPr>
            <w:tcW w:w="897" w:type="dxa"/>
            <w:tcBorders>
              <w:top w:val="nil"/>
              <w:left w:val="nil"/>
              <w:bottom w:val="nil"/>
              <w:right w:val="nil"/>
            </w:tcBorders>
            <w:shd w:val="clear" w:color="000000" w:fill="FFFFFF"/>
            <w:noWrap/>
            <w:vAlign w:val="center"/>
            <w:hideMark/>
          </w:tcPr>
          <w:p w14:paraId="3E377B68"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10</w:t>
            </w:r>
          </w:p>
        </w:tc>
        <w:tc>
          <w:tcPr>
            <w:tcW w:w="1080" w:type="dxa"/>
            <w:tcBorders>
              <w:top w:val="nil"/>
              <w:left w:val="nil"/>
              <w:bottom w:val="nil"/>
              <w:right w:val="nil"/>
            </w:tcBorders>
            <w:shd w:val="clear" w:color="000000" w:fill="FFFFFF"/>
            <w:noWrap/>
            <w:vAlign w:val="center"/>
            <w:hideMark/>
          </w:tcPr>
          <w:p w14:paraId="718618B3"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13" w:type="dxa"/>
            <w:tcBorders>
              <w:top w:val="nil"/>
              <w:left w:val="nil"/>
              <w:bottom w:val="nil"/>
              <w:right w:val="nil"/>
            </w:tcBorders>
            <w:shd w:val="clear" w:color="000000" w:fill="FFFFFF"/>
            <w:noWrap/>
            <w:vAlign w:val="bottom"/>
            <w:hideMark/>
          </w:tcPr>
          <w:p w14:paraId="406E75A7"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w:t>
            </w:r>
          </w:p>
        </w:tc>
        <w:tc>
          <w:tcPr>
            <w:tcW w:w="1000" w:type="dxa"/>
            <w:tcBorders>
              <w:top w:val="nil"/>
              <w:left w:val="nil"/>
              <w:bottom w:val="nil"/>
              <w:right w:val="nil"/>
            </w:tcBorders>
            <w:shd w:val="clear" w:color="000000" w:fill="FFFFFF"/>
            <w:noWrap/>
            <w:vAlign w:val="center"/>
            <w:hideMark/>
          </w:tcPr>
          <w:p w14:paraId="68A44D6D"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80" w:type="dxa"/>
            <w:tcBorders>
              <w:top w:val="nil"/>
              <w:left w:val="nil"/>
              <w:bottom w:val="nil"/>
              <w:right w:val="nil"/>
            </w:tcBorders>
            <w:shd w:val="clear" w:color="000000" w:fill="FFFFFF"/>
            <w:noWrap/>
            <w:vAlign w:val="center"/>
            <w:hideMark/>
          </w:tcPr>
          <w:p w14:paraId="023B2C90"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trainlm</w:t>
            </w:r>
          </w:p>
        </w:tc>
        <w:tc>
          <w:tcPr>
            <w:tcW w:w="760" w:type="dxa"/>
            <w:tcBorders>
              <w:top w:val="nil"/>
              <w:left w:val="nil"/>
              <w:bottom w:val="nil"/>
              <w:right w:val="nil"/>
            </w:tcBorders>
            <w:shd w:val="clear" w:color="000000" w:fill="FFFFFF"/>
            <w:noWrap/>
            <w:vAlign w:val="bottom"/>
            <w:hideMark/>
          </w:tcPr>
          <w:p w14:paraId="33293B3F"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92.27</w:t>
            </w:r>
          </w:p>
        </w:tc>
        <w:tc>
          <w:tcPr>
            <w:tcW w:w="960" w:type="dxa"/>
            <w:tcBorders>
              <w:top w:val="nil"/>
              <w:left w:val="nil"/>
              <w:bottom w:val="nil"/>
              <w:right w:val="nil"/>
            </w:tcBorders>
            <w:shd w:val="clear" w:color="000000" w:fill="FFFFFF"/>
            <w:noWrap/>
            <w:vAlign w:val="bottom"/>
            <w:hideMark/>
          </w:tcPr>
          <w:p w14:paraId="4FD2BCCD"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2.48E-02</w:t>
            </w:r>
          </w:p>
        </w:tc>
      </w:tr>
      <w:tr w:rsidR="00582931" w:rsidRPr="002F0DB7" w14:paraId="249C7D7B" w14:textId="77777777" w:rsidTr="003D5160">
        <w:trPr>
          <w:trHeight w:val="300"/>
          <w:jc w:val="center"/>
        </w:trPr>
        <w:tc>
          <w:tcPr>
            <w:tcW w:w="980" w:type="dxa"/>
            <w:tcBorders>
              <w:top w:val="nil"/>
              <w:left w:val="nil"/>
              <w:bottom w:val="nil"/>
              <w:right w:val="nil"/>
            </w:tcBorders>
            <w:shd w:val="clear" w:color="000000" w:fill="FFFFFF"/>
            <w:noWrap/>
            <w:vAlign w:val="center"/>
            <w:hideMark/>
          </w:tcPr>
          <w:p w14:paraId="75E61FB9"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ANN11</w:t>
            </w:r>
          </w:p>
        </w:tc>
        <w:tc>
          <w:tcPr>
            <w:tcW w:w="897" w:type="dxa"/>
            <w:tcBorders>
              <w:top w:val="nil"/>
              <w:left w:val="nil"/>
              <w:bottom w:val="nil"/>
              <w:right w:val="nil"/>
            </w:tcBorders>
            <w:shd w:val="clear" w:color="000000" w:fill="FFFFFF"/>
            <w:noWrap/>
            <w:vAlign w:val="center"/>
            <w:hideMark/>
          </w:tcPr>
          <w:p w14:paraId="185C00FC"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25</w:t>
            </w:r>
          </w:p>
        </w:tc>
        <w:tc>
          <w:tcPr>
            <w:tcW w:w="1080" w:type="dxa"/>
            <w:tcBorders>
              <w:top w:val="nil"/>
              <w:left w:val="nil"/>
              <w:bottom w:val="nil"/>
              <w:right w:val="nil"/>
            </w:tcBorders>
            <w:shd w:val="clear" w:color="000000" w:fill="FFFFFF"/>
            <w:noWrap/>
            <w:vAlign w:val="center"/>
            <w:hideMark/>
          </w:tcPr>
          <w:p w14:paraId="1C9E71EE"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13" w:type="dxa"/>
            <w:tcBorders>
              <w:top w:val="nil"/>
              <w:left w:val="nil"/>
              <w:bottom w:val="nil"/>
              <w:right w:val="nil"/>
            </w:tcBorders>
            <w:shd w:val="clear" w:color="000000" w:fill="FFFFFF"/>
            <w:noWrap/>
            <w:vAlign w:val="bottom"/>
            <w:hideMark/>
          </w:tcPr>
          <w:p w14:paraId="05857BA6"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1000" w:type="dxa"/>
            <w:tcBorders>
              <w:top w:val="nil"/>
              <w:left w:val="nil"/>
              <w:bottom w:val="nil"/>
              <w:right w:val="nil"/>
            </w:tcBorders>
            <w:shd w:val="clear" w:color="000000" w:fill="FFFFFF"/>
            <w:noWrap/>
            <w:vAlign w:val="bottom"/>
            <w:hideMark/>
          </w:tcPr>
          <w:p w14:paraId="6CE54E04" w14:textId="77777777" w:rsidR="00582931" w:rsidRPr="002F0DB7" w:rsidRDefault="00582931" w:rsidP="003D5160">
            <w:pPr>
              <w:tabs>
                <w:tab w:val="clear" w:pos="7100"/>
              </w:tabs>
              <w:spacing w:line="240" w:lineRule="auto"/>
              <w:jc w:val="center"/>
              <w:rPr>
                <w:rFonts w:ascii="Calibri" w:hAnsi="Calibri" w:cs="Calibri"/>
                <w:color w:val="000000"/>
                <w:sz w:val="22"/>
                <w:szCs w:val="22"/>
                <w:lang w:val="en-US"/>
              </w:rPr>
            </w:pPr>
            <w:r w:rsidRPr="002F0DB7">
              <w:rPr>
                <w:rFonts w:ascii="Calibri" w:hAnsi="Calibri" w:cs="Calibri"/>
                <w:color w:val="000000"/>
                <w:sz w:val="22"/>
                <w:szCs w:val="22"/>
                <w:lang w:val="en-US"/>
              </w:rPr>
              <w:t>-</w:t>
            </w:r>
          </w:p>
        </w:tc>
        <w:tc>
          <w:tcPr>
            <w:tcW w:w="980" w:type="dxa"/>
            <w:tcBorders>
              <w:top w:val="nil"/>
              <w:left w:val="nil"/>
              <w:bottom w:val="nil"/>
              <w:right w:val="nil"/>
            </w:tcBorders>
            <w:shd w:val="clear" w:color="000000" w:fill="FFFFFF"/>
            <w:noWrap/>
            <w:vAlign w:val="center"/>
            <w:hideMark/>
          </w:tcPr>
          <w:p w14:paraId="33EEF0EE"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trainbr</w:t>
            </w:r>
          </w:p>
        </w:tc>
        <w:tc>
          <w:tcPr>
            <w:tcW w:w="760" w:type="dxa"/>
            <w:tcBorders>
              <w:top w:val="nil"/>
              <w:left w:val="nil"/>
              <w:bottom w:val="nil"/>
              <w:right w:val="nil"/>
            </w:tcBorders>
            <w:shd w:val="clear" w:color="000000" w:fill="FFFFFF"/>
            <w:noWrap/>
            <w:vAlign w:val="bottom"/>
            <w:hideMark/>
          </w:tcPr>
          <w:p w14:paraId="709DAF80"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67.70</w:t>
            </w:r>
          </w:p>
        </w:tc>
        <w:tc>
          <w:tcPr>
            <w:tcW w:w="960" w:type="dxa"/>
            <w:tcBorders>
              <w:top w:val="nil"/>
              <w:left w:val="nil"/>
              <w:bottom w:val="nil"/>
              <w:right w:val="nil"/>
            </w:tcBorders>
            <w:shd w:val="clear" w:color="000000" w:fill="FFFFFF"/>
            <w:noWrap/>
            <w:vAlign w:val="bottom"/>
            <w:hideMark/>
          </w:tcPr>
          <w:p w14:paraId="6C62C7EB"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2.80E-02</w:t>
            </w:r>
          </w:p>
        </w:tc>
      </w:tr>
      <w:tr w:rsidR="00582931" w:rsidRPr="002F0DB7" w14:paraId="539FD3CB" w14:textId="77777777" w:rsidTr="003D5160">
        <w:trPr>
          <w:trHeight w:val="315"/>
          <w:jc w:val="center"/>
        </w:trPr>
        <w:tc>
          <w:tcPr>
            <w:tcW w:w="980" w:type="dxa"/>
            <w:tcBorders>
              <w:top w:val="nil"/>
              <w:left w:val="nil"/>
              <w:bottom w:val="single" w:sz="12" w:space="0" w:color="008000"/>
              <w:right w:val="nil"/>
            </w:tcBorders>
            <w:shd w:val="clear" w:color="000000" w:fill="FFFFFF"/>
            <w:vAlign w:val="center"/>
            <w:hideMark/>
          </w:tcPr>
          <w:p w14:paraId="22869BF2"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ANN12</w:t>
            </w:r>
          </w:p>
        </w:tc>
        <w:tc>
          <w:tcPr>
            <w:tcW w:w="897" w:type="dxa"/>
            <w:tcBorders>
              <w:top w:val="nil"/>
              <w:left w:val="nil"/>
              <w:bottom w:val="single" w:sz="12" w:space="0" w:color="008000"/>
              <w:right w:val="nil"/>
            </w:tcBorders>
            <w:shd w:val="clear" w:color="000000" w:fill="FFFFFF"/>
            <w:vAlign w:val="center"/>
            <w:hideMark/>
          </w:tcPr>
          <w:p w14:paraId="21195899"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20</w:t>
            </w:r>
          </w:p>
        </w:tc>
        <w:tc>
          <w:tcPr>
            <w:tcW w:w="1080" w:type="dxa"/>
            <w:tcBorders>
              <w:top w:val="nil"/>
              <w:left w:val="nil"/>
              <w:bottom w:val="single" w:sz="12" w:space="0" w:color="008000"/>
              <w:right w:val="nil"/>
            </w:tcBorders>
            <w:shd w:val="clear" w:color="000000" w:fill="FFFFFF"/>
            <w:vAlign w:val="center"/>
            <w:hideMark/>
          </w:tcPr>
          <w:p w14:paraId="6468BC92"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logsig</w:t>
            </w:r>
          </w:p>
        </w:tc>
        <w:tc>
          <w:tcPr>
            <w:tcW w:w="913" w:type="dxa"/>
            <w:tcBorders>
              <w:top w:val="nil"/>
              <w:left w:val="nil"/>
              <w:bottom w:val="single" w:sz="12" w:space="0" w:color="008000"/>
              <w:right w:val="nil"/>
            </w:tcBorders>
            <w:shd w:val="clear" w:color="000000" w:fill="FFFFFF"/>
            <w:vAlign w:val="center"/>
            <w:hideMark/>
          </w:tcPr>
          <w:p w14:paraId="211728D3"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20</w:t>
            </w:r>
          </w:p>
        </w:tc>
        <w:tc>
          <w:tcPr>
            <w:tcW w:w="1000" w:type="dxa"/>
            <w:tcBorders>
              <w:top w:val="nil"/>
              <w:left w:val="nil"/>
              <w:bottom w:val="single" w:sz="12" w:space="0" w:color="008000"/>
              <w:right w:val="nil"/>
            </w:tcBorders>
            <w:shd w:val="clear" w:color="000000" w:fill="FFFFFF"/>
            <w:vAlign w:val="center"/>
            <w:hideMark/>
          </w:tcPr>
          <w:p w14:paraId="1085DCD4"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tansig</w:t>
            </w:r>
          </w:p>
        </w:tc>
        <w:tc>
          <w:tcPr>
            <w:tcW w:w="980" w:type="dxa"/>
            <w:tcBorders>
              <w:top w:val="nil"/>
              <w:left w:val="nil"/>
              <w:bottom w:val="single" w:sz="12" w:space="0" w:color="008000"/>
              <w:right w:val="nil"/>
            </w:tcBorders>
            <w:shd w:val="clear" w:color="000000" w:fill="FFFFFF"/>
            <w:vAlign w:val="center"/>
            <w:hideMark/>
          </w:tcPr>
          <w:p w14:paraId="7A757100"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trainlm</w:t>
            </w:r>
          </w:p>
        </w:tc>
        <w:tc>
          <w:tcPr>
            <w:tcW w:w="760" w:type="dxa"/>
            <w:tcBorders>
              <w:top w:val="nil"/>
              <w:left w:val="nil"/>
              <w:bottom w:val="single" w:sz="12" w:space="0" w:color="008000"/>
              <w:right w:val="nil"/>
            </w:tcBorders>
            <w:shd w:val="clear" w:color="000000" w:fill="FFFFFF"/>
            <w:vAlign w:val="center"/>
            <w:hideMark/>
          </w:tcPr>
          <w:p w14:paraId="067D11DA"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81.04</w:t>
            </w:r>
          </w:p>
        </w:tc>
        <w:tc>
          <w:tcPr>
            <w:tcW w:w="960" w:type="dxa"/>
            <w:tcBorders>
              <w:top w:val="nil"/>
              <w:left w:val="nil"/>
              <w:bottom w:val="single" w:sz="12" w:space="0" w:color="008000"/>
              <w:right w:val="nil"/>
            </w:tcBorders>
            <w:shd w:val="clear" w:color="000000" w:fill="FFFFFF"/>
            <w:vAlign w:val="center"/>
            <w:hideMark/>
          </w:tcPr>
          <w:p w14:paraId="07228D9F" w14:textId="77777777" w:rsidR="00582931" w:rsidRPr="002F0DB7" w:rsidRDefault="00582931" w:rsidP="003D5160">
            <w:pPr>
              <w:tabs>
                <w:tab w:val="clear" w:pos="7100"/>
              </w:tabs>
              <w:spacing w:line="240" w:lineRule="auto"/>
              <w:jc w:val="center"/>
              <w:rPr>
                <w:rFonts w:cs="Arial"/>
                <w:color w:val="000000"/>
                <w:szCs w:val="18"/>
                <w:lang w:val="en-US"/>
              </w:rPr>
            </w:pPr>
            <w:r w:rsidRPr="002F0DB7">
              <w:rPr>
                <w:rFonts w:cs="Arial"/>
                <w:color w:val="000000"/>
                <w:szCs w:val="18"/>
                <w:lang w:val="en-US"/>
              </w:rPr>
              <w:t>2.44E-02</w:t>
            </w:r>
          </w:p>
        </w:tc>
      </w:tr>
    </w:tbl>
    <w:p w14:paraId="358CF414" w14:textId="77777777" w:rsidR="00582931" w:rsidRDefault="00582931" w:rsidP="00582931">
      <w:pPr>
        <w:pStyle w:val="CETBodytext"/>
        <w:rPr>
          <w:lang w:val="en-GB"/>
        </w:rPr>
      </w:pPr>
    </w:p>
    <w:p w14:paraId="7B7C7B3A" w14:textId="77777777" w:rsidR="00582931" w:rsidRDefault="00582931" w:rsidP="00582931">
      <w:pPr>
        <w:pStyle w:val="CETBodytext"/>
        <w:rPr>
          <w:lang w:val="en-GB"/>
        </w:rPr>
      </w:pPr>
      <w:r>
        <w:rPr>
          <w:lang w:val="en-GB"/>
        </w:rPr>
        <w:t xml:space="preserve">In this model, the use of a large number of neurons in the hidden layers did not provide an improvement in the R. However, the use of the second hidden layer was efficient in order to obtain a lower RMSE. Figure 2 presents the coefficient of correlation for the topology ANN4, best suited to the problem, as well as the behaviour of the predicted response with respect to the experimental response. This topology presented 6 neurons in the first hidden layer and 6 neurons in the second hidden layer. The activation functions used were </w:t>
      </w:r>
      <w:r w:rsidRPr="006B70B6">
        <w:rPr>
          <w:i/>
          <w:lang w:val="en-GB"/>
        </w:rPr>
        <w:t>logsig</w:t>
      </w:r>
      <w:r>
        <w:rPr>
          <w:lang w:val="en-GB"/>
        </w:rPr>
        <w:t xml:space="preserve"> and</w:t>
      </w:r>
      <w:r w:rsidRPr="006B70B6">
        <w:rPr>
          <w:i/>
          <w:lang w:val="en-GB"/>
        </w:rPr>
        <w:t xml:space="preserve"> tansig</w:t>
      </w:r>
      <w:r>
        <w:rPr>
          <w:lang w:val="en-GB"/>
        </w:rPr>
        <w:t xml:space="preserve">, respectively and the training algorithm used was </w:t>
      </w:r>
      <w:r w:rsidRPr="006B70B6">
        <w:rPr>
          <w:i/>
          <w:lang w:val="en-GB"/>
        </w:rPr>
        <w:t>trainlm</w:t>
      </w:r>
      <w:r>
        <w:rPr>
          <w:lang w:val="en-GB"/>
        </w:rPr>
        <w:t>. This model presents R equal to 94.20% and RMSE of 2.69x10</w:t>
      </w:r>
      <w:r w:rsidRPr="006B70B6">
        <w:rPr>
          <w:vertAlign w:val="superscript"/>
          <w:lang w:val="en-GB"/>
        </w:rPr>
        <w:t>-2</w:t>
      </w:r>
      <w:r>
        <w:rPr>
          <w:lang w:val="en-GB"/>
        </w:rPr>
        <w:t>.</w:t>
      </w:r>
    </w:p>
    <w:p w14:paraId="4C345EE2" w14:textId="77777777" w:rsidR="00582931" w:rsidRDefault="00104C15" w:rsidP="00582931">
      <w:pPr>
        <w:pStyle w:val="CETBodytext"/>
        <w:rPr>
          <w:lang w:val="en-GB"/>
        </w:rPr>
      </w:pPr>
      <w:r>
        <w:rPr>
          <w:noProof/>
          <w:lang w:val="pt-BR" w:eastAsia="pt-BR"/>
        </w:rPr>
        <w:lastRenderedPageBreak/>
        <w:drawing>
          <wp:inline distT="0" distB="0" distL="0" distR="0" wp14:anchorId="32A84AC3" wp14:editId="3CC2AA4F">
            <wp:extent cx="5579745" cy="22078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e4_F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2207895"/>
                    </a:xfrm>
                    <a:prstGeom prst="rect">
                      <a:avLst/>
                    </a:prstGeom>
                  </pic:spPr>
                </pic:pic>
              </a:graphicData>
            </a:graphic>
          </wp:inline>
        </w:drawing>
      </w:r>
    </w:p>
    <w:p w14:paraId="05D0A07A" w14:textId="36769986" w:rsidR="006F0EEA" w:rsidRPr="003D7D72" w:rsidRDefault="00582931" w:rsidP="003D7D72">
      <w:pPr>
        <w:pStyle w:val="CET-table-title"/>
        <w:jc w:val="both"/>
        <w:rPr>
          <w:lang w:val="en-GB"/>
        </w:rPr>
      </w:pPr>
      <w:r>
        <w:rPr>
          <w:lang w:val="en-GB"/>
        </w:rPr>
        <w:t>Figure 2. Regression diagram for the Feedforward ANN4 test step (a) and representation of the behaviour of the predicted data in relation to the experimental data of each sample (b)</w:t>
      </w:r>
    </w:p>
    <w:p w14:paraId="5E6BCC6E" w14:textId="77777777" w:rsidR="00582931" w:rsidRDefault="00582931" w:rsidP="00582931">
      <w:pPr>
        <w:pStyle w:val="CETBodytext"/>
        <w:rPr>
          <w:lang w:val="en-GB"/>
        </w:rPr>
      </w:pPr>
      <w:r>
        <w:rPr>
          <w:lang w:val="en-GB"/>
        </w:rPr>
        <w:t>In parallel, the Elman ANN was used to develop a second neural model. Table 2 shows several topologies with one and two hidden layers were heuristically tested.</w:t>
      </w:r>
    </w:p>
    <w:p w14:paraId="688E9397" w14:textId="77777777" w:rsidR="00582931" w:rsidRDefault="00582931" w:rsidP="00582931">
      <w:pPr>
        <w:pStyle w:val="CET-table-title"/>
        <w:rPr>
          <w:lang w:val="en-GB"/>
        </w:rPr>
      </w:pPr>
      <w:r w:rsidRPr="009378F0">
        <w:rPr>
          <w:lang w:val="en-GB"/>
        </w:rPr>
        <w:t xml:space="preserve">Table </w:t>
      </w:r>
      <w:r>
        <w:rPr>
          <w:lang w:val="en-GB"/>
        </w:rPr>
        <w:t>2</w:t>
      </w:r>
      <w:r w:rsidRPr="009378F0">
        <w:rPr>
          <w:lang w:val="en-GB"/>
        </w:rPr>
        <w:t xml:space="preserve">:  </w:t>
      </w:r>
      <w:r>
        <w:rPr>
          <w:lang w:val="en-GB"/>
        </w:rPr>
        <w:t>Several topologies tested with one and two hidden layers for Elman ANN</w:t>
      </w:r>
    </w:p>
    <w:tbl>
      <w:tblPr>
        <w:tblW w:w="7753" w:type="dxa"/>
        <w:jc w:val="center"/>
        <w:tblLook w:val="04A0" w:firstRow="1" w:lastRow="0" w:firstColumn="1" w:lastColumn="0" w:noHBand="0" w:noVBand="1"/>
      </w:tblPr>
      <w:tblGrid>
        <w:gridCol w:w="900"/>
        <w:gridCol w:w="913"/>
        <w:gridCol w:w="997"/>
        <w:gridCol w:w="897"/>
        <w:gridCol w:w="997"/>
        <w:gridCol w:w="1240"/>
        <w:gridCol w:w="860"/>
        <w:gridCol w:w="949"/>
      </w:tblGrid>
      <w:tr w:rsidR="00582931" w:rsidRPr="00A674A4" w14:paraId="5ADB6A8A" w14:textId="77777777" w:rsidTr="003D5160">
        <w:trPr>
          <w:trHeight w:val="330"/>
          <w:jc w:val="center"/>
        </w:trPr>
        <w:tc>
          <w:tcPr>
            <w:tcW w:w="900" w:type="dxa"/>
            <w:vMerge w:val="restart"/>
            <w:tcBorders>
              <w:top w:val="single" w:sz="12" w:space="0" w:color="008000"/>
              <w:left w:val="nil"/>
              <w:bottom w:val="single" w:sz="8" w:space="0" w:color="008000"/>
              <w:right w:val="nil"/>
            </w:tcBorders>
            <w:shd w:val="clear" w:color="000000" w:fill="FFFFFF"/>
            <w:vAlign w:val="center"/>
            <w:hideMark/>
          </w:tcPr>
          <w:p w14:paraId="40C0FCD2"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Model</w:t>
            </w:r>
          </w:p>
        </w:tc>
        <w:tc>
          <w:tcPr>
            <w:tcW w:w="1910" w:type="dxa"/>
            <w:gridSpan w:val="2"/>
            <w:tcBorders>
              <w:top w:val="single" w:sz="12" w:space="0" w:color="008000"/>
              <w:left w:val="nil"/>
              <w:bottom w:val="single" w:sz="8" w:space="0" w:color="008000"/>
              <w:right w:val="nil"/>
            </w:tcBorders>
            <w:shd w:val="clear" w:color="000000" w:fill="FFFFFF"/>
            <w:vAlign w:val="center"/>
            <w:hideMark/>
          </w:tcPr>
          <w:p w14:paraId="46AFCC85"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Hidden layer 1</w:t>
            </w:r>
          </w:p>
        </w:tc>
        <w:tc>
          <w:tcPr>
            <w:tcW w:w="1894" w:type="dxa"/>
            <w:gridSpan w:val="2"/>
            <w:tcBorders>
              <w:top w:val="single" w:sz="12" w:space="0" w:color="008000"/>
              <w:left w:val="nil"/>
              <w:bottom w:val="single" w:sz="8" w:space="0" w:color="008000"/>
              <w:right w:val="nil"/>
            </w:tcBorders>
            <w:shd w:val="clear" w:color="000000" w:fill="FFFFFF"/>
            <w:vAlign w:val="center"/>
            <w:hideMark/>
          </w:tcPr>
          <w:p w14:paraId="6145E80D"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Hidden layer 2</w:t>
            </w:r>
          </w:p>
        </w:tc>
        <w:tc>
          <w:tcPr>
            <w:tcW w:w="1240" w:type="dxa"/>
            <w:vMerge w:val="restart"/>
            <w:tcBorders>
              <w:top w:val="single" w:sz="12" w:space="0" w:color="008000"/>
              <w:left w:val="nil"/>
              <w:right w:val="nil"/>
            </w:tcBorders>
            <w:shd w:val="clear" w:color="000000" w:fill="FFFFFF"/>
            <w:vAlign w:val="center"/>
            <w:hideMark/>
          </w:tcPr>
          <w:p w14:paraId="51E41D7A"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Training algorithm</w:t>
            </w:r>
          </w:p>
        </w:tc>
        <w:tc>
          <w:tcPr>
            <w:tcW w:w="860" w:type="dxa"/>
            <w:vMerge w:val="restart"/>
            <w:tcBorders>
              <w:top w:val="single" w:sz="12" w:space="0" w:color="008000"/>
              <w:left w:val="nil"/>
              <w:right w:val="nil"/>
            </w:tcBorders>
            <w:shd w:val="clear" w:color="000000" w:fill="FFFFFF"/>
            <w:vAlign w:val="center"/>
            <w:hideMark/>
          </w:tcPr>
          <w:p w14:paraId="374BBA9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R</w:t>
            </w:r>
          </w:p>
        </w:tc>
        <w:tc>
          <w:tcPr>
            <w:tcW w:w="949" w:type="dxa"/>
            <w:vMerge w:val="restart"/>
            <w:tcBorders>
              <w:top w:val="single" w:sz="12" w:space="0" w:color="008000"/>
              <w:left w:val="nil"/>
              <w:right w:val="nil"/>
            </w:tcBorders>
            <w:shd w:val="clear" w:color="000000" w:fill="FFFFFF"/>
            <w:vAlign w:val="center"/>
            <w:hideMark/>
          </w:tcPr>
          <w:p w14:paraId="6F423AEC"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RMSE</w:t>
            </w:r>
          </w:p>
        </w:tc>
      </w:tr>
      <w:tr w:rsidR="00582931" w:rsidRPr="00A674A4" w14:paraId="0B95E06F" w14:textId="77777777" w:rsidTr="003D5160">
        <w:trPr>
          <w:trHeight w:val="495"/>
          <w:jc w:val="center"/>
        </w:trPr>
        <w:tc>
          <w:tcPr>
            <w:tcW w:w="900" w:type="dxa"/>
            <w:vMerge/>
            <w:tcBorders>
              <w:top w:val="single" w:sz="12" w:space="0" w:color="008000"/>
              <w:left w:val="nil"/>
              <w:bottom w:val="single" w:sz="8" w:space="0" w:color="008000"/>
              <w:right w:val="nil"/>
            </w:tcBorders>
            <w:vAlign w:val="center"/>
            <w:hideMark/>
          </w:tcPr>
          <w:p w14:paraId="2E93253F" w14:textId="77777777" w:rsidR="00582931" w:rsidRPr="00A674A4" w:rsidRDefault="00582931" w:rsidP="003D5160">
            <w:pPr>
              <w:tabs>
                <w:tab w:val="clear" w:pos="7100"/>
              </w:tabs>
              <w:spacing w:line="240" w:lineRule="auto"/>
              <w:jc w:val="left"/>
              <w:rPr>
                <w:rFonts w:cs="Arial"/>
                <w:color w:val="000000"/>
                <w:szCs w:val="18"/>
                <w:lang w:val="en-US"/>
              </w:rPr>
            </w:pPr>
          </w:p>
        </w:tc>
        <w:tc>
          <w:tcPr>
            <w:tcW w:w="913" w:type="dxa"/>
            <w:tcBorders>
              <w:top w:val="nil"/>
              <w:left w:val="nil"/>
              <w:bottom w:val="single" w:sz="8" w:space="0" w:color="008000"/>
              <w:right w:val="nil"/>
            </w:tcBorders>
            <w:shd w:val="clear" w:color="000000" w:fill="FFFFFF"/>
            <w:vAlign w:val="center"/>
            <w:hideMark/>
          </w:tcPr>
          <w:p w14:paraId="5E08B80E"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Neurons</w:t>
            </w:r>
          </w:p>
        </w:tc>
        <w:tc>
          <w:tcPr>
            <w:tcW w:w="997" w:type="dxa"/>
            <w:tcBorders>
              <w:top w:val="nil"/>
              <w:left w:val="nil"/>
              <w:bottom w:val="single" w:sz="8" w:space="0" w:color="008000"/>
              <w:right w:val="nil"/>
            </w:tcBorders>
            <w:shd w:val="clear" w:color="000000" w:fill="FFFFFF"/>
            <w:vAlign w:val="center"/>
            <w:hideMark/>
          </w:tcPr>
          <w:p w14:paraId="0F89C695"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Activation Function</w:t>
            </w:r>
          </w:p>
        </w:tc>
        <w:tc>
          <w:tcPr>
            <w:tcW w:w="897" w:type="dxa"/>
            <w:tcBorders>
              <w:top w:val="nil"/>
              <w:left w:val="nil"/>
              <w:bottom w:val="single" w:sz="8" w:space="0" w:color="008000"/>
              <w:right w:val="nil"/>
            </w:tcBorders>
            <w:shd w:val="clear" w:color="000000" w:fill="FFFFFF"/>
            <w:vAlign w:val="center"/>
            <w:hideMark/>
          </w:tcPr>
          <w:p w14:paraId="3393FF45"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Neurons</w:t>
            </w:r>
          </w:p>
        </w:tc>
        <w:tc>
          <w:tcPr>
            <w:tcW w:w="997" w:type="dxa"/>
            <w:tcBorders>
              <w:top w:val="nil"/>
              <w:left w:val="nil"/>
              <w:bottom w:val="single" w:sz="8" w:space="0" w:color="008000"/>
              <w:right w:val="nil"/>
            </w:tcBorders>
            <w:shd w:val="clear" w:color="000000" w:fill="FFFFFF"/>
            <w:vAlign w:val="center"/>
            <w:hideMark/>
          </w:tcPr>
          <w:p w14:paraId="4FB4DC4C"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Activation Function</w:t>
            </w:r>
          </w:p>
        </w:tc>
        <w:tc>
          <w:tcPr>
            <w:tcW w:w="1240" w:type="dxa"/>
            <w:vMerge/>
            <w:tcBorders>
              <w:left w:val="nil"/>
              <w:bottom w:val="single" w:sz="8" w:space="0" w:color="008000"/>
              <w:right w:val="nil"/>
            </w:tcBorders>
            <w:vAlign w:val="center"/>
            <w:hideMark/>
          </w:tcPr>
          <w:p w14:paraId="68742E77" w14:textId="77777777" w:rsidR="00582931" w:rsidRPr="00A674A4" w:rsidRDefault="00582931" w:rsidP="003D5160">
            <w:pPr>
              <w:tabs>
                <w:tab w:val="clear" w:pos="7100"/>
              </w:tabs>
              <w:spacing w:line="240" w:lineRule="auto"/>
              <w:jc w:val="left"/>
              <w:rPr>
                <w:rFonts w:cs="Arial"/>
                <w:color w:val="000000"/>
                <w:szCs w:val="18"/>
                <w:lang w:val="en-US"/>
              </w:rPr>
            </w:pPr>
          </w:p>
        </w:tc>
        <w:tc>
          <w:tcPr>
            <w:tcW w:w="860" w:type="dxa"/>
            <w:vMerge/>
            <w:tcBorders>
              <w:left w:val="nil"/>
              <w:bottom w:val="single" w:sz="8" w:space="0" w:color="008000"/>
              <w:right w:val="nil"/>
            </w:tcBorders>
            <w:vAlign w:val="center"/>
            <w:hideMark/>
          </w:tcPr>
          <w:p w14:paraId="4C2789C9" w14:textId="77777777" w:rsidR="00582931" w:rsidRPr="00A674A4" w:rsidRDefault="00582931" w:rsidP="003D5160">
            <w:pPr>
              <w:tabs>
                <w:tab w:val="clear" w:pos="7100"/>
              </w:tabs>
              <w:spacing w:line="240" w:lineRule="auto"/>
              <w:jc w:val="left"/>
              <w:rPr>
                <w:rFonts w:cs="Arial"/>
                <w:color w:val="000000"/>
                <w:szCs w:val="18"/>
                <w:lang w:val="en-US"/>
              </w:rPr>
            </w:pPr>
          </w:p>
        </w:tc>
        <w:tc>
          <w:tcPr>
            <w:tcW w:w="949" w:type="dxa"/>
            <w:vMerge/>
            <w:tcBorders>
              <w:left w:val="nil"/>
              <w:bottom w:val="single" w:sz="8" w:space="0" w:color="008000"/>
              <w:right w:val="nil"/>
            </w:tcBorders>
            <w:vAlign w:val="center"/>
            <w:hideMark/>
          </w:tcPr>
          <w:p w14:paraId="23DDB5D8" w14:textId="77777777" w:rsidR="00582931" w:rsidRPr="00A674A4" w:rsidRDefault="00582931" w:rsidP="003D5160">
            <w:pPr>
              <w:tabs>
                <w:tab w:val="clear" w:pos="7100"/>
              </w:tabs>
              <w:spacing w:line="240" w:lineRule="auto"/>
              <w:jc w:val="left"/>
              <w:rPr>
                <w:rFonts w:cs="Arial"/>
                <w:color w:val="000000"/>
                <w:szCs w:val="18"/>
                <w:lang w:val="en-US"/>
              </w:rPr>
            </w:pPr>
          </w:p>
        </w:tc>
      </w:tr>
      <w:tr w:rsidR="00582931" w:rsidRPr="00A674A4" w14:paraId="29F7E169"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0FCFC84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ANN1</w:t>
            </w:r>
          </w:p>
        </w:tc>
        <w:tc>
          <w:tcPr>
            <w:tcW w:w="913" w:type="dxa"/>
            <w:tcBorders>
              <w:top w:val="nil"/>
              <w:left w:val="nil"/>
              <w:bottom w:val="nil"/>
              <w:right w:val="nil"/>
            </w:tcBorders>
            <w:shd w:val="clear" w:color="000000" w:fill="FFFFFF"/>
            <w:noWrap/>
            <w:vAlign w:val="center"/>
            <w:hideMark/>
          </w:tcPr>
          <w:p w14:paraId="31444B34"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6</w:t>
            </w:r>
          </w:p>
        </w:tc>
        <w:tc>
          <w:tcPr>
            <w:tcW w:w="997" w:type="dxa"/>
            <w:tcBorders>
              <w:top w:val="nil"/>
              <w:left w:val="nil"/>
              <w:bottom w:val="nil"/>
              <w:right w:val="nil"/>
            </w:tcBorders>
            <w:shd w:val="clear" w:color="000000" w:fill="FFFFFF"/>
            <w:noWrap/>
            <w:vAlign w:val="center"/>
            <w:hideMark/>
          </w:tcPr>
          <w:p w14:paraId="2405CED4"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tansig</w:t>
            </w:r>
          </w:p>
        </w:tc>
        <w:tc>
          <w:tcPr>
            <w:tcW w:w="897" w:type="dxa"/>
            <w:tcBorders>
              <w:top w:val="nil"/>
              <w:left w:val="nil"/>
              <w:bottom w:val="nil"/>
              <w:right w:val="nil"/>
            </w:tcBorders>
            <w:shd w:val="clear" w:color="000000" w:fill="FFFFFF"/>
            <w:noWrap/>
            <w:vAlign w:val="bottom"/>
            <w:hideMark/>
          </w:tcPr>
          <w:p w14:paraId="0DDC52B1"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997" w:type="dxa"/>
            <w:tcBorders>
              <w:top w:val="nil"/>
              <w:left w:val="nil"/>
              <w:bottom w:val="nil"/>
              <w:right w:val="nil"/>
            </w:tcBorders>
            <w:shd w:val="clear" w:color="000000" w:fill="FFFFFF"/>
            <w:noWrap/>
            <w:vAlign w:val="bottom"/>
            <w:hideMark/>
          </w:tcPr>
          <w:p w14:paraId="585D0234"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1240" w:type="dxa"/>
            <w:tcBorders>
              <w:top w:val="nil"/>
              <w:left w:val="nil"/>
              <w:bottom w:val="nil"/>
              <w:right w:val="nil"/>
            </w:tcBorders>
            <w:shd w:val="clear" w:color="000000" w:fill="FFFFFF"/>
            <w:noWrap/>
            <w:vAlign w:val="center"/>
            <w:hideMark/>
          </w:tcPr>
          <w:p w14:paraId="032A5DA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trainlm</w:t>
            </w:r>
          </w:p>
        </w:tc>
        <w:tc>
          <w:tcPr>
            <w:tcW w:w="860" w:type="dxa"/>
            <w:tcBorders>
              <w:top w:val="nil"/>
              <w:left w:val="nil"/>
              <w:bottom w:val="nil"/>
              <w:right w:val="nil"/>
            </w:tcBorders>
            <w:shd w:val="clear" w:color="000000" w:fill="FFFFFF"/>
            <w:noWrap/>
            <w:vAlign w:val="center"/>
            <w:hideMark/>
          </w:tcPr>
          <w:p w14:paraId="0B58BF6B"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94.20</w:t>
            </w:r>
          </w:p>
        </w:tc>
        <w:tc>
          <w:tcPr>
            <w:tcW w:w="949" w:type="dxa"/>
            <w:tcBorders>
              <w:top w:val="nil"/>
              <w:left w:val="nil"/>
              <w:bottom w:val="nil"/>
              <w:right w:val="nil"/>
            </w:tcBorders>
            <w:shd w:val="clear" w:color="000000" w:fill="FFFFFF"/>
            <w:noWrap/>
            <w:vAlign w:val="center"/>
            <w:hideMark/>
          </w:tcPr>
          <w:p w14:paraId="66B4323B"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3.39E-02</w:t>
            </w:r>
          </w:p>
        </w:tc>
      </w:tr>
      <w:tr w:rsidR="00582931" w:rsidRPr="00A674A4" w14:paraId="3B104D8B"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258F377D"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ANN2</w:t>
            </w:r>
          </w:p>
        </w:tc>
        <w:tc>
          <w:tcPr>
            <w:tcW w:w="913" w:type="dxa"/>
            <w:tcBorders>
              <w:top w:val="nil"/>
              <w:left w:val="nil"/>
              <w:bottom w:val="nil"/>
              <w:right w:val="nil"/>
            </w:tcBorders>
            <w:shd w:val="clear" w:color="000000" w:fill="FFFFFF"/>
            <w:noWrap/>
            <w:vAlign w:val="center"/>
            <w:hideMark/>
          </w:tcPr>
          <w:p w14:paraId="02506EA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6</w:t>
            </w:r>
          </w:p>
        </w:tc>
        <w:tc>
          <w:tcPr>
            <w:tcW w:w="997" w:type="dxa"/>
            <w:tcBorders>
              <w:top w:val="nil"/>
              <w:left w:val="nil"/>
              <w:bottom w:val="nil"/>
              <w:right w:val="nil"/>
            </w:tcBorders>
            <w:shd w:val="clear" w:color="000000" w:fill="FFFFFF"/>
            <w:noWrap/>
            <w:vAlign w:val="center"/>
            <w:hideMark/>
          </w:tcPr>
          <w:p w14:paraId="62B2F2DC"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tansig</w:t>
            </w:r>
          </w:p>
        </w:tc>
        <w:tc>
          <w:tcPr>
            <w:tcW w:w="897" w:type="dxa"/>
            <w:tcBorders>
              <w:top w:val="nil"/>
              <w:left w:val="nil"/>
              <w:bottom w:val="nil"/>
              <w:right w:val="nil"/>
            </w:tcBorders>
            <w:shd w:val="clear" w:color="000000" w:fill="FFFFFF"/>
            <w:noWrap/>
            <w:vAlign w:val="bottom"/>
            <w:hideMark/>
          </w:tcPr>
          <w:p w14:paraId="061BC01D"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997" w:type="dxa"/>
            <w:tcBorders>
              <w:top w:val="nil"/>
              <w:left w:val="nil"/>
              <w:bottom w:val="nil"/>
              <w:right w:val="nil"/>
            </w:tcBorders>
            <w:shd w:val="clear" w:color="000000" w:fill="FFFFFF"/>
            <w:noWrap/>
            <w:vAlign w:val="bottom"/>
            <w:hideMark/>
          </w:tcPr>
          <w:p w14:paraId="71A5C903"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1240" w:type="dxa"/>
            <w:tcBorders>
              <w:top w:val="nil"/>
              <w:left w:val="nil"/>
              <w:bottom w:val="nil"/>
              <w:right w:val="nil"/>
            </w:tcBorders>
            <w:shd w:val="clear" w:color="000000" w:fill="FFFFFF"/>
            <w:noWrap/>
            <w:vAlign w:val="center"/>
            <w:hideMark/>
          </w:tcPr>
          <w:p w14:paraId="001D65F0"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trainbr</w:t>
            </w:r>
          </w:p>
        </w:tc>
        <w:tc>
          <w:tcPr>
            <w:tcW w:w="860" w:type="dxa"/>
            <w:tcBorders>
              <w:top w:val="nil"/>
              <w:left w:val="nil"/>
              <w:bottom w:val="nil"/>
              <w:right w:val="nil"/>
            </w:tcBorders>
            <w:shd w:val="clear" w:color="000000" w:fill="FFFFFF"/>
            <w:noWrap/>
            <w:vAlign w:val="center"/>
            <w:hideMark/>
          </w:tcPr>
          <w:p w14:paraId="02DC66C2"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70.92</w:t>
            </w:r>
          </w:p>
        </w:tc>
        <w:tc>
          <w:tcPr>
            <w:tcW w:w="949" w:type="dxa"/>
            <w:tcBorders>
              <w:top w:val="nil"/>
              <w:left w:val="nil"/>
              <w:bottom w:val="nil"/>
              <w:right w:val="nil"/>
            </w:tcBorders>
            <w:shd w:val="clear" w:color="000000" w:fill="FFFFFF"/>
            <w:noWrap/>
            <w:vAlign w:val="center"/>
            <w:hideMark/>
          </w:tcPr>
          <w:p w14:paraId="5C5EC74A"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3.62E-02</w:t>
            </w:r>
          </w:p>
        </w:tc>
      </w:tr>
      <w:tr w:rsidR="00582931" w:rsidRPr="00A674A4" w14:paraId="79D2DBC3"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7B7BA815"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ANN3</w:t>
            </w:r>
          </w:p>
        </w:tc>
        <w:tc>
          <w:tcPr>
            <w:tcW w:w="913" w:type="dxa"/>
            <w:tcBorders>
              <w:top w:val="nil"/>
              <w:left w:val="nil"/>
              <w:bottom w:val="nil"/>
              <w:right w:val="nil"/>
            </w:tcBorders>
            <w:shd w:val="clear" w:color="000000" w:fill="FFFFFF"/>
            <w:noWrap/>
            <w:vAlign w:val="center"/>
            <w:hideMark/>
          </w:tcPr>
          <w:p w14:paraId="51EC1E9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6</w:t>
            </w:r>
          </w:p>
        </w:tc>
        <w:tc>
          <w:tcPr>
            <w:tcW w:w="997" w:type="dxa"/>
            <w:tcBorders>
              <w:top w:val="nil"/>
              <w:left w:val="nil"/>
              <w:bottom w:val="nil"/>
              <w:right w:val="nil"/>
            </w:tcBorders>
            <w:shd w:val="clear" w:color="000000" w:fill="FFFFFF"/>
            <w:noWrap/>
            <w:vAlign w:val="center"/>
            <w:hideMark/>
          </w:tcPr>
          <w:p w14:paraId="6A5F904D"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897" w:type="dxa"/>
            <w:tcBorders>
              <w:top w:val="nil"/>
              <w:left w:val="nil"/>
              <w:bottom w:val="nil"/>
              <w:right w:val="nil"/>
            </w:tcBorders>
            <w:shd w:val="clear" w:color="000000" w:fill="FFFFFF"/>
            <w:noWrap/>
            <w:vAlign w:val="center"/>
            <w:hideMark/>
          </w:tcPr>
          <w:p w14:paraId="6F2FD24E"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6</w:t>
            </w:r>
          </w:p>
        </w:tc>
        <w:tc>
          <w:tcPr>
            <w:tcW w:w="997" w:type="dxa"/>
            <w:tcBorders>
              <w:top w:val="nil"/>
              <w:left w:val="nil"/>
              <w:bottom w:val="nil"/>
              <w:right w:val="nil"/>
            </w:tcBorders>
            <w:shd w:val="clear" w:color="000000" w:fill="FFFFFF"/>
            <w:noWrap/>
            <w:vAlign w:val="center"/>
            <w:hideMark/>
          </w:tcPr>
          <w:p w14:paraId="18A3EF9A"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1240" w:type="dxa"/>
            <w:tcBorders>
              <w:top w:val="nil"/>
              <w:left w:val="nil"/>
              <w:bottom w:val="nil"/>
              <w:right w:val="nil"/>
            </w:tcBorders>
            <w:shd w:val="clear" w:color="000000" w:fill="FFFFFF"/>
            <w:noWrap/>
            <w:vAlign w:val="center"/>
            <w:hideMark/>
          </w:tcPr>
          <w:p w14:paraId="642BA4C2"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trainlm</w:t>
            </w:r>
          </w:p>
        </w:tc>
        <w:tc>
          <w:tcPr>
            <w:tcW w:w="860" w:type="dxa"/>
            <w:tcBorders>
              <w:top w:val="nil"/>
              <w:left w:val="nil"/>
              <w:bottom w:val="nil"/>
              <w:right w:val="nil"/>
            </w:tcBorders>
            <w:shd w:val="clear" w:color="000000" w:fill="FFFFFF"/>
            <w:noWrap/>
            <w:vAlign w:val="bottom"/>
            <w:hideMark/>
          </w:tcPr>
          <w:p w14:paraId="795CA10E"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87.87</w:t>
            </w:r>
          </w:p>
        </w:tc>
        <w:tc>
          <w:tcPr>
            <w:tcW w:w="949" w:type="dxa"/>
            <w:tcBorders>
              <w:top w:val="nil"/>
              <w:left w:val="nil"/>
              <w:bottom w:val="nil"/>
              <w:right w:val="nil"/>
            </w:tcBorders>
            <w:shd w:val="clear" w:color="000000" w:fill="FFFFFF"/>
            <w:noWrap/>
            <w:vAlign w:val="bottom"/>
            <w:hideMark/>
          </w:tcPr>
          <w:p w14:paraId="719B9C94"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2.93E-02</w:t>
            </w:r>
          </w:p>
        </w:tc>
      </w:tr>
      <w:tr w:rsidR="00582931" w:rsidRPr="00A674A4" w14:paraId="3430B80C"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2945CDBD"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ANN4</w:t>
            </w:r>
          </w:p>
        </w:tc>
        <w:tc>
          <w:tcPr>
            <w:tcW w:w="913" w:type="dxa"/>
            <w:tcBorders>
              <w:top w:val="nil"/>
              <w:left w:val="nil"/>
              <w:bottom w:val="nil"/>
              <w:right w:val="nil"/>
            </w:tcBorders>
            <w:shd w:val="clear" w:color="000000" w:fill="FFFFFF"/>
            <w:noWrap/>
            <w:vAlign w:val="center"/>
            <w:hideMark/>
          </w:tcPr>
          <w:p w14:paraId="75F295E9" w14:textId="77777777" w:rsidR="00582931" w:rsidRDefault="00582931" w:rsidP="003D5160">
            <w:pPr>
              <w:tabs>
                <w:tab w:val="clear" w:pos="7100"/>
              </w:tabs>
              <w:spacing w:line="240" w:lineRule="auto"/>
              <w:jc w:val="center"/>
              <w:rPr>
                <w:rFonts w:cs="Arial"/>
                <w:color w:val="000000"/>
                <w:szCs w:val="18"/>
                <w:lang w:val="en-US"/>
              </w:rPr>
            </w:pPr>
            <w:r>
              <w:rPr>
                <w:rFonts w:cs="Arial"/>
                <w:color w:val="000000"/>
                <w:szCs w:val="18"/>
              </w:rPr>
              <w:t>6</w:t>
            </w:r>
          </w:p>
        </w:tc>
        <w:tc>
          <w:tcPr>
            <w:tcW w:w="997" w:type="dxa"/>
            <w:tcBorders>
              <w:top w:val="nil"/>
              <w:left w:val="nil"/>
              <w:bottom w:val="nil"/>
              <w:right w:val="nil"/>
            </w:tcBorders>
            <w:shd w:val="clear" w:color="000000" w:fill="FFFFFF"/>
            <w:noWrap/>
            <w:vAlign w:val="center"/>
            <w:hideMark/>
          </w:tcPr>
          <w:p w14:paraId="766E0C12" w14:textId="77777777" w:rsidR="00582931" w:rsidRDefault="00582931" w:rsidP="003D5160">
            <w:pPr>
              <w:jc w:val="center"/>
              <w:rPr>
                <w:rFonts w:cs="Arial"/>
                <w:color w:val="000000"/>
                <w:szCs w:val="18"/>
              </w:rPr>
            </w:pPr>
            <w:r>
              <w:rPr>
                <w:rFonts w:cs="Arial"/>
                <w:color w:val="000000"/>
                <w:szCs w:val="18"/>
              </w:rPr>
              <w:t>tansig</w:t>
            </w:r>
          </w:p>
        </w:tc>
        <w:tc>
          <w:tcPr>
            <w:tcW w:w="897" w:type="dxa"/>
            <w:tcBorders>
              <w:top w:val="nil"/>
              <w:left w:val="nil"/>
              <w:bottom w:val="nil"/>
              <w:right w:val="nil"/>
            </w:tcBorders>
            <w:shd w:val="clear" w:color="000000" w:fill="FFFFFF"/>
            <w:noWrap/>
            <w:vAlign w:val="center"/>
            <w:hideMark/>
          </w:tcPr>
          <w:p w14:paraId="76D1F543" w14:textId="77777777" w:rsidR="00582931" w:rsidRDefault="00582931" w:rsidP="003D5160">
            <w:pPr>
              <w:jc w:val="center"/>
              <w:rPr>
                <w:rFonts w:cs="Arial"/>
                <w:color w:val="000000"/>
                <w:szCs w:val="18"/>
              </w:rPr>
            </w:pPr>
            <w:r>
              <w:rPr>
                <w:rFonts w:cs="Arial"/>
                <w:color w:val="000000"/>
                <w:szCs w:val="18"/>
              </w:rPr>
              <w:t>6</w:t>
            </w:r>
          </w:p>
        </w:tc>
        <w:tc>
          <w:tcPr>
            <w:tcW w:w="997" w:type="dxa"/>
            <w:tcBorders>
              <w:top w:val="nil"/>
              <w:left w:val="nil"/>
              <w:bottom w:val="nil"/>
              <w:right w:val="nil"/>
            </w:tcBorders>
            <w:shd w:val="clear" w:color="000000" w:fill="FFFFFF"/>
            <w:noWrap/>
            <w:vAlign w:val="center"/>
            <w:hideMark/>
          </w:tcPr>
          <w:p w14:paraId="6FBB0CBD" w14:textId="77777777" w:rsidR="00582931" w:rsidRDefault="00582931" w:rsidP="003D5160">
            <w:pPr>
              <w:jc w:val="center"/>
              <w:rPr>
                <w:rFonts w:cs="Arial"/>
                <w:color w:val="000000"/>
                <w:szCs w:val="18"/>
              </w:rPr>
            </w:pPr>
            <w:r>
              <w:rPr>
                <w:rFonts w:cs="Arial"/>
                <w:color w:val="000000"/>
                <w:szCs w:val="18"/>
              </w:rPr>
              <w:t>logsig</w:t>
            </w:r>
          </w:p>
        </w:tc>
        <w:tc>
          <w:tcPr>
            <w:tcW w:w="1240" w:type="dxa"/>
            <w:tcBorders>
              <w:top w:val="nil"/>
              <w:left w:val="nil"/>
              <w:bottom w:val="nil"/>
              <w:right w:val="nil"/>
            </w:tcBorders>
            <w:shd w:val="clear" w:color="000000" w:fill="FFFFFF"/>
            <w:noWrap/>
            <w:vAlign w:val="center"/>
            <w:hideMark/>
          </w:tcPr>
          <w:p w14:paraId="75E4A32C" w14:textId="77777777" w:rsidR="00582931" w:rsidRDefault="00582931" w:rsidP="003D5160">
            <w:pPr>
              <w:jc w:val="center"/>
              <w:rPr>
                <w:rFonts w:cs="Arial"/>
                <w:color w:val="000000"/>
                <w:szCs w:val="18"/>
              </w:rPr>
            </w:pPr>
            <w:r>
              <w:rPr>
                <w:rFonts w:cs="Arial"/>
                <w:color w:val="000000"/>
                <w:szCs w:val="18"/>
              </w:rPr>
              <w:t>trainlm</w:t>
            </w:r>
          </w:p>
        </w:tc>
        <w:tc>
          <w:tcPr>
            <w:tcW w:w="860" w:type="dxa"/>
            <w:tcBorders>
              <w:top w:val="nil"/>
              <w:left w:val="nil"/>
              <w:bottom w:val="nil"/>
              <w:right w:val="nil"/>
            </w:tcBorders>
            <w:shd w:val="clear" w:color="000000" w:fill="FFFFFF"/>
            <w:noWrap/>
            <w:vAlign w:val="bottom"/>
            <w:hideMark/>
          </w:tcPr>
          <w:p w14:paraId="5F54BA35" w14:textId="77777777" w:rsidR="00582931" w:rsidRDefault="00582931" w:rsidP="003D5160">
            <w:pPr>
              <w:jc w:val="center"/>
              <w:rPr>
                <w:rFonts w:cs="Arial"/>
                <w:color w:val="000000"/>
                <w:szCs w:val="18"/>
              </w:rPr>
            </w:pPr>
            <w:r>
              <w:rPr>
                <w:rFonts w:cs="Arial"/>
                <w:color w:val="000000"/>
                <w:szCs w:val="18"/>
              </w:rPr>
              <w:t>93.04</w:t>
            </w:r>
          </w:p>
        </w:tc>
        <w:tc>
          <w:tcPr>
            <w:tcW w:w="949" w:type="dxa"/>
            <w:tcBorders>
              <w:top w:val="nil"/>
              <w:left w:val="nil"/>
              <w:bottom w:val="nil"/>
              <w:right w:val="nil"/>
            </w:tcBorders>
            <w:shd w:val="clear" w:color="000000" w:fill="FFFFFF"/>
            <w:noWrap/>
            <w:vAlign w:val="bottom"/>
            <w:hideMark/>
          </w:tcPr>
          <w:p w14:paraId="50785A65" w14:textId="77777777" w:rsidR="00582931" w:rsidRDefault="00582931" w:rsidP="003D5160">
            <w:pPr>
              <w:jc w:val="center"/>
              <w:rPr>
                <w:rFonts w:cs="Arial"/>
                <w:color w:val="000000"/>
                <w:szCs w:val="18"/>
              </w:rPr>
            </w:pPr>
            <w:r>
              <w:rPr>
                <w:rFonts w:cs="Arial"/>
                <w:color w:val="000000"/>
                <w:szCs w:val="18"/>
              </w:rPr>
              <w:t>3.14E-02</w:t>
            </w:r>
          </w:p>
        </w:tc>
      </w:tr>
      <w:tr w:rsidR="00582931" w:rsidRPr="00A674A4" w14:paraId="102865E8"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4C1178A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ANN5</w:t>
            </w:r>
          </w:p>
        </w:tc>
        <w:tc>
          <w:tcPr>
            <w:tcW w:w="913" w:type="dxa"/>
            <w:tcBorders>
              <w:top w:val="nil"/>
              <w:left w:val="nil"/>
              <w:bottom w:val="nil"/>
              <w:right w:val="nil"/>
            </w:tcBorders>
            <w:shd w:val="clear" w:color="000000" w:fill="FFFFFF"/>
            <w:noWrap/>
            <w:vAlign w:val="center"/>
            <w:hideMark/>
          </w:tcPr>
          <w:p w14:paraId="554E85C5"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w:t>
            </w:r>
          </w:p>
        </w:tc>
        <w:tc>
          <w:tcPr>
            <w:tcW w:w="997" w:type="dxa"/>
            <w:tcBorders>
              <w:top w:val="nil"/>
              <w:left w:val="nil"/>
              <w:bottom w:val="nil"/>
              <w:right w:val="nil"/>
            </w:tcBorders>
            <w:shd w:val="clear" w:color="000000" w:fill="FFFFFF"/>
            <w:noWrap/>
            <w:vAlign w:val="center"/>
            <w:hideMark/>
          </w:tcPr>
          <w:p w14:paraId="406EAE02"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897" w:type="dxa"/>
            <w:tcBorders>
              <w:top w:val="nil"/>
              <w:left w:val="nil"/>
              <w:bottom w:val="nil"/>
              <w:right w:val="nil"/>
            </w:tcBorders>
            <w:shd w:val="clear" w:color="000000" w:fill="FFFFFF"/>
            <w:noWrap/>
            <w:vAlign w:val="bottom"/>
            <w:hideMark/>
          </w:tcPr>
          <w:p w14:paraId="71165B9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997" w:type="dxa"/>
            <w:tcBorders>
              <w:top w:val="nil"/>
              <w:left w:val="nil"/>
              <w:bottom w:val="nil"/>
              <w:right w:val="nil"/>
            </w:tcBorders>
            <w:shd w:val="clear" w:color="000000" w:fill="FFFFFF"/>
            <w:noWrap/>
            <w:vAlign w:val="bottom"/>
            <w:hideMark/>
          </w:tcPr>
          <w:p w14:paraId="01C49A0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1240" w:type="dxa"/>
            <w:tcBorders>
              <w:top w:val="nil"/>
              <w:left w:val="nil"/>
              <w:bottom w:val="nil"/>
              <w:right w:val="nil"/>
            </w:tcBorders>
            <w:shd w:val="clear" w:color="000000" w:fill="FFFFFF"/>
            <w:noWrap/>
            <w:vAlign w:val="center"/>
            <w:hideMark/>
          </w:tcPr>
          <w:p w14:paraId="6E55E73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trainlm</w:t>
            </w:r>
          </w:p>
        </w:tc>
        <w:tc>
          <w:tcPr>
            <w:tcW w:w="860" w:type="dxa"/>
            <w:tcBorders>
              <w:top w:val="nil"/>
              <w:left w:val="nil"/>
              <w:bottom w:val="nil"/>
              <w:right w:val="nil"/>
            </w:tcBorders>
            <w:shd w:val="clear" w:color="000000" w:fill="FFFFFF"/>
            <w:noWrap/>
            <w:vAlign w:val="center"/>
            <w:hideMark/>
          </w:tcPr>
          <w:p w14:paraId="70941FAB"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91.12</w:t>
            </w:r>
          </w:p>
        </w:tc>
        <w:tc>
          <w:tcPr>
            <w:tcW w:w="949" w:type="dxa"/>
            <w:tcBorders>
              <w:top w:val="nil"/>
              <w:left w:val="nil"/>
              <w:bottom w:val="nil"/>
              <w:right w:val="nil"/>
            </w:tcBorders>
            <w:shd w:val="clear" w:color="000000" w:fill="FFFFFF"/>
            <w:noWrap/>
            <w:vAlign w:val="center"/>
            <w:hideMark/>
          </w:tcPr>
          <w:p w14:paraId="7D8FC93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3.43E-02</w:t>
            </w:r>
          </w:p>
        </w:tc>
      </w:tr>
      <w:tr w:rsidR="00582931" w:rsidRPr="00A674A4" w14:paraId="19DF3F6C"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78DA3E09"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ANN6</w:t>
            </w:r>
          </w:p>
        </w:tc>
        <w:tc>
          <w:tcPr>
            <w:tcW w:w="913" w:type="dxa"/>
            <w:tcBorders>
              <w:top w:val="nil"/>
              <w:left w:val="nil"/>
              <w:bottom w:val="nil"/>
              <w:right w:val="nil"/>
            </w:tcBorders>
            <w:shd w:val="clear" w:color="000000" w:fill="FFFFFF"/>
            <w:noWrap/>
            <w:vAlign w:val="center"/>
            <w:hideMark/>
          </w:tcPr>
          <w:p w14:paraId="678AC76B"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10</w:t>
            </w:r>
          </w:p>
        </w:tc>
        <w:tc>
          <w:tcPr>
            <w:tcW w:w="997" w:type="dxa"/>
            <w:tcBorders>
              <w:top w:val="nil"/>
              <w:left w:val="nil"/>
              <w:bottom w:val="nil"/>
              <w:right w:val="nil"/>
            </w:tcBorders>
            <w:shd w:val="clear" w:color="000000" w:fill="FFFFFF"/>
            <w:noWrap/>
            <w:vAlign w:val="center"/>
            <w:hideMark/>
          </w:tcPr>
          <w:p w14:paraId="5211404B"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897" w:type="dxa"/>
            <w:tcBorders>
              <w:top w:val="nil"/>
              <w:left w:val="nil"/>
              <w:bottom w:val="nil"/>
              <w:right w:val="nil"/>
            </w:tcBorders>
            <w:shd w:val="clear" w:color="000000" w:fill="FFFFFF"/>
            <w:noWrap/>
            <w:vAlign w:val="center"/>
            <w:hideMark/>
          </w:tcPr>
          <w:p w14:paraId="7ADC50B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w:t>
            </w:r>
          </w:p>
        </w:tc>
        <w:tc>
          <w:tcPr>
            <w:tcW w:w="997" w:type="dxa"/>
            <w:tcBorders>
              <w:top w:val="nil"/>
              <w:left w:val="nil"/>
              <w:bottom w:val="nil"/>
              <w:right w:val="nil"/>
            </w:tcBorders>
            <w:shd w:val="clear" w:color="000000" w:fill="FFFFFF"/>
            <w:noWrap/>
            <w:vAlign w:val="center"/>
            <w:hideMark/>
          </w:tcPr>
          <w:p w14:paraId="711163A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tansig</w:t>
            </w:r>
          </w:p>
        </w:tc>
        <w:tc>
          <w:tcPr>
            <w:tcW w:w="1240" w:type="dxa"/>
            <w:tcBorders>
              <w:top w:val="nil"/>
              <w:left w:val="nil"/>
              <w:bottom w:val="nil"/>
              <w:right w:val="nil"/>
            </w:tcBorders>
            <w:shd w:val="clear" w:color="000000" w:fill="FFFFFF"/>
            <w:noWrap/>
            <w:vAlign w:val="center"/>
            <w:hideMark/>
          </w:tcPr>
          <w:p w14:paraId="43290284"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trainlm</w:t>
            </w:r>
          </w:p>
        </w:tc>
        <w:tc>
          <w:tcPr>
            <w:tcW w:w="860" w:type="dxa"/>
            <w:tcBorders>
              <w:top w:val="nil"/>
              <w:left w:val="nil"/>
              <w:bottom w:val="nil"/>
              <w:right w:val="nil"/>
            </w:tcBorders>
            <w:shd w:val="clear" w:color="000000" w:fill="FFFFFF"/>
            <w:noWrap/>
            <w:vAlign w:val="bottom"/>
            <w:hideMark/>
          </w:tcPr>
          <w:p w14:paraId="17525DBE"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92.68</w:t>
            </w:r>
          </w:p>
        </w:tc>
        <w:tc>
          <w:tcPr>
            <w:tcW w:w="949" w:type="dxa"/>
            <w:tcBorders>
              <w:top w:val="nil"/>
              <w:left w:val="nil"/>
              <w:bottom w:val="nil"/>
              <w:right w:val="nil"/>
            </w:tcBorders>
            <w:shd w:val="clear" w:color="000000" w:fill="FFFFFF"/>
            <w:noWrap/>
            <w:vAlign w:val="bottom"/>
            <w:hideMark/>
          </w:tcPr>
          <w:p w14:paraId="4DE3090E"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2.93E-02</w:t>
            </w:r>
          </w:p>
        </w:tc>
      </w:tr>
      <w:tr w:rsidR="00582931" w:rsidRPr="00A674A4" w14:paraId="791C3AF0"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2490C3D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ANN7</w:t>
            </w:r>
          </w:p>
        </w:tc>
        <w:tc>
          <w:tcPr>
            <w:tcW w:w="913" w:type="dxa"/>
            <w:tcBorders>
              <w:top w:val="nil"/>
              <w:left w:val="nil"/>
              <w:bottom w:val="nil"/>
              <w:right w:val="nil"/>
            </w:tcBorders>
            <w:shd w:val="clear" w:color="000000" w:fill="FFFFFF"/>
            <w:noWrap/>
            <w:vAlign w:val="center"/>
            <w:hideMark/>
          </w:tcPr>
          <w:p w14:paraId="60B5CC05"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w:t>
            </w:r>
          </w:p>
        </w:tc>
        <w:tc>
          <w:tcPr>
            <w:tcW w:w="997" w:type="dxa"/>
            <w:tcBorders>
              <w:top w:val="nil"/>
              <w:left w:val="nil"/>
              <w:bottom w:val="nil"/>
              <w:right w:val="nil"/>
            </w:tcBorders>
            <w:shd w:val="clear" w:color="000000" w:fill="FFFFFF"/>
            <w:noWrap/>
            <w:vAlign w:val="center"/>
            <w:hideMark/>
          </w:tcPr>
          <w:p w14:paraId="3960CF82"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897" w:type="dxa"/>
            <w:tcBorders>
              <w:top w:val="nil"/>
              <w:left w:val="nil"/>
              <w:bottom w:val="nil"/>
              <w:right w:val="nil"/>
            </w:tcBorders>
            <w:shd w:val="clear" w:color="000000" w:fill="FFFFFF"/>
            <w:noWrap/>
            <w:vAlign w:val="center"/>
            <w:hideMark/>
          </w:tcPr>
          <w:p w14:paraId="52057316"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10</w:t>
            </w:r>
          </w:p>
        </w:tc>
        <w:tc>
          <w:tcPr>
            <w:tcW w:w="997" w:type="dxa"/>
            <w:tcBorders>
              <w:top w:val="nil"/>
              <w:left w:val="nil"/>
              <w:bottom w:val="nil"/>
              <w:right w:val="nil"/>
            </w:tcBorders>
            <w:shd w:val="clear" w:color="000000" w:fill="FFFFFF"/>
            <w:noWrap/>
            <w:vAlign w:val="center"/>
            <w:hideMark/>
          </w:tcPr>
          <w:p w14:paraId="361CEA0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tansig</w:t>
            </w:r>
          </w:p>
        </w:tc>
        <w:tc>
          <w:tcPr>
            <w:tcW w:w="1240" w:type="dxa"/>
            <w:tcBorders>
              <w:top w:val="nil"/>
              <w:left w:val="nil"/>
              <w:bottom w:val="nil"/>
              <w:right w:val="nil"/>
            </w:tcBorders>
            <w:shd w:val="clear" w:color="000000" w:fill="FFFFFF"/>
            <w:noWrap/>
            <w:vAlign w:val="center"/>
            <w:hideMark/>
          </w:tcPr>
          <w:p w14:paraId="0E4C1DD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trainlm</w:t>
            </w:r>
          </w:p>
        </w:tc>
        <w:tc>
          <w:tcPr>
            <w:tcW w:w="860" w:type="dxa"/>
            <w:tcBorders>
              <w:top w:val="nil"/>
              <w:left w:val="nil"/>
              <w:bottom w:val="nil"/>
              <w:right w:val="nil"/>
            </w:tcBorders>
            <w:shd w:val="clear" w:color="000000" w:fill="FFFFFF"/>
            <w:noWrap/>
            <w:vAlign w:val="bottom"/>
            <w:hideMark/>
          </w:tcPr>
          <w:p w14:paraId="19217329"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86.30</w:t>
            </w:r>
          </w:p>
        </w:tc>
        <w:tc>
          <w:tcPr>
            <w:tcW w:w="949" w:type="dxa"/>
            <w:tcBorders>
              <w:top w:val="nil"/>
              <w:left w:val="nil"/>
              <w:bottom w:val="nil"/>
              <w:right w:val="nil"/>
            </w:tcBorders>
            <w:shd w:val="clear" w:color="000000" w:fill="FFFFFF"/>
            <w:noWrap/>
            <w:vAlign w:val="bottom"/>
            <w:hideMark/>
          </w:tcPr>
          <w:p w14:paraId="334BAC42"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2.96E-02</w:t>
            </w:r>
          </w:p>
        </w:tc>
      </w:tr>
      <w:tr w:rsidR="00582931" w:rsidRPr="00A674A4" w14:paraId="59E64FC8"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4B0DF6A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ANN8</w:t>
            </w:r>
          </w:p>
        </w:tc>
        <w:tc>
          <w:tcPr>
            <w:tcW w:w="913" w:type="dxa"/>
            <w:tcBorders>
              <w:top w:val="nil"/>
              <w:left w:val="nil"/>
              <w:bottom w:val="nil"/>
              <w:right w:val="nil"/>
            </w:tcBorders>
            <w:shd w:val="clear" w:color="000000" w:fill="FFFFFF"/>
            <w:noWrap/>
            <w:vAlign w:val="center"/>
            <w:hideMark/>
          </w:tcPr>
          <w:p w14:paraId="71BC736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12</w:t>
            </w:r>
          </w:p>
        </w:tc>
        <w:tc>
          <w:tcPr>
            <w:tcW w:w="997" w:type="dxa"/>
            <w:tcBorders>
              <w:top w:val="nil"/>
              <w:left w:val="nil"/>
              <w:bottom w:val="nil"/>
              <w:right w:val="nil"/>
            </w:tcBorders>
            <w:shd w:val="clear" w:color="000000" w:fill="FFFFFF"/>
            <w:noWrap/>
            <w:vAlign w:val="center"/>
            <w:hideMark/>
          </w:tcPr>
          <w:p w14:paraId="65A4379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897" w:type="dxa"/>
            <w:tcBorders>
              <w:top w:val="nil"/>
              <w:left w:val="nil"/>
              <w:bottom w:val="nil"/>
              <w:right w:val="nil"/>
            </w:tcBorders>
            <w:shd w:val="clear" w:color="000000" w:fill="FFFFFF"/>
            <w:noWrap/>
            <w:vAlign w:val="bottom"/>
            <w:hideMark/>
          </w:tcPr>
          <w:p w14:paraId="67F5A1C0"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997" w:type="dxa"/>
            <w:tcBorders>
              <w:top w:val="nil"/>
              <w:left w:val="nil"/>
              <w:bottom w:val="nil"/>
              <w:right w:val="nil"/>
            </w:tcBorders>
            <w:shd w:val="clear" w:color="000000" w:fill="FFFFFF"/>
            <w:noWrap/>
            <w:vAlign w:val="bottom"/>
            <w:hideMark/>
          </w:tcPr>
          <w:p w14:paraId="554B334B"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1240" w:type="dxa"/>
            <w:tcBorders>
              <w:top w:val="nil"/>
              <w:left w:val="nil"/>
              <w:bottom w:val="nil"/>
              <w:right w:val="nil"/>
            </w:tcBorders>
            <w:shd w:val="clear" w:color="000000" w:fill="FFFFFF"/>
            <w:noWrap/>
            <w:vAlign w:val="center"/>
            <w:hideMark/>
          </w:tcPr>
          <w:p w14:paraId="40FB975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trainbr</w:t>
            </w:r>
          </w:p>
        </w:tc>
        <w:tc>
          <w:tcPr>
            <w:tcW w:w="860" w:type="dxa"/>
            <w:tcBorders>
              <w:top w:val="nil"/>
              <w:left w:val="nil"/>
              <w:bottom w:val="nil"/>
              <w:right w:val="nil"/>
            </w:tcBorders>
            <w:shd w:val="clear" w:color="000000" w:fill="FFFFFF"/>
            <w:noWrap/>
            <w:vAlign w:val="center"/>
            <w:hideMark/>
          </w:tcPr>
          <w:p w14:paraId="0EE9CF4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80.20</w:t>
            </w:r>
          </w:p>
        </w:tc>
        <w:tc>
          <w:tcPr>
            <w:tcW w:w="949" w:type="dxa"/>
            <w:tcBorders>
              <w:top w:val="nil"/>
              <w:left w:val="nil"/>
              <w:bottom w:val="nil"/>
              <w:right w:val="nil"/>
            </w:tcBorders>
            <w:shd w:val="clear" w:color="000000" w:fill="FFFFFF"/>
            <w:noWrap/>
            <w:vAlign w:val="center"/>
            <w:hideMark/>
          </w:tcPr>
          <w:p w14:paraId="3AC2AFFD"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3.34E-02</w:t>
            </w:r>
          </w:p>
        </w:tc>
      </w:tr>
      <w:tr w:rsidR="00582931" w:rsidRPr="00A674A4" w14:paraId="18F62464"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738F8172"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ANN9</w:t>
            </w:r>
          </w:p>
        </w:tc>
        <w:tc>
          <w:tcPr>
            <w:tcW w:w="913" w:type="dxa"/>
            <w:tcBorders>
              <w:top w:val="nil"/>
              <w:left w:val="nil"/>
              <w:bottom w:val="nil"/>
              <w:right w:val="nil"/>
            </w:tcBorders>
            <w:shd w:val="clear" w:color="000000" w:fill="FFFFFF"/>
            <w:noWrap/>
            <w:vAlign w:val="center"/>
            <w:hideMark/>
          </w:tcPr>
          <w:p w14:paraId="6365F1CA"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10</w:t>
            </w:r>
          </w:p>
        </w:tc>
        <w:tc>
          <w:tcPr>
            <w:tcW w:w="997" w:type="dxa"/>
            <w:tcBorders>
              <w:top w:val="nil"/>
              <w:left w:val="nil"/>
              <w:bottom w:val="nil"/>
              <w:right w:val="nil"/>
            </w:tcBorders>
            <w:shd w:val="clear" w:color="000000" w:fill="FFFFFF"/>
            <w:noWrap/>
            <w:vAlign w:val="center"/>
            <w:hideMark/>
          </w:tcPr>
          <w:p w14:paraId="58F9CA7E"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tansig</w:t>
            </w:r>
          </w:p>
        </w:tc>
        <w:tc>
          <w:tcPr>
            <w:tcW w:w="897" w:type="dxa"/>
            <w:tcBorders>
              <w:top w:val="nil"/>
              <w:left w:val="nil"/>
              <w:bottom w:val="nil"/>
              <w:right w:val="nil"/>
            </w:tcBorders>
            <w:shd w:val="clear" w:color="000000" w:fill="FFFFFF"/>
            <w:noWrap/>
            <w:vAlign w:val="bottom"/>
            <w:hideMark/>
          </w:tcPr>
          <w:p w14:paraId="01DA2423"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w:t>
            </w:r>
          </w:p>
        </w:tc>
        <w:tc>
          <w:tcPr>
            <w:tcW w:w="997" w:type="dxa"/>
            <w:tcBorders>
              <w:top w:val="nil"/>
              <w:left w:val="nil"/>
              <w:bottom w:val="nil"/>
              <w:right w:val="nil"/>
            </w:tcBorders>
            <w:shd w:val="clear" w:color="000000" w:fill="FFFFFF"/>
            <w:noWrap/>
            <w:vAlign w:val="center"/>
            <w:hideMark/>
          </w:tcPr>
          <w:p w14:paraId="28A8F675"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tansig</w:t>
            </w:r>
          </w:p>
        </w:tc>
        <w:tc>
          <w:tcPr>
            <w:tcW w:w="1240" w:type="dxa"/>
            <w:tcBorders>
              <w:top w:val="nil"/>
              <w:left w:val="nil"/>
              <w:bottom w:val="nil"/>
              <w:right w:val="nil"/>
            </w:tcBorders>
            <w:shd w:val="clear" w:color="000000" w:fill="FFFFFF"/>
            <w:noWrap/>
            <w:vAlign w:val="center"/>
            <w:hideMark/>
          </w:tcPr>
          <w:p w14:paraId="7503B2A1"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trainlm</w:t>
            </w:r>
          </w:p>
        </w:tc>
        <w:tc>
          <w:tcPr>
            <w:tcW w:w="860" w:type="dxa"/>
            <w:tcBorders>
              <w:top w:val="nil"/>
              <w:left w:val="nil"/>
              <w:bottom w:val="nil"/>
              <w:right w:val="nil"/>
            </w:tcBorders>
            <w:shd w:val="clear" w:color="000000" w:fill="FFFFFF"/>
            <w:noWrap/>
            <w:vAlign w:val="bottom"/>
            <w:hideMark/>
          </w:tcPr>
          <w:p w14:paraId="29E8D050"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52.62</w:t>
            </w:r>
          </w:p>
        </w:tc>
        <w:tc>
          <w:tcPr>
            <w:tcW w:w="949" w:type="dxa"/>
            <w:tcBorders>
              <w:top w:val="nil"/>
              <w:left w:val="nil"/>
              <w:bottom w:val="nil"/>
              <w:right w:val="nil"/>
            </w:tcBorders>
            <w:shd w:val="clear" w:color="000000" w:fill="FFFFFF"/>
            <w:noWrap/>
            <w:vAlign w:val="bottom"/>
            <w:hideMark/>
          </w:tcPr>
          <w:p w14:paraId="638C506C"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2.99E-02</w:t>
            </w:r>
          </w:p>
        </w:tc>
      </w:tr>
      <w:tr w:rsidR="00582931" w:rsidRPr="00A674A4" w14:paraId="40E276BE"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35DECC0C"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ANN10</w:t>
            </w:r>
          </w:p>
        </w:tc>
        <w:tc>
          <w:tcPr>
            <w:tcW w:w="913" w:type="dxa"/>
            <w:tcBorders>
              <w:top w:val="nil"/>
              <w:left w:val="nil"/>
              <w:bottom w:val="nil"/>
              <w:right w:val="nil"/>
            </w:tcBorders>
            <w:shd w:val="clear" w:color="000000" w:fill="FFFFFF"/>
            <w:noWrap/>
            <w:vAlign w:val="center"/>
            <w:hideMark/>
          </w:tcPr>
          <w:p w14:paraId="3F46B94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10</w:t>
            </w:r>
          </w:p>
        </w:tc>
        <w:tc>
          <w:tcPr>
            <w:tcW w:w="997" w:type="dxa"/>
            <w:tcBorders>
              <w:top w:val="nil"/>
              <w:left w:val="nil"/>
              <w:bottom w:val="nil"/>
              <w:right w:val="nil"/>
            </w:tcBorders>
            <w:shd w:val="clear" w:color="000000" w:fill="FFFFFF"/>
            <w:noWrap/>
            <w:vAlign w:val="center"/>
            <w:hideMark/>
          </w:tcPr>
          <w:p w14:paraId="173EDF9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897" w:type="dxa"/>
            <w:tcBorders>
              <w:top w:val="nil"/>
              <w:left w:val="nil"/>
              <w:bottom w:val="nil"/>
              <w:right w:val="nil"/>
            </w:tcBorders>
            <w:shd w:val="clear" w:color="000000" w:fill="FFFFFF"/>
            <w:noWrap/>
            <w:vAlign w:val="bottom"/>
            <w:hideMark/>
          </w:tcPr>
          <w:p w14:paraId="621474ED"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w:t>
            </w:r>
          </w:p>
        </w:tc>
        <w:tc>
          <w:tcPr>
            <w:tcW w:w="997" w:type="dxa"/>
            <w:tcBorders>
              <w:top w:val="nil"/>
              <w:left w:val="nil"/>
              <w:bottom w:val="nil"/>
              <w:right w:val="nil"/>
            </w:tcBorders>
            <w:shd w:val="clear" w:color="000000" w:fill="FFFFFF"/>
            <w:noWrap/>
            <w:vAlign w:val="center"/>
            <w:hideMark/>
          </w:tcPr>
          <w:p w14:paraId="45D6967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1240" w:type="dxa"/>
            <w:tcBorders>
              <w:top w:val="nil"/>
              <w:left w:val="nil"/>
              <w:bottom w:val="nil"/>
              <w:right w:val="nil"/>
            </w:tcBorders>
            <w:shd w:val="clear" w:color="000000" w:fill="FFFFFF"/>
            <w:noWrap/>
            <w:vAlign w:val="center"/>
            <w:hideMark/>
          </w:tcPr>
          <w:p w14:paraId="5457426C"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trainlm</w:t>
            </w:r>
          </w:p>
        </w:tc>
        <w:tc>
          <w:tcPr>
            <w:tcW w:w="860" w:type="dxa"/>
            <w:tcBorders>
              <w:top w:val="nil"/>
              <w:left w:val="nil"/>
              <w:bottom w:val="nil"/>
              <w:right w:val="nil"/>
            </w:tcBorders>
            <w:shd w:val="clear" w:color="000000" w:fill="FFFFFF"/>
            <w:noWrap/>
            <w:vAlign w:val="bottom"/>
            <w:hideMark/>
          </w:tcPr>
          <w:p w14:paraId="329C185B"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77.85</w:t>
            </w:r>
          </w:p>
        </w:tc>
        <w:tc>
          <w:tcPr>
            <w:tcW w:w="949" w:type="dxa"/>
            <w:tcBorders>
              <w:top w:val="nil"/>
              <w:left w:val="nil"/>
              <w:bottom w:val="nil"/>
              <w:right w:val="nil"/>
            </w:tcBorders>
            <w:shd w:val="clear" w:color="000000" w:fill="FFFFFF"/>
            <w:noWrap/>
            <w:vAlign w:val="bottom"/>
            <w:hideMark/>
          </w:tcPr>
          <w:p w14:paraId="295F1CD9"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2.79E-02</w:t>
            </w:r>
          </w:p>
        </w:tc>
      </w:tr>
      <w:tr w:rsidR="00582931" w:rsidRPr="00A674A4" w14:paraId="4D5A1E3E" w14:textId="77777777" w:rsidTr="003D5160">
        <w:trPr>
          <w:trHeight w:val="300"/>
          <w:jc w:val="center"/>
        </w:trPr>
        <w:tc>
          <w:tcPr>
            <w:tcW w:w="900" w:type="dxa"/>
            <w:tcBorders>
              <w:top w:val="nil"/>
              <w:left w:val="nil"/>
              <w:bottom w:val="nil"/>
              <w:right w:val="nil"/>
            </w:tcBorders>
            <w:shd w:val="clear" w:color="000000" w:fill="FFFFFF"/>
            <w:noWrap/>
            <w:vAlign w:val="center"/>
            <w:hideMark/>
          </w:tcPr>
          <w:p w14:paraId="4AF21C8E"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ANN11</w:t>
            </w:r>
          </w:p>
        </w:tc>
        <w:tc>
          <w:tcPr>
            <w:tcW w:w="913" w:type="dxa"/>
            <w:tcBorders>
              <w:top w:val="nil"/>
              <w:left w:val="nil"/>
              <w:bottom w:val="nil"/>
              <w:right w:val="nil"/>
            </w:tcBorders>
            <w:shd w:val="clear" w:color="000000" w:fill="FFFFFF"/>
            <w:noWrap/>
            <w:vAlign w:val="center"/>
            <w:hideMark/>
          </w:tcPr>
          <w:p w14:paraId="453E6301"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25</w:t>
            </w:r>
          </w:p>
        </w:tc>
        <w:tc>
          <w:tcPr>
            <w:tcW w:w="997" w:type="dxa"/>
            <w:tcBorders>
              <w:top w:val="nil"/>
              <w:left w:val="nil"/>
              <w:bottom w:val="nil"/>
              <w:right w:val="nil"/>
            </w:tcBorders>
            <w:shd w:val="clear" w:color="000000" w:fill="FFFFFF"/>
            <w:noWrap/>
            <w:vAlign w:val="center"/>
            <w:hideMark/>
          </w:tcPr>
          <w:p w14:paraId="0568FB0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tansig</w:t>
            </w:r>
          </w:p>
        </w:tc>
        <w:tc>
          <w:tcPr>
            <w:tcW w:w="897" w:type="dxa"/>
            <w:tcBorders>
              <w:top w:val="nil"/>
              <w:left w:val="nil"/>
              <w:bottom w:val="nil"/>
              <w:right w:val="nil"/>
            </w:tcBorders>
            <w:shd w:val="clear" w:color="000000" w:fill="FFFFFF"/>
            <w:noWrap/>
            <w:vAlign w:val="bottom"/>
            <w:hideMark/>
          </w:tcPr>
          <w:p w14:paraId="2772F0F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997" w:type="dxa"/>
            <w:tcBorders>
              <w:top w:val="nil"/>
              <w:left w:val="nil"/>
              <w:bottom w:val="nil"/>
              <w:right w:val="nil"/>
            </w:tcBorders>
            <w:shd w:val="clear" w:color="000000" w:fill="FFFFFF"/>
            <w:noWrap/>
            <w:vAlign w:val="bottom"/>
            <w:hideMark/>
          </w:tcPr>
          <w:p w14:paraId="7F93211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w:t>
            </w:r>
          </w:p>
        </w:tc>
        <w:tc>
          <w:tcPr>
            <w:tcW w:w="1240" w:type="dxa"/>
            <w:tcBorders>
              <w:top w:val="nil"/>
              <w:left w:val="nil"/>
              <w:bottom w:val="nil"/>
              <w:right w:val="nil"/>
            </w:tcBorders>
            <w:shd w:val="clear" w:color="000000" w:fill="FFFFFF"/>
            <w:noWrap/>
            <w:vAlign w:val="center"/>
            <w:hideMark/>
          </w:tcPr>
          <w:p w14:paraId="4A6AA9F5"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trainbr</w:t>
            </w:r>
          </w:p>
        </w:tc>
        <w:tc>
          <w:tcPr>
            <w:tcW w:w="860" w:type="dxa"/>
            <w:tcBorders>
              <w:top w:val="nil"/>
              <w:left w:val="nil"/>
              <w:bottom w:val="nil"/>
              <w:right w:val="nil"/>
            </w:tcBorders>
            <w:shd w:val="clear" w:color="000000" w:fill="FFFFFF"/>
            <w:noWrap/>
            <w:vAlign w:val="center"/>
            <w:hideMark/>
          </w:tcPr>
          <w:p w14:paraId="7906F40B"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91.92</w:t>
            </w:r>
          </w:p>
        </w:tc>
        <w:tc>
          <w:tcPr>
            <w:tcW w:w="949" w:type="dxa"/>
            <w:tcBorders>
              <w:top w:val="nil"/>
              <w:left w:val="nil"/>
              <w:bottom w:val="nil"/>
              <w:right w:val="nil"/>
            </w:tcBorders>
            <w:shd w:val="clear" w:color="000000" w:fill="FFFFFF"/>
            <w:noWrap/>
            <w:vAlign w:val="center"/>
            <w:hideMark/>
          </w:tcPr>
          <w:p w14:paraId="1ACD343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3.11E-02</w:t>
            </w:r>
          </w:p>
        </w:tc>
      </w:tr>
      <w:tr w:rsidR="00582931" w:rsidRPr="00A674A4" w14:paraId="63F0D956" w14:textId="77777777" w:rsidTr="003D5160">
        <w:trPr>
          <w:trHeight w:val="315"/>
          <w:jc w:val="center"/>
        </w:trPr>
        <w:tc>
          <w:tcPr>
            <w:tcW w:w="900" w:type="dxa"/>
            <w:tcBorders>
              <w:top w:val="nil"/>
              <w:left w:val="nil"/>
              <w:bottom w:val="single" w:sz="12" w:space="0" w:color="008000"/>
              <w:right w:val="nil"/>
            </w:tcBorders>
            <w:shd w:val="clear" w:color="000000" w:fill="FFFFFF"/>
            <w:vAlign w:val="center"/>
            <w:hideMark/>
          </w:tcPr>
          <w:p w14:paraId="154703B2"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ANN12</w:t>
            </w:r>
          </w:p>
        </w:tc>
        <w:tc>
          <w:tcPr>
            <w:tcW w:w="913" w:type="dxa"/>
            <w:tcBorders>
              <w:top w:val="nil"/>
              <w:left w:val="nil"/>
              <w:bottom w:val="single" w:sz="12" w:space="0" w:color="008000"/>
              <w:right w:val="nil"/>
            </w:tcBorders>
            <w:shd w:val="clear" w:color="000000" w:fill="FFFFFF"/>
            <w:vAlign w:val="center"/>
            <w:hideMark/>
          </w:tcPr>
          <w:p w14:paraId="60658EF7"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20</w:t>
            </w:r>
          </w:p>
        </w:tc>
        <w:tc>
          <w:tcPr>
            <w:tcW w:w="997" w:type="dxa"/>
            <w:tcBorders>
              <w:top w:val="nil"/>
              <w:left w:val="nil"/>
              <w:bottom w:val="single" w:sz="12" w:space="0" w:color="008000"/>
              <w:right w:val="nil"/>
            </w:tcBorders>
            <w:shd w:val="clear" w:color="000000" w:fill="FFFFFF"/>
            <w:vAlign w:val="center"/>
            <w:hideMark/>
          </w:tcPr>
          <w:p w14:paraId="332A88A0"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897" w:type="dxa"/>
            <w:tcBorders>
              <w:top w:val="nil"/>
              <w:left w:val="nil"/>
              <w:bottom w:val="single" w:sz="12" w:space="0" w:color="008000"/>
              <w:right w:val="nil"/>
            </w:tcBorders>
            <w:shd w:val="clear" w:color="000000" w:fill="FFFFFF"/>
            <w:vAlign w:val="center"/>
            <w:hideMark/>
          </w:tcPr>
          <w:p w14:paraId="01C83560"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20</w:t>
            </w:r>
          </w:p>
        </w:tc>
        <w:tc>
          <w:tcPr>
            <w:tcW w:w="997" w:type="dxa"/>
            <w:tcBorders>
              <w:top w:val="nil"/>
              <w:left w:val="nil"/>
              <w:bottom w:val="single" w:sz="12" w:space="0" w:color="008000"/>
              <w:right w:val="nil"/>
            </w:tcBorders>
            <w:shd w:val="clear" w:color="000000" w:fill="FFFFFF"/>
            <w:vAlign w:val="center"/>
            <w:hideMark/>
          </w:tcPr>
          <w:p w14:paraId="78B44FC8"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logsig</w:t>
            </w:r>
          </w:p>
        </w:tc>
        <w:tc>
          <w:tcPr>
            <w:tcW w:w="1240" w:type="dxa"/>
            <w:tcBorders>
              <w:top w:val="nil"/>
              <w:left w:val="nil"/>
              <w:bottom w:val="single" w:sz="12" w:space="0" w:color="008000"/>
              <w:right w:val="nil"/>
            </w:tcBorders>
            <w:shd w:val="clear" w:color="000000" w:fill="FFFFFF"/>
            <w:vAlign w:val="center"/>
            <w:hideMark/>
          </w:tcPr>
          <w:p w14:paraId="3865966F"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trainlm</w:t>
            </w:r>
          </w:p>
        </w:tc>
        <w:tc>
          <w:tcPr>
            <w:tcW w:w="860" w:type="dxa"/>
            <w:tcBorders>
              <w:top w:val="nil"/>
              <w:left w:val="nil"/>
              <w:bottom w:val="single" w:sz="12" w:space="0" w:color="008000"/>
              <w:right w:val="nil"/>
            </w:tcBorders>
            <w:shd w:val="clear" w:color="000000" w:fill="FFFFFF"/>
            <w:vAlign w:val="center"/>
            <w:hideMark/>
          </w:tcPr>
          <w:p w14:paraId="2C48E496"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87.97</w:t>
            </w:r>
          </w:p>
        </w:tc>
        <w:tc>
          <w:tcPr>
            <w:tcW w:w="949" w:type="dxa"/>
            <w:tcBorders>
              <w:top w:val="nil"/>
              <w:left w:val="nil"/>
              <w:bottom w:val="single" w:sz="12" w:space="0" w:color="008000"/>
              <w:right w:val="nil"/>
            </w:tcBorders>
            <w:shd w:val="clear" w:color="000000" w:fill="FFFFFF"/>
            <w:vAlign w:val="center"/>
            <w:hideMark/>
          </w:tcPr>
          <w:p w14:paraId="0376142E" w14:textId="77777777" w:rsidR="00582931" w:rsidRPr="00A674A4" w:rsidRDefault="00582931" w:rsidP="003D5160">
            <w:pPr>
              <w:tabs>
                <w:tab w:val="clear" w:pos="7100"/>
              </w:tabs>
              <w:spacing w:line="240" w:lineRule="auto"/>
              <w:jc w:val="center"/>
              <w:rPr>
                <w:rFonts w:cs="Arial"/>
                <w:color w:val="000000"/>
                <w:szCs w:val="18"/>
                <w:lang w:val="en-US"/>
              </w:rPr>
            </w:pPr>
            <w:r w:rsidRPr="00A674A4">
              <w:rPr>
                <w:rFonts w:cs="Arial"/>
                <w:color w:val="000000"/>
                <w:szCs w:val="18"/>
                <w:lang w:val="en-US"/>
              </w:rPr>
              <w:t>3.00E-02</w:t>
            </w:r>
          </w:p>
        </w:tc>
      </w:tr>
    </w:tbl>
    <w:p w14:paraId="29CEB407" w14:textId="77777777" w:rsidR="00582931" w:rsidRDefault="00582931" w:rsidP="00582931">
      <w:pPr>
        <w:pStyle w:val="CETBodytext"/>
        <w:rPr>
          <w:lang w:val="en-GB"/>
        </w:rPr>
      </w:pPr>
    </w:p>
    <w:p w14:paraId="342320D5" w14:textId="206E029C" w:rsidR="00AC29F3" w:rsidRDefault="00582931" w:rsidP="00582931">
      <w:pPr>
        <w:pStyle w:val="CETBodytext"/>
        <w:rPr>
          <w:lang w:val="en-GB"/>
        </w:rPr>
      </w:pPr>
      <w:r>
        <w:rPr>
          <w:lang w:val="en-GB"/>
        </w:rPr>
        <w:t xml:space="preserve">In this model, as in the previous case, the use of a large number of neurons in the hidden layers did not provide an improvement in the R. The use of the second hidden layer was efficient in order to obtain a lower RMSE. However, is observed a diminution in the R value. Figure 3 presents the coefficient of correlation for the topology ANN1, best suited to the problem, as well as the behaviour of the predicted response with respect to the experimental response. This topology presented 6 neurons in the hidden layer. The activation function used was </w:t>
      </w:r>
      <w:r w:rsidRPr="006B70B6">
        <w:rPr>
          <w:i/>
          <w:lang w:val="en-GB"/>
        </w:rPr>
        <w:t>tansig</w:t>
      </w:r>
      <w:r>
        <w:rPr>
          <w:lang w:val="en-GB"/>
        </w:rPr>
        <w:t xml:space="preserve"> and the training algorithm used was </w:t>
      </w:r>
      <w:r w:rsidRPr="006B70B6">
        <w:rPr>
          <w:i/>
          <w:lang w:val="en-GB"/>
        </w:rPr>
        <w:t>trainlm</w:t>
      </w:r>
      <w:r>
        <w:rPr>
          <w:lang w:val="en-GB"/>
        </w:rPr>
        <w:t>. This model presents R equal to 94.20% and RMSE of</w:t>
      </w:r>
      <w:r w:rsidR="003D7D72">
        <w:rPr>
          <w:lang w:val="en-GB"/>
        </w:rPr>
        <w:t xml:space="preserve"> </w:t>
      </w:r>
      <w:r>
        <w:rPr>
          <w:lang w:val="en-GB"/>
        </w:rPr>
        <w:lastRenderedPageBreak/>
        <w:t>3.39x10</w:t>
      </w:r>
      <w:r w:rsidRPr="006B70B6">
        <w:rPr>
          <w:vertAlign w:val="superscript"/>
          <w:lang w:val="en-GB"/>
        </w:rPr>
        <w:t>-2</w:t>
      </w:r>
      <w:r>
        <w:rPr>
          <w:lang w:val="en-GB"/>
        </w:rPr>
        <w:t>.</w:t>
      </w:r>
      <w:r w:rsidR="00104C15">
        <w:rPr>
          <w:noProof/>
          <w:lang w:val="pt-BR" w:eastAsia="pt-BR"/>
        </w:rPr>
        <w:drawing>
          <wp:inline distT="0" distB="0" distL="0" distR="0" wp14:anchorId="6FC06CD5" wp14:editId="441C21E3">
            <wp:extent cx="5579745" cy="21894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e1_Elman.png"/>
                    <pic:cNvPicPr/>
                  </pic:nvPicPr>
                  <pic:blipFill>
                    <a:blip r:embed="rId12">
                      <a:extLst>
                        <a:ext uri="{28A0092B-C50C-407E-A947-70E740481C1C}">
                          <a14:useLocalDpi xmlns:a14="http://schemas.microsoft.com/office/drawing/2010/main" val="0"/>
                        </a:ext>
                      </a:extLst>
                    </a:blip>
                    <a:stretch>
                      <a:fillRect/>
                    </a:stretch>
                  </pic:blipFill>
                  <pic:spPr>
                    <a:xfrm>
                      <a:off x="0" y="0"/>
                      <a:ext cx="5579745" cy="2189480"/>
                    </a:xfrm>
                    <a:prstGeom prst="rect">
                      <a:avLst/>
                    </a:prstGeom>
                  </pic:spPr>
                </pic:pic>
              </a:graphicData>
            </a:graphic>
          </wp:inline>
        </w:drawing>
      </w:r>
    </w:p>
    <w:p w14:paraId="42AF6A03" w14:textId="42C62ED1" w:rsidR="001E116B" w:rsidRDefault="00582931" w:rsidP="001E116B">
      <w:pPr>
        <w:pStyle w:val="CETBodytext"/>
        <w:rPr>
          <w:i/>
          <w:lang w:val="en-GB"/>
        </w:rPr>
      </w:pPr>
      <w:r w:rsidRPr="001E116B">
        <w:rPr>
          <w:i/>
          <w:lang w:val="en-GB"/>
        </w:rPr>
        <w:t>Figure 3. Regression diagram for the Elman ANN1 test step (a) and representation of the behaviour of the predicted data in relation to the experimental data of each sample (b)</w:t>
      </w:r>
    </w:p>
    <w:p w14:paraId="47FED301" w14:textId="46627BBA" w:rsidR="00082848" w:rsidRDefault="00082848" w:rsidP="001E116B">
      <w:pPr>
        <w:pStyle w:val="CETBodytext"/>
        <w:rPr>
          <w:i/>
          <w:lang w:val="en-GB"/>
        </w:rPr>
      </w:pPr>
    </w:p>
    <w:p w14:paraId="2769DF50" w14:textId="6C33261A" w:rsidR="00E71DFA" w:rsidRPr="00014A45" w:rsidRDefault="00DB6906" w:rsidP="00E71DFA">
      <w:pPr>
        <w:pStyle w:val="Pr-formataoHTML"/>
        <w:shd w:val="clear" w:color="auto" w:fill="FFFFFF"/>
        <w:rPr>
          <w:rFonts w:ascii="Arial" w:hAnsi="Arial" w:cs="Times New Roman"/>
        </w:rPr>
      </w:pPr>
      <w:r w:rsidRPr="00014A45">
        <w:rPr>
          <w:rFonts w:ascii="Arial" w:hAnsi="Arial" w:cs="Times New Roman"/>
        </w:rPr>
        <w:t xml:space="preserve">In the Feedforward and Elman ANN </w:t>
      </w:r>
      <w:r w:rsidR="00353D7E" w:rsidRPr="00014A45">
        <w:rPr>
          <w:rFonts w:ascii="Arial" w:hAnsi="Arial" w:cs="Times New Roman"/>
        </w:rPr>
        <w:t xml:space="preserve">models, </w:t>
      </w:r>
      <w:r w:rsidR="00335BD3" w:rsidRPr="00014A45">
        <w:rPr>
          <w:rFonts w:ascii="Arial" w:hAnsi="Arial" w:cs="Times New Roman"/>
        </w:rPr>
        <w:t xml:space="preserve">the prediction </w:t>
      </w:r>
      <w:r w:rsidR="00C35624" w:rsidRPr="00014A45">
        <w:rPr>
          <w:rFonts w:ascii="Arial" w:hAnsi="Arial" w:cs="Times New Roman"/>
        </w:rPr>
        <w:t>behaviours</w:t>
      </w:r>
      <w:r w:rsidR="00162299" w:rsidRPr="00014A45">
        <w:rPr>
          <w:rFonts w:ascii="Arial" w:hAnsi="Arial" w:cs="Times New Roman"/>
        </w:rPr>
        <w:t xml:space="preserve"> seen in Figure 2(b) and Figure 3(b) did not show a good correlation with the experimental data. However, </w:t>
      </w:r>
      <w:r w:rsidR="00E71DFA" w:rsidRPr="00014A45">
        <w:rPr>
          <w:rFonts w:ascii="Arial" w:hAnsi="Arial" w:cs="Times New Roman"/>
        </w:rPr>
        <w:t>the trend of observed experimental behavio</w:t>
      </w:r>
      <w:r w:rsidR="00AC4540" w:rsidRPr="00014A45">
        <w:rPr>
          <w:rFonts w:ascii="Arial" w:hAnsi="Arial" w:cs="Times New Roman"/>
        </w:rPr>
        <w:t>u</w:t>
      </w:r>
      <w:r w:rsidR="00E71DFA" w:rsidRPr="00014A45">
        <w:rPr>
          <w:rFonts w:ascii="Arial" w:hAnsi="Arial" w:cs="Times New Roman"/>
        </w:rPr>
        <w:t>r was followed and, in a process with a big data scenario, these results are satisfactory.</w:t>
      </w:r>
    </w:p>
    <w:p w14:paraId="10E2E8C5" w14:textId="77777777" w:rsidR="008B10CE" w:rsidRPr="00AC4540" w:rsidRDefault="008B10CE" w:rsidP="00911BA7">
      <w:pPr>
        <w:pStyle w:val="CETBodytext"/>
        <w:rPr>
          <w:i/>
        </w:rPr>
      </w:pPr>
    </w:p>
    <w:p w14:paraId="5DA7D6D8" w14:textId="21CB575A" w:rsidR="00911BA7" w:rsidRDefault="00F34FE0" w:rsidP="00911BA7">
      <w:pPr>
        <w:pStyle w:val="CETBodytext"/>
        <w:rPr>
          <w:lang w:val="en-GB"/>
        </w:rPr>
      </w:pPr>
      <w:r w:rsidRPr="001E116B">
        <w:rPr>
          <w:lang w:val="en-GB"/>
        </w:rPr>
        <w:t>As well as the ANN models, the ANFIS model also concerned the prediction of polystyrene density behaviour. Figure 4 shows the coefficient of correlation for this model and the behaviour of the predicted response with respect to the experimental response.</w:t>
      </w:r>
      <w:r w:rsidR="00911BA7">
        <w:rPr>
          <w:lang w:val="en-GB"/>
        </w:rPr>
        <w:t xml:space="preserve"> In this model, the Gaussian curve membership function with 4 rules</w:t>
      </w:r>
      <w:r w:rsidR="00862149">
        <w:rPr>
          <w:lang w:val="en-GB"/>
        </w:rPr>
        <w:t xml:space="preserve"> was obtained (the logical operation is </w:t>
      </w:r>
      <w:r w:rsidR="00862149" w:rsidRPr="00862149">
        <w:rPr>
          <w:i/>
          <w:lang w:val="en-GB"/>
        </w:rPr>
        <w:t>and</w:t>
      </w:r>
      <w:r w:rsidR="00862149">
        <w:rPr>
          <w:lang w:val="en-GB"/>
        </w:rPr>
        <w:t>)</w:t>
      </w:r>
      <w:r w:rsidR="00911BA7">
        <w:rPr>
          <w:lang w:val="en-GB"/>
        </w:rPr>
        <w:t>, presenting R equal to 91.03% and RMSE of 0.2123.</w:t>
      </w:r>
      <w:r w:rsidR="00862149">
        <w:rPr>
          <w:lang w:val="en-GB"/>
        </w:rPr>
        <w:t xml:space="preserve"> </w:t>
      </w:r>
    </w:p>
    <w:p w14:paraId="0AEA02AD" w14:textId="77777777" w:rsidR="00104C15" w:rsidRPr="001E116B" w:rsidRDefault="00104C15" w:rsidP="00911BA7">
      <w:pPr>
        <w:pStyle w:val="CETBodytext"/>
        <w:rPr>
          <w:lang w:val="en-GB"/>
        </w:rPr>
      </w:pPr>
    </w:p>
    <w:p w14:paraId="4E755108" w14:textId="77777777" w:rsidR="00582931" w:rsidRPr="001E116B" w:rsidRDefault="00104C15" w:rsidP="001E116B">
      <w:pPr>
        <w:pStyle w:val="CETBodytext"/>
        <w:rPr>
          <w:lang w:val="en-GB"/>
        </w:rPr>
      </w:pPr>
      <w:r>
        <w:rPr>
          <w:noProof/>
          <w:lang w:val="pt-BR" w:eastAsia="pt-BR"/>
        </w:rPr>
        <w:drawing>
          <wp:inline distT="0" distB="0" distL="0" distR="0" wp14:anchorId="064CDAB5" wp14:editId="4D6F120B">
            <wp:extent cx="5579745" cy="234251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F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9745" cy="2342515"/>
                    </a:xfrm>
                    <a:prstGeom prst="rect">
                      <a:avLst/>
                    </a:prstGeom>
                  </pic:spPr>
                </pic:pic>
              </a:graphicData>
            </a:graphic>
          </wp:inline>
        </w:drawing>
      </w:r>
    </w:p>
    <w:p w14:paraId="05B283DD" w14:textId="3891E6C8" w:rsidR="00EC11A1" w:rsidRDefault="00AC29F3" w:rsidP="00EC11A1">
      <w:pPr>
        <w:pStyle w:val="CETAcknowledgementstitle"/>
        <w:rPr>
          <w:b w:val="0"/>
          <w:i/>
        </w:rPr>
      </w:pPr>
      <w:r w:rsidRPr="001E116B">
        <w:rPr>
          <w:b w:val="0"/>
          <w:i/>
        </w:rPr>
        <w:t>Figure 4. Regression diagram for the ANFIS model test step (a) and representation of the behaviour of the predicted data in relation to the experimental data of each sample (b)</w:t>
      </w:r>
    </w:p>
    <w:p w14:paraId="7A2C14C2" w14:textId="4EABAC70" w:rsidR="00F01C6D" w:rsidRPr="00014A45" w:rsidRDefault="002B4A9B" w:rsidP="00FE5358">
      <w:pPr>
        <w:pStyle w:val="Pr-formataoHTML"/>
        <w:shd w:val="clear" w:color="auto" w:fill="FFFFFF"/>
        <w:rPr>
          <w:rFonts w:ascii="Arial" w:hAnsi="Arial" w:cs="Times New Roman"/>
        </w:rPr>
      </w:pPr>
      <w:r w:rsidRPr="00014A45">
        <w:rPr>
          <w:rFonts w:ascii="Arial" w:hAnsi="Arial" w:cs="Times New Roman"/>
        </w:rPr>
        <w:t xml:space="preserve">It is important to emphasize that the ANFIS model presented a distinct dynamic of the neural models. While the </w:t>
      </w:r>
      <w:r w:rsidR="00FE5358" w:rsidRPr="00014A45">
        <w:rPr>
          <w:rFonts w:ascii="Arial" w:hAnsi="Arial" w:cs="Times New Roman"/>
        </w:rPr>
        <w:t>ANN</w:t>
      </w:r>
      <w:r w:rsidRPr="00014A45">
        <w:rPr>
          <w:rFonts w:ascii="Arial" w:hAnsi="Arial" w:cs="Times New Roman"/>
        </w:rPr>
        <w:t xml:space="preserve"> models best fit the data at the upper end of the curve, the ANFIS model presents better fit in the inflection region of the experimental curve.</w:t>
      </w:r>
    </w:p>
    <w:p w14:paraId="2C79749A" w14:textId="417F4262" w:rsidR="00862149" w:rsidRDefault="00862149" w:rsidP="00170CA3">
      <w:pPr>
        <w:pStyle w:val="CETAcknowledgementstitle"/>
        <w:jc w:val="both"/>
        <w:rPr>
          <w:b w:val="0"/>
        </w:rPr>
      </w:pPr>
      <w:r w:rsidRPr="00EC11A1">
        <w:rPr>
          <w:b w:val="0"/>
        </w:rPr>
        <w:t>Figure 5 presents the best topologies used in all studied models.</w:t>
      </w:r>
      <w:r w:rsidR="00170CA3">
        <w:rPr>
          <w:b w:val="0"/>
        </w:rPr>
        <w:t xml:space="preserve"> Figure 5(a), 5(b) and 5(c) represent the best topologies to Feedforward ANN, Elman ANN and ANFIS model, respectively. </w:t>
      </w:r>
    </w:p>
    <w:p w14:paraId="14371F73" w14:textId="5B3FAD10" w:rsidR="00EF395D" w:rsidRDefault="00976502" w:rsidP="00976502">
      <w:pPr>
        <w:pStyle w:val="CETBodytext"/>
        <w:jc w:val="center"/>
        <w:rPr>
          <w:i/>
        </w:rPr>
      </w:pPr>
      <w:r>
        <w:rPr>
          <w:i/>
          <w:noProof/>
          <w:lang w:val="pt-BR" w:eastAsia="pt-BR"/>
        </w:rPr>
        <w:lastRenderedPageBreak/>
        <w:drawing>
          <wp:inline distT="0" distB="0" distL="0" distR="0" wp14:anchorId="1AB9E472" wp14:editId="380ACF1E">
            <wp:extent cx="5548303" cy="1905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ologi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0662" cy="1919544"/>
                    </a:xfrm>
                    <a:prstGeom prst="rect">
                      <a:avLst/>
                    </a:prstGeom>
                  </pic:spPr>
                </pic:pic>
              </a:graphicData>
            </a:graphic>
          </wp:inline>
        </w:drawing>
      </w:r>
    </w:p>
    <w:p w14:paraId="21BE375A" w14:textId="77777777" w:rsidR="00EF395D" w:rsidRDefault="00EF395D" w:rsidP="00170CA3">
      <w:pPr>
        <w:pStyle w:val="CETBodytext"/>
        <w:rPr>
          <w:i/>
        </w:rPr>
      </w:pPr>
    </w:p>
    <w:p w14:paraId="195E307E" w14:textId="4A2274C1" w:rsidR="00170CA3" w:rsidRPr="00170CA3" w:rsidRDefault="00170CA3" w:rsidP="00170CA3">
      <w:pPr>
        <w:pStyle w:val="CETBodytext"/>
        <w:rPr>
          <w:lang w:val="en-GB"/>
        </w:rPr>
      </w:pPr>
      <w:r w:rsidRPr="001E116B">
        <w:rPr>
          <w:i/>
        </w:rPr>
        <w:t xml:space="preserve">Figure </w:t>
      </w:r>
      <w:r>
        <w:rPr>
          <w:i/>
        </w:rPr>
        <w:t>5</w:t>
      </w:r>
      <w:r w:rsidRPr="001E116B">
        <w:rPr>
          <w:i/>
        </w:rPr>
        <w:t xml:space="preserve">. </w:t>
      </w:r>
      <w:r>
        <w:rPr>
          <w:i/>
        </w:rPr>
        <w:t xml:space="preserve">Best topologies to Feedforward ANN (a), Elman ANN (b) and ANFIS model (c). </w:t>
      </w:r>
    </w:p>
    <w:p w14:paraId="762CB1DA" w14:textId="14244856" w:rsidR="001C468E" w:rsidRPr="002621F0" w:rsidRDefault="00911BA7" w:rsidP="002621F0">
      <w:pPr>
        <w:pStyle w:val="CET-table-title"/>
        <w:jc w:val="both"/>
      </w:pPr>
      <w:r w:rsidRPr="00862149">
        <w:rPr>
          <w:i w:val="0"/>
          <w:lang w:val="en-GB"/>
        </w:rPr>
        <w:t>Few studies report the use of ANN as a tool for the construction of prediction models in the polym</w:t>
      </w:r>
      <w:r w:rsidR="00854810">
        <w:rPr>
          <w:i w:val="0"/>
          <w:lang w:val="en-GB"/>
        </w:rPr>
        <w:t>er industry. In Altarazi et al.</w:t>
      </w:r>
      <w:r w:rsidRPr="00862149">
        <w:rPr>
          <w:i w:val="0"/>
          <w:lang w:val="en-GB"/>
        </w:rPr>
        <w:t xml:space="preserve"> </w:t>
      </w:r>
      <w:r w:rsidR="00854810">
        <w:rPr>
          <w:i w:val="0"/>
          <w:lang w:val="en-GB"/>
        </w:rPr>
        <w:t>(</w:t>
      </w:r>
      <w:r w:rsidRPr="00862149">
        <w:rPr>
          <w:i w:val="0"/>
          <w:lang w:val="en-GB"/>
        </w:rPr>
        <w:t>2018</w:t>
      </w:r>
      <w:r w:rsidR="00854810">
        <w:rPr>
          <w:i w:val="0"/>
          <w:lang w:val="en-GB"/>
        </w:rPr>
        <w:t>)</w:t>
      </w:r>
      <w:r w:rsidRPr="00862149">
        <w:rPr>
          <w:i w:val="0"/>
          <w:lang w:val="en-GB"/>
        </w:rPr>
        <w:t xml:space="preserve">, Feedfoward ANN was used to predict and optimize three properties (tensile strength, ductility and density) of PVC </w:t>
      </w:r>
      <w:r w:rsidRPr="00014A45">
        <w:rPr>
          <w:i w:val="0"/>
          <w:lang w:val="en-GB"/>
        </w:rPr>
        <w:t>composites</w:t>
      </w:r>
      <w:r w:rsidR="00361A10">
        <w:rPr>
          <w:i w:val="0"/>
          <w:lang w:val="en-GB"/>
        </w:rPr>
        <w:t>.</w:t>
      </w:r>
      <w:r w:rsidR="002621F0" w:rsidRPr="00014A45">
        <w:t xml:space="preserve"> </w:t>
      </w:r>
      <w:r w:rsidR="002621F0" w:rsidRPr="00014A45">
        <w:rPr>
          <w:i w:val="0"/>
          <w:lang w:val="en-GB"/>
        </w:rPr>
        <w:t>There are no reports of work on the use of Elman ANN and ANFIS as tools to model the behaviour of polystyrene density. Studies in this area are relevant, since the developed models allow the prediction of the final properties of the polymers. With models, it is possible to construct response surfaces from which optimal conditions can be inferred to achieve higher yield and product quality.</w:t>
      </w:r>
    </w:p>
    <w:p w14:paraId="2BAFFCE5" w14:textId="77777777" w:rsidR="001C468E" w:rsidRPr="00B57B36" w:rsidRDefault="001C468E" w:rsidP="001C468E">
      <w:pPr>
        <w:pStyle w:val="CETHeading1"/>
        <w:rPr>
          <w:lang w:val="en-GB"/>
        </w:rPr>
      </w:pPr>
      <w:r>
        <w:rPr>
          <w:lang w:val="en-GB"/>
        </w:rPr>
        <w:t>Conclusions</w:t>
      </w:r>
    </w:p>
    <w:p w14:paraId="37FF9445" w14:textId="6E8DBCAE" w:rsidR="001C468E" w:rsidRPr="00BD1F2A" w:rsidRDefault="001C468E" w:rsidP="00911BA7">
      <w:pPr>
        <w:pStyle w:val="CETBodytext"/>
      </w:pPr>
      <w:r w:rsidRPr="00014A45">
        <w:t>The ANN and ANFIS models presented good prediction efficiency with RMSE values</w:t>
      </w:r>
      <w:r w:rsidR="00FF4B61" w:rsidRPr="00014A45">
        <w:t xml:space="preserve"> close to 0</w:t>
      </w:r>
      <w:r w:rsidRPr="00014A45">
        <w:t xml:space="preserve"> and R values close to 1. </w:t>
      </w:r>
      <w:r w:rsidRPr="00014A45">
        <w:rPr>
          <w:lang w:val="en-GB"/>
        </w:rPr>
        <w:t>The Feedforward ANN for polystyrene density behaviour prediction had a better performance when compared with the others</w:t>
      </w:r>
      <w:r w:rsidR="008D47E2" w:rsidRPr="00014A45">
        <w:rPr>
          <w:lang w:val="en-GB"/>
        </w:rPr>
        <w:t>.</w:t>
      </w:r>
      <w:r w:rsidR="00854810" w:rsidRPr="00014A45">
        <w:rPr>
          <w:lang w:val="en-GB"/>
        </w:rPr>
        <w:t xml:space="preserve"> </w:t>
      </w:r>
      <w:r w:rsidR="00B816D6" w:rsidRPr="00014A45">
        <w:t>The model developed with Feedforward ANN presented two intermediate layers, while the model developed with Elman ANN presented satisfactory using only one intermediate layer. However, even with distinct topologies, these models showed trends of predictions very similar with R of 94.2%. The ANFIS model, on the other hand, was not shown to be the most suitable for predicting the polystyrene density in the process, presenting R of 91%.</w:t>
      </w:r>
      <w:r w:rsidR="008D47E2" w:rsidRPr="00014A45">
        <w:t xml:space="preserve"> </w:t>
      </w:r>
      <w:r w:rsidR="00BD1F2A" w:rsidRPr="00014A45">
        <w:t>It is imp</w:t>
      </w:r>
      <w:r w:rsidR="00BD1F2A" w:rsidRPr="00B816D6">
        <w:t xml:space="preserve">ortant to note that the polystyrene density is a value that corrects itself ahead throughout the time. </w:t>
      </w:r>
      <w:r w:rsidR="00BD1F2A" w:rsidRPr="00BD1F2A">
        <w:t xml:space="preserve">Thus, it is recommended to use time series to predict this variable, as well as </w:t>
      </w:r>
      <w:r w:rsidR="00BD1F2A">
        <w:t>to</w:t>
      </w:r>
      <w:r w:rsidR="00BD1F2A" w:rsidRPr="00BD1F2A">
        <w:t xml:space="preserve"> use a more appropriate </w:t>
      </w:r>
      <w:r w:rsidR="00BD1F2A">
        <w:t>ANN type</w:t>
      </w:r>
      <w:r w:rsidR="00BD1F2A" w:rsidRPr="00BD1F2A">
        <w:t xml:space="preserve">, such as the NARX </w:t>
      </w:r>
      <w:r w:rsidR="00BD1F2A">
        <w:t>ANN</w:t>
      </w:r>
      <w:r w:rsidR="00BD1F2A" w:rsidRPr="00BD1F2A">
        <w:t>.</w:t>
      </w:r>
    </w:p>
    <w:p w14:paraId="62E7FBA6" w14:textId="77777777" w:rsidR="00600535" w:rsidRPr="00B57B36" w:rsidRDefault="00600535" w:rsidP="00600535">
      <w:pPr>
        <w:pStyle w:val="CETAcknowledgementstitle"/>
      </w:pPr>
      <w:r w:rsidRPr="00B57B36">
        <w:t>Acknowledgments</w:t>
      </w:r>
    </w:p>
    <w:p w14:paraId="78ADEE50" w14:textId="7B9EBE39" w:rsidR="008D47E2" w:rsidRPr="008D47E2" w:rsidRDefault="008D47E2" w:rsidP="008D47E2">
      <w:pPr>
        <w:pStyle w:val="CETBodytext"/>
        <w:rPr>
          <w:lang w:val="en-GB"/>
        </w:rPr>
      </w:pPr>
      <w:r w:rsidRPr="008D47E2">
        <w:rPr>
          <w:lang w:val="en-GB"/>
        </w:rPr>
        <w:t xml:space="preserve">The authors would like </w:t>
      </w:r>
      <w:r w:rsidR="004F31D1" w:rsidRPr="008D47E2">
        <w:rPr>
          <w:lang w:val="en-GB"/>
        </w:rPr>
        <w:t>to acknowledge</w:t>
      </w:r>
      <w:r w:rsidRPr="008D47E2">
        <w:rPr>
          <w:lang w:val="en-GB"/>
        </w:rPr>
        <w:t xml:space="preserve"> the</w:t>
      </w:r>
      <w:r>
        <w:rPr>
          <w:lang w:val="en-GB"/>
        </w:rPr>
        <w:t xml:space="preserve"> </w:t>
      </w:r>
      <w:r w:rsidRPr="008D47E2">
        <w:rPr>
          <w:lang w:val="en-GB"/>
        </w:rPr>
        <w:t>financial support of</w:t>
      </w:r>
      <w:r>
        <w:rPr>
          <w:lang w:val="en-GB"/>
        </w:rPr>
        <w:t xml:space="preserve"> </w:t>
      </w:r>
      <w:r w:rsidRPr="008D47E2">
        <w:rPr>
          <w:lang w:val="en-GB"/>
        </w:rPr>
        <w:t>Coordination for the Improvement of Higher Education Personnel</w:t>
      </w:r>
      <w:r w:rsidR="00BD1F2A">
        <w:rPr>
          <w:lang w:val="en-GB"/>
        </w:rPr>
        <w:t xml:space="preserve"> </w:t>
      </w:r>
      <w:r w:rsidRPr="008D47E2">
        <w:rPr>
          <w:lang w:val="en-GB"/>
        </w:rPr>
        <w:t>(CAPES</w:t>
      </w:r>
      <w:r w:rsidR="00BD1F2A">
        <w:rPr>
          <w:lang w:val="en-GB"/>
        </w:rPr>
        <w:t>).</w:t>
      </w:r>
    </w:p>
    <w:p w14:paraId="439C5931" w14:textId="77777777" w:rsidR="00600535" w:rsidRPr="00B57B36" w:rsidRDefault="00600535" w:rsidP="00600535">
      <w:pPr>
        <w:pStyle w:val="CETReference"/>
      </w:pPr>
      <w:r w:rsidRPr="00B57B36">
        <w:t>References</w:t>
      </w:r>
    </w:p>
    <w:p w14:paraId="60167674" w14:textId="77777777" w:rsidR="00B708D8" w:rsidRPr="00727196" w:rsidRDefault="00B708D8" w:rsidP="00B708D8">
      <w:pPr>
        <w:pStyle w:val="CETReferencetext"/>
        <w:rPr>
          <w:lang w:val="en-US"/>
        </w:rPr>
      </w:pPr>
      <w:r w:rsidRPr="00727196">
        <w:rPr>
          <w:lang w:val="en-US"/>
        </w:rPr>
        <w:t>Altarazi, S., Ammouri, M., Hijazi, A.,</w:t>
      </w:r>
      <w:r>
        <w:rPr>
          <w:lang w:val="en-US"/>
        </w:rPr>
        <w:t xml:space="preserve"> 2018,</w:t>
      </w:r>
      <w:r w:rsidRPr="00727196">
        <w:rPr>
          <w:lang w:val="en-US"/>
        </w:rPr>
        <w:t xml:space="preserve"> Artificial neural network modeling to evaluate polyvinylchloride composite’s properties, Computational Materials Science, 153, 1</w:t>
      </w:r>
      <w:r>
        <w:rPr>
          <w:lang w:val="en-US"/>
        </w:rPr>
        <w:t xml:space="preserve"> – 9.</w:t>
      </w:r>
    </w:p>
    <w:p w14:paraId="58CB2F2F" w14:textId="77777777" w:rsidR="006B4888" w:rsidRDefault="00B708D8" w:rsidP="006B4888">
      <w:pPr>
        <w:pStyle w:val="CETReferencetext"/>
      </w:pPr>
      <w:r>
        <w:t>Jumari, N. F., Mohd-Yusof, K., 2017, Comparison of Melt Flow Index of Propylene Polymerisation in Loop Reactors using First Principles and Artificial Neural Networks Models, Chemical Engineering Transactions, 56, 163 – 168.</w:t>
      </w:r>
    </w:p>
    <w:p w14:paraId="05DDFF43" w14:textId="77777777" w:rsidR="00C03DDA" w:rsidRDefault="00C03DDA" w:rsidP="006B4888">
      <w:pPr>
        <w:pStyle w:val="CETReferencetext"/>
      </w:pPr>
      <w:r>
        <w:t>Muhammad, D., Aziz, N., 2017, Review: Control Schemes for Low Density Polyethylene Reactor, Chemical Engineering Transactions, 56, 769 – 774.</w:t>
      </w:r>
    </w:p>
    <w:p w14:paraId="30965102" w14:textId="77777777" w:rsidR="00DF5A0E" w:rsidRDefault="00DF5A0E" w:rsidP="006B4888">
      <w:pPr>
        <w:pStyle w:val="CETReferencetext"/>
      </w:pPr>
      <w:r>
        <w:t xml:space="preserve">Persoons, R., Richard, J., Herve, C., Montlevier, S., Marques, M., Maitre, A., 2018, Biomonitoring of styrene occupational exposures: Biomarkers and determinants, </w:t>
      </w:r>
      <w:r w:rsidR="004E6C67">
        <w:t xml:space="preserve">Toxicology Letters, </w:t>
      </w:r>
      <w:r>
        <w:t>298, 99 – 105.</w:t>
      </w:r>
    </w:p>
    <w:p w14:paraId="11AE7EE3" w14:textId="77777777" w:rsidR="003D0743" w:rsidRPr="003D0743" w:rsidRDefault="003D0743" w:rsidP="006B4888">
      <w:pPr>
        <w:pStyle w:val="CETReferencetext"/>
        <w:rPr>
          <w:lang w:val="en-US"/>
        </w:rPr>
      </w:pPr>
      <w:r w:rsidRPr="003D0743">
        <w:rPr>
          <w:lang w:val="en-US"/>
        </w:rPr>
        <w:t xml:space="preserve">Sanahuja-Parejo, O., Veses, A., Navarro, M. V., López, J. M., Murillo, R., Callén, M. S., García, T., 2018, Drop-in biofuels from the co-pyrolysys of grape seeds and </w:t>
      </w:r>
      <w:r w:rsidRPr="00483FF8">
        <w:rPr>
          <w:lang w:val="en-US"/>
        </w:rPr>
        <w:t>polystyrene</w:t>
      </w:r>
      <w:r w:rsidRPr="003D0743">
        <w:rPr>
          <w:lang w:val="en-US"/>
        </w:rPr>
        <w:t xml:space="preserve">, Chemical Engineering Journal, </w:t>
      </w:r>
      <w:r>
        <w:rPr>
          <w:lang w:val="en-US"/>
        </w:rPr>
        <w:t>&lt;</w:t>
      </w:r>
      <w:r w:rsidRPr="003D0743">
        <w:rPr>
          <w:lang w:val="en-US"/>
        </w:rPr>
        <w:t>https://doi.org/10.1016/j.cej.2018.10.183</w:t>
      </w:r>
      <w:r>
        <w:rPr>
          <w:lang w:val="en-US"/>
        </w:rPr>
        <w:t>&gt;.</w:t>
      </w:r>
    </w:p>
    <w:p w14:paraId="6E46970A" w14:textId="77777777" w:rsidR="00C03DDA" w:rsidRPr="003D3389" w:rsidRDefault="00C03DDA" w:rsidP="00C03DDA">
      <w:pPr>
        <w:pStyle w:val="CETReference-text"/>
      </w:pPr>
      <w:r>
        <w:t>Santos, R. R. C.,</w:t>
      </w:r>
      <w:r w:rsidRPr="003D3389">
        <w:t xml:space="preserve"> Santos, B. F.</w:t>
      </w:r>
      <w:r>
        <w:t>,</w:t>
      </w:r>
      <w:r w:rsidRPr="003D3389">
        <w:t xml:space="preserve"> Fileti, A. M. F.</w:t>
      </w:r>
      <w:r>
        <w:t>,</w:t>
      </w:r>
      <w:r w:rsidRPr="003D3389">
        <w:t xml:space="preserve"> Silva, F. V.</w:t>
      </w:r>
      <w:r>
        <w:t>,</w:t>
      </w:r>
      <w:r w:rsidRPr="003D3389">
        <w:t xml:space="preserve"> Zemp, R. J.</w:t>
      </w:r>
      <w:r>
        <w:t>, 2013,</w:t>
      </w:r>
      <w:r w:rsidRPr="003D3389">
        <w:t xml:space="preserve"> Application of Artificial Neural Networks in an Experimental Batch Reactor of Styrene Polymerization for Predictive Model Development</w:t>
      </w:r>
      <w:r>
        <w:t>, Chemical Engineering Transactions, 32, 1399 – 1404.</w:t>
      </w:r>
    </w:p>
    <w:p w14:paraId="2A6769EB" w14:textId="16292CB1" w:rsidR="000174B2" w:rsidRPr="00DF5A0E" w:rsidRDefault="00DF5A0E" w:rsidP="000174B2">
      <w:pPr>
        <w:pStyle w:val="CETReferencetext"/>
        <w:rPr>
          <w:lang w:val="en-US"/>
        </w:rPr>
      </w:pPr>
      <w:r w:rsidRPr="00DF5A0E">
        <w:rPr>
          <w:lang w:val="en-US"/>
        </w:rPr>
        <w:t xml:space="preserve">Werder, E. J., Engel, L. S., Richardson, D. </w:t>
      </w:r>
      <w:r>
        <w:rPr>
          <w:lang w:val="en-US"/>
        </w:rPr>
        <w:t>B., Emch, M. E., Gerr, F. E., Kwok, R. K., Sandler, D. P., 2018, Environmental</w:t>
      </w:r>
      <w:r w:rsidR="004E6C67">
        <w:rPr>
          <w:lang w:val="en-US"/>
        </w:rPr>
        <w:t xml:space="preserve"> styrene exposure and neurologic symptoms in U.S. Gulf coast residents, Environment International, 121 Part 1, 480 – 490.</w:t>
      </w:r>
    </w:p>
    <w:sectPr w:rsidR="000174B2" w:rsidRPr="00DF5A0E"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FF5CE" w14:textId="77777777" w:rsidR="002A75FB" w:rsidRDefault="002A75FB" w:rsidP="004F5E36">
      <w:r>
        <w:separator/>
      </w:r>
    </w:p>
  </w:endnote>
  <w:endnote w:type="continuationSeparator" w:id="0">
    <w:p w14:paraId="7DF000E9" w14:textId="77777777" w:rsidR="002A75FB" w:rsidRDefault="002A75F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charset w:val="00"/>
    <w:family w:val="swiss"/>
    <w:pitch w:val="variable"/>
    <w:sig w:usb0="E1002EFF" w:usb1="C000605B" w:usb2="00000029" w:usb3="00000000" w:csb0="000101FF" w:csb1="00000000"/>
  </w:font>
  <w:font w:name="Consolas">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D82E8" w14:textId="77777777" w:rsidR="002A75FB" w:rsidRDefault="002A75FB" w:rsidP="004F5E36">
      <w:r>
        <w:separator/>
      </w:r>
    </w:p>
  </w:footnote>
  <w:footnote w:type="continuationSeparator" w:id="0">
    <w:p w14:paraId="59E3B1F7" w14:textId="77777777" w:rsidR="002A75FB" w:rsidRDefault="002A75FB"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17D"/>
    <w:rsid w:val="000027C0"/>
    <w:rsid w:val="000052FB"/>
    <w:rsid w:val="00010F40"/>
    <w:rsid w:val="000117CB"/>
    <w:rsid w:val="00014A45"/>
    <w:rsid w:val="000174B2"/>
    <w:rsid w:val="0003148D"/>
    <w:rsid w:val="0004501B"/>
    <w:rsid w:val="00047D7F"/>
    <w:rsid w:val="00051566"/>
    <w:rsid w:val="00062A9A"/>
    <w:rsid w:val="00065058"/>
    <w:rsid w:val="00082848"/>
    <w:rsid w:val="00086C39"/>
    <w:rsid w:val="00094934"/>
    <w:rsid w:val="000A03B2"/>
    <w:rsid w:val="000A3B79"/>
    <w:rsid w:val="000C4C34"/>
    <w:rsid w:val="000D34BE"/>
    <w:rsid w:val="000E102F"/>
    <w:rsid w:val="000E36F1"/>
    <w:rsid w:val="000E3A73"/>
    <w:rsid w:val="000E414A"/>
    <w:rsid w:val="000F093C"/>
    <w:rsid w:val="000F16BD"/>
    <w:rsid w:val="000F787B"/>
    <w:rsid w:val="00104C15"/>
    <w:rsid w:val="0012091F"/>
    <w:rsid w:val="00126BC2"/>
    <w:rsid w:val="001308B6"/>
    <w:rsid w:val="0013121F"/>
    <w:rsid w:val="00131FAB"/>
    <w:rsid w:val="00131FE6"/>
    <w:rsid w:val="0013263F"/>
    <w:rsid w:val="00134DE4"/>
    <w:rsid w:val="0014034D"/>
    <w:rsid w:val="00150E59"/>
    <w:rsid w:val="00152DE3"/>
    <w:rsid w:val="00162299"/>
    <w:rsid w:val="00162642"/>
    <w:rsid w:val="00164CF9"/>
    <w:rsid w:val="00170CA3"/>
    <w:rsid w:val="00176A64"/>
    <w:rsid w:val="00184AD6"/>
    <w:rsid w:val="001B0349"/>
    <w:rsid w:val="001B65C1"/>
    <w:rsid w:val="001C468E"/>
    <w:rsid w:val="001C684B"/>
    <w:rsid w:val="001C7B5F"/>
    <w:rsid w:val="001D53FC"/>
    <w:rsid w:val="001E116B"/>
    <w:rsid w:val="001F42A5"/>
    <w:rsid w:val="001F7B9D"/>
    <w:rsid w:val="002224B4"/>
    <w:rsid w:val="002447EF"/>
    <w:rsid w:val="00251550"/>
    <w:rsid w:val="00252C1A"/>
    <w:rsid w:val="002621F0"/>
    <w:rsid w:val="00263B05"/>
    <w:rsid w:val="002701FB"/>
    <w:rsid w:val="0027221A"/>
    <w:rsid w:val="00275B61"/>
    <w:rsid w:val="002807E2"/>
    <w:rsid w:val="00282656"/>
    <w:rsid w:val="00294160"/>
    <w:rsid w:val="00296B83"/>
    <w:rsid w:val="002A75FB"/>
    <w:rsid w:val="002B4A9B"/>
    <w:rsid w:val="002B78CE"/>
    <w:rsid w:val="002C2FB6"/>
    <w:rsid w:val="002D5BCD"/>
    <w:rsid w:val="002E58FB"/>
    <w:rsid w:val="002F078E"/>
    <w:rsid w:val="003009B7"/>
    <w:rsid w:val="00300E56"/>
    <w:rsid w:val="0030469C"/>
    <w:rsid w:val="00321CA6"/>
    <w:rsid w:val="00334C09"/>
    <w:rsid w:val="00335BD3"/>
    <w:rsid w:val="003365E3"/>
    <w:rsid w:val="00353497"/>
    <w:rsid w:val="00353D7E"/>
    <w:rsid w:val="00361A10"/>
    <w:rsid w:val="003723D4"/>
    <w:rsid w:val="00374396"/>
    <w:rsid w:val="00384CC8"/>
    <w:rsid w:val="003871FD"/>
    <w:rsid w:val="00394ADA"/>
    <w:rsid w:val="003A1E30"/>
    <w:rsid w:val="003A6607"/>
    <w:rsid w:val="003A7D1C"/>
    <w:rsid w:val="003B304B"/>
    <w:rsid w:val="003B3146"/>
    <w:rsid w:val="003B60F3"/>
    <w:rsid w:val="003D0743"/>
    <w:rsid w:val="003D7D72"/>
    <w:rsid w:val="003E2F3C"/>
    <w:rsid w:val="003E34CD"/>
    <w:rsid w:val="003F015E"/>
    <w:rsid w:val="00400414"/>
    <w:rsid w:val="0041446B"/>
    <w:rsid w:val="0044329C"/>
    <w:rsid w:val="004577FE"/>
    <w:rsid w:val="00457B9C"/>
    <w:rsid w:val="0046164A"/>
    <w:rsid w:val="004628D2"/>
    <w:rsid w:val="00462DCD"/>
    <w:rsid w:val="004648AD"/>
    <w:rsid w:val="004703A9"/>
    <w:rsid w:val="004760DE"/>
    <w:rsid w:val="00483FF8"/>
    <w:rsid w:val="004A004E"/>
    <w:rsid w:val="004A24CF"/>
    <w:rsid w:val="004B6721"/>
    <w:rsid w:val="004B7167"/>
    <w:rsid w:val="004C3D1D"/>
    <w:rsid w:val="004C7913"/>
    <w:rsid w:val="004D19D6"/>
    <w:rsid w:val="004E4DD6"/>
    <w:rsid w:val="004E6C67"/>
    <w:rsid w:val="004F31D1"/>
    <w:rsid w:val="004F5E36"/>
    <w:rsid w:val="00507B47"/>
    <w:rsid w:val="00507CC9"/>
    <w:rsid w:val="005119A5"/>
    <w:rsid w:val="00515284"/>
    <w:rsid w:val="005278B7"/>
    <w:rsid w:val="00532016"/>
    <w:rsid w:val="005346C8"/>
    <w:rsid w:val="00543E7D"/>
    <w:rsid w:val="00546B05"/>
    <w:rsid w:val="00547A68"/>
    <w:rsid w:val="005531C9"/>
    <w:rsid w:val="00582931"/>
    <w:rsid w:val="00584E54"/>
    <w:rsid w:val="005931C9"/>
    <w:rsid w:val="005A20D9"/>
    <w:rsid w:val="005A23DF"/>
    <w:rsid w:val="005B2110"/>
    <w:rsid w:val="005B2EB3"/>
    <w:rsid w:val="005B61E6"/>
    <w:rsid w:val="005C77E1"/>
    <w:rsid w:val="005D6A2F"/>
    <w:rsid w:val="005E1A82"/>
    <w:rsid w:val="005E4054"/>
    <w:rsid w:val="005E794C"/>
    <w:rsid w:val="005F0A28"/>
    <w:rsid w:val="005F0E5E"/>
    <w:rsid w:val="00600535"/>
    <w:rsid w:val="00610CD6"/>
    <w:rsid w:val="00620DEE"/>
    <w:rsid w:val="00621F92"/>
    <w:rsid w:val="00625639"/>
    <w:rsid w:val="00631B33"/>
    <w:rsid w:val="0064184D"/>
    <w:rsid w:val="006422CC"/>
    <w:rsid w:val="00655B18"/>
    <w:rsid w:val="00660E3E"/>
    <w:rsid w:val="00662E74"/>
    <w:rsid w:val="00680C23"/>
    <w:rsid w:val="006849E8"/>
    <w:rsid w:val="00693766"/>
    <w:rsid w:val="006961D6"/>
    <w:rsid w:val="006A3281"/>
    <w:rsid w:val="006B4888"/>
    <w:rsid w:val="006C2E45"/>
    <w:rsid w:val="006C359C"/>
    <w:rsid w:val="006C5579"/>
    <w:rsid w:val="006E737D"/>
    <w:rsid w:val="006F0EEA"/>
    <w:rsid w:val="0070195D"/>
    <w:rsid w:val="00720A24"/>
    <w:rsid w:val="00727196"/>
    <w:rsid w:val="00732386"/>
    <w:rsid w:val="007447F3"/>
    <w:rsid w:val="0075499F"/>
    <w:rsid w:val="007661C8"/>
    <w:rsid w:val="0077098D"/>
    <w:rsid w:val="007757BB"/>
    <w:rsid w:val="00781D92"/>
    <w:rsid w:val="007931FA"/>
    <w:rsid w:val="007A7BBA"/>
    <w:rsid w:val="007B0C50"/>
    <w:rsid w:val="007C1A43"/>
    <w:rsid w:val="007E1DC6"/>
    <w:rsid w:val="007F2AF4"/>
    <w:rsid w:val="00813288"/>
    <w:rsid w:val="008168FC"/>
    <w:rsid w:val="00830996"/>
    <w:rsid w:val="008345F1"/>
    <w:rsid w:val="0084466F"/>
    <w:rsid w:val="00854810"/>
    <w:rsid w:val="00862149"/>
    <w:rsid w:val="00865B07"/>
    <w:rsid w:val="008667EA"/>
    <w:rsid w:val="0087637F"/>
    <w:rsid w:val="008904B9"/>
    <w:rsid w:val="00892AD5"/>
    <w:rsid w:val="008A1512"/>
    <w:rsid w:val="008B10CE"/>
    <w:rsid w:val="008B430E"/>
    <w:rsid w:val="008C78C1"/>
    <w:rsid w:val="008D32B9"/>
    <w:rsid w:val="008D433B"/>
    <w:rsid w:val="008D47E2"/>
    <w:rsid w:val="008E566E"/>
    <w:rsid w:val="009011F8"/>
    <w:rsid w:val="0090161A"/>
    <w:rsid w:val="00901EB6"/>
    <w:rsid w:val="00904C62"/>
    <w:rsid w:val="00911BA7"/>
    <w:rsid w:val="00924DAC"/>
    <w:rsid w:val="00927058"/>
    <w:rsid w:val="009450CE"/>
    <w:rsid w:val="00946AA8"/>
    <w:rsid w:val="00947179"/>
    <w:rsid w:val="0095164B"/>
    <w:rsid w:val="00954090"/>
    <w:rsid w:val="00955302"/>
    <w:rsid w:val="009573E7"/>
    <w:rsid w:val="00963004"/>
    <w:rsid w:val="009635B9"/>
    <w:rsid w:val="00963E05"/>
    <w:rsid w:val="00967D54"/>
    <w:rsid w:val="00976502"/>
    <w:rsid w:val="00996483"/>
    <w:rsid w:val="00996F5A"/>
    <w:rsid w:val="009A0A3E"/>
    <w:rsid w:val="009A520E"/>
    <w:rsid w:val="009B041A"/>
    <w:rsid w:val="009C05A6"/>
    <w:rsid w:val="009C7C86"/>
    <w:rsid w:val="009D2FF7"/>
    <w:rsid w:val="009E7884"/>
    <w:rsid w:val="009E788A"/>
    <w:rsid w:val="009F0E08"/>
    <w:rsid w:val="00A1763D"/>
    <w:rsid w:val="00A17CEC"/>
    <w:rsid w:val="00A20C1F"/>
    <w:rsid w:val="00A27EF0"/>
    <w:rsid w:val="00A50B20"/>
    <w:rsid w:val="00A51390"/>
    <w:rsid w:val="00A60D13"/>
    <w:rsid w:val="00A7129E"/>
    <w:rsid w:val="00A72745"/>
    <w:rsid w:val="00A76EFC"/>
    <w:rsid w:val="00A87693"/>
    <w:rsid w:val="00A91010"/>
    <w:rsid w:val="00A97F29"/>
    <w:rsid w:val="00AA702E"/>
    <w:rsid w:val="00AB0964"/>
    <w:rsid w:val="00AB16B5"/>
    <w:rsid w:val="00AB5011"/>
    <w:rsid w:val="00AC29F3"/>
    <w:rsid w:val="00AC4540"/>
    <w:rsid w:val="00AC7368"/>
    <w:rsid w:val="00AD16B9"/>
    <w:rsid w:val="00AE377D"/>
    <w:rsid w:val="00B17FBD"/>
    <w:rsid w:val="00B23370"/>
    <w:rsid w:val="00B315A6"/>
    <w:rsid w:val="00B31813"/>
    <w:rsid w:val="00B33365"/>
    <w:rsid w:val="00B50475"/>
    <w:rsid w:val="00B57B36"/>
    <w:rsid w:val="00B708D8"/>
    <w:rsid w:val="00B816D6"/>
    <w:rsid w:val="00B8686D"/>
    <w:rsid w:val="00BA1CAB"/>
    <w:rsid w:val="00BB1A3E"/>
    <w:rsid w:val="00BC30C9"/>
    <w:rsid w:val="00BD1F2A"/>
    <w:rsid w:val="00BE3E58"/>
    <w:rsid w:val="00C01616"/>
    <w:rsid w:val="00C0162B"/>
    <w:rsid w:val="00C03DDA"/>
    <w:rsid w:val="00C13BE4"/>
    <w:rsid w:val="00C345B1"/>
    <w:rsid w:val="00C35624"/>
    <w:rsid w:val="00C40142"/>
    <w:rsid w:val="00C4434C"/>
    <w:rsid w:val="00C57182"/>
    <w:rsid w:val="00C57863"/>
    <w:rsid w:val="00C655FD"/>
    <w:rsid w:val="00C870A8"/>
    <w:rsid w:val="00C94434"/>
    <w:rsid w:val="00CA0D75"/>
    <w:rsid w:val="00CA1C95"/>
    <w:rsid w:val="00CA5A9C"/>
    <w:rsid w:val="00CD3517"/>
    <w:rsid w:val="00CD5A00"/>
    <w:rsid w:val="00CD5FE2"/>
    <w:rsid w:val="00CE7C68"/>
    <w:rsid w:val="00D02B4C"/>
    <w:rsid w:val="00D040C4"/>
    <w:rsid w:val="00D2753A"/>
    <w:rsid w:val="00D27F02"/>
    <w:rsid w:val="00D57C84"/>
    <w:rsid w:val="00D6057D"/>
    <w:rsid w:val="00D61B95"/>
    <w:rsid w:val="00D84576"/>
    <w:rsid w:val="00D85910"/>
    <w:rsid w:val="00DA1399"/>
    <w:rsid w:val="00DA24C6"/>
    <w:rsid w:val="00DA4D7B"/>
    <w:rsid w:val="00DB6906"/>
    <w:rsid w:val="00DE264A"/>
    <w:rsid w:val="00DF5A0E"/>
    <w:rsid w:val="00E02D18"/>
    <w:rsid w:val="00E041E7"/>
    <w:rsid w:val="00E07F86"/>
    <w:rsid w:val="00E157ED"/>
    <w:rsid w:val="00E23CA1"/>
    <w:rsid w:val="00E26995"/>
    <w:rsid w:val="00E409A8"/>
    <w:rsid w:val="00E418D5"/>
    <w:rsid w:val="00E50C12"/>
    <w:rsid w:val="00E65B91"/>
    <w:rsid w:val="00E71DFA"/>
    <w:rsid w:val="00E7209D"/>
    <w:rsid w:val="00E77223"/>
    <w:rsid w:val="00E8528B"/>
    <w:rsid w:val="00E85B94"/>
    <w:rsid w:val="00E978D0"/>
    <w:rsid w:val="00EA4613"/>
    <w:rsid w:val="00EA6C94"/>
    <w:rsid w:val="00EA7F91"/>
    <w:rsid w:val="00EB1523"/>
    <w:rsid w:val="00EC0E49"/>
    <w:rsid w:val="00EC11A1"/>
    <w:rsid w:val="00EC4CDA"/>
    <w:rsid w:val="00EE0131"/>
    <w:rsid w:val="00EF395D"/>
    <w:rsid w:val="00F01C6D"/>
    <w:rsid w:val="00F155B2"/>
    <w:rsid w:val="00F30C64"/>
    <w:rsid w:val="00F32CDB"/>
    <w:rsid w:val="00F34FE0"/>
    <w:rsid w:val="00F41188"/>
    <w:rsid w:val="00F57A7A"/>
    <w:rsid w:val="00F63A70"/>
    <w:rsid w:val="00FA21D0"/>
    <w:rsid w:val="00FA5F5F"/>
    <w:rsid w:val="00FB730C"/>
    <w:rsid w:val="00FC2695"/>
    <w:rsid w:val="00FC3E03"/>
    <w:rsid w:val="00FC3FC1"/>
    <w:rsid w:val="00FE5358"/>
    <w:rsid w:val="00FE62F4"/>
    <w:rsid w:val="00FF4B6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0B635"/>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CET-table-title">
    <w:name w:val="CET-table-title"/>
    <w:rsid w:val="00582931"/>
    <w:pPr>
      <w:keepNext/>
      <w:spacing w:before="240" w:after="80" w:line="240" w:lineRule="exact"/>
    </w:pPr>
    <w:rPr>
      <w:rFonts w:ascii="Arial" w:eastAsia="Times New Roman" w:hAnsi="Arial" w:cs="Times New Roman"/>
      <w:i/>
      <w:sz w:val="18"/>
      <w:szCs w:val="20"/>
      <w:lang w:val="en-US"/>
    </w:rPr>
  </w:style>
  <w:style w:type="paragraph" w:customStyle="1" w:styleId="CETReference-text">
    <w:name w:val="CET Reference-text"/>
    <w:rsid w:val="00582931"/>
    <w:pPr>
      <w:spacing w:after="0" w:line="264" w:lineRule="auto"/>
      <w:ind w:left="284" w:hanging="284"/>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4071">
      <w:bodyDiv w:val="1"/>
      <w:marLeft w:val="0"/>
      <w:marRight w:val="0"/>
      <w:marTop w:val="0"/>
      <w:marBottom w:val="0"/>
      <w:divBdr>
        <w:top w:val="none" w:sz="0" w:space="0" w:color="auto"/>
        <w:left w:val="none" w:sz="0" w:space="0" w:color="auto"/>
        <w:bottom w:val="none" w:sz="0" w:space="0" w:color="auto"/>
        <w:right w:val="none" w:sz="0" w:space="0" w:color="auto"/>
      </w:divBdr>
    </w:div>
    <w:div w:id="224754640">
      <w:bodyDiv w:val="1"/>
      <w:marLeft w:val="0"/>
      <w:marRight w:val="0"/>
      <w:marTop w:val="0"/>
      <w:marBottom w:val="0"/>
      <w:divBdr>
        <w:top w:val="none" w:sz="0" w:space="0" w:color="auto"/>
        <w:left w:val="none" w:sz="0" w:space="0" w:color="auto"/>
        <w:bottom w:val="none" w:sz="0" w:space="0" w:color="auto"/>
        <w:right w:val="none" w:sz="0" w:space="0" w:color="auto"/>
      </w:divBdr>
      <w:divsChild>
        <w:div w:id="323092917">
          <w:marLeft w:val="0"/>
          <w:marRight w:val="0"/>
          <w:marTop w:val="0"/>
          <w:marBottom w:val="0"/>
          <w:divBdr>
            <w:top w:val="none" w:sz="0" w:space="0" w:color="auto"/>
            <w:left w:val="none" w:sz="0" w:space="0" w:color="auto"/>
            <w:bottom w:val="none" w:sz="0" w:space="0" w:color="auto"/>
            <w:right w:val="none" w:sz="0" w:space="0" w:color="auto"/>
          </w:divBdr>
        </w:div>
        <w:div w:id="376857977">
          <w:marLeft w:val="0"/>
          <w:marRight w:val="0"/>
          <w:marTop w:val="0"/>
          <w:marBottom w:val="0"/>
          <w:divBdr>
            <w:top w:val="none" w:sz="0" w:space="0" w:color="auto"/>
            <w:left w:val="none" w:sz="0" w:space="0" w:color="auto"/>
            <w:bottom w:val="none" w:sz="0" w:space="0" w:color="auto"/>
            <w:right w:val="none" w:sz="0" w:space="0" w:color="auto"/>
          </w:divBdr>
        </w:div>
        <w:div w:id="1942452702">
          <w:marLeft w:val="0"/>
          <w:marRight w:val="0"/>
          <w:marTop w:val="0"/>
          <w:marBottom w:val="0"/>
          <w:divBdr>
            <w:top w:val="none" w:sz="0" w:space="0" w:color="auto"/>
            <w:left w:val="none" w:sz="0" w:space="0" w:color="auto"/>
            <w:bottom w:val="none" w:sz="0" w:space="0" w:color="auto"/>
            <w:right w:val="none" w:sz="0" w:space="0" w:color="auto"/>
          </w:divBdr>
        </w:div>
        <w:div w:id="1864900048">
          <w:marLeft w:val="0"/>
          <w:marRight w:val="0"/>
          <w:marTop w:val="0"/>
          <w:marBottom w:val="0"/>
          <w:divBdr>
            <w:top w:val="none" w:sz="0" w:space="0" w:color="auto"/>
            <w:left w:val="none" w:sz="0" w:space="0" w:color="auto"/>
            <w:bottom w:val="none" w:sz="0" w:space="0" w:color="auto"/>
            <w:right w:val="none" w:sz="0" w:space="0" w:color="auto"/>
          </w:divBdr>
        </w:div>
        <w:div w:id="1484928104">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03238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500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5713">
      <w:bodyDiv w:val="1"/>
      <w:marLeft w:val="0"/>
      <w:marRight w:val="0"/>
      <w:marTop w:val="0"/>
      <w:marBottom w:val="0"/>
      <w:divBdr>
        <w:top w:val="none" w:sz="0" w:space="0" w:color="auto"/>
        <w:left w:val="none" w:sz="0" w:space="0" w:color="auto"/>
        <w:bottom w:val="none" w:sz="0" w:space="0" w:color="auto"/>
        <w:right w:val="none" w:sz="0" w:space="0" w:color="auto"/>
      </w:divBdr>
    </w:div>
    <w:div w:id="209967097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43C74-617B-43CA-9F00-55B893B9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2452</Words>
  <Characters>13243</Characters>
  <Application>Microsoft Office Word</Application>
  <DocSecurity>0</DocSecurity>
  <Lines>110</Lines>
  <Paragraphs>31</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Brunno</cp:lastModifiedBy>
  <cp:revision>3</cp:revision>
  <cp:lastPrinted>2015-05-12T18:31:00Z</cp:lastPrinted>
  <dcterms:created xsi:type="dcterms:W3CDTF">2019-04-16T01:05:00Z</dcterms:created>
  <dcterms:modified xsi:type="dcterms:W3CDTF">2019-04-16T01:06:00Z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