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56586" w14:paraId="59B7532B" w14:textId="77777777">
        <w:trPr>
          <w:trHeight w:val="852"/>
          <w:jc w:val="center"/>
        </w:trPr>
        <w:tc>
          <w:tcPr>
            <w:tcW w:w="6946" w:type="dxa"/>
            <w:vMerge w:val="restart"/>
            <w:tcBorders>
              <w:right w:val="single" w:sz="4" w:space="0" w:color="auto"/>
            </w:tcBorders>
          </w:tcPr>
          <w:p w14:paraId="6D688019" w14:textId="77777777" w:rsidR="000A03B2" w:rsidRPr="00256586" w:rsidRDefault="000A03B2" w:rsidP="00DE264A">
            <w:pPr>
              <w:tabs>
                <w:tab w:val="left" w:pos="-108"/>
              </w:tabs>
              <w:ind w:left="-108"/>
              <w:jc w:val="left"/>
              <w:rPr>
                <w:rFonts w:cs="Arial"/>
                <w:b/>
                <w:bCs/>
                <w:i/>
                <w:iCs/>
                <w:color w:val="000066"/>
                <w:sz w:val="12"/>
                <w:szCs w:val="12"/>
                <w:lang w:eastAsia="it-IT"/>
              </w:rPr>
            </w:pPr>
            <w:r w:rsidRPr="00256586">
              <w:rPr>
                <w:rFonts w:ascii="AdvP6960" w:hAnsi="AdvP6960" w:cs="AdvP6960"/>
                <w:noProof/>
                <w:color w:val="241F20"/>
                <w:szCs w:val="18"/>
                <w:lang w:val="pt-BR" w:eastAsia="pt-BR"/>
              </w:rPr>
              <w:drawing>
                <wp:inline distT="0" distB="0" distL="0" distR="0" wp14:anchorId="510704BA" wp14:editId="154D341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56586">
              <w:rPr>
                <w:rFonts w:ascii="AdvP6960" w:hAnsi="AdvP6960" w:cs="AdvP6960"/>
                <w:color w:val="241F20"/>
                <w:szCs w:val="18"/>
                <w:lang w:eastAsia="it-IT"/>
              </w:rPr>
              <w:t xml:space="preserve"> </w:t>
            </w:r>
            <w:r w:rsidRPr="00256586">
              <w:rPr>
                <w:rFonts w:cs="Arial"/>
                <w:b/>
                <w:bCs/>
                <w:i/>
                <w:iCs/>
                <w:color w:val="000066"/>
                <w:sz w:val="24"/>
                <w:szCs w:val="24"/>
                <w:lang w:eastAsia="it-IT"/>
              </w:rPr>
              <w:t>CHEMICAL ENGINEERING</w:t>
            </w:r>
            <w:r w:rsidRPr="00256586">
              <w:rPr>
                <w:rFonts w:cs="Arial"/>
                <w:b/>
                <w:bCs/>
                <w:i/>
                <w:iCs/>
                <w:color w:val="0033FF"/>
                <w:sz w:val="24"/>
                <w:szCs w:val="24"/>
                <w:lang w:eastAsia="it-IT"/>
              </w:rPr>
              <w:t xml:space="preserve"> </w:t>
            </w:r>
            <w:r w:rsidRPr="00256586">
              <w:rPr>
                <w:rFonts w:cs="Arial"/>
                <w:b/>
                <w:bCs/>
                <w:i/>
                <w:iCs/>
                <w:color w:val="666666"/>
                <w:sz w:val="24"/>
                <w:szCs w:val="24"/>
                <w:lang w:eastAsia="it-IT"/>
              </w:rPr>
              <w:t>TRANSACTIONS</w:t>
            </w:r>
            <w:r w:rsidRPr="00256586">
              <w:rPr>
                <w:color w:val="333333"/>
                <w:sz w:val="24"/>
                <w:szCs w:val="24"/>
                <w:lang w:eastAsia="it-IT"/>
              </w:rPr>
              <w:t xml:space="preserve"> </w:t>
            </w:r>
            <w:r w:rsidRPr="00256586">
              <w:rPr>
                <w:rFonts w:cs="Arial"/>
                <w:b/>
                <w:bCs/>
                <w:i/>
                <w:iCs/>
                <w:color w:val="000066"/>
                <w:sz w:val="27"/>
                <w:szCs w:val="27"/>
                <w:lang w:eastAsia="it-IT"/>
              </w:rPr>
              <w:br/>
            </w:r>
          </w:p>
          <w:p w14:paraId="5D072B0D" w14:textId="77777777" w:rsidR="000A03B2" w:rsidRPr="00256586" w:rsidRDefault="00A76EFC" w:rsidP="009635B9">
            <w:pPr>
              <w:tabs>
                <w:tab w:val="left" w:pos="-108"/>
              </w:tabs>
              <w:ind w:left="-108"/>
              <w:rPr>
                <w:rFonts w:cs="Arial"/>
                <w:b/>
                <w:bCs/>
                <w:i/>
                <w:iCs/>
                <w:color w:val="000066"/>
                <w:sz w:val="22"/>
                <w:szCs w:val="22"/>
                <w:lang w:eastAsia="it-IT"/>
              </w:rPr>
            </w:pPr>
            <w:r w:rsidRPr="00256586">
              <w:rPr>
                <w:rFonts w:cs="Arial"/>
                <w:b/>
                <w:bCs/>
                <w:i/>
                <w:iCs/>
                <w:color w:val="000066"/>
                <w:sz w:val="22"/>
                <w:szCs w:val="22"/>
                <w:lang w:eastAsia="it-IT"/>
              </w:rPr>
              <w:t xml:space="preserve">VOL. </w:t>
            </w:r>
            <w:r w:rsidR="007931FA" w:rsidRPr="00256586">
              <w:rPr>
                <w:rFonts w:cs="Arial"/>
                <w:b/>
                <w:bCs/>
                <w:i/>
                <w:iCs/>
                <w:color w:val="000066"/>
                <w:sz w:val="22"/>
                <w:szCs w:val="22"/>
                <w:lang w:eastAsia="it-IT"/>
              </w:rPr>
              <w:t>7</w:t>
            </w:r>
            <w:r w:rsidR="009635B9" w:rsidRPr="00256586">
              <w:rPr>
                <w:rFonts w:cs="Arial"/>
                <w:b/>
                <w:bCs/>
                <w:i/>
                <w:iCs/>
                <w:color w:val="000066"/>
                <w:sz w:val="22"/>
                <w:szCs w:val="22"/>
                <w:lang w:eastAsia="it-IT"/>
              </w:rPr>
              <w:t>6</w:t>
            </w:r>
            <w:r w:rsidR="00FA5F5F" w:rsidRPr="00256586">
              <w:rPr>
                <w:rFonts w:cs="Arial"/>
                <w:b/>
                <w:bCs/>
                <w:i/>
                <w:iCs/>
                <w:color w:val="000066"/>
                <w:sz w:val="22"/>
                <w:szCs w:val="22"/>
                <w:lang w:eastAsia="it-IT"/>
              </w:rPr>
              <w:t>, 201</w:t>
            </w:r>
            <w:r w:rsidR="007931FA" w:rsidRPr="00256586">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770B882E" w14:textId="77777777" w:rsidR="000A03B2" w:rsidRPr="00256586" w:rsidRDefault="000A03B2" w:rsidP="00CD5FE2">
            <w:pPr>
              <w:spacing w:line="140" w:lineRule="atLeast"/>
              <w:jc w:val="right"/>
              <w:rPr>
                <w:rFonts w:cs="Arial"/>
                <w:sz w:val="14"/>
                <w:szCs w:val="14"/>
              </w:rPr>
            </w:pPr>
            <w:r w:rsidRPr="00256586">
              <w:rPr>
                <w:rFonts w:cs="Arial"/>
                <w:sz w:val="14"/>
                <w:szCs w:val="14"/>
              </w:rPr>
              <w:t>A publication of</w:t>
            </w:r>
          </w:p>
          <w:p w14:paraId="10745396" w14:textId="77777777" w:rsidR="000A03B2" w:rsidRPr="00256586" w:rsidRDefault="000A03B2" w:rsidP="00CD5FE2">
            <w:pPr>
              <w:jc w:val="right"/>
            </w:pPr>
            <w:r w:rsidRPr="00256586">
              <w:rPr>
                <w:noProof/>
                <w:lang w:val="pt-BR" w:eastAsia="pt-BR"/>
              </w:rPr>
              <w:drawing>
                <wp:inline distT="0" distB="0" distL="0" distR="0" wp14:anchorId="4DD3BB4E" wp14:editId="4EC5899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56586" w14:paraId="7D7578D7" w14:textId="77777777">
        <w:trPr>
          <w:trHeight w:val="567"/>
          <w:jc w:val="center"/>
        </w:trPr>
        <w:tc>
          <w:tcPr>
            <w:tcW w:w="6946" w:type="dxa"/>
            <w:vMerge/>
            <w:tcBorders>
              <w:right w:val="single" w:sz="4" w:space="0" w:color="auto"/>
            </w:tcBorders>
          </w:tcPr>
          <w:p w14:paraId="68FE82DE" w14:textId="77777777" w:rsidR="000A03B2" w:rsidRPr="00256586" w:rsidRDefault="000A03B2" w:rsidP="00CD5FE2">
            <w:pPr>
              <w:tabs>
                <w:tab w:val="left" w:pos="-108"/>
              </w:tabs>
            </w:pPr>
          </w:p>
        </w:tc>
        <w:tc>
          <w:tcPr>
            <w:tcW w:w="1843" w:type="dxa"/>
            <w:tcBorders>
              <w:left w:val="single" w:sz="4" w:space="0" w:color="auto"/>
              <w:bottom w:val="nil"/>
              <w:right w:val="single" w:sz="4" w:space="0" w:color="auto"/>
            </w:tcBorders>
          </w:tcPr>
          <w:p w14:paraId="06EF6E38" w14:textId="77777777" w:rsidR="000A03B2" w:rsidRPr="00256586" w:rsidRDefault="000A03B2" w:rsidP="00CD5FE2">
            <w:pPr>
              <w:spacing w:line="140" w:lineRule="atLeast"/>
              <w:jc w:val="right"/>
              <w:rPr>
                <w:rFonts w:cs="Arial"/>
                <w:sz w:val="14"/>
                <w:szCs w:val="14"/>
              </w:rPr>
            </w:pPr>
            <w:r w:rsidRPr="00256586">
              <w:rPr>
                <w:rFonts w:cs="Arial"/>
                <w:sz w:val="14"/>
                <w:szCs w:val="14"/>
              </w:rPr>
              <w:t>The Italian Association</w:t>
            </w:r>
          </w:p>
          <w:p w14:paraId="2A641F94" w14:textId="77777777" w:rsidR="000A03B2" w:rsidRPr="00256586" w:rsidRDefault="000A03B2" w:rsidP="00CD5FE2">
            <w:pPr>
              <w:spacing w:line="140" w:lineRule="atLeast"/>
              <w:jc w:val="right"/>
              <w:rPr>
                <w:rFonts w:cs="Arial"/>
                <w:sz w:val="14"/>
                <w:szCs w:val="14"/>
              </w:rPr>
            </w:pPr>
            <w:r w:rsidRPr="00256586">
              <w:rPr>
                <w:rFonts w:cs="Arial"/>
                <w:sz w:val="14"/>
                <w:szCs w:val="14"/>
              </w:rPr>
              <w:t>of Chemical Engineering</w:t>
            </w:r>
          </w:p>
          <w:p w14:paraId="5E1C444F" w14:textId="77777777" w:rsidR="000A03B2" w:rsidRPr="00256586" w:rsidRDefault="000A03B2" w:rsidP="00162642">
            <w:pPr>
              <w:spacing w:line="140" w:lineRule="atLeast"/>
              <w:jc w:val="right"/>
              <w:rPr>
                <w:rFonts w:cs="Arial"/>
                <w:sz w:val="14"/>
                <w:szCs w:val="14"/>
              </w:rPr>
            </w:pPr>
            <w:r w:rsidRPr="00256586">
              <w:rPr>
                <w:rFonts w:cs="Arial"/>
                <w:sz w:val="14"/>
                <w:szCs w:val="14"/>
              </w:rPr>
              <w:t xml:space="preserve">Online at </w:t>
            </w:r>
            <w:r w:rsidR="00162642" w:rsidRPr="00256586">
              <w:rPr>
                <w:rFonts w:cs="Arial"/>
                <w:sz w:val="14"/>
                <w:szCs w:val="14"/>
              </w:rPr>
              <w:t>www.cetjournal.it</w:t>
            </w:r>
          </w:p>
        </w:tc>
      </w:tr>
      <w:tr w:rsidR="000A03B2" w:rsidRPr="00256586" w14:paraId="538DC91D" w14:textId="77777777">
        <w:trPr>
          <w:trHeight w:val="68"/>
          <w:jc w:val="center"/>
        </w:trPr>
        <w:tc>
          <w:tcPr>
            <w:tcW w:w="8789" w:type="dxa"/>
            <w:gridSpan w:val="2"/>
          </w:tcPr>
          <w:p w14:paraId="1EA9D0C2" w14:textId="77777777" w:rsidR="00300E56" w:rsidRPr="00256586" w:rsidRDefault="00300E56" w:rsidP="003365E3">
            <w:pPr>
              <w:ind w:left="-107"/>
            </w:pPr>
            <w:r w:rsidRPr="00256586">
              <w:rPr>
                <w:rFonts w:ascii="Tahoma" w:hAnsi="Tahoma" w:cs="Tahoma"/>
                <w:iCs/>
                <w:color w:val="333333"/>
                <w:sz w:val="14"/>
                <w:szCs w:val="14"/>
                <w:lang w:eastAsia="it-IT"/>
              </w:rPr>
              <w:t>Guest Editors:</w:t>
            </w:r>
            <w:r w:rsidR="00904C62" w:rsidRPr="00256586">
              <w:rPr>
                <w:rFonts w:ascii="Tahoma" w:hAnsi="Tahoma" w:cs="Tahoma"/>
                <w:iCs/>
                <w:color w:val="333333"/>
                <w:sz w:val="14"/>
                <w:szCs w:val="14"/>
                <w:lang w:eastAsia="it-IT"/>
              </w:rPr>
              <w:t xml:space="preserve"> </w:t>
            </w:r>
            <w:r w:rsidR="009635B9" w:rsidRPr="00256586">
              <w:rPr>
                <w:rFonts w:ascii="Tahoma" w:hAnsi="Tahoma" w:cs="Tahoma"/>
                <w:sz w:val="14"/>
                <w:szCs w:val="14"/>
              </w:rPr>
              <w:t>Sauro Pierucci,</w:t>
            </w:r>
            <w:r w:rsidR="003B60F3" w:rsidRPr="00256586">
              <w:rPr>
                <w:rFonts w:ascii="Tahoma" w:hAnsi="Tahoma" w:cs="Tahoma"/>
                <w:sz w:val="14"/>
                <w:szCs w:val="14"/>
              </w:rPr>
              <w:t xml:space="preserve"> </w:t>
            </w:r>
            <w:r w:rsidR="00047D7F" w:rsidRPr="00256586">
              <w:rPr>
                <w:rFonts w:ascii="Tahoma" w:hAnsi="Tahoma" w:cs="Tahoma"/>
                <w:sz w:val="14"/>
                <w:szCs w:val="14"/>
                <w:shd w:val="clear" w:color="auto" w:fill="FFFFFF"/>
              </w:rPr>
              <w:t>Jiří Jaromír Klemeš</w:t>
            </w:r>
            <w:r w:rsidR="00252C1A" w:rsidRPr="00256586">
              <w:rPr>
                <w:rFonts w:ascii="Tahoma" w:hAnsi="Tahoma" w:cs="Tahoma"/>
                <w:sz w:val="14"/>
                <w:szCs w:val="14"/>
                <w:shd w:val="clear" w:color="auto" w:fill="FFFFFF"/>
              </w:rPr>
              <w:t>, Laura Piazza</w:t>
            </w:r>
          </w:p>
          <w:p w14:paraId="73BA77AB" w14:textId="77777777" w:rsidR="000A03B2" w:rsidRPr="00256586" w:rsidRDefault="00FA5F5F" w:rsidP="00131FAB">
            <w:pPr>
              <w:tabs>
                <w:tab w:val="left" w:pos="-108"/>
              </w:tabs>
              <w:spacing w:line="140" w:lineRule="atLeast"/>
              <w:ind w:left="-107"/>
              <w:jc w:val="left"/>
            </w:pPr>
            <w:r w:rsidRPr="00256586">
              <w:rPr>
                <w:rFonts w:ascii="Tahoma" w:hAnsi="Tahoma" w:cs="Tahoma"/>
                <w:iCs/>
                <w:color w:val="333333"/>
                <w:sz w:val="14"/>
                <w:szCs w:val="14"/>
                <w:lang w:eastAsia="it-IT"/>
              </w:rPr>
              <w:t>Copyright © 201</w:t>
            </w:r>
            <w:r w:rsidR="007931FA" w:rsidRPr="00256586">
              <w:rPr>
                <w:rFonts w:ascii="Tahoma" w:hAnsi="Tahoma" w:cs="Tahoma"/>
                <w:iCs/>
                <w:color w:val="333333"/>
                <w:sz w:val="14"/>
                <w:szCs w:val="14"/>
                <w:lang w:eastAsia="it-IT"/>
              </w:rPr>
              <w:t>9</w:t>
            </w:r>
            <w:r w:rsidR="00904C62" w:rsidRPr="00256586">
              <w:rPr>
                <w:rFonts w:ascii="Tahoma" w:hAnsi="Tahoma" w:cs="Tahoma"/>
                <w:iCs/>
                <w:color w:val="333333"/>
                <w:sz w:val="14"/>
                <w:szCs w:val="14"/>
                <w:lang w:eastAsia="it-IT"/>
              </w:rPr>
              <w:t>, AIDIC Servizi S.r.l.</w:t>
            </w:r>
            <w:r w:rsidR="00300E56" w:rsidRPr="00256586">
              <w:rPr>
                <w:rFonts w:ascii="Tahoma" w:hAnsi="Tahoma" w:cs="Tahoma"/>
                <w:iCs/>
                <w:color w:val="333333"/>
                <w:sz w:val="14"/>
                <w:szCs w:val="14"/>
                <w:lang w:eastAsia="it-IT"/>
              </w:rPr>
              <w:br/>
            </w:r>
            <w:r w:rsidR="00300E56" w:rsidRPr="00256586">
              <w:rPr>
                <w:rFonts w:ascii="Tahoma" w:hAnsi="Tahoma" w:cs="Tahoma"/>
                <w:b/>
                <w:iCs/>
                <w:color w:val="000000"/>
                <w:sz w:val="14"/>
                <w:szCs w:val="14"/>
                <w:lang w:eastAsia="it-IT"/>
              </w:rPr>
              <w:t>ISBN</w:t>
            </w:r>
            <w:r w:rsidR="00300E56" w:rsidRPr="00256586">
              <w:rPr>
                <w:rFonts w:ascii="Tahoma" w:hAnsi="Tahoma" w:cs="Tahoma"/>
                <w:iCs/>
                <w:color w:val="000000"/>
                <w:sz w:val="14"/>
                <w:szCs w:val="14"/>
                <w:lang w:eastAsia="it-IT"/>
              </w:rPr>
              <w:t xml:space="preserve"> </w:t>
            </w:r>
            <w:r w:rsidR="008D32B9" w:rsidRPr="00256586">
              <w:rPr>
                <w:rFonts w:ascii="Tahoma" w:hAnsi="Tahoma" w:cs="Tahoma"/>
                <w:sz w:val="14"/>
                <w:szCs w:val="14"/>
              </w:rPr>
              <w:t>978-88-95608-</w:t>
            </w:r>
            <w:r w:rsidR="009635B9" w:rsidRPr="00256586">
              <w:rPr>
                <w:rFonts w:ascii="Tahoma" w:hAnsi="Tahoma" w:cs="Tahoma"/>
                <w:sz w:val="14"/>
                <w:szCs w:val="14"/>
              </w:rPr>
              <w:t>73</w:t>
            </w:r>
            <w:r w:rsidR="008D32B9" w:rsidRPr="00256586">
              <w:rPr>
                <w:rFonts w:ascii="Tahoma" w:hAnsi="Tahoma" w:cs="Tahoma"/>
                <w:sz w:val="14"/>
                <w:szCs w:val="14"/>
              </w:rPr>
              <w:t>-</w:t>
            </w:r>
            <w:r w:rsidR="009635B9" w:rsidRPr="00256586">
              <w:rPr>
                <w:rFonts w:ascii="Tahoma" w:hAnsi="Tahoma" w:cs="Tahoma"/>
                <w:sz w:val="14"/>
                <w:szCs w:val="14"/>
              </w:rPr>
              <w:t>0</w:t>
            </w:r>
            <w:r w:rsidR="00300E56" w:rsidRPr="00256586">
              <w:rPr>
                <w:rFonts w:ascii="Tahoma" w:hAnsi="Tahoma" w:cs="Tahoma"/>
                <w:iCs/>
                <w:color w:val="333333"/>
                <w:sz w:val="14"/>
                <w:szCs w:val="14"/>
                <w:lang w:eastAsia="it-IT"/>
              </w:rPr>
              <w:t xml:space="preserve">; </w:t>
            </w:r>
            <w:r w:rsidR="00300E56" w:rsidRPr="00256586">
              <w:rPr>
                <w:rFonts w:ascii="Tahoma" w:hAnsi="Tahoma" w:cs="Tahoma"/>
                <w:b/>
                <w:iCs/>
                <w:color w:val="333333"/>
                <w:sz w:val="14"/>
                <w:szCs w:val="14"/>
                <w:lang w:eastAsia="it-IT"/>
              </w:rPr>
              <w:t>ISSN</w:t>
            </w:r>
            <w:r w:rsidR="00300E56" w:rsidRPr="00256586">
              <w:rPr>
                <w:rFonts w:ascii="Tahoma" w:hAnsi="Tahoma" w:cs="Tahoma"/>
                <w:iCs/>
                <w:color w:val="333333"/>
                <w:sz w:val="14"/>
                <w:szCs w:val="14"/>
                <w:lang w:eastAsia="it-IT"/>
              </w:rPr>
              <w:t xml:space="preserve"> 2283-9216</w:t>
            </w:r>
          </w:p>
        </w:tc>
      </w:tr>
    </w:tbl>
    <w:p w14:paraId="01695041" w14:textId="77777777" w:rsidR="000A03B2" w:rsidRPr="00256586" w:rsidRDefault="000A03B2" w:rsidP="000A03B2">
      <w:pPr>
        <w:pStyle w:val="CETAuthors"/>
        <w:sectPr w:rsidR="000A03B2" w:rsidRPr="00256586">
          <w:type w:val="continuous"/>
          <w:pgSz w:w="11906" w:h="16838" w:code="9"/>
          <w:pgMar w:top="1701" w:right="1418" w:bottom="1701" w:left="1701" w:header="1701" w:footer="0" w:gutter="0"/>
          <w:cols w:space="708"/>
          <w:titlePg/>
          <w:docGrid w:linePitch="360"/>
        </w:sectPr>
      </w:pPr>
    </w:p>
    <w:p w14:paraId="4038849C" w14:textId="65A7CE13" w:rsidR="00E978D0" w:rsidRPr="00877ED2" w:rsidRDefault="00754EF6" w:rsidP="00754EF6">
      <w:pPr>
        <w:pStyle w:val="CETTitle"/>
      </w:pPr>
      <w:r w:rsidRPr="00877ED2">
        <w:t xml:space="preserve">Use of genetic algorithm and particle swarm optimization in the </w:t>
      </w:r>
      <w:r w:rsidR="007160FE" w:rsidRPr="00877ED2">
        <w:t>estimation</w:t>
      </w:r>
      <w:r w:rsidRPr="00877ED2">
        <w:t xml:space="preserve"> of kinetic parameters of green coconut biomass </w:t>
      </w:r>
    </w:p>
    <w:p w14:paraId="53443AF3" w14:textId="1D78ED01" w:rsidR="00754EF6" w:rsidRPr="00877ED2" w:rsidRDefault="00754EF6" w:rsidP="00754EF6">
      <w:pPr>
        <w:pStyle w:val="CETAuthors"/>
        <w:rPr>
          <w:lang w:val="pt-BR"/>
        </w:rPr>
      </w:pPr>
      <w:r w:rsidRPr="00877ED2">
        <w:rPr>
          <w:lang w:val="pt-BR"/>
        </w:rPr>
        <w:t>Isabelle C. Valim</w:t>
      </w:r>
      <w:r w:rsidRPr="00877ED2">
        <w:rPr>
          <w:vertAlign w:val="superscript"/>
          <w:lang w:val="pt-BR"/>
        </w:rPr>
        <w:t>a</w:t>
      </w:r>
      <w:r w:rsidRPr="00877ED2">
        <w:rPr>
          <w:lang w:val="pt-BR"/>
        </w:rPr>
        <w:t xml:space="preserve">, </w:t>
      </w:r>
      <w:r w:rsidR="006F2C44" w:rsidRPr="00877ED2">
        <w:rPr>
          <w:lang w:val="pt-BR"/>
        </w:rPr>
        <w:t>Felipe Z. R. Monteiro</w:t>
      </w:r>
      <w:r w:rsidR="006F2C44" w:rsidRPr="00877ED2">
        <w:rPr>
          <w:vertAlign w:val="superscript"/>
          <w:lang w:val="pt-BR"/>
        </w:rPr>
        <w:t>a</w:t>
      </w:r>
      <w:r w:rsidR="006F2C44" w:rsidRPr="00877ED2">
        <w:rPr>
          <w:lang w:val="pt-BR"/>
        </w:rPr>
        <w:t xml:space="preserve">, </w:t>
      </w:r>
      <w:r w:rsidRPr="00877ED2">
        <w:rPr>
          <w:lang w:val="pt-BR"/>
        </w:rPr>
        <w:t>Amanda L. T. Brandão</w:t>
      </w:r>
      <w:r w:rsidRPr="00877ED2">
        <w:rPr>
          <w:vertAlign w:val="superscript"/>
          <w:lang w:val="pt-BR"/>
        </w:rPr>
        <w:t>a</w:t>
      </w:r>
      <w:r w:rsidRPr="00877ED2">
        <w:rPr>
          <w:lang w:val="pt-BR"/>
        </w:rPr>
        <w:t>, Alexandre V. Grillo</w:t>
      </w:r>
      <w:r w:rsidRPr="00877ED2">
        <w:rPr>
          <w:vertAlign w:val="superscript"/>
          <w:lang w:val="pt-BR"/>
        </w:rPr>
        <w:t>b</w:t>
      </w:r>
      <w:r w:rsidRPr="00877ED2">
        <w:rPr>
          <w:lang w:val="pt-BR"/>
        </w:rPr>
        <w:t>, Brunno F. Santos</w:t>
      </w:r>
      <w:r w:rsidRPr="00877ED2">
        <w:rPr>
          <w:vertAlign w:val="superscript"/>
          <w:lang w:val="pt-BR"/>
        </w:rPr>
        <w:t>a</w:t>
      </w:r>
      <w:r w:rsidRPr="00877ED2">
        <w:rPr>
          <w:lang w:val="pt-BR"/>
        </w:rPr>
        <w:t>*</w:t>
      </w:r>
    </w:p>
    <w:p w14:paraId="7B965F41" w14:textId="77777777" w:rsidR="00754EF6" w:rsidRPr="00877ED2" w:rsidRDefault="00754EF6" w:rsidP="00754EF6">
      <w:pPr>
        <w:pStyle w:val="CETAddress"/>
        <w:rPr>
          <w:lang w:val="pt-BR"/>
        </w:rPr>
      </w:pPr>
      <w:r w:rsidRPr="00877ED2">
        <w:rPr>
          <w:vertAlign w:val="superscript"/>
        </w:rPr>
        <w:t>a</w:t>
      </w:r>
      <w:r w:rsidRPr="00877ED2">
        <w:t xml:space="preserve">Department of Chemical and Material Engineering (DEQM). </w:t>
      </w:r>
      <w:r w:rsidRPr="00877ED2">
        <w:rPr>
          <w:lang w:val="pt-BR"/>
        </w:rPr>
        <w:t>Pontifical Catholic University of Rio de Janeiro (PUC-Rio). Rua Marquês de São Vicente, 225 – Gávea, Rio de Janeiro – RJ, 22430-060, Brazil.</w:t>
      </w:r>
    </w:p>
    <w:p w14:paraId="52D13ECB" w14:textId="77777777" w:rsidR="00754EF6" w:rsidRPr="00877ED2" w:rsidRDefault="00754EF6" w:rsidP="00754EF6">
      <w:pPr>
        <w:pStyle w:val="CETAddress"/>
      </w:pPr>
      <w:r w:rsidRPr="00877ED2">
        <w:rPr>
          <w:vertAlign w:val="superscript"/>
        </w:rPr>
        <w:t>b</w:t>
      </w:r>
      <w:r w:rsidRPr="00877ED2">
        <w:t>Federal Institute of Education, Science and Technology (IFRJ), www.ifrj.edu.br, Rua LúcioTavares, 1045 – Centro, Nilópolis – RJ, 26530-060, Brazil.</w:t>
      </w:r>
    </w:p>
    <w:p w14:paraId="4062C717" w14:textId="77777777" w:rsidR="00754EF6" w:rsidRPr="00877ED2" w:rsidRDefault="00754EF6" w:rsidP="00754EF6">
      <w:pPr>
        <w:pStyle w:val="CETemail"/>
      </w:pPr>
      <w:r w:rsidRPr="00877ED2">
        <w:t>bsantos@puc-rio.br</w:t>
      </w:r>
    </w:p>
    <w:p w14:paraId="287C92ED" w14:textId="7A93118E" w:rsidR="00754EF6" w:rsidRPr="00877ED2" w:rsidRDefault="00754EF6" w:rsidP="00754EF6">
      <w:pPr>
        <w:pStyle w:val="CETBodytext"/>
        <w:rPr>
          <w:lang w:val="en-GB"/>
        </w:rPr>
      </w:pPr>
      <w:r w:rsidRPr="00877ED2">
        <w:rPr>
          <w:lang w:val="en-GB"/>
        </w:rPr>
        <w:t xml:space="preserve">The development of more economically and energy-efficient processes for the sustainable production of fuels and chemicals is becoming increasingly necessary. </w:t>
      </w:r>
      <w:r w:rsidR="00C546E8" w:rsidRPr="00877ED2">
        <w:rPr>
          <w:lang w:val="en-GB"/>
        </w:rPr>
        <w:t>In this context</w:t>
      </w:r>
      <w:r w:rsidR="00C76F30" w:rsidRPr="00877ED2">
        <w:rPr>
          <w:lang w:val="en-GB"/>
        </w:rPr>
        <w:t xml:space="preserve">, it is relevant to </w:t>
      </w:r>
      <w:r w:rsidR="0064782A" w:rsidRPr="00877ED2">
        <w:rPr>
          <w:lang w:val="en-GB"/>
        </w:rPr>
        <w:t xml:space="preserve">understand the behaviour of </w:t>
      </w:r>
      <w:r w:rsidR="00C76F30" w:rsidRPr="00877ED2">
        <w:rPr>
          <w:lang w:val="en-GB"/>
        </w:rPr>
        <w:t xml:space="preserve">thermal degradation of different biomasses in oxygen free atmosphere to investigate the breakdown of polymer chains, which can be converted into new products. </w:t>
      </w:r>
      <w:r w:rsidR="00275303" w:rsidRPr="00877ED2">
        <w:rPr>
          <w:lang w:val="en-GB"/>
        </w:rPr>
        <w:t xml:space="preserve">Good effects on the acceleration of degradation of organic molecules can be achieved </w:t>
      </w:r>
      <w:r w:rsidR="0064782A" w:rsidRPr="00877ED2">
        <w:rPr>
          <w:lang w:val="en-GB"/>
        </w:rPr>
        <w:t>with</w:t>
      </w:r>
      <w:r w:rsidR="00275303" w:rsidRPr="00877ED2">
        <w:rPr>
          <w:lang w:val="en-GB"/>
        </w:rPr>
        <w:t xml:space="preserve"> the use of catalysts in these breaking processes, thus increasing the yield of bio-oil production. </w:t>
      </w:r>
      <w:r w:rsidRPr="00877ED2">
        <w:rPr>
          <w:lang w:val="en-GB"/>
        </w:rPr>
        <w:t>In this work</w:t>
      </w:r>
      <w:r w:rsidR="00577690" w:rsidRPr="00877ED2">
        <w:rPr>
          <w:lang w:val="en-GB"/>
        </w:rPr>
        <w:t>,</w:t>
      </w:r>
      <w:r w:rsidR="0064782A" w:rsidRPr="00877ED2">
        <w:rPr>
          <w:lang w:val="en-GB"/>
        </w:rPr>
        <w:t xml:space="preserve"> </w:t>
      </w:r>
      <w:r w:rsidR="00466204" w:rsidRPr="00877ED2">
        <w:rPr>
          <w:lang w:val="en-GB"/>
        </w:rPr>
        <w:t>fib</w:t>
      </w:r>
      <w:r w:rsidR="00CC7E24" w:rsidRPr="00877ED2">
        <w:rPr>
          <w:lang w:val="en-GB"/>
        </w:rPr>
        <w:t>er</w:t>
      </w:r>
      <w:r w:rsidRPr="00877ED2">
        <w:rPr>
          <w:lang w:val="en-GB"/>
        </w:rPr>
        <w:t xml:space="preserve"> of crushed and sifted green</w:t>
      </w:r>
      <w:r w:rsidR="0064782A" w:rsidRPr="00877ED2">
        <w:rPr>
          <w:lang w:val="en-GB"/>
        </w:rPr>
        <w:t xml:space="preserve"> coconut shell, submitted to</w:t>
      </w:r>
      <w:r w:rsidRPr="00877ED2">
        <w:rPr>
          <w:lang w:val="en-GB"/>
        </w:rPr>
        <w:t xml:space="preserve"> thermogravimetry analysis (TG), was used as biomass. </w:t>
      </w:r>
      <w:r w:rsidR="0064782A" w:rsidRPr="00877ED2">
        <w:rPr>
          <w:lang w:val="en-GB"/>
        </w:rPr>
        <w:t>Some t</w:t>
      </w:r>
      <w:r w:rsidRPr="00877ED2">
        <w:rPr>
          <w:lang w:val="en-GB"/>
        </w:rPr>
        <w:t>ypes of a catalyst were incorporated into the biomass, based on cobalt ferrite, Fe</w:t>
      </w:r>
      <w:r w:rsidRPr="00877ED2">
        <w:rPr>
          <w:vertAlign w:val="subscript"/>
          <w:lang w:val="en-GB"/>
        </w:rPr>
        <w:t>2</w:t>
      </w:r>
      <w:r w:rsidRPr="00877ED2">
        <w:rPr>
          <w:lang w:val="en-GB"/>
        </w:rPr>
        <w:t>CoO</w:t>
      </w:r>
      <w:r w:rsidRPr="00877ED2">
        <w:rPr>
          <w:vertAlign w:val="subscript"/>
          <w:lang w:val="en-GB"/>
        </w:rPr>
        <w:t>4</w:t>
      </w:r>
      <w:r w:rsidRPr="00877ED2">
        <w:rPr>
          <w:lang w:val="en-GB"/>
        </w:rPr>
        <w:t>. The design of a biomass</w:t>
      </w:r>
      <w:r w:rsidR="0064782A" w:rsidRPr="00877ED2">
        <w:rPr>
          <w:lang w:val="en-GB"/>
        </w:rPr>
        <w:t xml:space="preserve"> pyrolysis reactor requires </w:t>
      </w:r>
      <w:r w:rsidRPr="00877ED2">
        <w:rPr>
          <w:lang w:val="en-GB"/>
        </w:rPr>
        <w:t>knowledge of kinetic parameters, activation energy (Ea), pre-exponential factor (k</w:t>
      </w:r>
      <w:r w:rsidRPr="00877ED2">
        <w:rPr>
          <w:vertAlign w:val="subscript"/>
          <w:lang w:val="en-GB"/>
        </w:rPr>
        <w:t>0</w:t>
      </w:r>
      <w:r w:rsidRPr="00877ED2">
        <w:rPr>
          <w:lang w:val="en-GB"/>
        </w:rPr>
        <w:t>) and order of reaction (n). In this context, the present study aim</w:t>
      </w:r>
      <w:r w:rsidR="0064782A" w:rsidRPr="00877ED2">
        <w:rPr>
          <w:lang w:val="en-GB"/>
        </w:rPr>
        <w:t>ed</w:t>
      </w:r>
      <w:r w:rsidRPr="00877ED2">
        <w:rPr>
          <w:lang w:val="en-GB"/>
        </w:rPr>
        <w:t xml:space="preserve"> to perform the thermogravimetric (TG) analysis in an inert atmosphere of pure nitrogen, and to determine the kinetic parameters involved in the lignin pyrolysis process, to assist in the design of biomass conversion reactors. This work presents a solution to obtain the kinet</w:t>
      </w:r>
      <w:r w:rsidR="0064782A" w:rsidRPr="00877ED2">
        <w:rPr>
          <w:lang w:val="en-GB"/>
        </w:rPr>
        <w:t xml:space="preserve">ic parameters for </w:t>
      </w:r>
      <w:r w:rsidRPr="00877ED2">
        <w:rPr>
          <w:lang w:val="en-GB"/>
        </w:rPr>
        <w:t xml:space="preserve">thermogravimetric reaction of lignin breaking present in the biomass of the green coconut. </w:t>
      </w:r>
      <w:r w:rsidR="00577690" w:rsidRPr="00877ED2">
        <w:rPr>
          <w:lang w:val="en-GB"/>
        </w:rPr>
        <w:t>T</w:t>
      </w:r>
      <w:r w:rsidRPr="00877ED2">
        <w:rPr>
          <w:lang w:val="en-GB"/>
        </w:rPr>
        <w:t>wo computational methods were used</w:t>
      </w:r>
      <w:r w:rsidR="00577690" w:rsidRPr="00877ED2">
        <w:rPr>
          <w:lang w:val="en-GB"/>
        </w:rPr>
        <w:t>:</w:t>
      </w:r>
      <w:r w:rsidR="0064782A" w:rsidRPr="00877ED2">
        <w:rPr>
          <w:lang w:val="en-GB"/>
        </w:rPr>
        <w:t xml:space="preserve"> </w:t>
      </w:r>
      <w:r w:rsidR="00577690" w:rsidRPr="00877ED2">
        <w:rPr>
          <w:lang w:val="en-GB"/>
        </w:rPr>
        <w:t>g</w:t>
      </w:r>
      <w:r w:rsidRPr="00877ED2">
        <w:rPr>
          <w:lang w:val="en-GB"/>
        </w:rPr>
        <w:t xml:space="preserve">enetic </w:t>
      </w:r>
      <w:r w:rsidR="00577690" w:rsidRPr="00877ED2">
        <w:rPr>
          <w:lang w:val="en-GB"/>
        </w:rPr>
        <w:t>a</w:t>
      </w:r>
      <w:r w:rsidRPr="00877ED2">
        <w:rPr>
          <w:lang w:val="en-GB"/>
        </w:rPr>
        <w:t>lgorithm and particle swarm</w:t>
      </w:r>
      <w:r w:rsidR="00577690" w:rsidRPr="00877ED2">
        <w:rPr>
          <w:lang w:val="en-GB"/>
        </w:rPr>
        <w:t xml:space="preserve"> optimization</w:t>
      </w:r>
      <w:r w:rsidRPr="00877ED2">
        <w:rPr>
          <w:lang w:val="en-GB"/>
        </w:rPr>
        <w:t xml:space="preserve">. </w:t>
      </w:r>
      <w:r w:rsidR="0064782A" w:rsidRPr="00877ED2">
        <w:rPr>
          <w:lang w:val="en-GB"/>
        </w:rPr>
        <w:t xml:space="preserve">The results obtained for </w:t>
      </w:r>
      <w:r w:rsidR="00911B7B" w:rsidRPr="00877ED2">
        <w:rPr>
          <w:lang w:val="en-GB"/>
        </w:rPr>
        <w:t>activation energy, pre-exponential factor and order reaction are in the range of values found in the literature.</w:t>
      </w:r>
    </w:p>
    <w:p w14:paraId="4E1D5235" w14:textId="77777777" w:rsidR="00600535" w:rsidRPr="00877ED2" w:rsidRDefault="00600535" w:rsidP="00600535">
      <w:pPr>
        <w:pStyle w:val="CETHeading1"/>
        <w:rPr>
          <w:lang w:val="en-GB"/>
        </w:rPr>
      </w:pPr>
      <w:r w:rsidRPr="00877ED2">
        <w:rPr>
          <w:lang w:val="en-GB"/>
        </w:rPr>
        <w:t>Introduction</w:t>
      </w:r>
    </w:p>
    <w:p w14:paraId="737BED18" w14:textId="1587444C" w:rsidR="00F710D3" w:rsidRPr="00877ED2" w:rsidRDefault="00BB1E87" w:rsidP="00DB1DD2">
      <w:pPr>
        <w:pStyle w:val="CETBodytext"/>
      </w:pPr>
      <w:r w:rsidRPr="00877ED2">
        <w:t>The use of renewable plant materials is a promising alternative for</w:t>
      </w:r>
      <w:r w:rsidR="0064782A" w:rsidRPr="00877ED2">
        <w:t xml:space="preserve"> </w:t>
      </w:r>
      <w:r w:rsidR="006D1E7E" w:rsidRPr="00877ED2">
        <w:t xml:space="preserve">production of chemicals </w:t>
      </w:r>
      <w:r w:rsidR="000C4E84" w:rsidRPr="00877ED2">
        <w:t>(</w:t>
      </w:r>
      <w:r w:rsidR="006D1E7E" w:rsidRPr="00877ED2">
        <w:t xml:space="preserve">Kumar, 2015, </w:t>
      </w:r>
      <w:r w:rsidR="00F710D3" w:rsidRPr="00877ED2">
        <w:t>Strubinger, 2017). The growth of green coconut water</w:t>
      </w:r>
      <w:r w:rsidR="0064782A" w:rsidRPr="00877ED2">
        <w:t xml:space="preserve"> consumption</w:t>
      </w:r>
      <w:r w:rsidR="00F710D3" w:rsidRPr="00877ED2">
        <w:t xml:space="preserve"> and the natural tendency for its industrialization have caused difficulties </w:t>
      </w:r>
      <w:r w:rsidR="0064782A" w:rsidRPr="00877ED2">
        <w:t>for</w:t>
      </w:r>
      <w:r w:rsidR="00F710D3" w:rsidRPr="00877ED2">
        <w:t xml:space="preserve"> final disposal of the residue generated, that is, the fruit peels (Rosa et al., 2001). </w:t>
      </w:r>
      <w:r w:rsidR="00256586" w:rsidRPr="00877ED2">
        <w:t xml:space="preserve">Hydrothermal pyrolysis is a </w:t>
      </w:r>
      <w:r w:rsidR="00505E59" w:rsidRPr="00877ED2">
        <w:t xml:space="preserve">feasible </w:t>
      </w:r>
      <w:r w:rsidR="00256586" w:rsidRPr="00877ED2">
        <w:t xml:space="preserve">alternative to this reuse, where matter decomposes in an inert atmosphere generating gases, liquids and solid residues (Carrijo et al., 2002). After cooling the solution and condensing the vapors, it is possible to observe the formation of a brown </w:t>
      </w:r>
      <w:r w:rsidR="00505E59" w:rsidRPr="00877ED2">
        <w:t>liquid</w:t>
      </w:r>
      <w:r w:rsidR="00256586" w:rsidRPr="00877ED2">
        <w:t xml:space="preserve"> called bio-oil. Lignocellulosic biomass is mostly composed of three main components consisting of about 30-50% cellulose, 15-35% hemicellulose and 10-20% lignin (Schena, 2015)</w:t>
      </w:r>
      <w:r w:rsidR="000C4E84" w:rsidRPr="00877ED2">
        <w:t>.</w:t>
      </w:r>
      <w:r w:rsidR="00256586" w:rsidRPr="00877ED2">
        <w:t xml:space="preserve"> </w:t>
      </w:r>
      <w:r w:rsidR="00F710D3" w:rsidRPr="00877ED2">
        <w:t>For</w:t>
      </w:r>
      <w:r w:rsidR="0064782A" w:rsidRPr="00877ED2">
        <w:t xml:space="preserve"> a suitable use of</w:t>
      </w:r>
      <w:r w:rsidR="00F710D3" w:rsidRPr="00877ED2">
        <w:t xml:space="preserve"> </w:t>
      </w:r>
      <w:r w:rsidR="00505E59" w:rsidRPr="00877ED2">
        <w:t>this</w:t>
      </w:r>
      <w:r w:rsidR="00F710D3" w:rsidRPr="00877ED2">
        <w:t xml:space="preserve"> biomass, it is extremely important to know their thermal </w:t>
      </w:r>
      <w:r w:rsidR="0064782A" w:rsidRPr="00877ED2">
        <w:t>behavio</w:t>
      </w:r>
      <w:r w:rsidR="00505E59" w:rsidRPr="00877ED2">
        <w:t>r</w:t>
      </w:r>
      <w:r w:rsidR="0064782A" w:rsidRPr="00877ED2">
        <w:t xml:space="preserve"> during </w:t>
      </w:r>
      <w:r w:rsidR="00F710D3" w:rsidRPr="00877ED2">
        <w:t>thermoconversion process. The biomass</w:t>
      </w:r>
      <w:r w:rsidR="00505E59" w:rsidRPr="00877ED2">
        <w:t>,</w:t>
      </w:r>
      <w:r w:rsidR="00F710D3" w:rsidRPr="00877ED2">
        <w:t xml:space="preserve"> when subjected to</w:t>
      </w:r>
      <w:r w:rsidR="0064782A" w:rsidRPr="00877ED2">
        <w:t xml:space="preserve"> high temperatures, undergoes </w:t>
      </w:r>
      <w:r w:rsidR="00F710D3" w:rsidRPr="00877ED2">
        <w:t xml:space="preserve">thermal decomposition of its components </w:t>
      </w:r>
      <w:r w:rsidR="0064782A" w:rsidRPr="00877ED2">
        <w:t>(</w:t>
      </w:r>
      <w:r w:rsidR="00F710D3" w:rsidRPr="00877ED2">
        <w:t>hemicelluloses, cellulose and lignin</w:t>
      </w:r>
      <w:r w:rsidR="0064782A" w:rsidRPr="00877ED2">
        <w:t>)</w:t>
      </w:r>
      <w:r w:rsidR="00F710D3" w:rsidRPr="00877ED2">
        <w:t xml:space="preserve">, undergoing </w:t>
      </w:r>
      <w:r w:rsidR="0064782A" w:rsidRPr="00877ED2">
        <w:t>a carbonization process under</w:t>
      </w:r>
      <w:r w:rsidR="00F710D3" w:rsidRPr="00877ED2">
        <w:t xml:space="preserve"> inert atmosphere (Raad, 2006). The knowledge of such</w:t>
      </w:r>
      <w:r w:rsidR="0064782A" w:rsidRPr="00877ED2">
        <w:t xml:space="preserve"> process is fundamental for monitoring </w:t>
      </w:r>
      <w:r w:rsidR="00F710D3" w:rsidRPr="00877ED2">
        <w:t xml:space="preserve">processing conditions of these materials (Ahmad et al., 2017). </w:t>
      </w:r>
      <w:r w:rsidR="0064782A" w:rsidRPr="00877ED2">
        <w:t>T</w:t>
      </w:r>
      <w:r w:rsidR="00F710D3" w:rsidRPr="00877ED2">
        <w:t xml:space="preserve">hermogravimetric analysis </w:t>
      </w:r>
      <w:r w:rsidR="0064782A" w:rsidRPr="00877ED2">
        <w:t xml:space="preserve">technique </w:t>
      </w:r>
      <w:r w:rsidR="00F710D3" w:rsidRPr="00877ED2">
        <w:t>(TGA)</w:t>
      </w:r>
      <w:r w:rsidR="0064782A" w:rsidRPr="00877ED2">
        <w:t xml:space="preserve"> </w:t>
      </w:r>
      <w:r w:rsidR="00F710D3" w:rsidRPr="00877ED2">
        <w:t>make</w:t>
      </w:r>
      <w:r w:rsidR="0064782A" w:rsidRPr="00877ED2">
        <w:t>s</w:t>
      </w:r>
      <w:r w:rsidR="00F710D3" w:rsidRPr="00877ED2">
        <w:t xml:space="preserve"> possible to obtain this information in a simple and fast way. Changes in its surface properties with increasing calcination time may influence the catalytic activity of the breakdown reactions </w:t>
      </w:r>
      <w:r w:rsidR="0064782A" w:rsidRPr="00877ED2">
        <w:lastRenderedPageBreak/>
        <w:t xml:space="preserve">of </w:t>
      </w:r>
      <w:r w:rsidR="00F710D3" w:rsidRPr="00877ED2">
        <w:t>lignocellulosic</w:t>
      </w:r>
      <w:r w:rsidR="0085292F" w:rsidRPr="00877ED2">
        <w:t xml:space="preserve"> c</w:t>
      </w:r>
      <w:r w:rsidR="00F710D3" w:rsidRPr="00877ED2">
        <w:t>omponents (Barbosa, 2014). Thermogravimetric tests</w:t>
      </w:r>
      <w:r w:rsidR="00505E59" w:rsidRPr="00877ED2">
        <w:t>,</w:t>
      </w:r>
      <w:r w:rsidR="00F710D3" w:rsidRPr="00877ED2">
        <w:t xml:space="preserve"> using biomass mixtures and catalysts with different calcination times in the final stage of preparation</w:t>
      </w:r>
      <w:r w:rsidR="00505E59" w:rsidRPr="00877ED2">
        <w:t>,</w:t>
      </w:r>
      <w:r w:rsidR="00F710D3" w:rsidRPr="00877ED2">
        <w:t xml:space="preserve"> are of fundamental importance to find a catalyst </w:t>
      </w:r>
      <w:r w:rsidR="00505E59" w:rsidRPr="00877ED2">
        <w:t>capable to</w:t>
      </w:r>
      <w:r w:rsidR="0064782A" w:rsidRPr="00877ED2">
        <w:t xml:space="preserve"> generate </w:t>
      </w:r>
      <w:r w:rsidR="00F710D3" w:rsidRPr="00877ED2">
        <w:t xml:space="preserve">real catalytic effect, accelerating the thermal degradation of the polymeric structures present, and which can be </w:t>
      </w:r>
      <w:r w:rsidR="00667CD3" w:rsidRPr="00877ED2">
        <w:t xml:space="preserve">applied in </w:t>
      </w:r>
      <w:r w:rsidR="00B059DE" w:rsidRPr="00877ED2">
        <w:t>a</w:t>
      </w:r>
      <w:r w:rsidR="00F710D3" w:rsidRPr="00877ED2">
        <w:t xml:space="preserve"> </w:t>
      </w:r>
      <w:r w:rsidR="00505E59" w:rsidRPr="00877ED2">
        <w:t>h</w:t>
      </w:r>
      <w:r w:rsidR="00F710D3" w:rsidRPr="00877ED2">
        <w:t>ydrothermal liquefaction (HTL) route.</w:t>
      </w:r>
    </w:p>
    <w:p w14:paraId="738E04D9" w14:textId="24D0574C" w:rsidR="0075250B" w:rsidRPr="00877ED2" w:rsidRDefault="00F710D3" w:rsidP="00DB1DD2">
      <w:pPr>
        <w:pStyle w:val="CETBodytext"/>
      </w:pPr>
      <w:r w:rsidRPr="00877ED2">
        <w:t>An equation for the kinetic mechanism of lign</w:t>
      </w:r>
      <w:r w:rsidR="0064782A" w:rsidRPr="00877ED2">
        <w:t xml:space="preserve">in carbonization present in </w:t>
      </w:r>
      <w:r w:rsidRPr="00877ED2">
        <w:t>green coconut biomass was obtained by equations proposed by Speyer (1994) and by the thermogravimetry of green coconut samples in a mixture with cobalt ferrite catalyst. The design of a reactor using the biomass pyrolysis pr</w:t>
      </w:r>
      <w:r w:rsidR="0064782A" w:rsidRPr="00877ED2">
        <w:t xml:space="preserve">ocess requires knowledge of kinetic parameters of </w:t>
      </w:r>
      <w:r w:rsidRPr="00877ED2">
        <w:t>Arrhenius equation (activation energy Ea, pre-exponential factor k</w:t>
      </w:r>
      <w:r w:rsidRPr="00877ED2">
        <w:rPr>
          <w:vertAlign w:val="subscript"/>
        </w:rPr>
        <w:t>0</w:t>
      </w:r>
      <w:r w:rsidRPr="00877ED2">
        <w:t xml:space="preserve"> and apparent order of reaction n</w:t>
      </w:r>
      <w:r w:rsidR="00577690" w:rsidRPr="00877ED2">
        <w:t>)</w:t>
      </w:r>
      <w:r w:rsidRPr="00877ED2">
        <w:t>. The technique</w:t>
      </w:r>
      <w:r w:rsidR="00667CD3" w:rsidRPr="00877ED2">
        <w:t>s</w:t>
      </w:r>
      <w:r w:rsidRPr="00877ED2">
        <w:t xml:space="preserve"> of thermal analys</w:t>
      </w:r>
      <w:r w:rsidR="00667CD3" w:rsidRPr="00877ED2">
        <w:t>e</w:t>
      </w:r>
      <w:r w:rsidRPr="00877ED2">
        <w:t xml:space="preserve">s, in particular the </w:t>
      </w:r>
      <w:r w:rsidR="00577690" w:rsidRPr="00877ED2">
        <w:t>t</w:t>
      </w:r>
      <w:r w:rsidRPr="00877ED2">
        <w:t xml:space="preserve">hermogravimetric (TG) </w:t>
      </w:r>
      <w:r w:rsidR="00577690" w:rsidRPr="00877ED2">
        <w:t>a</w:t>
      </w:r>
      <w:r w:rsidRPr="00877ED2">
        <w:t>nalysis</w:t>
      </w:r>
      <w:r w:rsidR="00667CD3" w:rsidRPr="00877ED2">
        <w:t>,</w:t>
      </w:r>
      <w:r w:rsidRPr="00877ED2">
        <w:t xml:space="preserve"> allow to obtain </w:t>
      </w:r>
      <w:r w:rsidR="00667CD3" w:rsidRPr="00877ED2">
        <w:t xml:space="preserve">kinetic </w:t>
      </w:r>
      <w:r w:rsidRPr="00877ED2">
        <w:t>information in a simple and fast way.</w:t>
      </w:r>
      <w:r w:rsidR="00492730" w:rsidRPr="00877ED2">
        <w:t xml:space="preserve"> </w:t>
      </w:r>
    </w:p>
    <w:p w14:paraId="6319278C" w14:textId="6A4BCC8E" w:rsidR="00F710D3" w:rsidRPr="00877ED2" w:rsidRDefault="0064782A" w:rsidP="00DB1DD2">
      <w:pPr>
        <w:pStyle w:val="CETBodytext"/>
      </w:pPr>
      <w:r w:rsidRPr="00877ED2">
        <w:t>K</w:t>
      </w:r>
      <w:r w:rsidR="003021BA" w:rsidRPr="00877ED2">
        <w:t>inetic</w:t>
      </w:r>
      <w:r w:rsidRPr="00877ED2">
        <w:t xml:space="preserve"> modelling</w:t>
      </w:r>
      <w:r w:rsidR="003021BA" w:rsidRPr="00877ED2">
        <w:t xml:space="preserve"> of </w:t>
      </w:r>
      <w:r w:rsidR="00391C92" w:rsidRPr="00877ED2">
        <w:t xml:space="preserve">a </w:t>
      </w:r>
      <w:r w:rsidR="003021BA" w:rsidRPr="00877ED2">
        <w:t xml:space="preserve">reaction system is important to </w:t>
      </w:r>
      <w:r w:rsidRPr="00877ED2">
        <w:t xml:space="preserve">better </w:t>
      </w:r>
      <w:r w:rsidR="003021BA" w:rsidRPr="00877ED2">
        <w:t xml:space="preserve">comprehend the whole system and to improve it, for example using initial conditions responsible to achieve higher conversions. However, to select </w:t>
      </w:r>
      <w:r w:rsidR="0075250B" w:rsidRPr="00877ED2">
        <w:t>optimal</w:t>
      </w:r>
      <w:r w:rsidR="003021BA" w:rsidRPr="00877ED2">
        <w:t xml:space="preserve"> initial conditions in laboratory or industrial scale </w:t>
      </w:r>
      <w:r w:rsidR="0075250B" w:rsidRPr="00877ED2">
        <w:t xml:space="preserve">through mathematical modelling </w:t>
      </w:r>
      <w:r w:rsidR="003021BA" w:rsidRPr="00877ED2">
        <w:t xml:space="preserve">is necessary to have a reliable </w:t>
      </w:r>
      <w:r w:rsidR="0075250B" w:rsidRPr="00877ED2">
        <w:t>model</w:t>
      </w:r>
      <w:r w:rsidR="003021BA" w:rsidRPr="00877ED2">
        <w:t xml:space="preserve">. </w:t>
      </w:r>
      <w:r w:rsidR="00B06B43" w:rsidRPr="00877ED2">
        <w:t>The model is trustable if it is capable to represent well the experimental data available, the procedure used to adjust the model’s prediction to exper</w:t>
      </w:r>
      <w:r w:rsidRPr="00877ED2">
        <w:t>imental data by manipulating</w:t>
      </w:r>
      <w:r w:rsidR="00B06B43" w:rsidRPr="00877ED2">
        <w:t xml:space="preserve"> model parameters is known as parameter estimation, which is an optimization procedure</w:t>
      </w:r>
      <w:r w:rsidR="008C129F" w:rsidRPr="00877ED2">
        <w:t xml:space="preserve">, and uses </w:t>
      </w:r>
      <w:r w:rsidR="00577690" w:rsidRPr="00877ED2">
        <w:t>an</w:t>
      </w:r>
      <w:r w:rsidR="00F710D3" w:rsidRPr="00877ED2">
        <w:t xml:space="preserve"> objective function that weighs the distance between</w:t>
      </w:r>
      <w:r w:rsidR="008C129F" w:rsidRPr="00877ED2">
        <w:t xml:space="preserve"> the model`s prediction</w:t>
      </w:r>
      <w:r w:rsidR="00F710D3" w:rsidRPr="00877ED2">
        <w:t xml:space="preserve"> and the experimental data. </w:t>
      </w:r>
      <w:r w:rsidR="004E7C17" w:rsidRPr="00877ED2">
        <w:t xml:space="preserve"> </w:t>
      </w:r>
      <w:r w:rsidRPr="00877ED2">
        <w:t>Application of s</w:t>
      </w:r>
      <w:r w:rsidR="004E7C17" w:rsidRPr="00877ED2">
        <w:t>tochastic</w:t>
      </w:r>
      <w:r w:rsidR="00F710D3" w:rsidRPr="00877ED2">
        <w:t xml:space="preserve"> optimization methods</w:t>
      </w:r>
      <w:r w:rsidR="008C129F" w:rsidRPr="00877ED2">
        <w:t xml:space="preserve"> are highly indicated in parameter estimation problems,</w:t>
      </w:r>
      <w:r w:rsidR="0037775E" w:rsidRPr="00877ED2">
        <w:t xml:space="preserve"> like</w:t>
      </w:r>
      <w:r w:rsidR="00F710D3" w:rsidRPr="00877ED2">
        <w:t xml:space="preserve"> genetic algorithm (GA) and particle swarm </w:t>
      </w:r>
      <w:r w:rsidR="004E7DB4" w:rsidRPr="00877ED2">
        <w:t>optimization (PSO) (Kumar, 2009</w:t>
      </w:r>
      <w:r w:rsidR="00F710D3" w:rsidRPr="00877ED2">
        <w:t>)</w:t>
      </w:r>
      <w:r w:rsidR="008C129F" w:rsidRPr="00877ED2">
        <w:t xml:space="preserve"> and they are</w:t>
      </w:r>
      <w:r w:rsidR="00F710D3" w:rsidRPr="00877ED2">
        <w:t xml:space="preserve"> based on empirical evolutionary rules that frequently mimic successful optimization strategies found in nature</w:t>
      </w:r>
      <w:r w:rsidR="008C129F" w:rsidRPr="00877ED2">
        <w:t>.</w:t>
      </w:r>
    </w:p>
    <w:p w14:paraId="42D0924C" w14:textId="53DC8292" w:rsidR="00492730" w:rsidRPr="00877ED2" w:rsidRDefault="00492730" w:rsidP="00DB1DD2">
      <w:pPr>
        <w:pStyle w:val="CETBodytext"/>
      </w:pPr>
      <w:r w:rsidRPr="00877ED2">
        <w:t xml:space="preserve">Genetic algorithm is an optimization technique based on Darwin evolution theory. In </w:t>
      </w:r>
      <w:r w:rsidR="00577690" w:rsidRPr="00877ED2">
        <w:t xml:space="preserve">the </w:t>
      </w:r>
      <w:r w:rsidRPr="00877ED2">
        <w:t>last years</w:t>
      </w:r>
      <w:r w:rsidR="00577690" w:rsidRPr="00877ED2">
        <w:t>,</w:t>
      </w:r>
      <w:r w:rsidRPr="00877ED2">
        <w:t xml:space="preserve"> its application in chemistry is increasing significantly due the special characteristics for optimization of complex systems (Costa Filho, 1999). </w:t>
      </w:r>
      <w:r w:rsidR="00BE292C" w:rsidRPr="00877ED2">
        <w:t>Initially, a random set of individuals is formed. At each iteration, this population in evaluated and ranked according to its adaptability. One part of the most fit individuals is retained, while the other is discarded. Among the individuals maintained, a group is selected that will be submitted to the genetic operators like mutation or crossover and will have their characteristics altered, generating better descendants for the next generation. This process is repeated until a set of satisfactory solutions are found (Goldberg, 1989 and Beasley et al.,1993).</w:t>
      </w:r>
    </w:p>
    <w:p w14:paraId="6B75BA85" w14:textId="09E7765C" w:rsidR="00492730" w:rsidRPr="00877ED2" w:rsidRDefault="00B35DAF" w:rsidP="00DB1DD2">
      <w:pPr>
        <w:pStyle w:val="CETBodytext"/>
      </w:pPr>
      <w:r w:rsidRPr="00877ED2">
        <w:t>Particle swarm optimization</w:t>
      </w:r>
      <w:r w:rsidR="003B3804" w:rsidRPr="00877ED2">
        <w:t xml:space="preserve"> (PSO)</w:t>
      </w:r>
      <w:r w:rsidRPr="00877ED2" w:rsidDel="005E4C9A">
        <w:t xml:space="preserve"> </w:t>
      </w:r>
      <w:r w:rsidRPr="00877ED2">
        <w:t>is related to evolutionary computation procedures and has strong ties with genetic algorithm.</w:t>
      </w:r>
      <w:r w:rsidR="003B3804" w:rsidRPr="00877ED2">
        <w:t xml:space="preserve"> </w:t>
      </w:r>
      <w:r w:rsidR="003B3804" w:rsidRPr="00877ED2">
        <w:rPr>
          <w:rFonts w:cs="Arial"/>
          <w:shd w:val="clear" w:color="auto" w:fill="FFFFFF"/>
        </w:rPr>
        <w:t>However, the population of candidate solutions to the optimum of the problem are called particles. The objective of the technique is to move these particles in the search space taking into account their position and speed.</w:t>
      </w:r>
      <w:r w:rsidR="003B3804" w:rsidRPr="00877ED2">
        <w:t xml:space="preserve"> PSO</w:t>
      </w:r>
      <w:r w:rsidR="00492730" w:rsidRPr="00877ED2">
        <w:t xml:space="preserve"> is based on the simulation of simplified social models, such as bird flocking, fish schooling and the swarming theory (Kennedy &amp; Eberhart, 1995). The PSO has been widely studied by several authors in numero</w:t>
      </w:r>
      <w:r w:rsidR="00B46ED2" w:rsidRPr="00877ED2">
        <w:t>us fields (</w:t>
      </w:r>
      <w:r w:rsidR="00492730" w:rsidRPr="00877ED2">
        <w:t xml:space="preserve">Ourique, 2002). Parameter </w:t>
      </w:r>
      <w:r w:rsidR="005E4C9A" w:rsidRPr="00877ED2">
        <w:t xml:space="preserve">estimation </w:t>
      </w:r>
      <w:r w:rsidR="00492730" w:rsidRPr="00877ED2">
        <w:t xml:space="preserve">and </w:t>
      </w:r>
      <w:r w:rsidR="005E4C9A" w:rsidRPr="00877ED2">
        <w:t xml:space="preserve">parameters </w:t>
      </w:r>
      <w:r w:rsidR="00492730" w:rsidRPr="00877ED2">
        <w:t xml:space="preserve">confidence region </w:t>
      </w:r>
      <w:r w:rsidR="005E4C9A" w:rsidRPr="00877ED2">
        <w:t xml:space="preserve">construction </w:t>
      </w:r>
      <w:r w:rsidR="00492730" w:rsidRPr="00877ED2">
        <w:t>by PSO were discussed by Schwaab et al. (</w:t>
      </w:r>
      <w:r w:rsidR="00577690" w:rsidRPr="00877ED2">
        <w:t>2008</w:t>
      </w:r>
      <w:r w:rsidR="00492730" w:rsidRPr="00877ED2">
        <w:t>).</w:t>
      </w:r>
    </w:p>
    <w:p w14:paraId="570F1248" w14:textId="283EEFBE" w:rsidR="00F710D3" w:rsidRPr="00877ED2" w:rsidRDefault="00F710D3" w:rsidP="00DB1DD2">
      <w:pPr>
        <w:pStyle w:val="CETBodytext"/>
        <w:rPr>
          <w:rFonts w:ascii="Times New Roman" w:hAnsi="Times New Roman"/>
          <w:sz w:val="24"/>
          <w:szCs w:val="24"/>
          <w:lang w:eastAsia="pt-BR"/>
        </w:rPr>
      </w:pPr>
      <w:r w:rsidRPr="00877ED2">
        <w:t>The objective</w:t>
      </w:r>
      <w:r w:rsidR="00514264" w:rsidRPr="00877ED2">
        <w:t xml:space="preserve"> of the current work</w:t>
      </w:r>
      <w:r w:rsidRPr="00877ED2">
        <w:t xml:space="preserve"> </w:t>
      </w:r>
      <w:r w:rsidR="00BB37F6" w:rsidRPr="00877ED2">
        <w:t>i</w:t>
      </w:r>
      <w:r w:rsidRPr="00877ED2">
        <w:t xml:space="preserve">s to perform thermal analysis </w:t>
      </w:r>
      <w:r w:rsidR="00BB37F6" w:rsidRPr="00877ED2">
        <w:t xml:space="preserve">of pyrolysis process of the component </w:t>
      </w:r>
      <w:r w:rsidR="0037775E" w:rsidRPr="00877ED2">
        <w:t xml:space="preserve">lignin </w:t>
      </w:r>
      <w:r w:rsidR="00BB37F6" w:rsidRPr="00877ED2">
        <w:t>under</w:t>
      </w:r>
      <w:r w:rsidRPr="00877ED2">
        <w:t xml:space="preserve"> an inert atmosphere of pure nitrogen and to</w:t>
      </w:r>
      <w:r w:rsidR="00BB37F6" w:rsidRPr="00877ED2">
        <w:t xml:space="preserve"> estimate</w:t>
      </w:r>
      <w:r w:rsidRPr="00877ED2">
        <w:t xml:space="preserve"> the kinetic parameters </w:t>
      </w:r>
      <w:r w:rsidR="00BB37F6" w:rsidRPr="00877ED2">
        <w:t xml:space="preserve">of lignin thermal decomposition </w:t>
      </w:r>
      <w:r w:rsidRPr="00877ED2">
        <w:t>through genetic algorithm and particle swarm optimization techniques to provide information for design</w:t>
      </w:r>
      <w:r w:rsidR="0037775E" w:rsidRPr="00877ED2">
        <w:t>ing</w:t>
      </w:r>
      <w:r w:rsidRPr="00877ED2">
        <w:t xml:space="preserve"> biomass thermo-conversion reactors.</w:t>
      </w:r>
    </w:p>
    <w:p w14:paraId="605EE982" w14:textId="1BFB1E92" w:rsidR="00600535" w:rsidRPr="00877ED2" w:rsidRDefault="00F35B68" w:rsidP="00600535">
      <w:pPr>
        <w:pStyle w:val="CETHeading1"/>
        <w:tabs>
          <w:tab w:val="clear" w:pos="360"/>
          <w:tab w:val="right" w:pos="7100"/>
        </w:tabs>
        <w:jc w:val="both"/>
        <w:rPr>
          <w:lang w:val="en-GB"/>
        </w:rPr>
      </w:pPr>
      <w:r w:rsidRPr="00877ED2">
        <w:rPr>
          <w:lang w:val="en-GB"/>
        </w:rPr>
        <w:t>Material and Methods</w:t>
      </w:r>
    </w:p>
    <w:p w14:paraId="108C73E1" w14:textId="1345F4E2" w:rsidR="001D6FFE" w:rsidRPr="00877ED2" w:rsidRDefault="001D6FFE" w:rsidP="001D6FFE">
      <w:pPr>
        <w:pStyle w:val="CETheadingx"/>
        <w:rPr>
          <w:lang w:val="en-GB"/>
        </w:rPr>
      </w:pPr>
      <w:r w:rsidRPr="00877ED2">
        <w:rPr>
          <w:lang w:val="en-GB"/>
        </w:rPr>
        <w:t xml:space="preserve">Thermogravimetric Analysis </w:t>
      </w:r>
    </w:p>
    <w:p w14:paraId="15EBE342" w14:textId="39CF05BC" w:rsidR="001D6FFE" w:rsidRPr="00877ED2" w:rsidRDefault="002F1717" w:rsidP="001D6FFE">
      <w:pPr>
        <w:pStyle w:val="PargrafodaLista"/>
        <w:ind w:left="0"/>
      </w:pPr>
      <w:r w:rsidRPr="00877ED2">
        <w:t>To obtain thermogravimetry data, a TG Netzsch STA 449 F3 Jupter was used, in the temperature range of 20 °C to 1000 °C, under nitrogen (inert) atmosphere, under a flow of 20 mL.min</w:t>
      </w:r>
      <w:r w:rsidRPr="00877ED2">
        <w:rPr>
          <w:vertAlign w:val="superscript"/>
        </w:rPr>
        <w:t xml:space="preserve">-1 </w:t>
      </w:r>
      <w:r w:rsidRPr="00877ED2">
        <w:t>and heating rate of 20 °C.min</w:t>
      </w:r>
      <w:r w:rsidR="0037775E" w:rsidRPr="00877ED2">
        <w:rPr>
          <w:vertAlign w:val="superscript"/>
        </w:rPr>
        <w:t>-1</w:t>
      </w:r>
      <w:r w:rsidRPr="00877ED2">
        <w:t xml:space="preserve"> in a crucible. </w:t>
      </w:r>
      <w:r w:rsidR="001D6FFE" w:rsidRPr="00877ED2">
        <w:t xml:space="preserve">Before </w:t>
      </w:r>
      <w:r w:rsidR="0037775E" w:rsidRPr="00877ED2">
        <w:t>starting</w:t>
      </w:r>
      <w:r w:rsidR="001D6FFE" w:rsidRPr="00877ED2">
        <w:t xml:space="preserve"> the analysis, temperature </w:t>
      </w:r>
      <w:r w:rsidR="0037775E" w:rsidRPr="00877ED2">
        <w:t xml:space="preserve">stabilization of the equipment on a bath was carried out </w:t>
      </w:r>
      <w:r w:rsidR="001D6FFE" w:rsidRPr="00877ED2">
        <w:t xml:space="preserve">with minimum duration of 3 hours </w:t>
      </w:r>
      <w:r w:rsidR="0037775E" w:rsidRPr="00877ED2">
        <w:t>for</w:t>
      </w:r>
      <w:r w:rsidR="001D6FFE" w:rsidRPr="00877ED2">
        <w:t xml:space="preserve"> the temperature stabiliz</w:t>
      </w:r>
      <w:r w:rsidR="0037775E" w:rsidRPr="00877ED2">
        <w:t>ation</w:t>
      </w:r>
      <w:r w:rsidR="001D6FFE" w:rsidRPr="00877ED2">
        <w:t xml:space="preserve"> just above </w:t>
      </w:r>
      <w:r w:rsidR="0037775E" w:rsidRPr="00877ED2">
        <w:t>room</w:t>
      </w:r>
      <w:r w:rsidR="001D6FFE" w:rsidRPr="00877ED2">
        <w:t xml:space="preserve"> temperature. </w:t>
      </w:r>
      <w:r w:rsidRPr="00877ED2">
        <w:t xml:space="preserve">After </w:t>
      </w:r>
      <w:r w:rsidR="0037775E" w:rsidRPr="00877ED2">
        <w:t>that</w:t>
      </w:r>
      <w:r w:rsidRPr="00877ED2">
        <w:t xml:space="preserve"> analysis </w:t>
      </w:r>
      <w:r w:rsidR="0037775E" w:rsidRPr="00877ED2">
        <w:t>were</w:t>
      </w:r>
      <w:r w:rsidRPr="00877ED2">
        <w:t xml:space="preserve"> initiated. The empty crucible </w:t>
      </w:r>
      <w:r w:rsidR="0037775E" w:rsidRPr="00877ED2">
        <w:t>was</w:t>
      </w:r>
      <w:r w:rsidRPr="00877ED2">
        <w:t xml:space="preserve"> added for reference weighing and only then the nitrogen cylinder and the valves </w:t>
      </w:r>
      <w:r w:rsidR="0037775E" w:rsidRPr="00877ED2">
        <w:t>were</w:t>
      </w:r>
      <w:r w:rsidRPr="00877ED2">
        <w:t xml:space="preserve"> opened. Three purges with nitrogen gas </w:t>
      </w:r>
      <w:r w:rsidR="0037775E" w:rsidRPr="00877ED2">
        <w:t>were</w:t>
      </w:r>
      <w:r w:rsidRPr="00877ED2">
        <w:t xml:space="preserve"> made so that all the oxygen inside the apparatus </w:t>
      </w:r>
      <w:r w:rsidR="0037775E" w:rsidRPr="00877ED2">
        <w:t>was</w:t>
      </w:r>
      <w:r w:rsidRPr="00877ED2">
        <w:t xml:space="preserve"> removed before starting the real tests. For each analysis, a blank </w:t>
      </w:r>
      <w:r w:rsidR="0037775E" w:rsidRPr="00877ED2">
        <w:t>was</w:t>
      </w:r>
      <w:r w:rsidRPr="00877ED2">
        <w:t xml:space="preserve"> run with</w:t>
      </w:r>
      <w:r w:rsidR="0037775E" w:rsidRPr="00877ED2">
        <w:t xml:space="preserve"> an</w:t>
      </w:r>
      <w:r w:rsidRPr="00877ED2">
        <w:t xml:space="preserve"> empty crucible for the same duration of sample analysis, 60 minutes, and a heating rate of 20 ° C / min</w:t>
      </w:r>
      <w:r w:rsidR="0037775E" w:rsidRPr="00877ED2">
        <w:rPr>
          <w:vertAlign w:val="superscript"/>
        </w:rPr>
        <w:t>-1</w:t>
      </w:r>
      <w:r w:rsidRPr="00877ED2">
        <w:t>.</w:t>
      </w:r>
      <w:r w:rsidR="001D6FFE" w:rsidRPr="00877ED2">
        <w:t xml:space="preserve"> In the equipment control software, </w:t>
      </w:r>
      <w:r w:rsidR="0037775E" w:rsidRPr="00877ED2">
        <w:t xml:space="preserve">analysis conditions, </w:t>
      </w:r>
      <w:r w:rsidR="001D6FFE" w:rsidRPr="00877ED2">
        <w:t>i</w:t>
      </w:r>
      <w:r w:rsidR="0037775E" w:rsidRPr="00877ED2">
        <w:t xml:space="preserve">nitial heating temperature, </w:t>
      </w:r>
      <w:r w:rsidR="00D91595" w:rsidRPr="00877ED2">
        <w:t xml:space="preserve">final temperature and </w:t>
      </w:r>
      <w:r w:rsidR="001D6FFE" w:rsidRPr="00877ED2">
        <w:t xml:space="preserve">heating rate are defined. Thus, the analysis </w:t>
      </w:r>
      <w:r w:rsidR="00D91595" w:rsidRPr="00877ED2">
        <w:t>began</w:t>
      </w:r>
      <w:r w:rsidR="001D6FFE" w:rsidRPr="00877ED2">
        <w:t>, first with the empty crucible and then, following the same procedure, with the sample to be analysed. Fi</w:t>
      </w:r>
      <w:r w:rsidR="00D91595" w:rsidRPr="00877ED2">
        <w:t xml:space="preserve">rstly, the samples used for </w:t>
      </w:r>
      <w:r w:rsidR="001D6FFE" w:rsidRPr="00877ED2">
        <w:t>thermogravim</w:t>
      </w:r>
      <w:r w:rsidR="00D91595" w:rsidRPr="00877ED2">
        <w:t xml:space="preserve">etric analysis were only of </w:t>
      </w:r>
      <w:r w:rsidR="001D6FFE" w:rsidRPr="00877ED2">
        <w:t>biomass in the form of powder and</w:t>
      </w:r>
      <w:r w:rsidR="00514264" w:rsidRPr="00877ED2">
        <w:t>,</w:t>
      </w:r>
      <w:r w:rsidR="001D6FFE" w:rsidRPr="00877ED2">
        <w:t xml:space="preserve"> after that</w:t>
      </w:r>
      <w:r w:rsidR="00514264" w:rsidRPr="00877ED2">
        <w:t>,</w:t>
      </w:r>
      <w:r w:rsidR="001D6FFE" w:rsidRPr="00877ED2">
        <w:t xml:space="preserve"> were done tests with proportions of catalyst and biomass</w:t>
      </w:r>
    </w:p>
    <w:p w14:paraId="157A0C95" w14:textId="5105BC2A" w:rsidR="001D6FFE" w:rsidRPr="00877ED2" w:rsidRDefault="001D6FFE" w:rsidP="001D6FFE">
      <w:pPr>
        <w:pStyle w:val="PargrafodaLista"/>
        <w:ind w:left="0"/>
      </w:pPr>
      <w:r w:rsidRPr="00877ED2">
        <w:t xml:space="preserve">The catalyst used was cobalt ferrite calcined </w:t>
      </w:r>
      <w:r w:rsidR="00D91595" w:rsidRPr="00877ED2">
        <w:t>during</w:t>
      </w:r>
      <w:r w:rsidRPr="00877ED2">
        <w:t xml:space="preserve"> 9 h in oven at 1000 °C. After the thermogravimetry test, data of temperature, mass loss and derivative o</w:t>
      </w:r>
      <w:r w:rsidR="00D91595" w:rsidRPr="00877ED2">
        <w:t xml:space="preserve">f mass loss were taken from </w:t>
      </w:r>
      <w:r w:rsidRPr="00877ED2">
        <w:t xml:space="preserve">TG software and transferred to an excel sheet. </w:t>
      </w:r>
    </w:p>
    <w:p w14:paraId="7DD02F81" w14:textId="77777777" w:rsidR="001D6FFE" w:rsidRPr="00877ED2" w:rsidRDefault="001D6FFE" w:rsidP="001D6FFE">
      <w:pPr>
        <w:pStyle w:val="CETBodytext"/>
        <w:rPr>
          <w:lang w:val="en-GB"/>
        </w:rPr>
      </w:pPr>
    </w:p>
    <w:p w14:paraId="1D414A6F" w14:textId="1A55B3BC" w:rsidR="001D6FFE" w:rsidRPr="00877ED2" w:rsidRDefault="001D6FFE" w:rsidP="001D6FFE">
      <w:pPr>
        <w:pStyle w:val="CETheadingx"/>
        <w:rPr>
          <w:lang w:val="en-GB"/>
        </w:rPr>
      </w:pPr>
      <w:r w:rsidRPr="00877ED2">
        <w:rPr>
          <w:lang w:val="en-GB"/>
        </w:rPr>
        <w:lastRenderedPageBreak/>
        <w:t>Decomposition kinetics from thermogravimetric analyses</w:t>
      </w:r>
    </w:p>
    <w:p w14:paraId="32AC041B" w14:textId="581F389A" w:rsidR="001D6FFE" w:rsidRPr="00877ED2" w:rsidRDefault="001D6FFE" w:rsidP="001D6FFE">
      <w:pPr>
        <w:pStyle w:val="CETBodytext"/>
        <w:rPr>
          <w:lang w:val="en-GB"/>
        </w:rPr>
      </w:pPr>
      <w:r w:rsidRPr="00877ED2">
        <w:rPr>
          <w:lang w:val="en-GB"/>
        </w:rPr>
        <w:t>Based on the premise that the parameters of a given kinetic mechanism are valid for both the constant temperature and the variable temperature processes, the kinetic parameters</w:t>
      </w:r>
      <w:r w:rsidR="00CB7C91" w:rsidRPr="00877ED2">
        <w:rPr>
          <w:lang w:val="en-GB"/>
        </w:rPr>
        <w:t xml:space="preserve"> </w:t>
      </w:r>
      <w:r w:rsidR="00CB7C91" w:rsidRPr="00877ED2">
        <w:rPr>
          <w:i/>
          <w:lang w:val="en-GB"/>
        </w:rPr>
        <w:t>"k</w:t>
      </w:r>
      <w:r w:rsidR="00CB7C91" w:rsidRPr="00877ED2">
        <w:rPr>
          <w:i/>
          <w:vertAlign w:val="subscript"/>
          <w:lang w:val="en-GB"/>
        </w:rPr>
        <w:t>0</w:t>
      </w:r>
      <w:r w:rsidR="00CB7C91" w:rsidRPr="00877ED2">
        <w:rPr>
          <w:i/>
          <w:lang w:val="en-GB"/>
        </w:rPr>
        <w:t>" (</w:t>
      </w:r>
      <w:r w:rsidR="00CB7C91" w:rsidRPr="00877ED2">
        <w:rPr>
          <w:lang w:val="en-GB"/>
        </w:rPr>
        <w:t xml:space="preserve">pre-exponential factor), </w:t>
      </w:r>
      <w:r w:rsidRPr="00877ED2">
        <w:rPr>
          <w:lang w:val="en-GB"/>
        </w:rPr>
        <w:t>"</w:t>
      </w:r>
      <w:r w:rsidRPr="00877ED2">
        <w:rPr>
          <w:i/>
          <w:lang w:val="en-GB"/>
        </w:rPr>
        <w:t>Ea</w:t>
      </w:r>
      <w:r w:rsidRPr="00877ED2">
        <w:rPr>
          <w:lang w:val="en-GB"/>
        </w:rPr>
        <w:t xml:space="preserve">" </w:t>
      </w:r>
      <w:r w:rsidR="00CB7C91" w:rsidRPr="00877ED2">
        <w:rPr>
          <w:lang w:val="en-GB"/>
        </w:rPr>
        <w:t xml:space="preserve">(activation energy) </w:t>
      </w:r>
      <w:r w:rsidRPr="00877ED2">
        <w:rPr>
          <w:lang w:val="en-GB"/>
        </w:rPr>
        <w:t>and "</w:t>
      </w:r>
      <w:r w:rsidRPr="00877ED2">
        <w:rPr>
          <w:i/>
          <w:lang w:val="en-GB"/>
        </w:rPr>
        <w:t>n</w:t>
      </w:r>
      <w:r w:rsidRPr="00877ED2">
        <w:rPr>
          <w:lang w:val="en-GB"/>
        </w:rPr>
        <w:t xml:space="preserve">" </w:t>
      </w:r>
      <w:r w:rsidR="00CB7C91" w:rsidRPr="00877ED2">
        <w:rPr>
          <w:lang w:val="en-GB"/>
        </w:rPr>
        <w:t xml:space="preserve">(reaction order) </w:t>
      </w:r>
      <w:r w:rsidR="00D91595" w:rsidRPr="00877ED2">
        <w:rPr>
          <w:lang w:val="en-GB"/>
        </w:rPr>
        <w:t xml:space="preserve">can be obtained from </w:t>
      </w:r>
      <w:r w:rsidRPr="00877ED2">
        <w:rPr>
          <w:lang w:val="en-GB"/>
        </w:rPr>
        <w:t xml:space="preserve">TG data. </w:t>
      </w:r>
      <w:r w:rsidR="00D91595" w:rsidRPr="00877ED2">
        <w:rPr>
          <w:lang w:val="en-GB"/>
        </w:rPr>
        <w:t>A</w:t>
      </w:r>
      <w:r w:rsidR="008F0168" w:rsidRPr="00877ED2">
        <w:rPr>
          <w:lang w:val="en-GB"/>
        </w:rPr>
        <w:t xml:space="preserve"> kinetic study using the method described by Speyer (1994) was done in the temperature range of thermogravimetry</w:t>
      </w:r>
      <w:r w:rsidR="00D91595" w:rsidRPr="00877ED2">
        <w:rPr>
          <w:lang w:val="en-GB"/>
        </w:rPr>
        <w:t xml:space="preserve"> defined as possibly being </w:t>
      </w:r>
      <w:r w:rsidR="008F0168" w:rsidRPr="00877ED2">
        <w:rPr>
          <w:lang w:val="en-GB"/>
        </w:rPr>
        <w:t>lignin</w:t>
      </w:r>
      <w:r w:rsidR="00D91595" w:rsidRPr="00877ED2">
        <w:rPr>
          <w:lang w:val="en-GB"/>
        </w:rPr>
        <w:t xml:space="preserve"> thermal decomposition</w:t>
      </w:r>
      <w:r w:rsidR="008F0168" w:rsidRPr="00877ED2">
        <w:rPr>
          <w:lang w:val="en-GB"/>
        </w:rPr>
        <w:t>.</w:t>
      </w:r>
      <w:r w:rsidRPr="00877ED2">
        <w:t xml:space="preserve"> </w:t>
      </w:r>
      <w:r w:rsidRPr="00877ED2">
        <w:rPr>
          <w:lang w:val="en-GB"/>
        </w:rPr>
        <w:t>Several techniques for determining kinetic mechanisms use of TG data obtained at several different heating rates, which makes the analysis more time consuming and cumbersome (Kan-Sen, 1984). Speyer et al.</w:t>
      </w:r>
      <w:r w:rsidR="00514264" w:rsidRPr="00877ED2">
        <w:rPr>
          <w:lang w:val="en-GB"/>
        </w:rPr>
        <w:t xml:space="preserve"> (1994)</w:t>
      </w:r>
      <w:r w:rsidRPr="00877ED2">
        <w:rPr>
          <w:lang w:val="en-GB"/>
        </w:rPr>
        <w:t xml:space="preserve"> elucidate</w:t>
      </w:r>
      <w:r w:rsidR="00D91595" w:rsidRPr="00877ED2">
        <w:rPr>
          <w:lang w:val="en-GB"/>
        </w:rPr>
        <w:t>d</w:t>
      </w:r>
      <w:r w:rsidRPr="00877ED2">
        <w:rPr>
          <w:lang w:val="en-GB"/>
        </w:rPr>
        <w:t xml:space="preserve"> the development of a kinetic </w:t>
      </w:r>
      <w:r w:rsidR="00CB7C91" w:rsidRPr="00877ED2">
        <w:rPr>
          <w:lang w:val="en-GB"/>
        </w:rPr>
        <w:t xml:space="preserve">model </w:t>
      </w:r>
      <w:r w:rsidRPr="00877ED2">
        <w:rPr>
          <w:lang w:val="en-GB"/>
        </w:rPr>
        <w:t>for decomposition reactions with data collected from TG to obtain activation energy</w:t>
      </w:r>
      <w:r w:rsidR="00BA7DB7" w:rsidRPr="00877ED2">
        <w:rPr>
          <w:lang w:val="en-GB"/>
        </w:rPr>
        <w:t>, pre-exponential factor</w:t>
      </w:r>
      <w:r w:rsidRPr="00877ED2">
        <w:rPr>
          <w:lang w:val="en-GB"/>
        </w:rPr>
        <w:t xml:space="preserve"> and order of reaction without the need for extra analysis at different heating rates.</w:t>
      </w:r>
      <w:r w:rsidR="00CB7C91" w:rsidRPr="00877ED2">
        <w:rPr>
          <w:lang w:val="en-GB"/>
        </w:rPr>
        <w:t xml:space="preserve"> </w:t>
      </w:r>
    </w:p>
    <w:p w14:paraId="0C264A37" w14:textId="77777777" w:rsidR="001D6FFE" w:rsidRPr="00877ED2" w:rsidRDefault="001D6FFE" w:rsidP="001D6FFE">
      <w:pPr>
        <w:pStyle w:val="CETBodytext"/>
        <w:rPr>
          <w:lang w:val="en-GB"/>
        </w:rPr>
      </w:pPr>
      <w:r w:rsidRPr="00877ED2">
        <w:rPr>
          <w:lang w:val="en-GB"/>
        </w:rPr>
        <w:t>The general reaction rate for the study of decomposition kinetics can be described as:</w:t>
      </w:r>
    </w:p>
    <w:tbl>
      <w:tblPr>
        <w:tblW w:w="5000" w:type="pct"/>
        <w:tblLook w:val="04A0" w:firstRow="1" w:lastRow="0" w:firstColumn="1" w:lastColumn="0" w:noHBand="0" w:noVBand="1"/>
      </w:tblPr>
      <w:tblGrid>
        <w:gridCol w:w="7982"/>
        <w:gridCol w:w="805"/>
      </w:tblGrid>
      <w:tr w:rsidR="00877ED2" w:rsidRPr="00877ED2" w14:paraId="08C99BBF" w14:textId="77777777" w:rsidTr="001D6FFE">
        <w:trPr>
          <w:trHeight w:val="769"/>
        </w:trPr>
        <w:tc>
          <w:tcPr>
            <w:tcW w:w="7982" w:type="dxa"/>
            <w:shd w:val="clear" w:color="auto" w:fill="auto"/>
            <w:vAlign w:val="center"/>
          </w:tcPr>
          <w:p w14:paraId="72163934" w14:textId="0A2C69D6" w:rsidR="001D6FFE" w:rsidRPr="00877ED2" w:rsidRDefault="00877ED2" w:rsidP="001D6FFE">
            <w:pPr>
              <w:pStyle w:val="CETEquation"/>
              <w:rPr>
                <w:rFonts w:cs="Arial"/>
                <w:i/>
              </w:rPr>
            </w:pPr>
            <m:oMathPara>
              <m:oMathParaPr>
                <m:jc m:val="left"/>
              </m:oMathParaPr>
              <m:oMath>
                <m:f>
                  <m:fPr>
                    <m:ctrlPr>
                      <w:rPr>
                        <w:rFonts w:ascii="Cambria Math" w:hAnsi="Cambria Math" w:cs="Arial"/>
                        <w:i/>
                      </w:rPr>
                    </m:ctrlPr>
                  </m:fPr>
                  <m:num>
                    <m:r>
                      <w:rPr>
                        <w:rFonts w:ascii="Cambria Math" w:hAnsi="Cambria Math" w:cs="Arial"/>
                      </w:rPr>
                      <m:t>dX</m:t>
                    </m:r>
                  </m:num>
                  <m:den>
                    <m:r>
                      <w:rPr>
                        <w:rFonts w:ascii="Cambria Math" w:hAnsi="Cambria Math" w:cs="Arial"/>
                      </w:rPr>
                      <m:t>dt</m:t>
                    </m:r>
                  </m:den>
                </m:f>
                <m:r>
                  <w:rPr>
                    <w:rFonts w:ascii="Cambria Math" w:hAnsi="Cambria Math" w:cs="Arial"/>
                  </w:rPr>
                  <m:t>= -k*</m:t>
                </m:r>
                <m:sSup>
                  <m:sSupPr>
                    <m:ctrlPr>
                      <w:rPr>
                        <w:rFonts w:ascii="Cambria Math" w:hAnsi="Cambria Math" w:cs="Arial"/>
                        <w:i/>
                      </w:rPr>
                    </m:ctrlPr>
                  </m:sSupPr>
                  <m:e>
                    <m:r>
                      <w:rPr>
                        <w:rFonts w:ascii="Cambria Math" w:hAnsi="Cambria Math" w:cs="Arial"/>
                      </w:rPr>
                      <m:t>X</m:t>
                    </m:r>
                  </m:e>
                  <m:sup>
                    <m:r>
                      <w:rPr>
                        <w:rFonts w:ascii="Cambria Math" w:hAnsi="Cambria Math" w:cs="Arial"/>
                      </w:rPr>
                      <m:t>n</m:t>
                    </m:r>
                  </m:sup>
                </m:sSup>
              </m:oMath>
            </m:oMathPara>
          </w:p>
        </w:tc>
        <w:tc>
          <w:tcPr>
            <w:tcW w:w="805" w:type="dxa"/>
            <w:shd w:val="clear" w:color="auto" w:fill="auto"/>
            <w:vAlign w:val="center"/>
          </w:tcPr>
          <w:p w14:paraId="599D7620" w14:textId="77777777" w:rsidR="001D6FFE" w:rsidRPr="00877ED2" w:rsidRDefault="001D6FFE" w:rsidP="00F338B6">
            <w:pPr>
              <w:pStyle w:val="CETEquation"/>
              <w:jc w:val="right"/>
              <w:rPr>
                <w:rFonts w:cs="Arial"/>
              </w:rPr>
            </w:pPr>
            <w:r w:rsidRPr="00877ED2">
              <w:rPr>
                <w:rFonts w:cs="Arial"/>
              </w:rPr>
              <w:t>(1)</w:t>
            </w:r>
          </w:p>
        </w:tc>
      </w:tr>
    </w:tbl>
    <w:p w14:paraId="62FBD48E" w14:textId="347C06E2" w:rsidR="001D6FFE" w:rsidRPr="00877ED2" w:rsidRDefault="00514264" w:rsidP="001D6FFE">
      <w:pPr>
        <w:pStyle w:val="CETBodytext"/>
        <w:rPr>
          <w:lang w:val="en-GB"/>
        </w:rPr>
      </w:pPr>
      <w:r w:rsidRPr="00877ED2">
        <w:rPr>
          <w:lang w:val="en-GB"/>
        </w:rPr>
        <w:t>w</w:t>
      </w:r>
      <w:r w:rsidR="001D6FFE" w:rsidRPr="00877ED2">
        <w:rPr>
          <w:lang w:val="en-GB"/>
        </w:rPr>
        <w:t xml:space="preserve">here </w:t>
      </w:r>
      <w:r w:rsidR="001D6FFE" w:rsidRPr="00877ED2">
        <w:rPr>
          <w:i/>
          <w:lang w:val="en-GB"/>
        </w:rPr>
        <w:t>X</w:t>
      </w:r>
      <w:r w:rsidR="001D6FFE" w:rsidRPr="00877ED2">
        <w:rPr>
          <w:lang w:val="en-GB"/>
        </w:rPr>
        <w:t xml:space="preserve"> is the mass of the reactant, </w:t>
      </w:r>
      <w:r w:rsidR="001D6FFE" w:rsidRPr="00877ED2">
        <w:rPr>
          <w:i/>
          <w:lang w:val="en-GB"/>
        </w:rPr>
        <w:t>t</w:t>
      </w:r>
      <w:r w:rsidR="001D6FFE" w:rsidRPr="00877ED2">
        <w:rPr>
          <w:lang w:val="en-GB"/>
        </w:rPr>
        <w:t xml:space="preserve"> is the time, </w:t>
      </w:r>
      <w:r w:rsidR="001D6FFE" w:rsidRPr="00877ED2">
        <w:rPr>
          <w:i/>
          <w:lang w:val="en-GB"/>
        </w:rPr>
        <w:t xml:space="preserve">k </w:t>
      </w:r>
      <w:r w:rsidR="001D6FFE" w:rsidRPr="00877ED2">
        <w:rPr>
          <w:lang w:val="en-GB"/>
        </w:rPr>
        <w:t xml:space="preserve">is the kinetic constant and </w:t>
      </w:r>
      <w:r w:rsidR="001D6FFE" w:rsidRPr="00877ED2">
        <w:rPr>
          <w:i/>
          <w:lang w:val="en-GB"/>
        </w:rPr>
        <w:t>n</w:t>
      </w:r>
      <w:r w:rsidR="00D91595" w:rsidRPr="00877ED2">
        <w:rPr>
          <w:lang w:val="en-GB"/>
        </w:rPr>
        <w:t xml:space="preserve"> is the order of </w:t>
      </w:r>
      <w:r w:rsidR="001D6FFE" w:rsidRPr="00877ED2">
        <w:rPr>
          <w:lang w:val="en-GB"/>
        </w:rPr>
        <w:t>reaction. This expression may be related to the information that is taken from TG:</w:t>
      </w:r>
    </w:p>
    <w:tbl>
      <w:tblPr>
        <w:tblW w:w="5000" w:type="pct"/>
        <w:tblLook w:val="04A0" w:firstRow="1" w:lastRow="0" w:firstColumn="1" w:lastColumn="0" w:noHBand="0" w:noVBand="1"/>
      </w:tblPr>
      <w:tblGrid>
        <w:gridCol w:w="7982"/>
        <w:gridCol w:w="805"/>
      </w:tblGrid>
      <w:tr w:rsidR="00877ED2" w:rsidRPr="00877ED2" w14:paraId="58E64720" w14:textId="77777777" w:rsidTr="001D6FFE">
        <w:trPr>
          <w:trHeight w:val="800"/>
        </w:trPr>
        <w:tc>
          <w:tcPr>
            <w:tcW w:w="7982" w:type="dxa"/>
            <w:shd w:val="clear" w:color="auto" w:fill="auto"/>
            <w:vAlign w:val="center"/>
          </w:tcPr>
          <w:p w14:paraId="4D5A3A80" w14:textId="76B71F45" w:rsidR="001D6FFE" w:rsidRPr="00877ED2" w:rsidRDefault="001D6FFE" w:rsidP="00F338B6">
            <w:pPr>
              <w:pStyle w:val="CETEquation"/>
              <w:rPr>
                <w:rFonts w:cs="Arial"/>
                <w:i/>
                <w:szCs w:val="18"/>
              </w:rPr>
            </w:pPr>
            <m:oMathPara>
              <m:oMathParaPr>
                <m:jc m:val="left"/>
              </m:oMathParaPr>
              <m:oMath>
                <m:r>
                  <w:rPr>
                    <w:rFonts w:ascii="Cambria Math" w:hAnsi="Cambria Math" w:cs="Arial"/>
                    <w:szCs w:val="18"/>
                  </w:rPr>
                  <m:t xml:space="preserve"> X= </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0</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0</m:t>
                    </m:r>
                  </m:sub>
                </m:sSub>
                <m:r>
                  <w:rPr>
                    <w:rFonts w:ascii="Cambria Math" w:hAnsi="Cambria Math" w:cs="Arial"/>
                    <w:szCs w:val="18"/>
                  </w:rPr>
                  <m:t>*</m:t>
                </m:r>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w</m:t>
                        </m:r>
                      </m:num>
                      <m:den>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0</m:t>
                            </m:r>
                          </m:sub>
                        </m:sSub>
                      </m:den>
                    </m:f>
                  </m:e>
                </m:d>
              </m:oMath>
            </m:oMathPara>
          </w:p>
        </w:tc>
        <w:tc>
          <w:tcPr>
            <w:tcW w:w="805" w:type="dxa"/>
            <w:shd w:val="clear" w:color="auto" w:fill="auto"/>
            <w:vAlign w:val="center"/>
          </w:tcPr>
          <w:p w14:paraId="19833072" w14:textId="1257C99C" w:rsidR="001D6FFE" w:rsidRPr="00877ED2" w:rsidRDefault="001D6FFE" w:rsidP="00F338B6">
            <w:pPr>
              <w:pStyle w:val="CETEquation"/>
              <w:jc w:val="right"/>
              <w:rPr>
                <w:rFonts w:cs="Arial"/>
                <w:szCs w:val="18"/>
              </w:rPr>
            </w:pPr>
            <w:r w:rsidRPr="00877ED2">
              <w:rPr>
                <w:rFonts w:cs="Arial"/>
                <w:szCs w:val="18"/>
              </w:rPr>
              <w:t>(2)</w:t>
            </w:r>
          </w:p>
        </w:tc>
      </w:tr>
    </w:tbl>
    <w:p w14:paraId="0E49BDC0" w14:textId="6E7B4B91" w:rsidR="001D6FFE" w:rsidRPr="00877ED2" w:rsidRDefault="00514264" w:rsidP="001D6FFE">
      <w:pPr>
        <w:pStyle w:val="CETBodytext"/>
        <w:rPr>
          <w:lang w:val="en-GB"/>
        </w:rPr>
      </w:pPr>
      <w:r w:rsidRPr="00877ED2">
        <w:rPr>
          <w:lang w:val="en-GB"/>
        </w:rPr>
        <w:t>w</w:t>
      </w:r>
      <w:r w:rsidR="001D6FFE" w:rsidRPr="00877ED2">
        <w:rPr>
          <w:lang w:val="en-GB"/>
        </w:rPr>
        <w:t xml:space="preserve">here </w:t>
      </w:r>
      <w:r w:rsidR="001D6FFE" w:rsidRPr="00877ED2">
        <w:rPr>
          <w:i/>
          <w:lang w:val="en-GB"/>
        </w:rPr>
        <w:t>m</w:t>
      </w:r>
      <w:r w:rsidR="001D6FFE" w:rsidRPr="00877ED2">
        <w:rPr>
          <w:lang w:val="en-GB"/>
        </w:rPr>
        <w:t xml:space="preserve"> is the mass of the initial sample</w:t>
      </w:r>
      <w:r w:rsidR="00BA7DB7" w:rsidRPr="00877ED2">
        <w:rPr>
          <w:lang w:val="en-GB"/>
        </w:rPr>
        <w:t>, w</w:t>
      </w:r>
      <w:r w:rsidR="00BA7DB7" w:rsidRPr="00877ED2">
        <w:rPr>
          <w:vertAlign w:val="subscript"/>
          <w:lang w:val="en-GB"/>
        </w:rPr>
        <w:t>0</w:t>
      </w:r>
      <w:r w:rsidR="001D6FFE" w:rsidRPr="00877ED2">
        <w:rPr>
          <w:lang w:val="en-GB"/>
        </w:rPr>
        <w:t xml:space="preserve"> </w:t>
      </w:r>
      <w:r w:rsidR="00BA7DB7" w:rsidRPr="00877ED2">
        <w:rPr>
          <w:lang w:val="en-GB"/>
        </w:rPr>
        <w:t xml:space="preserve">is the initial mass loss </w:t>
      </w:r>
      <w:r w:rsidR="001D6FFE" w:rsidRPr="00877ED2">
        <w:rPr>
          <w:lang w:val="en-GB"/>
        </w:rPr>
        <w:t xml:space="preserve">and </w:t>
      </w:r>
      <w:r w:rsidR="001D6FFE" w:rsidRPr="00877ED2">
        <w:rPr>
          <w:i/>
          <w:lang w:val="en-GB"/>
        </w:rPr>
        <w:t>w</w:t>
      </w:r>
      <w:r w:rsidR="001D6FFE" w:rsidRPr="00877ED2">
        <w:rPr>
          <w:lang w:val="en-GB"/>
        </w:rPr>
        <w:t xml:space="preserve"> is the mass loss at each time t. Before the start of the reaction</w:t>
      </w:r>
      <w:r w:rsidR="008E5C1B" w:rsidRPr="00877ED2">
        <w:rPr>
          <w:lang w:val="en-GB"/>
        </w:rPr>
        <w:t>,</w:t>
      </w:r>
      <w:r w:rsidR="001D6FFE" w:rsidRPr="00877ED2">
        <w:rPr>
          <w:lang w:val="en-GB"/>
        </w:rPr>
        <w:t xml:space="preserve"> </w:t>
      </w:r>
      <w:r w:rsidR="001D6FFE" w:rsidRPr="00877ED2">
        <w:rPr>
          <w:i/>
          <w:lang w:val="en-GB"/>
        </w:rPr>
        <w:t>w</w:t>
      </w:r>
      <w:r w:rsidR="001D6FFE" w:rsidRPr="00877ED2">
        <w:rPr>
          <w:lang w:val="en-GB"/>
        </w:rPr>
        <w:t xml:space="preserve"> = 0</w:t>
      </w:r>
      <w:r w:rsidR="008E5C1B" w:rsidRPr="00877ED2">
        <w:rPr>
          <w:lang w:val="en-GB"/>
        </w:rPr>
        <w:t xml:space="preserve"> and</w:t>
      </w:r>
      <w:r w:rsidR="001D6FFE" w:rsidRPr="00877ED2">
        <w:rPr>
          <w:lang w:val="en-GB"/>
        </w:rPr>
        <w:t xml:space="preserve"> </w:t>
      </w:r>
      <w:r w:rsidR="001D6FFE" w:rsidRPr="00877ED2">
        <w:rPr>
          <w:i/>
          <w:lang w:val="en-GB"/>
        </w:rPr>
        <w:t>X = m</w:t>
      </w:r>
      <w:r w:rsidR="001D6FFE" w:rsidRPr="00877ED2">
        <w:rPr>
          <w:i/>
          <w:vertAlign w:val="subscript"/>
          <w:lang w:val="en-GB"/>
        </w:rPr>
        <w:t>o</w:t>
      </w:r>
      <w:r w:rsidR="001D6FFE" w:rsidRPr="00877ED2">
        <w:rPr>
          <w:lang w:val="en-GB"/>
        </w:rPr>
        <w:t>. After the end of the reaction</w:t>
      </w:r>
      <w:r w:rsidRPr="00877ED2">
        <w:rPr>
          <w:lang w:val="en-GB"/>
        </w:rPr>
        <w:t>,</w:t>
      </w:r>
      <w:r w:rsidR="001D6FFE" w:rsidRPr="00877ED2">
        <w:rPr>
          <w:lang w:val="en-GB"/>
        </w:rPr>
        <w:t xml:space="preserve"> </w:t>
      </w:r>
      <w:r w:rsidR="001D6FFE" w:rsidRPr="00877ED2">
        <w:rPr>
          <w:i/>
          <w:lang w:val="en-GB"/>
        </w:rPr>
        <w:t>w = w∞</w:t>
      </w:r>
      <w:r w:rsidR="001D6FFE" w:rsidRPr="00877ED2">
        <w:rPr>
          <w:lang w:val="en-GB"/>
        </w:rPr>
        <w:t xml:space="preserve"> and </w:t>
      </w:r>
      <w:r w:rsidR="001D6FFE" w:rsidRPr="00877ED2">
        <w:rPr>
          <w:i/>
          <w:lang w:val="en-GB"/>
        </w:rPr>
        <w:t>X = 0</w:t>
      </w:r>
      <w:r w:rsidR="001D6FFE" w:rsidRPr="00877ED2">
        <w:rPr>
          <w:lang w:val="en-GB"/>
        </w:rPr>
        <w:t xml:space="preserve">. </w:t>
      </w:r>
      <w:r w:rsidR="008E5C1B" w:rsidRPr="00877ED2">
        <w:rPr>
          <w:lang w:val="en-GB"/>
        </w:rPr>
        <w:t>The derivative of Eq(2) yields:</w:t>
      </w:r>
    </w:p>
    <w:tbl>
      <w:tblPr>
        <w:tblW w:w="5000" w:type="pct"/>
        <w:tblLook w:val="04A0" w:firstRow="1" w:lastRow="0" w:firstColumn="1" w:lastColumn="0" w:noHBand="0" w:noVBand="1"/>
      </w:tblPr>
      <w:tblGrid>
        <w:gridCol w:w="7983"/>
        <w:gridCol w:w="804"/>
      </w:tblGrid>
      <w:tr w:rsidR="00877ED2" w:rsidRPr="00877ED2" w14:paraId="44BFFDCE" w14:textId="77777777" w:rsidTr="00143866">
        <w:trPr>
          <w:trHeight w:val="772"/>
        </w:trPr>
        <w:tc>
          <w:tcPr>
            <w:tcW w:w="8188" w:type="dxa"/>
            <w:shd w:val="clear" w:color="auto" w:fill="auto"/>
            <w:vAlign w:val="center"/>
          </w:tcPr>
          <w:p w14:paraId="4F3A5C59" w14:textId="12C9659C" w:rsidR="001D6FFE" w:rsidRPr="00877ED2" w:rsidRDefault="00877ED2" w:rsidP="00F338B6">
            <w:pPr>
              <w:pStyle w:val="CETEquation"/>
              <w:rPr>
                <w:rFonts w:cs="Arial"/>
                <w:i/>
                <w:szCs w:val="18"/>
              </w:rPr>
            </w:pPr>
            <m:oMath>
              <m:f>
                <m:fPr>
                  <m:ctrlPr>
                    <w:rPr>
                      <w:rFonts w:ascii="Cambria Math" w:hAnsi="Cambria Math" w:cs="Arial"/>
                      <w:i/>
                      <w:szCs w:val="18"/>
                    </w:rPr>
                  </m:ctrlPr>
                </m:fPr>
                <m:num>
                  <m:r>
                    <w:rPr>
                      <w:rFonts w:ascii="Cambria Math" w:hAnsi="Cambria Math" w:cs="Arial"/>
                      <w:szCs w:val="18"/>
                    </w:rPr>
                    <m:t>dX</m:t>
                  </m:r>
                </m:num>
                <m:den>
                  <m:r>
                    <w:rPr>
                      <w:rFonts w:ascii="Cambria Math" w:hAnsi="Cambria Math" w:cs="Arial"/>
                      <w:szCs w:val="18"/>
                    </w:rPr>
                    <m:t>dt</m:t>
                  </m:r>
                </m:den>
              </m:f>
              <m:r>
                <w:rPr>
                  <w:rFonts w:ascii="Cambria Math" w:hAnsi="Cambria Math" w:cs="Arial"/>
                  <w:szCs w:val="18"/>
                </w:rPr>
                <m:t>= -</m:t>
              </m:r>
              <m:d>
                <m:dPr>
                  <m:ctrlPr>
                    <w:rPr>
                      <w:rFonts w:ascii="Cambria Math" w:hAnsi="Cambria Math" w:cs="Arial"/>
                      <w:i/>
                      <w:szCs w:val="18"/>
                    </w:rPr>
                  </m:ctrlPr>
                </m:dPr>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0</m:t>
                          </m:r>
                        </m:sub>
                      </m:sSub>
                    </m:num>
                    <m:den>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m:t>
                          </m:r>
                        </m:sub>
                      </m:sSub>
                    </m:den>
                  </m:f>
                </m:e>
              </m:d>
              <m:r>
                <w:rPr>
                  <w:rFonts w:ascii="Cambria Math" w:hAnsi="Cambria Math" w:cs="Arial"/>
                  <w:szCs w:val="18"/>
                </w:rPr>
                <m:t>*</m:t>
              </m:r>
              <m:sSup>
                <m:sSupPr>
                  <m:ctrlPr>
                    <w:rPr>
                      <w:rFonts w:ascii="Cambria Math" w:hAnsi="Cambria Math" w:cs="Arial"/>
                      <w:i/>
                      <w:szCs w:val="18"/>
                    </w:rPr>
                  </m:ctrlPr>
                </m:sSupPr>
                <m:e>
                  <m:r>
                    <w:rPr>
                      <w:rFonts w:ascii="Cambria Math" w:hAnsi="Cambria Math" w:cs="Arial"/>
                      <w:szCs w:val="18"/>
                    </w:rPr>
                    <m:t>X</m:t>
                  </m:r>
                </m:e>
                <m:sup>
                  <m:r>
                    <w:rPr>
                      <w:rFonts w:ascii="Cambria Math" w:hAnsi="Cambria Math" w:cs="Arial"/>
                      <w:szCs w:val="18"/>
                    </w:rPr>
                    <m:t>n</m:t>
                  </m:r>
                </m:sup>
              </m:sSup>
            </m:oMath>
            <w:r w:rsidR="001D6FFE" w:rsidRPr="00877ED2">
              <w:rPr>
                <w:rFonts w:eastAsiaTheme="minorEastAsia" w:cs="Arial"/>
                <w:i/>
                <w:szCs w:val="18"/>
              </w:rPr>
              <w:t xml:space="preserve">              </w:t>
            </w:r>
          </w:p>
        </w:tc>
        <w:tc>
          <w:tcPr>
            <w:tcW w:w="815" w:type="dxa"/>
            <w:shd w:val="clear" w:color="auto" w:fill="auto"/>
            <w:vAlign w:val="center"/>
          </w:tcPr>
          <w:p w14:paraId="0CF59774" w14:textId="70B68ED5" w:rsidR="001D6FFE" w:rsidRPr="00877ED2" w:rsidRDefault="001D6FFE" w:rsidP="00F338B6">
            <w:pPr>
              <w:pStyle w:val="CETEquation"/>
              <w:jc w:val="right"/>
              <w:rPr>
                <w:rFonts w:cs="Arial"/>
                <w:szCs w:val="18"/>
              </w:rPr>
            </w:pPr>
            <w:r w:rsidRPr="00877ED2">
              <w:rPr>
                <w:rFonts w:cs="Arial"/>
                <w:szCs w:val="18"/>
              </w:rPr>
              <w:t>(3)</w:t>
            </w:r>
          </w:p>
        </w:tc>
      </w:tr>
    </w:tbl>
    <w:p w14:paraId="1F58E67D" w14:textId="5207EEB4" w:rsidR="00143866" w:rsidRPr="00877ED2" w:rsidRDefault="000F4595" w:rsidP="00143866">
      <w:pPr>
        <w:pStyle w:val="CETBodytext"/>
        <w:rPr>
          <w:lang w:val="en-GB"/>
        </w:rPr>
      </w:pPr>
      <w:r w:rsidRPr="00877ED2">
        <w:rPr>
          <w:lang w:val="en-GB"/>
        </w:rPr>
        <w:t xml:space="preserve">where </w:t>
      </w:r>
      <w:r w:rsidRPr="00877ED2">
        <w:rPr>
          <w:i/>
          <w:lang w:val="en-GB"/>
        </w:rPr>
        <w:t>w</w:t>
      </w:r>
      <w:r w:rsidRPr="00877ED2">
        <w:rPr>
          <w:i/>
          <w:vertAlign w:val="subscript"/>
          <w:lang w:val="en-GB"/>
        </w:rPr>
        <w:t>∞</w:t>
      </w:r>
      <w:r w:rsidRPr="00877ED2">
        <w:rPr>
          <w:lang w:val="en-GB"/>
        </w:rPr>
        <w:t xml:space="preserve"> is the maximum mass loss. </w:t>
      </w:r>
      <w:r w:rsidR="00143866" w:rsidRPr="00877ED2">
        <w:rPr>
          <w:lang w:val="en-GB"/>
        </w:rPr>
        <w:t xml:space="preserve">Substituting </w:t>
      </w:r>
      <w:r w:rsidR="00514264" w:rsidRPr="00877ED2">
        <w:rPr>
          <w:lang w:val="en-GB"/>
        </w:rPr>
        <w:t>Eq(</w:t>
      </w:r>
      <w:r w:rsidR="00143866" w:rsidRPr="00877ED2">
        <w:rPr>
          <w:lang w:val="en-GB"/>
        </w:rPr>
        <w:t>3</w:t>
      </w:r>
      <w:r w:rsidR="00514264" w:rsidRPr="00877ED2">
        <w:rPr>
          <w:lang w:val="en-GB"/>
        </w:rPr>
        <w:t>)</w:t>
      </w:r>
      <w:r w:rsidR="00143866" w:rsidRPr="00877ED2">
        <w:rPr>
          <w:lang w:val="en-GB"/>
        </w:rPr>
        <w:t xml:space="preserve"> in </w:t>
      </w:r>
      <w:r w:rsidR="00514264" w:rsidRPr="00877ED2">
        <w:rPr>
          <w:lang w:val="en-GB"/>
        </w:rPr>
        <w:t>Eq(</w:t>
      </w:r>
      <w:r w:rsidR="00143866" w:rsidRPr="00877ED2">
        <w:rPr>
          <w:lang w:val="en-GB"/>
        </w:rPr>
        <w:t>1</w:t>
      </w:r>
      <w:r w:rsidR="00514264" w:rsidRPr="00877ED2">
        <w:rPr>
          <w:lang w:val="en-GB"/>
        </w:rPr>
        <w:t>)</w:t>
      </w:r>
      <w:r w:rsidR="008E5C1B" w:rsidRPr="00877ED2">
        <w:rPr>
          <w:lang w:val="en-GB"/>
        </w:rPr>
        <w:t xml:space="preserve"> results</w:t>
      </w:r>
      <w:r w:rsidR="00143866" w:rsidRPr="00877ED2">
        <w:rPr>
          <w:lang w:val="en-GB"/>
        </w:rPr>
        <w:t>:</w:t>
      </w:r>
    </w:p>
    <w:tbl>
      <w:tblPr>
        <w:tblW w:w="5000" w:type="pct"/>
        <w:tblLook w:val="04A0" w:firstRow="1" w:lastRow="0" w:firstColumn="1" w:lastColumn="0" w:noHBand="0" w:noVBand="1"/>
      </w:tblPr>
      <w:tblGrid>
        <w:gridCol w:w="7983"/>
        <w:gridCol w:w="804"/>
      </w:tblGrid>
      <w:tr w:rsidR="00877ED2" w:rsidRPr="00877ED2" w14:paraId="79BC0CB5" w14:textId="77777777" w:rsidTr="00143866">
        <w:trPr>
          <w:trHeight w:val="800"/>
        </w:trPr>
        <w:tc>
          <w:tcPr>
            <w:tcW w:w="7983" w:type="dxa"/>
            <w:shd w:val="clear" w:color="auto" w:fill="auto"/>
            <w:vAlign w:val="center"/>
          </w:tcPr>
          <w:p w14:paraId="1E1DB666" w14:textId="7123FDFC" w:rsidR="00143866" w:rsidRPr="00877ED2" w:rsidRDefault="00877ED2" w:rsidP="00F338B6">
            <w:pPr>
              <w:pStyle w:val="CETEquation"/>
              <w:rPr>
                <w:szCs w:val="18"/>
              </w:rPr>
            </w:pPr>
            <m:oMath>
              <m:f>
                <m:fPr>
                  <m:ctrlPr>
                    <w:rPr>
                      <w:rFonts w:ascii="Cambria Math" w:hAnsi="Cambria Math" w:cs="Arial"/>
                      <w:i/>
                      <w:szCs w:val="18"/>
                    </w:rPr>
                  </m:ctrlPr>
                </m:fPr>
                <m:num>
                  <m:r>
                    <w:rPr>
                      <w:rFonts w:ascii="Cambria Math" w:hAnsi="Cambria Math" w:cs="Arial"/>
                      <w:szCs w:val="18"/>
                    </w:rPr>
                    <m:t>dw/</m:t>
                  </m:r>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m:t>
                      </m:r>
                    </m:sub>
                  </m:sSub>
                </m:num>
                <m:den>
                  <m:r>
                    <w:rPr>
                      <w:rFonts w:ascii="Cambria Math" w:hAnsi="Cambria Math" w:cs="Arial"/>
                      <w:szCs w:val="18"/>
                    </w:rPr>
                    <m:t>dt</m:t>
                  </m:r>
                </m:den>
              </m:f>
              <m:r>
                <w:rPr>
                  <w:rFonts w:ascii="Cambria Math" w:hAnsi="Cambria Math" w:cs="Arial"/>
                  <w:szCs w:val="18"/>
                </w:rPr>
                <m:t>= k*</m:t>
              </m:r>
              <m:sSup>
                <m:sSupPr>
                  <m:ctrlPr>
                    <w:rPr>
                      <w:rFonts w:ascii="Cambria Math" w:hAnsi="Cambria Math" w:cs="Arial"/>
                      <w:i/>
                      <w:szCs w:val="18"/>
                    </w:rPr>
                  </m:ctrlPr>
                </m:sSupPr>
                <m:e>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0</m:t>
                      </m:r>
                    </m:sub>
                  </m:sSub>
                </m:e>
                <m:sup>
                  <m:r>
                    <w:rPr>
                      <w:rFonts w:ascii="Cambria Math" w:hAnsi="Cambria Math" w:cs="Arial"/>
                      <w:szCs w:val="18"/>
                    </w:rPr>
                    <m:t>n-1</m:t>
                  </m:r>
                </m:sup>
              </m:sSup>
              <m:r>
                <w:rPr>
                  <w:rFonts w:ascii="Cambria Math" w:hAnsi="Cambria Math" w:cs="Arial"/>
                  <w:szCs w:val="18"/>
                </w:rPr>
                <m:t>*</m:t>
              </m:r>
              <m:d>
                <m:dPr>
                  <m:ctrlPr>
                    <w:rPr>
                      <w:rFonts w:ascii="Cambria Math" w:hAnsi="Cambria Math" w:cs="Arial"/>
                      <w:i/>
                      <w:szCs w:val="18"/>
                    </w:rPr>
                  </m:ctrlPr>
                </m:dPr>
                <m:e>
                  <m:r>
                    <w:rPr>
                      <w:rFonts w:ascii="Cambria Math" w:hAnsi="Cambria Math" w:cs="Arial"/>
                      <w:szCs w:val="18"/>
                    </w:rPr>
                    <m:t>1-</m:t>
                  </m:r>
                  <m:f>
                    <m:fPr>
                      <m:ctrlPr>
                        <w:rPr>
                          <w:rFonts w:ascii="Cambria Math" w:hAnsi="Cambria Math" w:cs="Arial"/>
                          <w:i/>
                          <w:szCs w:val="18"/>
                        </w:rPr>
                      </m:ctrlPr>
                    </m:fPr>
                    <m:num>
                      <m:r>
                        <w:rPr>
                          <w:rFonts w:ascii="Cambria Math" w:hAnsi="Cambria Math" w:cs="Arial"/>
                          <w:szCs w:val="18"/>
                        </w:rPr>
                        <m:t>w</m:t>
                      </m:r>
                    </m:num>
                    <m:den>
                      <m:sSub>
                        <m:sSubPr>
                          <m:ctrlPr>
                            <w:rPr>
                              <w:rFonts w:ascii="Cambria Math" w:hAnsi="Cambria Math" w:cs="Arial"/>
                              <w:i/>
                              <w:szCs w:val="18"/>
                            </w:rPr>
                          </m:ctrlPr>
                        </m:sSubPr>
                        <m:e>
                          <m:r>
                            <w:rPr>
                              <w:rFonts w:ascii="Cambria Math" w:hAnsi="Cambria Math" w:cs="Arial"/>
                              <w:szCs w:val="18"/>
                            </w:rPr>
                            <m:t>w</m:t>
                          </m:r>
                        </m:e>
                        <m:sub>
                          <m:r>
                            <w:rPr>
                              <w:rFonts w:ascii="Cambria Math" w:hAnsi="Cambria Math" w:cs="Arial"/>
                              <w:szCs w:val="18"/>
                            </w:rPr>
                            <m:t>∞</m:t>
                          </m:r>
                        </m:sub>
                      </m:sSub>
                    </m:den>
                  </m:f>
                </m:e>
              </m:d>
              <m:r>
                <w:rPr>
                  <w:rFonts w:ascii="Cambria Math" w:hAnsi="Cambria Math" w:cs="Arial"/>
                  <w:szCs w:val="18"/>
                </w:rPr>
                <m:t>*n</m:t>
              </m:r>
            </m:oMath>
            <w:r w:rsidR="00143866" w:rsidRPr="00877ED2">
              <w:rPr>
                <w:rFonts w:eastAsiaTheme="minorEastAsia" w:cs="Arial"/>
                <w:szCs w:val="18"/>
              </w:rPr>
              <w:t xml:space="preserve">                                         </w:t>
            </w:r>
          </w:p>
        </w:tc>
        <w:tc>
          <w:tcPr>
            <w:tcW w:w="804" w:type="dxa"/>
            <w:shd w:val="clear" w:color="auto" w:fill="auto"/>
            <w:vAlign w:val="center"/>
          </w:tcPr>
          <w:p w14:paraId="74EB161B" w14:textId="69476C64" w:rsidR="00143866" w:rsidRPr="00877ED2" w:rsidRDefault="00143866" w:rsidP="00F338B6">
            <w:pPr>
              <w:pStyle w:val="CETEquation"/>
              <w:jc w:val="right"/>
            </w:pPr>
            <w:r w:rsidRPr="00877ED2">
              <w:t>(</w:t>
            </w:r>
            <w:r w:rsidR="006450DC" w:rsidRPr="00877ED2">
              <w:t>4</w:t>
            </w:r>
            <w:r w:rsidRPr="00877ED2">
              <w:t>)</w:t>
            </w:r>
          </w:p>
        </w:tc>
      </w:tr>
    </w:tbl>
    <w:p w14:paraId="605B18A6" w14:textId="08CD4F3C" w:rsidR="00B46ED2" w:rsidRPr="00877ED2" w:rsidRDefault="00514264" w:rsidP="00B46ED2">
      <w:pPr>
        <w:pStyle w:val="CETBodytext"/>
        <w:rPr>
          <w:lang w:val="en-GB"/>
        </w:rPr>
      </w:pPr>
      <w:r w:rsidRPr="00877ED2">
        <w:rPr>
          <w:lang w:val="en-GB"/>
        </w:rPr>
        <w:t>Eq(4) c</w:t>
      </w:r>
      <w:r w:rsidR="00143866" w:rsidRPr="00877ED2">
        <w:rPr>
          <w:lang w:val="en-GB"/>
        </w:rPr>
        <w:t xml:space="preserve">an be simplified by equating </w:t>
      </w:r>
      <w:r w:rsidR="00143866" w:rsidRPr="00877ED2">
        <w:rPr>
          <w:i/>
          <w:lang w:val="en-GB"/>
        </w:rPr>
        <w:t>f = w / w</w:t>
      </w:r>
      <w:r w:rsidR="00143866" w:rsidRPr="00877ED2">
        <w:rPr>
          <w:i/>
          <w:vertAlign w:val="subscript"/>
          <w:lang w:val="en-GB"/>
        </w:rPr>
        <w:t>∞</w:t>
      </w:r>
      <w:r w:rsidR="00143866" w:rsidRPr="00877ED2">
        <w:rPr>
          <w:lang w:val="en-GB"/>
        </w:rPr>
        <w:t xml:space="preserve"> and assuming the reaction rate constant </w:t>
      </w:r>
      <w:r w:rsidR="00143866" w:rsidRPr="00877ED2">
        <w:rPr>
          <w:i/>
          <w:lang w:val="en-GB"/>
        </w:rPr>
        <w:t>k</w:t>
      </w:r>
      <w:r w:rsidR="00143866" w:rsidRPr="00877ED2">
        <w:rPr>
          <w:lang w:val="en-GB"/>
        </w:rPr>
        <w:t xml:space="preserve"> follows the Arrhenius temperature dependence, </w:t>
      </w:r>
      <w:r w:rsidRPr="00877ED2">
        <w:rPr>
          <w:lang w:val="en-GB"/>
        </w:rPr>
        <w:t>resulting in the following</w:t>
      </w:r>
      <w:r w:rsidR="00B46ED2" w:rsidRPr="00877ED2">
        <w:rPr>
          <w:lang w:val="en-GB"/>
        </w:rPr>
        <w:t xml:space="preserve"> expression. The terms </w:t>
      </w:r>
      <w:r w:rsidR="00B46ED2" w:rsidRPr="00877ED2">
        <w:rPr>
          <w:i/>
          <w:lang w:val="en-GB"/>
        </w:rPr>
        <w:t>f</w:t>
      </w:r>
      <w:r w:rsidR="00B46ED2" w:rsidRPr="00877ED2">
        <w:rPr>
          <w:lang w:val="en-GB"/>
        </w:rPr>
        <w:t xml:space="preserve"> and </w:t>
      </w:r>
      <w:r w:rsidR="00B46ED2" w:rsidRPr="00877ED2">
        <w:rPr>
          <w:i/>
          <w:lang w:val="en-GB"/>
        </w:rPr>
        <w:t>df/dt</w:t>
      </w:r>
      <w:r w:rsidR="00B46ED2" w:rsidRPr="00877ED2">
        <w:rPr>
          <w:lang w:val="en-GB"/>
        </w:rPr>
        <w:t>, may be obtained directly from the TG output.</w:t>
      </w:r>
    </w:p>
    <w:p w14:paraId="310235FB" w14:textId="1E528F95" w:rsidR="00143866" w:rsidRPr="00877ED2" w:rsidRDefault="00143866" w:rsidP="00143866">
      <w:pPr>
        <w:pStyle w:val="CETBodytext"/>
        <w:rPr>
          <w:lang w:val="en-GB"/>
        </w:rPr>
      </w:pPr>
    </w:p>
    <w:tbl>
      <w:tblPr>
        <w:tblW w:w="5000" w:type="pct"/>
        <w:tblLook w:val="04A0" w:firstRow="1" w:lastRow="0" w:firstColumn="1" w:lastColumn="0" w:noHBand="0" w:noVBand="1"/>
      </w:tblPr>
      <w:tblGrid>
        <w:gridCol w:w="7983"/>
        <w:gridCol w:w="804"/>
      </w:tblGrid>
      <w:tr w:rsidR="002F1717" w:rsidRPr="00877ED2" w14:paraId="1BB0CFE7" w14:textId="77777777" w:rsidTr="00143866">
        <w:trPr>
          <w:trHeight w:val="744"/>
        </w:trPr>
        <w:tc>
          <w:tcPr>
            <w:tcW w:w="7983" w:type="dxa"/>
            <w:shd w:val="clear" w:color="auto" w:fill="auto"/>
            <w:vAlign w:val="center"/>
          </w:tcPr>
          <w:p w14:paraId="33001D43" w14:textId="69FD111E" w:rsidR="00143866" w:rsidRPr="00877ED2" w:rsidRDefault="00877ED2" w:rsidP="00F338B6">
            <w:pPr>
              <w:pStyle w:val="CETEquation"/>
              <w:rPr>
                <w:szCs w:val="18"/>
              </w:rPr>
            </w:pPr>
            <m:oMathPara>
              <m:oMathParaPr>
                <m:jc m:val="left"/>
              </m:oMathParaPr>
              <m:oMath>
                <m:f>
                  <m:fPr>
                    <m:ctrlPr>
                      <w:rPr>
                        <w:rFonts w:ascii="Cambria Math" w:hAnsi="Cambria Math" w:cs="Arial"/>
                        <w:i/>
                        <w:szCs w:val="18"/>
                      </w:rPr>
                    </m:ctrlPr>
                  </m:fPr>
                  <m:num>
                    <m:r>
                      <w:rPr>
                        <w:rFonts w:ascii="Cambria Math" w:hAnsi="Cambria Math" w:cs="Arial"/>
                        <w:szCs w:val="18"/>
                      </w:rPr>
                      <m:t>df</m:t>
                    </m:r>
                  </m:num>
                  <m:den>
                    <m:r>
                      <w:rPr>
                        <w:rFonts w:ascii="Cambria Math" w:hAnsi="Cambria Math" w:cs="Arial"/>
                        <w:szCs w:val="18"/>
                      </w:rPr>
                      <m:t>dt</m:t>
                    </m:r>
                  </m:den>
                </m:f>
                <m:r>
                  <w:rPr>
                    <w:rFonts w:ascii="Cambria Math" w:hAnsi="Cambria Math" w:cs="Arial"/>
                    <w:szCs w:val="18"/>
                  </w:rPr>
                  <m:t xml:space="preserve">= </m:t>
                </m:r>
                <m:sSub>
                  <m:sSubPr>
                    <m:ctrlPr>
                      <w:rPr>
                        <w:rFonts w:ascii="Cambria Math" w:hAnsi="Cambria Math" w:cs="Arial"/>
                        <w:i/>
                        <w:szCs w:val="18"/>
                      </w:rPr>
                    </m:ctrlPr>
                  </m:sSubPr>
                  <m:e>
                    <m:r>
                      <w:rPr>
                        <w:rFonts w:ascii="Cambria Math" w:hAnsi="Cambria Math" w:cs="Arial"/>
                        <w:szCs w:val="18"/>
                      </w:rPr>
                      <m:t>k</m:t>
                    </m:r>
                  </m:e>
                  <m:sub>
                    <m:r>
                      <w:rPr>
                        <w:rFonts w:ascii="Cambria Math" w:hAnsi="Cambria Math" w:cs="Arial"/>
                        <w:szCs w:val="18"/>
                      </w:rPr>
                      <m:t>0</m:t>
                    </m:r>
                  </m:sub>
                </m:sSub>
                <m:r>
                  <w:rPr>
                    <w:rFonts w:ascii="Cambria Math" w:hAnsi="Cambria Math" w:cs="Arial"/>
                    <w:szCs w:val="18"/>
                  </w:rPr>
                  <m:t>*</m:t>
                </m:r>
                <m:sSup>
                  <m:sSupPr>
                    <m:ctrlPr>
                      <w:rPr>
                        <w:rFonts w:ascii="Cambria Math" w:hAnsi="Cambria Math" w:cs="Arial"/>
                        <w:i/>
                        <w:szCs w:val="18"/>
                      </w:rPr>
                    </m:ctrlPr>
                  </m:sSupPr>
                  <m:e>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0</m:t>
                        </m:r>
                      </m:sub>
                    </m:sSub>
                  </m:e>
                  <m:sup>
                    <m:r>
                      <w:rPr>
                        <w:rFonts w:ascii="Cambria Math" w:hAnsi="Cambria Math" w:cs="Arial"/>
                        <w:szCs w:val="18"/>
                      </w:rPr>
                      <m:t>n-1</m:t>
                    </m:r>
                  </m:sup>
                </m:sSup>
                <m:r>
                  <w:rPr>
                    <w:rFonts w:ascii="Cambria Math" w:hAnsi="Cambria Math" w:cs="Arial"/>
                    <w:szCs w:val="18"/>
                  </w:rPr>
                  <m:t>*</m:t>
                </m:r>
                <m:sSup>
                  <m:sSupPr>
                    <m:ctrlPr>
                      <w:rPr>
                        <w:rFonts w:ascii="Cambria Math" w:hAnsi="Cambria Math" w:cs="Arial"/>
                        <w:i/>
                        <w:szCs w:val="18"/>
                      </w:rPr>
                    </m:ctrlPr>
                  </m:sSupPr>
                  <m:e>
                    <m:d>
                      <m:dPr>
                        <m:ctrlPr>
                          <w:rPr>
                            <w:rFonts w:ascii="Cambria Math" w:hAnsi="Cambria Math" w:cs="Arial"/>
                            <w:i/>
                            <w:szCs w:val="18"/>
                          </w:rPr>
                        </m:ctrlPr>
                      </m:dPr>
                      <m:e>
                        <m:r>
                          <w:rPr>
                            <w:rFonts w:ascii="Cambria Math" w:hAnsi="Cambria Math" w:cs="Arial"/>
                            <w:szCs w:val="18"/>
                          </w:rPr>
                          <m:t>1-f</m:t>
                        </m:r>
                      </m:e>
                    </m:d>
                  </m:e>
                  <m:sup>
                    <m:r>
                      <w:rPr>
                        <w:rFonts w:ascii="Cambria Math" w:hAnsi="Cambria Math" w:cs="Arial"/>
                        <w:szCs w:val="18"/>
                      </w:rPr>
                      <m:t>n</m:t>
                    </m:r>
                  </m:sup>
                </m:sSup>
                <m:r>
                  <w:rPr>
                    <w:rFonts w:ascii="Cambria Math" w:hAnsi="Cambria Math" w:cs="Arial"/>
                    <w:szCs w:val="18"/>
                  </w:rPr>
                  <m:t>*exp</m:t>
                </m:r>
                <m:d>
                  <m:dPr>
                    <m:ctrlPr>
                      <w:rPr>
                        <w:rFonts w:ascii="Cambria Math" w:hAnsi="Cambria Math" w:cs="Arial"/>
                        <w:i/>
                        <w:szCs w:val="18"/>
                      </w:rPr>
                    </m:ctrlPr>
                  </m:dPr>
                  <m:e>
                    <m:f>
                      <m:fPr>
                        <m:ctrlPr>
                          <w:rPr>
                            <w:rFonts w:ascii="Cambria Math" w:hAnsi="Cambria Math" w:cs="Arial"/>
                            <w:i/>
                            <w:szCs w:val="18"/>
                          </w:rPr>
                        </m:ctrlPr>
                      </m:fPr>
                      <m:num>
                        <m:r>
                          <w:rPr>
                            <w:rFonts w:ascii="Cambria Math" w:hAnsi="Cambria Math" w:cs="Arial"/>
                            <w:szCs w:val="18"/>
                          </w:rPr>
                          <m:t>-Ea</m:t>
                        </m:r>
                      </m:num>
                      <m:den>
                        <m:r>
                          <w:rPr>
                            <w:rFonts w:ascii="Cambria Math" w:hAnsi="Cambria Math" w:cs="Arial"/>
                            <w:szCs w:val="18"/>
                          </w:rPr>
                          <m:t>R*T</m:t>
                        </m:r>
                      </m:den>
                    </m:f>
                  </m:e>
                </m:d>
              </m:oMath>
            </m:oMathPara>
          </w:p>
        </w:tc>
        <w:tc>
          <w:tcPr>
            <w:tcW w:w="804" w:type="dxa"/>
            <w:shd w:val="clear" w:color="auto" w:fill="auto"/>
            <w:vAlign w:val="center"/>
          </w:tcPr>
          <w:p w14:paraId="266F6CE2" w14:textId="0F8CD8BC" w:rsidR="00143866" w:rsidRPr="00877ED2" w:rsidRDefault="00143866" w:rsidP="00F338B6">
            <w:pPr>
              <w:pStyle w:val="CETEquation"/>
              <w:jc w:val="right"/>
            </w:pPr>
            <w:r w:rsidRPr="00877ED2">
              <w:t>(</w:t>
            </w:r>
            <w:r w:rsidR="006450DC" w:rsidRPr="00877ED2">
              <w:t>5</w:t>
            </w:r>
            <w:r w:rsidRPr="00877ED2">
              <w:t>)</w:t>
            </w:r>
          </w:p>
        </w:tc>
      </w:tr>
    </w:tbl>
    <w:p w14:paraId="0AFEA83B" w14:textId="77777777" w:rsidR="00143866" w:rsidRPr="00877ED2" w:rsidRDefault="00143866" w:rsidP="00143866">
      <w:pPr>
        <w:pStyle w:val="CETBodytext"/>
        <w:rPr>
          <w:lang w:val="en-GB"/>
        </w:rPr>
      </w:pPr>
    </w:p>
    <w:p w14:paraId="2662DFBB" w14:textId="3DF8F757" w:rsidR="00143866" w:rsidRPr="00877ED2" w:rsidRDefault="00BF03DA" w:rsidP="00143866">
      <w:pPr>
        <w:pStyle w:val="CETheadingx"/>
        <w:rPr>
          <w:lang w:val="en-GB"/>
        </w:rPr>
      </w:pPr>
      <w:r w:rsidRPr="00877ED2">
        <w:rPr>
          <w:lang w:val="en-GB"/>
        </w:rPr>
        <w:t>Parameter Estimation</w:t>
      </w:r>
      <w:r w:rsidR="00EB3582" w:rsidRPr="00877ED2">
        <w:rPr>
          <w:lang w:val="en-GB"/>
        </w:rPr>
        <w:t xml:space="preserve"> Procedure</w:t>
      </w:r>
    </w:p>
    <w:p w14:paraId="3BF061E1" w14:textId="41CCB11B" w:rsidR="00A27FB3" w:rsidRPr="00877ED2" w:rsidRDefault="0069221C" w:rsidP="00143866">
      <w:pPr>
        <w:pStyle w:val="CETBodytext"/>
      </w:pPr>
      <w:r w:rsidRPr="00877ED2">
        <w:rPr>
          <w:lang w:val="en-GB"/>
        </w:rPr>
        <w:t xml:space="preserve">A genetic algorithm is a search heuristic that is inspired by Charles Darwin's theory of natural evolution. </w:t>
      </w:r>
      <w:r w:rsidR="004D66D6" w:rsidRPr="00877ED2">
        <w:rPr>
          <w:lang w:val="en-GB"/>
        </w:rPr>
        <w:t xml:space="preserve">The basic genetic algorithm involves five steps: variable coding, initial population creation, response evaluation, crossover, and mutation. </w:t>
      </w:r>
      <w:r w:rsidR="00143866" w:rsidRPr="00877ED2">
        <w:rPr>
          <w:lang w:val="en-GB"/>
        </w:rPr>
        <w:t>In this way</w:t>
      </w:r>
      <w:r w:rsidR="00514264" w:rsidRPr="00877ED2">
        <w:rPr>
          <w:lang w:val="en-GB"/>
        </w:rPr>
        <w:t>,</w:t>
      </w:r>
      <w:r w:rsidR="00143866" w:rsidRPr="00877ED2">
        <w:rPr>
          <w:lang w:val="en-GB"/>
        </w:rPr>
        <w:t xml:space="preserve"> the proposed algorithm assimilates much to the natural evolutionary process. </w:t>
      </w:r>
      <w:r w:rsidR="00492730" w:rsidRPr="00877ED2">
        <w:rPr>
          <w:lang w:val="en-GB"/>
        </w:rPr>
        <w:t xml:space="preserve">The process optimization was performed in MATLAB R2018a using the GA functions available in the Global Optimization Toolbox. </w:t>
      </w:r>
      <w:r w:rsidR="00B3782B" w:rsidRPr="00877ED2">
        <w:rPr>
          <w:lang w:val="en-GB"/>
        </w:rPr>
        <w:t xml:space="preserve">With the chosen data, </w:t>
      </w:r>
      <w:r w:rsidR="00514264" w:rsidRPr="00877ED2">
        <w:rPr>
          <w:lang w:val="en-GB"/>
        </w:rPr>
        <w:t xml:space="preserve">it was </w:t>
      </w:r>
      <w:r w:rsidR="00B3782B" w:rsidRPr="00877ED2">
        <w:rPr>
          <w:lang w:val="en-GB"/>
        </w:rPr>
        <w:t>use</w:t>
      </w:r>
      <w:r w:rsidR="00514264" w:rsidRPr="00877ED2">
        <w:rPr>
          <w:lang w:val="en-GB"/>
        </w:rPr>
        <w:t>d</w:t>
      </w:r>
      <w:r w:rsidR="00B3782B" w:rsidRPr="00877ED2">
        <w:rPr>
          <w:lang w:val="en-GB"/>
        </w:rPr>
        <w:t xml:space="preserve"> trial and error technique to find the best search range of the</w:t>
      </w:r>
      <w:r w:rsidR="00514264" w:rsidRPr="00877ED2">
        <w:rPr>
          <w:lang w:val="en-GB"/>
        </w:rPr>
        <w:t xml:space="preserve"> model</w:t>
      </w:r>
      <w:r w:rsidR="00B3782B" w:rsidRPr="00877ED2">
        <w:rPr>
          <w:lang w:val="en-GB"/>
        </w:rPr>
        <w:t xml:space="preserve"> parameters</w:t>
      </w:r>
      <w:r w:rsidR="00514264" w:rsidRPr="00877ED2">
        <w:rPr>
          <w:lang w:val="en-GB"/>
        </w:rPr>
        <w:t xml:space="preserve">. The program was </w:t>
      </w:r>
      <w:r w:rsidR="00B3782B" w:rsidRPr="00877ED2">
        <w:rPr>
          <w:lang w:val="en-GB"/>
        </w:rPr>
        <w:t xml:space="preserve">run repeatedly, modifying </w:t>
      </w:r>
      <w:r w:rsidR="00514264" w:rsidRPr="00877ED2">
        <w:rPr>
          <w:lang w:val="en-GB"/>
        </w:rPr>
        <w:t xml:space="preserve">the </w:t>
      </w:r>
      <w:r w:rsidR="00B3782B" w:rsidRPr="00877ED2">
        <w:rPr>
          <w:lang w:val="en-GB"/>
        </w:rPr>
        <w:t>population size,</w:t>
      </w:r>
      <w:r w:rsidR="00514264" w:rsidRPr="00877ED2">
        <w:rPr>
          <w:lang w:val="en-GB"/>
        </w:rPr>
        <w:t xml:space="preserve"> the</w:t>
      </w:r>
      <w:r w:rsidR="00B3782B" w:rsidRPr="00877ED2">
        <w:rPr>
          <w:lang w:val="en-GB"/>
        </w:rPr>
        <w:t xml:space="preserve"> number of generations migration fraction and</w:t>
      </w:r>
      <w:r w:rsidR="00514264" w:rsidRPr="00877ED2">
        <w:rPr>
          <w:lang w:val="en-GB"/>
        </w:rPr>
        <w:t xml:space="preserve"> the</w:t>
      </w:r>
      <w:r w:rsidR="00B3782B" w:rsidRPr="00877ED2">
        <w:rPr>
          <w:lang w:val="en-GB"/>
        </w:rPr>
        <w:t xml:space="preserve"> crossover fraction. In addition, initial kicks </w:t>
      </w:r>
      <w:r w:rsidR="00514264" w:rsidRPr="00877ED2">
        <w:rPr>
          <w:lang w:val="en-GB"/>
        </w:rPr>
        <w:t xml:space="preserve">were </w:t>
      </w:r>
      <w:r w:rsidR="00B3782B" w:rsidRPr="00877ED2">
        <w:rPr>
          <w:lang w:val="en-GB"/>
        </w:rPr>
        <w:t>also proposed for the lower and upper limits of the parameters to be found and</w:t>
      </w:r>
      <w:r w:rsidR="00514264" w:rsidRPr="00877ED2">
        <w:rPr>
          <w:lang w:val="en-GB"/>
        </w:rPr>
        <w:t>,</w:t>
      </w:r>
      <w:r w:rsidR="00B3782B" w:rsidRPr="00877ED2">
        <w:rPr>
          <w:lang w:val="en-GB"/>
        </w:rPr>
        <w:t xml:space="preserve"> from them</w:t>
      </w:r>
      <w:r w:rsidR="00514264" w:rsidRPr="00877ED2">
        <w:rPr>
          <w:lang w:val="en-GB"/>
        </w:rPr>
        <w:t>,</w:t>
      </w:r>
      <w:r w:rsidR="00B3782B" w:rsidRPr="00877ED2">
        <w:rPr>
          <w:lang w:val="en-GB"/>
        </w:rPr>
        <w:t xml:space="preserve"> one can narrow the search range. </w:t>
      </w:r>
      <w:r w:rsidR="00A6127E" w:rsidRPr="00877ED2">
        <w:rPr>
          <w:lang w:val="en-GB"/>
        </w:rPr>
        <w:t xml:space="preserve">In the proposed work, the genetic algorithm technique was used to estimate </w:t>
      </w:r>
      <w:r w:rsidR="0052100E" w:rsidRPr="00877ED2">
        <w:rPr>
          <w:lang w:val="en-GB"/>
        </w:rPr>
        <w:t xml:space="preserve">the </w:t>
      </w:r>
      <w:r w:rsidR="00A6127E" w:rsidRPr="00877ED2">
        <w:rPr>
          <w:lang w:val="en-GB"/>
        </w:rPr>
        <w:t>kinetic parameters of lignin decomposition, reaction order, pre-exponential factor and activation energy</w:t>
      </w:r>
      <w:r w:rsidR="00492730" w:rsidRPr="00877ED2">
        <w:rPr>
          <w:lang w:val="en-GB"/>
        </w:rPr>
        <w:t xml:space="preserve">. </w:t>
      </w:r>
      <w:r w:rsidR="00514264" w:rsidRPr="00877ED2">
        <w:rPr>
          <w:lang w:val="en-GB"/>
        </w:rPr>
        <w:t xml:space="preserve">A second </w:t>
      </w:r>
      <w:r w:rsidR="00BF03DA" w:rsidRPr="00877ED2">
        <w:rPr>
          <w:lang w:val="en-GB"/>
        </w:rPr>
        <w:t>p</w:t>
      </w:r>
      <w:r w:rsidR="00440661" w:rsidRPr="00877ED2">
        <w:rPr>
          <w:lang w:val="en-GB"/>
        </w:rPr>
        <w:t>arameter estimation</w:t>
      </w:r>
      <w:r w:rsidR="00514264" w:rsidRPr="00877ED2">
        <w:rPr>
          <w:lang w:val="en-GB"/>
        </w:rPr>
        <w:t xml:space="preserve"> procedure</w:t>
      </w:r>
      <w:r w:rsidR="00440661" w:rsidRPr="00877ED2">
        <w:rPr>
          <w:lang w:val="en-GB"/>
        </w:rPr>
        <w:t xml:space="preserve"> was performed </w:t>
      </w:r>
      <w:r w:rsidR="00BF03DA" w:rsidRPr="00877ED2">
        <w:rPr>
          <w:lang w:val="en-GB"/>
        </w:rPr>
        <w:t>in Python</w:t>
      </w:r>
      <w:r w:rsidR="0052100E" w:rsidRPr="00877ED2">
        <w:rPr>
          <w:lang w:val="en-GB"/>
        </w:rPr>
        <w:t xml:space="preserve"> to estimate the same kinetic parameters set but, this time, </w:t>
      </w:r>
      <w:r w:rsidR="00514264" w:rsidRPr="00877ED2">
        <w:rPr>
          <w:lang w:val="en-GB"/>
        </w:rPr>
        <w:t>p</w:t>
      </w:r>
      <w:r w:rsidR="00BF03DA" w:rsidRPr="00877ED2">
        <w:rPr>
          <w:lang w:val="en-GB"/>
        </w:rPr>
        <w:t xml:space="preserve">article </w:t>
      </w:r>
      <w:r w:rsidR="00514264" w:rsidRPr="00877ED2">
        <w:rPr>
          <w:lang w:val="en-GB"/>
        </w:rPr>
        <w:t>s</w:t>
      </w:r>
      <w:r w:rsidR="00BF03DA" w:rsidRPr="00877ED2">
        <w:rPr>
          <w:lang w:val="en-GB"/>
        </w:rPr>
        <w:t xml:space="preserve">warm </w:t>
      </w:r>
      <w:r w:rsidR="00514264" w:rsidRPr="00877ED2">
        <w:rPr>
          <w:lang w:val="en-GB"/>
        </w:rPr>
        <w:t>o</w:t>
      </w:r>
      <w:r w:rsidR="00BF03DA" w:rsidRPr="00877ED2">
        <w:rPr>
          <w:lang w:val="en-GB"/>
        </w:rPr>
        <w:t>ptimization</w:t>
      </w:r>
      <w:r w:rsidR="0052100E" w:rsidRPr="00877ED2">
        <w:rPr>
          <w:lang w:val="en-GB"/>
        </w:rPr>
        <w:t xml:space="preserve"> was applied</w:t>
      </w:r>
      <w:r w:rsidR="00BF03DA" w:rsidRPr="00877ED2">
        <w:rPr>
          <w:lang w:val="en-GB"/>
        </w:rPr>
        <w:t xml:space="preserve">. </w:t>
      </w:r>
      <w:r w:rsidR="0057171D" w:rsidRPr="00877ED2">
        <w:rPr>
          <w:lang w:val="en-GB"/>
        </w:rPr>
        <w:t xml:space="preserve">This algorithm uses information about the best solution found by each particle and all particles. Likewise, in the proposed work, through </w:t>
      </w:r>
      <w:r w:rsidR="00AF4B30" w:rsidRPr="00877ED2">
        <w:rPr>
          <w:lang w:val="en-GB"/>
        </w:rPr>
        <w:t>Python programming language</w:t>
      </w:r>
      <w:r w:rsidR="0057171D" w:rsidRPr="00877ED2">
        <w:rPr>
          <w:lang w:val="en-GB"/>
        </w:rPr>
        <w:t xml:space="preserve">, particle swarm optimization was used to estimate </w:t>
      </w:r>
      <w:r w:rsidR="0052100E" w:rsidRPr="00877ED2">
        <w:rPr>
          <w:lang w:val="en-GB"/>
        </w:rPr>
        <w:t xml:space="preserve">the </w:t>
      </w:r>
      <w:r w:rsidR="0057171D" w:rsidRPr="00877ED2">
        <w:rPr>
          <w:lang w:val="en-GB"/>
        </w:rPr>
        <w:t>kinetic parameters of lignin decomposition.</w:t>
      </w:r>
      <w:r w:rsidR="00A27FB3" w:rsidRPr="00877ED2">
        <w:rPr>
          <w:lang w:val="en-GB"/>
        </w:rPr>
        <w:t xml:space="preserve"> As </w:t>
      </w:r>
      <w:r w:rsidR="0052100E" w:rsidRPr="00877ED2">
        <w:rPr>
          <w:lang w:val="en-GB"/>
        </w:rPr>
        <w:t>in the prior estimation</w:t>
      </w:r>
      <w:r w:rsidR="00A27FB3" w:rsidRPr="00877ED2">
        <w:rPr>
          <w:lang w:val="en-GB"/>
        </w:rPr>
        <w:t xml:space="preserve">, the use of trial and error is required to search for better model parameters. </w:t>
      </w:r>
      <w:r w:rsidR="00A27FB3" w:rsidRPr="00877ED2">
        <w:t>The performance of the two model</w:t>
      </w:r>
      <w:r w:rsidR="0052100E" w:rsidRPr="00877ED2">
        <w:t>s</w:t>
      </w:r>
      <w:r w:rsidR="00A27FB3" w:rsidRPr="00877ED2">
        <w:t xml:space="preserve"> w</w:t>
      </w:r>
      <w:r w:rsidR="00D91595" w:rsidRPr="00877ED2">
        <w:t>ere</w:t>
      </w:r>
      <w:r w:rsidR="00A27FB3" w:rsidRPr="00877ED2">
        <w:t xml:space="preserve"> evaluated by the coefficient of determination (R</w:t>
      </w:r>
      <w:r w:rsidR="00A27FB3" w:rsidRPr="00877ED2">
        <w:rPr>
          <w:vertAlign w:val="superscript"/>
        </w:rPr>
        <w:t>2</w:t>
      </w:r>
      <w:r w:rsidR="00A27FB3" w:rsidRPr="00877ED2">
        <w:t>) and the sum of the quadratic error (SSE)</w:t>
      </w:r>
      <w:r w:rsidR="00E47905" w:rsidRPr="00877ED2">
        <w:rPr>
          <w:lang w:val="en-GB"/>
        </w:rPr>
        <w:t xml:space="preserve">. </w:t>
      </w:r>
      <w:r w:rsidR="00A27FB3" w:rsidRPr="00877ED2">
        <w:t xml:space="preserve"> </w:t>
      </w:r>
    </w:p>
    <w:p w14:paraId="36BB6AEA" w14:textId="0BCF9A15" w:rsidR="001D6FFE" w:rsidRPr="00877ED2" w:rsidRDefault="00AF4B30" w:rsidP="001D6FFE">
      <w:pPr>
        <w:pStyle w:val="CETHeading1"/>
        <w:tabs>
          <w:tab w:val="clear" w:pos="360"/>
          <w:tab w:val="right" w:pos="7100"/>
        </w:tabs>
        <w:jc w:val="both"/>
        <w:rPr>
          <w:lang w:val="en-GB"/>
        </w:rPr>
      </w:pPr>
      <w:r w:rsidRPr="00877ED2">
        <w:rPr>
          <w:lang w:val="en-GB"/>
        </w:rPr>
        <w:lastRenderedPageBreak/>
        <w:t>Results and Discussion</w:t>
      </w:r>
    </w:p>
    <w:p w14:paraId="7425AB12" w14:textId="77777777" w:rsidR="0057171D" w:rsidRPr="00877ED2" w:rsidRDefault="0057171D" w:rsidP="0057171D">
      <w:pPr>
        <w:pStyle w:val="CETheadingx"/>
        <w:rPr>
          <w:lang w:val="en-GB"/>
        </w:rPr>
      </w:pPr>
      <w:r w:rsidRPr="00877ED2">
        <w:rPr>
          <w:lang w:val="en-GB"/>
        </w:rPr>
        <w:t>Qualitative analysis</w:t>
      </w:r>
    </w:p>
    <w:p w14:paraId="56836127" w14:textId="48C65082" w:rsidR="0057171D" w:rsidRPr="00877ED2" w:rsidRDefault="0057171D" w:rsidP="008C42D5">
      <w:pPr>
        <w:pStyle w:val="CETBodytext"/>
        <w:rPr>
          <w:lang w:val="en-GB"/>
        </w:rPr>
      </w:pPr>
      <w:r w:rsidRPr="00877ED2">
        <w:rPr>
          <w:lang w:val="en-GB"/>
        </w:rPr>
        <w:t>The thermoanalytical tests were carried out in a laboratory of Department of Chemical and Materials Engineering (DEQM/PUC-Rio). Calibrations and daily checks of the thermobalance were required before thermogravimetric tests. A blank was made with</w:t>
      </w:r>
      <w:r w:rsidR="00D91595" w:rsidRPr="00877ED2">
        <w:rPr>
          <w:lang w:val="en-GB"/>
        </w:rPr>
        <w:t xml:space="preserve"> an</w:t>
      </w:r>
      <w:r w:rsidRPr="00877ED2">
        <w:rPr>
          <w:lang w:val="en-GB"/>
        </w:rPr>
        <w:t xml:space="preserve"> empty crucible for each condition evaluated. The thermogravimetric analysi</w:t>
      </w:r>
      <w:r w:rsidR="000F4595" w:rsidRPr="00877ED2">
        <w:rPr>
          <w:lang w:val="en-GB"/>
        </w:rPr>
        <w:t>s</w:t>
      </w:r>
      <w:r w:rsidRPr="00877ED2">
        <w:rPr>
          <w:lang w:val="en-GB"/>
        </w:rPr>
        <w:t xml:space="preserve"> of the sample (fiber plus catalyst) with a mass fraction of Fe</w:t>
      </w:r>
      <w:r w:rsidRPr="00877ED2">
        <w:rPr>
          <w:vertAlign w:val="subscript"/>
          <w:lang w:val="en-GB"/>
        </w:rPr>
        <w:t>2</w:t>
      </w:r>
      <w:r w:rsidRPr="00877ED2">
        <w:rPr>
          <w:lang w:val="en-GB"/>
        </w:rPr>
        <w:t>Co</w:t>
      </w:r>
      <w:r w:rsidRPr="00877ED2">
        <w:rPr>
          <w:vertAlign w:val="subscript"/>
          <w:lang w:val="en-GB"/>
        </w:rPr>
        <w:t>4</w:t>
      </w:r>
      <w:r w:rsidRPr="00877ED2">
        <w:rPr>
          <w:lang w:val="en-GB"/>
        </w:rPr>
        <w:t xml:space="preserve"> equal to 50 % w</w:t>
      </w:r>
      <w:r w:rsidR="00B20B36" w:rsidRPr="00877ED2">
        <w:rPr>
          <w:lang w:val="en-GB"/>
        </w:rPr>
        <w:t>as</w:t>
      </w:r>
      <w:r w:rsidRPr="00877ED2">
        <w:rPr>
          <w:lang w:val="en-GB"/>
        </w:rPr>
        <w:t xml:space="preserve"> performed. The experiment w</w:t>
      </w:r>
      <w:r w:rsidR="006E487D" w:rsidRPr="00877ED2">
        <w:rPr>
          <w:lang w:val="en-GB"/>
        </w:rPr>
        <w:t>as</w:t>
      </w:r>
      <w:r w:rsidR="00D91595" w:rsidRPr="00877ED2">
        <w:rPr>
          <w:lang w:val="en-GB"/>
        </w:rPr>
        <w:t xml:space="preserve"> also carried out in</w:t>
      </w:r>
      <w:r w:rsidRPr="00877ED2">
        <w:rPr>
          <w:lang w:val="en-GB"/>
        </w:rPr>
        <w:t xml:space="preserve"> inert atmosphere of nitrogen with a heating rate of 20 ºC/min, between 20 and 1000 ºC</w:t>
      </w:r>
      <w:r w:rsidR="006E487D" w:rsidRPr="00877ED2">
        <w:rPr>
          <w:lang w:val="en-GB"/>
        </w:rPr>
        <w:t>,</w:t>
      </w:r>
      <w:r w:rsidRPr="00877ED2">
        <w:rPr>
          <w:lang w:val="en-GB"/>
        </w:rPr>
        <w:t xml:space="preserve"> 42.2 mg of fiber </w:t>
      </w:r>
      <w:r w:rsidR="006E487D" w:rsidRPr="00877ED2">
        <w:rPr>
          <w:lang w:val="en-GB"/>
        </w:rPr>
        <w:t xml:space="preserve">was </w:t>
      </w:r>
      <w:r w:rsidRPr="00877ED2">
        <w:rPr>
          <w:lang w:val="en-GB"/>
        </w:rPr>
        <w:t>initially used and the cataly</w:t>
      </w:r>
      <w:r w:rsidR="00D91595" w:rsidRPr="00877ED2">
        <w:rPr>
          <w:lang w:val="en-GB"/>
        </w:rPr>
        <w:t>st added was calcined before</w:t>
      </w:r>
      <w:r w:rsidRPr="00877ED2">
        <w:rPr>
          <w:lang w:val="en-GB"/>
        </w:rPr>
        <w:t xml:space="preserve"> thermogravimetric assays for 9</w:t>
      </w:r>
      <w:r w:rsidR="00D91595" w:rsidRPr="00877ED2">
        <w:rPr>
          <w:lang w:val="en-GB"/>
        </w:rPr>
        <w:t xml:space="preserve"> </w:t>
      </w:r>
      <w:r w:rsidRPr="00877ED2">
        <w:rPr>
          <w:lang w:val="en-GB"/>
        </w:rPr>
        <w:t xml:space="preserve">h in an oven at 1000 ºC. </w:t>
      </w:r>
    </w:p>
    <w:p w14:paraId="76F83F98" w14:textId="77777777" w:rsidR="00600535" w:rsidRPr="00877ED2" w:rsidRDefault="00600535" w:rsidP="00600535">
      <w:pPr>
        <w:pStyle w:val="CETBodytext"/>
        <w:rPr>
          <w:lang w:val="en-GB"/>
        </w:rPr>
      </w:pPr>
    </w:p>
    <w:p w14:paraId="2CAC9AB0" w14:textId="59993E02" w:rsidR="00600535" w:rsidRPr="00877ED2" w:rsidRDefault="0057171D" w:rsidP="00FA5F5F">
      <w:pPr>
        <w:pStyle w:val="CETBodytext"/>
        <w:jc w:val="left"/>
        <w:rPr>
          <w:lang w:val="en-GB"/>
        </w:rPr>
      </w:pPr>
      <w:r w:rsidRPr="00877ED2">
        <w:rPr>
          <w:noProof/>
          <w:lang w:val="pt-BR" w:eastAsia="pt-BR"/>
        </w:rPr>
        <w:drawing>
          <wp:inline distT="0" distB="0" distL="0" distR="0" wp14:anchorId="22F9968E" wp14:editId="5F0D19B6">
            <wp:extent cx="2631673" cy="1386068"/>
            <wp:effectExtent l="0" t="0" r="10160" b="1143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70950" cy="1406754"/>
                    </a:xfrm>
                    <a:prstGeom prst="rect">
                      <a:avLst/>
                    </a:prstGeom>
                  </pic:spPr>
                </pic:pic>
              </a:graphicData>
            </a:graphic>
          </wp:inline>
        </w:drawing>
      </w:r>
      <w:r w:rsidRPr="00877ED2">
        <w:rPr>
          <w:lang w:val="en-GB"/>
        </w:rPr>
        <w:t xml:space="preserve">  </w:t>
      </w:r>
      <w:r w:rsidR="004E7DB4" w:rsidRPr="00877ED2">
        <w:rPr>
          <w:lang w:val="en-GB"/>
        </w:rPr>
        <w:t xml:space="preserve">  </w:t>
      </w:r>
      <w:r w:rsidRPr="00877ED2">
        <w:rPr>
          <w:noProof/>
          <w:lang w:val="pt-BR" w:eastAsia="pt-BR"/>
        </w:rPr>
        <w:drawing>
          <wp:inline distT="0" distB="0" distL="0" distR="0" wp14:anchorId="43F6A25A" wp14:editId="59883655">
            <wp:extent cx="2667886" cy="1402105"/>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2709" cy="1415151"/>
                    </a:xfrm>
                    <a:prstGeom prst="rect">
                      <a:avLst/>
                    </a:prstGeom>
                  </pic:spPr>
                </pic:pic>
              </a:graphicData>
            </a:graphic>
          </wp:inline>
        </w:drawing>
      </w:r>
    </w:p>
    <w:p w14:paraId="4E7EC256" w14:textId="4A0ADA8D" w:rsidR="0057171D" w:rsidRPr="00877ED2" w:rsidRDefault="00600535" w:rsidP="00600535">
      <w:pPr>
        <w:pStyle w:val="CETCaption"/>
      </w:pPr>
      <w:r w:rsidRPr="00877ED2">
        <w:t xml:space="preserve">Figure 1: </w:t>
      </w:r>
      <w:r w:rsidR="0057171D" w:rsidRPr="00877ED2">
        <w:t>(a)Thermograv</w:t>
      </w:r>
      <w:r w:rsidR="00D91595" w:rsidRPr="00877ED2">
        <w:t xml:space="preserve">imetric characterization of </w:t>
      </w:r>
      <w:r w:rsidR="0057171D" w:rsidRPr="00877ED2">
        <w:t>green</w:t>
      </w:r>
      <w:r w:rsidR="00D91595" w:rsidRPr="00877ED2">
        <w:t xml:space="preserve"> coconut fiber plus </w:t>
      </w:r>
      <w:r w:rsidR="0057171D" w:rsidRPr="00877ED2">
        <w:t>catalyst (50/50) in an inert atmosphere of N</w:t>
      </w:r>
      <w:r w:rsidR="0057171D" w:rsidRPr="00877ED2">
        <w:rPr>
          <w:vertAlign w:val="subscript"/>
        </w:rPr>
        <w:t>2</w:t>
      </w:r>
      <w:r w:rsidR="0057171D" w:rsidRPr="00877ED2">
        <w:t xml:space="preserve"> for 9 h, calcination at 1000 ºC. (b) Method for determining f and its derivative</w:t>
      </w:r>
      <w:r w:rsidR="00D91595" w:rsidRPr="00877ED2">
        <w:t xml:space="preserve"> through data obtained from </w:t>
      </w:r>
      <w:r w:rsidR="0057171D" w:rsidRPr="00877ED2">
        <w:t>lignin curve.</w:t>
      </w:r>
    </w:p>
    <w:p w14:paraId="4C9DAD7D" w14:textId="7073EA1B" w:rsidR="008C42D5" w:rsidRPr="00877ED2" w:rsidRDefault="006E487D" w:rsidP="008C42D5">
      <w:pPr>
        <w:pStyle w:val="CETBodytext"/>
        <w:rPr>
          <w:lang w:val="en-GB"/>
        </w:rPr>
      </w:pPr>
      <w:r w:rsidRPr="00877ED2">
        <w:rPr>
          <w:lang w:val="en-GB"/>
        </w:rPr>
        <w:t>I</w:t>
      </w:r>
      <w:r w:rsidR="008C42D5" w:rsidRPr="00877ED2">
        <w:rPr>
          <w:lang w:val="en-GB"/>
        </w:rPr>
        <w:t>n Figure 1(a)</w:t>
      </w:r>
      <w:r w:rsidR="00D91595" w:rsidRPr="00877ED2">
        <w:rPr>
          <w:lang w:val="en-GB"/>
        </w:rPr>
        <w:t>,</w:t>
      </w:r>
      <w:r w:rsidR="008C42D5" w:rsidRPr="00877ED2">
        <w:rPr>
          <w:lang w:val="en-GB"/>
        </w:rPr>
        <w:t xml:space="preserve"> the TG signals </w:t>
      </w:r>
      <w:r w:rsidR="004C094E" w:rsidRPr="00877ED2">
        <w:rPr>
          <w:lang w:val="en-GB"/>
        </w:rPr>
        <w:t>from blends</w:t>
      </w:r>
      <w:r w:rsidR="008C42D5" w:rsidRPr="00877ED2">
        <w:rPr>
          <w:lang w:val="en-GB"/>
        </w:rPr>
        <w:t xml:space="preserve"> (50</w:t>
      </w:r>
      <w:r w:rsidR="004C094E" w:rsidRPr="00877ED2">
        <w:rPr>
          <w:lang w:val="en-GB"/>
        </w:rPr>
        <w:t>% w/w) of the catalyst calcine</w:t>
      </w:r>
      <w:r w:rsidR="008C42D5" w:rsidRPr="00877ED2">
        <w:rPr>
          <w:lang w:val="en-GB"/>
        </w:rPr>
        <w:t xml:space="preserve">d at 1000 </w:t>
      </w:r>
      <w:r w:rsidR="008C42D5" w:rsidRPr="00877ED2">
        <w:rPr>
          <w:vertAlign w:val="superscript"/>
          <w:lang w:val="en-GB"/>
        </w:rPr>
        <w:t>o</w:t>
      </w:r>
      <w:r w:rsidR="008C42D5" w:rsidRPr="00877ED2">
        <w:rPr>
          <w:lang w:val="en-GB"/>
        </w:rPr>
        <w:t>C (9</w:t>
      </w:r>
      <w:r w:rsidR="00D91595" w:rsidRPr="00877ED2">
        <w:rPr>
          <w:lang w:val="en-GB"/>
        </w:rPr>
        <w:t xml:space="preserve"> </w:t>
      </w:r>
      <w:r w:rsidR="008C42D5" w:rsidRPr="00877ED2">
        <w:rPr>
          <w:lang w:val="en-GB"/>
        </w:rPr>
        <w:t>h)</w:t>
      </w:r>
      <w:r w:rsidR="00D91595" w:rsidRPr="00877ED2">
        <w:rPr>
          <w:lang w:val="en-GB"/>
        </w:rPr>
        <w:t xml:space="preserve"> are</w:t>
      </w:r>
      <w:r w:rsidR="008C42D5" w:rsidRPr="00877ED2">
        <w:rPr>
          <w:lang w:val="en-GB"/>
        </w:rPr>
        <w:t xml:space="preserve"> present</w:t>
      </w:r>
      <w:r w:rsidR="00D91595" w:rsidRPr="00877ED2">
        <w:rPr>
          <w:lang w:val="en-GB"/>
        </w:rPr>
        <w:t>ed</w:t>
      </w:r>
      <w:r w:rsidR="008C42D5" w:rsidRPr="00877ED2">
        <w:rPr>
          <w:lang w:val="en-GB"/>
        </w:rPr>
        <w:t xml:space="preserve">, suggesting </w:t>
      </w:r>
      <w:r w:rsidR="004C094E" w:rsidRPr="00877ED2">
        <w:rPr>
          <w:lang w:val="en-GB"/>
        </w:rPr>
        <w:t>that degradation of lignin begins at a lower temperature than without the presen</w:t>
      </w:r>
      <w:r w:rsidRPr="00877ED2">
        <w:rPr>
          <w:lang w:val="en-GB"/>
        </w:rPr>
        <w:t>ce</w:t>
      </w:r>
      <w:r w:rsidR="004C094E" w:rsidRPr="00877ED2">
        <w:rPr>
          <w:lang w:val="en-GB"/>
        </w:rPr>
        <w:t xml:space="preserve"> of the catalyst</w:t>
      </w:r>
      <w:r w:rsidR="00DB1DD2" w:rsidRPr="00877ED2">
        <w:rPr>
          <w:lang w:val="en-GB"/>
        </w:rPr>
        <w:t xml:space="preserve">. </w:t>
      </w:r>
      <w:r w:rsidR="0041149D" w:rsidRPr="00877ED2">
        <w:rPr>
          <w:lang w:val="en-GB"/>
        </w:rPr>
        <w:t>The catalytic activity is involved in a decomposition mechanism that allows the fixed carbon not to be the priority, but combustible gases and bio-oils. Without the catalyst, for kinetic reasons, instead of the organic structure decomposing to form hydrocarbon molecules, it increases the amount of fixed carbon formed</w:t>
      </w:r>
      <w:r w:rsidR="00DB1DD2" w:rsidRPr="00877ED2">
        <w:rPr>
          <w:lang w:val="en-GB"/>
        </w:rPr>
        <w:t xml:space="preserve"> (Monteiro, 2018).</w:t>
      </w:r>
    </w:p>
    <w:p w14:paraId="4756162E" w14:textId="6C865DF0" w:rsidR="008C42D5" w:rsidRPr="00877ED2" w:rsidRDefault="008C42D5" w:rsidP="008C42D5">
      <w:pPr>
        <w:pStyle w:val="CETBodytext"/>
        <w:rPr>
          <w:lang w:val="en-GB"/>
        </w:rPr>
      </w:pPr>
      <w:r w:rsidRPr="00877ED2">
        <w:rPr>
          <w:lang w:val="en-GB"/>
        </w:rPr>
        <w:t>In Figure 1(a), the darker line shows the thermogravimetric result for lignin</w:t>
      </w:r>
      <w:r w:rsidR="006E487D" w:rsidRPr="00877ED2">
        <w:rPr>
          <w:lang w:val="en-GB"/>
        </w:rPr>
        <w:t xml:space="preserve"> and include</w:t>
      </w:r>
      <w:r w:rsidR="00D91595" w:rsidRPr="00877ED2">
        <w:rPr>
          <w:lang w:val="en-GB"/>
        </w:rPr>
        <w:t>s</w:t>
      </w:r>
      <w:r w:rsidR="006E487D" w:rsidRPr="00877ED2">
        <w:rPr>
          <w:lang w:val="en-GB"/>
        </w:rPr>
        <w:t xml:space="preserve"> the </w:t>
      </w:r>
      <w:r w:rsidRPr="00877ED2">
        <w:rPr>
          <w:lang w:val="en-GB"/>
        </w:rPr>
        <w:t xml:space="preserve">data used for calculation of </w:t>
      </w:r>
      <w:r w:rsidRPr="00877ED2">
        <w:rPr>
          <w:i/>
          <w:lang w:val="en-GB"/>
        </w:rPr>
        <w:t>f</w:t>
      </w:r>
      <w:r w:rsidRPr="00877ED2">
        <w:rPr>
          <w:lang w:val="en-GB"/>
        </w:rPr>
        <w:t>, which is defined as the mass fraction of product at that particular time and temperature</w:t>
      </w:r>
      <w:r w:rsidR="00DB1DD2" w:rsidRPr="00877ED2">
        <w:rPr>
          <w:lang w:val="en-GB"/>
        </w:rPr>
        <w:t xml:space="preserve"> (500 to 950</w:t>
      </w:r>
      <w:r w:rsidR="00DB1DD2" w:rsidRPr="00877ED2">
        <w:rPr>
          <w:vertAlign w:val="superscript"/>
          <w:lang w:val="en-GB"/>
        </w:rPr>
        <w:t xml:space="preserve"> o</w:t>
      </w:r>
      <w:r w:rsidR="00DB1DD2" w:rsidRPr="00877ED2">
        <w:rPr>
          <w:lang w:val="en-GB"/>
        </w:rPr>
        <w:t>C)</w:t>
      </w:r>
      <w:r w:rsidRPr="00877ED2">
        <w:rPr>
          <w:lang w:val="en-GB"/>
        </w:rPr>
        <w:t xml:space="preserve">. The graph was constructed as a percentage of mass by the temperature in </w:t>
      </w:r>
      <w:r w:rsidR="006E487D" w:rsidRPr="00877ED2">
        <w:rPr>
          <w:lang w:val="en-GB"/>
        </w:rPr>
        <w:t>Celsius</w:t>
      </w:r>
      <w:r w:rsidRPr="00877ED2">
        <w:rPr>
          <w:lang w:val="en-GB"/>
        </w:rPr>
        <w:t xml:space="preserve">. As </w:t>
      </w:r>
      <w:r w:rsidR="006E487D" w:rsidRPr="00877ED2">
        <w:rPr>
          <w:lang w:val="en-GB"/>
        </w:rPr>
        <w:t>aforementioned</w:t>
      </w:r>
      <w:r w:rsidRPr="00877ED2">
        <w:rPr>
          <w:lang w:val="en-GB"/>
        </w:rPr>
        <w:t xml:space="preserve">, the terms </w:t>
      </w:r>
      <w:r w:rsidRPr="00877ED2">
        <w:rPr>
          <w:i/>
          <w:lang w:val="en-GB"/>
        </w:rPr>
        <w:t>f</w:t>
      </w:r>
      <w:r w:rsidRPr="00877ED2">
        <w:rPr>
          <w:lang w:val="en-GB"/>
        </w:rPr>
        <w:t xml:space="preserve"> and </w:t>
      </w:r>
      <w:r w:rsidRPr="00877ED2">
        <w:rPr>
          <w:i/>
          <w:lang w:val="en-GB"/>
        </w:rPr>
        <w:t>df / dt</w:t>
      </w:r>
      <w:r w:rsidRPr="00877ED2">
        <w:rPr>
          <w:lang w:val="en-GB"/>
        </w:rPr>
        <w:t xml:space="preserve"> can be derived directly from the TG data and their derivative. With this, the graphs of </w:t>
      </w:r>
      <w:r w:rsidRPr="00877ED2">
        <w:rPr>
          <w:i/>
          <w:lang w:val="en-GB"/>
        </w:rPr>
        <w:t xml:space="preserve">f </w:t>
      </w:r>
      <w:r w:rsidR="006E487D" w:rsidRPr="00877ED2">
        <w:rPr>
          <w:lang w:val="en-GB"/>
        </w:rPr>
        <w:t xml:space="preserve"> </w:t>
      </w:r>
      <w:r w:rsidRPr="00877ED2">
        <w:rPr>
          <w:lang w:val="en-GB"/>
        </w:rPr>
        <w:t xml:space="preserve">by temperature and derivative of </w:t>
      </w:r>
      <w:r w:rsidRPr="00877ED2">
        <w:rPr>
          <w:i/>
          <w:lang w:val="en-GB"/>
        </w:rPr>
        <w:t>f</w:t>
      </w:r>
      <w:r w:rsidRPr="00877ED2">
        <w:rPr>
          <w:lang w:val="en-GB"/>
        </w:rPr>
        <w:t xml:space="preserve"> by temperature were constructed, as can be seen in Figure 1(b).</w:t>
      </w:r>
    </w:p>
    <w:p w14:paraId="3E66877F" w14:textId="77777777" w:rsidR="008C42D5" w:rsidRPr="00877ED2" w:rsidRDefault="008C42D5" w:rsidP="008C42D5">
      <w:pPr>
        <w:pStyle w:val="CETBodytext"/>
        <w:rPr>
          <w:lang w:val="en-GB"/>
        </w:rPr>
      </w:pPr>
    </w:p>
    <w:p w14:paraId="6EB0C665" w14:textId="39E010F9" w:rsidR="008C42D5" w:rsidRPr="00877ED2" w:rsidRDefault="008C42D5" w:rsidP="008C42D5">
      <w:pPr>
        <w:pStyle w:val="CETheadingx"/>
        <w:rPr>
          <w:lang w:val="en-GB"/>
        </w:rPr>
      </w:pPr>
      <w:r w:rsidRPr="00877ED2">
        <w:rPr>
          <w:lang w:val="en-GB"/>
        </w:rPr>
        <w:t>Genetic algorithm and Particle Swarm Optimization comparison</w:t>
      </w:r>
    </w:p>
    <w:p w14:paraId="44BAE664" w14:textId="7921B108" w:rsidR="008C42D5" w:rsidRPr="00877ED2" w:rsidRDefault="008C42D5" w:rsidP="008C42D5">
      <w:r w:rsidRPr="00877ED2">
        <w:t xml:space="preserve">Initially, a data treatment with </w:t>
      </w:r>
      <w:r w:rsidR="00CD2353" w:rsidRPr="00877ED2">
        <w:t>Python programming language</w:t>
      </w:r>
      <w:r w:rsidRPr="00877ED2">
        <w:t xml:space="preserve"> was performed to reduce the number of floating points that make the curve noisy and </w:t>
      </w:r>
      <w:r w:rsidR="006E487D" w:rsidRPr="00877ED2">
        <w:t xml:space="preserve">turn </w:t>
      </w:r>
      <w:r w:rsidRPr="00877ED2">
        <w:t xml:space="preserve">difficult to obtain the derivatives. </w:t>
      </w:r>
      <w:r w:rsidR="00371316" w:rsidRPr="00877ED2">
        <w:t>The final data set, considered in the estimation procedures, is made of 100 experimental points</w:t>
      </w:r>
      <w:r w:rsidRPr="00877ED2">
        <w:t xml:space="preserve">. Thus, with the values of </w:t>
      </w:r>
      <w:r w:rsidRPr="00877ED2">
        <w:rPr>
          <w:i/>
        </w:rPr>
        <w:t xml:space="preserve">f </w:t>
      </w:r>
      <w:r w:rsidRPr="00877ED2">
        <w:t xml:space="preserve">and </w:t>
      </w:r>
      <w:r w:rsidRPr="00877ED2">
        <w:rPr>
          <w:i/>
        </w:rPr>
        <w:t>df / dt</w:t>
      </w:r>
      <w:r w:rsidRPr="00877ED2">
        <w:t xml:space="preserve">, through a MATLAB programming, genetic algorithm was used to estimate kinetic parameters of lignin decomposition. The genetic algorithm used </w:t>
      </w:r>
      <w:r w:rsidR="008C1090" w:rsidRPr="00877ED2">
        <w:t xml:space="preserve">a population </w:t>
      </w:r>
      <w:r w:rsidR="006E487D" w:rsidRPr="00877ED2">
        <w:t xml:space="preserve">of </w:t>
      </w:r>
      <w:r w:rsidR="008C1090" w:rsidRPr="00877ED2">
        <w:t>5</w:t>
      </w:r>
      <w:r w:rsidRPr="00877ED2">
        <w:t xml:space="preserve">000 individuals with 7500 generations, crossover rate in 70%, migration rate in 40% and migration interval in 10 individuals. The values for the order of reaction, pre-exponential factor and activation energy </w:t>
      </w:r>
      <w:r w:rsidR="00371316" w:rsidRPr="00877ED2">
        <w:t xml:space="preserve">found </w:t>
      </w:r>
      <w:r w:rsidRPr="00877ED2">
        <w:t>were 0.9546</w:t>
      </w:r>
      <w:r w:rsidR="0069022D" w:rsidRPr="00877ED2">
        <w:t xml:space="preserve"> (</w:t>
      </w:r>
      <w:r w:rsidR="006E487D" w:rsidRPr="00877ED2">
        <w:t xml:space="preserve">considered </w:t>
      </w:r>
      <w:r w:rsidR="0069022D" w:rsidRPr="00877ED2">
        <w:t>first order reaction)</w:t>
      </w:r>
      <w:r w:rsidRPr="00877ED2">
        <w:t>, 91.95</w:t>
      </w:r>
      <w:r w:rsidR="00A25B66" w:rsidRPr="00877ED2">
        <w:t xml:space="preserve"> x 10</w:t>
      </w:r>
      <w:r w:rsidR="00A25B66" w:rsidRPr="00877ED2">
        <w:rPr>
          <w:vertAlign w:val="superscript"/>
        </w:rPr>
        <w:t>4</w:t>
      </w:r>
      <w:r w:rsidRPr="00877ED2">
        <w:t xml:space="preserve"> s</w:t>
      </w:r>
      <w:r w:rsidRPr="00877ED2">
        <w:rPr>
          <w:vertAlign w:val="superscript"/>
        </w:rPr>
        <w:t>-1</w:t>
      </w:r>
      <w:r w:rsidR="007A5CD0" w:rsidRPr="00877ED2">
        <w:t xml:space="preserve"> and 13.54</w:t>
      </w:r>
      <w:r w:rsidR="00BB1E87" w:rsidRPr="00877ED2">
        <w:t xml:space="preserve"> x 10</w:t>
      </w:r>
      <w:r w:rsidR="007A5CD0" w:rsidRPr="00877ED2">
        <w:rPr>
          <w:vertAlign w:val="superscript"/>
        </w:rPr>
        <w:t>4</w:t>
      </w:r>
      <w:r w:rsidR="007A5CD0" w:rsidRPr="00877ED2">
        <w:t xml:space="preserve"> </w:t>
      </w:r>
      <w:r w:rsidRPr="00877ED2">
        <w:t>J</w:t>
      </w:r>
      <w:r w:rsidR="006E487D" w:rsidRPr="00877ED2">
        <w:t>.</w:t>
      </w:r>
      <w:r w:rsidRPr="00877ED2">
        <w:t>mol</w:t>
      </w:r>
      <w:r w:rsidR="006E487D" w:rsidRPr="00877ED2">
        <w:rPr>
          <w:vertAlign w:val="superscript"/>
        </w:rPr>
        <w:t>-1</w:t>
      </w:r>
      <w:r w:rsidRPr="00877ED2">
        <w:t xml:space="preserve"> respectively.</w:t>
      </w:r>
    </w:p>
    <w:p w14:paraId="51256C2F" w14:textId="66BB2740" w:rsidR="008C42D5" w:rsidRPr="00877ED2" w:rsidRDefault="008C42D5" w:rsidP="008C42D5">
      <w:r w:rsidRPr="00877ED2">
        <w:t>Then, a particle swarm optimization (</w:t>
      </w:r>
      <w:r w:rsidRPr="00877ED2">
        <w:rPr>
          <w:i/>
        </w:rPr>
        <w:t>PSO</w:t>
      </w:r>
      <w:r w:rsidRPr="00877ED2">
        <w:t xml:space="preserve">) model was also run for estimation of </w:t>
      </w:r>
      <w:r w:rsidR="00371316" w:rsidRPr="00877ED2">
        <w:t xml:space="preserve">the </w:t>
      </w:r>
      <w:r w:rsidRPr="00877ED2">
        <w:t>kinetic para</w:t>
      </w:r>
      <w:r w:rsidR="00E9064D" w:rsidRPr="00877ED2">
        <w:t xml:space="preserve">meters of lignin decomposition. </w:t>
      </w:r>
      <w:r w:rsidRPr="00877ED2">
        <w:t>The Python programming language was used to run the proposed model</w:t>
      </w:r>
      <w:r w:rsidR="00371316" w:rsidRPr="00877ED2">
        <w:t>,</w:t>
      </w:r>
      <w:r w:rsidR="00E9064D" w:rsidRPr="00877ED2">
        <w:t xml:space="preserve"> 250 particles were used and 350 iterations were performed with a numerical tolerance of 0.0001 for the objective function. </w:t>
      </w:r>
      <w:r w:rsidRPr="00877ED2">
        <w:t>For this case, the result obtained for the reaction order was 1.1073, for the pre-exponential factor was 48.19</w:t>
      </w:r>
      <w:r w:rsidR="00A25B66" w:rsidRPr="00877ED2">
        <w:t xml:space="preserve"> x 10</w:t>
      </w:r>
      <w:r w:rsidR="00A25B66" w:rsidRPr="00877ED2">
        <w:rPr>
          <w:vertAlign w:val="superscript"/>
        </w:rPr>
        <w:t>6</w:t>
      </w:r>
      <w:r w:rsidR="00A657BA" w:rsidRPr="00877ED2">
        <w:t xml:space="preserve"> s</w:t>
      </w:r>
      <w:r w:rsidR="00A657BA" w:rsidRPr="00877ED2">
        <w:rPr>
          <w:vertAlign w:val="superscript"/>
        </w:rPr>
        <w:t>-1</w:t>
      </w:r>
      <w:r w:rsidR="00A657BA" w:rsidRPr="00877ED2">
        <w:t xml:space="preserve"> </w:t>
      </w:r>
      <w:r w:rsidRPr="00877ED2">
        <w:t>and for the activation energy of 17.21</w:t>
      </w:r>
      <w:r w:rsidR="00BB1E87" w:rsidRPr="00877ED2">
        <w:t xml:space="preserve"> x 10</w:t>
      </w:r>
      <w:r w:rsidR="00BB1E87" w:rsidRPr="00877ED2">
        <w:rPr>
          <w:vertAlign w:val="superscript"/>
        </w:rPr>
        <w:t>4</w:t>
      </w:r>
      <w:r w:rsidR="00074A6A" w:rsidRPr="00877ED2">
        <w:t xml:space="preserve"> J</w:t>
      </w:r>
      <w:r w:rsidR="006E487D" w:rsidRPr="00877ED2">
        <w:t>.mol</w:t>
      </w:r>
      <w:r w:rsidR="006E487D" w:rsidRPr="00877ED2">
        <w:rPr>
          <w:vertAlign w:val="superscript"/>
        </w:rPr>
        <w:t>-1</w:t>
      </w:r>
      <w:r w:rsidRPr="00877ED2">
        <w:t>.</w:t>
      </w:r>
    </w:p>
    <w:p w14:paraId="0EB80595" w14:textId="5F49478C" w:rsidR="008C42D5" w:rsidRPr="00877ED2" w:rsidRDefault="008C42D5" w:rsidP="008C42D5">
      <w:r w:rsidRPr="00877ED2">
        <w:t xml:space="preserve">With </w:t>
      </w:r>
      <w:r w:rsidR="00A4623D" w:rsidRPr="00877ED2">
        <w:t>the</w:t>
      </w:r>
      <w:r w:rsidRPr="00877ED2">
        <w:t xml:space="preserve"> values of order of reaction, two new </w:t>
      </w:r>
      <w:r w:rsidR="00D952F4" w:rsidRPr="00877ED2">
        <w:t xml:space="preserve">estimation procedures </w:t>
      </w:r>
      <w:r w:rsidRPr="00877ED2">
        <w:t xml:space="preserve">were </w:t>
      </w:r>
      <w:r w:rsidR="00D952F4" w:rsidRPr="00877ED2">
        <w:t>done</w:t>
      </w:r>
      <w:r w:rsidRPr="00877ED2">
        <w:t xml:space="preserve">. </w:t>
      </w:r>
      <w:r w:rsidR="00D952F4" w:rsidRPr="00877ED2">
        <w:t xml:space="preserve">The first one, named </w:t>
      </w:r>
      <w:r w:rsidR="00D952F4" w:rsidRPr="00877ED2">
        <w:rPr>
          <w:i/>
        </w:rPr>
        <w:t>GA_PSO</w:t>
      </w:r>
      <w:r w:rsidR="00D952F4" w:rsidRPr="00877ED2">
        <w:t xml:space="preserve">, fixed </w:t>
      </w:r>
      <w:r w:rsidRPr="00877ED2">
        <w:t xml:space="preserve">the order value of reaction, </w:t>
      </w:r>
      <w:r w:rsidRPr="00877ED2">
        <w:rPr>
          <w:i/>
        </w:rPr>
        <w:t>n</w:t>
      </w:r>
      <w:r w:rsidRPr="00877ED2">
        <w:t xml:space="preserve">, </w:t>
      </w:r>
      <w:r w:rsidR="00D952F4" w:rsidRPr="00877ED2">
        <w:t xml:space="preserve">with the value </w:t>
      </w:r>
      <w:r w:rsidRPr="00877ED2">
        <w:t xml:space="preserve">found </w:t>
      </w:r>
      <w:r w:rsidR="00D952F4" w:rsidRPr="00877ED2">
        <w:t>by</w:t>
      </w:r>
      <w:r w:rsidRPr="00877ED2">
        <w:t xml:space="preserve"> </w:t>
      </w:r>
      <w:r w:rsidR="00D952F4" w:rsidRPr="00877ED2">
        <w:rPr>
          <w:i/>
        </w:rPr>
        <w:t>PSO</w:t>
      </w:r>
      <w:r w:rsidRPr="00877ED2">
        <w:t xml:space="preserve"> method</w:t>
      </w:r>
      <w:r w:rsidR="00D952F4" w:rsidRPr="00877ED2">
        <w:t xml:space="preserve">, and estimated through </w:t>
      </w:r>
      <w:r w:rsidR="00D952F4" w:rsidRPr="00877ED2">
        <w:rPr>
          <w:i/>
        </w:rPr>
        <w:t xml:space="preserve">GA </w:t>
      </w:r>
      <w:r w:rsidR="00D952F4" w:rsidRPr="00877ED2">
        <w:t>the activation energy and the pre-</w:t>
      </w:r>
      <w:r w:rsidR="00927BAF" w:rsidRPr="00877ED2">
        <w:t xml:space="preserve">exponential factor. The second </w:t>
      </w:r>
      <w:r w:rsidR="00D952F4" w:rsidRPr="00877ED2">
        <w:t xml:space="preserve">procedure, named </w:t>
      </w:r>
      <w:r w:rsidR="00D952F4" w:rsidRPr="00877ED2">
        <w:rPr>
          <w:i/>
        </w:rPr>
        <w:t>PSO_GA</w:t>
      </w:r>
      <w:r w:rsidR="00D952F4" w:rsidRPr="00877ED2">
        <w:t xml:space="preserve">, used </w:t>
      </w:r>
      <w:r w:rsidR="00D952F4" w:rsidRPr="00877ED2">
        <w:rPr>
          <w:i/>
        </w:rPr>
        <w:t>PSO</w:t>
      </w:r>
      <w:r w:rsidR="00D952F4" w:rsidRPr="00877ED2">
        <w:t xml:space="preserve"> method to estimate the same two parameters (</w:t>
      </w:r>
      <w:r w:rsidR="00D952F4" w:rsidRPr="00877ED2">
        <w:rPr>
          <w:i/>
        </w:rPr>
        <w:t>Ea</w:t>
      </w:r>
      <w:r w:rsidR="00D952F4" w:rsidRPr="00877ED2">
        <w:t xml:space="preserve"> and </w:t>
      </w:r>
      <w:r w:rsidR="00D952F4" w:rsidRPr="00877ED2">
        <w:rPr>
          <w:i/>
        </w:rPr>
        <w:t>k</w:t>
      </w:r>
      <w:r w:rsidR="00D952F4" w:rsidRPr="00877ED2">
        <w:rPr>
          <w:i/>
          <w:vertAlign w:val="subscript"/>
        </w:rPr>
        <w:t>0</w:t>
      </w:r>
      <w:r w:rsidR="00D952F4" w:rsidRPr="00877ED2">
        <w:t xml:space="preserve">) with the value of </w:t>
      </w:r>
      <w:r w:rsidR="00D952F4" w:rsidRPr="00877ED2">
        <w:rPr>
          <w:i/>
        </w:rPr>
        <w:t>n</w:t>
      </w:r>
      <w:r w:rsidR="00A4623D" w:rsidRPr="00877ED2">
        <w:t xml:space="preserve"> fixed by the one found by </w:t>
      </w:r>
      <w:r w:rsidR="00D952F4" w:rsidRPr="00877ED2">
        <w:rPr>
          <w:i/>
        </w:rPr>
        <w:t>GA</w:t>
      </w:r>
      <w:r w:rsidR="00D952F4" w:rsidRPr="00877ED2">
        <w:t xml:space="preserve">. </w:t>
      </w:r>
      <w:r w:rsidR="00A25B66" w:rsidRPr="00877ED2">
        <w:rPr>
          <w:i/>
        </w:rPr>
        <w:t>GA_PSO</w:t>
      </w:r>
      <w:r w:rsidR="00A25B66" w:rsidRPr="00877ED2">
        <w:t xml:space="preserve"> method </w:t>
      </w:r>
      <w:r w:rsidR="00D952F4" w:rsidRPr="00877ED2">
        <w:t xml:space="preserve">estimated for </w:t>
      </w:r>
      <w:r w:rsidR="00D952F4" w:rsidRPr="00877ED2">
        <w:rPr>
          <w:i/>
        </w:rPr>
        <w:t>k</w:t>
      </w:r>
      <w:r w:rsidR="00D952F4" w:rsidRPr="00877ED2">
        <w:rPr>
          <w:i/>
          <w:vertAlign w:val="subscript"/>
        </w:rPr>
        <w:t>0</w:t>
      </w:r>
      <w:r w:rsidR="00D952F4" w:rsidRPr="00877ED2">
        <w:t xml:space="preserve"> and </w:t>
      </w:r>
      <w:r w:rsidR="00D952F4" w:rsidRPr="00877ED2">
        <w:rPr>
          <w:i/>
        </w:rPr>
        <w:t>Ea</w:t>
      </w:r>
      <w:r w:rsidR="00D952F4" w:rsidRPr="00877ED2">
        <w:t xml:space="preserve"> the values of </w:t>
      </w:r>
      <w:r w:rsidR="00A25B66" w:rsidRPr="00877ED2">
        <w:t>95.83 x 10</w:t>
      </w:r>
      <w:r w:rsidR="00A25B66" w:rsidRPr="00877ED2">
        <w:rPr>
          <w:vertAlign w:val="superscript"/>
        </w:rPr>
        <w:t>4</w:t>
      </w:r>
      <w:r w:rsidR="00A25B66" w:rsidRPr="00877ED2">
        <w:t xml:space="preserve"> s</w:t>
      </w:r>
      <w:r w:rsidR="00A25B66" w:rsidRPr="00877ED2">
        <w:rPr>
          <w:vertAlign w:val="superscript"/>
        </w:rPr>
        <w:t>-1</w:t>
      </w:r>
      <w:r w:rsidR="006A7DE6" w:rsidRPr="00877ED2">
        <w:t xml:space="preserve"> </w:t>
      </w:r>
      <w:r w:rsidR="00A25B66" w:rsidRPr="00877ED2">
        <w:t>and 13.71 x 10</w:t>
      </w:r>
      <w:r w:rsidR="00A25B66" w:rsidRPr="00877ED2">
        <w:rPr>
          <w:vertAlign w:val="superscript"/>
        </w:rPr>
        <w:t>4</w:t>
      </w:r>
      <w:r w:rsidR="00A25B66" w:rsidRPr="00877ED2">
        <w:t xml:space="preserve"> J</w:t>
      </w:r>
      <w:r w:rsidR="00926E32" w:rsidRPr="00877ED2">
        <w:t>.mol</w:t>
      </w:r>
      <w:r w:rsidR="00926E32" w:rsidRPr="00877ED2">
        <w:rPr>
          <w:vertAlign w:val="superscript"/>
        </w:rPr>
        <w:t>-1</w:t>
      </w:r>
      <w:r w:rsidR="00926E32" w:rsidRPr="00877ED2">
        <w:t xml:space="preserve"> </w:t>
      </w:r>
      <w:r w:rsidR="00A25B66" w:rsidRPr="00877ED2">
        <w:t xml:space="preserve">respectively. However, for the </w:t>
      </w:r>
      <w:r w:rsidR="00A25B66" w:rsidRPr="00877ED2">
        <w:rPr>
          <w:i/>
        </w:rPr>
        <w:t>PSO_GA</w:t>
      </w:r>
      <w:r w:rsidR="00A25B66" w:rsidRPr="00877ED2">
        <w:t xml:space="preserve"> method</w:t>
      </w:r>
      <w:r w:rsidR="00D952F4" w:rsidRPr="00877ED2">
        <w:t>,</w:t>
      </w:r>
      <w:r w:rsidR="00A25B66" w:rsidRPr="00877ED2">
        <w:t xml:space="preserve"> the </w:t>
      </w:r>
      <w:r w:rsidR="00926E32" w:rsidRPr="00877ED2">
        <w:t xml:space="preserve">estimated </w:t>
      </w:r>
      <w:r w:rsidR="00A25B66" w:rsidRPr="00877ED2">
        <w:t>values for the pre-exponential factor and activation energy were 30.53 x 10</w:t>
      </w:r>
      <w:r w:rsidR="00A25B66" w:rsidRPr="00877ED2">
        <w:rPr>
          <w:vertAlign w:val="superscript"/>
        </w:rPr>
        <w:t>5</w:t>
      </w:r>
      <w:r w:rsidR="00A25B66" w:rsidRPr="00877ED2">
        <w:t xml:space="preserve"> s</w:t>
      </w:r>
      <w:r w:rsidR="00A25B66" w:rsidRPr="00877ED2">
        <w:rPr>
          <w:vertAlign w:val="superscript"/>
        </w:rPr>
        <w:t>-1</w:t>
      </w:r>
      <w:r w:rsidR="00A25B66" w:rsidRPr="00877ED2">
        <w:t xml:space="preserve"> and 14.58 x 10</w:t>
      </w:r>
      <w:r w:rsidR="00A25B66" w:rsidRPr="00877ED2">
        <w:rPr>
          <w:vertAlign w:val="superscript"/>
        </w:rPr>
        <w:t>4</w:t>
      </w:r>
      <w:r w:rsidR="00A25B66" w:rsidRPr="00877ED2">
        <w:t xml:space="preserve"> J</w:t>
      </w:r>
      <w:r w:rsidR="00926E32" w:rsidRPr="00877ED2">
        <w:t>.mol</w:t>
      </w:r>
      <w:r w:rsidR="00926E32" w:rsidRPr="00877ED2">
        <w:rPr>
          <w:vertAlign w:val="superscript"/>
        </w:rPr>
        <w:t>-1</w:t>
      </w:r>
      <w:r w:rsidR="00926E32" w:rsidRPr="00877ED2">
        <w:t xml:space="preserve"> </w:t>
      </w:r>
      <w:r w:rsidR="00A25B66" w:rsidRPr="00877ED2">
        <w:t xml:space="preserve">respectively. </w:t>
      </w:r>
      <w:r w:rsidR="00D952F4" w:rsidRPr="00877ED2">
        <w:t>All estimated parameters</w:t>
      </w:r>
      <w:r w:rsidRPr="00877ED2">
        <w:t xml:space="preserve"> can be </w:t>
      </w:r>
      <w:r w:rsidR="00926E32" w:rsidRPr="00877ED2">
        <w:t xml:space="preserve">seen </w:t>
      </w:r>
      <w:r w:rsidRPr="00877ED2">
        <w:t>in Table 1.</w:t>
      </w:r>
      <w:r w:rsidR="00926E32" w:rsidRPr="00877ED2">
        <w:t xml:space="preserve"> </w:t>
      </w:r>
    </w:p>
    <w:p w14:paraId="6150D55F" w14:textId="0F87C5C7" w:rsidR="00600535" w:rsidRPr="00877ED2" w:rsidRDefault="00600535" w:rsidP="00600535">
      <w:pPr>
        <w:pStyle w:val="CETTabletitle"/>
        <w:rPr>
          <w:i w:val="0"/>
          <w:lang w:val="en-US"/>
        </w:rPr>
      </w:pPr>
      <w:r w:rsidRPr="00877ED2">
        <w:lastRenderedPageBreak/>
        <w:t xml:space="preserve">Table 1: </w:t>
      </w:r>
      <w:r w:rsidR="008C42D5" w:rsidRPr="00877ED2">
        <w:t>Values of kinetic parameters found for each</w:t>
      </w:r>
      <w:r w:rsidR="00D952F4" w:rsidRPr="00877ED2">
        <w:t xml:space="preserve"> optimization</w:t>
      </w:r>
      <w:r w:rsidR="008C42D5" w:rsidRPr="00877ED2">
        <w:t xml:space="preserve"> model</w:t>
      </w:r>
      <w:r w:rsidR="00074A6A" w:rsidRPr="00877ED2">
        <w:t xml:space="preserve"> </w:t>
      </w:r>
      <w:r w:rsidR="00D952F4" w:rsidRPr="00877ED2">
        <w:t>(k</w:t>
      </w:r>
      <w:r w:rsidR="00D952F4" w:rsidRPr="00877ED2">
        <w:rPr>
          <w:vertAlign w:val="subscript"/>
        </w:rPr>
        <w:t>0</w:t>
      </w:r>
      <w:r w:rsidR="00074A6A" w:rsidRPr="00877ED2">
        <w:rPr>
          <w:vertAlign w:val="subscript"/>
        </w:rPr>
        <w:t xml:space="preserve"> </w:t>
      </w:r>
      <w:r w:rsidR="00CC05E5" w:rsidRPr="00877ED2">
        <w:rPr>
          <w:vertAlign w:val="subscript"/>
        </w:rPr>
        <w:t xml:space="preserve"> </w:t>
      </w:r>
      <w:r w:rsidR="00074A6A" w:rsidRPr="00877ED2">
        <w:t>in s</w:t>
      </w:r>
      <w:r w:rsidR="00074A6A" w:rsidRPr="00877ED2">
        <w:rPr>
          <w:vertAlign w:val="superscript"/>
        </w:rPr>
        <w:t>-1</w:t>
      </w:r>
      <w:r w:rsidR="00074A6A" w:rsidRPr="00877ED2">
        <w:t xml:space="preserve"> and Ea in J</w:t>
      </w:r>
      <w:r w:rsidR="00CC05E5" w:rsidRPr="00877ED2">
        <w:t>.mol</w:t>
      </w:r>
      <w:r w:rsidR="00CC05E5" w:rsidRPr="00877ED2">
        <w:rPr>
          <w:vertAlign w:val="superscript"/>
        </w:rPr>
        <w:t>-1</w:t>
      </w:r>
      <w:r w:rsidR="00D952F4" w:rsidRPr="00877ED2">
        <w:t>)</w:t>
      </w:r>
      <w:r w:rsidR="00074A6A" w:rsidRPr="00877ED2">
        <w:t>.</w:t>
      </w:r>
    </w:p>
    <w:tbl>
      <w:tblPr>
        <w:tblW w:w="7720" w:type="dxa"/>
        <w:tblCellMar>
          <w:left w:w="70" w:type="dxa"/>
          <w:right w:w="70" w:type="dxa"/>
        </w:tblCellMar>
        <w:tblLook w:val="04A0" w:firstRow="1" w:lastRow="0" w:firstColumn="1" w:lastColumn="0" w:noHBand="0" w:noVBand="1"/>
      </w:tblPr>
      <w:tblGrid>
        <w:gridCol w:w="420"/>
        <w:gridCol w:w="1380"/>
        <w:gridCol w:w="420"/>
        <w:gridCol w:w="1760"/>
        <w:gridCol w:w="420"/>
        <w:gridCol w:w="1380"/>
        <w:gridCol w:w="420"/>
        <w:gridCol w:w="1520"/>
      </w:tblGrid>
      <w:tr w:rsidR="00877ED2" w:rsidRPr="00877ED2" w14:paraId="641A018E" w14:textId="77777777" w:rsidTr="00927BAF">
        <w:trPr>
          <w:trHeight w:val="268"/>
        </w:trPr>
        <w:tc>
          <w:tcPr>
            <w:tcW w:w="1800" w:type="dxa"/>
            <w:gridSpan w:val="2"/>
            <w:tcBorders>
              <w:top w:val="single" w:sz="12" w:space="0" w:color="008000"/>
              <w:left w:val="nil"/>
              <w:bottom w:val="single" w:sz="8" w:space="0" w:color="008000"/>
              <w:right w:val="nil"/>
            </w:tcBorders>
            <w:shd w:val="clear" w:color="000000" w:fill="FFFFFF"/>
            <w:vAlign w:val="center"/>
            <w:hideMark/>
          </w:tcPr>
          <w:p w14:paraId="756A4E3D"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GA</w:t>
            </w:r>
          </w:p>
        </w:tc>
        <w:tc>
          <w:tcPr>
            <w:tcW w:w="2180" w:type="dxa"/>
            <w:gridSpan w:val="2"/>
            <w:tcBorders>
              <w:top w:val="single" w:sz="12" w:space="0" w:color="008000"/>
              <w:left w:val="nil"/>
              <w:bottom w:val="single" w:sz="8" w:space="0" w:color="008000"/>
              <w:right w:val="nil"/>
            </w:tcBorders>
            <w:shd w:val="clear" w:color="000000" w:fill="FFFFFF"/>
            <w:vAlign w:val="center"/>
            <w:hideMark/>
          </w:tcPr>
          <w:p w14:paraId="0A4861A4"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PSO</w:t>
            </w:r>
          </w:p>
        </w:tc>
        <w:tc>
          <w:tcPr>
            <w:tcW w:w="1800" w:type="dxa"/>
            <w:gridSpan w:val="2"/>
            <w:tcBorders>
              <w:top w:val="single" w:sz="12" w:space="0" w:color="008000"/>
              <w:left w:val="nil"/>
              <w:bottom w:val="single" w:sz="8" w:space="0" w:color="008000"/>
              <w:right w:val="nil"/>
            </w:tcBorders>
            <w:shd w:val="clear" w:color="000000" w:fill="FFFFFF"/>
            <w:vAlign w:val="center"/>
            <w:hideMark/>
          </w:tcPr>
          <w:p w14:paraId="15D689C0"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GA_PSO</w:t>
            </w:r>
          </w:p>
        </w:tc>
        <w:tc>
          <w:tcPr>
            <w:tcW w:w="1940" w:type="dxa"/>
            <w:gridSpan w:val="2"/>
            <w:tcBorders>
              <w:top w:val="single" w:sz="12" w:space="0" w:color="008000"/>
              <w:left w:val="nil"/>
              <w:bottom w:val="single" w:sz="8" w:space="0" w:color="008000"/>
              <w:right w:val="nil"/>
            </w:tcBorders>
            <w:shd w:val="clear" w:color="000000" w:fill="FFFFFF"/>
            <w:vAlign w:val="center"/>
            <w:hideMark/>
          </w:tcPr>
          <w:p w14:paraId="626F54ED"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PSO_GA</w:t>
            </w:r>
          </w:p>
        </w:tc>
      </w:tr>
      <w:tr w:rsidR="00877ED2" w:rsidRPr="00877ED2" w14:paraId="292EEEBA" w14:textId="77777777" w:rsidTr="00927BAF">
        <w:trPr>
          <w:trHeight w:val="263"/>
        </w:trPr>
        <w:tc>
          <w:tcPr>
            <w:tcW w:w="420" w:type="dxa"/>
            <w:tcBorders>
              <w:top w:val="nil"/>
              <w:left w:val="nil"/>
              <w:bottom w:val="nil"/>
              <w:right w:val="nil"/>
            </w:tcBorders>
            <w:shd w:val="clear" w:color="auto" w:fill="auto"/>
            <w:noWrap/>
            <w:vAlign w:val="bottom"/>
            <w:hideMark/>
          </w:tcPr>
          <w:p w14:paraId="54BA8F48"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k</w:t>
            </w:r>
            <w:r w:rsidRPr="00877ED2">
              <w:rPr>
                <w:rFonts w:cs="Arial"/>
                <w:szCs w:val="18"/>
                <w:vertAlign w:val="subscript"/>
                <w:lang w:eastAsia="pt-BR"/>
              </w:rPr>
              <w:t>0</w:t>
            </w:r>
          </w:p>
        </w:tc>
        <w:tc>
          <w:tcPr>
            <w:tcW w:w="1380" w:type="dxa"/>
            <w:tcBorders>
              <w:top w:val="nil"/>
              <w:left w:val="nil"/>
              <w:bottom w:val="nil"/>
              <w:right w:val="nil"/>
            </w:tcBorders>
            <w:shd w:val="clear" w:color="auto" w:fill="auto"/>
            <w:noWrap/>
            <w:vAlign w:val="bottom"/>
            <w:hideMark/>
          </w:tcPr>
          <w:p w14:paraId="1417B02D" w14:textId="5DB20368" w:rsidR="00D1125F" w:rsidRPr="00877ED2" w:rsidRDefault="008C343D" w:rsidP="00D1125F">
            <w:pPr>
              <w:tabs>
                <w:tab w:val="clear" w:pos="7100"/>
              </w:tabs>
              <w:spacing w:line="240" w:lineRule="auto"/>
              <w:jc w:val="center"/>
              <w:rPr>
                <w:rFonts w:cs="Arial"/>
                <w:szCs w:val="18"/>
                <w:lang w:eastAsia="pt-BR"/>
              </w:rPr>
            </w:pPr>
            <w:r w:rsidRPr="00877ED2">
              <w:rPr>
                <w:rFonts w:cs="Arial"/>
                <w:szCs w:val="18"/>
                <w:lang w:eastAsia="pt-BR"/>
              </w:rPr>
              <w:t>91.95</w:t>
            </w:r>
            <w:r w:rsidR="00A4623D" w:rsidRPr="00877ED2">
              <w:rPr>
                <w:rFonts w:cs="Arial"/>
                <w:szCs w:val="18"/>
                <w:lang w:eastAsia="pt-BR"/>
              </w:rPr>
              <w:t xml:space="preserve"> </w:t>
            </w:r>
            <w:r w:rsidRPr="00877ED2">
              <w:rPr>
                <w:rFonts w:cs="Arial"/>
                <w:szCs w:val="18"/>
                <w:lang w:eastAsia="pt-BR"/>
              </w:rPr>
              <w:t>x10</w:t>
            </w:r>
            <w:r w:rsidRPr="00877ED2">
              <w:rPr>
                <w:rFonts w:cs="Arial"/>
                <w:szCs w:val="18"/>
                <w:vertAlign w:val="superscript"/>
                <w:lang w:eastAsia="pt-BR"/>
              </w:rPr>
              <w:t>4</w:t>
            </w:r>
          </w:p>
        </w:tc>
        <w:tc>
          <w:tcPr>
            <w:tcW w:w="420" w:type="dxa"/>
            <w:tcBorders>
              <w:top w:val="nil"/>
              <w:left w:val="nil"/>
              <w:bottom w:val="nil"/>
              <w:right w:val="nil"/>
            </w:tcBorders>
            <w:shd w:val="clear" w:color="auto" w:fill="auto"/>
            <w:noWrap/>
            <w:vAlign w:val="bottom"/>
            <w:hideMark/>
          </w:tcPr>
          <w:p w14:paraId="6BCE5ADA"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k</w:t>
            </w:r>
            <w:r w:rsidRPr="00877ED2">
              <w:rPr>
                <w:rFonts w:cs="Arial"/>
                <w:szCs w:val="18"/>
                <w:vertAlign w:val="subscript"/>
                <w:lang w:eastAsia="pt-BR"/>
              </w:rPr>
              <w:t>0</w:t>
            </w:r>
          </w:p>
        </w:tc>
        <w:tc>
          <w:tcPr>
            <w:tcW w:w="1760" w:type="dxa"/>
            <w:tcBorders>
              <w:top w:val="nil"/>
              <w:left w:val="nil"/>
              <w:bottom w:val="nil"/>
              <w:right w:val="nil"/>
            </w:tcBorders>
            <w:shd w:val="clear" w:color="auto" w:fill="auto"/>
            <w:noWrap/>
            <w:vAlign w:val="bottom"/>
            <w:hideMark/>
          </w:tcPr>
          <w:p w14:paraId="66805959" w14:textId="3863261F" w:rsidR="00D1125F" w:rsidRPr="00877ED2" w:rsidRDefault="008C343D" w:rsidP="00D1125F">
            <w:pPr>
              <w:tabs>
                <w:tab w:val="clear" w:pos="7100"/>
              </w:tabs>
              <w:spacing w:line="240" w:lineRule="auto"/>
              <w:jc w:val="center"/>
              <w:rPr>
                <w:rFonts w:cs="Arial"/>
                <w:szCs w:val="18"/>
                <w:lang w:eastAsia="pt-BR"/>
              </w:rPr>
            </w:pPr>
            <w:r w:rsidRPr="00877ED2">
              <w:t>48.19 x 10</w:t>
            </w:r>
            <w:r w:rsidRPr="00877ED2">
              <w:rPr>
                <w:vertAlign w:val="superscript"/>
              </w:rPr>
              <w:t>6</w:t>
            </w:r>
          </w:p>
        </w:tc>
        <w:tc>
          <w:tcPr>
            <w:tcW w:w="420" w:type="dxa"/>
            <w:tcBorders>
              <w:top w:val="nil"/>
              <w:left w:val="nil"/>
              <w:bottom w:val="nil"/>
              <w:right w:val="nil"/>
            </w:tcBorders>
            <w:shd w:val="clear" w:color="auto" w:fill="auto"/>
            <w:noWrap/>
            <w:vAlign w:val="bottom"/>
            <w:hideMark/>
          </w:tcPr>
          <w:p w14:paraId="64F0AAC8"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k</w:t>
            </w:r>
            <w:r w:rsidRPr="00877ED2">
              <w:rPr>
                <w:rFonts w:cs="Arial"/>
                <w:szCs w:val="18"/>
                <w:vertAlign w:val="subscript"/>
                <w:lang w:eastAsia="pt-BR"/>
              </w:rPr>
              <w:t>0</w:t>
            </w:r>
          </w:p>
        </w:tc>
        <w:tc>
          <w:tcPr>
            <w:tcW w:w="1380" w:type="dxa"/>
            <w:tcBorders>
              <w:top w:val="nil"/>
              <w:left w:val="nil"/>
              <w:bottom w:val="nil"/>
              <w:right w:val="nil"/>
            </w:tcBorders>
            <w:shd w:val="clear" w:color="auto" w:fill="auto"/>
            <w:noWrap/>
            <w:vAlign w:val="bottom"/>
            <w:hideMark/>
          </w:tcPr>
          <w:p w14:paraId="7FD4B9BB" w14:textId="31077774" w:rsidR="00D1125F" w:rsidRPr="00877ED2" w:rsidRDefault="008C343D" w:rsidP="00D1125F">
            <w:pPr>
              <w:tabs>
                <w:tab w:val="clear" w:pos="7100"/>
              </w:tabs>
              <w:spacing w:line="240" w:lineRule="auto"/>
              <w:jc w:val="center"/>
              <w:rPr>
                <w:rFonts w:cs="Arial"/>
                <w:szCs w:val="18"/>
                <w:lang w:eastAsia="pt-BR"/>
              </w:rPr>
            </w:pPr>
            <w:r w:rsidRPr="00877ED2">
              <w:t>95.83 x 10</w:t>
            </w:r>
            <w:r w:rsidRPr="00877ED2">
              <w:rPr>
                <w:vertAlign w:val="superscript"/>
              </w:rPr>
              <w:t>4</w:t>
            </w:r>
          </w:p>
        </w:tc>
        <w:tc>
          <w:tcPr>
            <w:tcW w:w="420" w:type="dxa"/>
            <w:tcBorders>
              <w:top w:val="nil"/>
              <w:left w:val="nil"/>
              <w:bottom w:val="nil"/>
              <w:right w:val="nil"/>
            </w:tcBorders>
            <w:shd w:val="clear" w:color="auto" w:fill="auto"/>
            <w:noWrap/>
            <w:vAlign w:val="bottom"/>
            <w:hideMark/>
          </w:tcPr>
          <w:p w14:paraId="1EE63D89"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k</w:t>
            </w:r>
            <w:r w:rsidRPr="00877ED2">
              <w:rPr>
                <w:rFonts w:cs="Arial"/>
                <w:szCs w:val="18"/>
                <w:vertAlign w:val="subscript"/>
                <w:lang w:eastAsia="pt-BR"/>
              </w:rPr>
              <w:t>0</w:t>
            </w:r>
          </w:p>
        </w:tc>
        <w:tc>
          <w:tcPr>
            <w:tcW w:w="1520" w:type="dxa"/>
            <w:tcBorders>
              <w:top w:val="nil"/>
              <w:left w:val="nil"/>
              <w:bottom w:val="nil"/>
              <w:right w:val="nil"/>
            </w:tcBorders>
            <w:shd w:val="clear" w:color="auto" w:fill="auto"/>
            <w:noWrap/>
            <w:vAlign w:val="bottom"/>
            <w:hideMark/>
          </w:tcPr>
          <w:p w14:paraId="01D37B54" w14:textId="0CFB9DC3" w:rsidR="00D1125F" w:rsidRPr="00877ED2" w:rsidRDefault="008C343D" w:rsidP="00D1125F">
            <w:pPr>
              <w:tabs>
                <w:tab w:val="clear" w:pos="7100"/>
              </w:tabs>
              <w:spacing w:line="240" w:lineRule="auto"/>
              <w:jc w:val="center"/>
              <w:rPr>
                <w:rFonts w:cs="Arial"/>
                <w:szCs w:val="18"/>
                <w:lang w:eastAsia="pt-BR"/>
              </w:rPr>
            </w:pPr>
            <w:r w:rsidRPr="00877ED2">
              <w:t>30.53 x 10</w:t>
            </w:r>
            <w:r w:rsidRPr="00877ED2">
              <w:rPr>
                <w:vertAlign w:val="superscript"/>
              </w:rPr>
              <w:t>5</w:t>
            </w:r>
          </w:p>
        </w:tc>
      </w:tr>
      <w:tr w:rsidR="00877ED2" w:rsidRPr="00877ED2" w14:paraId="6EC114D9" w14:textId="77777777" w:rsidTr="00927BAF">
        <w:trPr>
          <w:trHeight w:val="228"/>
        </w:trPr>
        <w:tc>
          <w:tcPr>
            <w:tcW w:w="420" w:type="dxa"/>
            <w:tcBorders>
              <w:top w:val="nil"/>
              <w:left w:val="nil"/>
              <w:bottom w:val="nil"/>
              <w:right w:val="nil"/>
            </w:tcBorders>
            <w:shd w:val="clear" w:color="auto" w:fill="auto"/>
            <w:noWrap/>
            <w:vAlign w:val="bottom"/>
            <w:hideMark/>
          </w:tcPr>
          <w:p w14:paraId="08892BAB" w14:textId="378860F2"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Ea</w:t>
            </w:r>
            <w:r w:rsidR="00074A6A" w:rsidRPr="00877ED2">
              <w:rPr>
                <w:rFonts w:cs="Arial"/>
                <w:szCs w:val="18"/>
                <w:lang w:eastAsia="pt-BR"/>
              </w:rPr>
              <w:t xml:space="preserve"> </w:t>
            </w:r>
          </w:p>
        </w:tc>
        <w:tc>
          <w:tcPr>
            <w:tcW w:w="1380" w:type="dxa"/>
            <w:tcBorders>
              <w:top w:val="nil"/>
              <w:left w:val="nil"/>
              <w:bottom w:val="nil"/>
              <w:right w:val="nil"/>
            </w:tcBorders>
            <w:shd w:val="clear" w:color="auto" w:fill="auto"/>
            <w:noWrap/>
            <w:vAlign w:val="bottom"/>
            <w:hideMark/>
          </w:tcPr>
          <w:p w14:paraId="115CFE4A" w14:textId="341D97F1" w:rsidR="00D1125F" w:rsidRPr="00877ED2" w:rsidRDefault="008C343D" w:rsidP="00D1125F">
            <w:pPr>
              <w:tabs>
                <w:tab w:val="clear" w:pos="7100"/>
              </w:tabs>
              <w:spacing w:line="240" w:lineRule="auto"/>
              <w:jc w:val="center"/>
              <w:rPr>
                <w:rFonts w:cs="Arial"/>
                <w:szCs w:val="18"/>
                <w:lang w:eastAsia="pt-BR"/>
              </w:rPr>
            </w:pPr>
            <w:r w:rsidRPr="00877ED2">
              <w:t>13.54 x 10</w:t>
            </w:r>
            <w:r w:rsidRPr="00877ED2">
              <w:rPr>
                <w:vertAlign w:val="superscript"/>
              </w:rPr>
              <w:t>4</w:t>
            </w:r>
          </w:p>
        </w:tc>
        <w:tc>
          <w:tcPr>
            <w:tcW w:w="420" w:type="dxa"/>
            <w:tcBorders>
              <w:top w:val="nil"/>
              <w:left w:val="nil"/>
              <w:bottom w:val="nil"/>
              <w:right w:val="nil"/>
            </w:tcBorders>
            <w:shd w:val="clear" w:color="auto" w:fill="auto"/>
            <w:noWrap/>
            <w:vAlign w:val="bottom"/>
            <w:hideMark/>
          </w:tcPr>
          <w:p w14:paraId="37941514"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Ea</w:t>
            </w:r>
          </w:p>
        </w:tc>
        <w:tc>
          <w:tcPr>
            <w:tcW w:w="1760" w:type="dxa"/>
            <w:tcBorders>
              <w:top w:val="nil"/>
              <w:left w:val="nil"/>
              <w:bottom w:val="nil"/>
              <w:right w:val="nil"/>
            </w:tcBorders>
            <w:shd w:val="clear" w:color="auto" w:fill="auto"/>
            <w:noWrap/>
            <w:vAlign w:val="center"/>
            <w:hideMark/>
          </w:tcPr>
          <w:p w14:paraId="46F982F2" w14:textId="0595C4F8"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xml:space="preserve">      </w:t>
            </w:r>
            <w:r w:rsidR="00B01359" w:rsidRPr="00877ED2">
              <w:rPr>
                <w:rFonts w:cs="Arial"/>
                <w:szCs w:val="18"/>
                <w:lang w:eastAsia="pt-BR"/>
              </w:rPr>
              <w:t>17</w:t>
            </w:r>
            <w:r w:rsidR="00325577" w:rsidRPr="00877ED2">
              <w:rPr>
                <w:rFonts w:cs="Arial"/>
                <w:szCs w:val="18"/>
                <w:lang w:eastAsia="pt-BR"/>
              </w:rPr>
              <w:t>.</w:t>
            </w:r>
            <w:r w:rsidR="00325577" w:rsidRPr="00877ED2">
              <w:t>21</w:t>
            </w:r>
            <w:r w:rsidR="00A4623D" w:rsidRPr="00877ED2">
              <w:t xml:space="preserve"> </w:t>
            </w:r>
            <w:r w:rsidR="00325577" w:rsidRPr="00877ED2">
              <w:t>x 10</w:t>
            </w:r>
            <w:r w:rsidR="00325577" w:rsidRPr="00877ED2">
              <w:rPr>
                <w:vertAlign w:val="superscript"/>
              </w:rPr>
              <w:t>4</w:t>
            </w:r>
          </w:p>
        </w:tc>
        <w:tc>
          <w:tcPr>
            <w:tcW w:w="420" w:type="dxa"/>
            <w:tcBorders>
              <w:top w:val="nil"/>
              <w:left w:val="nil"/>
              <w:bottom w:val="nil"/>
              <w:right w:val="nil"/>
            </w:tcBorders>
            <w:shd w:val="clear" w:color="auto" w:fill="auto"/>
            <w:noWrap/>
            <w:vAlign w:val="bottom"/>
            <w:hideMark/>
          </w:tcPr>
          <w:p w14:paraId="6D216038"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Ea</w:t>
            </w:r>
          </w:p>
        </w:tc>
        <w:tc>
          <w:tcPr>
            <w:tcW w:w="1380" w:type="dxa"/>
            <w:tcBorders>
              <w:top w:val="nil"/>
              <w:left w:val="nil"/>
              <w:bottom w:val="nil"/>
              <w:right w:val="nil"/>
            </w:tcBorders>
            <w:shd w:val="clear" w:color="auto" w:fill="auto"/>
            <w:noWrap/>
            <w:vAlign w:val="bottom"/>
            <w:hideMark/>
          </w:tcPr>
          <w:p w14:paraId="34752A2C" w14:textId="2D33D6EC" w:rsidR="00D1125F" w:rsidRPr="00877ED2" w:rsidRDefault="008C343D" w:rsidP="00D1125F">
            <w:pPr>
              <w:tabs>
                <w:tab w:val="clear" w:pos="7100"/>
              </w:tabs>
              <w:spacing w:line="240" w:lineRule="auto"/>
              <w:jc w:val="center"/>
              <w:rPr>
                <w:rFonts w:cs="Arial"/>
                <w:szCs w:val="18"/>
                <w:lang w:eastAsia="pt-BR"/>
              </w:rPr>
            </w:pPr>
            <w:r w:rsidRPr="00877ED2">
              <w:t>13.71 x 10</w:t>
            </w:r>
            <w:r w:rsidRPr="00877ED2">
              <w:rPr>
                <w:vertAlign w:val="superscript"/>
              </w:rPr>
              <w:t>4</w:t>
            </w:r>
          </w:p>
        </w:tc>
        <w:tc>
          <w:tcPr>
            <w:tcW w:w="420" w:type="dxa"/>
            <w:tcBorders>
              <w:top w:val="nil"/>
              <w:left w:val="nil"/>
              <w:bottom w:val="nil"/>
              <w:right w:val="nil"/>
            </w:tcBorders>
            <w:shd w:val="clear" w:color="auto" w:fill="auto"/>
            <w:noWrap/>
            <w:vAlign w:val="bottom"/>
            <w:hideMark/>
          </w:tcPr>
          <w:p w14:paraId="0DDFAE22" w14:textId="77777777" w:rsidR="00D1125F" w:rsidRPr="00877ED2" w:rsidRDefault="00D1125F" w:rsidP="00D1125F">
            <w:pPr>
              <w:tabs>
                <w:tab w:val="clear" w:pos="7100"/>
              </w:tabs>
              <w:spacing w:line="240" w:lineRule="auto"/>
              <w:jc w:val="center"/>
              <w:rPr>
                <w:rFonts w:cs="Arial"/>
                <w:szCs w:val="18"/>
                <w:lang w:eastAsia="pt-BR"/>
              </w:rPr>
            </w:pPr>
            <w:r w:rsidRPr="00877ED2">
              <w:rPr>
                <w:rFonts w:cs="Arial"/>
                <w:szCs w:val="18"/>
                <w:lang w:eastAsia="pt-BR"/>
              </w:rPr>
              <w:t>Ea</w:t>
            </w:r>
          </w:p>
        </w:tc>
        <w:tc>
          <w:tcPr>
            <w:tcW w:w="1520" w:type="dxa"/>
            <w:tcBorders>
              <w:top w:val="nil"/>
              <w:left w:val="nil"/>
              <w:bottom w:val="nil"/>
              <w:right w:val="nil"/>
            </w:tcBorders>
            <w:shd w:val="clear" w:color="auto" w:fill="auto"/>
            <w:noWrap/>
            <w:vAlign w:val="bottom"/>
            <w:hideMark/>
          </w:tcPr>
          <w:p w14:paraId="59280127" w14:textId="79F5C167"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xml:space="preserve">     </w:t>
            </w:r>
            <w:r w:rsidR="008C343D" w:rsidRPr="00877ED2">
              <w:t>14.58 x 10</w:t>
            </w:r>
            <w:r w:rsidR="008C343D" w:rsidRPr="00877ED2">
              <w:rPr>
                <w:vertAlign w:val="superscript"/>
              </w:rPr>
              <w:t>4</w:t>
            </w:r>
          </w:p>
        </w:tc>
      </w:tr>
      <w:tr w:rsidR="00877ED2" w:rsidRPr="00877ED2" w14:paraId="63D59D88" w14:textId="77777777" w:rsidTr="00927BAF">
        <w:trPr>
          <w:trHeight w:val="269"/>
        </w:trPr>
        <w:tc>
          <w:tcPr>
            <w:tcW w:w="420" w:type="dxa"/>
            <w:tcBorders>
              <w:top w:val="nil"/>
              <w:left w:val="nil"/>
              <w:bottom w:val="single" w:sz="12" w:space="0" w:color="008000"/>
              <w:right w:val="nil"/>
            </w:tcBorders>
            <w:shd w:val="clear" w:color="000000" w:fill="FFFFFF"/>
            <w:vAlign w:val="center"/>
            <w:hideMark/>
          </w:tcPr>
          <w:p w14:paraId="0049C751" w14:textId="43F1D588"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xml:space="preserve"> n</w:t>
            </w:r>
          </w:p>
        </w:tc>
        <w:tc>
          <w:tcPr>
            <w:tcW w:w="1380" w:type="dxa"/>
            <w:tcBorders>
              <w:top w:val="nil"/>
              <w:left w:val="nil"/>
              <w:bottom w:val="single" w:sz="12" w:space="0" w:color="008000"/>
              <w:right w:val="nil"/>
            </w:tcBorders>
            <w:shd w:val="clear" w:color="000000" w:fill="FFFFFF"/>
            <w:vAlign w:val="center"/>
            <w:hideMark/>
          </w:tcPr>
          <w:p w14:paraId="297012EB" w14:textId="63ADF139"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xml:space="preserve">    </w:t>
            </w:r>
            <w:r w:rsidR="00B01359" w:rsidRPr="00877ED2">
              <w:rPr>
                <w:rFonts w:cs="Arial"/>
                <w:szCs w:val="18"/>
                <w:lang w:eastAsia="pt-BR"/>
              </w:rPr>
              <w:t>0.</w:t>
            </w:r>
            <w:r w:rsidRPr="00877ED2">
              <w:rPr>
                <w:rFonts w:cs="Arial"/>
                <w:szCs w:val="18"/>
                <w:lang w:eastAsia="pt-BR"/>
              </w:rPr>
              <w:t>9546</w:t>
            </w:r>
          </w:p>
        </w:tc>
        <w:tc>
          <w:tcPr>
            <w:tcW w:w="420" w:type="dxa"/>
            <w:tcBorders>
              <w:top w:val="nil"/>
              <w:left w:val="nil"/>
              <w:bottom w:val="single" w:sz="12" w:space="0" w:color="008000"/>
              <w:right w:val="nil"/>
            </w:tcBorders>
            <w:shd w:val="clear" w:color="000000" w:fill="FFFFFF"/>
            <w:vAlign w:val="center"/>
            <w:hideMark/>
          </w:tcPr>
          <w:p w14:paraId="4B928675" w14:textId="04EE45A1"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xml:space="preserve"> n</w:t>
            </w:r>
          </w:p>
        </w:tc>
        <w:tc>
          <w:tcPr>
            <w:tcW w:w="1760" w:type="dxa"/>
            <w:tcBorders>
              <w:top w:val="nil"/>
              <w:left w:val="nil"/>
              <w:bottom w:val="single" w:sz="12" w:space="0" w:color="008000"/>
              <w:right w:val="nil"/>
            </w:tcBorders>
            <w:shd w:val="clear" w:color="000000" w:fill="FFFFFF"/>
            <w:vAlign w:val="center"/>
            <w:hideMark/>
          </w:tcPr>
          <w:p w14:paraId="4F3D0A7F" w14:textId="2BB9866F"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xml:space="preserve">      </w:t>
            </w:r>
            <w:r w:rsidR="00B01359" w:rsidRPr="00877ED2">
              <w:rPr>
                <w:rFonts w:cs="Arial"/>
                <w:szCs w:val="18"/>
                <w:lang w:eastAsia="pt-BR"/>
              </w:rPr>
              <w:t>1.</w:t>
            </w:r>
            <w:r w:rsidRPr="00877ED2">
              <w:rPr>
                <w:rFonts w:cs="Arial"/>
                <w:szCs w:val="18"/>
                <w:lang w:eastAsia="pt-BR"/>
              </w:rPr>
              <w:t>10734</w:t>
            </w:r>
          </w:p>
        </w:tc>
        <w:tc>
          <w:tcPr>
            <w:tcW w:w="420" w:type="dxa"/>
            <w:tcBorders>
              <w:top w:val="nil"/>
              <w:left w:val="nil"/>
              <w:bottom w:val="single" w:sz="12" w:space="0" w:color="008000"/>
              <w:right w:val="nil"/>
            </w:tcBorders>
            <w:shd w:val="clear" w:color="000000" w:fill="FFFFFF"/>
            <w:vAlign w:val="center"/>
            <w:hideMark/>
          </w:tcPr>
          <w:p w14:paraId="73C89BBA" w14:textId="01D00F7C"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w:t>
            </w:r>
            <w:r w:rsidR="008C343D" w:rsidRPr="00877ED2">
              <w:rPr>
                <w:rFonts w:cs="Arial"/>
                <w:szCs w:val="18"/>
                <w:lang w:eastAsia="pt-BR"/>
              </w:rPr>
              <w:t>n</w:t>
            </w:r>
          </w:p>
        </w:tc>
        <w:tc>
          <w:tcPr>
            <w:tcW w:w="1380" w:type="dxa"/>
            <w:tcBorders>
              <w:top w:val="nil"/>
              <w:left w:val="nil"/>
              <w:bottom w:val="single" w:sz="12" w:space="0" w:color="008000"/>
              <w:right w:val="nil"/>
            </w:tcBorders>
            <w:shd w:val="clear" w:color="000000" w:fill="FFFFFF"/>
            <w:vAlign w:val="center"/>
            <w:hideMark/>
          </w:tcPr>
          <w:p w14:paraId="720B167E" w14:textId="2EC49F5F" w:rsidR="00D1125F" w:rsidRPr="00877ED2" w:rsidRDefault="008C343D" w:rsidP="00D1125F">
            <w:pPr>
              <w:tabs>
                <w:tab w:val="clear" w:pos="7100"/>
              </w:tabs>
              <w:spacing w:line="240" w:lineRule="auto"/>
              <w:rPr>
                <w:rFonts w:cs="Arial"/>
                <w:szCs w:val="18"/>
                <w:lang w:eastAsia="pt-BR"/>
              </w:rPr>
            </w:pPr>
            <w:r w:rsidRPr="00877ED2">
              <w:rPr>
                <w:rFonts w:cs="Arial"/>
                <w:szCs w:val="18"/>
                <w:lang w:eastAsia="pt-BR"/>
              </w:rPr>
              <w:t xml:space="preserve">    1.10734</w:t>
            </w:r>
          </w:p>
        </w:tc>
        <w:tc>
          <w:tcPr>
            <w:tcW w:w="420" w:type="dxa"/>
            <w:tcBorders>
              <w:top w:val="nil"/>
              <w:left w:val="nil"/>
              <w:bottom w:val="single" w:sz="12" w:space="0" w:color="008000"/>
              <w:right w:val="nil"/>
            </w:tcBorders>
            <w:shd w:val="clear" w:color="000000" w:fill="FFFFFF"/>
            <w:vAlign w:val="center"/>
            <w:hideMark/>
          </w:tcPr>
          <w:p w14:paraId="2E6ADD94" w14:textId="25EEC591" w:rsidR="00D1125F" w:rsidRPr="00877ED2" w:rsidRDefault="00D1125F" w:rsidP="00D1125F">
            <w:pPr>
              <w:tabs>
                <w:tab w:val="clear" w:pos="7100"/>
              </w:tabs>
              <w:spacing w:line="240" w:lineRule="auto"/>
              <w:rPr>
                <w:rFonts w:cs="Arial"/>
                <w:szCs w:val="18"/>
                <w:lang w:eastAsia="pt-BR"/>
              </w:rPr>
            </w:pPr>
            <w:r w:rsidRPr="00877ED2">
              <w:rPr>
                <w:rFonts w:cs="Arial"/>
                <w:szCs w:val="18"/>
                <w:lang w:eastAsia="pt-BR"/>
              </w:rPr>
              <w:t> </w:t>
            </w:r>
            <w:r w:rsidR="008C343D" w:rsidRPr="00877ED2">
              <w:rPr>
                <w:rFonts w:cs="Arial"/>
                <w:szCs w:val="18"/>
                <w:lang w:eastAsia="pt-BR"/>
              </w:rPr>
              <w:t>n</w:t>
            </w:r>
          </w:p>
        </w:tc>
        <w:tc>
          <w:tcPr>
            <w:tcW w:w="1520" w:type="dxa"/>
            <w:tcBorders>
              <w:top w:val="nil"/>
              <w:left w:val="nil"/>
              <w:bottom w:val="single" w:sz="12" w:space="0" w:color="008000"/>
              <w:right w:val="nil"/>
            </w:tcBorders>
            <w:shd w:val="clear" w:color="000000" w:fill="FFFFFF"/>
            <w:vAlign w:val="center"/>
            <w:hideMark/>
          </w:tcPr>
          <w:p w14:paraId="54C34FB4" w14:textId="04C32524" w:rsidR="00D1125F" w:rsidRPr="00877ED2" w:rsidRDefault="008C343D" w:rsidP="00D1125F">
            <w:pPr>
              <w:tabs>
                <w:tab w:val="clear" w:pos="7100"/>
              </w:tabs>
              <w:spacing w:line="240" w:lineRule="auto"/>
              <w:rPr>
                <w:rFonts w:cs="Arial"/>
                <w:szCs w:val="18"/>
                <w:lang w:eastAsia="pt-BR"/>
              </w:rPr>
            </w:pPr>
            <w:r w:rsidRPr="00877ED2">
              <w:rPr>
                <w:rFonts w:cs="Arial"/>
                <w:szCs w:val="18"/>
                <w:lang w:eastAsia="pt-BR"/>
              </w:rPr>
              <w:t xml:space="preserve">      0.9546</w:t>
            </w:r>
          </w:p>
        </w:tc>
      </w:tr>
    </w:tbl>
    <w:p w14:paraId="15094EE3" w14:textId="77777777" w:rsidR="00D1125F" w:rsidRPr="00877ED2" w:rsidRDefault="00D1125F" w:rsidP="00D1125F">
      <w:pPr>
        <w:pStyle w:val="CETheadingx"/>
        <w:numPr>
          <w:ilvl w:val="0"/>
          <w:numId w:val="0"/>
        </w:numPr>
        <w:rPr>
          <w:lang w:val="en-GB"/>
        </w:rPr>
      </w:pPr>
    </w:p>
    <w:p w14:paraId="5EBC18E3" w14:textId="194AB3EF" w:rsidR="00E2413E" w:rsidRPr="00877ED2" w:rsidRDefault="00D1125F" w:rsidP="00D1125F">
      <w:pPr>
        <w:spacing w:after="200"/>
      </w:pPr>
      <w:r w:rsidRPr="00877ED2">
        <w:t>Figure 2 shows how the data obtained through the</w:t>
      </w:r>
      <w:r w:rsidR="00D952F4" w:rsidRPr="00877ED2">
        <w:t xml:space="preserve"> optimization</w:t>
      </w:r>
      <w:r w:rsidRPr="00877ED2">
        <w:t xml:space="preserve"> models, </w:t>
      </w:r>
      <w:r w:rsidRPr="00877ED2">
        <w:rPr>
          <w:i/>
        </w:rPr>
        <w:t>GA</w:t>
      </w:r>
      <w:r w:rsidRPr="00877ED2">
        <w:t xml:space="preserve"> and </w:t>
      </w:r>
      <w:r w:rsidRPr="00877ED2">
        <w:rPr>
          <w:i/>
        </w:rPr>
        <w:t>PSO</w:t>
      </w:r>
      <w:r w:rsidRPr="00877ED2">
        <w:t>, approached the experimental data</w:t>
      </w:r>
      <w:r w:rsidR="00D952F4" w:rsidRPr="00877ED2">
        <w:t xml:space="preserve"> available</w:t>
      </w:r>
      <w:r w:rsidRPr="00877ED2">
        <w:t>. The performance of the kinetic models presented was evaluated through the coefficient of determination (R2) for each variable and the sum of quadratic error (SSE), using minimization of the objective function to achieve the smallest possible error</w:t>
      </w:r>
      <w:r w:rsidR="00E47905" w:rsidRPr="00877ED2">
        <w:t xml:space="preserve"> as shown</w:t>
      </w:r>
      <w:r w:rsidR="00D952F4" w:rsidRPr="00877ED2">
        <w:t xml:space="preserve"> in</w:t>
      </w:r>
      <w:r w:rsidR="00E47905" w:rsidRPr="00877ED2">
        <w:t xml:space="preserve"> Table 2</w:t>
      </w:r>
      <w:r w:rsidRPr="00877ED2">
        <w:t>.</w:t>
      </w:r>
      <w:r w:rsidR="00657D08" w:rsidRPr="00877ED2">
        <w:t xml:space="preserve"> </w:t>
      </w:r>
    </w:p>
    <w:p w14:paraId="5BC5E9DA" w14:textId="4B9523C6" w:rsidR="004E7DB4" w:rsidRPr="00877ED2" w:rsidRDefault="00F7095D" w:rsidP="00F7095D">
      <w:pPr>
        <w:pStyle w:val="CETCaption"/>
      </w:pPr>
      <w:r w:rsidRPr="00877ED2">
        <w:rPr>
          <w:noProof/>
          <w:lang w:val="pt-BR" w:eastAsia="pt-BR"/>
        </w:rPr>
        <w:drawing>
          <wp:inline distT="0" distB="0" distL="0" distR="0" wp14:anchorId="67702647" wp14:editId="3B622703">
            <wp:extent cx="2403073" cy="1741249"/>
            <wp:effectExtent l="0" t="0" r="10160" b="11430"/>
            <wp:docPr id="2" name="Picture 4" descr="A close up of a map&#10;&#10;Description automatically generated">
              <a:extLst xmlns:a="http://schemas.openxmlformats.org/drawingml/2006/main">
                <a:ext uri="{FF2B5EF4-FFF2-40B4-BE49-F238E27FC236}">
                  <a16:creationId xmlns:a16="http://schemas.microsoft.com/office/drawing/2014/main" id="{7E41E8B4-FD47-4B32-B0DD-1BC38E06F2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close up of a map&#10;&#10;Description automatically generated">
                      <a:extLst>
                        <a:ext uri="{FF2B5EF4-FFF2-40B4-BE49-F238E27FC236}">
                          <a16:creationId xmlns:a16="http://schemas.microsoft.com/office/drawing/2014/main" id="{7E41E8B4-FD47-4B32-B0DD-1BC38E06F208}"/>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9173" cy="1767406"/>
                    </a:xfrm>
                    <a:prstGeom prst="rect">
                      <a:avLst/>
                    </a:prstGeom>
                  </pic:spPr>
                </pic:pic>
              </a:graphicData>
            </a:graphic>
          </wp:inline>
        </w:drawing>
      </w:r>
      <w:r w:rsidR="004E7DB4" w:rsidRPr="00877ED2">
        <w:t xml:space="preserve">       </w:t>
      </w:r>
      <w:r w:rsidRPr="00877ED2">
        <w:rPr>
          <w:noProof/>
          <w:lang w:val="pt-BR" w:eastAsia="pt-BR"/>
        </w:rPr>
        <w:drawing>
          <wp:inline distT="0" distB="0" distL="0" distR="0" wp14:anchorId="48B78FB3" wp14:editId="185E902A">
            <wp:extent cx="2397414" cy="1737150"/>
            <wp:effectExtent l="0" t="0" r="0" b="0"/>
            <wp:docPr id="37" name="Picture 6" descr="A close up of a map&#10;&#10;Description automatically generated">
              <a:extLst xmlns:a="http://schemas.openxmlformats.org/drawingml/2006/main">
                <a:ext uri="{FF2B5EF4-FFF2-40B4-BE49-F238E27FC236}">
                  <a16:creationId xmlns:a16="http://schemas.microsoft.com/office/drawing/2014/main" id="{ACA3BBA0-C55B-4D25-BD3C-F5F12ED2E4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close up of a map&#10;&#10;Description automatically generated">
                      <a:extLst>
                        <a:ext uri="{FF2B5EF4-FFF2-40B4-BE49-F238E27FC236}">
                          <a16:creationId xmlns:a16="http://schemas.microsoft.com/office/drawing/2014/main" id="{ACA3BBA0-C55B-4D25-BD3C-F5F12ED2E49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9297" cy="1774744"/>
                    </a:xfrm>
                    <a:prstGeom prst="rect">
                      <a:avLst/>
                    </a:prstGeom>
                  </pic:spPr>
                </pic:pic>
              </a:graphicData>
            </a:graphic>
          </wp:inline>
        </w:drawing>
      </w:r>
    </w:p>
    <w:p w14:paraId="5697BC97" w14:textId="13472D8A" w:rsidR="006E12B6" w:rsidRPr="00877ED2" w:rsidRDefault="006E12B6" w:rsidP="000F4595">
      <w:pPr>
        <w:pStyle w:val="CETCaption"/>
        <w:numPr>
          <w:ilvl w:val="0"/>
          <w:numId w:val="22"/>
        </w:numPr>
      </w:pPr>
      <w:r w:rsidRPr="00877ED2">
        <w:t xml:space="preserve">                                                                            (b)</w:t>
      </w:r>
    </w:p>
    <w:p w14:paraId="73628477" w14:textId="5D04B2E6" w:rsidR="00F7095D" w:rsidRPr="00877ED2" w:rsidRDefault="00F7095D" w:rsidP="00F7095D">
      <w:pPr>
        <w:pStyle w:val="CETCaption"/>
      </w:pPr>
      <w:r w:rsidRPr="00877ED2">
        <w:t>Figure 2: Expe</w:t>
      </w:r>
      <w:r w:rsidR="00927BAF" w:rsidRPr="00877ED2">
        <w:t xml:space="preserve">rimental and estimated data for: </w:t>
      </w:r>
      <w:r w:rsidR="00046FA5" w:rsidRPr="00877ED2">
        <w:t>(a)</w:t>
      </w:r>
      <w:r w:rsidRPr="00877ED2">
        <w:t>GA and PSO models</w:t>
      </w:r>
      <w:r w:rsidR="00046FA5" w:rsidRPr="00877ED2">
        <w:t>, (b)</w:t>
      </w:r>
      <w:r w:rsidRPr="00877ED2">
        <w:t xml:space="preserve"> GA_PSO and PSO_GA models.</w:t>
      </w:r>
    </w:p>
    <w:p w14:paraId="3D934C77" w14:textId="77777777" w:rsidR="008A3821" w:rsidRPr="00877ED2" w:rsidRDefault="008A3821" w:rsidP="008A3821">
      <w:pPr>
        <w:pStyle w:val="CETTabletitle"/>
        <w:rPr>
          <w:i w:val="0"/>
          <w:lang w:val="en-US"/>
        </w:rPr>
      </w:pPr>
      <w:r w:rsidRPr="00877ED2">
        <w:t>Table 2: Comparison between R2 values and error index values (SSE) for the models studied.</w:t>
      </w:r>
    </w:p>
    <w:tbl>
      <w:tblPr>
        <w:tblW w:w="6895" w:type="dxa"/>
        <w:tblCellMar>
          <w:left w:w="70" w:type="dxa"/>
          <w:right w:w="70" w:type="dxa"/>
        </w:tblCellMar>
        <w:tblLook w:val="04A0" w:firstRow="1" w:lastRow="0" w:firstColumn="1" w:lastColumn="0" w:noHBand="0" w:noVBand="1"/>
      </w:tblPr>
      <w:tblGrid>
        <w:gridCol w:w="501"/>
        <w:gridCol w:w="1091"/>
        <w:gridCol w:w="501"/>
        <w:gridCol w:w="1320"/>
        <w:gridCol w:w="501"/>
        <w:gridCol w:w="1180"/>
        <w:gridCol w:w="501"/>
        <w:gridCol w:w="1300"/>
      </w:tblGrid>
      <w:tr w:rsidR="00877ED2" w:rsidRPr="00877ED2" w14:paraId="2B00A50C" w14:textId="77777777" w:rsidTr="00927BAF">
        <w:trPr>
          <w:trHeight w:val="198"/>
        </w:trPr>
        <w:tc>
          <w:tcPr>
            <w:tcW w:w="1592" w:type="dxa"/>
            <w:gridSpan w:val="2"/>
            <w:tcBorders>
              <w:top w:val="single" w:sz="12" w:space="0" w:color="008000"/>
              <w:left w:val="nil"/>
              <w:bottom w:val="single" w:sz="8" w:space="0" w:color="008000"/>
              <w:right w:val="nil"/>
            </w:tcBorders>
            <w:shd w:val="clear" w:color="000000" w:fill="FFFFFF"/>
            <w:vAlign w:val="center"/>
            <w:hideMark/>
          </w:tcPr>
          <w:p w14:paraId="56E93FD4"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GA</w:t>
            </w:r>
          </w:p>
        </w:tc>
        <w:tc>
          <w:tcPr>
            <w:tcW w:w="1821" w:type="dxa"/>
            <w:gridSpan w:val="2"/>
            <w:tcBorders>
              <w:top w:val="single" w:sz="12" w:space="0" w:color="008000"/>
              <w:left w:val="nil"/>
              <w:bottom w:val="single" w:sz="8" w:space="0" w:color="008000"/>
              <w:right w:val="nil"/>
            </w:tcBorders>
            <w:shd w:val="clear" w:color="000000" w:fill="FFFFFF"/>
            <w:vAlign w:val="center"/>
            <w:hideMark/>
          </w:tcPr>
          <w:p w14:paraId="4D42969C"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PSO</w:t>
            </w:r>
          </w:p>
        </w:tc>
        <w:tc>
          <w:tcPr>
            <w:tcW w:w="1681" w:type="dxa"/>
            <w:gridSpan w:val="2"/>
            <w:tcBorders>
              <w:top w:val="single" w:sz="12" w:space="0" w:color="008000"/>
              <w:left w:val="nil"/>
              <w:bottom w:val="single" w:sz="8" w:space="0" w:color="008000"/>
              <w:right w:val="nil"/>
            </w:tcBorders>
            <w:shd w:val="clear" w:color="000000" w:fill="FFFFFF"/>
            <w:vAlign w:val="center"/>
            <w:hideMark/>
          </w:tcPr>
          <w:p w14:paraId="0E98BC69"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GA_PSO</w:t>
            </w:r>
          </w:p>
        </w:tc>
        <w:tc>
          <w:tcPr>
            <w:tcW w:w="1801" w:type="dxa"/>
            <w:gridSpan w:val="2"/>
            <w:tcBorders>
              <w:top w:val="single" w:sz="12" w:space="0" w:color="008000"/>
              <w:left w:val="nil"/>
              <w:bottom w:val="single" w:sz="8" w:space="0" w:color="008000"/>
              <w:right w:val="nil"/>
            </w:tcBorders>
            <w:shd w:val="clear" w:color="000000" w:fill="FFFFFF"/>
            <w:vAlign w:val="center"/>
            <w:hideMark/>
          </w:tcPr>
          <w:p w14:paraId="1480C48A"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PSO_GA</w:t>
            </w:r>
          </w:p>
        </w:tc>
      </w:tr>
      <w:tr w:rsidR="00877ED2" w:rsidRPr="00877ED2" w14:paraId="5733B200" w14:textId="77777777" w:rsidTr="00927BAF">
        <w:trPr>
          <w:trHeight w:val="235"/>
        </w:trPr>
        <w:tc>
          <w:tcPr>
            <w:tcW w:w="501" w:type="dxa"/>
            <w:tcBorders>
              <w:top w:val="nil"/>
              <w:left w:val="nil"/>
              <w:bottom w:val="nil"/>
              <w:right w:val="nil"/>
            </w:tcBorders>
            <w:shd w:val="clear" w:color="auto" w:fill="auto"/>
            <w:noWrap/>
            <w:vAlign w:val="bottom"/>
            <w:hideMark/>
          </w:tcPr>
          <w:p w14:paraId="52C878B4" w14:textId="45564CAF"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R</w:t>
            </w:r>
            <w:r w:rsidR="00A4623D" w:rsidRPr="00877ED2">
              <w:rPr>
                <w:rFonts w:cs="Arial"/>
                <w:szCs w:val="18"/>
                <w:lang w:val="pt-BR" w:eastAsia="pt-BR"/>
              </w:rPr>
              <w:t>²</w:t>
            </w:r>
          </w:p>
        </w:tc>
        <w:tc>
          <w:tcPr>
            <w:tcW w:w="1091" w:type="dxa"/>
            <w:tcBorders>
              <w:top w:val="nil"/>
              <w:left w:val="nil"/>
              <w:bottom w:val="nil"/>
              <w:right w:val="nil"/>
            </w:tcBorders>
            <w:shd w:val="clear" w:color="auto" w:fill="auto"/>
            <w:noWrap/>
            <w:vAlign w:val="bottom"/>
            <w:hideMark/>
          </w:tcPr>
          <w:p w14:paraId="6FCB65D5" w14:textId="3D23C5E5"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763351</w:t>
            </w:r>
          </w:p>
        </w:tc>
        <w:tc>
          <w:tcPr>
            <w:tcW w:w="501" w:type="dxa"/>
            <w:tcBorders>
              <w:top w:val="nil"/>
              <w:left w:val="nil"/>
              <w:bottom w:val="nil"/>
              <w:right w:val="nil"/>
            </w:tcBorders>
            <w:shd w:val="clear" w:color="auto" w:fill="auto"/>
            <w:noWrap/>
            <w:vAlign w:val="bottom"/>
            <w:hideMark/>
          </w:tcPr>
          <w:p w14:paraId="690E916A" w14:textId="1DC88F93"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R</w:t>
            </w:r>
            <w:r w:rsidR="00A4623D" w:rsidRPr="00877ED2">
              <w:rPr>
                <w:rFonts w:cs="Arial"/>
                <w:szCs w:val="18"/>
                <w:lang w:val="pt-BR" w:eastAsia="pt-BR"/>
              </w:rPr>
              <w:t>²</w:t>
            </w:r>
          </w:p>
        </w:tc>
        <w:tc>
          <w:tcPr>
            <w:tcW w:w="1320" w:type="dxa"/>
            <w:tcBorders>
              <w:top w:val="nil"/>
              <w:left w:val="nil"/>
              <w:bottom w:val="nil"/>
              <w:right w:val="nil"/>
            </w:tcBorders>
            <w:shd w:val="clear" w:color="auto" w:fill="auto"/>
            <w:noWrap/>
            <w:vAlign w:val="bottom"/>
            <w:hideMark/>
          </w:tcPr>
          <w:p w14:paraId="6EED8538" w14:textId="31BFBA6E"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771488821</w:t>
            </w:r>
          </w:p>
        </w:tc>
        <w:tc>
          <w:tcPr>
            <w:tcW w:w="501" w:type="dxa"/>
            <w:tcBorders>
              <w:top w:val="nil"/>
              <w:left w:val="nil"/>
              <w:bottom w:val="nil"/>
              <w:right w:val="nil"/>
            </w:tcBorders>
            <w:shd w:val="clear" w:color="auto" w:fill="auto"/>
            <w:noWrap/>
            <w:vAlign w:val="bottom"/>
            <w:hideMark/>
          </w:tcPr>
          <w:p w14:paraId="291C9CE5" w14:textId="461D4CDA"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R</w:t>
            </w:r>
            <w:r w:rsidR="00A4623D" w:rsidRPr="00877ED2">
              <w:rPr>
                <w:rFonts w:cs="Arial"/>
                <w:szCs w:val="18"/>
                <w:lang w:val="pt-BR" w:eastAsia="pt-BR"/>
              </w:rPr>
              <w:t>²</w:t>
            </w:r>
          </w:p>
        </w:tc>
        <w:tc>
          <w:tcPr>
            <w:tcW w:w="1180" w:type="dxa"/>
            <w:tcBorders>
              <w:top w:val="nil"/>
              <w:left w:val="nil"/>
              <w:bottom w:val="nil"/>
              <w:right w:val="nil"/>
            </w:tcBorders>
            <w:shd w:val="clear" w:color="auto" w:fill="auto"/>
            <w:noWrap/>
            <w:vAlign w:val="bottom"/>
            <w:hideMark/>
          </w:tcPr>
          <w:p w14:paraId="49BBD83B" w14:textId="3491E41E"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70733146</w:t>
            </w:r>
          </w:p>
        </w:tc>
        <w:tc>
          <w:tcPr>
            <w:tcW w:w="501" w:type="dxa"/>
            <w:tcBorders>
              <w:top w:val="nil"/>
              <w:left w:val="nil"/>
              <w:bottom w:val="nil"/>
              <w:right w:val="nil"/>
            </w:tcBorders>
            <w:shd w:val="clear" w:color="auto" w:fill="auto"/>
            <w:noWrap/>
            <w:vAlign w:val="bottom"/>
            <w:hideMark/>
          </w:tcPr>
          <w:p w14:paraId="46631D82" w14:textId="7AEC5091"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R</w:t>
            </w:r>
            <w:r w:rsidR="00A4623D" w:rsidRPr="00877ED2">
              <w:rPr>
                <w:rFonts w:cs="Arial"/>
                <w:szCs w:val="18"/>
                <w:lang w:val="pt-BR" w:eastAsia="pt-BR"/>
              </w:rPr>
              <w:t>²</w:t>
            </w:r>
          </w:p>
        </w:tc>
        <w:tc>
          <w:tcPr>
            <w:tcW w:w="1300" w:type="dxa"/>
            <w:tcBorders>
              <w:top w:val="nil"/>
              <w:left w:val="nil"/>
              <w:bottom w:val="nil"/>
              <w:right w:val="nil"/>
            </w:tcBorders>
            <w:shd w:val="clear" w:color="auto" w:fill="auto"/>
            <w:noWrap/>
            <w:vAlign w:val="bottom"/>
            <w:hideMark/>
          </w:tcPr>
          <w:p w14:paraId="636FE867" w14:textId="5EA9AC8F"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771012599</w:t>
            </w:r>
          </w:p>
        </w:tc>
      </w:tr>
      <w:tr w:rsidR="00877ED2" w:rsidRPr="00877ED2" w14:paraId="6E3EFDF7" w14:textId="77777777" w:rsidTr="00927BAF">
        <w:trPr>
          <w:trHeight w:val="269"/>
        </w:trPr>
        <w:tc>
          <w:tcPr>
            <w:tcW w:w="501" w:type="dxa"/>
            <w:tcBorders>
              <w:top w:val="nil"/>
              <w:left w:val="nil"/>
              <w:bottom w:val="single" w:sz="12" w:space="0" w:color="008000"/>
              <w:right w:val="nil"/>
            </w:tcBorders>
            <w:shd w:val="clear" w:color="000000" w:fill="FFFFFF"/>
            <w:vAlign w:val="center"/>
            <w:hideMark/>
          </w:tcPr>
          <w:p w14:paraId="75408A21"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SSE</w:t>
            </w:r>
          </w:p>
        </w:tc>
        <w:tc>
          <w:tcPr>
            <w:tcW w:w="1091" w:type="dxa"/>
            <w:tcBorders>
              <w:top w:val="nil"/>
              <w:left w:val="nil"/>
              <w:bottom w:val="single" w:sz="12" w:space="0" w:color="008000"/>
              <w:right w:val="nil"/>
            </w:tcBorders>
            <w:shd w:val="clear" w:color="000000" w:fill="FFFFFF"/>
            <w:vAlign w:val="center"/>
            <w:hideMark/>
          </w:tcPr>
          <w:p w14:paraId="480015EA" w14:textId="6204DA76"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00454332</w:t>
            </w:r>
          </w:p>
        </w:tc>
        <w:tc>
          <w:tcPr>
            <w:tcW w:w="501" w:type="dxa"/>
            <w:tcBorders>
              <w:top w:val="nil"/>
              <w:left w:val="nil"/>
              <w:bottom w:val="single" w:sz="12" w:space="0" w:color="008000"/>
              <w:right w:val="nil"/>
            </w:tcBorders>
            <w:shd w:val="clear" w:color="000000" w:fill="FFFFFF"/>
            <w:vAlign w:val="center"/>
            <w:hideMark/>
          </w:tcPr>
          <w:p w14:paraId="46558AA6"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SSE</w:t>
            </w:r>
          </w:p>
        </w:tc>
        <w:tc>
          <w:tcPr>
            <w:tcW w:w="1320" w:type="dxa"/>
            <w:tcBorders>
              <w:top w:val="nil"/>
              <w:left w:val="nil"/>
              <w:bottom w:val="single" w:sz="12" w:space="0" w:color="008000"/>
              <w:right w:val="nil"/>
            </w:tcBorders>
            <w:shd w:val="clear" w:color="000000" w:fill="FFFFFF"/>
            <w:vAlign w:val="center"/>
            <w:hideMark/>
          </w:tcPr>
          <w:p w14:paraId="5AB4D792" w14:textId="30F07949"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0045903</w:t>
            </w:r>
          </w:p>
        </w:tc>
        <w:tc>
          <w:tcPr>
            <w:tcW w:w="501" w:type="dxa"/>
            <w:tcBorders>
              <w:top w:val="nil"/>
              <w:left w:val="nil"/>
              <w:bottom w:val="single" w:sz="12" w:space="0" w:color="008000"/>
              <w:right w:val="nil"/>
            </w:tcBorders>
            <w:shd w:val="clear" w:color="000000" w:fill="FFFFFF"/>
            <w:vAlign w:val="center"/>
            <w:hideMark/>
          </w:tcPr>
          <w:p w14:paraId="66BEF100"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SSE</w:t>
            </w:r>
          </w:p>
        </w:tc>
        <w:tc>
          <w:tcPr>
            <w:tcW w:w="1180" w:type="dxa"/>
            <w:tcBorders>
              <w:top w:val="nil"/>
              <w:left w:val="nil"/>
              <w:bottom w:val="single" w:sz="12" w:space="0" w:color="008000"/>
              <w:right w:val="nil"/>
            </w:tcBorders>
            <w:shd w:val="clear" w:color="000000" w:fill="FFFFFF"/>
            <w:vAlign w:val="center"/>
            <w:hideMark/>
          </w:tcPr>
          <w:p w14:paraId="46307B98" w14:textId="18EDBCC9"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0046289</w:t>
            </w:r>
          </w:p>
        </w:tc>
        <w:tc>
          <w:tcPr>
            <w:tcW w:w="501" w:type="dxa"/>
            <w:tcBorders>
              <w:top w:val="nil"/>
              <w:left w:val="nil"/>
              <w:bottom w:val="single" w:sz="12" w:space="0" w:color="008000"/>
              <w:right w:val="nil"/>
            </w:tcBorders>
            <w:shd w:val="clear" w:color="000000" w:fill="FFFFFF"/>
            <w:vAlign w:val="center"/>
            <w:hideMark/>
          </w:tcPr>
          <w:p w14:paraId="4D0253F4" w14:textId="77777777" w:rsidR="008A3821" w:rsidRPr="00877ED2" w:rsidRDefault="008A3821" w:rsidP="00B94E4B">
            <w:pPr>
              <w:tabs>
                <w:tab w:val="clear" w:pos="7100"/>
              </w:tabs>
              <w:spacing w:line="240" w:lineRule="auto"/>
              <w:jc w:val="center"/>
              <w:rPr>
                <w:rFonts w:cs="Arial"/>
                <w:szCs w:val="18"/>
                <w:lang w:val="pt-BR" w:eastAsia="pt-BR"/>
              </w:rPr>
            </w:pPr>
            <w:r w:rsidRPr="00877ED2">
              <w:rPr>
                <w:rFonts w:cs="Arial"/>
                <w:szCs w:val="18"/>
                <w:lang w:val="pt-BR" w:eastAsia="pt-BR"/>
              </w:rPr>
              <w:t>SSE</w:t>
            </w:r>
          </w:p>
        </w:tc>
        <w:tc>
          <w:tcPr>
            <w:tcW w:w="1300" w:type="dxa"/>
            <w:tcBorders>
              <w:top w:val="nil"/>
              <w:left w:val="nil"/>
              <w:bottom w:val="single" w:sz="12" w:space="0" w:color="008000"/>
              <w:right w:val="nil"/>
            </w:tcBorders>
            <w:shd w:val="clear" w:color="000000" w:fill="FFFFFF"/>
            <w:vAlign w:val="center"/>
            <w:hideMark/>
          </w:tcPr>
          <w:p w14:paraId="6D5B9A65" w14:textId="32E0D6AF" w:rsidR="008A3821" w:rsidRPr="00877ED2" w:rsidRDefault="008A3821" w:rsidP="00A4623D">
            <w:pPr>
              <w:tabs>
                <w:tab w:val="clear" w:pos="7100"/>
              </w:tabs>
              <w:spacing w:line="240" w:lineRule="auto"/>
              <w:jc w:val="center"/>
              <w:rPr>
                <w:rFonts w:cs="Arial"/>
                <w:szCs w:val="18"/>
                <w:lang w:val="pt-BR" w:eastAsia="pt-BR"/>
              </w:rPr>
            </w:pPr>
            <w:r w:rsidRPr="00877ED2">
              <w:rPr>
                <w:rFonts w:cs="Arial"/>
                <w:szCs w:val="18"/>
                <w:lang w:val="pt-BR" w:eastAsia="pt-BR"/>
              </w:rPr>
              <w:t>0</w:t>
            </w:r>
            <w:r w:rsidR="00A4623D" w:rsidRPr="00877ED2">
              <w:rPr>
                <w:rFonts w:cs="Arial"/>
                <w:szCs w:val="18"/>
                <w:lang w:val="pt-BR" w:eastAsia="pt-BR"/>
              </w:rPr>
              <w:t>.</w:t>
            </w:r>
            <w:r w:rsidRPr="00877ED2">
              <w:rPr>
                <w:rFonts w:cs="Arial"/>
                <w:szCs w:val="18"/>
                <w:lang w:val="pt-BR" w:eastAsia="pt-BR"/>
              </w:rPr>
              <w:t>0047698</w:t>
            </w:r>
          </w:p>
        </w:tc>
      </w:tr>
    </w:tbl>
    <w:p w14:paraId="5DE9C59F" w14:textId="77777777" w:rsidR="008531A6" w:rsidRPr="00877ED2" w:rsidRDefault="008531A6" w:rsidP="008531A6">
      <w:pPr>
        <w:pStyle w:val="CETBodytext"/>
      </w:pPr>
    </w:p>
    <w:p w14:paraId="6C4F3B60" w14:textId="77777777" w:rsidR="008531A6" w:rsidRPr="00877ED2" w:rsidRDefault="008531A6" w:rsidP="008531A6">
      <w:pPr>
        <w:pStyle w:val="CETBodytext"/>
      </w:pPr>
    </w:p>
    <w:p w14:paraId="363D6FB2" w14:textId="7C3A400F" w:rsidR="001D4F19" w:rsidRPr="00877ED2" w:rsidRDefault="0019277D" w:rsidP="0009682D">
      <w:pPr>
        <w:pStyle w:val="CETBodytext"/>
      </w:pPr>
      <w:r w:rsidRPr="00877ED2">
        <w:t>According to Riegel et al. (2008), the activation energy value found in the literature for the pyrolysis of lignocellulosic compounds is in the range of 15</w:t>
      </w:r>
      <w:r w:rsidR="00A4623D" w:rsidRPr="00877ED2">
        <w:t xml:space="preserve"> </w:t>
      </w:r>
      <w:r w:rsidRPr="00877ED2">
        <w:t>x</w:t>
      </w:r>
      <w:r w:rsidR="00A4623D" w:rsidRPr="00877ED2">
        <w:t xml:space="preserve"> </w:t>
      </w:r>
      <w:r w:rsidRPr="00877ED2">
        <w:t>10</w:t>
      </w:r>
      <w:r w:rsidRPr="00877ED2">
        <w:rPr>
          <w:vertAlign w:val="superscript"/>
        </w:rPr>
        <w:t xml:space="preserve">4 </w:t>
      </w:r>
      <w:r w:rsidR="00A4623D" w:rsidRPr="00877ED2">
        <w:t>–</w:t>
      </w:r>
      <w:r w:rsidRPr="00877ED2">
        <w:t xml:space="preserve"> 20</w:t>
      </w:r>
      <w:r w:rsidR="00A4623D" w:rsidRPr="00877ED2">
        <w:t xml:space="preserve"> </w:t>
      </w:r>
      <w:r w:rsidRPr="00877ED2">
        <w:t>x</w:t>
      </w:r>
      <w:r w:rsidR="00A4623D" w:rsidRPr="00877ED2">
        <w:t xml:space="preserve"> </w:t>
      </w:r>
      <w:r w:rsidRPr="00877ED2">
        <w:t>10</w:t>
      </w:r>
      <w:r w:rsidRPr="00877ED2">
        <w:rPr>
          <w:vertAlign w:val="superscript"/>
        </w:rPr>
        <w:t>4</w:t>
      </w:r>
      <w:r w:rsidRPr="00877ED2">
        <w:t xml:space="preserve"> kJ.mol</w:t>
      </w:r>
      <w:r w:rsidRPr="00877ED2">
        <w:rPr>
          <w:vertAlign w:val="superscript"/>
        </w:rPr>
        <w:t>-1</w:t>
      </w:r>
      <w:r w:rsidRPr="00877ED2">
        <w:t xml:space="preserve">, indicating that the values found </w:t>
      </w:r>
      <w:r w:rsidR="00A4623D" w:rsidRPr="00877ED2">
        <w:t>for</w:t>
      </w:r>
      <w:r w:rsidRPr="00877ED2">
        <w:t xml:space="preserve"> all </w:t>
      </w:r>
      <w:r w:rsidR="00A4623D" w:rsidRPr="00877ED2">
        <w:t xml:space="preserve">the </w:t>
      </w:r>
      <w:r w:rsidRPr="00877ED2">
        <w:t xml:space="preserve">models are in accordance with literature data. </w:t>
      </w:r>
    </w:p>
    <w:p w14:paraId="0969B722" w14:textId="50F29F42" w:rsidR="001D4F19" w:rsidRPr="00877ED2" w:rsidRDefault="001D4F19" w:rsidP="0009682D">
      <w:pPr>
        <w:pStyle w:val="CETBodytext"/>
      </w:pPr>
      <w:r w:rsidRPr="00877ED2">
        <w:t>Some works using thermogravimetry to obtain kinetic parameters have already been produced, but a</w:t>
      </w:r>
      <w:r w:rsidR="00D952F4" w:rsidRPr="00877ED2">
        <w:t>s far we have knowledge, f</w:t>
      </w:r>
      <w:r w:rsidR="008531A6" w:rsidRPr="00877ED2">
        <w:t xml:space="preserve">ew studies were found using genetic algorithms and particle swarm for estimation of kinetic parameters of thermal degradation of lignocellulosic </w:t>
      </w:r>
      <w:r w:rsidR="004E7DB4" w:rsidRPr="00877ED2">
        <w:t>biomass</w:t>
      </w:r>
      <w:r w:rsidR="008531A6" w:rsidRPr="00877ED2">
        <w:t xml:space="preserve">. </w:t>
      </w:r>
      <w:r w:rsidR="0019277D" w:rsidRPr="00877ED2">
        <w:t>These methods can be very useful if the objective is to estimate parameters with greater accuracy and error minimization, besides allowing comparisons between the models and verification of the accuracy of the results found.</w:t>
      </w:r>
      <w:r w:rsidR="008531A6" w:rsidRPr="00877ED2">
        <w:t xml:space="preserve"> </w:t>
      </w:r>
    </w:p>
    <w:p w14:paraId="4A66CF3F" w14:textId="18019995" w:rsidR="00D84E47" w:rsidRPr="00877ED2" w:rsidRDefault="001D4F19" w:rsidP="0009682D">
      <w:pPr>
        <w:pStyle w:val="CETBodytext"/>
      </w:pPr>
      <w:r w:rsidRPr="00877ED2">
        <w:t xml:space="preserve">As an example of proposed work to search for kinetic parameters using thermal decomposition, </w:t>
      </w:r>
      <w:r w:rsidR="002260B2" w:rsidRPr="00877ED2">
        <w:t xml:space="preserve">Rueda-Ordóñez (2018) had as objective to study the kinetics of </w:t>
      </w:r>
      <w:r w:rsidR="00A4623D" w:rsidRPr="00877ED2">
        <w:t xml:space="preserve">sugarcane straw thermal decomposition </w:t>
      </w:r>
      <w:r w:rsidR="002260B2" w:rsidRPr="00877ED2">
        <w:t xml:space="preserve">by non-isothermal thermogravimetry. </w:t>
      </w:r>
      <w:r w:rsidR="00A4623D" w:rsidRPr="00877ED2">
        <w:t>Kinetics of the system</w:t>
      </w:r>
      <w:r w:rsidR="0009682D" w:rsidRPr="00877ED2">
        <w:t xml:space="preserve"> </w:t>
      </w:r>
      <w:r w:rsidR="008208A1" w:rsidRPr="00877ED2">
        <w:t xml:space="preserve">was </w:t>
      </w:r>
      <w:r w:rsidR="0009682D" w:rsidRPr="00877ED2">
        <w:t>analyzed by three consecutive reaction schemes, obtaining activation energies of 130, 200 and 56 kJ.mol</w:t>
      </w:r>
      <w:r w:rsidR="0009682D" w:rsidRPr="00877ED2">
        <w:rPr>
          <w:vertAlign w:val="superscript"/>
        </w:rPr>
        <w:t>-1</w:t>
      </w:r>
      <w:r w:rsidR="0009682D" w:rsidRPr="00877ED2">
        <w:t>. The consecutive reaction scheme allowed an excellent agreement between experimental and model data, providing an adjustment quality similar to that obtained with the independent parallel reaction scheme.</w:t>
      </w:r>
      <w:r w:rsidR="008013E4" w:rsidRPr="00877ED2">
        <w:t xml:space="preserve"> </w:t>
      </w:r>
      <w:r w:rsidR="00A4623D" w:rsidRPr="00877ED2">
        <w:t>Therefore</w:t>
      </w:r>
      <w:r w:rsidR="008013E4" w:rsidRPr="00877ED2">
        <w:t>, among many techniques for parameter estimation</w:t>
      </w:r>
      <w:r w:rsidR="00A4623D" w:rsidRPr="00877ED2">
        <w:t>,</w:t>
      </w:r>
      <w:r w:rsidR="008013E4" w:rsidRPr="00877ED2">
        <w:t xml:space="preserve"> use of GA and PSO is </w:t>
      </w:r>
      <w:r w:rsidR="00A4623D" w:rsidRPr="00877ED2">
        <w:t>of</w:t>
      </w:r>
      <w:r w:rsidR="008013E4" w:rsidRPr="00877ED2">
        <w:t xml:space="preserve"> great help in the search for kinetic parameters from thermogravimetry.</w:t>
      </w:r>
    </w:p>
    <w:p w14:paraId="5BD732C5" w14:textId="77777777" w:rsidR="00600535" w:rsidRPr="00877ED2" w:rsidRDefault="00600535" w:rsidP="00600535">
      <w:pPr>
        <w:pStyle w:val="CETHeading1"/>
        <w:rPr>
          <w:lang w:val="en-GB"/>
        </w:rPr>
      </w:pPr>
      <w:r w:rsidRPr="00877ED2">
        <w:rPr>
          <w:lang w:val="en-GB"/>
        </w:rPr>
        <w:t>Conclusions</w:t>
      </w:r>
    </w:p>
    <w:p w14:paraId="3DD41109" w14:textId="6BA3406C" w:rsidR="00FB14BD" w:rsidRPr="00877ED2" w:rsidRDefault="00FB14BD" w:rsidP="00FB14BD">
      <w:pPr>
        <w:pStyle w:val="CETBodytext"/>
        <w:rPr>
          <w:lang w:val="en-GB"/>
        </w:rPr>
      </w:pPr>
      <w:r w:rsidRPr="00877ED2">
        <w:rPr>
          <w:lang w:val="en-GB"/>
        </w:rPr>
        <w:t xml:space="preserve">The application of </w:t>
      </w:r>
      <w:r w:rsidRPr="00877ED2">
        <w:rPr>
          <w:i/>
          <w:lang w:val="en-GB"/>
        </w:rPr>
        <w:t>GA</w:t>
      </w:r>
      <w:r w:rsidRPr="00877ED2">
        <w:rPr>
          <w:lang w:val="en-GB"/>
        </w:rPr>
        <w:t xml:space="preserve"> and </w:t>
      </w:r>
      <w:r w:rsidRPr="00877ED2">
        <w:rPr>
          <w:i/>
          <w:lang w:val="en-GB"/>
        </w:rPr>
        <w:t>PSO</w:t>
      </w:r>
      <w:r w:rsidRPr="00877ED2">
        <w:rPr>
          <w:lang w:val="en-GB"/>
        </w:rPr>
        <w:t xml:space="preserve"> to estimate the kinetic parameters of green coconut </w:t>
      </w:r>
      <w:r w:rsidR="00466204" w:rsidRPr="00877ED2">
        <w:rPr>
          <w:lang w:val="en-GB"/>
        </w:rPr>
        <w:t>fi</w:t>
      </w:r>
      <w:r w:rsidR="00CC7E24" w:rsidRPr="00877ED2">
        <w:rPr>
          <w:lang w:val="en-GB"/>
        </w:rPr>
        <w:t>ber</w:t>
      </w:r>
      <w:r w:rsidRPr="00877ED2">
        <w:rPr>
          <w:lang w:val="en-GB"/>
        </w:rPr>
        <w:t xml:space="preserve"> lignin breaking using two different estimation methods was considered </w:t>
      </w:r>
      <w:r w:rsidR="008208A1" w:rsidRPr="00877ED2">
        <w:rPr>
          <w:lang w:val="en-GB"/>
        </w:rPr>
        <w:t>in the current work</w:t>
      </w:r>
      <w:r w:rsidRPr="00877ED2">
        <w:rPr>
          <w:lang w:val="en-GB"/>
        </w:rPr>
        <w:t>. Through the kinetic e</w:t>
      </w:r>
      <w:r w:rsidR="008A3821" w:rsidRPr="00877ED2">
        <w:rPr>
          <w:lang w:val="en-GB"/>
        </w:rPr>
        <w:t>quation proposed by Speyer</w:t>
      </w:r>
      <w:r w:rsidRPr="00877ED2">
        <w:rPr>
          <w:lang w:val="en-GB"/>
        </w:rPr>
        <w:t xml:space="preserve">, thermogravimetric data were found and the results obtained by the different </w:t>
      </w:r>
      <w:r w:rsidR="006B6FE8" w:rsidRPr="00877ED2">
        <w:rPr>
          <w:lang w:val="en-GB"/>
        </w:rPr>
        <w:t xml:space="preserve">optimization </w:t>
      </w:r>
      <w:r w:rsidRPr="00877ED2">
        <w:rPr>
          <w:lang w:val="en-GB"/>
        </w:rPr>
        <w:t xml:space="preserve">models were </w:t>
      </w:r>
      <w:r w:rsidRPr="00877ED2">
        <w:rPr>
          <w:lang w:val="en-GB"/>
        </w:rPr>
        <w:lastRenderedPageBreak/>
        <w:t>compared with the values published in the literature</w:t>
      </w:r>
      <w:r w:rsidR="00A4623D" w:rsidRPr="00877ED2">
        <w:rPr>
          <w:lang w:val="en-GB"/>
        </w:rPr>
        <w:t>. This procedure</w:t>
      </w:r>
      <w:r w:rsidRPr="00877ED2">
        <w:rPr>
          <w:lang w:val="en-GB"/>
        </w:rPr>
        <w:t xml:space="preserve"> </w:t>
      </w:r>
      <w:r w:rsidR="00A4623D" w:rsidRPr="00877ED2">
        <w:rPr>
          <w:lang w:val="en-GB"/>
        </w:rPr>
        <w:t>confirmed</w:t>
      </w:r>
      <w:r w:rsidRPr="00877ED2">
        <w:rPr>
          <w:lang w:val="en-GB"/>
        </w:rPr>
        <w:t xml:space="preserve"> that both </w:t>
      </w:r>
      <w:r w:rsidR="008208A1" w:rsidRPr="00877ED2">
        <w:rPr>
          <w:lang w:val="en-GB"/>
        </w:rPr>
        <w:t>optimization methods</w:t>
      </w:r>
      <w:r w:rsidRPr="00877ED2">
        <w:rPr>
          <w:lang w:val="en-GB"/>
        </w:rPr>
        <w:t xml:space="preserve"> are promising techniques from the point of view of estimati</w:t>
      </w:r>
      <w:r w:rsidR="00A4623D" w:rsidRPr="00877ED2">
        <w:rPr>
          <w:lang w:val="en-GB"/>
        </w:rPr>
        <w:t>ng</w:t>
      </w:r>
      <w:r w:rsidRPr="00877ED2">
        <w:rPr>
          <w:lang w:val="en-GB"/>
        </w:rPr>
        <w:t xml:space="preserve"> and correlati</w:t>
      </w:r>
      <w:r w:rsidR="00A4623D" w:rsidRPr="00877ED2">
        <w:rPr>
          <w:lang w:val="en-GB"/>
        </w:rPr>
        <w:t>ng</w:t>
      </w:r>
      <w:r w:rsidRPr="00877ED2">
        <w:rPr>
          <w:lang w:val="en-GB"/>
        </w:rPr>
        <w:t xml:space="preserve"> predicted and actual data. </w:t>
      </w:r>
      <w:r w:rsidR="008208A1" w:rsidRPr="00877ED2">
        <w:rPr>
          <w:lang w:val="en-GB"/>
        </w:rPr>
        <w:t>Posterior</w:t>
      </w:r>
      <w:r w:rsidRPr="00877ED2">
        <w:rPr>
          <w:lang w:val="en-GB"/>
        </w:rPr>
        <w:t xml:space="preserve"> studies </w:t>
      </w:r>
      <w:r w:rsidR="008208A1" w:rsidRPr="00877ED2">
        <w:rPr>
          <w:lang w:val="en-GB"/>
        </w:rPr>
        <w:t>must</w:t>
      </w:r>
      <w:r w:rsidRPr="00877ED2">
        <w:rPr>
          <w:lang w:val="en-GB"/>
        </w:rPr>
        <w:t xml:space="preserve"> be performed to improve the</w:t>
      </w:r>
      <w:r w:rsidR="006B6FE8" w:rsidRPr="00877ED2">
        <w:rPr>
          <w:lang w:val="en-GB"/>
        </w:rPr>
        <w:t xml:space="preserve"> kinetic model</w:t>
      </w:r>
      <w:r w:rsidRPr="00877ED2">
        <w:rPr>
          <w:lang w:val="en-GB"/>
        </w:rPr>
        <w:t xml:space="preserve"> equations and to better understand the catalysis involved in the process</w:t>
      </w:r>
      <w:r w:rsidR="008208A1" w:rsidRPr="00877ED2">
        <w:rPr>
          <w:lang w:val="en-GB"/>
        </w:rPr>
        <w:t xml:space="preserve"> under investigation</w:t>
      </w:r>
      <w:r w:rsidR="00A4623D" w:rsidRPr="00877ED2">
        <w:rPr>
          <w:lang w:val="en-GB"/>
        </w:rPr>
        <w:t>. U</w:t>
      </w:r>
      <w:r w:rsidRPr="00877ED2">
        <w:rPr>
          <w:lang w:val="en-GB"/>
        </w:rPr>
        <w:t>se of GA and PSO as global search methods was satisfactory</w:t>
      </w:r>
      <w:r w:rsidR="008208A1" w:rsidRPr="00877ED2">
        <w:rPr>
          <w:lang w:val="en-GB"/>
        </w:rPr>
        <w:t xml:space="preserve"> but the </w:t>
      </w:r>
      <w:r w:rsidR="009F22D0" w:rsidRPr="00877ED2">
        <w:rPr>
          <w:lang w:val="en-GB"/>
        </w:rPr>
        <w:t xml:space="preserve">kinetic </w:t>
      </w:r>
      <w:r w:rsidR="008208A1" w:rsidRPr="00877ED2">
        <w:rPr>
          <w:lang w:val="en-GB"/>
        </w:rPr>
        <w:t xml:space="preserve">model considered herein might not </w:t>
      </w:r>
      <w:r w:rsidR="006B6FE8" w:rsidRPr="00877ED2">
        <w:rPr>
          <w:lang w:val="en-GB"/>
        </w:rPr>
        <w:t xml:space="preserve">be </w:t>
      </w:r>
      <w:r w:rsidR="008208A1" w:rsidRPr="00877ED2">
        <w:rPr>
          <w:lang w:val="en-GB"/>
        </w:rPr>
        <w:t>the best one for this system</w:t>
      </w:r>
      <w:r w:rsidRPr="00877ED2">
        <w:rPr>
          <w:lang w:val="en-GB"/>
        </w:rPr>
        <w:t>.</w:t>
      </w:r>
    </w:p>
    <w:p w14:paraId="0D1690FC" w14:textId="77777777" w:rsidR="00600535" w:rsidRPr="00877ED2" w:rsidRDefault="00600535" w:rsidP="00600535">
      <w:pPr>
        <w:pStyle w:val="CETAcknowledgementstitle"/>
      </w:pPr>
      <w:r w:rsidRPr="00877ED2">
        <w:t>Acknowledgments</w:t>
      </w:r>
    </w:p>
    <w:p w14:paraId="74291C58" w14:textId="77194131" w:rsidR="00A25B66" w:rsidRPr="00877ED2" w:rsidRDefault="003647CA" w:rsidP="00FD64B7">
      <w:pPr>
        <w:pStyle w:val="CETBodytext"/>
      </w:pPr>
      <w:r w:rsidRPr="00877ED2">
        <w:t xml:space="preserve">This study was financed in part by the Coordenação de Aperfeiçoamento de Pessoal de </w:t>
      </w:r>
      <w:r w:rsidR="006F2C44" w:rsidRPr="00877ED2">
        <w:t>Nível Superior (CAPES) – Brazil.</w:t>
      </w:r>
    </w:p>
    <w:p w14:paraId="57A13389" w14:textId="77777777" w:rsidR="00600535" w:rsidRPr="00877ED2" w:rsidRDefault="00600535" w:rsidP="00600535">
      <w:pPr>
        <w:pStyle w:val="CETReference"/>
      </w:pPr>
      <w:r w:rsidRPr="00877ED2">
        <w:t>References</w:t>
      </w:r>
    </w:p>
    <w:p w14:paraId="105F41F8" w14:textId="1DEEAC15" w:rsidR="00F7095D" w:rsidRPr="00877ED2" w:rsidRDefault="00F7095D" w:rsidP="00F7095D">
      <w:pPr>
        <w:pStyle w:val="CETReference-text"/>
      </w:pPr>
      <w:r w:rsidRPr="00877ED2">
        <w:t xml:space="preserve">Ahmad Z., Bahadorib A., Zhang J.S., 2017, Prediction of combustion efficiency using multiple neural networks, </w:t>
      </w:r>
      <w:r w:rsidR="003B3804" w:rsidRPr="00877ED2">
        <w:t>Chemical Engineering Transactions</w:t>
      </w:r>
      <w:r w:rsidRPr="00877ED2">
        <w:t>, 56, 85-90.</w:t>
      </w:r>
    </w:p>
    <w:p w14:paraId="31727BEB" w14:textId="77777777" w:rsidR="00F7095D" w:rsidRPr="00877ED2" w:rsidRDefault="00F7095D" w:rsidP="00F7095D">
      <w:pPr>
        <w:pStyle w:val="CETReference-text"/>
      </w:pPr>
      <w:r w:rsidRPr="00877ED2">
        <w:t>Barbosa C.F., 2014, Synthesis and characterization of cobalt ferrite / activated carbon nanocomposites from styrenodivinylbenzene copolymers synthesized with soybean oil, Federal University of Goiás, Goiânia.</w:t>
      </w:r>
    </w:p>
    <w:p w14:paraId="1008C263" w14:textId="77777777" w:rsidR="00F7095D" w:rsidRPr="00877ED2" w:rsidRDefault="00F7095D" w:rsidP="00F7095D">
      <w:pPr>
        <w:pStyle w:val="CETReference-text"/>
      </w:pPr>
      <w:r w:rsidRPr="00877ED2">
        <w:t>Beasley, D., Bull, D. and Martin, R., 1993, An overview of genetic algorithms: Part 1, fundamentals, Technical report, Inter-University Commitee on Computing. </w:t>
      </w:r>
    </w:p>
    <w:p w14:paraId="3B16058A" w14:textId="77777777" w:rsidR="00F7095D" w:rsidRPr="00877ED2" w:rsidRDefault="00F7095D" w:rsidP="00F7095D">
      <w:pPr>
        <w:pStyle w:val="CETReference-text"/>
        <w:rPr>
          <w:lang w:val="pt-BR"/>
        </w:rPr>
      </w:pPr>
      <w:r w:rsidRPr="00877ED2">
        <w:t xml:space="preserve">Carrijo O.A.; Liz R.S.; Makishima, N., 2002, Fiber of green coconut as an agricultural substrate. </w:t>
      </w:r>
      <w:r w:rsidRPr="00877ED2">
        <w:rPr>
          <w:lang w:val="pt-BR"/>
        </w:rPr>
        <w:t xml:space="preserve">Horticultura Brasileira 20, 533-535; </w:t>
      </w:r>
    </w:p>
    <w:p w14:paraId="50AA4289" w14:textId="77777777" w:rsidR="00F7095D" w:rsidRPr="00877ED2" w:rsidRDefault="00F7095D" w:rsidP="00F7095D">
      <w:pPr>
        <w:pStyle w:val="CETReference-text"/>
      </w:pPr>
      <w:r w:rsidRPr="00877ED2">
        <w:rPr>
          <w:lang w:val="pt-BR"/>
        </w:rPr>
        <w:t xml:space="preserve">Costa Filho, P. A., Poppi, R. J., 1999, Algoritmo genético em química, Quím. </w:t>
      </w:r>
      <w:r w:rsidRPr="00877ED2">
        <w:t>Nova. 22 (3), 405-411.</w:t>
      </w:r>
    </w:p>
    <w:p w14:paraId="2EC75A7C" w14:textId="77777777" w:rsidR="00F7095D" w:rsidRPr="00877ED2" w:rsidRDefault="00F7095D" w:rsidP="00F7095D">
      <w:pPr>
        <w:pStyle w:val="CETReference-text"/>
      </w:pPr>
      <w:r w:rsidRPr="00877ED2">
        <w:t>Kan-Sen C., Chyuan-Shiuh S., 1984, Kinetics of the thermal decomposition of aluminum sulphate, Thermochimica Acta, p. 285–295.</w:t>
      </w:r>
    </w:p>
    <w:p w14:paraId="30E72349" w14:textId="77777777" w:rsidR="00F7095D" w:rsidRPr="00877ED2" w:rsidRDefault="00F7095D" w:rsidP="00F7095D">
      <w:pPr>
        <w:pStyle w:val="CETReference-text"/>
      </w:pPr>
      <w:r w:rsidRPr="00877ED2">
        <w:t>Goldberg D. E., 1989, Genetic Algorithms in Search Optimization and Machine Learning, Addison-Wesley Pub. Co, 76-75.</w:t>
      </w:r>
    </w:p>
    <w:p w14:paraId="2E417200" w14:textId="49E9339A" w:rsidR="00F7095D" w:rsidRPr="00877ED2" w:rsidRDefault="00F7095D" w:rsidP="00F7095D">
      <w:pPr>
        <w:pStyle w:val="CETReference-text"/>
      </w:pPr>
      <w:r w:rsidRPr="00877ED2">
        <w:t>Kennedy J. &amp; E., Eberhart R., 1995, Particle swarm optimization. In Proceedings of the 1995 IEEE international conference on neural networks, Perth, Australia (pp. 1942/1948), vol. IV. Piscataway, NJ</w:t>
      </w:r>
    </w:p>
    <w:p w14:paraId="1FBF329C" w14:textId="1DA3E564" w:rsidR="00F7095D" w:rsidRPr="00877ED2" w:rsidRDefault="00F7095D" w:rsidP="00F7095D">
      <w:pPr>
        <w:pStyle w:val="CETReference-text"/>
      </w:pPr>
      <w:r w:rsidRPr="00877ED2">
        <w:t>Kumar V., Balasubramanian P., 2009, Kinetic parameter estimation in hydrocracking using hybrid particle swarm optimization, Fuel</w:t>
      </w:r>
      <w:r w:rsidR="006F2C44" w:rsidRPr="00877ED2">
        <w:t>,</w:t>
      </w:r>
      <w:r w:rsidRPr="00877ED2">
        <w:t xml:space="preserve"> 88, 2171-2180</w:t>
      </w:r>
      <w:r w:rsidR="006F2C44" w:rsidRPr="00877ED2">
        <w:t>.</w:t>
      </w:r>
    </w:p>
    <w:p w14:paraId="7DDB9EEA" w14:textId="2603910E" w:rsidR="00786A9A" w:rsidRPr="00877ED2" w:rsidRDefault="004C094E" w:rsidP="00C36ABD">
      <w:pPr>
        <w:pStyle w:val="CETReference-text"/>
      </w:pPr>
      <w:r w:rsidRPr="00877ED2">
        <w:t>Monteiro, F.Z.R.,</w:t>
      </w:r>
      <w:r w:rsidR="00786A9A" w:rsidRPr="00877ED2">
        <w:t xml:space="preserve"> Valim, I.C., </w:t>
      </w:r>
      <w:r w:rsidR="00C36ABD" w:rsidRPr="00877ED2">
        <w:t>Siqueira, R.N.C., Moura, J.F., Grillo, A.V., Santos, B.F.,2018,</w:t>
      </w:r>
      <w:r w:rsidRPr="00877ED2">
        <w:t xml:space="preserve"> Study of the thermal decomposition of green coconut fiber in the presence of a nano structured catalyst</w:t>
      </w:r>
      <w:r w:rsidR="002B4D76" w:rsidRPr="00877ED2">
        <w:t xml:space="preserve">. </w:t>
      </w:r>
      <w:r w:rsidR="003B3804" w:rsidRPr="00877ED2">
        <w:t>Chemical Engineering Transactions</w:t>
      </w:r>
      <w:r w:rsidR="002B4D76" w:rsidRPr="00877ED2">
        <w:t>, 65, 457-462.</w:t>
      </w:r>
    </w:p>
    <w:p w14:paraId="05053E87" w14:textId="5E9AC1DF" w:rsidR="00F7095D" w:rsidRPr="00877ED2" w:rsidRDefault="00F7095D" w:rsidP="00F7095D">
      <w:pPr>
        <w:pStyle w:val="CETReference-text"/>
        <w:rPr>
          <w:lang w:val="pt-BR"/>
        </w:rPr>
      </w:pPr>
      <w:r w:rsidRPr="00877ED2">
        <w:t xml:space="preserve">Ourique C.O., Biscaia E.C., Pinto J.C., 2002, The use of particle swarm optimization for dynamical analysis in chemical processes. </w:t>
      </w:r>
      <w:r w:rsidRPr="00877ED2">
        <w:rPr>
          <w:lang w:val="pt-BR"/>
        </w:rPr>
        <w:t>Comput</w:t>
      </w:r>
      <w:r w:rsidR="006F2C44" w:rsidRPr="00877ED2">
        <w:rPr>
          <w:lang w:val="pt-BR"/>
        </w:rPr>
        <w:t>er</w:t>
      </w:r>
      <w:r w:rsidR="00226C3F" w:rsidRPr="00877ED2">
        <w:rPr>
          <w:lang w:val="pt-BR"/>
        </w:rPr>
        <w:t>s</w:t>
      </w:r>
      <w:r w:rsidR="006F2C44" w:rsidRPr="00877ED2">
        <w:rPr>
          <w:lang w:val="pt-BR"/>
        </w:rPr>
        <w:t xml:space="preserve"> and</w:t>
      </w:r>
      <w:r w:rsidRPr="00877ED2">
        <w:rPr>
          <w:lang w:val="pt-BR"/>
        </w:rPr>
        <w:t xml:space="preserve"> Chem</w:t>
      </w:r>
      <w:r w:rsidR="006F2C44" w:rsidRPr="00877ED2">
        <w:rPr>
          <w:lang w:val="pt-BR"/>
        </w:rPr>
        <w:t>ical</w:t>
      </w:r>
      <w:r w:rsidRPr="00877ED2">
        <w:rPr>
          <w:lang w:val="pt-BR"/>
        </w:rPr>
        <w:t xml:space="preserve"> Eng</w:t>
      </w:r>
      <w:r w:rsidR="006F2C44" w:rsidRPr="00877ED2">
        <w:rPr>
          <w:lang w:val="pt-BR"/>
        </w:rPr>
        <w:t>ineering,</w:t>
      </w:r>
      <w:r w:rsidRPr="00877ED2">
        <w:rPr>
          <w:lang w:val="pt-BR"/>
        </w:rPr>
        <w:t xml:space="preserve"> 26(12), 1783–93.</w:t>
      </w:r>
    </w:p>
    <w:p w14:paraId="353C68D5" w14:textId="77777777" w:rsidR="00F7095D" w:rsidRPr="00877ED2" w:rsidRDefault="00F7095D" w:rsidP="00F7095D">
      <w:pPr>
        <w:pStyle w:val="CETReference-text"/>
        <w:rPr>
          <w:lang w:val="pt-BR"/>
        </w:rPr>
      </w:pPr>
      <w:r w:rsidRPr="00877ED2">
        <w:rPr>
          <w:lang w:val="pt-BR"/>
        </w:rPr>
        <w:t>Raad J.T., Pinheiro da C., Yoshida P.S, 2006, Equação geral de mecanismos cinéticos da carbonização do Eucalyptus spp, Universidade Federal de Lavras, Lavras, Brasil, CERNE, 12, 93-106.</w:t>
      </w:r>
    </w:p>
    <w:p w14:paraId="1030620D" w14:textId="1FB70225" w:rsidR="00D57178" w:rsidRPr="00877ED2" w:rsidRDefault="00D57178" w:rsidP="00D57178">
      <w:pPr>
        <w:pStyle w:val="CETReference-text"/>
        <w:rPr>
          <w:lang w:val="en-US"/>
        </w:rPr>
      </w:pPr>
      <w:r w:rsidRPr="00877ED2">
        <w:rPr>
          <w:lang w:val="en-US"/>
        </w:rPr>
        <w:t xml:space="preserve">Riegel, I. et al., 2008, Thermogravimetric analysis of the pyrolysis of Acacia mearnsii de Wild. harvested in Rio Grande do </w:t>
      </w:r>
      <w:r w:rsidR="006F2C44" w:rsidRPr="00877ED2">
        <w:rPr>
          <w:lang w:val="en-US"/>
        </w:rPr>
        <w:t xml:space="preserve">Sul, Brazil. Revista Árvore, </w:t>
      </w:r>
      <w:r w:rsidRPr="00877ED2">
        <w:rPr>
          <w:lang w:val="en-US"/>
        </w:rPr>
        <w:t>32, 533-543</w:t>
      </w:r>
      <w:r w:rsidR="006F2C44" w:rsidRPr="00877ED2">
        <w:rPr>
          <w:lang w:val="en-US"/>
        </w:rPr>
        <w:t>.</w:t>
      </w:r>
    </w:p>
    <w:p w14:paraId="698E7829" w14:textId="77777777" w:rsidR="00F7095D" w:rsidRPr="00877ED2" w:rsidRDefault="00F7095D" w:rsidP="00F7095D">
      <w:pPr>
        <w:pStyle w:val="CETReference-text"/>
        <w:rPr>
          <w:lang w:val="pt-BR"/>
        </w:rPr>
      </w:pPr>
      <w:r w:rsidRPr="00877ED2">
        <w:rPr>
          <w:lang w:val="en-US"/>
        </w:rPr>
        <w:t xml:space="preserve">Rosa M. De F.; Santos F.J. de S.; Montenegro A.A.T.; Abreu F.A.P. de; Correia D.; Araújo F.B.S. De; Norões E.R. de V., 2001, Characterization of the powder of the green coconut shell used as an agricultural substrate. </w:t>
      </w:r>
      <w:r w:rsidRPr="00877ED2">
        <w:rPr>
          <w:lang w:val="pt-BR"/>
        </w:rPr>
        <w:t>Fortaleza: Embrapa tropical agroindustry.</w:t>
      </w:r>
      <w:bookmarkStart w:id="0" w:name="_GoBack"/>
      <w:bookmarkEnd w:id="0"/>
    </w:p>
    <w:p w14:paraId="213A2527" w14:textId="796F69CD" w:rsidR="0009682D" w:rsidRPr="00877ED2" w:rsidRDefault="0009682D" w:rsidP="00F7095D">
      <w:pPr>
        <w:pStyle w:val="CETReference-text"/>
      </w:pPr>
      <w:r w:rsidRPr="00877ED2">
        <w:rPr>
          <w:lang w:val="pt-BR"/>
        </w:rPr>
        <w:t xml:space="preserve">Rueda-Ordóñez, Y.J., Tannous, K., 2016. </w:t>
      </w:r>
      <w:r w:rsidRPr="00877ED2">
        <w:t>Thermal decomposition of sugarcane straw, kinetics and heat of reaction in synthetic air. Bioresour. Technol. 211, 231–239.</w:t>
      </w:r>
    </w:p>
    <w:p w14:paraId="19A4B35C" w14:textId="7688056A" w:rsidR="00F7095D" w:rsidRPr="00877ED2" w:rsidRDefault="00F7095D" w:rsidP="00F7095D">
      <w:pPr>
        <w:pStyle w:val="CETReference-text"/>
        <w:rPr>
          <w:lang w:val="pt-BR"/>
        </w:rPr>
      </w:pPr>
      <w:r w:rsidRPr="00877ED2">
        <w:t xml:space="preserve">Schena T., 2015, Pyrolysis of coconut husk fiber: characterization of the bio-oil before and after the application of two breeding processes. </w:t>
      </w:r>
      <w:r w:rsidRPr="00877ED2">
        <w:rPr>
          <w:lang w:val="pt-BR"/>
        </w:rPr>
        <w:t>Federal University of Rio Grande do Sul, Rio Grande do Sul.</w:t>
      </w:r>
    </w:p>
    <w:p w14:paraId="5B44B5BB" w14:textId="27863790" w:rsidR="002E12D4" w:rsidRPr="00877ED2" w:rsidRDefault="002E12D4" w:rsidP="00DC7590">
      <w:pPr>
        <w:pStyle w:val="CETReferencetext"/>
        <w:rPr>
          <w:lang w:val="en-US"/>
        </w:rPr>
      </w:pPr>
      <w:r w:rsidRPr="00877ED2">
        <w:rPr>
          <w:lang w:val="en-US"/>
        </w:rPr>
        <w:t>Schwaab M., Biscaia Jr. E.C., Monteiro J.L., Pinto J.C., 2008, Nonlinear Parameter Estimation through Particle Swarm Optimization, Chemical Engineering Science, 63, 1542 – 1552.</w:t>
      </w:r>
    </w:p>
    <w:p w14:paraId="5E818A91" w14:textId="77777777" w:rsidR="00F7095D" w:rsidRPr="00877ED2" w:rsidRDefault="00F7095D" w:rsidP="00F7095D">
      <w:pPr>
        <w:pStyle w:val="CETReference-text"/>
      </w:pPr>
      <w:r w:rsidRPr="00877ED2">
        <w:t xml:space="preserve">Speyer R. F., 1994, Thermal Analysis of Materials – School of Materials Science and Engineering, Georgia Institute of Technology - Marcel Dekker, INC. New York. </w:t>
      </w:r>
    </w:p>
    <w:p w14:paraId="1C645B15" w14:textId="7541AAA3" w:rsidR="004628D2" w:rsidRPr="00877ED2" w:rsidRDefault="00F7095D" w:rsidP="00586376">
      <w:pPr>
        <w:pStyle w:val="CETReference-text"/>
      </w:pPr>
      <w:r w:rsidRPr="00877ED2">
        <w:t xml:space="preserve">Strubinger A.; Oliveros A.R.; Araque M.A.; Guerra J., 2017, Assessment of the Energy Recovery of Aloe Vera Solid Residues by Pyrolysis and Hydrothermal Conversion, </w:t>
      </w:r>
      <w:r w:rsidR="003B3804" w:rsidRPr="00877ED2">
        <w:t>Chemical Engineering Transactions</w:t>
      </w:r>
      <w:r w:rsidRPr="00877ED2">
        <w:t>, 57</w:t>
      </w:r>
      <w:r w:rsidR="003B3804" w:rsidRPr="00877ED2">
        <w:t>, 19-24</w:t>
      </w:r>
      <w:r w:rsidRPr="00877ED2">
        <w:t>.</w:t>
      </w:r>
    </w:p>
    <w:sectPr w:rsidR="004628D2" w:rsidRPr="00877E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8194B" w14:textId="77777777" w:rsidR="00504BA5" w:rsidRDefault="00504BA5" w:rsidP="004F5E36">
      <w:r>
        <w:separator/>
      </w:r>
    </w:p>
  </w:endnote>
  <w:endnote w:type="continuationSeparator" w:id="0">
    <w:p w14:paraId="2D06D977" w14:textId="77777777" w:rsidR="00504BA5" w:rsidRDefault="00504BA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7AEEA" w14:textId="77777777" w:rsidR="00504BA5" w:rsidRDefault="00504BA5" w:rsidP="004F5E36">
      <w:r>
        <w:separator/>
      </w:r>
    </w:p>
  </w:footnote>
  <w:footnote w:type="continuationSeparator" w:id="0">
    <w:p w14:paraId="59F9412A" w14:textId="77777777" w:rsidR="00504BA5" w:rsidRDefault="00504BA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4495855"/>
    <w:multiLevelType w:val="hybridMultilevel"/>
    <w:tmpl w:val="98848CA6"/>
    <w:lvl w:ilvl="0" w:tplc="D8C21FCE">
      <w:start w:val="1"/>
      <w:numFmt w:val="lowerLetter"/>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activeWritingStyle w:appName="MSWord" w:lang="en-US" w:vendorID="64" w:dllVersion="6" w:nlCheck="1" w:checkStyle="0"/>
  <w:activeWritingStyle w:appName="MSWord" w:lang="en-GB" w:vendorID="64" w:dllVersion="6" w:nlCheck="1" w:checkStyle="0"/>
  <w:activeWritingStyle w:appName="MSWord" w:lang="pt-BR" w:vendorID="64" w:dllVersion="6" w:nlCheck="1" w:checkStyle="0"/>
  <w:activeWritingStyle w:appName="MSWord" w:lang="en-GB" w:vendorID="64" w:dllVersion="0" w:nlCheck="1" w:checkStyle="0"/>
  <w:activeWritingStyle w:appName="MSWord" w:lang="pt-BR" w:vendorID="64" w:dllVersion="0" w:nlCheck="1" w:checkStyle="0"/>
  <w:activeWritingStyle w:appName="MSWord" w:lang="en-US" w:vendorID="64" w:dllVersion="0"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203C"/>
    <w:rsid w:val="0003148D"/>
    <w:rsid w:val="00046FA5"/>
    <w:rsid w:val="00047D7F"/>
    <w:rsid w:val="00051566"/>
    <w:rsid w:val="00062A9A"/>
    <w:rsid w:val="00063F97"/>
    <w:rsid w:val="00065058"/>
    <w:rsid w:val="00074A6A"/>
    <w:rsid w:val="00086C39"/>
    <w:rsid w:val="0009682D"/>
    <w:rsid w:val="000A03B2"/>
    <w:rsid w:val="000A3B79"/>
    <w:rsid w:val="000A640D"/>
    <w:rsid w:val="000B04D0"/>
    <w:rsid w:val="000C4E84"/>
    <w:rsid w:val="000C55A8"/>
    <w:rsid w:val="000D34BE"/>
    <w:rsid w:val="000D5DBC"/>
    <w:rsid w:val="000E102F"/>
    <w:rsid w:val="000E36F1"/>
    <w:rsid w:val="000E3A73"/>
    <w:rsid w:val="000E414A"/>
    <w:rsid w:val="000E5C1C"/>
    <w:rsid w:val="000E7B36"/>
    <w:rsid w:val="000F093C"/>
    <w:rsid w:val="000F16BD"/>
    <w:rsid w:val="000F4595"/>
    <w:rsid w:val="000F787B"/>
    <w:rsid w:val="0012091F"/>
    <w:rsid w:val="00126BC2"/>
    <w:rsid w:val="001308B6"/>
    <w:rsid w:val="0013121F"/>
    <w:rsid w:val="00131FAB"/>
    <w:rsid w:val="00131FE6"/>
    <w:rsid w:val="0013263F"/>
    <w:rsid w:val="00134DE4"/>
    <w:rsid w:val="0014034D"/>
    <w:rsid w:val="00143866"/>
    <w:rsid w:val="00150BEC"/>
    <w:rsid w:val="00150E59"/>
    <w:rsid w:val="00152DE3"/>
    <w:rsid w:val="00162642"/>
    <w:rsid w:val="00164CF9"/>
    <w:rsid w:val="00184AD6"/>
    <w:rsid w:val="0019277D"/>
    <w:rsid w:val="001B0349"/>
    <w:rsid w:val="001B65C1"/>
    <w:rsid w:val="001C684B"/>
    <w:rsid w:val="001D4F19"/>
    <w:rsid w:val="001D53FC"/>
    <w:rsid w:val="001D6FFE"/>
    <w:rsid w:val="001F42A5"/>
    <w:rsid w:val="001F7B9D"/>
    <w:rsid w:val="002224B4"/>
    <w:rsid w:val="00225A22"/>
    <w:rsid w:val="002260B2"/>
    <w:rsid w:val="00226C3F"/>
    <w:rsid w:val="002447EF"/>
    <w:rsid w:val="00244993"/>
    <w:rsid w:val="0025123F"/>
    <w:rsid w:val="00251550"/>
    <w:rsid w:val="00252C1A"/>
    <w:rsid w:val="00256586"/>
    <w:rsid w:val="00263B05"/>
    <w:rsid w:val="002704AA"/>
    <w:rsid w:val="0027221A"/>
    <w:rsid w:val="00275303"/>
    <w:rsid w:val="00275B61"/>
    <w:rsid w:val="00282656"/>
    <w:rsid w:val="00296B83"/>
    <w:rsid w:val="002B4D76"/>
    <w:rsid w:val="002B78CE"/>
    <w:rsid w:val="002C0DCB"/>
    <w:rsid w:val="002C2FB6"/>
    <w:rsid w:val="002D5BCD"/>
    <w:rsid w:val="002E12D4"/>
    <w:rsid w:val="002E6590"/>
    <w:rsid w:val="002F1717"/>
    <w:rsid w:val="003009B7"/>
    <w:rsid w:val="00300E56"/>
    <w:rsid w:val="003014A2"/>
    <w:rsid w:val="003021BA"/>
    <w:rsid w:val="0030469C"/>
    <w:rsid w:val="00321CA6"/>
    <w:rsid w:val="00325577"/>
    <w:rsid w:val="00334C09"/>
    <w:rsid w:val="003365E3"/>
    <w:rsid w:val="003401EA"/>
    <w:rsid w:val="003647CA"/>
    <w:rsid w:val="003710FE"/>
    <w:rsid w:val="00371316"/>
    <w:rsid w:val="003723D4"/>
    <w:rsid w:val="0037775E"/>
    <w:rsid w:val="00384CC8"/>
    <w:rsid w:val="003871FD"/>
    <w:rsid w:val="00391C92"/>
    <w:rsid w:val="003A1E30"/>
    <w:rsid w:val="003A7D1C"/>
    <w:rsid w:val="003B1A48"/>
    <w:rsid w:val="003B304B"/>
    <w:rsid w:val="003B3146"/>
    <w:rsid w:val="003B3804"/>
    <w:rsid w:val="003B60F3"/>
    <w:rsid w:val="003C5B95"/>
    <w:rsid w:val="003D1274"/>
    <w:rsid w:val="003F015E"/>
    <w:rsid w:val="00400414"/>
    <w:rsid w:val="0041149D"/>
    <w:rsid w:val="0041446B"/>
    <w:rsid w:val="00426F24"/>
    <w:rsid w:val="00430CD6"/>
    <w:rsid w:val="00440661"/>
    <w:rsid w:val="0044329C"/>
    <w:rsid w:val="00451B4E"/>
    <w:rsid w:val="00454E95"/>
    <w:rsid w:val="004577FE"/>
    <w:rsid w:val="00457B9C"/>
    <w:rsid w:val="0046164A"/>
    <w:rsid w:val="004628D2"/>
    <w:rsid w:val="00462DCD"/>
    <w:rsid w:val="004648AD"/>
    <w:rsid w:val="00466204"/>
    <w:rsid w:val="004703A9"/>
    <w:rsid w:val="004760DE"/>
    <w:rsid w:val="00492730"/>
    <w:rsid w:val="004A004E"/>
    <w:rsid w:val="004A24CF"/>
    <w:rsid w:val="004B6721"/>
    <w:rsid w:val="004C094E"/>
    <w:rsid w:val="004C3D1D"/>
    <w:rsid w:val="004C7913"/>
    <w:rsid w:val="004D66D6"/>
    <w:rsid w:val="004E4DD6"/>
    <w:rsid w:val="004E7C17"/>
    <w:rsid w:val="004E7DB4"/>
    <w:rsid w:val="004F5E36"/>
    <w:rsid w:val="00504BA5"/>
    <w:rsid w:val="00505E59"/>
    <w:rsid w:val="00507B47"/>
    <w:rsid w:val="00507CC9"/>
    <w:rsid w:val="005119A5"/>
    <w:rsid w:val="00514264"/>
    <w:rsid w:val="005144FC"/>
    <w:rsid w:val="0051517E"/>
    <w:rsid w:val="0052100E"/>
    <w:rsid w:val="005278B7"/>
    <w:rsid w:val="00532016"/>
    <w:rsid w:val="005346C8"/>
    <w:rsid w:val="00543E7D"/>
    <w:rsid w:val="00546B05"/>
    <w:rsid w:val="00547A68"/>
    <w:rsid w:val="005531C9"/>
    <w:rsid w:val="0057171D"/>
    <w:rsid w:val="00577017"/>
    <w:rsid w:val="00577690"/>
    <w:rsid w:val="00586376"/>
    <w:rsid w:val="005B2110"/>
    <w:rsid w:val="005B3127"/>
    <w:rsid w:val="005B61E6"/>
    <w:rsid w:val="005C101A"/>
    <w:rsid w:val="005C3FBC"/>
    <w:rsid w:val="005C77E1"/>
    <w:rsid w:val="005D6A2F"/>
    <w:rsid w:val="005E1A82"/>
    <w:rsid w:val="005E4C9A"/>
    <w:rsid w:val="005E794C"/>
    <w:rsid w:val="005F0A28"/>
    <w:rsid w:val="005F0E5E"/>
    <w:rsid w:val="00600535"/>
    <w:rsid w:val="00610CD6"/>
    <w:rsid w:val="00611FE4"/>
    <w:rsid w:val="00620DEE"/>
    <w:rsid w:val="00621582"/>
    <w:rsid w:val="00621F92"/>
    <w:rsid w:val="00625639"/>
    <w:rsid w:val="006273E7"/>
    <w:rsid w:val="00631B33"/>
    <w:rsid w:val="0064184D"/>
    <w:rsid w:val="006422CC"/>
    <w:rsid w:val="006450DC"/>
    <w:rsid w:val="0064782A"/>
    <w:rsid w:val="00657D08"/>
    <w:rsid w:val="00660E3E"/>
    <w:rsid w:val="00662E74"/>
    <w:rsid w:val="00667CD3"/>
    <w:rsid w:val="00680C23"/>
    <w:rsid w:val="0069022D"/>
    <w:rsid w:val="0069221C"/>
    <w:rsid w:val="00693766"/>
    <w:rsid w:val="006970CD"/>
    <w:rsid w:val="006A3281"/>
    <w:rsid w:val="006A7DE6"/>
    <w:rsid w:val="006B4888"/>
    <w:rsid w:val="006B6FE8"/>
    <w:rsid w:val="006C2E45"/>
    <w:rsid w:val="006C359C"/>
    <w:rsid w:val="006C4137"/>
    <w:rsid w:val="006C5579"/>
    <w:rsid w:val="006D1E7E"/>
    <w:rsid w:val="006E12B6"/>
    <w:rsid w:val="006E2323"/>
    <w:rsid w:val="006E487D"/>
    <w:rsid w:val="006E737D"/>
    <w:rsid w:val="006F2C44"/>
    <w:rsid w:val="0070195D"/>
    <w:rsid w:val="007160FE"/>
    <w:rsid w:val="00720A24"/>
    <w:rsid w:val="00732386"/>
    <w:rsid w:val="007447F3"/>
    <w:rsid w:val="00751A80"/>
    <w:rsid w:val="0075250B"/>
    <w:rsid w:val="0075499F"/>
    <w:rsid w:val="00754EF6"/>
    <w:rsid w:val="007630CD"/>
    <w:rsid w:val="007661C8"/>
    <w:rsid w:val="0077098D"/>
    <w:rsid w:val="00776AB7"/>
    <w:rsid w:val="00786A9A"/>
    <w:rsid w:val="007931FA"/>
    <w:rsid w:val="00797BF5"/>
    <w:rsid w:val="007A5CD0"/>
    <w:rsid w:val="007A7BBA"/>
    <w:rsid w:val="007B0C50"/>
    <w:rsid w:val="007C1A43"/>
    <w:rsid w:val="007E1DC6"/>
    <w:rsid w:val="008013E4"/>
    <w:rsid w:val="00805295"/>
    <w:rsid w:val="00812CC2"/>
    <w:rsid w:val="00813288"/>
    <w:rsid w:val="008168FC"/>
    <w:rsid w:val="008208A1"/>
    <w:rsid w:val="00830996"/>
    <w:rsid w:val="008345F1"/>
    <w:rsid w:val="00846EE3"/>
    <w:rsid w:val="0085292F"/>
    <w:rsid w:val="008531A6"/>
    <w:rsid w:val="00856ACA"/>
    <w:rsid w:val="00865B07"/>
    <w:rsid w:val="008667EA"/>
    <w:rsid w:val="0087637F"/>
    <w:rsid w:val="00877ED2"/>
    <w:rsid w:val="008904B9"/>
    <w:rsid w:val="00892AD5"/>
    <w:rsid w:val="008A1512"/>
    <w:rsid w:val="008A3821"/>
    <w:rsid w:val="008B392B"/>
    <w:rsid w:val="008C1090"/>
    <w:rsid w:val="008C129F"/>
    <w:rsid w:val="008C343D"/>
    <w:rsid w:val="008C42D5"/>
    <w:rsid w:val="008C78C1"/>
    <w:rsid w:val="008D32B9"/>
    <w:rsid w:val="008D433B"/>
    <w:rsid w:val="008E566E"/>
    <w:rsid w:val="008E5C1B"/>
    <w:rsid w:val="008F0168"/>
    <w:rsid w:val="0090161A"/>
    <w:rsid w:val="00901EB6"/>
    <w:rsid w:val="00904C62"/>
    <w:rsid w:val="00911B7B"/>
    <w:rsid w:val="00924DAC"/>
    <w:rsid w:val="00926E32"/>
    <w:rsid w:val="00927058"/>
    <w:rsid w:val="00927BAF"/>
    <w:rsid w:val="009450CE"/>
    <w:rsid w:val="00947179"/>
    <w:rsid w:val="0095164B"/>
    <w:rsid w:val="00954090"/>
    <w:rsid w:val="009573E7"/>
    <w:rsid w:val="00962418"/>
    <w:rsid w:val="009635B9"/>
    <w:rsid w:val="00963E05"/>
    <w:rsid w:val="00967D54"/>
    <w:rsid w:val="00996483"/>
    <w:rsid w:val="00996F5A"/>
    <w:rsid w:val="009A0A3E"/>
    <w:rsid w:val="009B041A"/>
    <w:rsid w:val="009B482E"/>
    <w:rsid w:val="009C35CB"/>
    <w:rsid w:val="009C7C86"/>
    <w:rsid w:val="009D2FF7"/>
    <w:rsid w:val="009E7884"/>
    <w:rsid w:val="009E788A"/>
    <w:rsid w:val="009F0E08"/>
    <w:rsid w:val="009F22D0"/>
    <w:rsid w:val="00A1763D"/>
    <w:rsid w:val="00A17CEC"/>
    <w:rsid w:val="00A25B66"/>
    <w:rsid w:val="00A27EF0"/>
    <w:rsid w:val="00A27FB3"/>
    <w:rsid w:val="00A4623D"/>
    <w:rsid w:val="00A50B20"/>
    <w:rsid w:val="00A51390"/>
    <w:rsid w:val="00A53C5B"/>
    <w:rsid w:val="00A60D13"/>
    <w:rsid w:val="00A6127E"/>
    <w:rsid w:val="00A657BA"/>
    <w:rsid w:val="00A72745"/>
    <w:rsid w:val="00A76EFC"/>
    <w:rsid w:val="00A91010"/>
    <w:rsid w:val="00A97F29"/>
    <w:rsid w:val="00AA702E"/>
    <w:rsid w:val="00AA7B10"/>
    <w:rsid w:val="00AB0964"/>
    <w:rsid w:val="00AB5011"/>
    <w:rsid w:val="00AB7644"/>
    <w:rsid w:val="00AC073C"/>
    <w:rsid w:val="00AC7368"/>
    <w:rsid w:val="00AD16B9"/>
    <w:rsid w:val="00AE377D"/>
    <w:rsid w:val="00AF4B30"/>
    <w:rsid w:val="00B01359"/>
    <w:rsid w:val="00B0274E"/>
    <w:rsid w:val="00B059DE"/>
    <w:rsid w:val="00B06B43"/>
    <w:rsid w:val="00B17FBD"/>
    <w:rsid w:val="00B20B36"/>
    <w:rsid w:val="00B315A6"/>
    <w:rsid w:val="00B31813"/>
    <w:rsid w:val="00B33365"/>
    <w:rsid w:val="00B35DAF"/>
    <w:rsid w:val="00B3782B"/>
    <w:rsid w:val="00B46ED2"/>
    <w:rsid w:val="00B57B36"/>
    <w:rsid w:val="00B8686D"/>
    <w:rsid w:val="00BA7DB7"/>
    <w:rsid w:val="00BB1E87"/>
    <w:rsid w:val="00BB37F6"/>
    <w:rsid w:val="00BC30C9"/>
    <w:rsid w:val="00BE292C"/>
    <w:rsid w:val="00BE3E58"/>
    <w:rsid w:val="00BF03DA"/>
    <w:rsid w:val="00C01616"/>
    <w:rsid w:val="00C0162B"/>
    <w:rsid w:val="00C176B0"/>
    <w:rsid w:val="00C215D8"/>
    <w:rsid w:val="00C345B1"/>
    <w:rsid w:val="00C36ABD"/>
    <w:rsid w:val="00C40142"/>
    <w:rsid w:val="00C546E8"/>
    <w:rsid w:val="00C57182"/>
    <w:rsid w:val="00C57863"/>
    <w:rsid w:val="00C57A84"/>
    <w:rsid w:val="00C655FD"/>
    <w:rsid w:val="00C76F30"/>
    <w:rsid w:val="00C870A8"/>
    <w:rsid w:val="00C91254"/>
    <w:rsid w:val="00C92F8D"/>
    <w:rsid w:val="00C94434"/>
    <w:rsid w:val="00CA0D75"/>
    <w:rsid w:val="00CA1C95"/>
    <w:rsid w:val="00CA5A9C"/>
    <w:rsid w:val="00CB71D7"/>
    <w:rsid w:val="00CB7C91"/>
    <w:rsid w:val="00CC05E5"/>
    <w:rsid w:val="00CC7E24"/>
    <w:rsid w:val="00CD2353"/>
    <w:rsid w:val="00CD3517"/>
    <w:rsid w:val="00CD5A00"/>
    <w:rsid w:val="00CD5FE2"/>
    <w:rsid w:val="00CE7C68"/>
    <w:rsid w:val="00D02B4C"/>
    <w:rsid w:val="00D040C4"/>
    <w:rsid w:val="00D10CBD"/>
    <w:rsid w:val="00D1125F"/>
    <w:rsid w:val="00D57178"/>
    <w:rsid w:val="00D57C84"/>
    <w:rsid w:val="00D6057D"/>
    <w:rsid w:val="00D64F6A"/>
    <w:rsid w:val="00D709BC"/>
    <w:rsid w:val="00D84576"/>
    <w:rsid w:val="00D84E47"/>
    <w:rsid w:val="00D91595"/>
    <w:rsid w:val="00D94305"/>
    <w:rsid w:val="00D952F4"/>
    <w:rsid w:val="00DA1399"/>
    <w:rsid w:val="00DA24C6"/>
    <w:rsid w:val="00DA3453"/>
    <w:rsid w:val="00DA4D7B"/>
    <w:rsid w:val="00DB1DD2"/>
    <w:rsid w:val="00DC7590"/>
    <w:rsid w:val="00DE234C"/>
    <w:rsid w:val="00DE264A"/>
    <w:rsid w:val="00DF6790"/>
    <w:rsid w:val="00E02D18"/>
    <w:rsid w:val="00E041E7"/>
    <w:rsid w:val="00E23CA1"/>
    <w:rsid w:val="00E2413E"/>
    <w:rsid w:val="00E26995"/>
    <w:rsid w:val="00E409A8"/>
    <w:rsid w:val="00E47905"/>
    <w:rsid w:val="00E50C12"/>
    <w:rsid w:val="00E52D12"/>
    <w:rsid w:val="00E65B91"/>
    <w:rsid w:val="00E7209D"/>
    <w:rsid w:val="00E77223"/>
    <w:rsid w:val="00E8528B"/>
    <w:rsid w:val="00E85B94"/>
    <w:rsid w:val="00E9064D"/>
    <w:rsid w:val="00E95970"/>
    <w:rsid w:val="00E978D0"/>
    <w:rsid w:val="00EA4613"/>
    <w:rsid w:val="00EA7F91"/>
    <w:rsid w:val="00EB1523"/>
    <w:rsid w:val="00EB3582"/>
    <w:rsid w:val="00EC0E49"/>
    <w:rsid w:val="00EE0131"/>
    <w:rsid w:val="00F155B2"/>
    <w:rsid w:val="00F2034C"/>
    <w:rsid w:val="00F2314A"/>
    <w:rsid w:val="00F30C64"/>
    <w:rsid w:val="00F32CDB"/>
    <w:rsid w:val="00F35B68"/>
    <w:rsid w:val="00F43686"/>
    <w:rsid w:val="00F533F4"/>
    <w:rsid w:val="00F60E3E"/>
    <w:rsid w:val="00F63A70"/>
    <w:rsid w:val="00F7095D"/>
    <w:rsid w:val="00F710D3"/>
    <w:rsid w:val="00F778AB"/>
    <w:rsid w:val="00FA21D0"/>
    <w:rsid w:val="00FA5F5F"/>
    <w:rsid w:val="00FB14BD"/>
    <w:rsid w:val="00FB730C"/>
    <w:rsid w:val="00FC2695"/>
    <w:rsid w:val="00FC3E03"/>
    <w:rsid w:val="00FC3FC1"/>
    <w:rsid w:val="00FD64B7"/>
    <w:rsid w:val="00FF3F2B"/>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9BF93"/>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uiPriority w:val="99"/>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grafodaLista">
    <w:name w:val="List Paragraph"/>
    <w:basedOn w:val="Normal"/>
    <w:uiPriority w:val="34"/>
    <w:qFormat/>
    <w:rsid w:val="00754EF6"/>
    <w:pPr>
      <w:ind w:left="720"/>
      <w:contextualSpacing/>
    </w:pPr>
  </w:style>
  <w:style w:type="paragraph" w:customStyle="1" w:styleId="CETReference-text">
    <w:name w:val="CET Reference-text"/>
    <w:rsid w:val="00F7095D"/>
    <w:pPr>
      <w:spacing w:after="0" w:line="264" w:lineRule="auto"/>
      <w:ind w:left="284" w:hanging="284"/>
      <w:jc w:val="both"/>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5875">
      <w:bodyDiv w:val="1"/>
      <w:marLeft w:val="0"/>
      <w:marRight w:val="0"/>
      <w:marTop w:val="0"/>
      <w:marBottom w:val="0"/>
      <w:divBdr>
        <w:top w:val="none" w:sz="0" w:space="0" w:color="auto"/>
        <w:left w:val="none" w:sz="0" w:space="0" w:color="auto"/>
        <w:bottom w:val="none" w:sz="0" w:space="0" w:color="auto"/>
        <w:right w:val="none" w:sz="0" w:space="0" w:color="auto"/>
      </w:divBdr>
    </w:div>
    <w:div w:id="109059267">
      <w:bodyDiv w:val="1"/>
      <w:marLeft w:val="0"/>
      <w:marRight w:val="0"/>
      <w:marTop w:val="0"/>
      <w:marBottom w:val="0"/>
      <w:divBdr>
        <w:top w:val="none" w:sz="0" w:space="0" w:color="auto"/>
        <w:left w:val="none" w:sz="0" w:space="0" w:color="auto"/>
        <w:bottom w:val="none" w:sz="0" w:space="0" w:color="auto"/>
        <w:right w:val="none" w:sz="0" w:space="0" w:color="auto"/>
      </w:divBdr>
    </w:div>
    <w:div w:id="116412817">
      <w:bodyDiv w:val="1"/>
      <w:marLeft w:val="0"/>
      <w:marRight w:val="0"/>
      <w:marTop w:val="0"/>
      <w:marBottom w:val="0"/>
      <w:divBdr>
        <w:top w:val="none" w:sz="0" w:space="0" w:color="auto"/>
        <w:left w:val="none" w:sz="0" w:space="0" w:color="auto"/>
        <w:bottom w:val="none" w:sz="0" w:space="0" w:color="auto"/>
        <w:right w:val="none" w:sz="0" w:space="0" w:color="auto"/>
      </w:divBdr>
      <w:divsChild>
        <w:div w:id="901601553">
          <w:marLeft w:val="0"/>
          <w:marRight w:val="0"/>
          <w:marTop w:val="0"/>
          <w:marBottom w:val="0"/>
          <w:divBdr>
            <w:top w:val="none" w:sz="0" w:space="0" w:color="auto"/>
            <w:left w:val="none" w:sz="0" w:space="0" w:color="auto"/>
            <w:bottom w:val="none" w:sz="0" w:space="0" w:color="auto"/>
            <w:right w:val="none" w:sz="0" w:space="0" w:color="auto"/>
          </w:divBdr>
        </w:div>
        <w:div w:id="2080518983">
          <w:marLeft w:val="0"/>
          <w:marRight w:val="0"/>
          <w:marTop w:val="0"/>
          <w:marBottom w:val="0"/>
          <w:divBdr>
            <w:top w:val="none" w:sz="0" w:space="0" w:color="auto"/>
            <w:left w:val="none" w:sz="0" w:space="0" w:color="auto"/>
            <w:bottom w:val="none" w:sz="0" w:space="0" w:color="auto"/>
            <w:right w:val="none" w:sz="0" w:space="0" w:color="auto"/>
          </w:divBdr>
        </w:div>
        <w:div w:id="1195315520">
          <w:marLeft w:val="0"/>
          <w:marRight w:val="0"/>
          <w:marTop w:val="0"/>
          <w:marBottom w:val="0"/>
          <w:divBdr>
            <w:top w:val="none" w:sz="0" w:space="0" w:color="auto"/>
            <w:left w:val="none" w:sz="0" w:space="0" w:color="auto"/>
            <w:bottom w:val="none" w:sz="0" w:space="0" w:color="auto"/>
            <w:right w:val="none" w:sz="0" w:space="0" w:color="auto"/>
          </w:divBdr>
        </w:div>
        <w:div w:id="1345941403">
          <w:marLeft w:val="0"/>
          <w:marRight w:val="0"/>
          <w:marTop w:val="0"/>
          <w:marBottom w:val="0"/>
          <w:divBdr>
            <w:top w:val="none" w:sz="0" w:space="0" w:color="auto"/>
            <w:left w:val="none" w:sz="0" w:space="0" w:color="auto"/>
            <w:bottom w:val="none" w:sz="0" w:space="0" w:color="auto"/>
            <w:right w:val="none" w:sz="0" w:space="0" w:color="auto"/>
          </w:divBdr>
        </w:div>
        <w:div w:id="903687864">
          <w:marLeft w:val="0"/>
          <w:marRight w:val="0"/>
          <w:marTop w:val="0"/>
          <w:marBottom w:val="0"/>
          <w:divBdr>
            <w:top w:val="none" w:sz="0" w:space="0" w:color="auto"/>
            <w:left w:val="none" w:sz="0" w:space="0" w:color="auto"/>
            <w:bottom w:val="none" w:sz="0" w:space="0" w:color="auto"/>
            <w:right w:val="none" w:sz="0" w:space="0" w:color="auto"/>
          </w:divBdr>
        </w:div>
        <w:div w:id="1830713840">
          <w:marLeft w:val="0"/>
          <w:marRight w:val="0"/>
          <w:marTop w:val="0"/>
          <w:marBottom w:val="0"/>
          <w:divBdr>
            <w:top w:val="none" w:sz="0" w:space="0" w:color="auto"/>
            <w:left w:val="none" w:sz="0" w:space="0" w:color="auto"/>
            <w:bottom w:val="none" w:sz="0" w:space="0" w:color="auto"/>
            <w:right w:val="none" w:sz="0" w:space="0" w:color="auto"/>
          </w:divBdr>
        </w:div>
        <w:div w:id="262421845">
          <w:marLeft w:val="0"/>
          <w:marRight w:val="0"/>
          <w:marTop w:val="0"/>
          <w:marBottom w:val="0"/>
          <w:divBdr>
            <w:top w:val="none" w:sz="0" w:space="0" w:color="auto"/>
            <w:left w:val="none" w:sz="0" w:space="0" w:color="auto"/>
            <w:bottom w:val="none" w:sz="0" w:space="0" w:color="auto"/>
            <w:right w:val="none" w:sz="0" w:space="0" w:color="auto"/>
          </w:divBdr>
        </w:div>
        <w:div w:id="177041006">
          <w:marLeft w:val="0"/>
          <w:marRight w:val="0"/>
          <w:marTop w:val="0"/>
          <w:marBottom w:val="0"/>
          <w:divBdr>
            <w:top w:val="none" w:sz="0" w:space="0" w:color="auto"/>
            <w:left w:val="none" w:sz="0" w:space="0" w:color="auto"/>
            <w:bottom w:val="none" w:sz="0" w:space="0" w:color="auto"/>
            <w:right w:val="none" w:sz="0" w:space="0" w:color="auto"/>
          </w:divBdr>
        </w:div>
        <w:div w:id="465707578">
          <w:marLeft w:val="0"/>
          <w:marRight w:val="0"/>
          <w:marTop w:val="0"/>
          <w:marBottom w:val="0"/>
          <w:divBdr>
            <w:top w:val="none" w:sz="0" w:space="0" w:color="auto"/>
            <w:left w:val="none" w:sz="0" w:space="0" w:color="auto"/>
            <w:bottom w:val="none" w:sz="0" w:space="0" w:color="auto"/>
            <w:right w:val="none" w:sz="0" w:space="0" w:color="auto"/>
          </w:divBdr>
        </w:div>
        <w:div w:id="420377624">
          <w:marLeft w:val="0"/>
          <w:marRight w:val="0"/>
          <w:marTop w:val="0"/>
          <w:marBottom w:val="0"/>
          <w:divBdr>
            <w:top w:val="none" w:sz="0" w:space="0" w:color="auto"/>
            <w:left w:val="none" w:sz="0" w:space="0" w:color="auto"/>
            <w:bottom w:val="none" w:sz="0" w:space="0" w:color="auto"/>
            <w:right w:val="none" w:sz="0" w:space="0" w:color="auto"/>
          </w:divBdr>
        </w:div>
        <w:div w:id="1639459324">
          <w:marLeft w:val="0"/>
          <w:marRight w:val="0"/>
          <w:marTop w:val="0"/>
          <w:marBottom w:val="0"/>
          <w:divBdr>
            <w:top w:val="none" w:sz="0" w:space="0" w:color="auto"/>
            <w:left w:val="none" w:sz="0" w:space="0" w:color="auto"/>
            <w:bottom w:val="none" w:sz="0" w:space="0" w:color="auto"/>
            <w:right w:val="none" w:sz="0" w:space="0" w:color="auto"/>
          </w:divBdr>
        </w:div>
        <w:div w:id="837618956">
          <w:marLeft w:val="0"/>
          <w:marRight w:val="0"/>
          <w:marTop w:val="0"/>
          <w:marBottom w:val="0"/>
          <w:divBdr>
            <w:top w:val="none" w:sz="0" w:space="0" w:color="auto"/>
            <w:left w:val="none" w:sz="0" w:space="0" w:color="auto"/>
            <w:bottom w:val="none" w:sz="0" w:space="0" w:color="auto"/>
            <w:right w:val="none" w:sz="0" w:space="0" w:color="auto"/>
          </w:divBdr>
        </w:div>
        <w:div w:id="3556619">
          <w:marLeft w:val="0"/>
          <w:marRight w:val="0"/>
          <w:marTop w:val="0"/>
          <w:marBottom w:val="0"/>
          <w:divBdr>
            <w:top w:val="none" w:sz="0" w:space="0" w:color="auto"/>
            <w:left w:val="none" w:sz="0" w:space="0" w:color="auto"/>
            <w:bottom w:val="none" w:sz="0" w:space="0" w:color="auto"/>
            <w:right w:val="none" w:sz="0" w:space="0" w:color="auto"/>
          </w:divBdr>
        </w:div>
        <w:div w:id="1080830435">
          <w:marLeft w:val="0"/>
          <w:marRight w:val="0"/>
          <w:marTop w:val="0"/>
          <w:marBottom w:val="0"/>
          <w:divBdr>
            <w:top w:val="none" w:sz="0" w:space="0" w:color="auto"/>
            <w:left w:val="none" w:sz="0" w:space="0" w:color="auto"/>
            <w:bottom w:val="none" w:sz="0" w:space="0" w:color="auto"/>
            <w:right w:val="none" w:sz="0" w:space="0" w:color="auto"/>
          </w:divBdr>
        </w:div>
      </w:divsChild>
    </w:div>
    <w:div w:id="163208746">
      <w:bodyDiv w:val="1"/>
      <w:marLeft w:val="0"/>
      <w:marRight w:val="0"/>
      <w:marTop w:val="0"/>
      <w:marBottom w:val="0"/>
      <w:divBdr>
        <w:top w:val="none" w:sz="0" w:space="0" w:color="auto"/>
        <w:left w:val="none" w:sz="0" w:space="0" w:color="auto"/>
        <w:bottom w:val="none" w:sz="0" w:space="0" w:color="auto"/>
        <w:right w:val="none" w:sz="0" w:space="0" w:color="auto"/>
      </w:divBdr>
    </w:div>
    <w:div w:id="178541908">
      <w:bodyDiv w:val="1"/>
      <w:marLeft w:val="0"/>
      <w:marRight w:val="0"/>
      <w:marTop w:val="0"/>
      <w:marBottom w:val="0"/>
      <w:divBdr>
        <w:top w:val="none" w:sz="0" w:space="0" w:color="auto"/>
        <w:left w:val="none" w:sz="0" w:space="0" w:color="auto"/>
        <w:bottom w:val="none" w:sz="0" w:space="0" w:color="auto"/>
        <w:right w:val="none" w:sz="0" w:space="0" w:color="auto"/>
      </w:divBdr>
    </w:div>
    <w:div w:id="195119540">
      <w:bodyDiv w:val="1"/>
      <w:marLeft w:val="0"/>
      <w:marRight w:val="0"/>
      <w:marTop w:val="0"/>
      <w:marBottom w:val="0"/>
      <w:divBdr>
        <w:top w:val="none" w:sz="0" w:space="0" w:color="auto"/>
        <w:left w:val="none" w:sz="0" w:space="0" w:color="auto"/>
        <w:bottom w:val="none" w:sz="0" w:space="0" w:color="auto"/>
        <w:right w:val="none" w:sz="0" w:space="0" w:color="auto"/>
      </w:divBdr>
    </w:div>
    <w:div w:id="240992680">
      <w:bodyDiv w:val="1"/>
      <w:marLeft w:val="0"/>
      <w:marRight w:val="0"/>
      <w:marTop w:val="0"/>
      <w:marBottom w:val="0"/>
      <w:divBdr>
        <w:top w:val="none" w:sz="0" w:space="0" w:color="auto"/>
        <w:left w:val="none" w:sz="0" w:space="0" w:color="auto"/>
        <w:bottom w:val="none" w:sz="0" w:space="0" w:color="auto"/>
        <w:right w:val="none" w:sz="0" w:space="0" w:color="auto"/>
      </w:divBdr>
    </w:div>
    <w:div w:id="295917740">
      <w:bodyDiv w:val="1"/>
      <w:marLeft w:val="0"/>
      <w:marRight w:val="0"/>
      <w:marTop w:val="0"/>
      <w:marBottom w:val="0"/>
      <w:divBdr>
        <w:top w:val="none" w:sz="0" w:space="0" w:color="auto"/>
        <w:left w:val="none" w:sz="0" w:space="0" w:color="auto"/>
        <w:bottom w:val="none" w:sz="0" w:space="0" w:color="auto"/>
        <w:right w:val="none" w:sz="0" w:space="0" w:color="auto"/>
      </w:divBdr>
    </w:div>
    <w:div w:id="391079299">
      <w:bodyDiv w:val="1"/>
      <w:marLeft w:val="0"/>
      <w:marRight w:val="0"/>
      <w:marTop w:val="0"/>
      <w:marBottom w:val="0"/>
      <w:divBdr>
        <w:top w:val="none" w:sz="0" w:space="0" w:color="auto"/>
        <w:left w:val="none" w:sz="0" w:space="0" w:color="auto"/>
        <w:bottom w:val="none" w:sz="0" w:space="0" w:color="auto"/>
        <w:right w:val="none" w:sz="0" w:space="0" w:color="auto"/>
      </w:divBdr>
    </w:div>
    <w:div w:id="60761654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339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6927">
      <w:bodyDiv w:val="1"/>
      <w:marLeft w:val="0"/>
      <w:marRight w:val="0"/>
      <w:marTop w:val="0"/>
      <w:marBottom w:val="0"/>
      <w:divBdr>
        <w:top w:val="none" w:sz="0" w:space="0" w:color="auto"/>
        <w:left w:val="none" w:sz="0" w:space="0" w:color="auto"/>
        <w:bottom w:val="none" w:sz="0" w:space="0" w:color="auto"/>
        <w:right w:val="none" w:sz="0" w:space="0" w:color="auto"/>
      </w:divBdr>
    </w:div>
    <w:div w:id="1207837509">
      <w:bodyDiv w:val="1"/>
      <w:marLeft w:val="0"/>
      <w:marRight w:val="0"/>
      <w:marTop w:val="0"/>
      <w:marBottom w:val="0"/>
      <w:divBdr>
        <w:top w:val="none" w:sz="0" w:space="0" w:color="auto"/>
        <w:left w:val="none" w:sz="0" w:space="0" w:color="auto"/>
        <w:bottom w:val="none" w:sz="0" w:space="0" w:color="auto"/>
        <w:right w:val="none" w:sz="0" w:space="0" w:color="auto"/>
      </w:divBdr>
    </w:div>
    <w:div w:id="1384065953">
      <w:bodyDiv w:val="1"/>
      <w:marLeft w:val="0"/>
      <w:marRight w:val="0"/>
      <w:marTop w:val="0"/>
      <w:marBottom w:val="0"/>
      <w:divBdr>
        <w:top w:val="none" w:sz="0" w:space="0" w:color="auto"/>
        <w:left w:val="none" w:sz="0" w:space="0" w:color="auto"/>
        <w:bottom w:val="none" w:sz="0" w:space="0" w:color="auto"/>
        <w:right w:val="none" w:sz="0" w:space="0" w:color="auto"/>
      </w:divBdr>
    </w:div>
    <w:div w:id="145001041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2202">
      <w:bodyDiv w:val="1"/>
      <w:marLeft w:val="0"/>
      <w:marRight w:val="0"/>
      <w:marTop w:val="0"/>
      <w:marBottom w:val="0"/>
      <w:divBdr>
        <w:top w:val="none" w:sz="0" w:space="0" w:color="auto"/>
        <w:left w:val="none" w:sz="0" w:space="0" w:color="auto"/>
        <w:bottom w:val="none" w:sz="0" w:space="0" w:color="auto"/>
        <w:right w:val="none" w:sz="0" w:space="0" w:color="auto"/>
      </w:divBdr>
    </w:div>
    <w:div w:id="1757896035">
      <w:bodyDiv w:val="1"/>
      <w:marLeft w:val="0"/>
      <w:marRight w:val="0"/>
      <w:marTop w:val="0"/>
      <w:marBottom w:val="0"/>
      <w:divBdr>
        <w:top w:val="none" w:sz="0" w:space="0" w:color="auto"/>
        <w:left w:val="none" w:sz="0" w:space="0" w:color="auto"/>
        <w:bottom w:val="none" w:sz="0" w:space="0" w:color="auto"/>
        <w:right w:val="none" w:sz="0" w:space="0" w:color="auto"/>
      </w:divBdr>
    </w:div>
    <w:div w:id="1841769802">
      <w:bodyDiv w:val="1"/>
      <w:marLeft w:val="0"/>
      <w:marRight w:val="0"/>
      <w:marTop w:val="0"/>
      <w:marBottom w:val="0"/>
      <w:divBdr>
        <w:top w:val="none" w:sz="0" w:space="0" w:color="auto"/>
        <w:left w:val="none" w:sz="0" w:space="0" w:color="auto"/>
        <w:bottom w:val="none" w:sz="0" w:space="0" w:color="auto"/>
        <w:right w:val="none" w:sz="0" w:space="0" w:color="auto"/>
      </w:divBdr>
    </w:div>
    <w:div w:id="200620717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EC7C-54D2-4D82-A991-6537B28C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3826</Words>
  <Characters>20666</Characters>
  <Application>Microsoft Office Word</Application>
  <DocSecurity>0</DocSecurity>
  <Lines>172</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Dipartimento CMIC - Politecnico di Milano</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Isabelle Cunha</cp:lastModifiedBy>
  <cp:revision>3</cp:revision>
  <cp:lastPrinted>2015-05-12T18:31:00Z</cp:lastPrinted>
  <dcterms:created xsi:type="dcterms:W3CDTF">2019-04-04T15:00:00Z</dcterms:created>
  <dcterms:modified xsi:type="dcterms:W3CDTF">2019-04-15T21:02:00Z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