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BB6631" w:rsidRPr="00BB6631">
        <w:trPr>
          <w:trHeight w:val="852"/>
          <w:jc w:val="center"/>
        </w:trPr>
        <w:tc>
          <w:tcPr>
            <w:tcW w:w="6946" w:type="dxa"/>
            <w:vMerge w:val="restart"/>
            <w:tcBorders>
              <w:right w:val="single" w:sz="4" w:space="0" w:color="auto"/>
            </w:tcBorders>
          </w:tcPr>
          <w:p w:rsidR="000A03B2" w:rsidRPr="00BB6631" w:rsidRDefault="000A03B2" w:rsidP="00DE264A">
            <w:pPr>
              <w:tabs>
                <w:tab w:val="left" w:pos="-108"/>
              </w:tabs>
              <w:ind w:left="-108"/>
              <w:jc w:val="left"/>
              <w:rPr>
                <w:rFonts w:cs="Arial"/>
                <w:b/>
                <w:bCs/>
                <w:i/>
                <w:iCs/>
                <w:sz w:val="12"/>
                <w:szCs w:val="12"/>
                <w:lang w:eastAsia="it-IT"/>
              </w:rPr>
            </w:pPr>
            <w:r w:rsidRPr="00BB6631">
              <w:rPr>
                <w:rFonts w:ascii="AdvP6960" w:hAnsi="AdvP6960" w:cs="AdvP6960"/>
                <w:noProof/>
                <w:szCs w:val="18"/>
                <w:lang w:val="en-US"/>
              </w:rPr>
              <w:drawing>
                <wp:inline distT="0" distB="0" distL="0" distR="0" wp14:anchorId="70475775" wp14:editId="7BF327C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B6631">
              <w:rPr>
                <w:rFonts w:ascii="AdvP6960" w:hAnsi="AdvP6960" w:cs="AdvP6960"/>
                <w:szCs w:val="18"/>
                <w:lang w:eastAsia="it-IT"/>
              </w:rPr>
              <w:t xml:space="preserve"> </w:t>
            </w:r>
            <w:r w:rsidRPr="00BB6631">
              <w:rPr>
                <w:rFonts w:cs="Arial"/>
                <w:b/>
                <w:bCs/>
                <w:i/>
                <w:iCs/>
                <w:sz w:val="24"/>
                <w:szCs w:val="24"/>
                <w:lang w:eastAsia="it-IT"/>
              </w:rPr>
              <w:t>CHEMICAL ENGINEERING TRANSACTIONS</w:t>
            </w:r>
            <w:r w:rsidRPr="00BB6631">
              <w:rPr>
                <w:sz w:val="24"/>
                <w:szCs w:val="24"/>
                <w:lang w:eastAsia="it-IT"/>
              </w:rPr>
              <w:t xml:space="preserve"> </w:t>
            </w:r>
            <w:r w:rsidRPr="00BB6631">
              <w:rPr>
                <w:rFonts w:cs="Arial"/>
                <w:b/>
                <w:bCs/>
                <w:i/>
                <w:iCs/>
                <w:sz w:val="27"/>
                <w:szCs w:val="27"/>
                <w:lang w:eastAsia="it-IT"/>
              </w:rPr>
              <w:br/>
            </w:r>
          </w:p>
          <w:p w:rsidR="000A03B2" w:rsidRPr="00BB6631" w:rsidRDefault="00A76EFC" w:rsidP="009635B9">
            <w:pPr>
              <w:tabs>
                <w:tab w:val="left" w:pos="-108"/>
              </w:tabs>
              <w:ind w:left="-108"/>
              <w:rPr>
                <w:rFonts w:cs="Arial"/>
                <w:b/>
                <w:bCs/>
                <w:i/>
                <w:iCs/>
                <w:sz w:val="22"/>
                <w:szCs w:val="22"/>
                <w:lang w:eastAsia="it-IT"/>
              </w:rPr>
            </w:pPr>
            <w:r w:rsidRPr="00BB6631">
              <w:rPr>
                <w:rFonts w:cs="Arial"/>
                <w:b/>
                <w:bCs/>
                <w:i/>
                <w:iCs/>
                <w:sz w:val="22"/>
                <w:szCs w:val="22"/>
                <w:lang w:eastAsia="it-IT"/>
              </w:rPr>
              <w:t xml:space="preserve">VOL. </w:t>
            </w:r>
            <w:r w:rsidR="007931FA" w:rsidRPr="00BB6631">
              <w:rPr>
                <w:rFonts w:cs="Arial"/>
                <w:b/>
                <w:bCs/>
                <w:i/>
                <w:iCs/>
                <w:sz w:val="22"/>
                <w:szCs w:val="22"/>
                <w:lang w:eastAsia="it-IT"/>
              </w:rPr>
              <w:t>7</w:t>
            </w:r>
            <w:r w:rsidR="009635B9" w:rsidRPr="00BB6631">
              <w:rPr>
                <w:rFonts w:cs="Arial"/>
                <w:b/>
                <w:bCs/>
                <w:i/>
                <w:iCs/>
                <w:sz w:val="22"/>
                <w:szCs w:val="22"/>
                <w:lang w:eastAsia="it-IT"/>
              </w:rPr>
              <w:t>6</w:t>
            </w:r>
            <w:r w:rsidR="00FA5F5F" w:rsidRPr="00BB6631">
              <w:rPr>
                <w:rFonts w:cs="Arial"/>
                <w:b/>
                <w:bCs/>
                <w:i/>
                <w:iCs/>
                <w:sz w:val="22"/>
                <w:szCs w:val="22"/>
                <w:lang w:eastAsia="it-IT"/>
              </w:rPr>
              <w:t>, 201</w:t>
            </w:r>
            <w:r w:rsidR="007931FA" w:rsidRPr="00BB6631">
              <w:rPr>
                <w:rFonts w:cs="Arial"/>
                <w:b/>
                <w:bCs/>
                <w:i/>
                <w:iCs/>
                <w:sz w:val="22"/>
                <w:szCs w:val="22"/>
                <w:lang w:eastAsia="it-IT"/>
              </w:rPr>
              <w:t>9</w:t>
            </w:r>
          </w:p>
        </w:tc>
        <w:tc>
          <w:tcPr>
            <w:tcW w:w="1843" w:type="dxa"/>
            <w:tcBorders>
              <w:left w:val="single" w:sz="4" w:space="0" w:color="auto"/>
              <w:bottom w:val="nil"/>
              <w:right w:val="single" w:sz="4" w:space="0" w:color="auto"/>
            </w:tcBorders>
          </w:tcPr>
          <w:p w:rsidR="000A03B2" w:rsidRPr="00BB6631" w:rsidRDefault="000A03B2" w:rsidP="00CD5FE2">
            <w:pPr>
              <w:spacing w:line="140" w:lineRule="atLeast"/>
              <w:jc w:val="right"/>
              <w:rPr>
                <w:rFonts w:cs="Arial"/>
                <w:sz w:val="14"/>
                <w:szCs w:val="14"/>
              </w:rPr>
            </w:pPr>
            <w:r w:rsidRPr="00BB6631">
              <w:rPr>
                <w:rFonts w:cs="Arial"/>
                <w:sz w:val="14"/>
                <w:szCs w:val="14"/>
              </w:rPr>
              <w:t>A publication of</w:t>
            </w:r>
          </w:p>
          <w:p w:rsidR="000A03B2" w:rsidRPr="00BB6631" w:rsidRDefault="000A03B2" w:rsidP="00CD5FE2">
            <w:pPr>
              <w:jc w:val="right"/>
            </w:pPr>
            <w:r w:rsidRPr="00BB6631">
              <w:rPr>
                <w:noProof/>
                <w:lang w:val="en-US"/>
              </w:rPr>
              <w:drawing>
                <wp:inline distT="0" distB="0" distL="0" distR="0" wp14:anchorId="510A37AB" wp14:editId="10068A3E">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BB6631" w:rsidRPr="00BB6631">
        <w:trPr>
          <w:trHeight w:val="567"/>
          <w:jc w:val="center"/>
        </w:trPr>
        <w:tc>
          <w:tcPr>
            <w:tcW w:w="6946" w:type="dxa"/>
            <w:vMerge/>
            <w:tcBorders>
              <w:right w:val="single" w:sz="4" w:space="0" w:color="auto"/>
            </w:tcBorders>
          </w:tcPr>
          <w:p w:rsidR="000A03B2" w:rsidRPr="00BB6631" w:rsidRDefault="000A03B2" w:rsidP="00CD5FE2">
            <w:pPr>
              <w:tabs>
                <w:tab w:val="left" w:pos="-108"/>
              </w:tabs>
            </w:pPr>
          </w:p>
        </w:tc>
        <w:tc>
          <w:tcPr>
            <w:tcW w:w="1843" w:type="dxa"/>
            <w:tcBorders>
              <w:left w:val="single" w:sz="4" w:space="0" w:color="auto"/>
              <w:bottom w:val="nil"/>
              <w:right w:val="single" w:sz="4" w:space="0" w:color="auto"/>
            </w:tcBorders>
          </w:tcPr>
          <w:p w:rsidR="000A03B2" w:rsidRPr="00BB6631" w:rsidRDefault="000A03B2" w:rsidP="00CD5FE2">
            <w:pPr>
              <w:spacing w:line="140" w:lineRule="atLeast"/>
              <w:jc w:val="right"/>
              <w:rPr>
                <w:rFonts w:cs="Arial"/>
                <w:sz w:val="14"/>
                <w:szCs w:val="14"/>
              </w:rPr>
            </w:pPr>
            <w:r w:rsidRPr="00BB6631">
              <w:rPr>
                <w:rFonts w:cs="Arial"/>
                <w:sz w:val="14"/>
                <w:szCs w:val="14"/>
              </w:rPr>
              <w:t>The Italian Association</w:t>
            </w:r>
          </w:p>
          <w:p w:rsidR="000A03B2" w:rsidRPr="00BB6631" w:rsidRDefault="000A03B2" w:rsidP="00CD5FE2">
            <w:pPr>
              <w:spacing w:line="140" w:lineRule="atLeast"/>
              <w:jc w:val="right"/>
              <w:rPr>
                <w:rFonts w:cs="Arial"/>
                <w:sz w:val="14"/>
                <w:szCs w:val="14"/>
              </w:rPr>
            </w:pPr>
            <w:r w:rsidRPr="00BB6631">
              <w:rPr>
                <w:rFonts w:cs="Arial"/>
                <w:sz w:val="14"/>
                <w:szCs w:val="14"/>
              </w:rPr>
              <w:t>of Chemical Engineering</w:t>
            </w:r>
          </w:p>
          <w:p w:rsidR="000A03B2" w:rsidRPr="00BB6631" w:rsidRDefault="000A03B2" w:rsidP="00162642">
            <w:pPr>
              <w:spacing w:line="140" w:lineRule="atLeast"/>
              <w:jc w:val="right"/>
              <w:rPr>
                <w:rFonts w:cs="Arial"/>
                <w:sz w:val="14"/>
                <w:szCs w:val="14"/>
              </w:rPr>
            </w:pPr>
            <w:r w:rsidRPr="00BB6631">
              <w:rPr>
                <w:rFonts w:cs="Arial"/>
                <w:sz w:val="14"/>
                <w:szCs w:val="14"/>
              </w:rPr>
              <w:t xml:space="preserve">Online at </w:t>
            </w:r>
            <w:r w:rsidR="00162642" w:rsidRPr="00BB6631">
              <w:rPr>
                <w:rFonts w:cs="Arial"/>
                <w:sz w:val="14"/>
                <w:szCs w:val="14"/>
              </w:rPr>
              <w:t>www.cetjournal.it</w:t>
            </w:r>
          </w:p>
        </w:tc>
      </w:tr>
      <w:tr w:rsidR="00BB6631" w:rsidRPr="00BB6631">
        <w:trPr>
          <w:trHeight w:val="68"/>
          <w:jc w:val="center"/>
        </w:trPr>
        <w:tc>
          <w:tcPr>
            <w:tcW w:w="8789" w:type="dxa"/>
            <w:gridSpan w:val="2"/>
          </w:tcPr>
          <w:p w:rsidR="00300E56" w:rsidRPr="00BB6631" w:rsidRDefault="00300E56" w:rsidP="003365E3">
            <w:pPr>
              <w:ind w:left="-107"/>
              <w:rPr>
                <w:lang w:val="it-IT"/>
              </w:rPr>
            </w:pPr>
            <w:r w:rsidRPr="00BB6631">
              <w:rPr>
                <w:rFonts w:ascii="Tahoma" w:hAnsi="Tahoma" w:cs="Tahoma"/>
                <w:iCs/>
                <w:sz w:val="14"/>
                <w:szCs w:val="14"/>
                <w:lang w:val="it-IT" w:eastAsia="it-IT"/>
              </w:rPr>
              <w:t xml:space="preserve">Guest </w:t>
            </w:r>
            <w:proofErr w:type="spellStart"/>
            <w:r w:rsidRPr="00BB6631">
              <w:rPr>
                <w:rFonts w:ascii="Tahoma" w:hAnsi="Tahoma" w:cs="Tahoma"/>
                <w:iCs/>
                <w:sz w:val="14"/>
                <w:szCs w:val="14"/>
                <w:lang w:val="it-IT" w:eastAsia="it-IT"/>
              </w:rPr>
              <w:t>Editors</w:t>
            </w:r>
            <w:proofErr w:type="spellEnd"/>
            <w:r w:rsidRPr="00BB6631">
              <w:rPr>
                <w:rFonts w:ascii="Tahoma" w:hAnsi="Tahoma" w:cs="Tahoma"/>
                <w:iCs/>
                <w:sz w:val="14"/>
                <w:szCs w:val="14"/>
                <w:lang w:val="it-IT" w:eastAsia="it-IT"/>
              </w:rPr>
              <w:t>:</w:t>
            </w:r>
            <w:r w:rsidR="00904C62" w:rsidRPr="00BB6631">
              <w:rPr>
                <w:rFonts w:ascii="Tahoma" w:hAnsi="Tahoma" w:cs="Tahoma"/>
                <w:iCs/>
                <w:sz w:val="14"/>
                <w:szCs w:val="14"/>
                <w:lang w:val="it-IT" w:eastAsia="it-IT"/>
              </w:rPr>
              <w:t xml:space="preserve"> </w:t>
            </w:r>
            <w:r w:rsidR="009635B9" w:rsidRPr="00BB6631">
              <w:rPr>
                <w:rFonts w:ascii="Tahoma" w:hAnsi="Tahoma" w:cs="Tahoma"/>
                <w:sz w:val="14"/>
                <w:szCs w:val="14"/>
                <w:lang w:val="it-IT"/>
              </w:rPr>
              <w:t>Sauro Pierucci,</w:t>
            </w:r>
            <w:r w:rsidR="003B60F3" w:rsidRPr="00BB6631">
              <w:rPr>
                <w:rFonts w:ascii="Tahoma" w:hAnsi="Tahoma" w:cs="Tahoma"/>
                <w:sz w:val="14"/>
                <w:szCs w:val="14"/>
                <w:lang w:val="it-IT"/>
              </w:rPr>
              <w:t xml:space="preserve"> </w:t>
            </w:r>
            <w:proofErr w:type="spellStart"/>
            <w:r w:rsidR="00047D7F" w:rsidRPr="00BB6631">
              <w:rPr>
                <w:rFonts w:ascii="Tahoma" w:hAnsi="Tahoma" w:cs="Tahoma"/>
                <w:sz w:val="14"/>
                <w:szCs w:val="14"/>
                <w:shd w:val="clear" w:color="auto" w:fill="FFFFFF"/>
                <w:lang w:val="it-IT"/>
              </w:rPr>
              <w:t>Jiří</w:t>
            </w:r>
            <w:proofErr w:type="spellEnd"/>
            <w:r w:rsidR="00047D7F" w:rsidRPr="00BB6631">
              <w:rPr>
                <w:rFonts w:ascii="Tahoma" w:hAnsi="Tahoma" w:cs="Tahoma"/>
                <w:sz w:val="14"/>
                <w:szCs w:val="14"/>
                <w:shd w:val="clear" w:color="auto" w:fill="FFFFFF"/>
                <w:lang w:val="it-IT"/>
              </w:rPr>
              <w:t xml:space="preserve"> </w:t>
            </w:r>
            <w:proofErr w:type="spellStart"/>
            <w:r w:rsidR="00047D7F" w:rsidRPr="00BB6631">
              <w:rPr>
                <w:rFonts w:ascii="Tahoma" w:hAnsi="Tahoma" w:cs="Tahoma"/>
                <w:sz w:val="14"/>
                <w:szCs w:val="14"/>
                <w:shd w:val="clear" w:color="auto" w:fill="FFFFFF"/>
                <w:lang w:val="it-IT"/>
              </w:rPr>
              <w:t>Jaromír</w:t>
            </w:r>
            <w:proofErr w:type="spellEnd"/>
            <w:r w:rsidR="00047D7F" w:rsidRPr="00BB6631">
              <w:rPr>
                <w:rFonts w:ascii="Tahoma" w:hAnsi="Tahoma" w:cs="Tahoma"/>
                <w:sz w:val="14"/>
                <w:szCs w:val="14"/>
                <w:shd w:val="clear" w:color="auto" w:fill="FFFFFF"/>
                <w:lang w:val="it-IT"/>
              </w:rPr>
              <w:t xml:space="preserve"> </w:t>
            </w:r>
            <w:proofErr w:type="spellStart"/>
            <w:r w:rsidR="00047D7F" w:rsidRPr="00BB6631">
              <w:rPr>
                <w:rFonts w:ascii="Tahoma" w:hAnsi="Tahoma" w:cs="Tahoma"/>
                <w:sz w:val="14"/>
                <w:szCs w:val="14"/>
                <w:shd w:val="clear" w:color="auto" w:fill="FFFFFF"/>
                <w:lang w:val="it-IT"/>
              </w:rPr>
              <w:t>Klemeš</w:t>
            </w:r>
            <w:proofErr w:type="spellEnd"/>
            <w:r w:rsidR="00252C1A" w:rsidRPr="00BB6631">
              <w:rPr>
                <w:rFonts w:ascii="Tahoma" w:hAnsi="Tahoma" w:cs="Tahoma"/>
                <w:sz w:val="14"/>
                <w:szCs w:val="14"/>
                <w:shd w:val="clear" w:color="auto" w:fill="FFFFFF"/>
                <w:lang w:val="it-IT"/>
              </w:rPr>
              <w:t>, Laura Piazza</w:t>
            </w:r>
          </w:p>
          <w:p w:rsidR="000A03B2" w:rsidRPr="00BB6631" w:rsidRDefault="00FA5F5F" w:rsidP="00131FAB">
            <w:pPr>
              <w:tabs>
                <w:tab w:val="left" w:pos="-108"/>
              </w:tabs>
              <w:spacing w:line="140" w:lineRule="atLeast"/>
              <w:ind w:left="-107"/>
              <w:jc w:val="left"/>
            </w:pPr>
            <w:r w:rsidRPr="00BB6631">
              <w:rPr>
                <w:rFonts w:ascii="Tahoma" w:hAnsi="Tahoma" w:cs="Tahoma"/>
                <w:iCs/>
                <w:sz w:val="14"/>
                <w:szCs w:val="14"/>
                <w:lang w:eastAsia="it-IT"/>
              </w:rPr>
              <w:t>Copyright © 201</w:t>
            </w:r>
            <w:r w:rsidR="007931FA" w:rsidRPr="00BB6631">
              <w:rPr>
                <w:rFonts w:ascii="Tahoma" w:hAnsi="Tahoma" w:cs="Tahoma"/>
                <w:iCs/>
                <w:sz w:val="14"/>
                <w:szCs w:val="14"/>
                <w:lang w:eastAsia="it-IT"/>
              </w:rPr>
              <w:t>9</w:t>
            </w:r>
            <w:r w:rsidR="00904C62" w:rsidRPr="00BB6631">
              <w:rPr>
                <w:rFonts w:ascii="Tahoma" w:hAnsi="Tahoma" w:cs="Tahoma"/>
                <w:iCs/>
                <w:sz w:val="14"/>
                <w:szCs w:val="14"/>
                <w:lang w:eastAsia="it-IT"/>
              </w:rPr>
              <w:t xml:space="preserve">, AIDIC </w:t>
            </w:r>
            <w:proofErr w:type="spellStart"/>
            <w:r w:rsidR="00904C62" w:rsidRPr="00BB6631">
              <w:rPr>
                <w:rFonts w:ascii="Tahoma" w:hAnsi="Tahoma" w:cs="Tahoma"/>
                <w:iCs/>
                <w:sz w:val="14"/>
                <w:szCs w:val="14"/>
                <w:lang w:eastAsia="it-IT"/>
              </w:rPr>
              <w:t>Servizi</w:t>
            </w:r>
            <w:proofErr w:type="spellEnd"/>
            <w:r w:rsidR="00904C62" w:rsidRPr="00BB6631">
              <w:rPr>
                <w:rFonts w:ascii="Tahoma" w:hAnsi="Tahoma" w:cs="Tahoma"/>
                <w:iCs/>
                <w:sz w:val="14"/>
                <w:szCs w:val="14"/>
                <w:lang w:eastAsia="it-IT"/>
              </w:rPr>
              <w:t xml:space="preserve"> </w:t>
            </w:r>
            <w:proofErr w:type="spellStart"/>
            <w:r w:rsidR="00904C62" w:rsidRPr="00BB6631">
              <w:rPr>
                <w:rFonts w:ascii="Tahoma" w:hAnsi="Tahoma" w:cs="Tahoma"/>
                <w:iCs/>
                <w:sz w:val="14"/>
                <w:szCs w:val="14"/>
                <w:lang w:eastAsia="it-IT"/>
              </w:rPr>
              <w:t>S.r.l</w:t>
            </w:r>
            <w:proofErr w:type="spellEnd"/>
            <w:r w:rsidR="00904C62" w:rsidRPr="00BB6631">
              <w:rPr>
                <w:rFonts w:ascii="Tahoma" w:hAnsi="Tahoma" w:cs="Tahoma"/>
                <w:iCs/>
                <w:sz w:val="14"/>
                <w:szCs w:val="14"/>
                <w:lang w:eastAsia="it-IT"/>
              </w:rPr>
              <w:t>.</w:t>
            </w:r>
            <w:r w:rsidR="00300E56" w:rsidRPr="00BB6631">
              <w:rPr>
                <w:rFonts w:ascii="Tahoma" w:hAnsi="Tahoma" w:cs="Tahoma"/>
                <w:iCs/>
                <w:sz w:val="14"/>
                <w:szCs w:val="14"/>
                <w:lang w:eastAsia="it-IT"/>
              </w:rPr>
              <w:br/>
            </w:r>
            <w:r w:rsidR="00300E56" w:rsidRPr="00BB6631">
              <w:rPr>
                <w:rFonts w:ascii="Tahoma" w:hAnsi="Tahoma" w:cs="Tahoma"/>
                <w:b/>
                <w:iCs/>
                <w:sz w:val="14"/>
                <w:szCs w:val="14"/>
                <w:lang w:eastAsia="it-IT"/>
              </w:rPr>
              <w:t>ISBN</w:t>
            </w:r>
            <w:r w:rsidR="00300E56" w:rsidRPr="00BB6631">
              <w:rPr>
                <w:rFonts w:ascii="Tahoma" w:hAnsi="Tahoma" w:cs="Tahoma"/>
                <w:iCs/>
                <w:sz w:val="14"/>
                <w:szCs w:val="14"/>
                <w:lang w:eastAsia="it-IT"/>
              </w:rPr>
              <w:t xml:space="preserve"> </w:t>
            </w:r>
            <w:r w:rsidR="008D32B9" w:rsidRPr="00BB6631">
              <w:rPr>
                <w:rFonts w:ascii="Tahoma" w:hAnsi="Tahoma" w:cs="Tahoma"/>
                <w:sz w:val="14"/>
                <w:szCs w:val="14"/>
              </w:rPr>
              <w:t>978-88-95608-</w:t>
            </w:r>
            <w:r w:rsidR="009635B9" w:rsidRPr="00BB6631">
              <w:rPr>
                <w:rFonts w:ascii="Tahoma" w:hAnsi="Tahoma" w:cs="Tahoma"/>
                <w:sz w:val="14"/>
                <w:szCs w:val="14"/>
              </w:rPr>
              <w:t>73</w:t>
            </w:r>
            <w:r w:rsidR="008D32B9" w:rsidRPr="00BB6631">
              <w:rPr>
                <w:rFonts w:ascii="Tahoma" w:hAnsi="Tahoma" w:cs="Tahoma"/>
                <w:sz w:val="14"/>
                <w:szCs w:val="14"/>
              </w:rPr>
              <w:t>-</w:t>
            </w:r>
            <w:r w:rsidR="009635B9" w:rsidRPr="00BB6631">
              <w:rPr>
                <w:rFonts w:ascii="Tahoma" w:hAnsi="Tahoma" w:cs="Tahoma"/>
                <w:sz w:val="14"/>
                <w:szCs w:val="14"/>
              </w:rPr>
              <w:t>0</w:t>
            </w:r>
            <w:r w:rsidR="00300E56" w:rsidRPr="00BB6631">
              <w:rPr>
                <w:rFonts w:ascii="Tahoma" w:hAnsi="Tahoma" w:cs="Tahoma"/>
                <w:iCs/>
                <w:sz w:val="14"/>
                <w:szCs w:val="14"/>
                <w:lang w:eastAsia="it-IT"/>
              </w:rPr>
              <w:t xml:space="preserve">; </w:t>
            </w:r>
            <w:r w:rsidR="00300E56" w:rsidRPr="00BB6631">
              <w:rPr>
                <w:rFonts w:ascii="Tahoma" w:hAnsi="Tahoma" w:cs="Tahoma"/>
                <w:b/>
                <w:iCs/>
                <w:sz w:val="14"/>
                <w:szCs w:val="14"/>
                <w:lang w:eastAsia="it-IT"/>
              </w:rPr>
              <w:t>ISSN</w:t>
            </w:r>
            <w:r w:rsidR="00300E56" w:rsidRPr="00BB6631">
              <w:rPr>
                <w:rFonts w:ascii="Tahoma" w:hAnsi="Tahoma" w:cs="Tahoma"/>
                <w:iCs/>
                <w:sz w:val="14"/>
                <w:szCs w:val="14"/>
                <w:lang w:eastAsia="it-IT"/>
              </w:rPr>
              <w:t xml:space="preserve"> 2283-9216</w:t>
            </w:r>
          </w:p>
        </w:tc>
      </w:tr>
    </w:tbl>
    <w:p w:rsidR="000A03B2" w:rsidRPr="00BB6631" w:rsidRDefault="000A03B2" w:rsidP="000A03B2">
      <w:pPr>
        <w:pStyle w:val="CETAuthors"/>
        <w:sectPr w:rsidR="000A03B2" w:rsidRPr="00BB6631">
          <w:type w:val="continuous"/>
          <w:pgSz w:w="11906" w:h="16838" w:code="9"/>
          <w:pgMar w:top="1701" w:right="1418" w:bottom="1701" w:left="1701" w:header="1701" w:footer="0" w:gutter="0"/>
          <w:cols w:space="708"/>
          <w:titlePg/>
          <w:docGrid w:linePitch="360"/>
        </w:sectPr>
      </w:pPr>
    </w:p>
    <w:p w:rsidR="00E525E9" w:rsidRPr="00BB6631" w:rsidRDefault="00E525E9" w:rsidP="00E525E9">
      <w:pPr>
        <w:pStyle w:val="CETTitle"/>
        <w:rPr>
          <w:lang w:val="en-US"/>
        </w:rPr>
      </w:pPr>
      <w:r w:rsidRPr="00BB6631">
        <w:rPr>
          <w:lang w:val="en-US"/>
        </w:rPr>
        <w:lastRenderedPageBreak/>
        <w:t>Influence of Cooling Rate on Crystallization of Borax in Stirred Batch Crystallizer</w:t>
      </w:r>
    </w:p>
    <w:p w:rsidR="008B6450" w:rsidRPr="00BB6631" w:rsidRDefault="008B6450" w:rsidP="008B6450">
      <w:pPr>
        <w:pStyle w:val="CETAuthors"/>
        <w:rPr>
          <w:noProof w:val="0"/>
          <w:lang w:val="en-US"/>
        </w:rPr>
      </w:pPr>
      <w:proofErr w:type="spellStart"/>
      <w:r w:rsidRPr="00BB6631">
        <w:rPr>
          <w:noProof w:val="0"/>
          <w:lang w:val="en-US"/>
        </w:rPr>
        <w:t>Marija</w:t>
      </w:r>
      <w:proofErr w:type="spellEnd"/>
      <w:r w:rsidRPr="00BB6631">
        <w:rPr>
          <w:noProof w:val="0"/>
          <w:lang w:val="en-US"/>
        </w:rPr>
        <w:t xml:space="preserve"> </w:t>
      </w:r>
      <w:proofErr w:type="spellStart"/>
      <w:r w:rsidRPr="00BB6631">
        <w:rPr>
          <w:noProof w:val="0"/>
          <w:lang w:val="en-US"/>
        </w:rPr>
        <w:t>Ćosić</w:t>
      </w:r>
      <w:proofErr w:type="spellEnd"/>
      <w:r w:rsidRPr="00BB6631">
        <w:rPr>
          <w:noProof w:val="0"/>
          <w:lang w:val="en-US"/>
        </w:rPr>
        <w:t xml:space="preserve">*, </w:t>
      </w:r>
      <w:proofErr w:type="spellStart"/>
      <w:r w:rsidR="00F37DE9" w:rsidRPr="00BB6631">
        <w:rPr>
          <w:noProof w:val="0"/>
          <w:lang w:val="en-US"/>
        </w:rPr>
        <w:t>Anđela</w:t>
      </w:r>
      <w:proofErr w:type="spellEnd"/>
      <w:r w:rsidR="00F37DE9" w:rsidRPr="00BB6631">
        <w:rPr>
          <w:noProof w:val="0"/>
          <w:lang w:val="en-US"/>
        </w:rPr>
        <w:t xml:space="preserve"> </w:t>
      </w:r>
      <w:proofErr w:type="spellStart"/>
      <w:r w:rsidR="00F37DE9" w:rsidRPr="00BB6631">
        <w:rPr>
          <w:noProof w:val="0"/>
          <w:lang w:val="en-US"/>
        </w:rPr>
        <w:t>Pažin</w:t>
      </w:r>
      <w:proofErr w:type="spellEnd"/>
      <w:r w:rsidR="00F37DE9" w:rsidRPr="00BB6631">
        <w:rPr>
          <w:noProof w:val="0"/>
          <w:lang w:val="en-US"/>
        </w:rPr>
        <w:t xml:space="preserve">, </w:t>
      </w:r>
      <w:proofErr w:type="spellStart"/>
      <w:r w:rsidR="00F37DE9" w:rsidRPr="00BB6631">
        <w:rPr>
          <w:noProof w:val="0"/>
          <w:lang w:val="en-US"/>
        </w:rPr>
        <w:t>Antonija</w:t>
      </w:r>
      <w:proofErr w:type="spellEnd"/>
      <w:r w:rsidR="00F37DE9" w:rsidRPr="00BB6631">
        <w:rPr>
          <w:noProof w:val="0"/>
          <w:lang w:val="en-US"/>
        </w:rPr>
        <w:t xml:space="preserve"> </w:t>
      </w:r>
      <w:proofErr w:type="spellStart"/>
      <w:r w:rsidR="00F37DE9" w:rsidRPr="00BB6631">
        <w:rPr>
          <w:noProof w:val="0"/>
          <w:lang w:val="en-US"/>
        </w:rPr>
        <w:t>Čelan</w:t>
      </w:r>
      <w:proofErr w:type="spellEnd"/>
      <w:r w:rsidR="00F37DE9" w:rsidRPr="00BB6631">
        <w:rPr>
          <w:noProof w:val="0"/>
          <w:lang w:val="en-US"/>
        </w:rPr>
        <w:t xml:space="preserve">, </w:t>
      </w:r>
      <w:proofErr w:type="spellStart"/>
      <w:r w:rsidRPr="00BB6631">
        <w:rPr>
          <w:noProof w:val="0"/>
          <w:lang w:val="en-US"/>
        </w:rPr>
        <w:t>Nenad</w:t>
      </w:r>
      <w:proofErr w:type="spellEnd"/>
      <w:r w:rsidRPr="00BB6631">
        <w:rPr>
          <w:noProof w:val="0"/>
          <w:lang w:val="en-US"/>
        </w:rPr>
        <w:t xml:space="preserve"> </w:t>
      </w:r>
      <w:proofErr w:type="spellStart"/>
      <w:r w:rsidRPr="00BB6631">
        <w:rPr>
          <w:noProof w:val="0"/>
          <w:lang w:val="en-US"/>
        </w:rPr>
        <w:t>Kuzmanić</w:t>
      </w:r>
      <w:proofErr w:type="spellEnd"/>
      <w:r w:rsidRPr="00BB6631">
        <w:rPr>
          <w:noProof w:val="0"/>
          <w:lang w:val="en-US"/>
        </w:rPr>
        <w:t xml:space="preserve"> </w:t>
      </w:r>
    </w:p>
    <w:p w:rsidR="008B6450" w:rsidRPr="00BB6631" w:rsidRDefault="008B6450" w:rsidP="008B6450">
      <w:pPr>
        <w:pStyle w:val="CETAddress"/>
        <w:rPr>
          <w:noProof w:val="0"/>
          <w:lang w:val="en-US"/>
        </w:rPr>
      </w:pPr>
      <w:r w:rsidRPr="00BB6631">
        <w:rPr>
          <w:noProof w:val="0"/>
          <w:lang w:val="en-US"/>
        </w:rPr>
        <w:t xml:space="preserve">University of Split, Faculty of Chemistry and Technology, Department of Chemical Engineering, </w:t>
      </w:r>
      <w:proofErr w:type="spellStart"/>
      <w:r w:rsidRPr="00BB6631">
        <w:rPr>
          <w:noProof w:val="0"/>
          <w:lang w:val="en-US"/>
        </w:rPr>
        <w:t>Ruđera</w:t>
      </w:r>
      <w:proofErr w:type="spellEnd"/>
      <w:r w:rsidRPr="00BB6631">
        <w:rPr>
          <w:noProof w:val="0"/>
          <w:lang w:val="en-US"/>
        </w:rPr>
        <w:t xml:space="preserve"> </w:t>
      </w:r>
      <w:proofErr w:type="spellStart"/>
      <w:r w:rsidRPr="00BB6631">
        <w:rPr>
          <w:noProof w:val="0"/>
          <w:lang w:val="en-US"/>
        </w:rPr>
        <w:t>Boškovića</w:t>
      </w:r>
      <w:proofErr w:type="spellEnd"/>
      <w:r w:rsidRPr="00BB6631">
        <w:rPr>
          <w:noProof w:val="0"/>
          <w:lang w:val="en-US"/>
        </w:rPr>
        <w:t xml:space="preserve"> 35, 21000 Split, Croatia; tel. +385 21 329-453</w:t>
      </w:r>
    </w:p>
    <w:p w:rsidR="00E978D0" w:rsidRPr="00BB6631" w:rsidRDefault="008B6450" w:rsidP="008B6450">
      <w:pPr>
        <w:pStyle w:val="CETAddress"/>
      </w:pPr>
      <w:r w:rsidRPr="00BB6631">
        <w:t>akrap@ktf-split.hr</w:t>
      </w:r>
    </w:p>
    <w:p w:rsidR="0041548E" w:rsidRPr="00BB6631" w:rsidRDefault="0041548E" w:rsidP="00600535">
      <w:pPr>
        <w:pStyle w:val="CETBodytext"/>
        <w:rPr>
          <w:lang w:val="en-GB"/>
        </w:rPr>
      </w:pPr>
    </w:p>
    <w:p w:rsidR="0041548E" w:rsidRPr="00BB6631" w:rsidRDefault="0041548E" w:rsidP="00600535">
      <w:pPr>
        <w:pStyle w:val="CETBodytext"/>
        <w:rPr>
          <w:lang w:val="en-GB"/>
        </w:rPr>
      </w:pPr>
    </w:p>
    <w:p w:rsidR="0041548E" w:rsidRPr="00BB6631" w:rsidRDefault="0041548E" w:rsidP="0041548E">
      <w:pPr>
        <w:rPr>
          <w:szCs w:val="18"/>
          <w:lang w:val="en-US"/>
        </w:rPr>
      </w:pPr>
      <w:r w:rsidRPr="00BB6631">
        <w:rPr>
          <w:szCs w:val="18"/>
          <w:lang w:val="en-US"/>
        </w:rPr>
        <w:t xml:space="preserve">The aim of this work was to determine the influence of cooling rate on the nucleation and crystal growth of borax </w:t>
      </w:r>
      <w:proofErr w:type="spellStart"/>
      <w:r w:rsidRPr="00BB6631">
        <w:rPr>
          <w:szCs w:val="18"/>
          <w:lang w:val="en-US"/>
        </w:rPr>
        <w:t>decahydrate</w:t>
      </w:r>
      <w:proofErr w:type="spellEnd"/>
      <w:r w:rsidRPr="00BB6631">
        <w:rPr>
          <w:szCs w:val="18"/>
          <w:lang w:val="en-US"/>
        </w:rPr>
        <w:t>.  All experiments were carried out in baffled stirred crystallizer with the volume of 2.14 dm</w:t>
      </w:r>
      <w:r w:rsidRPr="00BB6631">
        <w:rPr>
          <w:szCs w:val="18"/>
          <w:vertAlign w:val="superscript"/>
          <w:lang w:val="en-US"/>
        </w:rPr>
        <w:t>3</w:t>
      </w:r>
      <w:r w:rsidRPr="00BB6631">
        <w:rPr>
          <w:szCs w:val="18"/>
          <w:lang w:val="en-US"/>
        </w:rPr>
        <w:t>. Mother liquor saturated at 30 °C was cooled down at 3 different cooling rates in the range from the 4 to 9 °C/h. In order to analyze</w:t>
      </w:r>
      <w:r w:rsidR="00741823" w:rsidRPr="00BB6631">
        <w:rPr>
          <w:szCs w:val="18"/>
          <w:lang w:val="en-US"/>
        </w:rPr>
        <w:t xml:space="preserve"> </w:t>
      </w:r>
      <w:r w:rsidRPr="00BB6631">
        <w:rPr>
          <w:szCs w:val="18"/>
          <w:lang w:val="en-US"/>
        </w:rPr>
        <w:t xml:space="preserve">and </w:t>
      </w:r>
      <w:r w:rsidR="00357695" w:rsidRPr="00BB6631">
        <w:rPr>
          <w:szCs w:val="18"/>
          <w:lang w:val="en-US"/>
        </w:rPr>
        <w:t>compare</w:t>
      </w:r>
      <w:r w:rsidRPr="00BB6631">
        <w:rPr>
          <w:szCs w:val="18"/>
          <w:lang w:val="en-US"/>
        </w:rPr>
        <w:t xml:space="preserve"> the influence of fluid flow pattern in the crystallizer on product properties</w:t>
      </w:r>
      <w:r w:rsidR="00357695" w:rsidRPr="00BB6631">
        <w:rPr>
          <w:szCs w:val="18"/>
          <w:lang w:val="en-US"/>
        </w:rPr>
        <w:t>,</w:t>
      </w:r>
      <w:r w:rsidRPr="00BB6631">
        <w:rPr>
          <w:szCs w:val="18"/>
          <w:lang w:val="en-US"/>
        </w:rPr>
        <w:t xml:space="preserve"> examinations were performed using two different impeller types; radial straight blade turbine</w:t>
      </w:r>
      <w:r w:rsidR="0088288A" w:rsidRPr="00BB6631">
        <w:rPr>
          <w:szCs w:val="18"/>
          <w:lang w:val="en-US"/>
        </w:rPr>
        <w:t xml:space="preserve"> (SBT)</w:t>
      </w:r>
      <w:r w:rsidRPr="00BB6631">
        <w:rPr>
          <w:szCs w:val="18"/>
          <w:lang w:val="en-US"/>
        </w:rPr>
        <w:t xml:space="preserve"> and axial pitched blade turbine</w:t>
      </w:r>
      <w:r w:rsidR="0088288A" w:rsidRPr="00BB6631">
        <w:rPr>
          <w:szCs w:val="18"/>
          <w:lang w:val="en-US"/>
        </w:rPr>
        <w:t xml:space="preserve"> (PBT)</w:t>
      </w:r>
      <w:r w:rsidRPr="00BB6631">
        <w:rPr>
          <w:szCs w:val="18"/>
          <w:lang w:val="en-US"/>
        </w:rPr>
        <w:t>. Mixing with both of impellers was carried out at constant impeller speed of 300 rpm. Concentration of the solution was measured in line by potentiometric method, while the changes of crystal size over process time were determined by optical microscope and image analysis software. The nucleation and crystal growth behaviors for borax–water system in a batch cooling crystallizer were estimated acc</w:t>
      </w:r>
      <w:r w:rsidR="0088288A" w:rsidRPr="00BB6631">
        <w:rPr>
          <w:szCs w:val="18"/>
          <w:lang w:val="en-US"/>
        </w:rPr>
        <w:t xml:space="preserve">ording to </w:t>
      </w:r>
      <w:proofErr w:type="spellStart"/>
      <w:r w:rsidR="0088288A" w:rsidRPr="00BB6631">
        <w:rPr>
          <w:szCs w:val="18"/>
          <w:lang w:val="en-US"/>
        </w:rPr>
        <w:t>Mersmann’s</w:t>
      </w:r>
      <w:proofErr w:type="spellEnd"/>
      <w:r w:rsidR="0088288A" w:rsidRPr="00BB6631">
        <w:rPr>
          <w:szCs w:val="18"/>
          <w:lang w:val="en-US"/>
        </w:rPr>
        <w:t xml:space="preserve"> criteria. </w:t>
      </w:r>
      <w:r w:rsidRPr="00BB6631">
        <w:rPr>
          <w:szCs w:val="18"/>
          <w:lang w:val="en-US"/>
        </w:rPr>
        <w:t>From the results obtained</w:t>
      </w:r>
      <w:r w:rsidR="00357695" w:rsidRPr="00BB6631">
        <w:rPr>
          <w:szCs w:val="18"/>
          <w:lang w:val="en-US"/>
        </w:rPr>
        <w:t>,</w:t>
      </w:r>
      <w:r w:rsidRPr="00BB6631">
        <w:rPr>
          <w:szCs w:val="18"/>
          <w:lang w:val="en-US"/>
        </w:rPr>
        <w:t xml:space="preserve"> it was found that cooling rate has great impact on nucleation and crystal growth kinetics. </w:t>
      </w:r>
      <w:r w:rsidR="00357695" w:rsidRPr="00BB6631">
        <w:rPr>
          <w:szCs w:val="18"/>
          <w:lang w:val="en-US"/>
        </w:rPr>
        <w:t>Moreover,</w:t>
      </w:r>
      <w:r w:rsidRPr="00BB6631">
        <w:rPr>
          <w:szCs w:val="18"/>
          <w:lang w:val="en-US"/>
        </w:rPr>
        <w:t xml:space="preserve"> in all system investigated nucleation was heterogeneous and crystal growth integration limited</w:t>
      </w:r>
      <w:r w:rsidR="006C6D3B" w:rsidRPr="00BB6631">
        <w:rPr>
          <w:szCs w:val="18"/>
          <w:lang w:val="en-US"/>
        </w:rPr>
        <w:t>,</w:t>
      </w:r>
      <w:r w:rsidRPr="00BB6631">
        <w:rPr>
          <w:szCs w:val="18"/>
          <w:lang w:val="en-US"/>
        </w:rPr>
        <w:t xml:space="preserve"> its rates differed with cooling rates. The changes of those parameters with cooling rates in the systems with radial and axial impeller were similar. Nucleation and crystal growth reflected on the crystal size distribution as well. Increasing cooling rate crystal mean size decreases while crystal agglomeration increases</w:t>
      </w:r>
      <w:r w:rsidR="006C6D3B" w:rsidRPr="00BB6631">
        <w:rPr>
          <w:szCs w:val="18"/>
          <w:lang w:val="en-US"/>
        </w:rPr>
        <w:t>,</w:t>
      </w:r>
      <w:r w:rsidRPr="00BB6631">
        <w:rPr>
          <w:szCs w:val="18"/>
          <w:lang w:val="en-US"/>
        </w:rPr>
        <w:t xml:space="preserve"> indicating the importance of cooling rate of batch crystallizer in the production of the crystals of desired properties. </w:t>
      </w:r>
    </w:p>
    <w:p w:rsidR="00600535" w:rsidRPr="00BB6631" w:rsidRDefault="00600535" w:rsidP="00600535">
      <w:pPr>
        <w:pStyle w:val="CETHeading1"/>
        <w:rPr>
          <w:lang w:val="en-GB"/>
        </w:rPr>
      </w:pPr>
      <w:r w:rsidRPr="00BB6631">
        <w:rPr>
          <w:lang w:val="en-GB"/>
        </w:rPr>
        <w:t>Introduction</w:t>
      </w:r>
    </w:p>
    <w:p w:rsidR="00027BCA" w:rsidRPr="00BB6631" w:rsidRDefault="00D47588" w:rsidP="005B6914">
      <w:pPr>
        <w:pStyle w:val="CETBodytext"/>
      </w:pPr>
      <w:r w:rsidRPr="00BB6631">
        <w:rPr>
          <w:lang w:val="en-GB"/>
        </w:rPr>
        <w:t xml:space="preserve">Crystallization refers to the phase transformation of a compound from a ﬂuid or anamorphous solid state to a crystalline solid state. </w:t>
      </w:r>
      <w:r w:rsidR="00CF22A0" w:rsidRPr="00BB6631">
        <w:rPr>
          <w:lang w:val="en-GB"/>
        </w:rPr>
        <w:t xml:space="preserve">Crystallization </w:t>
      </w:r>
      <w:r w:rsidR="00CC6818" w:rsidRPr="00BB6631">
        <w:rPr>
          <w:lang w:val="en-GB"/>
        </w:rPr>
        <w:t xml:space="preserve">is usually analysed </w:t>
      </w:r>
      <w:r w:rsidR="0018411F" w:rsidRPr="00BB6631">
        <w:rPr>
          <w:lang w:val="en-GB"/>
        </w:rPr>
        <w:t xml:space="preserve">through </w:t>
      </w:r>
      <w:r w:rsidR="00CC6818" w:rsidRPr="00BB6631">
        <w:rPr>
          <w:lang w:val="en-GB"/>
        </w:rPr>
        <w:t xml:space="preserve">its </w:t>
      </w:r>
      <w:r w:rsidR="002C6D78" w:rsidRPr="00BB6631">
        <w:rPr>
          <w:lang w:val="en-GB"/>
        </w:rPr>
        <w:t xml:space="preserve">two main </w:t>
      </w:r>
      <w:r w:rsidR="00CF22A0" w:rsidRPr="00BB6631">
        <w:rPr>
          <w:lang w:val="en-GB"/>
        </w:rPr>
        <w:t>steps;</w:t>
      </w:r>
      <w:r w:rsidR="002C6D78" w:rsidRPr="00BB6631">
        <w:rPr>
          <w:lang w:val="en-GB"/>
        </w:rPr>
        <w:t xml:space="preserve"> nucleation and crystal </w:t>
      </w:r>
      <w:r w:rsidR="00CC6818" w:rsidRPr="00BB6631">
        <w:rPr>
          <w:lang w:val="en-GB"/>
        </w:rPr>
        <w:t xml:space="preserve">growth. </w:t>
      </w:r>
      <w:r w:rsidR="00027BCA" w:rsidRPr="00BB6631">
        <w:rPr>
          <w:lang w:val="en-GB"/>
        </w:rPr>
        <w:t>K</w:t>
      </w:r>
      <w:r w:rsidR="00CC6818" w:rsidRPr="00BB6631">
        <w:rPr>
          <w:lang w:val="en-GB"/>
        </w:rPr>
        <w:t>inetics of both</w:t>
      </w:r>
      <w:r w:rsidR="00027BCA" w:rsidRPr="00BB6631">
        <w:rPr>
          <w:lang w:val="en-GB"/>
        </w:rPr>
        <w:t xml:space="preserve"> steps</w:t>
      </w:r>
      <w:r w:rsidR="00CC6818" w:rsidRPr="00BB6631">
        <w:rPr>
          <w:lang w:val="en-GB"/>
        </w:rPr>
        <w:t xml:space="preserve"> governs crystal size distribution of the product. </w:t>
      </w:r>
      <w:r w:rsidR="00A82AB2" w:rsidRPr="00BB6631">
        <w:t xml:space="preserve">For crystallization to </w:t>
      </w:r>
      <w:r w:rsidR="00CC6818" w:rsidRPr="00BB6631">
        <w:t>occur</w:t>
      </w:r>
      <w:r w:rsidR="00A82AB2" w:rsidRPr="00BB6631">
        <w:t xml:space="preserve"> the system must be supersaturated </w:t>
      </w:r>
      <w:r w:rsidR="00CC6818" w:rsidRPr="00BB6631">
        <w:t xml:space="preserve">and crystallization method is primarily selected according to the crystallizing compound solubility data. </w:t>
      </w:r>
      <w:r w:rsidR="00F37DE9" w:rsidRPr="00BB6631">
        <w:rPr>
          <w:lang w:val="en-GB"/>
        </w:rPr>
        <w:t xml:space="preserve">Cooling crystallization is adequate for </w:t>
      </w:r>
      <w:r w:rsidR="00CC6818" w:rsidRPr="00BB6631">
        <w:rPr>
          <w:lang w:val="en-GB"/>
        </w:rPr>
        <w:t>salt</w:t>
      </w:r>
      <w:r w:rsidR="00F37DE9" w:rsidRPr="00BB6631">
        <w:rPr>
          <w:lang w:val="en-GB"/>
        </w:rPr>
        <w:t xml:space="preserve"> which solubility increases </w:t>
      </w:r>
      <w:r w:rsidR="00CC6818" w:rsidRPr="00BB6631">
        <w:rPr>
          <w:lang w:val="en-GB"/>
        </w:rPr>
        <w:t>with</w:t>
      </w:r>
      <w:r w:rsidR="00F37DE9" w:rsidRPr="00BB6631">
        <w:rPr>
          <w:lang w:val="en-GB"/>
        </w:rPr>
        <w:t xml:space="preserve"> temperature. </w:t>
      </w:r>
      <w:r w:rsidR="00865319" w:rsidRPr="00BB6631">
        <w:rPr>
          <w:lang w:val="en-GB"/>
        </w:rPr>
        <w:t>In this case</w:t>
      </w:r>
      <w:r w:rsidR="006559BB" w:rsidRPr="00BB6631">
        <w:rPr>
          <w:lang w:val="en-GB"/>
        </w:rPr>
        <w:t>, the</w:t>
      </w:r>
      <w:r w:rsidR="00865319" w:rsidRPr="00BB6631">
        <w:rPr>
          <w:lang w:val="en-GB"/>
        </w:rPr>
        <w:t xml:space="preserve"> </w:t>
      </w:r>
      <w:r w:rsidR="00027BCA" w:rsidRPr="00BB6631">
        <w:rPr>
          <w:lang w:val="en-GB"/>
        </w:rPr>
        <w:t>cooling need</w:t>
      </w:r>
      <w:r w:rsidR="006559BB" w:rsidRPr="00BB6631">
        <w:rPr>
          <w:lang w:val="en-GB"/>
        </w:rPr>
        <w:t>s</w:t>
      </w:r>
      <w:r w:rsidR="00027BCA" w:rsidRPr="00BB6631">
        <w:rPr>
          <w:lang w:val="en-GB"/>
        </w:rPr>
        <w:t xml:space="preserve"> to be </w:t>
      </w:r>
      <w:r w:rsidR="00CC6818" w:rsidRPr="00BB6631">
        <w:rPr>
          <w:lang w:val="en-GB"/>
        </w:rPr>
        <w:t xml:space="preserve">selected in the way it </w:t>
      </w:r>
      <w:r w:rsidR="00865319" w:rsidRPr="00BB6631">
        <w:rPr>
          <w:lang w:val="en-GB"/>
        </w:rPr>
        <w:t>prevent</w:t>
      </w:r>
      <w:r w:rsidR="00CC6818" w:rsidRPr="00BB6631">
        <w:rPr>
          <w:lang w:val="en-GB"/>
        </w:rPr>
        <w:t>s</w:t>
      </w:r>
      <w:r w:rsidR="00865319" w:rsidRPr="00BB6631">
        <w:rPr>
          <w:lang w:val="en-GB"/>
        </w:rPr>
        <w:t xml:space="preserve"> uncontrolled nucleation and high supersaturation accumulation</w:t>
      </w:r>
      <w:r w:rsidR="006559BB" w:rsidRPr="00BB6631">
        <w:rPr>
          <w:lang w:val="en-GB"/>
        </w:rPr>
        <w:t>,</w:t>
      </w:r>
      <w:r w:rsidR="00865319" w:rsidRPr="00BB6631">
        <w:rPr>
          <w:lang w:val="en-GB"/>
        </w:rPr>
        <w:t xml:space="preserve"> which may lead to secondary nucleation and agglomeration</w:t>
      </w:r>
      <w:r w:rsidR="00D47419" w:rsidRPr="00BB6631">
        <w:rPr>
          <w:lang w:val="en-GB"/>
        </w:rPr>
        <w:t xml:space="preserve">. </w:t>
      </w:r>
      <w:r w:rsidR="00A11931" w:rsidRPr="00BB6631">
        <w:rPr>
          <w:lang w:val="en-GB"/>
        </w:rPr>
        <w:t>If saturated solution is cooled the supersaturation will gradually increase</w:t>
      </w:r>
      <w:r w:rsidR="006559BB" w:rsidRPr="00BB6631">
        <w:rPr>
          <w:lang w:val="en-GB"/>
        </w:rPr>
        <w:t>,</w:t>
      </w:r>
      <w:r w:rsidR="00A11931" w:rsidRPr="00BB6631">
        <w:rPr>
          <w:lang w:val="en-GB"/>
        </w:rPr>
        <w:t xml:space="preserve"> but formation of solid phase in the solution only occurs when a certain degree of </w:t>
      </w:r>
      <w:proofErr w:type="spellStart"/>
      <w:r w:rsidR="00A11931" w:rsidRPr="00BB6631">
        <w:rPr>
          <w:lang w:val="en-GB"/>
        </w:rPr>
        <w:t>supercooling</w:t>
      </w:r>
      <w:proofErr w:type="spellEnd"/>
      <w:r w:rsidR="00A11931" w:rsidRPr="00BB6631">
        <w:rPr>
          <w:lang w:val="en-GB"/>
        </w:rPr>
        <w:t xml:space="preserve"> provides required supersaturation to initiate nucleation (</w:t>
      </w:r>
      <w:r w:rsidR="000C02A4" w:rsidRPr="00BB6631">
        <w:rPr>
          <w:lang w:val="en-GB"/>
        </w:rPr>
        <w:t xml:space="preserve">De </w:t>
      </w:r>
      <w:proofErr w:type="spellStart"/>
      <w:r w:rsidR="00A11931" w:rsidRPr="00BB6631">
        <w:rPr>
          <w:lang w:val="en-GB"/>
        </w:rPr>
        <w:t>Haan</w:t>
      </w:r>
      <w:proofErr w:type="spellEnd"/>
      <w:r w:rsidR="00A11931" w:rsidRPr="00BB6631">
        <w:rPr>
          <w:lang w:val="en-GB"/>
        </w:rPr>
        <w:t xml:space="preserve"> and Bosh, </w:t>
      </w:r>
      <w:r w:rsidR="00D47419" w:rsidRPr="00BB6631">
        <w:rPr>
          <w:lang w:val="en-GB"/>
        </w:rPr>
        <w:t>2</w:t>
      </w:r>
      <w:r w:rsidR="00A11931" w:rsidRPr="00BB6631">
        <w:rPr>
          <w:lang w:val="en-GB"/>
        </w:rPr>
        <w:t xml:space="preserve">013). This region of </w:t>
      </w:r>
      <w:proofErr w:type="spellStart"/>
      <w:r w:rsidR="00A11931" w:rsidRPr="00BB6631">
        <w:rPr>
          <w:lang w:val="en-GB"/>
        </w:rPr>
        <w:t>supercooling</w:t>
      </w:r>
      <w:proofErr w:type="spellEnd"/>
      <w:r w:rsidR="00A11931" w:rsidRPr="00BB6631">
        <w:rPr>
          <w:lang w:val="en-GB"/>
        </w:rPr>
        <w:t xml:space="preserve">, i.e. of supersaturation is called metastable zone. Information about width of this zone presents essential information for </w:t>
      </w:r>
      <w:r w:rsidR="00027BCA" w:rsidRPr="00BB6631">
        <w:rPr>
          <w:lang w:val="en-GB"/>
        </w:rPr>
        <w:t>crystallization kinetics</w:t>
      </w:r>
      <w:r w:rsidR="00A11931" w:rsidRPr="00BB6631">
        <w:rPr>
          <w:lang w:val="en-GB"/>
        </w:rPr>
        <w:t xml:space="preserve">. </w:t>
      </w:r>
      <w:r w:rsidR="00027BCA" w:rsidRPr="00BB6631">
        <w:t xml:space="preserve">The aim of this work was to </w:t>
      </w:r>
      <w:r w:rsidR="00D47419" w:rsidRPr="00BB6631">
        <w:t>analyze</w:t>
      </w:r>
      <w:r w:rsidR="00027BCA" w:rsidRPr="00BB6631">
        <w:t xml:space="preserve"> the influence of cooling rate on nucleation </w:t>
      </w:r>
      <w:r w:rsidR="00D47419" w:rsidRPr="00BB6631">
        <w:t xml:space="preserve">and </w:t>
      </w:r>
      <w:r w:rsidR="00027BCA" w:rsidRPr="00BB6631">
        <w:t xml:space="preserve">crystal growth kinetics as well on properties of borax crystals obtained </w:t>
      </w:r>
      <w:r w:rsidR="00D47419" w:rsidRPr="00BB6631">
        <w:t>in the investigation conducted</w:t>
      </w:r>
      <w:r w:rsidR="00027BCA" w:rsidRPr="00BB6631">
        <w:t xml:space="preserve">. Borax </w:t>
      </w:r>
      <w:proofErr w:type="spellStart"/>
      <w:r w:rsidR="00D47419" w:rsidRPr="00BB6631">
        <w:t>decahydrate</w:t>
      </w:r>
      <w:proofErr w:type="spellEnd"/>
      <w:r w:rsidR="00D47419" w:rsidRPr="00BB6631">
        <w:t xml:space="preserve"> </w:t>
      </w:r>
      <w:r w:rsidR="00027BCA" w:rsidRPr="00BB6631">
        <w:t>present</w:t>
      </w:r>
      <w:r w:rsidR="00D47419" w:rsidRPr="00BB6631">
        <w:t xml:space="preserve">s on of the most important boron compound which </w:t>
      </w:r>
      <w:r w:rsidR="00D47419" w:rsidRPr="00BB6631">
        <w:rPr>
          <w:szCs w:val="18"/>
          <w:lang w:val="en-GB"/>
        </w:rPr>
        <w:t>has wide variety of uses</w:t>
      </w:r>
      <w:r w:rsidR="00D47419" w:rsidRPr="00BB6631">
        <w:rPr>
          <w:szCs w:val="18"/>
        </w:rPr>
        <w:t xml:space="preserve"> in all branches of process industry.</w:t>
      </w:r>
      <w:r w:rsidR="00D47419" w:rsidRPr="00BB6631">
        <w:rPr>
          <w:sz w:val="24"/>
          <w:szCs w:val="24"/>
          <w:lang w:val="en-GB"/>
        </w:rPr>
        <w:t xml:space="preserve"> </w:t>
      </w:r>
      <w:r w:rsidR="00D47419" w:rsidRPr="00BB6631">
        <w:rPr>
          <w:szCs w:val="18"/>
          <w:lang w:val="en-GB"/>
        </w:rPr>
        <w:t xml:space="preserve">Crystallization presents predominant operation in its production from </w:t>
      </w:r>
      <w:proofErr w:type="spellStart"/>
      <w:r w:rsidR="00D47419" w:rsidRPr="00BB6631">
        <w:rPr>
          <w:szCs w:val="18"/>
          <w:lang w:val="en-GB"/>
        </w:rPr>
        <w:t>tinkal</w:t>
      </w:r>
      <w:proofErr w:type="spellEnd"/>
      <w:r w:rsidR="00D47419" w:rsidRPr="00BB6631">
        <w:rPr>
          <w:szCs w:val="18"/>
          <w:lang w:val="en-GB"/>
        </w:rPr>
        <w:t xml:space="preserve"> ore. </w:t>
      </w:r>
      <w:r w:rsidR="006559BB" w:rsidRPr="00BB6631">
        <w:rPr>
          <w:szCs w:val="18"/>
          <w:lang w:val="en-GB"/>
        </w:rPr>
        <w:t>Obtaining</w:t>
      </w:r>
      <w:r w:rsidR="00D47419" w:rsidRPr="00BB6631">
        <w:rPr>
          <w:szCs w:val="18"/>
          <w:lang w:val="en-GB"/>
        </w:rPr>
        <w:t xml:space="preserve"> the product of desirable characteristics like crystal purity, morphology and size is very important to define the influence of process parameters on crystallization, one of them is cooling rate.</w:t>
      </w:r>
    </w:p>
    <w:p w:rsidR="00600535" w:rsidRPr="00BB6631" w:rsidRDefault="00080C3F" w:rsidP="005B6914">
      <w:pPr>
        <w:pStyle w:val="CETHeading1"/>
      </w:pPr>
      <w:r w:rsidRPr="00BB6631">
        <w:lastRenderedPageBreak/>
        <w:t xml:space="preserve">Materials and </w:t>
      </w:r>
      <w:r w:rsidR="0088288A" w:rsidRPr="00BB6631">
        <w:t>M</w:t>
      </w:r>
      <w:r w:rsidRPr="00BB6631">
        <w:t>ethod</w:t>
      </w:r>
      <w:r w:rsidR="0018411F" w:rsidRPr="00BB6631">
        <w:t>s</w:t>
      </w:r>
    </w:p>
    <w:p w:rsidR="008A7EF3" w:rsidRPr="00BB6631" w:rsidRDefault="00080C3F" w:rsidP="008A7EF3">
      <w:pPr>
        <w:pStyle w:val="CETBodytext"/>
        <w:rPr>
          <w:lang w:val="en-GB"/>
        </w:rPr>
      </w:pPr>
      <w:r w:rsidRPr="00BB6631">
        <w:rPr>
          <w:lang w:val="en-GB"/>
        </w:rPr>
        <w:t xml:space="preserve">All </w:t>
      </w:r>
      <w:r w:rsidR="005B3564" w:rsidRPr="00BB6631">
        <w:rPr>
          <w:lang w:val="en-GB"/>
        </w:rPr>
        <w:t>experiments</w:t>
      </w:r>
      <w:r w:rsidRPr="00BB6631">
        <w:rPr>
          <w:lang w:val="en-GB"/>
        </w:rPr>
        <w:t xml:space="preserve"> in this wo</w:t>
      </w:r>
      <w:r w:rsidR="005B3564" w:rsidRPr="00BB6631">
        <w:rPr>
          <w:lang w:val="en-GB"/>
        </w:rPr>
        <w:t>r</w:t>
      </w:r>
      <w:r w:rsidRPr="00BB6631">
        <w:rPr>
          <w:lang w:val="en-GB"/>
        </w:rPr>
        <w:t xml:space="preserve">k were carried out in apparatus </w:t>
      </w:r>
      <w:r w:rsidR="00741823" w:rsidRPr="00BB6631">
        <w:rPr>
          <w:lang w:val="en-GB"/>
        </w:rPr>
        <w:t>presented in</w:t>
      </w:r>
      <w:r w:rsidRPr="00BB6631">
        <w:rPr>
          <w:lang w:val="en-GB"/>
        </w:rPr>
        <w:t xml:space="preserve"> previously publish paper </w:t>
      </w:r>
      <w:r w:rsidR="00A23E72" w:rsidRPr="00BB6631">
        <w:rPr>
          <w:lang w:val="en-GB"/>
        </w:rPr>
        <w:t>(</w:t>
      </w:r>
      <w:proofErr w:type="spellStart"/>
      <w:r w:rsidR="00A23E72" w:rsidRPr="00BB6631">
        <w:rPr>
          <w:lang w:val="en-GB"/>
        </w:rPr>
        <w:t>Ćosić</w:t>
      </w:r>
      <w:proofErr w:type="spellEnd"/>
      <w:r w:rsidR="00A23E72" w:rsidRPr="00BB6631">
        <w:rPr>
          <w:lang w:val="en-GB"/>
        </w:rPr>
        <w:t xml:space="preserve"> et al., 2016</w:t>
      </w:r>
      <w:r w:rsidR="00E35BF8" w:rsidRPr="00BB6631">
        <w:rPr>
          <w:lang w:val="en-GB"/>
        </w:rPr>
        <w:t>)</w:t>
      </w:r>
      <w:r w:rsidR="005B3564" w:rsidRPr="00BB6631">
        <w:rPr>
          <w:lang w:val="en-GB"/>
        </w:rPr>
        <w:t>.</w:t>
      </w:r>
      <w:r w:rsidR="00E35BF8" w:rsidRPr="00BB6631">
        <w:rPr>
          <w:lang w:val="en-GB"/>
        </w:rPr>
        <w:t xml:space="preserve"> </w:t>
      </w:r>
      <w:r w:rsidR="005B3564" w:rsidRPr="00BB6631">
        <w:rPr>
          <w:lang w:val="en-GB"/>
        </w:rPr>
        <w:t xml:space="preserve">Crystallizer was a flat </w:t>
      </w:r>
      <w:r w:rsidR="00741823" w:rsidRPr="00BB6631">
        <w:rPr>
          <w:lang w:val="en-GB"/>
        </w:rPr>
        <w:t>bottomed glass</w:t>
      </w:r>
      <w:r w:rsidR="005B3564" w:rsidRPr="00BB6631">
        <w:rPr>
          <w:lang w:val="en-GB"/>
        </w:rPr>
        <w:t xml:space="preserve"> vessel with diameter </w:t>
      </w:r>
      <w:proofErr w:type="spellStart"/>
      <w:proofErr w:type="gramStart"/>
      <w:r w:rsidR="00A23E72" w:rsidRPr="00BB6631">
        <w:rPr>
          <w:i/>
          <w:lang w:val="en-GB"/>
        </w:rPr>
        <w:t>d</w:t>
      </w:r>
      <w:r w:rsidR="00A23E72" w:rsidRPr="00BB6631">
        <w:rPr>
          <w:vertAlign w:val="subscript"/>
          <w:lang w:val="en-GB"/>
        </w:rPr>
        <w:t>T</w:t>
      </w:r>
      <w:proofErr w:type="spellEnd"/>
      <w:proofErr w:type="gramEnd"/>
      <w:r w:rsidR="00CC7142" w:rsidRPr="00BB6631">
        <w:rPr>
          <w:vertAlign w:val="subscript"/>
          <w:lang w:val="en-GB"/>
        </w:rPr>
        <w:t xml:space="preserve"> </w:t>
      </w:r>
      <w:r w:rsidR="005B3564" w:rsidRPr="00BB6631">
        <w:rPr>
          <w:lang w:val="en-GB"/>
        </w:rPr>
        <w:t>=</w:t>
      </w:r>
      <w:r w:rsidR="00CC7142" w:rsidRPr="00BB6631">
        <w:rPr>
          <w:lang w:val="en-GB"/>
        </w:rPr>
        <w:t xml:space="preserve"> </w:t>
      </w:r>
      <w:r w:rsidR="005B3564" w:rsidRPr="00BB6631">
        <w:rPr>
          <w:lang w:val="en-GB"/>
        </w:rPr>
        <w:t>14 cm equipped with four baffles of standard dimension (</w:t>
      </w:r>
      <w:r w:rsidR="005B3564" w:rsidRPr="00BB6631">
        <w:rPr>
          <w:i/>
          <w:lang w:val="en-GB"/>
        </w:rPr>
        <w:t>w</w:t>
      </w:r>
      <w:r w:rsidR="00CC7142" w:rsidRPr="00BB6631">
        <w:rPr>
          <w:i/>
          <w:lang w:val="en-GB"/>
        </w:rPr>
        <w:t xml:space="preserve"> </w:t>
      </w:r>
      <w:r w:rsidR="005B3564" w:rsidRPr="00BB6631">
        <w:rPr>
          <w:lang w:val="en-GB"/>
        </w:rPr>
        <w:t>=</w:t>
      </w:r>
      <w:r w:rsidR="00741823" w:rsidRPr="00BB6631">
        <w:rPr>
          <w:lang w:val="en-GB"/>
        </w:rPr>
        <w:t xml:space="preserve"> </w:t>
      </w:r>
      <w:r w:rsidR="005B3564" w:rsidRPr="00BB6631">
        <w:rPr>
          <w:lang w:val="en-GB"/>
        </w:rPr>
        <w:t>1/10</w:t>
      </w:r>
      <w:r w:rsidR="00741823" w:rsidRPr="00BB6631">
        <w:rPr>
          <w:lang w:val="en-GB"/>
        </w:rPr>
        <w:t xml:space="preserve"> </w:t>
      </w:r>
      <w:proofErr w:type="spellStart"/>
      <w:r w:rsidR="005B3564" w:rsidRPr="00BB6631">
        <w:rPr>
          <w:i/>
          <w:lang w:val="en-GB"/>
        </w:rPr>
        <w:t>d</w:t>
      </w:r>
      <w:r w:rsidR="005B3564" w:rsidRPr="00BB6631">
        <w:rPr>
          <w:vertAlign w:val="subscript"/>
          <w:lang w:val="en-GB"/>
        </w:rPr>
        <w:t>T</w:t>
      </w:r>
      <w:proofErr w:type="spellEnd"/>
      <w:r w:rsidR="005B3564" w:rsidRPr="00BB6631">
        <w:rPr>
          <w:lang w:val="en-GB"/>
        </w:rPr>
        <w:t>)</w:t>
      </w:r>
      <w:r w:rsidR="00A23E72" w:rsidRPr="00BB6631">
        <w:rPr>
          <w:lang w:val="en-GB"/>
        </w:rPr>
        <w:t>. Liquid height</w:t>
      </w:r>
      <w:r w:rsidR="00EA5CDF" w:rsidRPr="00BB6631">
        <w:rPr>
          <w:lang w:val="en-GB"/>
        </w:rPr>
        <w:t xml:space="preserve">, </w:t>
      </w:r>
      <w:r w:rsidR="00EA5CDF" w:rsidRPr="00BB6631">
        <w:rPr>
          <w:i/>
          <w:lang w:val="en-GB"/>
        </w:rPr>
        <w:t>H</w:t>
      </w:r>
      <w:r w:rsidR="00EA5CDF" w:rsidRPr="00BB6631">
        <w:rPr>
          <w:lang w:val="en-GB"/>
        </w:rPr>
        <w:t>,</w:t>
      </w:r>
      <w:r w:rsidR="00A23E72" w:rsidRPr="00BB6631">
        <w:rPr>
          <w:lang w:val="en-GB"/>
        </w:rPr>
        <w:t xml:space="preserve"> </w:t>
      </w:r>
      <w:r w:rsidR="00EA5CDF" w:rsidRPr="00BB6631">
        <w:rPr>
          <w:lang w:val="en-GB"/>
        </w:rPr>
        <w:t>in</w:t>
      </w:r>
      <w:r w:rsidR="003045CD" w:rsidRPr="00BB6631">
        <w:rPr>
          <w:lang w:val="en-GB"/>
        </w:rPr>
        <w:t xml:space="preserve"> the crystallizer </w:t>
      </w:r>
      <w:r w:rsidR="00A23E72" w:rsidRPr="00BB6631">
        <w:rPr>
          <w:lang w:val="en-GB"/>
        </w:rPr>
        <w:t xml:space="preserve">was equal to vessel diameter. Crystallizer was immersed in thermostatic bath </w:t>
      </w:r>
      <w:r w:rsidR="006C6D3B" w:rsidRPr="00BB6631">
        <w:rPr>
          <w:lang w:val="en-GB"/>
        </w:rPr>
        <w:t>whose</w:t>
      </w:r>
      <w:r w:rsidR="00A23E72" w:rsidRPr="00BB6631">
        <w:rPr>
          <w:lang w:val="en-GB"/>
        </w:rPr>
        <w:t xml:space="preserve"> temperature w</w:t>
      </w:r>
      <w:r w:rsidR="00741823" w:rsidRPr="00BB6631">
        <w:rPr>
          <w:lang w:val="en-GB"/>
        </w:rPr>
        <w:t xml:space="preserve">as controlled by </w:t>
      </w:r>
      <w:r w:rsidR="00CC7142" w:rsidRPr="00BB6631">
        <w:rPr>
          <w:lang w:val="en-GB"/>
        </w:rPr>
        <w:t xml:space="preserve">Huber </w:t>
      </w:r>
      <w:proofErr w:type="spellStart"/>
      <w:r w:rsidR="00741823" w:rsidRPr="00BB6631">
        <w:rPr>
          <w:lang w:val="en-GB"/>
        </w:rPr>
        <w:t>Variostat</w:t>
      </w:r>
      <w:proofErr w:type="spellEnd"/>
      <w:r w:rsidR="00741823" w:rsidRPr="00BB6631">
        <w:rPr>
          <w:lang w:val="en-GB"/>
        </w:rPr>
        <w:t xml:space="preserve"> CC3. </w:t>
      </w:r>
      <w:r w:rsidR="00A23E72" w:rsidRPr="00BB6631">
        <w:rPr>
          <w:lang w:val="en-GB"/>
        </w:rPr>
        <w:t xml:space="preserve">Mixing in the </w:t>
      </w:r>
      <w:r w:rsidR="00741823" w:rsidRPr="00BB6631">
        <w:rPr>
          <w:lang w:val="en-GB"/>
        </w:rPr>
        <w:t>crystallizer</w:t>
      </w:r>
      <w:r w:rsidR="00A23E72" w:rsidRPr="00BB6631">
        <w:rPr>
          <w:lang w:val="en-GB"/>
        </w:rPr>
        <w:t xml:space="preserve"> was performed </w:t>
      </w:r>
      <w:r w:rsidR="003045CD" w:rsidRPr="00BB6631">
        <w:rPr>
          <w:lang w:val="en-GB"/>
        </w:rPr>
        <w:t xml:space="preserve">by </w:t>
      </w:r>
      <w:proofErr w:type="spellStart"/>
      <w:r w:rsidR="00CC7142" w:rsidRPr="00BB6631">
        <w:rPr>
          <w:lang w:val="en-GB"/>
        </w:rPr>
        <w:t>L</w:t>
      </w:r>
      <w:r w:rsidR="003045CD" w:rsidRPr="00BB6631">
        <w:rPr>
          <w:lang w:val="en-GB"/>
        </w:rPr>
        <w:t>ightnin</w:t>
      </w:r>
      <w:proofErr w:type="spellEnd"/>
      <w:r w:rsidR="003045CD" w:rsidRPr="00BB6631">
        <w:rPr>
          <w:lang w:val="en-GB"/>
        </w:rPr>
        <w:t xml:space="preserve"> </w:t>
      </w:r>
      <w:proofErr w:type="spellStart"/>
      <w:r w:rsidR="003045CD" w:rsidRPr="00BB6631">
        <w:rPr>
          <w:lang w:val="en-GB"/>
        </w:rPr>
        <w:t>Lab</w:t>
      </w:r>
      <w:r w:rsidR="00CC7142" w:rsidRPr="00BB6631">
        <w:rPr>
          <w:lang w:val="en-GB"/>
        </w:rPr>
        <w:t>M</w:t>
      </w:r>
      <w:r w:rsidR="003045CD" w:rsidRPr="00BB6631">
        <w:rPr>
          <w:lang w:val="en-GB"/>
        </w:rPr>
        <w:t>aster</w:t>
      </w:r>
      <w:proofErr w:type="spellEnd"/>
      <w:r w:rsidR="003045CD" w:rsidRPr="00BB6631">
        <w:rPr>
          <w:lang w:val="en-GB"/>
        </w:rPr>
        <w:t xml:space="preserve"> </w:t>
      </w:r>
      <w:r w:rsidR="00D47419" w:rsidRPr="00BB6631">
        <w:rPr>
          <w:lang w:val="en-GB"/>
        </w:rPr>
        <w:t xml:space="preserve">torque meter </w:t>
      </w:r>
      <w:r w:rsidR="003045CD" w:rsidRPr="00BB6631">
        <w:rPr>
          <w:lang w:val="en-GB"/>
        </w:rPr>
        <w:t xml:space="preserve">and turbine impeller. During examination two </w:t>
      </w:r>
      <w:r w:rsidR="00E35BF8" w:rsidRPr="00BB6631">
        <w:rPr>
          <w:lang w:val="en-GB"/>
        </w:rPr>
        <w:t>different</w:t>
      </w:r>
      <w:r w:rsidR="003045CD" w:rsidRPr="00BB6631">
        <w:rPr>
          <w:lang w:val="en-GB"/>
        </w:rPr>
        <w:t xml:space="preserve"> four bladed impellers were used</w:t>
      </w:r>
      <w:r w:rsidR="00E35BF8" w:rsidRPr="00BB6631">
        <w:rPr>
          <w:lang w:val="en-GB"/>
        </w:rPr>
        <w:t>; straight</w:t>
      </w:r>
      <w:r w:rsidR="00A23E72" w:rsidRPr="00BB6631">
        <w:rPr>
          <w:lang w:val="en-GB"/>
        </w:rPr>
        <w:t xml:space="preserve"> blade turbine and pitched blade </w:t>
      </w:r>
      <w:r w:rsidR="00741823" w:rsidRPr="00BB6631">
        <w:rPr>
          <w:lang w:val="en-GB"/>
        </w:rPr>
        <w:t xml:space="preserve">turbine </w:t>
      </w:r>
      <w:r w:rsidR="00E35BF8" w:rsidRPr="00BB6631">
        <w:rPr>
          <w:lang w:val="en-GB"/>
        </w:rPr>
        <w:t>with</w:t>
      </w:r>
      <w:r w:rsidR="00A23E72" w:rsidRPr="00BB6631">
        <w:rPr>
          <w:lang w:val="en-GB"/>
        </w:rPr>
        <w:t xml:space="preserve"> </w:t>
      </w:r>
      <w:r w:rsidR="00E35BF8" w:rsidRPr="00BB6631">
        <w:rPr>
          <w:lang w:val="en-GB"/>
        </w:rPr>
        <w:t>impeller</w:t>
      </w:r>
      <w:r w:rsidR="003045CD" w:rsidRPr="00BB6631">
        <w:rPr>
          <w:lang w:val="en-GB"/>
        </w:rPr>
        <w:t xml:space="preserve"> </w:t>
      </w:r>
      <w:r w:rsidR="00E35BF8" w:rsidRPr="00BB6631">
        <w:rPr>
          <w:lang w:val="en-GB"/>
        </w:rPr>
        <w:t>to tank</w:t>
      </w:r>
      <w:r w:rsidR="00A23E72" w:rsidRPr="00BB6631">
        <w:rPr>
          <w:lang w:val="en-GB"/>
        </w:rPr>
        <w:t xml:space="preserve"> diameter </w:t>
      </w:r>
      <w:r w:rsidR="00A23E72" w:rsidRPr="00BB6631">
        <w:rPr>
          <w:i/>
          <w:lang w:val="en-GB"/>
        </w:rPr>
        <w:t>D</w:t>
      </w:r>
      <w:r w:rsidR="00A23E72" w:rsidRPr="00BB6631">
        <w:rPr>
          <w:lang w:val="en-GB"/>
        </w:rPr>
        <w:t>/</w:t>
      </w:r>
      <w:proofErr w:type="spellStart"/>
      <w:r w:rsidR="00A23E72" w:rsidRPr="00BB6631">
        <w:rPr>
          <w:i/>
          <w:lang w:val="en-GB"/>
        </w:rPr>
        <w:t>d</w:t>
      </w:r>
      <w:r w:rsidR="003045CD" w:rsidRPr="00BB6631">
        <w:rPr>
          <w:vertAlign w:val="subscript"/>
          <w:lang w:val="en-GB"/>
        </w:rPr>
        <w:t>T</w:t>
      </w:r>
      <w:proofErr w:type="spellEnd"/>
      <w:r w:rsidR="00A23E72" w:rsidRPr="00BB6631">
        <w:rPr>
          <w:lang w:val="en-GB"/>
        </w:rPr>
        <w:t>=0.46</w:t>
      </w:r>
      <w:r w:rsidR="00E35BF8" w:rsidRPr="00BB6631">
        <w:rPr>
          <w:lang w:val="en-GB"/>
        </w:rPr>
        <w:t xml:space="preserve"> and impeller off-bottom </w:t>
      </w:r>
      <w:r w:rsidR="00DB48AC" w:rsidRPr="00BB6631">
        <w:rPr>
          <w:lang w:val="en-GB"/>
        </w:rPr>
        <w:t>clearance,</w:t>
      </w:r>
      <w:r w:rsidR="00E35BF8" w:rsidRPr="00BB6631">
        <w:rPr>
          <w:lang w:val="en-GB"/>
        </w:rPr>
        <w:t xml:space="preserve"> </w:t>
      </w:r>
      <w:r w:rsidR="00E35BF8" w:rsidRPr="00BB6631">
        <w:rPr>
          <w:i/>
          <w:lang w:val="en-GB"/>
        </w:rPr>
        <w:t>c/H</w:t>
      </w:r>
      <w:r w:rsidR="00E35BF8" w:rsidRPr="00BB6631">
        <w:rPr>
          <w:lang w:val="en-GB"/>
        </w:rPr>
        <w:t>=0.33</w:t>
      </w:r>
      <w:r w:rsidR="00A23E72" w:rsidRPr="00BB6631">
        <w:rPr>
          <w:lang w:val="en-GB"/>
        </w:rPr>
        <w:t xml:space="preserve">. </w:t>
      </w:r>
      <w:r w:rsidR="0092192F" w:rsidRPr="00BB6631">
        <w:rPr>
          <w:lang w:val="en-GB"/>
        </w:rPr>
        <w:t xml:space="preserve">In all experiments impeller speed was kept constant </w:t>
      </w:r>
      <w:r w:rsidR="0092192F" w:rsidRPr="00BB6631">
        <w:rPr>
          <w:i/>
          <w:lang w:val="en-GB"/>
        </w:rPr>
        <w:t>N</w:t>
      </w:r>
      <w:r w:rsidR="0092192F" w:rsidRPr="00BB6631">
        <w:rPr>
          <w:lang w:val="en-GB"/>
        </w:rPr>
        <w:t xml:space="preserve"> = 300 rpm. </w:t>
      </w:r>
      <w:r w:rsidR="00DB48AC" w:rsidRPr="00BB6631">
        <w:rPr>
          <w:lang w:val="en-GB"/>
        </w:rPr>
        <w:t xml:space="preserve">In this work </w:t>
      </w:r>
      <w:r w:rsidR="00CC7142" w:rsidRPr="00BB6631">
        <w:rPr>
          <w:lang w:val="en-GB"/>
        </w:rPr>
        <w:t xml:space="preserve">solutions </w:t>
      </w:r>
      <w:r w:rsidR="00645931" w:rsidRPr="00BB6631">
        <w:rPr>
          <w:lang w:val="en-GB"/>
        </w:rPr>
        <w:t xml:space="preserve">of </w:t>
      </w:r>
      <w:r w:rsidR="00DB48AC" w:rsidRPr="00BB6631">
        <w:rPr>
          <w:lang w:val="en-GB"/>
        </w:rPr>
        <w:t xml:space="preserve">disodium </w:t>
      </w:r>
      <w:proofErr w:type="spellStart"/>
      <w:r w:rsidR="00DB48AC" w:rsidRPr="00BB6631">
        <w:rPr>
          <w:lang w:val="en-GB"/>
        </w:rPr>
        <w:t>tetraborate</w:t>
      </w:r>
      <w:proofErr w:type="spellEnd"/>
      <w:r w:rsidR="00DB48AC" w:rsidRPr="00BB6631">
        <w:rPr>
          <w:lang w:val="en-GB"/>
        </w:rPr>
        <w:t xml:space="preserve"> </w:t>
      </w:r>
      <w:proofErr w:type="spellStart"/>
      <w:r w:rsidR="00DB48AC" w:rsidRPr="00BB6631">
        <w:rPr>
          <w:lang w:val="en-GB"/>
        </w:rPr>
        <w:t>decahydrate</w:t>
      </w:r>
      <w:proofErr w:type="spellEnd"/>
      <w:r w:rsidR="00DB48AC" w:rsidRPr="00BB6631">
        <w:rPr>
          <w:lang w:val="en-GB"/>
        </w:rPr>
        <w:t xml:space="preserve"> (borax) p.a</w:t>
      </w:r>
      <w:r w:rsidR="00645931" w:rsidRPr="00BB6631">
        <w:rPr>
          <w:lang w:val="en-GB"/>
        </w:rPr>
        <w:t>. (</w:t>
      </w:r>
      <w:proofErr w:type="spellStart"/>
      <w:r w:rsidR="00645931" w:rsidRPr="00BB6631">
        <w:rPr>
          <w:lang w:val="en-GB"/>
        </w:rPr>
        <w:t>Kemika</w:t>
      </w:r>
      <w:proofErr w:type="spellEnd"/>
      <w:r w:rsidR="00E06AA5" w:rsidRPr="00BB6631">
        <w:rPr>
          <w:lang w:val="en-GB"/>
        </w:rPr>
        <w:t>, Croatia</w:t>
      </w:r>
      <w:r w:rsidR="00645931" w:rsidRPr="00BB6631">
        <w:rPr>
          <w:lang w:val="en-GB"/>
        </w:rPr>
        <w:t>)</w:t>
      </w:r>
      <w:r w:rsidR="00DB48AC" w:rsidRPr="00BB6631">
        <w:rPr>
          <w:lang w:val="en-GB"/>
        </w:rPr>
        <w:t xml:space="preserve"> </w:t>
      </w:r>
      <w:r w:rsidR="00CC7142" w:rsidRPr="00BB6631">
        <w:rPr>
          <w:lang w:val="en-GB"/>
        </w:rPr>
        <w:t xml:space="preserve">saturated at 30°C </w:t>
      </w:r>
      <w:r w:rsidR="00DB48AC" w:rsidRPr="00BB6631">
        <w:rPr>
          <w:lang w:val="en-GB"/>
        </w:rPr>
        <w:t>were crystallize</w:t>
      </w:r>
      <w:r w:rsidR="006C6D3B" w:rsidRPr="00BB6631">
        <w:rPr>
          <w:lang w:val="en-GB"/>
        </w:rPr>
        <w:t>d</w:t>
      </w:r>
      <w:r w:rsidR="00DB48AC" w:rsidRPr="00BB6631">
        <w:rPr>
          <w:lang w:val="en-GB"/>
        </w:rPr>
        <w:t xml:space="preserve"> from its aqueous solutions by linear </w:t>
      </w:r>
      <w:r w:rsidR="00D738E4" w:rsidRPr="00BB6631">
        <w:rPr>
          <w:lang w:val="en-GB"/>
        </w:rPr>
        <w:t>cooling to 5 °C</w:t>
      </w:r>
      <w:r w:rsidR="00DB48AC" w:rsidRPr="00BB6631">
        <w:rPr>
          <w:lang w:val="en-GB"/>
        </w:rPr>
        <w:t>. Coo</w:t>
      </w:r>
      <w:r w:rsidR="00741823" w:rsidRPr="00BB6631">
        <w:rPr>
          <w:lang w:val="en-GB"/>
        </w:rPr>
        <w:t>ling rate were 4, 6 and 9</w:t>
      </w:r>
      <w:r w:rsidR="00061075" w:rsidRPr="00BB6631">
        <w:rPr>
          <w:lang w:val="en-GB"/>
        </w:rPr>
        <w:t xml:space="preserve"> °</w:t>
      </w:r>
      <w:r w:rsidR="00741823" w:rsidRPr="00BB6631">
        <w:rPr>
          <w:lang w:val="en-GB"/>
        </w:rPr>
        <w:t xml:space="preserve">C/h. </w:t>
      </w:r>
      <w:r w:rsidR="008A7EF3" w:rsidRPr="00BB6631">
        <w:rPr>
          <w:lang w:val="en-GB"/>
        </w:rPr>
        <w:t>Concentration inside the crystallizer was monitored by potentiometric method, i.e. using sodium ion-selective electrode in combination with Ag/</w:t>
      </w:r>
      <w:proofErr w:type="spellStart"/>
      <w:r w:rsidR="008A7EF3" w:rsidRPr="00BB6631">
        <w:rPr>
          <w:lang w:val="en-GB"/>
        </w:rPr>
        <w:t>AgCl</w:t>
      </w:r>
      <w:proofErr w:type="spellEnd"/>
      <w:r w:rsidR="008A7EF3" w:rsidRPr="00BB6631">
        <w:rPr>
          <w:lang w:val="en-GB"/>
        </w:rPr>
        <w:t xml:space="preserve"> referent electrode. Details about usage of this method in a batch cooling crystallize w</w:t>
      </w:r>
      <w:r w:rsidR="006C6D3B" w:rsidRPr="00BB6631">
        <w:rPr>
          <w:lang w:val="en-GB"/>
        </w:rPr>
        <w:t>ere</w:t>
      </w:r>
      <w:r w:rsidR="008A7EF3" w:rsidRPr="00BB6631">
        <w:rPr>
          <w:lang w:val="en-GB"/>
        </w:rPr>
        <w:t xml:space="preserve"> describe</w:t>
      </w:r>
      <w:r w:rsidR="006C6D3B" w:rsidRPr="00BB6631">
        <w:rPr>
          <w:lang w:val="en-GB"/>
        </w:rPr>
        <w:t>d</w:t>
      </w:r>
      <w:r w:rsidR="008A7EF3" w:rsidRPr="00BB6631">
        <w:rPr>
          <w:lang w:val="en-GB"/>
        </w:rPr>
        <w:t xml:space="preserve"> in details in above cited work.</w:t>
      </w:r>
    </w:p>
    <w:p w:rsidR="00586B2A" w:rsidRPr="00BB6631" w:rsidRDefault="00D738E4" w:rsidP="00586B2A">
      <w:pPr>
        <w:pStyle w:val="CETBodytext"/>
        <w:rPr>
          <w:lang w:val="en-GB"/>
        </w:rPr>
      </w:pPr>
      <w:r w:rsidRPr="00BB6631">
        <w:rPr>
          <w:lang w:val="en-GB"/>
        </w:rPr>
        <w:t>Upon nucleation</w:t>
      </w:r>
      <w:r w:rsidR="00CC7142" w:rsidRPr="00BB6631">
        <w:rPr>
          <w:lang w:val="en-GB"/>
        </w:rPr>
        <w:t>, a sample of the suspension was withdrawn</w:t>
      </w:r>
      <w:r w:rsidRPr="00BB6631">
        <w:rPr>
          <w:lang w:val="en-GB"/>
        </w:rPr>
        <w:t xml:space="preserve"> </w:t>
      </w:r>
      <w:r w:rsidR="00CC7142" w:rsidRPr="00BB6631">
        <w:rPr>
          <w:lang w:val="en-GB"/>
        </w:rPr>
        <w:t xml:space="preserve">from the system periodically in order to </w:t>
      </w:r>
      <w:r w:rsidR="0061098D" w:rsidRPr="00BB6631">
        <w:rPr>
          <w:lang w:val="en-GB"/>
        </w:rPr>
        <w:t>analyse</w:t>
      </w:r>
      <w:r w:rsidR="00CC7142" w:rsidRPr="00BB6631">
        <w:rPr>
          <w:lang w:val="en-GB"/>
        </w:rPr>
        <w:t xml:space="preserve"> the change of</w:t>
      </w:r>
      <w:r w:rsidRPr="00BB6631">
        <w:rPr>
          <w:lang w:val="en-GB"/>
        </w:rPr>
        <w:t xml:space="preserve"> </w:t>
      </w:r>
      <w:r w:rsidR="00CC7142" w:rsidRPr="00BB6631">
        <w:rPr>
          <w:lang w:val="en-GB"/>
        </w:rPr>
        <w:t>crystal size over process time. The withdrawal of the crystal</w:t>
      </w:r>
      <w:r w:rsidRPr="00BB6631">
        <w:rPr>
          <w:lang w:val="en-GB"/>
        </w:rPr>
        <w:t xml:space="preserve"> magma</w:t>
      </w:r>
      <w:r w:rsidR="00CC7142" w:rsidRPr="00BB6631">
        <w:rPr>
          <w:lang w:val="en-GB"/>
        </w:rPr>
        <w:t xml:space="preserve"> was conducted from a ﬁxed position, deﬁned by</w:t>
      </w:r>
      <w:r w:rsidRPr="00BB6631">
        <w:rPr>
          <w:lang w:val="en-GB"/>
        </w:rPr>
        <w:t xml:space="preserve"> </w:t>
      </w:r>
      <w:r w:rsidR="00CC7142" w:rsidRPr="00BB6631">
        <w:rPr>
          <w:lang w:val="en-GB"/>
        </w:rPr>
        <w:t xml:space="preserve">the liquid height of </w:t>
      </w:r>
      <w:r w:rsidR="00CC7142" w:rsidRPr="00BB6631">
        <w:rPr>
          <w:i/>
          <w:lang w:val="en-GB"/>
        </w:rPr>
        <w:t>z</w:t>
      </w:r>
      <w:r w:rsidRPr="00BB6631">
        <w:rPr>
          <w:i/>
          <w:lang w:val="en-GB"/>
        </w:rPr>
        <w:t>/</w:t>
      </w:r>
      <w:r w:rsidR="00CC7142" w:rsidRPr="00BB6631">
        <w:rPr>
          <w:i/>
          <w:lang w:val="en-GB"/>
        </w:rPr>
        <w:t>H</w:t>
      </w:r>
      <w:r w:rsidR="00CC7142" w:rsidRPr="00BB6631">
        <w:rPr>
          <w:lang w:val="en-GB"/>
        </w:rPr>
        <w:t xml:space="preserve"> </w:t>
      </w:r>
      <w:r w:rsidRPr="00BB6631">
        <w:rPr>
          <w:lang w:val="en-GB"/>
        </w:rPr>
        <w:t>=</w:t>
      </w:r>
      <w:r w:rsidR="00CC7142" w:rsidRPr="00BB6631">
        <w:rPr>
          <w:lang w:val="en-GB"/>
        </w:rPr>
        <w:t xml:space="preserve"> 0.8 and the distance between</w:t>
      </w:r>
      <w:r w:rsidRPr="00BB6631">
        <w:rPr>
          <w:lang w:val="en-GB"/>
        </w:rPr>
        <w:t xml:space="preserve"> </w:t>
      </w:r>
      <w:r w:rsidR="00CC7142" w:rsidRPr="00BB6631">
        <w:rPr>
          <w:lang w:val="en-GB"/>
        </w:rPr>
        <w:t>impeller shaft and vessel w</w:t>
      </w:r>
      <w:r w:rsidRPr="00BB6631">
        <w:rPr>
          <w:lang w:val="en-GB"/>
        </w:rPr>
        <w:t xml:space="preserve">all expressed by the ratio </w:t>
      </w:r>
      <w:r w:rsidRPr="00BB6631">
        <w:rPr>
          <w:i/>
          <w:lang w:val="en-GB"/>
        </w:rPr>
        <w:t xml:space="preserve">l </w:t>
      </w:r>
      <w:r w:rsidRPr="00BB6631">
        <w:rPr>
          <w:lang w:val="en-GB"/>
        </w:rPr>
        <w:t>= (</w:t>
      </w:r>
      <w:proofErr w:type="spellStart"/>
      <w:r w:rsidRPr="00BB6631">
        <w:rPr>
          <w:i/>
          <w:lang w:val="en-GB"/>
        </w:rPr>
        <w:t>d</w:t>
      </w:r>
      <w:r w:rsidR="00CC7142" w:rsidRPr="00BB6631">
        <w:rPr>
          <w:vertAlign w:val="subscript"/>
          <w:lang w:val="en-GB"/>
        </w:rPr>
        <w:t>T</w:t>
      </w:r>
      <w:proofErr w:type="spellEnd"/>
      <w:r w:rsidRPr="00BB6631">
        <w:rPr>
          <w:lang w:val="en-GB"/>
        </w:rPr>
        <w:t>/2) = 0.4</w:t>
      </w:r>
      <w:r w:rsidR="00CC7142" w:rsidRPr="00BB6631">
        <w:rPr>
          <w:lang w:val="en-GB"/>
        </w:rPr>
        <w:t>. After sampling, crystals were sized using the Carl</w:t>
      </w:r>
      <w:r w:rsidRPr="00BB6631">
        <w:rPr>
          <w:lang w:val="en-GB"/>
        </w:rPr>
        <w:t>-</w:t>
      </w:r>
      <w:r w:rsidR="00CC7142" w:rsidRPr="00BB6631">
        <w:rPr>
          <w:lang w:val="en-GB"/>
        </w:rPr>
        <w:t>Zeiss optical microscope and image analysis software (</w:t>
      </w:r>
      <w:proofErr w:type="spellStart"/>
      <w:r w:rsidR="00CC7142" w:rsidRPr="00BB6631">
        <w:rPr>
          <w:lang w:val="en-GB"/>
        </w:rPr>
        <w:t>Motic</w:t>
      </w:r>
      <w:proofErr w:type="spellEnd"/>
      <w:r w:rsidRPr="00BB6631">
        <w:rPr>
          <w:lang w:val="en-GB"/>
        </w:rPr>
        <w:t xml:space="preserve"> </w:t>
      </w:r>
      <w:r w:rsidR="00CC7142" w:rsidRPr="00BB6631">
        <w:rPr>
          <w:lang w:val="en-GB"/>
        </w:rPr>
        <w:t xml:space="preserve">Images Advanced 3.2). Upon </w:t>
      </w:r>
      <w:r w:rsidRPr="00BB6631">
        <w:rPr>
          <w:lang w:val="en-GB"/>
        </w:rPr>
        <w:t>completion of the process, crys</w:t>
      </w:r>
      <w:r w:rsidR="00CC7142" w:rsidRPr="00BB6631">
        <w:rPr>
          <w:lang w:val="en-GB"/>
        </w:rPr>
        <w:t>tals were ﬁltered, washed with acetone, and then dried at</w:t>
      </w:r>
      <w:r w:rsidRPr="00BB6631">
        <w:rPr>
          <w:lang w:val="en-GB"/>
        </w:rPr>
        <w:t xml:space="preserve"> </w:t>
      </w:r>
      <w:r w:rsidR="00CC7142" w:rsidRPr="00BB6631">
        <w:rPr>
          <w:lang w:val="en-GB"/>
        </w:rPr>
        <w:t xml:space="preserve">room temperature. </w:t>
      </w:r>
      <w:r w:rsidR="00B01F0C" w:rsidRPr="00BB6631">
        <w:rPr>
          <w:lang w:val="en-GB"/>
        </w:rPr>
        <w:t xml:space="preserve">Obtained product was sieved thought </w:t>
      </w:r>
      <w:r w:rsidR="006C6D3B" w:rsidRPr="00BB6631">
        <w:rPr>
          <w:lang w:val="en-GB"/>
        </w:rPr>
        <w:t>a</w:t>
      </w:r>
      <w:r w:rsidR="00B01F0C" w:rsidRPr="00BB6631">
        <w:rPr>
          <w:lang w:val="en-GB"/>
        </w:rPr>
        <w:t xml:space="preserve"> serie</w:t>
      </w:r>
      <w:r w:rsidR="008A7EF3" w:rsidRPr="00BB6631">
        <w:rPr>
          <w:lang w:val="en-GB"/>
        </w:rPr>
        <w:t>s</w:t>
      </w:r>
      <w:r w:rsidR="00B01F0C" w:rsidRPr="00BB6631">
        <w:rPr>
          <w:lang w:val="en-GB"/>
        </w:rPr>
        <w:t xml:space="preserve"> </w:t>
      </w:r>
      <w:r w:rsidR="008A7EF3" w:rsidRPr="00BB6631">
        <w:rPr>
          <w:lang w:val="en-GB"/>
        </w:rPr>
        <w:t>of Fisher´s U.S. standard sieves. Crystal size distribution is pres</w:t>
      </w:r>
      <w:r w:rsidR="0088288A" w:rsidRPr="00BB6631">
        <w:rPr>
          <w:lang w:val="en-GB"/>
        </w:rPr>
        <w:t>ented by distribution function.</w:t>
      </w:r>
    </w:p>
    <w:p w:rsidR="00586B2A" w:rsidRPr="00BB6631" w:rsidRDefault="00586B2A" w:rsidP="00586B2A">
      <w:pPr>
        <w:pStyle w:val="CETBodytext"/>
        <w:rPr>
          <w:lang w:val="en-GB"/>
        </w:rPr>
      </w:pPr>
    </w:p>
    <w:p w:rsidR="005B6914" w:rsidRPr="00BB6631" w:rsidRDefault="005B6914" w:rsidP="00586B2A">
      <w:pPr>
        <w:pStyle w:val="CETHeading1"/>
      </w:pPr>
      <w:r w:rsidRPr="00BB6631">
        <w:t xml:space="preserve">Experimental </w:t>
      </w:r>
      <w:r w:rsidR="0088288A" w:rsidRPr="00BB6631">
        <w:t>R</w:t>
      </w:r>
      <w:r w:rsidRPr="00BB6631">
        <w:t xml:space="preserve">esults and </w:t>
      </w:r>
      <w:r w:rsidR="0088288A" w:rsidRPr="00BB6631">
        <w:t>D</w:t>
      </w:r>
      <w:r w:rsidRPr="00BB6631">
        <w:t xml:space="preserve">iscussion </w:t>
      </w:r>
    </w:p>
    <w:p w:rsidR="005B6914" w:rsidRPr="00BB6631" w:rsidRDefault="005B6914" w:rsidP="005B6914">
      <w:pPr>
        <w:pStyle w:val="CETBodytext"/>
        <w:spacing w:before="120" w:after="120"/>
        <w:rPr>
          <w:b/>
          <w:lang w:val="en-GB"/>
        </w:rPr>
      </w:pPr>
      <w:r w:rsidRPr="00BB6631">
        <w:rPr>
          <w:b/>
          <w:lang w:val="en-GB"/>
        </w:rPr>
        <w:t xml:space="preserve">3.1. Influence of </w:t>
      </w:r>
      <w:r w:rsidR="008A4CCA" w:rsidRPr="00BB6631">
        <w:rPr>
          <w:b/>
          <w:lang w:val="en-GB"/>
        </w:rPr>
        <w:t>C</w:t>
      </w:r>
      <w:r w:rsidRPr="00BB6631">
        <w:rPr>
          <w:b/>
          <w:lang w:val="en-GB"/>
        </w:rPr>
        <w:t xml:space="preserve">ooling </w:t>
      </w:r>
      <w:r w:rsidR="008A4CCA" w:rsidRPr="00BB6631">
        <w:rPr>
          <w:b/>
          <w:lang w:val="en-GB"/>
        </w:rPr>
        <w:t>R</w:t>
      </w:r>
      <w:r w:rsidRPr="00BB6631">
        <w:rPr>
          <w:b/>
          <w:lang w:val="en-GB"/>
        </w:rPr>
        <w:t xml:space="preserve">ate on </w:t>
      </w:r>
      <w:r w:rsidR="008A4CCA" w:rsidRPr="00BB6631">
        <w:rPr>
          <w:b/>
          <w:lang w:val="en-GB"/>
        </w:rPr>
        <w:t>M</w:t>
      </w:r>
      <w:r w:rsidRPr="00BB6631">
        <w:rPr>
          <w:b/>
          <w:lang w:val="en-GB"/>
        </w:rPr>
        <w:t xml:space="preserve">etastable </w:t>
      </w:r>
      <w:r w:rsidR="008A4CCA" w:rsidRPr="00BB6631">
        <w:rPr>
          <w:b/>
          <w:lang w:val="en-GB"/>
        </w:rPr>
        <w:t>Z</w:t>
      </w:r>
      <w:r w:rsidRPr="00BB6631">
        <w:rPr>
          <w:b/>
          <w:lang w:val="en-GB"/>
        </w:rPr>
        <w:t xml:space="preserve">one </w:t>
      </w:r>
      <w:r w:rsidR="008A4CCA" w:rsidRPr="00BB6631">
        <w:rPr>
          <w:b/>
          <w:lang w:val="en-GB"/>
        </w:rPr>
        <w:t>W</w:t>
      </w:r>
      <w:r w:rsidRPr="00BB6631">
        <w:rPr>
          <w:b/>
          <w:lang w:val="en-GB"/>
        </w:rPr>
        <w:t xml:space="preserve">idth and </w:t>
      </w:r>
      <w:r w:rsidR="008A4CCA" w:rsidRPr="00BB6631">
        <w:rPr>
          <w:b/>
          <w:lang w:val="en-GB"/>
        </w:rPr>
        <w:t>N</w:t>
      </w:r>
      <w:r w:rsidRPr="00BB6631">
        <w:rPr>
          <w:b/>
          <w:lang w:val="en-GB"/>
        </w:rPr>
        <w:t xml:space="preserve">ucleation </w:t>
      </w:r>
      <w:r w:rsidR="008A4CCA" w:rsidRPr="00BB6631">
        <w:rPr>
          <w:b/>
          <w:lang w:val="en-GB"/>
        </w:rPr>
        <w:t>R</w:t>
      </w:r>
      <w:r w:rsidRPr="00BB6631">
        <w:rPr>
          <w:b/>
          <w:lang w:val="en-GB"/>
        </w:rPr>
        <w:t>ate</w:t>
      </w:r>
    </w:p>
    <w:p w:rsidR="003D31ED" w:rsidRPr="00BB6631" w:rsidRDefault="00C81387" w:rsidP="00600535">
      <w:pPr>
        <w:pStyle w:val="CETBodytext"/>
        <w:rPr>
          <w:lang w:val="en-GB"/>
        </w:rPr>
      </w:pPr>
      <w:r w:rsidRPr="00BB6631">
        <w:rPr>
          <w:lang w:val="en-GB"/>
        </w:rPr>
        <w:t>Metastable zone wi</w:t>
      </w:r>
      <w:r w:rsidR="00962885" w:rsidRPr="00BB6631">
        <w:rPr>
          <w:lang w:val="en-GB"/>
        </w:rPr>
        <w:t>d</w:t>
      </w:r>
      <w:r w:rsidRPr="00BB6631">
        <w:rPr>
          <w:lang w:val="en-GB"/>
        </w:rPr>
        <w:t>th</w:t>
      </w:r>
      <w:r w:rsidR="00962885" w:rsidRPr="00BB6631">
        <w:rPr>
          <w:lang w:val="en-GB"/>
        </w:rPr>
        <w:t xml:space="preserve"> (MSZW)</w:t>
      </w:r>
      <w:r w:rsidRPr="00BB6631">
        <w:rPr>
          <w:lang w:val="en-GB"/>
        </w:rPr>
        <w:t xml:space="preserve"> may be expressed as maximum allowable </w:t>
      </w:r>
      <w:proofErr w:type="spellStart"/>
      <w:r w:rsidR="0092192F" w:rsidRPr="00BB6631">
        <w:rPr>
          <w:lang w:val="en-GB"/>
        </w:rPr>
        <w:t>super</w:t>
      </w:r>
      <w:r w:rsidR="00EA5CDF" w:rsidRPr="00BB6631">
        <w:rPr>
          <w:lang w:val="en-GB"/>
        </w:rPr>
        <w:t>cooling</w:t>
      </w:r>
      <w:proofErr w:type="spellEnd"/>
      <w:r w:rsidR="00D3009B" w:rsidRPr="00BB6631">
        <w:rPr>
          <w:lang w:val="en-GB"/>
        </w:rPr>
        <w:t>,</w:t>
      </w:r>
      <w:r w:rsidRPr="00BB6631">
        <w:rPr>
          <w:rFonts w:cs="Arial"/>
          <w:lang w:val="en-GB"/>
        </w:rPr>
        <w:t xml:space="preserve"> ∆</w:t>
      </w:r>
      <w:proofErr w:type="spellStart"/>
      <w:r w:rsidRPr="00BB6631">
        <w:rPr>
          <w:i/>
          <w:lang w:val="en-GB"/>
        </w:rPr>
        <w:t>T</w:t>
      </w:r>
      <w:r w:rsidRPr="00BB6631">
        <w:rPr>
          <w:vertAlign w:val="subscript"/>
          <w:lang w:val="en-GB"/>
        </w:rPr>
        <w:t>max</w:t>
      </w:r>
      <w:proofErr w:type="spellEnd"/>
      <w:r w:rsidR="00D3009B" w:rsidRPr="00BB6631">
        <w:rPr>
          <w:lang w:val="en-GB"/>
        </w:rPr>
        <w:t>,</w:t>
      </w:r>
      <w:r w:rsidRPr="00BB6631">
        <w:rPr>
          <w:lang w:val="en-GB"/>
        </w:rPr>
        <w:t xml:space="preserve"> </w:t>
      </w:r>
      <w:r w:rsidR="003D31ED" w:rsidRPr="00BB6631">
        <w:rPr>
          <w:lang w:val="en-GB"/>
        </w:rPr>
        <w:t>or</w:t>
      </w:r>
      <w:r w:rsidRPr="00BB6631">
        <w:rPr>
          <w:lang w:val="en-GB"/>
        </w:rPr>
        <w:t xml:space="preserve"> maximal </w:t>
      </w:r>
      <w:r w:rsidR="00421C0D" w:rsidRPr="00BB6631">
        <w:rPr>
          <w:lang w:val="en-GB"/>
        </w:rPr>
        <w:t>allowable supersaturation</w:t>
      </w:r>
      <w:r w:rsidRPr="00BB6631">
        <w:rPr>
          <w:lang w:val="en-GB"/>
        </w:rPr>
        <w:t xml:space="preserve"> </w:t>
      </w:r>
      <w:r w:rsidRPr="00BB6631">
        <w:rPr>
          <w:rFonts w:cs="Arial"/>
          <w:lang w:val="en-GB"/>
        </w:rPr>
        <w:t>∆</w:t>
      </w:r>
      <w:proofErr w:type="spellStart"/>
      <w:r w:rsidR="00421C0D" w:rsidRPr="00BB6631">
        <w:rPr>
          <w:i/>
          <w:lang w:val="en-GB"/>
        </w:rPr>
        <w:t>c</w:t>
      </w:r>
      <w:r w:rsidRPr="00BB6631">
        <w:rPr>
          <w:vertAlign w:val="subscript"/>
          <w:lang w:val="en-GB"/>
        </w:rPr>
        <w:t>max</w:t>
      </w:r>
      <w:proofErr w:type="spellEnd"/>
      <w:r w:rsidR="00421C0D" w:rsidRPr="00BB6631">
        <w:rPr>
          <w:lang w:val="en-GB"/>
        </w:rPr>
        <w:t>.</w:t>
      </w:r>
      <w:r w:rsidR="002537AA" w:rsidRPr="00BB6631">
        <w:rPr>
          <w:lang w:val="en-GB"/>
        </w:rPr>
        <w:t xml:space="preserve"> </w:t>
      </w:r>
      <w:r w:rsidR="00962885" w:rsidRPr="00BB6631">
        <w:rPr>
          <w:lang w:val="en-GB"/>
        </w:rPr>
        <w:t>I</w:t>
      </w:r>
      <w:r w:rsidR="00421C0D" w:rsidRPr="00BB6631">
        <w:rPr>
          <w:lang w:val="en-GB"/>
        </w:rPr>
        <w:t>n this work</w:t>
      </w:r>
      <w:r w:rsidR="002537AA" w:rsidRPr="00BB6631">
        <w:rPr>
          <w:lang w:val="en-GB"/>
        </w:rPr>
        <w:t>,</w:t>
      </w:r>
      <w:r w:rsidR="00D3009B" w:rsidRPr="00BB6631">
        <w:rPr>
          <w:lang w:val="en-GB"/>
        </w:rPr>
        <w:t xml:space="preserve"> values of MSZW were</w:t>
      </w:r>
      <w:r w:rsidR="00421C0D" w:rsidRPr="00BB6631">
        <w:rPr>
          <w:lang w:val="en-GB"/>
        </w:rPr>
        <w:t xml:space="preserve"> estimated from the </w:t>
      </w:r>
      <w:r w:rsidR="00806D5B" w:rsidRPr="00BB6631">
        <w:rPr>
          <w:lang w:val="en-GB"/>
        </w:rPr>
        <w:t>absolute</w:t>
      </w:r>
      <w:r w:rsidR="003D31ED" w:rsidRPr="00BB6631">
        <w:rPr>
          <w:lang w:val="en-GB"/>
        </w:rPr>
        <w:t xml:space="preserve"> </w:t>
      </w:r>
      <w:r w:rsidR="00421C0D" w:rsidRPr="00BB6631">
        <w:rPr>
          <w:lang w:val="en-GB"/>
        </w:rPr>
        <w:t>supersaturation</w:t>
      </w:r>
      <w:r w:rsidR="002537AA" w:rsidRPr="00BB6631">
        <w:rPr>
          <w:lang w:val="en-GB"/>
        </w:rPr>
        <w:t>,</w:t>
      </w:r>
      <w:r w:rsidR="00421C0D" w:rsidRPr="00BB6631">
        <w:rPr>
          <w:lang w:val="en-GB"/>
        </w:rPr>
        <w:t xml:space="preserve"> </w:t>
      </w:r>
      <w:r w:rsidR="00373E0C" w:rsidRPr="00BB6631">
        <w:rPr>
          <w:lang w:val="en-GB"/>
        </w:rPr>
        <w:t>which</w:t>
      </w:r>
      <w:r w:rsidR="003D31ED" w:rsidRPr="00BB6631">
        <w:rPr>
          <w:lang w:val="en-GB"/>
        </w:rPr>
        <w:t xml:space="preserve"> </w:t>
      </w:r>
      <w:r w:rsidR="00BF670A" w:rsidRPr="00BB6631">
        <w:t xml:space="preserve">is a measure of the difference between the actual, </w:t>
      </w:r>
      <w:r w:rsidR="00BF670A" w:rsidRPr="00BB6631">
        <w:rPr>
          <w:i/>
        </w:rPr>
        <w:t>c</w:t>
      </w:r>
      <w:r w:rsidR="00BF670A" w:rsidRPr="00BB6631">
        <w:t xml:space="preserve">, and saturated concentration, </w:t>
      </w:r>
      <w:r w:rsidR="00BF670A" w:rsidRPr="00BB6631">
        <w:rPr>
          <w:i/>
        </w:rPr>
        <w:t>c</w:t>
      </w:r>
      <w:r w:rsidR="00BF670A" w:rsidRPr="00BB6631">
        <w:t>*</w:t>
      </w:r>
      <w:r w:rsidR="002537AA" w:rsidRPr="00BB6631">
        <w:t>,</w:t>
      </w:r>
      <w:r w:rsidR="00BF670A" w:rsidRPr="00BB6631">
        <w:t xml:space="preserve"> of the mother liquor</w:t>
      </w:r>
      <w:r w:rsidR="00806D5B" w:rsidRPr="00BB6631">
        <w:rPr>
          <w:lang w:val="en-GB"/>
        </w:rPr>
        <w:t>,</w:t>
      </w:r>
      <w:r w:rsidR="003D31ED" w:rsidRPr="00BB6631">
        <w:rPr>
          <w:lang w:val="en-GB"/>
        </w:rPr>
        <w:t xml:space="preserve"> (</w:t>
      </w:r>
      <w:r w:rsidR="003D31ED" w:rsidRPr="00BB6631">
        <w:rPr>
          <w:rFonts w:cs="Arial"/>
          <w:lang w:val="en-GB"/>
        </w:rPr>
        <w:t>∆</w:t>
      </w:r>
      <w:r w:rsidR="003D31ED" w:rsidRPr="00BB6631">
        <w:rPr>
          <w:i/>
          <w:lang w:val="en-GB"/>
        </w:rPr>
        <w:t>c</w:t>
      </w:r>
      <w:r w:rsidR="003D31ED" w:rsidRPr="00BB6631">
        <w:rPr>
          <w:lang w:val="en-GB"/>
        </w:rPr>
        <w:t xml:space="preserve"> =</w:t>
      </w:r>
      <w:r w:rsidR="00806D5B" w:rsidRPr="00BB6631">
        <w:rPr>
          <w:lang w:val="en-GB"/>
        </w:rPr>
        <w:t xml:space="preserve"> </w:t>
      </w:r>
      <w:r w:rsidR="003D31ED" w:rsidRPr="00BB6631">
        <w:rPr>
          <w:i/>
          <w:lang w:val="en-GB"/>
        </w:rPr>
        <w:t>c</w:t>
      </w:r>
      <w:r w:rsidR="00806D5B" w:rsidRPr="00BB6631">
        <w:rPr>
          <w:i/>
          <w:lang w:val="en-GB"/>
        </w:rPr>
        <w:t xml:space="preserve"> </w:t>
      </w:r>
      <w:r w:rsidR="003D31ED" w:rsidRPr="00BB6631">
        <w:rPr>
          <w:lang w:val="en-GB"/>
        </w:rPr>
        <w:t>-</w:t>
      </w:r>
      <w:r w:rsidR="00806D5B" w:rsidRPr="00BB6631">
        <w:rPr>
          <w:lang w:val="en-GB"/>
        </w:rPr>
        <w:t xml:space="preserve"> </w:t>
      </w:r>
      <w:r w:rsidR="003D31ED" w:rsidRPr="00BB6631">
        <w:rPr>
          <w:i/>
          <w:lang w:val="en-GB"/>
        </w:rPr>
        <w:t>c</w:t>
      </w:r>
      <w:r w:rsidR="003D31ED" w:rsidRPr="00BB6631">
        <w:rPr>
          <w:lang w:val="en-GB"/>
        </w:rPr>
        <w:t>*)</w:t>
      </w:r>
      <w:r w:rsidR="00806D5B" w:rsidRPr="00BB6631">
        <w:rPr>
          <w:lang w:val="en-GB"/>
        </w:rPr>
        <w:t>. T</w:t>
      </w:r>
      <w:r w:rsidR="003D31ED" w:rsidRPr="00BB6631">
        <w:rPr>
          <w:lang w:val="en-GB"/>
        </w:rPr>
        <w:t xml:space="preserve">he changes of </w:t>
      </w:r>
      <w:r w:rsidR="00D50A0F" w:rsidRPr="00BB6631">
        <w:rPr>
          <w:lang w:val="en-GB"/>
        </w:rPr>
        <w:t>supersaturation over</w:t>
      </w:r>
      <w:r w:rsidR="003D31ED" w:rsidRPr="00BB6631">
        <w:rPr>
          <w:lang w:val="en-GB"/>
        </w:rPr>
        <w:t xml:space="preserve"> process time in the solution saturated at 30</w:t>
      </w:r>
      <w:r w:rsidR="00BD6795" w:rsidRPr="00BB6631">
        <w:rPr>
          <w:lang w:val="en-GB"/>
        </w:rPr>
        <w:t xml:space="preserve"> </w:t>
      </w:r>
      <w:r w:rsidR="003D31ED" w:rsidRPr="00BB6631">
        <w:rPr>
          <w:lang w:val="en-GB"/>
        </w:rPr>
        <w:t xml:space="preserve">°C and cooled by </w:t>
      </w:r>
      <w:r w:rsidR="00806D5B" w:rsidRPr="00BB6631">
        <w:rPr>
          <w:lang w:val="en-GB"/>
        </w:rPr>
        <w:t xml:space="preserve">applied </w:t>
      </w:r>
      <w:r w:rsidR="003D31ED" w:rsidRPr="00BB6631">
        <w:rPr>
          <w:lang w:val="en-GB"/>
        </w:rPr>
        <w:t>linear cooling rate are given on Figure 1 for system</w:t>
      </w:r>
      <w:r w:rsidR="00806D5B" w:rsidRPr="00BB6631">
        <w:rPr>
          <w:lang w:val="en-GB"/>
        </w:rPr>
        <w:t>s</w:t>
      </w:r>
      <w:r w:rsidR="003D31ED" w:rsidRPr="00BB6631">
        <w:rPr>
          <w:lang w:val="en-GB"/>
        </w:rPr>
        <w:t xml:space="preserve"> </w:t>
      </w:r>
      <w:r w:rsidR="00806D5B" w:rsidRPr="00BB6631">
        <w:rPr>
          <w:lang w:val="en-GB"/>
        </w:rPr>
        <w:t>agitated</w:t>
      </w:r>
      <w:r w:rsidR="003D31ED" w:rsidRPr="00BB6631">
        <w:rPr>
          <w:lang w:val="en-GB"/>
        </w:rPr>
        <w:t xml:space="preserve"> by axial and radial</w:t>
      </w:r>
      <w:r w:rsidR="00806D5B" w:rsidRPr="00BB6631">
        <w:rPr>
          <w:lang w:val="en-GB"/>
        </w:rPr>
        <w:t xml:space="preserve"> turbine </w:t>
      </w:r>
      <w:r w:rsidR="003D31ED" w:rsidRPr="00BB6631">
        <w:rPr>
          <w:lang w:val="en-GB"/>
        </w:rPr>
        <w:t xml:space="preserve">impeller. </w:t>
      </w:r>
    </w:p>
    <w:p w:rsidR="0092192F" w:rsidRPr="00BB6631" w:rsidRDefault="0092192F" w:rsidP="0092192F">
      <w:pPr>
        <w:pStyle w:val="CETBodytext"/>
        <w:rPr>
          <w:lang w:val="en-GB"/>
        </w:rPr>
      </w:pPr>
    </w:p>
    <w:p w:rsidR="0092192F" w:rsidRPr="00BB6631" w:rsidRDefault="0092192F" w:rsidP="0092192F">
      <w:pPr>
        <w:pStyle w:val="CETBodytext"/>
        <w:rPr>
          <w:lang w:val="en-GB"/>
        </w:rPr>
      </w:pPr>
      <w:r w:rsidRPr="00BB6631">
        <w:rPr>
          <w:noProof/>
        </w:rPr>
        <w:drawing>
          <wp:inline distT="0" distB="0" distL="0" distR="0" wp14:anchorId="1A17AF14" wp14:editId="19A44AD7">
            <wp:extent cx="5579745" cy="2029700"/>
            <wp:effectExtent l="0" t="0" r="1905" b="889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2029700"/>
                    </a:xfrm>
                    <a:prstGeom prst="rect">
                      <a:avLst/>
                    </a:prstGeom>
                    <a:noFill/>
                    <a:ln>
                      <a:noFill/>
                    </a:ln>
                  </pic:spPr>
                </pic:pic>
              </a:graphicData>
            </a:graphic>
          </wp:inline>
        </w:drawing>
      </w:r>
    </w:p>
    <w:p w:rsidR="0092192F" w:rsidRPr="00BB6631" w:rsidRDefault="0092192F" w:rsidP="0092192F">
      <w:pPr>
        <w:pStyle w:val="CETBodytext"/>
        <w:ind w:left="709" w:hanging="709"/>
        <w:rPr>
          <w:lang w:val="en-GB"/>
        </w:rPr>
      </w:pPr>
      <w:r w:rsidRPr="00BB6631">
        <w:rPr>
          <w:i/>
          <w:lang w:val="en-GB"/>
        </w:rPr>
        <w:t xml:space="preserve">Figure1. Supersaturation changes at different cooling rate and impeller speed of 300 rpm in: a. SBT impeller system, b. </w:t>
      </w:r>
      <w:r w:rsidRPr="00BB6631">
        <w:rPr>
          <w:lang w:val="en-GB"/>
        </w:rPr>
        <w:t xml:space="preserve">PBT impeller system </w:t>
      </w:r>
    </w:p>
    <w:p w:rsidR="0092192F" w:rsidRPr="00BB6631" w:rsidRDefault="0092192F" w:rsidP="00600535">
      <w:pPr>
        <w:pStyle w:val="CETBodytext"/>
        <w:rPr>
          <w:lang w:val="en-GB"/>
        </w:rPr>
      </w:pPr>
    </w:p>
    <w:p w:rsidR="00AF30BA" w:rsidRPr="00BB6631" w:rsidRDefault="003D31ED" w:rsidP="00600535">
      <w:pPr>
        <w:pStyle w:val="CETBodytext"/>
        <w:rPr>
          <w:lang w:val="en-GB"/>
        </w:rPr>
      </w:pPr>
      <w:r w:rsidRPr="00BB6631">
        <w:rPr>
          <w:lang w:val="en-GB"/>
        </w:rPr>
        <w:t xml:space="preserve">From the </w:t>
      </w:r>
      <w:r w:rsidR="00A47C89" w:rsidRPr="00BB6631">
        <w:rPr>
          <w:lang w:val="en-GB"/>
        </w:rPr>
        <w:t>F</w:t>
      </w:r>
      <w:r w:rsidRPr="00BB6631">
        <w:rPr>
          <w:lang w:val="en-GB"/>
        </w:rPr>
        <w:t xml:space="preserve">igure </w:t>
      </w:r>
      <w:r w:rsidR="00A47C89" w:rsidRPr="00BB6631">
        <w:rPr>
          <w:lang w:val="en-GB"/>
        </w:rPr>
        <w:t xml:space="preserve">1 </w:t>
      </w:r>
      <w:r w:rsidRPr="00BB6631">
        <w:rPr>
          <w:lang w:val="en-GB"/>
        </w:rPr>
        <w:t xml:space="preserve">it can </w:t>
      </w:r>
      <w:r w:rsidR="00D6332F" w:rsidRPr="00BB6631">
        <w:rPr>
          <w:lang w:val="en-GB"/>
        </w:rPr>
        <w:t>be</w:t>
      </w:r>
      <w:r w:rsidRPr="00BB6631">
        <w:rPr>
          <w:lang w:val="en-GB"/>
        </w:rPr>
        <w:t xml:space="preserve"> </w:t>
      </w:r>
      <w:r w:rsidR="00D6332F" w:rsidRPr="00BB6631">
        <w:rPr>
          <w:lang w:val="en-GB"/>
        </w:rPr>
        <w:t>seen</w:t>
      </w:r>
      <w:r w:rsidRPr="00BB6631">
        <w:rPr>
          <w:lang w:val="en-GB"/>
        </w:rPr>
        <w:t xml:space="preserve"> that </w:t>
      </w:r>
      <w:r w:rsidR="00A7258D" w:rsidRPr="00BB6631">
        <w:rPr>
          <w:lang w:val="en-GB"/>
        </w:rPr>
        <w:t xml:space="preserve">supersaturation changes over process time </w:t>
      </w:r>
      <w:r w:rsidR="002537AA" w:rsidRPr="00BB6631">
        <w:rPr>
          <w:lang w:val="en-GB"/>
        </w:rPr>
        <w:t>presents a similar</w:t>
      </w:r>
      <w:r w:rsidR="00DC4E87" w:rsidRPr="00BB6631">
        <w:rPr>
          <w:vertAlign w:val="superscript"/>
          <w:lang w:val="en-GB"/>
        </w:rPr>
        <w:t xml:space="preserve"> </w:t>
      </w:r>
      <w:r w:rsidR="00EA5CDF" w:rsidRPr="00BB6631">
        <w:rPr>
          <w:lang w:val="en-GB"/>
        </w:rPr>
        <w:t>trend;</w:t>
      </w:r>
      <w:r w:rsidR="0096476A" w:rsidRPr="00BB6631">
        <w:rPr>
          <w:lang w:val="en-GB"/>
        </w:rPr>
        <w:t xml:space="preserve"> at the beginning supersaturation linearly increases, reaches the maxima and then decreases. </w:t>
      </w:r>
      <w:r w:rsidR="008C5055" w:rsidRPr="00BB6631">
        <w:rPr>
          <w:lang w:val="en-GB"/>
        </w:rPr>
        <w:t>Linear</w:t>
      </w:r>
      <w:r w:rsidR="00061075" w:rsidRPr="00BB6631">
        <w:rPr>
          <w:lang w:val="en-GB"/>
        </w:rPr>
        <w:t xml:space="preserve"> supersaturation </w:t>
      </w:r>
      <w:r w:rsidR="0092192F" w:rsidRPr="00BB6631">
        <w:rPr>
          <w:lang w:val="en-GB"/>
        </w:rPr>
        <w:t>increment depends</w:t>
      </w:r>
      <w:r w:rsidR="008C5055" w:rsidRPr="00BB6631">
        <w:rPr>
          <w:lang w:val="en-GB"/>
        </w:rPr>
        <w:t xml:space="preserve"> on </w:t>
      </w:r>
      <w:r w:rsidR="00061075" w:rsidRPr="00BB6631">
        <w:rPr>
          <w:lang w:val="en-GB"/>
        </w:rPr>
        <w:t>cooling</w:t>
      </w:r>
      <w:r w:rsidR="008C5055" w:rsidRPr="00BB6631">
        <w:rPr>
          <w:lang w:val="en-GB"/>
        </w:rPr>
        <w:t xml:space="preserve"> rate</w:t>
      </w:r>
      <w:r w:rsidR="00E93FD5" w:rsidRPr="00BB6631">
        <w:rPr>
          <w:lang w:val="en-GB"/>
        </w:rPr>
        <w:t xml:space="preserve">, so </w:t>
      </w:r>
      <w:r w:rsidR="003928B8" w:rsidRPr="00BB6631">
        <w:rPr>
          <w:lang w:val="en-GB"/>
        </w:rPr>
        <w:t>the s</w:t>
      </w:r>
      <w:r w:rsidR="0092192F" w:rsidRPr="00BB6631">
        <w:rPr>
          <w:lang w:val="en-GB"/>
        </w:rPr>
        <w:t>lope of this part of the curve,</w:t>
      </w:r>
      <w:r w:rsidR="003928B8" w:rsidRPr="00BB6631">
        <w:rPr>
          <w:lang w:val="en-GB"/>
        </w:rPr>
        <w:t xml:space="preserve"> is identical </w:t>
      </w:r>
      <w:r w:rsidR="0092192F" w:rsidRPr="00BB6631">
        <w:rPr>
          <w:lang w:val="en-GB"/>
        </w:rPr>
        <w:t xml:space="preserve">for the same cooling rate </w:t>
      </w:r>
      <w:r w:rsidR="003928B8" w:rsidRPr="00BB6631">
        <w:rPr>
          <w:lang w:val="en-GB"/>
        </w:rPr>
        <w:t xml:space="preserve">in axial and radial systems. </w:t>
      </w:r>
      <w:r w:rsidR="008C5055" w:rsidRPr="00BB6631">
        <w:rPr>
          <w:lang w:val="en-GB"/>
        </w:rPr>
        <w:t>Maxima</w:t>
      </w:r>
      <w:r w:rsidR="00061075" w:rsidRPr="00BB6631">
        <w:rPr>
          <w:lang w:val="en-GB"/>
        </w:rPr>
        <w:t>l value of</w:t>
      </w:r>
      <w:r w:rsidR="008C5055" w:rsidRPr="00BB6631">
        <w:rPr>
          <w:lang w:val="en-GB"/>
        </w:rPr>
        <w:t xml:space="preserve"> supersaturation presents </w:t>
      </w:r>
      <w:r w:rsidR="00061075" w:rsidRPr="00BB6631">
        <w:rPr>
          <w:lang w:val="en-GB"/>
        </w:rPr>
        <w:t>m</w:t>
      </w:r>
      <w:r w:rsidR="008C5055" w:rsidRPr="00BB6631">
        <w:rPr>
          <w:lang w:val="en-GB"/>
        </w:rPr>
        <w:t xml:space="preserve">etastable zone width, </w:t>
      </w:r>
      <w:r w:rsidR="008C5055" w:rsidRPr="00BB6631">
        <w:rPr>
          <w:rFonts w:cs="Arial"/>
          <w:lang w:val="en-GB"/>
        </w:rPr>
        <w:t>∆</w:t>
      </w:r>
      <w:proofErr w:type="spellStart"/>
      <w:r w:rsidR="008C5055" w:rsidRPr="00BB6631">
        <w:rPr>
          <w:i/>
          <w:lang w:val="en-GB"/>
        </w:rPr>
        <w:t>c</w:t>
      </w:r>
      <w:r w:rsidR="008C5055" w:rsidRPr="00BB6631">
        <w:rPr>
          <w:vertAlign w:val="subscript"/>
          <w:lang w:val="en-GB"/>
        </w:rPr>
        <w:t>max</w:t>
      </w:r>
      <w:proofErr w:type="spellEnd"/>
      <w:r w:rsidR="00B41A21" w:rsidRPr="00BB6631">
        <w:rPr>
          <w:vertAlign w:val="subscript"/>
          <w:lang w:val="en-GB"/>
        </w:rPr>
        <w:t xml:space="preserve">, </w:t>
      </w:r>
      <w:r w:rsidR="0092192F" w:rsidRPr="00BB6631">
        <w:rPr>
          <w:lang w:val="en-GB"/>
        </w:rPr>
        <w:t xml:space="preserve">i.e. </w:t>
      </w:r>
      <w:r w:rsidR="00A47C89" w:rsidRPr="00BB6631">
        <w:rPr>
          <w:lang w:val="en-GB"/>
        </w:rPr>
        <w:t>maximal allowable supersaturation at which nucleation started.</w:t>
      </w:r>
      <w:r w:rsidR="00A47C89" w:rsidRPr="00BB6631">
        <w:rPr>
          <w:vertAlign w:val="subscript"/>
          <w:lang w:val="en-GB"/>
        </w:rPr>
        <w:t xml:space="preserve"> </w:t>
      </w:r>
      <w:r w:rsidR="00A47C89" w:rsidRPr="00BB6631">
        <w:rPr>
          <w:lang w:val="en-GB"/>
        </w:rPr>
        <w:t>F</w:t>
      </w:r>
      <w:r w:rsidR="00B41A21" w:rsidRPr="00BB6631">
        <w:rPr>
          <w:lang w:val="en-GB"/>
        </w:rPr>
        <w:t>rom the results</w:t>
      </w:r>
      <w:r w:rsidR="002537AA" w:rsidRPr="00BB6631">
        <w:rPr>
          <w:lang w:val="en-GB"/>
        </w:rPr>
        <w:t>,</w:t>
      </w:r>
      <w:r w:rsidR="00B41A21" w:rsidRPr="00BB6631">
        <w:rPr>
          <w:lang w:val="en-GB"/>
        </w:rPr>
        <w:t xml:space="preserve"> it is clear that this parameter </w:t>
      </w:r>
      <w:r w:rsidR="00C34760" w:rsidRPr="00BB6631">
        <w:rPr>
          <w:lang w:val="en-GB"/>
        </w:rPr>
        <w:t>increases</w:t>
      </w:r>
      <w:r w:rsidR="00B41A21" w:rsidRPr="00BB6631">
        <w:rPr>
          <w:lang w:val="en-GB"/>
        </w:rPr>
        <w:t xml:space="preserve"> with cooling rate</w:t>
      </w:r>
      <w:r w:rsidR="006374A8" w:rsidRPr="00BB6631">
        <w:rPr>
          <w:lang w:val="en-GB"/>
        </w:rPr>
        <w:t>,</w:t>
      </w:r>
      <w:r w:rsidR="00B41A21" w:rsidRPr="00BB6631">
        <w:rPr>
          <w:lang w:val="en-GB"/>
        </w:rPr>
        <w:t xml:space="preserve"> </w:t>
      </w:r>
      <w:r w:rsidR="0092192F" w:rsidRPr="00BB6631">
        <w:rPr>
          <w:lang w:val="en-GB"/>
        </w:rPr>
        <w:t>and</w:t>
      </w:r>
      <w:r w:rsidR="00B41A21" w:rsidRPr="00BB6631">
        <w:rPr>
          <w:lang w:val="en-GB"/>
        </w:rPr>
        <w:t xml:space="preserve"> </w:t>
      </w:r>
      <w:r w:rsidR="006374A8" w:rsidRPr="00BB6631">
        <w:rPr>
          <w:lang w:val="en-GB"/>
        </w:rPr>
        <w:t>it reaches</w:t>
      </w:r>
      <w:r w:rsidR="00255C77" w:rsidRPr="00BB6631">
        <w:rPr>
          <w:lang w:val="en-GB"/>
        </w:rPr>
        <w:t xml:space="preserve"> the highest</w:t>
      </w:r>
      <w:r w:rsidR="006374A8" w:rsidRPr="00BB6631">
        <w:rPr>
          <w:lang w:val="en-GB"/>
        </w:rPr>
        <w:t xml:space="preserve"> value</w:t>
      </w:r>
      <w:r w:rsidR="00B41A21" w:rsidRPr="00BB6631">
        <w:rPr>
          <w:lang w:val="en-GB"/>
        </w:rPr>
        <w:t xml:space="preserve"> at 9 °C/h in </w:t>
      </w:r>
      <w:r w:rsidR="0092192F" w:rsidRPr="00BB6631">
        <w:rPr>
          <w:lang w:val="en-GB"/>
        </w:rPr>
        <w:t xml:space="preserve">the </w:t>
      </w:r>
      <w:r w:rsidR="00B41A21" w:rsidRPr="00BB6631">
        <w:rPr>
          <w:lang w:val="en-GB"/>
        </w:rPr>
        <w:t xml:space="preserve">both </w:t>
      </w:r>
      <w:r w:rsidR="00C34760" w:rsidRPr="00BB6631">
        <w:rPr>
          <w:lang w:val="en-GB"/>
        </w:rPr>
        <w:t>systems</w:t>
      </w:r>
      <w:r w:rsidR="00B41A21" w:rsidRPr="00BB6631">
        <w:rPr>
          <w:lang w:val="en-GB"/>
        </w:rPr>
        <w:t xml:space="preserve">. By </w:t>
      </w:r>
      <w:r w:rsidR="009748B8" w:rsidRPr="00BB6631">
        <w:rPr>
          <w:lang w:val="en-GB"/>
        </w:rPr>
        <w:t>deeper</w:t>
      </w:r>
      <w:r w:rsidR="00B41A21" w:rsidRPr="00BB6631">
        <w:rPr>
          <w:lang w:val="en-GB"/>
        </w:rPr>
        <w:t xml:space="preserve"> </w:t>
      </w:r>
      <w:r w:rsidR="00C34760" w:rsidRPr="00BB6631">
        <w:rPr>
          <w:lang w:val="en-GB"/>
        </w:rPr>
        <w:t>analysis</w:t>
      </w:r>
      <w:r w:rsidR="00B41A21" w:rsidRPr="00BB6631">
        <w:rPr>
          <w:lang w:val="en-GB"/>
        </w:rPr>
        <w:t xml:space="preserve"> of </w:t>
      </w:r>
      <w:r w:rsidR="0092192F" w:rsidRPr="00BB6631">
        <w:rPr>
          <w:lang w:val="en-GB"/>
        </w:rPr>
        <w:t>those results</w:t>
      </w:r>
      <w:r w:rsidR="00B41A21" w:rsidRPr="00BB6631">
        <w:rPr>
          <w:lang w:val="en-GB"/>
        </w:rPr>
        <w:t xml:space="preserve"> it can be seen that fluid flow pattern inside the </w:t>
      </w:r>
      <w:r w:rsidR="00E93FD5" w:rsidRPr="00BB6631">
        <w:rPr>
          <w:lang w:val="en-GB"/>
        </w:rPr>
        <w:t>crystallizer</w:t>
      </w:r>
      <w:r w:rsidR="00B41A21" w:rsidRPr="00BB6631">
        <w:rPr>
          <w:lang w:val="en-GB"/>
        </w:rPr>
        <w:t xml:space="preserve"> generated by axial and radial impeller have also an impact on MSZW. It is slightly lower in SBT impeller </w:t>
      </w:r>
      <w:r w:rsidR="0092192F" w:rsidRPr="00BB6631">
        <w:rPr>
          <w:lang w:val="en-GB"/>
        </w:rPr>
        <w:t xml:space="preserve">system </w:t>
      </w:r>
      <w:r w:rsidR="00A47C89" w:rsidRPr="00BB6631">
        <w:rPr>
          <w:lang w:val="en-GB"/>
        </w:rPr>
        <w:t xml:space="preserve">for the </w:t>
      </w:r>
      <w:r w:rsidR="00A47C89" w:rsidRPr="00BB6631">
        <w:rPr>
          <w:lang w:val="en-GB"/>
        </w:rPr>
        <w:lastRenderedPageBreak/>
        <w:t xml:space="preserve">same </w:t>
      </w:r>
      <w:r w:rsidR="00B41A21" w:rsidRPr="00BB6631">
        <w:rPr>
          <w:lang w:val="en-GB"/>
        </w:rPr>
        <w:t>c</w:t>
      </w:r>
      <w:r w:rsidR="00C34760" w:rsidRPr="00BB6631">
        <w:rPr>
          <w:lang w:val="en-GB"/>
        </w:rPr>
        <w:t>ooling rate</w:t>
      </w:r>
      <w:r w:rsidR="00A47C89" w:rsidRPr="00BB6631">
        <w:rPr>
          <w:lang w:val="en-GB"/>
        </w:rPr>
        <w:t>. However, from the results it is evident</w:t>
      </w:r>
      <w:r w:rsidR="00A7258D" w:rsidRPr="00BB6631">
        <w:rPr>
          <w:lang w:val="en-GB"/>
        </w:rPr>
        <w:t xml:space="preserve"> that cooling rate has much more prominent effect on MSZW than fluid flow pattern generated inside the crystallizer at the same impeller speed. </w:t>
      </w:r>
      <w:r w:rsidR="003928B8" w:rsidRPr="00BB6631">
        <w:rPr>
          <w:lang w:val="en-GB"/>
        </w:rPr>
        <w:t xml:space="preserve">Decrement of </w:t>
      </w:r>
      <w:r w:rsidR="00D6332F" w:rsidRPr="00BB6631">
        <w:rPr>
          <w:lang w:val="en-GB"/>
        </w:rPr>
        <w:t xml:space="preserve">supersaturation is </w:t>
      </w:r>
      <w:r w:rsidR="00B41A21" w:rsidRPr="00BB6631">
        <w:rPr>
          <w:lang w:val="en-GB"/>
        </w:rPr>
        <w:t>consequence</w:t>
      </w:r>
      <w:r w:rsidR="00D6332F" w:rsidRPr="00BB6631">
        <w:rPr>
          <w:lang w:val="en-GB"/>
        </w:rPr>
        <w:t xml:space="preserve"> of </w:t>
      </w:r>
      <w:proofErr w:type="spellStart"/>
      <w:r w:rsidR="00D6332F" w:rsidRPr="00BB6631">
        <w:rPr>
          <w:lang w:val="en-GB"/>
        </w:rPr>
        <w:t>desupersaturatio</w:t>
      </w:r>
      <w:r w:rsidR="00255C77" w:rsidRPr="00BB6631">
        <w:rPr>
          <w:lang w:val="en-GB"/>
        </w:rPr>
        <w:t>n</w:t>
      </w:r>
      <w:proofErr w:type="spellEnd"/>
      <w:r w:rsidR="00D6332F" w:rsidRPr="00BB6631">
        <w:rPr>
          <w:lang w:val="en-GB"/>
        </w:rPr>
        <w:t xml:space="preserve"> due to </w:t>
      </w:r>
      <w:r w:rsidR="00255C77" w:rsidRPr="00BB6631">
        <w:rPr>
          <w:lang w:val="en-GB"/>
        </w:rPr>
        <w:t>crystal</w:t>
      </w:r>
      <w:r w:rsidR="00D6332F" w:rsidRPr="00BB6631">
        <w:rPr>
          <w:lang w:val="en-GB"/>
        </w:rPr>
        <w:t xml:space="preserve"> </w:t>
      </w:r>
      <w:r w:rsidR="00255C77" w:rsidRPr="00BB6631">
        <w:rPr>
          <w:lang w:val="en-GB"/>
        </w:rPr>
        <w:t>growth</w:t>
      </w:r>
      <w:r w:rsidR="00D6332F" w:rsidRPr="00BB6631">
        <w:rPr>
          <w:lang w:val="en-GB"/>
        </w:rPr>
        <w:t xml:space="preserve"> and secondary </w:t>
      </w:r>
      <w:r w:rsidR="003928B8" w:rsidRPr="00BB6631">
        <w:rPr>
          <w:lang w:val="en-GB"/>
        </w:rPr>
        <w:t xml:space="preserve">nucleation </w:t>
      </w:r>
      <w:r w:rsidR="005A5427" w:rsidRPr="00BB6631">
        <w:rPr>
          <w:lang w:val="en-GB"/>
        </w:rPr>
        <w:t>that</w:t>
      </w:r>
      <w:r w:rsidR="003928B8" w:rsidRPr="00BB6631">
        <w:rPr>
          <w:lang w:val="en-GB"/>
        </w:rPr>
        <w:t xml:space="preserve"> will be discussed latter </w:t>
      </w:r>
      <w:r w:rsidR="00B41A21" w:rsidRPr="00BB6631">
        <w:rPr>
          <w:lang w:val="en-GB"/>
        </w:rPr>
        <w:t>during crystal growth analysis.</w:t>
      </w:r>
      <w:r w:rsidR="00D6332F" w:rsidRPr="00BB6631">
        <w:rPr>
          <w:lang w:val="en-GB"/>
        </w:rPr>
        <w:t xml:space="preserve"> </w:t>
      </w:r>
    </w:p>
    <w:p w:rsidR="0020523F" w:rsidRPr="00BB6631" w:rsidRDefault="0096476A" w:rsidP="002C1EE3">
      <w:pPr>
        <w:pStyle w:val="CETBodytext"/>
        <w:rPr>
          <w:noProof/>
          <w:szCs w:val="18"/>
        </w:rPr>
      </w:pPr>
      <w:r w:rsidRPr="00BB6631">
        <w:rPr>
          <w:noProof/>
          <w:szCs w:val="18"/>
        </w:rPr>
        <w:t>The nucleation rate is proportional to metastable zone wi</w:t>
      </w:r>
      <w:r w:rsidR="00E70D5E" w:rsidRPr="00BB6631">
        <w:rPr>
          <w:noProof/>
          <w:szCs w:val="18"/>
        </w:rPr>
        <w:t>d</w:t>
      </w:r>
      <w:r w:rsidRPr="00BB6631">
        <w:rPr>
          <w:noProof/>
          <w:szCs w:val="18"/>
        </w:rPr>
        <w:t>th and many correlation</w:t>
      </w:r>
      <w:r w:rsidR="00BB3705" w:rsidRPr="00BB6631">
        <w:rPr>
          <w:noProof/>
          <w:szCs w:val="18"/>
        </w:rPr>
        <w:t>s</w:t>
      </w:r>
      <w:r w:rsidRPr="00BB6631">
        <w:rPr>
          <w:noProof/>
          <w:szCs w:val="18"/>
        </w:rPr>
        <w:t xml:space="preserve"> were proposed </w:t>
      </w:r>
      <w:r w:rsidR="00BB3705" w:rsidRPr="00BB6631">
        <w:rPr>
          <w:noProof/>
          <w:szCs w:val="18"/>
        </w:rPr>
        <w:t>between</w:t>
      </w:r>
      <w:r w:rsidRPr="00BB6631">
        <w:rPr>
          <w:noProof/>
          <w:szCs w:val="18"/>
        </w:rPr>
        <w:t xml:space="preserve"> nucleation rate and MSZW</w:t>
      </w:r>
      <w:r w:rsidR="00E70D5E" w:rsidRPr="00BB6631">
        <w:rPr>
          <w:noProof/>
          <w:szCs w:val="18"/>
        </w:rPr>
        <w:t>.</w:t>
      </w:r>
      <w:r w:rsidRPr="00BB6631">
        <w:rPr>
          <w:noProof/>
          <w:szCs w:val="18"/>
        </w:rPr>
        <w:t xml:space="preserve"> The rate of nucleation, </w:t>
      </w:r>
      <w:r w:rsidRPr="00BB6631">
        <w:rPr>
          <w:i/>
          <w:noProof/>
          <w:szCs w:val="18"/>
        </w:rPr>
        <w:t>B</w:t>
      </w:r>
      <w:r w:rsidRPr="00BB6631">
        <w:rPr>
          <w:noProof/>
          <w:szCs w:val="18"/>
        </w:rPr>
        <w:t>, is the sum of the four contributions of different mechanisms;</w:t>
      </w:r>
      <w:r w:rsidRPr="00BB6631">
        <w:rPr>
          <w:i/>
          <w:noProof/>
          <w:szCs w:val="18"/>
        </w:rPr>
        <w:t xml:space="preserve"> </w:t>
      </w:r>
      <w:r w:rsidRPr="00BB6631">
        <w:rPr>
          <w:noProof/>
          <w:szCs w:val="18"/>
        </w:rPr>
        <w:t>homogeneous nucleation</w:t>
      </w:r>
      <w:r w:rsidRPr="00BB6631">
        <w:rPr>
          <w:i/>
          <w:noProof/>
          <w:szCs w:val="18"/>
        </w:rPr>
        <w:t>, B</w:t>
      </w:r>
      <w:r w:rsidRPr="00BB6631">
        <w:rPr>
          <w:noProof/>
          <w:szCs w:val="18"/>
          <w:vertAlign w:val="subscript"/>
        </w:rPr>
        <w:t>hom</w:t>
      </w:r>
      <w:r w:rsidRPr="00BB6631">
        <w:rPr>
          <w:noProof/>
          <w:szCs w:val="18"/>
        </w:rPr>
        <w:t xml:space="preserve">, heterogeneous nucleation, </w:t>
      </w:r>
      <w:r w:rsidRPr="00BB6631">
        <w:rPr>
          <w:i/>
          <w:noProof/>
          <w:szCs w:val="18"/>
        </w:rPr>
        <w:t>B</w:t>
      </w:r>
      <w:r w:rsidRPr="00BB6631">
        <w:rPr>
          <w:noProof/>
          <w:szCs w:val="18"/>
          <w:vertAlign w:val="subscript"/>
        </w:rPr>
        <w:t>het</w:t>
      </w:r>
      <w:r w:rsidRPr="00BB6631">
        <w:rPr>
          <w:noProof/>
          <w:szCs w:val="18"/>
        </w:rPr>
        <w:t xml:space="preserve">, secondary surface nucleation, </w:t>
      </w:r>
      <w:r w:rsidRPr="00BB6631">
        <w:rPr>
          <w:i/>
          <w:noProof/>
          <w:szCs w:val="18"/>
        </w:rPr>
        <w:t>B</w:t>
      </w:r>
      <w:r w:rsidRPr="00BB6631">
        <w:rPr>
          <w:noProof/>
          <w:szCs w:val="18"/>
          <w:vertAlign w:val="subscript"/>
        </w:rPr>
        <w:t>sur</w:t>
      </w:r>
      <w:r w:rsidR="008A4CCA" w:rsidRPr="00BB6631">
        <w:rPr>
          <w:noProof/>
          <w:szCs w:val="18"/>
        </w:rPr>
        <w:t>,</w:t>
      </w:r>
      <w:r w:rsidRPr="00BB6631">
        <w:rPr>
          <w:noProof/>
          <w:szCs w:val="18"/>
        </w:rPr>
        <w:t xml:space="preserve"> attrition induced secondary nucleation,</w:t>
      </w:r>
      <w:r w:rsidRPr="00BB6631">
        <w:rPr>
          <w:i/>
          <w:noProof/>
          <w:szCs w:val="18"/>
        </w:rPr>
        <w:t xml:space="preserve"> B</w:t>
      </w:r>
      <w:r w:rsidRPr="00BB6631">
        <w:rPr>
          <w:noProof/>
          <w:szCs w:val="18"/>
          <w:vertAlign w:val="subscript"/>
        </w:rPr>
        <w:t>att</w:t>
      </w:r>
      <w:r w:rsidRPr="00BB6631">
        <w:rPr>
          <w:noProof/>
          <w:szCs w:val="18"/>
        </w:rPr>
        <w:t xml:space="preserve">. Kim and Mersmann (2001) assumed that </w:t>
      </w:r>
      <w:r w:rsidR="0092192F" w:rsidRPr="00BB6631">
        <w:rPr>
          <w:noProof/>
          <w:szCs w:val="18"/>
        </w:rPr>
        <w:t xml:space="preserve">at certain </w:t>
      </w:r>
      <w:r w:rsidRPr="00BB6631">
        <w:rPr>
          <w:noProof/>
          <w:szCs w:val="18"/>
        </w:rPr>
        <w:t>supersaturation one mechanism become</w:t>
      </w:r>
      <w:r w:rsidR="00BB3705" w:rsidRPr="00BB6631">
        <w:rPr>
          <w:noProof/>
          <w:szCs w:val="18"/>
        </w:rPr>
        <w:t>s</w:t>
      </w:r>
      <w:r w:rsidRPr="00BB6631">
        <w:rPr>
          <w:noProof/>
          <w:szCs w:val="18"/>
        </w:rPr>
        <w:t xml:space="preserve"> dominan</w:t>
      </w:r>
      <w:r w:rsidR="008A4CCA" w:rsidRPr="00BB6631">
        <w:rPr>
          <w:noProof/>
          <w:szCs w:val="18"/>
        </w:rPr>
        <w:t>t</w:t>
      </w:r>
      <w:r w:rsidR="00871D13" w:rsidRPr="00BB6631">
        <w:rPr>
          <w:noProof/>
          <w:szCs w:val="18"/>
        </w:rPr>
        <w:t>ing and they suggested nucleation</w:t>
      </w:r>
      <w:r w:rsidRPr="00BB6631">
        <w:rPr>
          <w:noProof/>
          <w:szCs w:val="18"/>
        </w:rPr>
        <w:t xml:space="preserve"> criterion which presents dimensionless metastable supersaturation </w:t>
      </w:r>
      <w:r w:rsidRPr="00BB6631">
        <w:rPr>
          <w:rFonts w:ascii="Symbol" w:hAnsi="Symbol"/>
          <w:noProof/>
          <w:szCs w:val="18"/>
        </w:rPr>
        <w:t></w:t>
      </w:r>
      <w:r w:rsidRPr="00BB6631">
        <w:rPr>
          <w:i/>
          <w:noProof/>
          <w:szCs w:val="18"/>
        </w:rPr>
        <w:t>c</w:t>
      </w:r>
      <w:r w:rsidRPr="00BB6631">
        <w:rPr>
          <w:noProof/>
          <w:szCs w:val="18"/>
          <w:vertAlign w:val="subscript"/>
        </w:rPr>
        <w:t>max</w:t>
      </w:r>
      <w:r w:rsidRPr="00BB6631">
        <w:rPr>
          <w:noProof/>
          <w:szCs w:val="18"/>
        </w:rPr>
        <w:t>/</w:t>
      </w:r>
      <w:r w:rsidRPr="00BB6631">
        <w:rPr>
          <w:i/>
          <w:noProof/>
          <w:szCs w:val="18"/>
        </w:rPr>
        <w:t>c</w:t>
      </w:r>
      <w:r w:rsidRPr="00BB6631">
        <w:rPr>
          <w:noProof/>
          <w:szCs w:val="18"/>
          <w:vertAlign w:val="subscript"/>
        </w:rPr>
        <w:t>c</w:t>
      </w:r>
      <w:r w:rsidR="0092192F" w:rsidRPr="00BB6631">
        <w:rPr>
          <w:noProof/>
          <w:szCs w:val="18"/>
        </w:rPr>
        <w:t xml:space="preserve"> vs. </w:t>
      </w:r>
      <w:r w:rsidRPr="00BB6631">
        <w:rPr>
          <w:noProof/>
          <w:szCs w:val="18"/>
        </w:rPr>
        <w:t xml:space="preserve">dimensionless solubility </w:t>
      </w:r>
      <w:r w:rsidRPr="00BB6631">
        <w:rPr>
          <w:i/>
          <w:noProof/>
          <w:szCs w:val="18"/>
        </w:rPr>
        <w:t>c</w:t>
      </w:r>
      <w:r w:rsidRPr="00BB6631">
        <w:rPr>
          <w:noProof/>
          <w:szCs w:val="18"/>
          <w:vertAlign w:val="superscript"/>
        </w:rPr>
        <w:t>*</w:t>
      </w:r>
      <w:r w:rsidRPr="00BB6631">
        <w:rPr>
          <w:noProof/>
          <w:szCs w:val="18"/>
        </w:rPr>
        <w:t>/</w:t>
      </w:r>
      <w:r w:rsidRPr="00BB6631">
        <w:rPr>
          <w:i/>
          <w:noProof/>
          <w:szCs w:val="18"/>
        </w:rPr>
        <w:t>c</w:t>
      </w:r>
      <w:r w:rsidRPr="00BB6631">
        <w:rPr>
          <w:noProof/>
          <w:szCs w:val="18"/>
          <w:vertAlign w:val="subscript"/>
        </w:rPr>
        <w:t>c</w:t>
      </w:r>
      <w:r w:rsidRPr="00BB6631">
        <w:rPr>
          <w:noProof/>
          <w:szCs w:val="18"/>
        </w:rPr>
        <w:t xml:space="preserve"> diagram, </w:t>
      </w:r>
      <w:r w:rsidRPr="00BB6631">
        <w:rPr>
          <w:lang w:val="en-GB"/>
        </w:rPr>
        <w:t xml:space="preserve">where </w:t>
      </w:r>
      <w:r w:rsidR="00255C77" w:rsidRPr="00BB6631">
        <w:rPr>
          <w:i/>
          <w:lang w:val="en-GB"/>
        </w:rPr>
        <w:t>c</w:t>
      </w:r>
      <w:r w:rsidRPr="00BB6631">
        <w:rPr>
          <w:vertAlign w:val="subscript"/>
          <w:lang w:val="en-GB"/>
        </w:rPr>
        <w:t>c</w:t>
      </w:r>
      <w:r w:rsidR="00E90FF5" w:rsidRPr="00BB6631">
        <w:rPr>
          <w:lang w:val="en-GB"/>
        </w:rPr>
        <w:t xml:space="preserve"> </w:t>
      </w:r>
      <w:r w:rsidRPr="00BB6631">
        <w:rPr>
          <w:lang w:val="en-GB"/>
        </w:rPr>
        <w:t>is molar crystal density</w:t>
      </w:r>
      <w:r w:rsidRPr="00BB6631">
        <w:rPr>
          <w:noProof/>
          <w:szCs w:val="18"/>
        </w:rPr>
        <w:t xml:space="preserve">. </w:t>
      </w:r>
      <w:r w:rsidRPr="00BB6631">
        <w:t xml:space="preserve">In </w:t>
      </w:r>
      <w:proofErr w:type="spellStart"/>
      <w:r w:rsidRPr="00BB6631">
        <w:t>Mersmann´s</w:t>
      </w:r>
      <w:proofErr w:type="spellEnd"/>
      <w:r w:rsidRPr="00BB6631">
        <w:t xml:space="preserve"> nucleation criterion </w:t>
      </w:r>
      <w:r w:rsidR="008D371B" w:rsidRPr="00BB6631">
        <w:t>shown i</w:t>
      </w:r>
      <w:r w:rsidRPr="00BB6631">
        <w:t>n</w:t>
      </w:r>
      <w:r w:rsidR="002C1EE3" w:rsidRPr="00BB6631">
        <w:t xml:space="preserve"> F</w:t>
      </w:r>
      <w:r w:rsidRPr="00BB6631">
        <w:t>igure 2a experimental data obtained in this investigation were marked by symbols. I</w:t>
      </w:r>
      <w:r w:rsidRPr="00BB6631">
        <w:rPr>
          <w:noProof/>
          <w:szCs w:val="18"/>
        </w:rPr>
        <w:t>t was found that the heterogeneous primary nucleation is the dominating mechanism in all systems examined.</w:t>
      </w:r>
      <w:r w:rsidR="008A4CCA" w:rsidRPr="00BB6631">
        <w:rPr>
          <w:noProof/>
          <w:szCs w:val="18"/>
        </w:rPr>
        <w:t xml:space="preserve"> </w:t>
      </w:r>
      <w:r w:rsidR="0020523F" w:rsidRPr="00BB6631">
        <w:rPr>
          <w:noProof/>
          <w:szCs w:val="18"/>
        </w:rPr>
        <w:t xml:space="preserve">In this case the </w:t>
      </w:r>
      <w:r w:rsidR="008A4CCA" w:rsidRPr="00BB6631">
        <w:rPr>
          <w:noProof/>
          <w:szCs w:val="18"/>
        </w:rPr>
        <w:t xml:space="preserve">heterogeneous </w:t>
      </w:r>
      <w:r w:rsidR="0020523F" w:rsidRPr="00BB6631">
        <w:rPr>
          <w:noProof/>
          <w:szCs w:val="18"/>
        </w:rPr>
        <w:t>nucleation rate can be calculated by the following equati</w:t>
      </w:r>
      <w:r w:rsidR="00C16577" w:rsidRPr="00BB6631">
        <w:rPr>
          <w:noProof/>
          <w:szCs w:val="18"/>
        </w:rPr>
        <w:t>on (Mersman, 1994)</w:t>
      </w:r>
      <w:r w:rsidR="0020523F" w:rsidRPr="00BB6631">
        <w:rPr>
          <w:noProof/>
          <w:szCs w:val="18"/>
        </w:rPr>
        <w:t>:</w:t>
      </w:r>
    </w:p>
    <w:p w:rsidR="008A4CCA" w:rsidRPr="00BB6631" w:rsidRDefault="008A4CCA" w:rsidP="002C1EE3">
      <w:pPr>
        <w:pStyle w:val="CETBodytext"/>
        <w:rPr>
          <w:noProof/>
          <w:szCs w:val="18"/>
        </w:rPr>
      </w:pPr>
    </w:p>
    <w:tbl>
      <w:tblPr>
        <w:tblW w:w="5000" w:type="pct"/>
        <w:tblLook w:val="04A0" w:firstRow="1" w:lastRow="0" w:firstColumn="1" w:lastColumn="0" w:noHBand="0" w:noVBand="1"/>
      </w:tblPr>
      <w:tblGrid>
        <w:gridCol w:w="6699"/>
        <w:gridCol w:w="2304"/>
      </w:tblGrid>
      <w:tr w:rsidR="00BB6631" w:rsidRPr="00BB6631" w:rsidTr="00C425ED">
        <w:tc>
          <w:tcPr>
            <w:tcW w:w="6699" w:type="dxa"/>
            <w:shd w:val="clear" w:color="auto" w:fill="auto"/>
            <w:vAlign w:val="center"/>
          </w:tcPr>
          <w:p w:rsidR="00C425ED" w:rsidRPr="00BB6631" w:rsidRDefault="00C425ED" w:rsidP="0000363B">
            <w:pPr>
              <w:pStyle w:val="CETBodytext"/>
              <w:spacing w:before="120" w:after="120"/>
              <w:rPr>
                <w:lang w:val="en-GB"/>
              </w:rPr>
            </w:pPr>
            <w:r w:rsidRPr="00BB6631">
              <w:rPr>
                <w:position w:val="-38"/>
              </w:rPr>
              <w:object w:dxaOrig="580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5pt;height:44pt" o:ole="">
                  <v:imagedata r:id="rId12" o:title=""/>
                </v:shape>
                <o:OLEObject Type="Embed" ProgID="Equation.3" ShapeID="_x0000_i1025" DrawAspect="Content" ObjectID="_1616785888" r:id="rId13"/>
              </w:object>
            </w:r>
          </w:p>
        </w:tc>
        <w:tc>
          <w:tcPr>
            <w:tcW w:w="2304" w:type="dxa"/>
            <w:shd w:val="clear" w:color="auto" w:fill="auto"/>
            <w:vAlign w:val="center"/>
          </w:tcPr>
          <w:p w:rsidR="00C425ED" w:rsidRPr="00BB6631" w:rsidRDefault="00C425ED" w:rsidP="00C425ED">
            <w:pPr>
              <w:pStyle w:val="CETBodytext"/>
              <w:spacing w:before="120" w:after="120"/>
              <w:jc w:val="right"/>
              <w:rPr>
                <w:lang w:val="en-GB"/>
              </w:rPr>
            </w:pPr>
            <w:r w:rsidRPr="00BB6631">
              <w:rPr>
                <w:lang w:val="en-GB"/>
              </w:rPr>
              <w:t>1</w:t>
            </w:r>
          </w:p>
        </w:tc>
      </w:tr>
    </w:tbl>
    <w:p w:rsidR="00586B2A" w:rsidRPr="00BB6631" w:rsidRDefault="0020523F" w:rsidP="0000363B">
      <w:pPr>
        <w:pStyle w:val="14TableTitle"/>
        <w:spacing w:before="240" w:after="240" w:line="264" w:lineRule="auto"/>
        <w:ind w:left="0"/>
        <w:jc w:val="both"/>
        <w:rPr>
          <w:noProof/>
        </w:rPr>
      </w:pPr>
      <w:r w:rsidRPr="00BB6631">
        <w:rPr>
          <w:rFonts w:ascii="Arial" w:hAnsi="Arial" w:cs="Arial"/>
          <w:noProof/>
        </w:rPr>
        <w:t xml:space="preserve">where </w:t>
      </w:r>
      <w:r w:rsidRPr="00BB6631">
        <w:rPr>
          <w:rFonts w:ascii="Symbol" w:hAnsi="Symbol" w:cs="Arial"/>
          <w:i/>
          <w:noProof/>
        </w:rPr>
        <w:t></w:t>
      </w:r>
      <w:r w:rsidRPr="00BB6631">
        <w:rPr>
          <w:rFonts w:ascii="Arial" w:hAnsi="Arial" w:cs="Arial"/>
          <w:noProof/>
          <w:vertAlign w:val="subscript"/>
        </w:rPr>
        <w:t xml:space="preserve">het </w:t>
      </w:r>
      <w:r w:rsidRPr="00BB6631">
        <w:rPr>
          <w:rFonts w:ascii="Arial" w:hAnsi="Arial" w:cs="Arial"/>
          <w:noProof/>
        </w:rPr>
        <w:t xml:space="preserve">is the heterogeneity factor and </w:t>
      </w:r>
      <w:r w:rsidRPr="00BB6631">
        <w:rPr>
          <w:rFonts w:ascii="Arial" w:hAnsi="Arial" w:cs="Arial"/>
          <w:i/>
          <w:noProof/>
        </w:rPr>
        <w:t>f</w:t>
      </w:r>
      <w:r w:rsidRPr="00BB6631">
        <w:rPr>
          <w:rFonts w:ascii="Arial" w:hAnsi="Arial" w:cs="Arial"/>
          <w:noProof/>
        </w:rPr>
        <w:t xml:space="preserve"> is the reduction factor for the nucleation work. For heterogeneous nucleation 0 &lt; </w:t>
      </w:r>
      <w:r w:rsidRPr="00BB6631">
        <w:rPr>
          <w:rFonts w:ascii="Arial" w:hAnsi="Arial" w:cs="Arial"/>
          <w:i/>
          <w:noProof/>
        </w:rPr>
        <w:t xml:space="preserve">f </w:t>
      </w:r>
      <w:r w:rsidRPr="00BB6631">
        <w:rPr>
          <w:rFonts w:ascii="Arial" w:hAnsi="Arial" w:cs="Arial"/>
          <w:noProof/>
        </w:rPr>
        <w:t xml:space="preserve">&lt; 1, and depends on the contact angle between the surface of the foreign particles and surface of the nucleus. </w:t>
      </w:r>
      <w:smartTag w:uri="urn:schemas-microsoft-com:office:smarttags" w:element="stockticker">
        <w:r w:rsidRPr="00BB6631">
          <w:rPr>
            <w:rFonts w:ascii="Arial" w:hAnsi="Arial" w:cs="Arial"/>
            <w:i/>
            <w:noProof/>
          </w:rPr>
          <w:t>D</w:t>
        </w:r>
        <w:r w:rsidRPr="00BB6631">
          <w:rPr>
            <w:rFonts w:ascii="Arial" w:hAnsi="Arial" w:cs="Arial"/>
            <w:noProof/>
            <w:vertAlign w:val="subscript"/>
          </w:rPr>
          <w:t>AB</w:t>
        </w:r>
      </w:smartTag>
      <w:r w:rsidRPr="00BB6631">
        <w:rPr>
          <w:rFonts w:ascii="Arial" w:hAnsi="Arial" w:cs="Arial"/>
          <w:noProof/>
        </w:rPr>
        <w:t xml:space="preserve"> is a bulk diffusivity (</w:t>
      </w:r>
      <w:r w:rsidR="00C16577" w:rsidRPr="00BB6631">
        <w:rPr>
          <w:rFonts w:ascii="Arial" w:hAnsi="Arial" w:cs="Arial"/>
          <w:noProof/>
        </w:rPr>
        <w:t xml:space="preserve">= </w:t>
      </w:r>
      <w:r w:rsidRPr="00BB6631">
        <w:rPr>
          <w:rFonts w:ascii="Arial" w:hAnsi="Arial" w:cs="Arial"/>
          <w:noProof/>
        </w:rPr>
        <w:t>10</w:t>
      </w:r>
      <w:r w:rsidRPr="00BB6631">
        <w:rPr>
          <w:rFonts w:ascii="Arial" w:hAnsi="Arial" w:cs="Arial"/>
          <w:noProof/>
          <w:vertAlign w:val="superscript"/>
        </w:rPr>
        <w:t>-10</w:t>
      </w:r>
      <w:r w:rsidRPr="00BB6631">
        <w:rPr>
          <w:rFonts w:ascii="Arial" w:hAnsi="Arial" w:cs="Arial"/>
          <w:noProof/>
        </w:rPr>
        <w:t xml:space="preserve"> m</w:t>
      </w:r>
      <w:r w:rsidRPr="00BB6631">
        <w:rPr>
          <w:rFonts w:ascii="Arial" w:hAnsi="Arial" w:cs="Arial"/>
          <w:noProof/>
          <w:vertAlign w:val="superscript"/>
        </w:rPr>
        <w:t>2</w:t>
      </w:r>
      <w:r w:rsidRPr="00BB6631">
        <w:rPr>
          <w:rFonts w:ascii="Arial" w:hAnsi="Arial" w:cs="Arial"/>
          <w:noProof/>
        </w:rPr>
        <w:t xml:space="preserve">/s in the low viscous solutions) and </w:t>
      </w:r>
      <w:r w:rsidRPr="00BB6631">
        <w:rPr>
          <w:rFonts w:ascii="Arial" w:hAnsi="Arial" w:cs="Arial"/>
          <w:i/>
          <w:noProof/>
        </w:rPr>
        <w:t>d</w:t>
      </w:r>
      <w:r w:rsidRPr="00BB6631">
        <w:rPr>
          <w:rFonts w:ascii="Arial" w:hAnsi="Arial" w:cs="Arial"/>
          <w:noProof/>
          <w:vertAlign w:val="subscript"/>
        </w:rPr>
        <w:t>m</w:t>
      </w:r>
      <w:r w:rsidRPr="00BB6631">
        <w:rPr>
          <w:rFonts w:ascii="Arial" w:hAnsi="Arial" w:cs="Arial"/>
          <w:noProof/>
        </w:rPr>
        <w:t xml:space="preserve"> = (</w:t>
      </w:r>
      <w:r w:rsidRPr="00BB6631">
        <w:rPr>
          <w:rFonts w:ascii="Arial" w:hAnsi="Arial" w:cs="Arial"/>
          <w:i/>
          <w:noProof/>
        </w:rPr>
        <w:t>c</w:t>
      </w:r>
      <w:r w:rsidRPr="00BB6631">
        <w:rPr>
          <w:rFonts w:ascii="Arial" w:hAnsi="Arial" w:cs="Arial"/>
          <w:noProof/>
          <w:vertAlign w:val="subscript"/>
        </w:rPr>
        <w:t>c</w:t>
      </w:r>
      <w:r w:rsidRPr="00BB6631">
        <w:rPr>
          <w:rFonts w:ascii="Arial" w:hAnsi="Arial" w:cs="Arial"/>
          <w:noProof/>
        </w:rPr>
        <w:t>/</w:t>
      </w:r>
      <w:r w:rsidRPr="00BB6631">
        <w:rPr>
          <w:rFonts w:ascii="Arial" w:hAnsi="Arial" w:cs="Arial"/>
          <w:i/>
          <w:noProof/>
        </w:rPr>
        <w:t>N</w:t>
      </w:r>
      <w:r w:rsidRPr="00BB6631">
        <w:rPr>
          <w:rFonts w:ascii="Arial" w:hAnsi="Arial" w:cs="Arial"/>
          <w:noProof/>
          <w:vertAlign w:val="subscript"/>
        </w:rPr>
        <w:t>A</w:t>
      </w:r>
      <w:r w:rsidRPr="00BB6631">
        <w:rPr>
          <w:rFonts w:ascii="Arial" w:hAnsi="Arial" w:cs="Arial"/>
          <w:noProof/>
        </w:rPr>
        <w:t>)</w:t>
      </w:r>
      <w:r w:rsidRPr="00BB6631">
        <w:rPr>
          <w:rFonts w:ascii="Arial" w:hAnsi="Arial" w:cs="Arial"/>
          <w:noProof/>
          <w:vertAlign w:val="superscript"/>
        </w:rPr>
        <w:t>-1/3</w:t>
      </w:r>
      <w:r w:rsidRPr="00BB6631">
        <w:rPr>
          <w:rFonts w:ascii="Arial" w:hAnsi="Arial" w:cs="Arial"/>
          <w:noProof/>
        </w:rPr>
        <w:t xml:space="preserve"> where </w:t>
      </w:r>
      <w:r w:rsidRPr="00BB6631">
        <w:rPr>
          <w:rFonts w:ascii="Arial" w:hAnsi="Arial" w:cs="Arial"/>
          <w:i/>
          <w:noProof/>
        </w:rPr>
        <w:t>N</w:t>
      </w:r>
      <w:r w:rsidRPr="00BB6631">
        <w:rPr>
          <w:rFonts w:ascii="Arial" w:hAnsi="Arial" w:cs="Arial"/>
          <w:noProof/>
          <w:vertAlign w:val="subscript"/>
        </w:rPr>
        <w:t>A</w:t>
      </w:r>
      <w:r w:rsidRPr="00BB6631">
        <w:rPr>
          <w:rFonts w:ascii="Arial" w:hAnsi="Arial" w:cs="Arial"/>
          <w:noProof/>
        </w:rPr>
        <w:t xml:space="preserve"> is Avogadro number. The calculation was carried out with </w:t>
      </w:r>
      <w:smartTag w:uri="urn:schemas-microsoft-com:office:smarttags" w:element="stockticker">
        <w:r w:rsidRPr="00BB6631">
          <w:rPr>
            <w:rFonts w:ascii="Arial" w:hAnsi="Arial" w:cs="Arial"/>
            <w:i/>
            <w:noProof/>
          </w:rPr>
          <w:t>D</w:t>
        </w:r>
        <w:r w:rsidRPr="00BB6631">
          <w:rPr>
            <w:rFonts w:ascii="Arial" w:hAnsi="Arial" w:cs="Arial"/>
            <w:noProof/>
            <w:vertAlign w:val="subscript"/>
          </w:rPr>
          <w:t>AB</w:t>
        </w:r>
      </w:smartTag>
      <w:r w:rsidRPr="00BB6631">
        <w:rPr>
          <w:rFonts w:ascii="Arial" w:hAnsi="Arial" w:cs="Arial"/>
          <w:noProof/>
        </w:rPr>
        <w:t xml:space="preserve"> = 3.94×10</w:t>
      </w:r>
      <w:r w:rsidRPr="00BB6631">
        <w:rPr>
          <w:rFonts w:ascii="Arial" w:hAnsi="Arial" w:cs="Arial"/>
          <w:noProof/>
          <w:vertAlign w:val="superscript"/>
        </w:rPr>
        <w:t>-10</w:t>
      </w:r>
      <w:r w:rsidRPr="00BB6631">
        <w:rPr>
          <w:rFonts w:ascii="Arial" w:hAnsi="Arial" w:cs="Arial"/>
          <w:noProof/>
        </w:rPr>
        <w:t xml:space="preserve"> m</w:t>
      </w:r>
      <w:r w:rsidRPr="00BB6631">
        <w:rPr>
          <w:rFonts w:ascii="Arial" w:hAnsi="Arial" w:cs="Arial"/>
          <w:noProof/>
          <w:vertAlign w:val="superscript"/>
        </w:rPr>
        <w:t>2</w:t>
      </w:r>
      <w:r w:rsidRPr="00BB6631">
        <w:rPr>
          <w:rFonts w:ascii="Arial" w:hAnsi="Arial" w:cs="Arial"/>
          <w:noProof/>
        </w:rPr>
        <w:t xml:space="preserve">/s, </w:t>
      </w:r>
      <w:r w:rsidRPr="00BB6631">
        <w:rPr>
          <w:rFonts w:ascii="Arial" w:hAnsi="Arial" w:cs="Arial"/>
          <w:i/>
          <w:noProof/>
        </w:rPr>
        <w:t>c</w:t>
      </w:r>
      <w:r w:rsidRPr="00BB6631">
        <w:rPr>
          <w:rFonts w:ascii="Arial" w:hAnsi="Arial" w:cs="Arial"/>
          <w:noProof/>
          <w:vertAlign w:val="subscript"/>
        </w:rPr>
        <w:t xml:space="preserve">c </w:t>
      </w:r>
      <w:r w:rsidRPr="00BB6631">
        <w:rPr>
          <w:rFonts w:ascii="Arial" w:hAnsi="Arial" w:cs="Arial"/>
          <w:noProof/>
        </w:rPr>
        <w:t>= 4.48 mol/dm</w:t>
      </w:r>
      <w:r w:rsidRPr="00BB6631">
        <w:rPr>
          <w:rFonts w:ascii="Arial" w:hAnsi="Arial" w:cs="Arial"/>
          <w:noProof/>
          <w:vertAlign w:val="superscript"/>
        </w:rPr>
        <w:t>3</w:t>
      </w:r>
      <w:r w:rsidRPr="00BB6631">
        <w:rPr>
          <w:rFonts w:ascii="Arial" w:hAnsi="Arial" w:cs="Arial"/>
          <w:noProof/>
        </w:rPr>
        <w:t xml:space="preserve"> which was valid for estimated parameters of </w:t>
      </w:r>
      <w:r w:rsidRPr="00BB6631">
        <w:rPr>
          <w:rFonts w:ascii="Symbol" w:hAnsi="Symbol" w:cs="Arial"/>
          <w:i/>
          <w:noProof/>
        </w:rPr>
        <w:t></w:t>
      </w:r>
      <w:r w:rsidRPr="00BB6631">
        <w:rPr>
          <w:rFonts w:ascii="Arial" w:hAnsi="Arial" w:cs="Arial"/>
          <w:noProof/>
          <w:vertAlign w:val="subscript"/>
        </w:rPr>
        <w:t>het</w:t>
      </w:r>
      <w:r w:rsidRPr="00BB6631">
        <w:rPr>
          <w:rFonts w:ascii="Arial" w:hAnsi="Arial" w:cs="Arial"/>
          <w:noProof/>
        </w:rPr>
        <w:t xml:space="preserve"> </w:t>
      </w:r>
      <w:r w:rsidR="00C16577" w:rsidRPr="00BB6631">
        <w:rPr>
          <w:rFonts w:ascii="Arial" w:hAnsi="Arial" w:cs="Arial"/>
          <w:noProof/>
        </w:rPr>
        <w:t>=</w:t>
      </w:r>
      <w:r w:rsidRPr="00BB6631">
        <w:rPr>
          <w:rFonts w:ascii="Arial" w:hAnsi="Arial" w:cs="Arial"/>
          <w:noProof/>
        </w:rPr>
        <w:t xml:space="preserve"> 10</w:t>
      </w:r>
      <w:r w:rsidRPr="00BB6631">
        <w:rPr>
          <w:rFonts w:ascii="Arial" w:hAnsi="Arial" w:cs="Arial"/>
          <w:noProof/>
          <w:vertAlign w:val="superscript"/>
        </w:rPr>
        <w:t>-11</w:t>
      </w:r>
      <w:r w:rsidRPr="00BB6631">
        <w:rPr>
          <w:rFonts w:ascii="Arial" w:hAnsi="Arial" w:cs="Arial"/>
          <w:noProof/>
        </w:rPr>
        <w:t xml:space="preserve"> and </w:t>
      </w:r>
      <w:r w:rsidRPr="00BB6631">
        <w:rPr>
          <w:rFonts w:ascii="Arial" w:hAnsi="Arial" w:cs="Arial"/>
          <w:i/>
          <w:noProof/>
        </w:rPr>
        <w:t>f</w:t>
      </w:r>
      <w:r w:rsidRPr="00BB6631">
        <w:rPr>
          <w:rFonts w:ascii="Arial" w:hAnsi="Arial" w:cs="Arial"/>
          <w:noProof/>
        </w:rPr>
        <w:t xml:space="preserve"> = 0.1. </w:t>
      </w:r>
      <w:r w:rsidR="002C1EE3" w:rsidRPr="00BB6631">
        <w:rPr>
          <w:rFonts w:ascii="Arial" w:hAnsi="Arial" w:cs="Arial"/>
          <w:noProof/>
        </w:rPr>
        <w:t xml:space="preserve">Numerical values of calculated rates of primary heterogenous nucleation rate are given in Table1. </w:t>
      </w:r>
    </w:p>
    <w:p w:rsidR="001B04D5" w:rsidRPr="00BB6631" w:rsidRDefault="001D51CA" w:rsidP="001D51CA">
      <w:pPr>
        <w:rPr>
          <w:noProof/>
          <w:szCs w:val="18"/>
        </w:rPr>
      </w:pPr>
      <w:r w:rsidRPr="00BB6631">
        <w:rPr>
          <w:noProof/>
          <w:szCs w:val="18"/>
        </w:rPr>
        <w:t>Results indicated that rate of nucleation</w:t>
      </w:r>
      <w:r w:rsidR="00D96C32" w:rsidRPr="00BB6631">
        <w:rPr>
          <w:noProof/>
          <w:szCs w:val="18"/>
        </w:rPr>
        <w:t xml:space="preserve"> is proportional to the metas</w:t>
      </w:r>
      <w:r w:rsidRPr="00BB6631">
        <w:rPr>
          <w:noProof/>
          <w:szCs w:val="18"/>
        </w:rPr>
        <w:t>t</w:t>
      </w:r>
      <w:r w:rsidR="00D96C32" w:rsidRPr="00BB6631">
        <w:rPr>
          <w:noProof/>
          <w:szCs w:val="18"/>
        </w:rPr>
        <w:t>a</w:t>
      </w:r>
      <w:r w:rsidRPr="00BB6631">
        <w:rPr>
          <w:noProof/>
          <w:szCs w:val="18"/>
        </w:rPr>
        <w:t>ble zone width; it increses with cooling rate and it is higher in axial impeller syst</w:t>
      </w:r>
      <w:r w:rsidR="008A4CCA" w:rsidRPr="00BB6631">
        <w:rPr>
          <w:noProof/>
          <w:szCs w:val="18"/>
        </w:rPr>
        <w:t>em.</w:t>
      </w:r>
    </w:p>
    <w:p w:rsidR="001D51CA" w:rsidRPr="00BB6631" w:rsidRDefault="001D51CA" w:rsidP="001D51CA"/>
    <w:p w:rsidR="001B04D5" w:rsidRPr="00BB6631" w:rsidRDefault="00356A9A" w:rsidP="001B04D5">
      <w:pPr>
        <w:pStyle w:val="CETReferencetext"/>
      </w:pPr>
      <w:r w:rsidRPr="00BB6631">
        <w:drawing>
          <wp:inline distT="0" distB="0" distL="0" distR="0" wp14:anchorId="356B3DFE" wp14:editId="6E36144F">
            <wp:extent cx="5579745" cy="249321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745" cy="2493212"/>
                    </a:xfrm>
                    <a:prstGeom prst="rect">
                      <a:avLst/>
                    </a:prstGeom>
                    <a:noFill/>
                    <a:ln>
                      <a:noFill/>
                    </a:ln>
                  </pic:spPr>
                </pic:pic>
              </a:graphicData>
            </a:graphic>
          </wp:inline>
        </w:drawing>
      </w:r>
    </w:p>
    <w:p w:rsidR="008A4CCA" w:rsidRPr="00BB6631" w:rsidRDefault="001B04D5" w:rsidP="0058293E">
      <w:pPr>
        <w:pStyle w:val="CETReferencetext"/>
        <w:ind w:left="0" w:firstLine="0"/>
        <w:jc w:val="left"/>
        <w:rPr>
          <w:i/>
          <w:lang w:val="en-US"/>
        </w:rPr>
      </w:pPr>
      <w:r w:rsidRPr="00BB6631">
        <w:rPr>
          <w:i/>
        </w:rPr>
        <w:t xml:space="preserve">Figure 2: a. </w:t>
      </w:r>
      <w:proofErr w:type="spellStart"/>
      <w:r w:rsidRPr="00BB6631">
        <w:rPr>
          <w:i/>
        </w:rPr>
        <w:t>Mersmann</w:t>
      </w:r>
      <w:proofErr w:type="spellEnd"/>
      <w:r w:rsidRPr="00BB6631">
        <w:rPr>
          <w:i/>
        </w:rPr>
        <w:t xml:space="preserve"> nucleation criterion</w:t>
      </w:r>
      <w:r w:rsidR="002478C6" w:rsidRPr="00BB6631">
        <w:rPr>
          <w:i/>
        </w:rPr>
        <w:t xml:space="preserve"> </w:t>
      </w:r>
      <w:r w:rsidR="002478C6" w:rsidRPr="00BB6631">
        <w:t>(</w:t>
      </w:r>
      <w:r w:rsidR="002478C6" w:rsidRPr="00BB6631">
        <w:rPr>
          <w:noProof/>
          <w:szCs w:val="18"/>
        </w:rPr>
        <w:t>Kim and Mersmann</w:t>
      </w:r>
      <w:r w:rsidR="00D95D15" w:rsidRPr="00BB6631">
        <w:rPr>
          <w:noProof/>
          <w:szCs w:val="18"/>
        </w:rPr>
        <w:t xml:space="preserve">, </w:t>
      </w:r>
      <w:r w:rsidR="002478C6" w:rsidRPr="00BB6631">
        <w:rPr>
          <w:noProof/>
          <w:szCs w:val="18"/>
        </w:rPr>
        <w:t>2001)</w:t>
      </w:r>
      <w:r w:rsidR="00756A64" w:rsidRPr="00BB6631">
        <w:rPr>
          <w:i/>
        </w:rPr>
        <w:t xml:space="preserve">; b. Dimensionless crystal growth rate vs. dimensionless </w:t>
      </w:r>
      <w:r w:rsidR="0000363B" w:rsidRPr="00BB6631">
        <w:rPr>
          <w:i/>
        </w:rPr>
        <w:t>supersaturati</w:t>
      </w:r>
      <w:r w:rsidR="00756A64" w:rsidRPr="00BB6631">
        <w:rPr>
          <w:i/>
        </w:rPr>
        <w:t>on</w:t>
      </w:r>
    </w:p>
    <w:p w:rsidR="0000363B" w:rsidRPr="00BB6631" w:rsidRDefault="0000363B">
      <w:pPr>
        <w:tabs>
          <w:tab w:val="clear" w:pos="7100"/>
        </w:tabs>
        <w:spacing w:after="200" w:line="276" w:lineRule="auto"/>
        <w:jc w:val="left"/>
        <w:rPr>
          <w:i/>
        </w:rPr>
      </w:pPr>
      <w:r w:rsidRPr="00BB6631">
        <w:rPr>
          <w:i/>
        </w:rPr>
        <w:br w:type="page"/>
      </w:r>
    </w:p>
    <w:p w:rsidR="0000363B" w:rsidRPr="00BB6631" w:rsidRDefault="0000363B" w:rsidP="0000363B">
      <w:pPr>
        <w:pStyle w:val="CETTabletitle"/>
      </w:pPr>
      <w:r w:rsidRPr="00BB6631">
        <w:lastRenderedPageBreak/>
        <w:t>Table 1: Values of nucleation rate at different cooling rate in SBT and PBT system</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701"/>
        <w:gridCol w:w="1134"/>
      </w:tblGrid>
      <w:tr w:rsidR="00BB6631" w:rsidRPr="00BB6631" w:rsidTr="0000363B">
        <w:tc>
          <w:tcPr>
            <w:tcW w:w="1276" w:type="dxa"/>
            <w:tcBorders>
              <w:top w:val="single" w:sz="12" w:space="0" w:color="008000"/>
              <w:bottom w:val="single" w:sz="6" w:space="0" w:color="008000"/>
            </w:tcBorders>
            <w:shd w:val="clear" w:color="auto" w:fill="FFFFFF"/>
          </w:tcPr>
          <w:p w:rsidR="0000363B" w:rsidRPr="00BB6631" w:rsidRDefault="0000363B" w:rsidP="0000363B">
            <w:pPr>
              <w:pStyle w:val="CETBodytext"/>
              <w:rPr>
                <w:lang w:val="en-GB"/>
              </w:rPr>
            </w:pPr>
          </w:p>
        </w:tc>
        <w:tc>
          <w:tcPr>
            <w:tcW w:w="1701" w:type="dxa"/>
            <w:tcBorders>
              <w:top w:val="single" w:sz="12" w:space="0" w:color="008000"/>
              <w:bottom w:val="single" w:sz="6" w:space="0" w:color="008000"/>
            </w:tcBorders>
            <w:shd w:val="clear" w:color="auto" w:fill="FFFFFF"/>
          </w:tcPr>
          <w:p w:rsidR="0000363B" w:rsidRPr="00BB6631" w:rsidRDefault="0000363B" w:rsidP="0000363B">
            <w:pPr>
              <w:pStyle w:val="CETBodytext"/>
              <w:jc w:val="center"/>
              <w:rPr>
                <w:i/>
                <w:lang w:val="en-GB"/>
              </w:rPr>
            </w:pPr>
            <w:r w:rsidRPr="00BB6631">
              <w:rPr>
                <w:b/>
                <w:lang w:val="en-GB"/>
              </w:rPr>
              <w:t>SBT</w:t>
            </w:r>
          </w:p>
        </w:tc>
        <w:tc>
          <w:tcPr>
            <w:tcW w:w="1134" w:type="dxa"/>
            <w:tcBorders>
              <w:top w:val="single" w:sz="12" w:space="0" w:color="008000"/>
              <w:bottom w:val="single" w:sz="6" w:space="0" w:color="008000"/>
            </w:tcBorders>
            <w:shd w:val="clear" w:color="auto" w:fill="FFFFFF"/>
          </w:tcPr>
          <w:p w:rsidR="0000363B" w:rsidRPr="00BB6631" w:rsidRDefault="0000363B" w:rsidP="0000363B">
            <w:pPr>
              <w:pStyle w:val="CETBodytext"/>
              <w:jc w:val="center"/>
              <w:rPr>
                <w:b/>
                <w:lang w:val="en-GB"/>
              </w:rPr>
            </w:pPr>
            <w:r w:rsidRPr="00BB6631">
              <w:rPr>
                <w:b/>
                <w:lang w:val="en-GB"/>
              </w:rPr>
              <w:t>PBT</w:t>
            </w:r>
          </w:p>
        </w:tc>
      </w:tr>
      <w:tr w:rsidR="00BB6631" w:rsidRPr="00BB6631" w:rsidTr="0000363B">
        <w:tc>
          <w:tcPr>
            <w:tcW w:w="1276" w:type="dxa"/>
            <w:tcBorders>
              <w:top w:val="single" w:sz="12" w:space="0" w:color="008000"/>
              <w:bottom w:val="single" w:sz="6" w:space="0" w:color="008000"/>
            </w:tcBorders>
            <w:shd w:val="clear" w:color="auto" w:fill="FFFFFF"/>
          </w:tcPr>
          <w:p w:rsidR="0000363B" w:rsidRPr="00BB6631" w:rsidRDefault="0000363B" w:rsidP="0000363B">
            <w:pPr>
              <w:pStyle w:val="CETBodytext"/>
              <w:jc w:val="center"/>
              <w:rPr>
                <w:lang w:val="en-GB"/>
              </w:rPr>
            </w:pPr>
            <w:r w:rsidRPr="00BB6631">
              <w:rPr>
                <w:lang w:val="en-GB"/>
              </w:rPr>
              <w:t>b/ °C/h</w:t>
            </w:r>
          </w:p>
        </w:tc>
        <w:tc>
          <w:tcPr>
            <w:tcW w:w="1701" w:type="dxa"/>
            <w:tcBorders>
              <w:top w:val="single" w:sz="12" w:space="0" w:color="008000"/>
              <w:bottom w:val="single" w:sz="6" w:space="0" w:color="008000"/>
            </w:tcBorders>
            <w:shd w:val="clear" w:color="auto" w:fill="FFFFFF"/>
          </w:tcPr>
          <w:p w:rsidR="0000363B" w:rsidRPr="00BB6631" w:rsidRDefault="0000363B" w:rsidP="0000363B">
            <w:pPr>
              <w:pStyle w:val="CETBodytext"/>
              <w:jc w:val="center"/>
              <w:rPr>
                <w:lang w:val="en-GB"/>
              </w:rPr>
            </w:pPr>
            <w:proofErr w:type="spellStart"/>
            <w:r w:rsidRPr="00BB6631">
              <w:rPr>
                <w:i/>
                <w:lang w:val="en-GB"/>
              </w:rPr>
              <w:t>B</w:t>
            </w:r>
            <w:r w:rsidRPr="00BB6631">
              <w:rPr>
                <w:vertAlign w:val="subscript"/>
                <w:lang w:val="en-GB"/>
              </w:rPr>
              <w:t>het</w:t>
            </w:r>
            <w:proofErr w:type="spellEnd"/>
            <w:r w:rsidRPr="00BB6631">
              <w:rPr>
                <w:lang w:val="en-GB"/>
              </w:rPr>
              <w:t>/ No./ m</w:t>
            </w:r>
            <w:r w:rsidRPr="00BB6631">
              <w:rPr>
                <w:vertAlign w:val="superscript"/>
                <w:lang w:val="en-GB"/>
              </w:rPr>
              <w:t xml:space="preserve">3 </w:t>
            </w:r>
            <w:r w:rsidRPr="00BB6631">
              <w:rPr>
                <w:lang w:val="en-GB"/>
              </w:rPr>
              <w:t>s</w:t>
            </w:r>
          </w:p>
        </w:tc>
        <w:tc>
          <w:tcPr>
            <w:tcW w:w="1134" w:type="dxa"/>
            <w:tcBorders>
              <w:top w:val="single" w:sz="12" w:space="0" w:color="008000"/>
              <w:bottom w:val="single" w:sz="6" w:space="0" w:color="008000"/>
            </w:tcBorders>
            <w:shd w:val="clear" w:color="auto" w:fill="FFFFFF"/>
          </w:tcPr>
          <w:p w:rsidR="0000363B" w:rsidRPr="00BB6631" w:rsidRDefault="0000363B" w:rsidP="0000363B">
            <w:pPr>
              <w:pStyle w:val="CETBodytext"/>
              <w:jc w:val="center"/>
              <w:rPr>
                <w:lang w:val="en-GB"/>
              </w:rPr>
            </w:pPr>
            <w:proofErr w:type="spellStart"/>
            <w:r w:rsidRPr="00BB6631">
              <w:rPr>
                <w:i/>
                <w:lang w:val="en-GB"/>
              </w:rPr>
              <w:t>B</w:t>
            </w:r>
            <w:r w:rsidRPr="00BB6631">
              <w:rPr>
                <w:vertAlign w:val="subscript"/>
                <w:lang w:val="en-GB"/>
              </w:rPr>
              <w:t>het</w:t>
            </w:r>
            <w:proofErr w:type="spellEnd"/>
            <w:r w:rsidRPr="00BB6631">
              <w:rPr>
                <w:lang w:val="en-GB"/>
              </w:rPr>
              <w:t>/ No./ m</w:t>
            </w:r>
            <w:r w:rsidRPr="00BB6631">
              <w:rPr>
                <w:vertAlign w:val="superscript"/>
                <w:lang w:val="en-GB"/>
              </w:rPr>
              <w:t xml:space="preserve">3 </w:t>
            </w:r>
            <w:r w:rsidRPr="00BB6631">
              <w:rPr>
                <w:lang w:val="en-GB"/>
              </w:rPr>
              <w:t>s</w:t>
            </w:r>
          </w:p>
        </w:tc>
      </w:tr>
      <w:tr w:rsidR="00BB6631" w:rsidRPr="00BB6631" w:rsidTr="0000363B">
        <w:tc>
          <w:tcPr>
            <w:tcW w:w="1276" w:type="dxa"/>
            <w:shd w:val="clear" w:color="auto" w:fill="FFFFFF"/>
          </w:tcPr>
          <w:p w:rsidR="0000363B" w:rsidRPr="00BB6631" w:rsidRDefault="0000363B" w:rsidP="0000363B">
            <w:pPr>
              <w:pStyle w:val="CETBodytext"/>
              <w:jc w:val="center"/>
              <w:rPr>
                <w:lang w:val="en-GB"/>
              </w:rPr>
            </w:pPr>
            <w:r w:rsidRPr="00BB6631">
              <w:rPr>
                <w:lang w:val="en-GB"/>
              </w:rPr>
              <w:t>4</w:t>
            </w:r>
          </w:p>
        </w:tc>
        <w:tc>
          <w:tcPr>
            <w:tcW w:w="1701" w:type="dxa"/>
            <w:shd w:val="clear" w:color="auto" w:fill="FFFFFF"/>
          </w:tcPr>
          <w:p w:rsidR="0000363B" w:rsidRPr="00BB6631" w:rsidRDefault="0000363B" w:rsidP="0000363B">
            <w:pPr>
              <w:pStyle w:val="CETBodytext"/>
              <w:jc w:val="center"/>
              <w:rPr>
                <w:lang w:val="en-GB"/>
              </w:rPr>
            </w:pPr>
            <w:r w:rsidRPr="00BB6631">
              <w:rPr>
                <w:lang w:val="en-GB"/>
              </w:rPr>
              <w:t>4.88</w:t>
            </w:r>
            <w:r w:rsidRPr="00BB6631">
              <w:rPr>
                <w:rFonts w:cs="Arial"/>
                <w:lang w:val="en-GB"/>
              </w:rPr>
              <w:t>·</w:t>
            </w:r>
            <w:r w:rsidRPr="00BB6631">
              <w:rPr>
                <w:lang w:val="en-GB"/>
              </w:rPr>
              <w:t>10</w:t>
            </w:r>
            <w:r w:rsidRPr="00BB6631">
              <w:rPr>
                <w:vertAlign w:val="superscript"/>
                <w:lang w:val="en-GB"/>
              </w:rPr>
              <w:t>16</w:t>
            </w:r>
          </w:p>
        </w:tc>
        <w:tc>
          <w:tcPr>
            <w:tcW w:w="1134" w:type="dxa"/>
            <w:shd w:val="clear" w:color="auto" w:fill="FFFFFF"/>
          </w:tcPr>
          <w:p w:rsidR="0000363B" w:rsidRPr="00BB6631" w:rsidRDefault="0000363B" w:rsidP="0000363B">
            <w:pPr>
              <w:pStyle w:val="CETBodytext"/>
              <w:jc w:val="center"/>
              <w:rPr>
                <w:lang w:val="en-GB"/>
              </w:rPr>
            </w:pPr>
            <w:r w:rsidRPr="00BB6631">
              <w:rPr>
                <w:lang w:val="en-GB"/>
              </w:rPr>
              <w:t>7.20</w:t>
            </w:r>
            <w:r w:rsidRPr="00BB6631">
              <w:rPr>
                <w:rFonts w:cs="Arial"/>
                <w:lang w:val="en-GB"/>
              </w:rPr>
              <w:t>·</w:t>
            </w:r>
            <w:r w:rsidRPr="00BB6631">
              <w:rPr>
                <w:lang w:val="en-GB"/>
              </w:rPr>
              <w:t>10</w:t>
            </w:r>
            <w:r w:rsidRPr="00BB6631">
              <w:rPr>
                <w:vertAlign w:val="superscript"/>
                <w:lang w:val="en-GB"/>
              </w:rPr>
              <w:t>17</w:t>
            </w:r>
          </w:p>
        </w:tc>
      </w:tr>
      <w:tr w:rsidR="00BB6631" w:rsidRPr="00BB6631" w:rsidTr="0000363B">
        <w:tc>
          <w:tcPr>
            <w:tcW w:w="1276" w:type="dxa"/>
            <w:shd w:val="clear" w:color="auto" w:fill="FFFFFF"/>
          </w:tcPr>
          <w:p w:rsidR="0000363B" w:rsidRPr="00BB6631" w:rsidRDefault="0000363B" w:rsidP="0000363B">
            <w:pPr>
              <w:pStyle w:val="CETBodytext"/>
              <w:ind w:right="-1"/>
              <w:jc w:val="center"/>
              <w:rPr>
                <w:rFonts w:cs="Arial"/>
                <w:szCs w:val="18"/>
                <w:lang w:val="en-GB"/>
              </w:rPr>
            </w:pPr>
            <w:r w:rsidRPr="00BB6631">
              <w:rPr>
                <w:rFonts w:cs="Arial"/>
                <w:szCs w:val="18"/>
                <w:lang w:val="en-GB"/>
              </w:rPr>
              <w:t>6</w:t>
            </w:r>
          </w:p>
        </w:tc>
        <w:tc>
          <w:tcPr>
            <w:tcW w:w="1701" w:type="dxa"/>
            <w:shd w:val="clear" w:color="auto" w:fill="FFFFFF"/>
          </w:tcPr>
          <w:p w:rsidR="0000363B" w:rsidRPr="00BB6631" w:rsidRDefault="0000363B" w:rsidP="0000363B">
            <w:pPr>
              <w:pStyle w:val="CETBodytext"/>
              <w:ind w:right="-1"/>
              <w:jc w:val="center"/>
              <w:rPr>
                <w:rFonts w:cs="Arial"/>
                <w:szCs w:val="18"/>
                <w:lang w:val="en-GB"/>
              </w:rPr>
            </w:pPr>
            <w:r w:rsidRPr="00BB6631">
              <w:rPr>
                <w:lang w:val="en-GB"/>
              </w:rPr>
              <w:t>4.64</w:t>
            </w:r>
            <w:r w:rsidRPr="00BB6631">
              <w:rPr>
                <w:rFonts w:cs="Arial"/>
                <w:lang w:val="en-GB"/>
              </w:rPr>
              <w:t>·</w:t>
            </w:r>
            <w:r w:rsidRPr="00BB6631">
              <w:rPr>
                <w:lang w:val="en-GB"/>
              </w:rPr>
              <w:t>10</w:t>
            </w:r>
            <w:r w:rsidRPr="00BB6631">
              <w:rPr>
                <w:vertAlign w:val="superscript"/>
                <w:lang w:val="en-GB"/>
              </w:rPr>
              <w:t>17</w:t>
            </w:r>
          </w:p>
        </w:tc>
        <w:tc>
          <w:tcPr>
            <w:tcW w:w="1134" w:type="dxa"/>
            <w:shd w:val="clear" w:color="auto" w:fill="FFFFFF"/>
          </w:tcPr>
          <w:p w:rsidR="0000363B" w:rsidRPr="00BB6631" w:rsidRDefault="0000363B" w:rsidP="0000363B">
            <w:pPr>
              <w:pStyle w:val="CETBodytext"/>
              <w:ind w:right="-1"/>
              <w:jc w:val="center"/>
              <w:rPr>
                <w:rFonts w:cs="Arial"/>
                <w:szCs w:val="18"/>
                <w:lang w:val="en-GB"/>
              </w:rPr>
            </w:pPr>
            <w:r w:rsidRPr="00BB6631">
              <w:rPr>
                <w:lang w:val="en-GB"/>
              </w:rPr>
              <w:t>2.09</w:t>
            </w:r>
            <w:r w:rsidRPr="00BB6631">
              <w:rPr>
                <w:rFonts w:cs="Arial"/>
                <w:lang w:val="en-GB"/>
              </w:rPr>
              <w:t>·</w:t>
            </w:r>
            <w:r w:rsidRPr="00BB6631">
              <w:rPr>
                <w:lang w:val="en-GB"/>
              </w:rPr>
              <w:t>10</w:t>
            </w:r>
            <w:r w:rsidRPr="00BB6631">
              <w:rPr>
                <w:vertAlign w:val="superscript"/>
                <w:lang w:val="en-GB"/>
              </w:rPr>
              <w:t>18</w:t>
            </w:r>
          </w:p>
        </w:tc>
      </w:tr>
      <w:tr w:rsidR="00BB6631" w:rsidRPr="00BB6631" w:rsidTr="0000363B">
        <w:tc>
          <w:tcPr>
            <w:tcW w:w="1276" w:type="dxa"/>
            <w:shd w:val="clear" w:color="auto" w:fill="FFFFFF"/>
          </w:tcPr>
          <w:p w:rsidR="0000363B" w:rsidRPr="00BB6631" w:rsidRDefault="0000363B" w:rsidP="0000363B">
            <w:pPr>
              <w:pStyle w:val="CETBodytext"/>
              <w:ind w:right="-1"/>
              <w:jc w:val="center"/>
              <w:rPr>
                <w:rFonts w:cs="Arial"/>
                <w:szCs w:val="18"/>
                <w:lang w:val="en-GB"/>
              </w:rPr>
            </w:pPr>
            <w:r w:rsidRPr="00BB6631">
              <w:rPr>
                <w:rFonts w:cs="Arial"/>
                <w:szCs w:val="18"/>
                <w:lang w:val="en-GB"/>
              </w:rPr>
              <w:t>9</w:t>
            </w:r>
          </w:p>
        </w:tc>
        <w:tc>
          <w:tcPr>
            <w:tcW w:w="1701" w:type="dxa"/>
            <w:shd w:val="clear" w:color="auto" w:fill="FFFFFF"/>
          </w:tcPr>
          <w:p w:rsidR="0000363B" w:rsidRPr="00BB6631" w:rsidRDefault="0000363B" w:rsidP="0000363B">
            <w:pPr>
              <w:pStyle w:val="CETBodytext"/>
              <w:ind w:right="-1"/>
              <w:jc w:val="center"/>
              <w:rPr>
                <w:rFonts w:cs="Arial"/>
                <w:szCs w:val="18"/>
                <w:lang w:val="en-GB"/>
              </w:rPr>
            </w:pPr>
            <w:r w:rsidRPr="00BB6631">
              <w:rPr>
                <w:lang w:val="en-GB"/>
              </w:rPr>
              <w:t>1.98</w:t>
            </w:r>
            <w:r w:rsidRPr="00BB6631">
              <w:rPr>
                <w:rFonts w:cs="Arial"/>
                <w:lang w:val="en-GB"/>
              </w:rPr>
              <w:t>·</w:t>
            </w:r>
            <w:r w:rsidRPr="00BB6631">
              <w:rPr>
                <w:lang w:val="en-GB"/>
              </w:rPr>
              <w:t>10</w:t>
            </w:r>
            <w:r w:rsidRPr="00BB6631">
              <w:rPr>
                <w:vertAlign w:val="superscript"/>
                <w:lang w:val="en-GB"/>
              </w:rPr>
              <w:t>19</w:t>
            </w:r>
          </w:p>
        </w:tc>
        <w:tc>
          <w:tcPr>
            <w:tcW w:w="1134" w:type="dxa"/>
            <w:shd w:val="clear" w:color="auto" w:fill="FFFFFF"/>
          </w:tcPr>
          <w:p w:rsidR="0000363B" w:rsidRPr="00BB6631" w:rsidRDefault="0000363B" w:rsidP="0000363B">
            <w:pPr>
              <w:pStyle w:val="CETBodytext"/>
              <w:ind w:right="-1"/>
              <w:jc w:val="center"/>
              <w:rPr>
                <w:rFonts w:cs="Arial"/>
                <w:szCs w:val="18"/>
                <w:lang w:val="en-GB"/>
              </w:rPr>
            </w:pPr>
            <w:r w:rsidRPr="00BB6631">
              <w:rPr>
                <w:lang w:val="en-GB"/>
              </w:rPr>
              <w:t>2.05</w:t>
            </w:r>
            <w:r w:rsidRPr="00BB6631">
              <w:rPr>
                <w:rFonts w:cs="Arial"/>
                <w:lang w:val="en-GB"/>
              </w:rPr>
              <w:t>·</w:t>
            </w:r>
            <w:r w:rsidRPr="00BB6631">
              <w:rPr>
                <w:lang w:val="en-GB"/>
              </w:rPr>
              <w:t>10</w:t>
            </w:r>
            <w:r w:rsidRPr="00BB6631">
              <w:rPr>
                <w:vertAlign w:val="superscript"/>
                <w:lang w:val="en-GB"/>
              </w:rPr>
              <w:t>19</w:t>
            </w:r>
          </w:p>
        </w:tc>
      </w:tr>
    </w:tbl>
    <w:p w:rsidR="0000363B" w:rsidRPr="00BB6631" w:rsidRDefault="0000363B" w:rsidP="0000363B">
      <w:pPr>
        <w:rPr>
          <w:noProof/>
          <w:szCs w:val="18"/>
        </w:rPr>
      </w:pPr>
    </w:p>
    <w:p w:rsidR="005B6914" w:rsidRPr="00BB6631" w:rsidRDefault="005B6914" w:rsidP="00BB6631">
      <w:pPr>
        <w:pStyle w:val="CETheadingx"/>
      </w:pPr>
      <w:r w:rsidRPr="00BB6631">
        <w:t>3.2</w:t>
      </w:r>
      <w:r w:rsidR="008A4CCA" w:rsidRPr="00BB6631">
        <w:t>. Influence of Cooling R</w:t>
      </w:r>
      <w:r w:rsidRPr="00BB6631">
        <w:t xml:space="preserve">ate on </w:t>
      </w:r>
      <w:r w:rsidR="008A4CCA" w:rsidRPr="00BB6631">
        <w:t>Crystal G</w:t>
      </w:r>
      <w:r w:rsidRPr="00BB6631">
        <w:t xml:space="preserve">rowth </w:t>
      </w:r>
      <w:r w:rsidR="008A4CCA" w:rsidRPr="00BB6631">
        <w:t>R</w:t>
      </w:r>
      <w:r w:rsidRPr="00BB6631">
        <w:t xml:space="preserve">ate and </w:t>
      </w:r>
      <w:r w:rsidR="008A4CCA" w:rsidRPr="00BB6631">
        <w:t>M</w:t>
      </w:r>
      <w:r w:rsidRPr="00BB6631">
        <w:t>echanism</w:t>
      </w:r>
    </w:p>
    <w:p w:rsidR="00B0377D" w:rsidRPr="00BB6631" w:rsidRDefault="00640086" w:rsidP="00E20B9D">
      <w:pPr>
        <w:pStyle w:val="CETBodytext"/>
        <w:rPr>
          <w:lang w:val="en-GB"/>
        </w:rPr>
      </w:pPr>
      <w:r w:rsidRPr="00BB6631">
        <w:rPr>
          <w:lang w:val="en-GB"/>
        </w:rPr>
        <w:t xml:space="preserve">Changes of linear </w:t>
      </w:r>
      <w:r w:rsidR="00856F0E" w:rsidRPr="00BB6631">
        <w:rPr>
          <w:lang w:val="en-GB"/>
        </w:rPr>
        <w:t xml:space="preserve">crystal </w:t>
      </w:r>
      <w:r w:rsidRPr="00BB6631">
        <w:rPr>
          <w:lang w:val="en-GB"/>
        </w:rPr>
        <w:t>size</w:t>
      </w:r>
      <w:r w:rsidRPr="00BB6631">
        <w:rPr>
          <w:strike/>
          <w:lang w:val="en-GB"/>
        </w:rPr>
        <w:t>s</w:t>
      </w:r>
      <w:r w:rsidR="00856F0E" w:rsidRPr="00BB6631">
        <w:rPr>
          <w:lang w:val="en-GB"/>
        </w:rPr>
        <w:t xml:space="preserve">, </w:t>
      </w:r>
      <w:r w:rsidR="00856F0E" w:rsidRPr="00BB6631">
        <w:rPr>
          <w:i/>
          <w:lang w:val="en-GB"/>
        </w:rPr>
        <w:t>L</w:t>
      </w:r>
      <w:r w:rsidR="00856F0E" w:rsidRPr="00BB6631">
        <w:rPr>
          <w:lang w:val="en-GB"/>
        </w:rPr>
        <w:t xml:space="preserve">, </w:t>
      </w:r>
      <w:r w:rsidRPr="00BB6631">
        <w:rPr>
          <w:lang w:val="en-GB"/>
        </w:rPr>
        <w:t>of growing crystals over process time</w:t>
      </w:r>
      <w:r w:rsidR="00E82958" w:rsidRPr="00BB6631">
        <w:rPr>
          <w:lang w:val="en-GB"/>
        </w:rPr>
        <w:t>, after the onset of nucleation, at</w:t>
      </w:r>
      <w:r w:rsidRPr="00BB6631">
        <w:rPr>
          <w:lang w:val="en-GB"/>
        </w:rPr>
        <w:t xml:space="preserve"> different cooling rate are given in Figure 3 for radial and axial impeller systems. </w:t>
      </w:r>
      <w:r w:rsidR="00B0377D" w:rsidRPr="00BB6631">
        <w:rPr>
          <w:lang w:val="en-GB"/>
        </w:rPr>
        <w:t>Linear crystal size</w:t>
      </w:r>
      <w:r w:rsidR="00856F0E" w:rsidRPr="00BB6631">
        <w:rPr>
          <w:lang w:val="en-GB"/>
        </w:rPr>
        <w:t xml:space="preserve"> </w:t>
      </w:r>
      <w:r w:rsidR="002F407A" w:rsidRPr="00BB6631">
        <w:rPr>
          <w:lang w:val="en-GB"/>
        </w:rPr>
        <w:t>presents</w:t>
      </w:r>
      <w:r w:rsidR="00B0377D" w:rsidRPr="00BB6631">
        <w:rPr>
          <w:lang w:val="en-GB"/>
        </w:rPr>
        <w:t xml:space="preserve"> average size of </w:t>
      </w:r>
      <w:r w:rsidR="002F407A" w:rsidRPr="00BB6631">
        <w:rPr>
          <w:i/>
          <w:lang w:val="en-GB"/>
        </w:rPr>
        <w:t>n</w:t>
      </w:r>
      <w:r w:rsidR="002F407A" w:rsidRPr="00BB6631">
        <w:rPr>
          <w:lang w:val="en-GB"/>
        </w:rPr>
        <w:t xml:space="preserve"> = </w:t>
      </w:r>
      <w:r w:rsidR="00B0377D" w:rsidRPr="00BB6631">
        <w:rPr>
          <w:lang w:val="en-GB"/>
        </w:rPr>
        <w:t xml:space="preserve">50 </w:t>
      </w:r>
      <w:r w:rsidR="002F407A" w:rsidRPr="00BB6631">
        <w:rPr>
          <w:lang w:val="en-GB"/>
        </w:rPr>
        <w:t xml:space="preserve">largest, regular shaped crystals with linear size, </w:t>
      </w:r>
      <w:proofErr w:type="spellStart"/>
      <w:r w:rsidR="002F407A" w:rsidRPr="00BB6631">
        <w:rPr>
          <w:rFonts w:cs="Arial"/>
          <w:i/>
        </w:rPr>
        <w:t>L</w:t>
      </w:r>
      <w:r w:rsidR="002F407A" w:rsidRPr="00BB6631">
        <w:rPr>
          <w:rFonts w:cs="Arial"/>
          <w:vertAlign w:val="subscript"/>
        </w:rPr>
        <w:t>c</w:t>
      </w:r>
      <w:proofErr w:type="spellEnd"/>
      <w:r w:rsidR="002F407A" w:rsidRPr="00BB6631">
        <w:rPr>
          <w:rFonts w:cs="Arial"/>
        </w:rPr>
        <w:t xml:space="preserve">. The </w:t>
      </w:r>
      <w:r w:rsidR="00B0377D" w:rsidRPr="00BB6631">
        <w:rPr>
          <w:lang w:val="en-GB"/>
        </w:rPr>
        <w:t>crystal</w:t>
      </w:r>
      <w:r w:rsidR="002F407A" w:rsidRPr="00BB6631">
        <w:rPr>
          <w:lang w:val="en-GB"/>
        </w:rPr>
        <w:t xml:space="preserve">s were withdrawn from the crystallizer and analysed according to previously described </w:t>
      </w:r>
      <w:r w:rsidR="00507EE1" w:rsidRPr="00BB6631">
        <w:rPr>
          <w:lang w:val="en-GB"/>
        </w:rPr>
        <w:t>procedure</w:t>
      </w:r>
      <w:r w:rsidR="00856F0E" w:rsidRPr="00BB6631">
        <w:rPr>
          <w:lang w:val="en-GB"/>
        </w:rPr>
        <w:t>. L</w:t>
      </w:r>
      <w:r w:rsidR="002F407A" w:rsidRPr="00BB6631">
        <w:rPr>
          <w:lang w:val="en-GB"/>
        </w:rPr>
        <w:t xml:space="preserve">inear </w:t>
      </w:r>
      <w:r w:rsidR="00856F0E" w:rsidRPr="00BB6631">
        <w:rPr>
          <w:lang w:val="en-GB"/>
        </w:rPr>
        <w:t xml:space="preserve">crystal </w:t>
      </w:r>
      <w:r w:rsidR="002F407A" w:rsidRPr="00BB6631">
        <w:rPr>
          <w:lang w:val="en-GB"/>
        </w:rPr>
        <w:t xml:space="preserve">size was </w:t>
      </w:r>
      <w:r w:rsidR="00856F0E" w:rsidRPr="00BB6631">
        <w:rPr>
          <w:lang w:val="en-GB"/>
        </w:rPr>
        <w:t>calculated according</w:t>
      </w:r>
      <w:r w:rsidR="00B0377D" w:rsidRPr="00BB6631">
        <w:rPr>
          <w:lang w:val="en-GB"/>
        </w:rPr>
        <w:t xml:space="preserve"> to equation:</w:t>
      </w:r>
    </w:p>
    <w:p w:rsidR="005837A6" w:rsidRPr="00BB6631" w:rsidRDefault="005837A6" w:rsidP="00E20B9D">
      <w:pPr>
        <w:pStyle w:val="CETBodytext"/>
        <w:rPr>
          <w:lang w:val="en-GB"/>
        </w:rPr>
      </w:pPr>
    </w:p>
    <w:tbl>
      <w:tblPr>
        <w:tblW w:w="5000" w:type="pct"/>
        <w:tblLook w:val="04A0" w:firstRow="1" w:lastRow="0" w:firstColumn="1" w:lastColumn="0" w:noHBand="0" w:noVBand="1"/>
      </w:tblPr>
      <w:tblGrid>
        <w:gridCol w:w="6699"/>
        <w:gridCol w:w="2304"/>
      </w:tblGrid>
      <w:tr w:rsidR="00BB6631" w:rsidRPr="00BB6631" w:rsidTr="002F407A">
        <w:tc>
          <w:tcPr>
            <w:tcW w:w="6699" w:type="dxa"/>
            <w:shd w:val="clear" w:color="auto" w:fill="auto"/>
            <w:vAlign w:val="center"/>
          </w:tcPr>
          <w:p w:rsidR="002F407A" w:rsidRPr="00BB6631" w:rsidRDefault="002F407A" w:rsidP="0000363B">
            <w:pPr>
              <w:pStyle w:val="CETBodytext"/>
              <w:spacing w:before="120" w:after="120"/>
              <w:rPr>
                <w:rFonts w:ascii="Cambria Math" w:hAnsi="Cambria Math" w:cs="Arial"/>
                <w:lang w:val="en-GB"/>
                <w:oMath/>
              </w:rPr>
            </w:pPr>
            <m:oMathPara>
              <m:oMathParaPr>
                <m:jc m:val="left"/>
              </m:oMathParaPr>
              <m:oMath>
                <m:r>
                  <w:rPr>
                    <w:rFonts w:ascii="Cambria Math" w:hAnsi="Cambria Math" w:cs="Arial"/>
                    <w:lang w:val="en-GB"/>
                  </w:rPr>
                  <m:t>L=</m:t>
                </m:r>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L</m:t>
                        </m:r>
                      </m:e>
                      <m:sub>
                        <m:r>
                          <w:rPr>
                            <w:rFonts w:ascii="Cambria Math" w:hAnsi="Cambria Math" w:cs="Arial"/>
                            <w:lang w:val="en-GB"/>
                          </w:rPr>
                          <m:t>c</m:t>
                        </m:r>
                      </m:sub>
                    </m:sSub>
                  </m:num>
                  <m:den>
                    <m:r>
                      <w:rPr>
                        <w:rFonts w:ascii="Cambria Math" w:hAnsi="Cambria Math" w:cs="Arial"/>
                        <w:lang w:val="en-GB"/>
                      </w:rPr>
                      <m:t>n</m:t>
                    </m:r>
                  </m:den>
                </m:f>
              </m:oMath>
            </m:oMathPara>
          </w:p>
        </w:tc>
        <w:tc>
          <w:tcPr>
            <w:tcW w:w="2304" w:type="dxa"/>
            <w:shd w:val="clear" w:color="auto" w:fill="auto"/>
            <w:vAlign w:val="center"/>
          </w:tcPr>
          <w:p w:rsidR="002F407A" w:rsidRPr="00BB6631" w:rsidRDefault="002F407A" w:rsidP="002F407A">
            <w:pPr>
              <w:pStyle w:val="CETBodytext"/>
              <w:spacing w:before="120" w:after="120"/>
              <w:jc w:val="right"/>
              <w:rPr>
                <w:lang w:val="en-GB"/>
              </w:rPr>
            </w:pPr>
            <w:r w:rsidRPr="00BB6631">
              <w:rPr>
                <w:lang w:val="en-GB"/>
              </w:rPr>
              <w:t>(2)</w:t>
            </w:r>
          </w:p>
        </w:tc>
      </w:tr>
    </w:tbl>
    <w:p w:rsidR="005837A6" w:rsidRPr="00BB6631" w:rsidRDefault="005837A6" w:rsidP="005837A6">
      <w:pPr>
        <w:pStyle w:val="CETBodytext"/>
        <w:rPr>
          <w:lang w:val="en-GB"/>
        </w:rPr>
      </w:pPr>
    </w:p>
    <w:p w:rsidR="005837A6" w:rsidRPr="00BB6631" w:rsidRDefault="005837A6" w:rsidP="005837A6">
      <w:pPr>
        <w:pStyle w:val="CETBodytext"/>
        <w:rPr>
          <w:lang w:val="en-GB"/>
        </w:rPr>
      </w:pPr>
      <w:r w:rsidRPr="00BB6631">
        <w:rPr>
          <w:noProof/>
        </w:rPr>
        <w:drawing>
          <wp:inline distT="0" distB="0" distL="0" distR="0" wp14:anchorId="607BBEF1" wp14:editId="065916A5">
            <wp:extent cx="5579745" cy="2056907"/>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9745" cy="2056907"/>
                    </a:xfrm>
                    <a:prstGeom prst="rect">
                      <a:avLst/>
                    </a:prstGeom>
                    <a:noFill/>
                    <a:ln>
                      <a:noFill/>
                    </a:ln>
                  </pic:spPr>
                </pic:pic>
              </a:graphicData>
            </a:graphic>
          </wp:inline>
        </w:drawing>
      </w:r>
    </w:p>
    <w:p w:rsidR="005837A6" w:rsidRPr="00BB6631" w:rsidRDefault="005837A6" w:rsidP="005837A6">
      <w:pPr>
        <w:pStyle w:val="CETBodytext"/>
        <w:rPr>
          <w:lang w:val="en-GB"/>
        </w:rPr>
      </w:pPr>
    </w:p>
    <w:p w:rsidR="005837A6" w:rsidRPr="00BB6631" w:rsidRDefault="005837A6" w:rsidP="005837A6">
      <w:pPr>
        <w:pStyle w:val="CETBodytext"/>
        <w:rPr>
          <w:lang w:val="en-GB"/>
        </w:rPr>
      </w:pPr>
      <w:r w:rsidRPr="00BB6631">
        <w:rPr>
          <w:lang w:val="en-GB"/>
        </w:rPr>
        <w:t>Figure 3. Variation of linear crystal size over process time at different cooling rate in the system: a. with SBT impeller and b. PBT impeller</w:t>
      </w:r>
    </w:p>
    <w:p w:rsidR="005837A6" w:rsidRPr="00BB6631" w:rsidRDefault="005837A6">
      <w:pPr>
        <w:tabs>
          <w:tab w:val="clear" w:pos="7100"/>
        </w:tabs>
        <w:spacing w:after="200" w:line="276" w:lineRule="auto"/>
        <w:jc w:val="left"/>
      </w:pPr>
    </w:p>
    <w:p w:rsidR="00AE4A88" w:rsidRPr="00BB6631" w:rsidRDefault="00323646" w:rsidP="005837A6">
      <w:pPr>
        <w:pStyle w:val="CETBodytext"/>
        <w:rPr>
          <w:lang w:val="en-GB"/>
        </w:rPr>
      </w:pPr>
      <w:r w:rsidRPr="00BB6631">
        <w:rPr>
          <w:lang w:val="en-GB"/>
        </w:rPr>
        <w:t xml:space="preserve">Since crystallization is </w:t>
      </w:r>
      <w:r w:rsidR="00E82958" w:rsidRPr="00BB6631">
        <w:rPr>
          <w:lang w:val="en-GB"/>
        </w:rPr>
        <w:t xml:space="preserve">conducted </w:t>
      </w:r>
      <w:r w:rsidRPr="00BB6631">
        <w:rPr>
          <w:lang w:val="en-GB"/>
        </w:rPr>
        <w:t>from 30</w:t>
      </w:r>
      <w:r w:rsidR="00E82958" w:rsidRPr="00BB6631">
        <w:rPr>
          <w:lang w:val="en-GB"/>
        </w:rPr>
        <w:t xml:space="preserve"> °C </w:t>
      </w:r>
      <w:r w:rsidRPr="00BB6631">
        <w:rPr>
          <w:lang w:val="en-GB"/>
        </w:rPr>
        <w:t>to 5</w:t>
      </w:r>
      <w:r w:rsidR="00E82958" w:rsidRPr="00BB6631">
        <w:rPr>
          <w:lang w:val="en-GB"/>
        </w:rPr>
        <w:t xml:space="preserve"> </w:t>
      </w:r>
      <w:r w:rsidRPr="00BB6631">
        <w:rPr>
          <w:lang w:val="en-GB"/>
        </w:rPr>
        <w:t>°C</w:t>
      </w:r>
      <w:r w:rsidR="00875677" w:rsidRPr="00BB6631">
        <w:rPr>
          <w:lang w:val="en-GB"/>
        </w:rPr>
        <w:t>,</w:t>
      </w:r>
      <w:r w:rsidRPr="00BB6631">
        <w:rPr>
          <w:lang w:val="en-GB"/>
        </w:rPr>
        <w:t xml:space="preserve"> </w:t>
      </w:r>
      <w:r w:rsidR="00856F0E" w:rsidRPr="00BB6631">
        <w:rPr>
          <w:lang w:val="en-GB"/>
        </w:rPr>
        <w:t xml:space="preserve">the longest </w:t>
      </w:r>
      <w:r w:rsidRPr="00BB6631">
        <w:rPr>
          <w:lang w:val="en-GB"/>
        </w:rPr>
        <w:t xml:space="preserve">process </w:t>
      </w:r>
      <w:r w:rsidR="00784C21" w:rsidRPr="00BB6631">
        <w:rPr>
          <w:lang w:val="en-GB"/>
        </w:rPr>
        <w:t>time was</w:t>
      </w:r>
      <w:r w:rsidRPr="00BB6631">
        <w:rPr>
          <w:lang w:val="en-GB"/>
        </w:rPr>
        <w:t xml:space="preserve"> </w:t>
      </w:r>
      <w:r w:rsidR="00640086" w:rsidRPr="00BB6631">
        <w:rPr>
          <w:lang w:val="en-GB"/>
        </w:rPr>
        <w:t xml:space="preserve">at </w:t>
      </w:r>
      <w:r w:rsidRPr="00BB6631">
        <w:rPr>
          <w:lang w:val="en-GB"/>
        </w:rPr>
        <w:t>cooling</w:t>
      </w:r>
      <w:r w:rsidR="00640086" w:rsidRPr="00BB6631">
        <w:rPr>
          <w:lang w:val="en-GB"/>
        </w:rPr>
        <w:t xml:space="preserve"> rate of 4</w:t>
      </w:r>
      <w:r w:rsidR="00E82958" w:rsidRPr="00BB6631">
        <w:rPr>
          <w:lang w:val="en-GB"/>
        </w:rPr>
        <w:t xml:space="preserve"> </w:t>
      </w:r>
      <w:r w:rsidR="00640086" w:rsidRPr="00BB6631">
        <w:rPr>
          <w:lang w:val="en-GB"/>
        </w:rPr>
        <w:t>°C</w:t>
      </w:r>
      <w:r w:rsidR="00AE4A88" w:rsidRPr="00BB6631">
        <w:rPr>
          <w:lang w:val="en-GB"/>
        </w:rPr>
        <w:t>/h</w:t>
      </w:r>
      <w:r w:rsidR="00C16577" w:rsidRPr="00BB6631">
        <w:rPr>
          <w:lang w:val="en-GB"/>
        </w:rPr>
        <w:t>. Due</w:t>
      </w:r>
      <w:r w:rsidR="0086223B" w:rsidRPr="00BB6631">
        <w:rPr>
          <w:lang w:val="en-GB"/>
        </w:rPr>
        <w:t xml:space="preserve"> </w:t>
      </w:r>
      <w:r w:rsidR="00640086" w:rsidRPr="00BB6631">
        <w:rPr>
          <w:lang w:val="en-GB"/>
        </w:rPr>
        <w:t>to longe</w:t>
      </w:r>
      <w:r w:rsidR="0086223B" w:rsidRPr="00BB6631">
        <w:rPr>
          <w:lang w:val="en-GB"/>
        </w:rPr>
        <w:t xml:space="preserve">st </w:t>
      </w:r>
      <w:r w:rsidR="00640086" w:rsidRPr="00BB6631">
        <w:rPr>
          <w:lang w:val="en-GB"/>
        </w:rPr>
        <w:t xml:space="preserve">retention </w:t>
      </w:r>
      <w:r w:rsidR="00C16577" w:rsidRPr="00BB6631">
        <w:rPr>
          <w:lang w:val="en-GB"/>
        </w:rPr>
        <w:t xml:space="preserve">time of growing crystals inside the magma, at this cooling rate, </w:t>
      </w:r>
      <w:r w:rsidR="00640086" w:rsidRPr="00BB6631">
        <w:rPr>
          <w:lang w:val="en-GB"/>
        </w:rPr>
        <w:t xml:space="preserve">final </w:t>
      </w:r>
      <w:r w:rsidR="008247B9" w:rsidRPr="00BB6631">
        <w:rPr>
          <w:lang w:val="en-GB"/>
        </w:rPr>
        <w:t xml:space="preserve">size of borax crystals </w:t>
      </w:r>
      <w:r w:rsidRPr="00BB6631">
        <w:rPr>
          <w:lang w:val="en-GB"/>
        </w:rPr>
        <w:t>was</w:t>
      </w:r>
      <w:r w:rsidR="00640086" w:rsidRPr="00BB6631">
        <w:rPr>
          <w:lang w:val="en-GB"/>
        </w:rPr>
        <w:t xml:space="preserve"> large</w:t>
      </w:r>
      <w:r w:rsidR="008247B9" w:rsidRPr="00BB6631">
        <w:rPr>
          <w:lang w:val="en-GB"/>
        </w:rPr>
        <w:t>st, in both systems.</w:t>
      </w:r>
      <w:r w:rsidR="00E20B9D" w:rsidRPr="00BB6631">
        <w:rPr>
          <w:lang w:val="en-GB"/>
        </w:rPr>
        <w:t xml:space="preserve"> </w:t>
      </w:r>
      <w:r w:rsidR="006B70F0" w:rsidRPr="00BB6631">
        <w:rPr>
          <w:lang w:val="en-GB"/>
        </w:rPr>
        <w:t xml:space="preserve">On the other hand, </w:t>
      </w:r>
      <w:r w:rsidR="00E90FF5" w:rsidRPr="00BB6631">
        <w:rPr>
          <w:lang w:val="en-GB"/>
        </w:rPr>
        <w:t xml:space="preserve">final </w:t>
      </w:r>
      <w:r w:rsidR="006B70F0" w:rsidRPr="00BB6631">
        <w:rPr>
          <w:lang w:val="en-GB"/>
        </w:rPr>
        <w:t xml:space="preserve">size of borax </w:t>
      </w:r>
      <w:r w:rsidR="00E90FF5" w:rsidRPr="00BB6631">
        <w:rPr>
          <w:lang w:val="en-GB"/>
        </w:rPr>
        <w:t>crystal</w:t>
      </w:r>
      <w:r w:rsidR="006B70F0" w:rsidRPr="00BB6631">
        <w:rPr>
          <w:lang w:val="en-GB"/>
        </w:rPr>
        <w:t>s</w:t>
      </w:r>
      <w:r w:rsidR="00E90FF5" w:rsidRPr="00BB6631">
        <w:rPr>
          <w:lang w:val="en-GB"/>
        </w:rPr>
        <w:t xml:space="preserve"> obtained at 9</w:t>
      </w:r>
      <w:r w:rsidR="006B70F0" w:rsidRPr="00BB6631">
        <w:rPr>
          <w:lang w:val="en-GB"/>
        </w:rPr>
        <w:t xml:space="preserve"> </w:t>
      </w:r>
      <w:r w:rsidR="00E90FF5" w:rsidRPr="00BB6631">
        <w:rPr>
          <w:lang w:val="en-GB"/>
        </w:rPr>
        <w:t xml:space="preserve">°C </w:t>
      </w:r>
      <w:r w:rsidR="006B70F0" w:rsidRPr="00BB6631">
        <w:rPr>
          <w:lang w:val="en-GB"/>
        </w:rPr>
        <w:t>was</w:t>
      </w:r>
      <w:r w:rsidR="00E90FF5" w:rsidRPr="00BB6631">
        <w:rPr>
          <w:lang w:val="en-GB"/>
        </w:rPr>
        <w:t xml:space="preserve"> the smallest. </w:t>
      </w:r>
      <w:r w:rsidR="00784C21" w:rsidRPr="00BB6631">
        <w:rPr>
          <w:lang w:val="en-GB"/>
        </w:rPr>
        <w:t>Along with linear</w:t>
      </w:r>
      <w:r w:rsidR="00E90FF5" w:rsidRPr="00BB6631">
        <w:rPr>
          <w:lang w:val="en-GB"/>
        </w:rPr>
        <w:t xml:space="preserve"> crystal size </w:t>
      </w:r>
      <w:r w:rsidR="006B70F0" w:rsidRPr="00BB6631">
        <w:rPr>
          <w:lang w:val="en-GB"/>
        </w:rPr>
        <w:t>here will be</w:t>
      </w:r>
      <w:r w:rsidR="00AE4A88" w:rsidRPr="00BB6631">
        <w:rPr>
          <w:lang w:val="en-GB"/>
        </w:rPr>
        <w:t xml:space="preserve"> also</w:t>
      </w:r>
      <w:r w:rsidR="006B70F0" w:rsidRPr="00BB6631">
        <w:rPr>
          <w:lang w:val="en-GB"/>
        </w:rPr>
        <w:t xml:space="preserve"> </w:t>
      </w:r>
      <w:r w:rsidR="00AE4A88" w:rsidRPr="00BB6631">
        <w:rPr>
          <w:lang w:val="en-GB"/>
        </w:rPr>
        <w:t>analysed</w:t>
      </w:r>
      <w:r w:rsidR="006B70F0" w:rsidRPr="00BB6631">
        <w:rPr>
          <w:lang w:val="en-GB"/>
        </w:rPr>
        <w:t xml:space="preserve"> </w:t>
      </w:r>
      <w:r w:rsidR="00E90FF5" w:rsidRPr="00BB6631">
        <w:rPr>
          <w:lang w:val="en-GB"/>
        </w:rPr>
        <w:t xml:space="preserve">supersaturation </w:t>
      </w:r>
      <w:r w:rsidR="000B7F72" w:rsidRPr="00BB6631">
        <w:rPr>
          <w:lang w:val="en-GB"/>
        </w:rPr>
        <w:t>of the mother liquor presented</w:t>
      </w:r>
      <w:r w:rsidR="00E90FF5" w:rsidRPr="00BB6631">
        <w:rPr>
          <w:lang w:val="en-GB"/>
        </w:rPr>
        <w:t xml:space="preserve"> in Figure 1</w:t>
      </w:r>
      <w:r w:rsidR="006B70F0" w:rsidRPr="00BB6631">
        <w:rPr>
          <w:lang w:val="en-GB"/>
        </w:rPr>
        <w:t xml:space="preserve">. From </w:t>
      </w:r>
      <w:r w:rsidR="000B7F72" w:rsidRPr="00BB6631">
        <w:rPr>
          <w:lang w:val="en-GB"/>
        </w:rPr>
        <w:t>supersaturation changes</w:t>
      </w:r>
      <w:r w:rsidR="00875677" w:rsidRPr="00BB6631">
        <w:rPr>
          <w:lang w:val="en-GB"/>
        </w:rPr>
        <w:t>,</w:t>
      </w:r>
      <w:r w:rsidR="000B7F72" w:rsidRPr="00BB6631">
        <w:rPr>
          <w:lang w:val="en-GB"/>
        </w:rPr>
        <w:t xml:space="preserve"> </w:t>
      </w:r>
      <w:r w:rsidR="00E90FF5" w:rsidRPr="00BB6631">
        <w:rPr>
          <w:lang w:val="en-GB"/>
        </w:rPr>
        <w:t>it can be seen that</w:t>
      </w:r>
      <w:r w:rsidR="00784C21" w:rsidRPr="00BB6631">
        <w:rPr>
          <w:lang w:val="en-GB"/>
        </w:rPr>
        <w:t xml:space="preserve"> </w:t>
      </w:r>
      <w:proofErr w:type="spellStart"/>
      <w:r w:rsidR="00E90FF5" w:rsidRPr="00BB6631">
        <w:rPr>
          <w:lang w:val="en-GB"/>
        </w:rPr>
        <w:t>desupersaturati</w:t>
      </w:r>
      <w:r w:rsidR="00E20B9D" w:rsidRPr="00BB6631">
        <w:rPr>
          <w:lang w:val="en-GB"/>
        </w:rPr>
        <w:t>on</w:t>
      </w:r>
      <w:proofErr w:type="spellEnd"/>
      <w:r w:rsidR="00AE4A88" w:rsidRPr="00BB6631">
        <w:rPr>
          <w:lang w:val="en-GB"/>
        </w:rPr>
        <w:t xml:space="preserve"> </w:t>
      </w:r>
      <w:r w:rsidR="00E20B9D" w:rsidRPr="00BB6631">
        <w:rPr>
          <w:lang w:val="en-GB"/>
        </w:rPr>
        <w:t xml:space="preserve">is less pronounced at lower cooling rates. Less pronounced </w:t>
      </w:r>
      <w:proofErr w:type="spellStart"/>
      <w:r w:rsidR="00E20B9D" w:rsidRPr="00BB6631">
        <w:rPr>
          <w:lang w:val="en-GB"/>
        </w:rPr>
        <w:t>desupersaturation</w:t>
      </w:r>
      <w:proofErr w:type="spellEnd"/>
      <w:r w:rsidR="00E20B9D" w:rsidRPr="00BB6631">
        <w:rPr>
          <w:lang w:val="en-GB"/>
        </w:rPr>
        <w:t xml:space="preserve"> and more pronounced size increment </w:t>
      </w:r>
      <w:r w:rsidR="00E70D5E" w:rsidRPr="00BB6631">
        <w:rPr>
          <w:lang w:val="en-GB"/>
        </w:rPr>
        <w:t>may indicate that in this</w:t>
      </w:r>
      <w:r w:rsidR="00E20B9D" w:rsidRPr="00BB6631">
        <w:rPr>
          <w:lang w:val="en-GB"/>
        </w:rPr>
        <w:t xml:space="preserve"> system supersaturation </w:t>
      </w:r>
      <w:r w:rsidR="00AE4A88" w:rsidRPr="00BB6631">
        <w:rPr>
          <w:lang w:val="en-GB"/>
        </w:rPr>
        <w:t>have been</w:t>
      </w:r>
      <w:r w:rsidR="00E20B9D" w:rsidRPr="00BB6631">
        <w:rPr>
          <w:lang w:val="en-GB"/>
        </w:rPr>
        <w:t xml:space="preserve"> mostly consumed </w:t>
      </w:r>
      <w:r w:rsidR="00871D13" w:rsidRPr="00BB6631">
        <w:rPr>
          <w:lang w:val="en-GB"/>
        </w:rPr>
        <w:t>during</w:t>
      </w:r>
      <w:r w:rsidR="00AE4A88" w:rsidRPr="00BB6631">
        <w:rPr>
          <w:lang w:val="en-GB"/>
        </w:rPr>
        <w:t xml:space="preserve"> the </w:t>
      </w:r>
      <w:r w:rsidR="00E20B9D" w:rsidRPr="00BB6631">
        <w:rPr>
          <w:lang w:val="en-GB"/>
        </w:rPr>
        <w:t xml:space="preserve">growth of </w:t>
      </w:r>
      <w:r w:rsidR="00C425ED" w:rsidRPr="00BB6631">
        <w:rPr>
          <w:lang w:val="en-GB"/>
        </w:rPr>
        <w:t xml:space="preserve">nuclei </w:t>
      </w:r>
      <w:r w:rsidR="00E20B9D" w:rsidRPr="00BB6631">
        <w:rPr>
          <w:lang w:val="en-GB"/>
        </w:rPr>
        <w:t xml:space="preserve">generated </w:t>
      </w:r>
      <w:r w:rsidR="00C425ED" w:rsidRPr="00BB6631">
        <w:rPr>
          <w:lang w:val="en-GB"/>
        </w:rPr>
        <w:t xml:space="preserve">by primary </w:t>
      </w:r>
      <w:r w:rsidR="00E20B9D" w:rsidRPr="00BB6631">
        <w:rPr>
          <w:lang w:val="en-GB"/>
        </w:rPr>
        <w:t>nucl</w:t>
      </w:r>
      <w:r w:rsidR="00C425ED" w:rsidRPr="00BB6631">
        <w:rPr>
          <w:lang w:val="en-GB"/>
        </w:rPr>
        <w:t>eation.</w:t>
      </w:r>
      <w:r w:rsidR="0086223B" w:rsidRPr="00BB6631">
        <w:rPr>
          <w:lang w:val="en-GB"/>
        </w:rPr>
        <w:t xml:space="preserve"> Since that </w:t>
      </w:r>
      <w:r w:rsidR="00E20B9D" w:rsidRPr="00BB6631">
        <w:rPr>
          <w:lang w:val="en-GB"/>
        </w:rPr>
        <w:t>in the systems</w:t>
      </w:r>
      <w:r w:rsidR="006B70F0" w:rsidRPr="00BB6631">
        <w:rPr>
          <w:lang w:val="en-GB"/>
        </w:rPr>
        <w:t xml:space="preserve"> with the </w:t>
      </w:r>
      <w:r w:rsidR="00AE4A88" w:rsidRPr="00BB6631">
        <w:rPr>
          <w:lang w:val="en-GB"/>
        </w:rPr>
        <w:t>highest</w:t>
      </w:r>
      <w:r w:rsidR="00E20B9D" w:rsidRPr="00BB6631">
        <w:rPr>
          <w:lang w:val="en-GB"/>
        </w:rPr>
        <w:t xml:space="preserve"> cooling rate </w:t>
      </w:r>
      <w:r w:rsidR="0086223B" w:rsidRPr="00BB6631">
        <w:rPr>
          <w:lang w:val="en-GB"/>
        </w:rPr>
        <w:t xml:space="preserve">a reverse trend </w:t>
      </w:r>
      <w:r w:rsidR="00AE4A88" w:rsidRPr="00BB6631">
        <w:rPr>
          <w:lang w:val="en-GB"/>
        </w:rPr>
        <w:t>is</w:t>
      </w:r>
      <w:r w:rsidR="00E20B9D" w:rsidRPr="00BB6631">
        <w:rPr>
          <w:lang w:val="en-GB"/>
        </w:rPr>
        <w:t xml:space="preserve"> present </w:t>
      </w:r>
      <w:r w:rsidR="0086223B" w:rsidRPr="00BB6631">
        <w:rPr>
          <w:lang w:val="en-GB"/>
        </w:rPr>
        <w:t>it can be expected that</w:t>
      </w:r>
      <w:r w:rsidR="006B70F0" w:rsidRPr="00BB6631">
        <w:rPr>
          <w:lang w:val="en-GB"/>
        </w:rPr>
        <w:t xml:space="preserve"> here </w:t>
      </w:r>
      <w:r w:rsidR="0086223B" w:rsidRPr="00BB6631">
        <w:rPr>
          <w:lang w:val="en-GB"/>
        </w:rPr>
        <w:t xml:space="preserve">supersaturation </w:t>
      </w:r>
      <w:r w:rsidR="00C425ED" w:rsidRPr="00BB6631">
        <w:rPr>
          <w:lang w:val="en-GB"/>
        </w:rPr>
        <w:t>is consumed not only on the large number of nuclei formed by primary nucleation but also on</w:t>
      </w:r>
      <w:r w:rsidR="0086223B" w:rsidRPr="00BB6631">
        <w:rPr>
          <w:lang w:val="en-GB"/>
        </w:rPr>
        <w:t xml:space="preserve"> formation of secondary </w:t>
      </w:r>
      <w:r w:rsidR="00C425ED" w:rsidRPr="00BB6631">
        <w:rPr>
          <w:lang w:val="en-GB"/>
        </w:rPr>
        <w:t xml:space="preserve">nuclei. </w:t>
      </w:r>
      <w:r w:rsidR="00E20B9D" w:rsidRPr="00BB6631">
        <w:rPr>
          <w:lang w:val="en-GB"/>
        </w:rPr>
        <w:t>Whether th</w:t>
      </w:r>
      <w:r w:rsidR="00C63A9C" w:rsidRPr="00BB6631">
        <w:rPr>
          <w:lang w:val="en-GB"/>
        </w:rPr>
        <w:t xml:space="preserve">ese </w:t>
      </w:r>
      <w:r w:rsidR="00E20B9D" w:rsidRPr="00BB6631">
        <w:rPr>
          <w:lang w:val="en-GB"/>
        </w:rPr>
        <w:t>assumption</w:t>
      </w:r>
      <w:r w:rsidR="00E70D5E" w:rsidRPr="00BB6631">
        <w:rPr>
          <w:lang w:val="en-GB"/>
        </w:rPr>
        <w:t>s</w:t>
      </w:r>
      <w:r w:rsidR="00E20B9D" w:rsidRPr="00BB6631">
        <w:rPr>
          <w:lang w:val="en-GB"/>
        </w:rPr>
        <w:t xml:space="preserve"> will be accurate will only be seen after</w:t>
      </w:r>
      <w:r w:rsidR="006B70F0" w:rsidRPr="00BB6631">
        <w:rPr>
          <w:lang w:val="en-GB"/>
        </w:rPr>
        <w:t xml:space="preserve"> the analysis of </w:t>
      </w:r>
      <w:r w:rsidR="00E20B9D" w:rsidRPr="00BB6631">
        <w:rPr>
          <w:lang w:val="en-GB"/>
        </w:rPr>
        <w:t>size distribution</w:t>
      </w:r>
      <w:r w:rsidR="006B70F0" w:rsidRPr="00BB6631">
        <w:rPr>
          <w:lang w:val="en-GB"/>
        </w:rPr>
        <w:t>s</w:t>
      </w:r>
      <w:r w:rsidR="00E20B9D" w:rsidRPr="00BB6631">
        <w:rPr>
          <w:lang w:val="en-GB"/>
        </w:rPr>
        <w:t xml:space="preserve"> </w:t>
      </w:r>
      <w:r w:rsidR="006B70F0" w:rsidRPr="00BB6631">
        <w:rPr>
          <w:lang w:val="en-GB"/>
        </w:rPr>
        <w:t xml:space="preserve">of the </w:t>
      </w:r>
      <w:r w:rsidR="00C63A9C" w:rsidRPr="00BB6631">
        <w:rPr>
          <w:lang w:val="en-GB"/>
        </w:rPr>
        <w:t xml:space="preserve">borax </w:t>
      </w:r>
      <w:r w:rsidR="006B70F0" w:rsidRPr="00BB6631">
        <w:rPr>
          <w:lang w:val="en-GB"/>
        </w:rPr>
        <w:t>crystals upon the processes finalisation.</w:t>
      </w:r>
    </w:p>
    <w:p w:rsidR="00784C21" w:rsidRPr="00BB6631" w:rsidRDefault="00B0377D" w:rsidP="005837A6">
      <w:pPr>
        <w:pStyle w:val="CETBodytext"/>
        <w:rPr>
          <w:lang w:val="en-GB"/>
        </w:rPr>
      </w:pPr>
      <w:r w:rsidRPr="00BB6631">
        <w:rPr>
          <w:rFonts w:cs="Arial"/>
        </w:rPr>
        <w:t>Crystal growth consists of several steps, which are summarized in two main step process; volume diffusion and surface integration of the solute to the crystal lattice (</w:t>
      </w:r>
      <w:proofErr w:type="spellStart"/>
      <w:r w:rsidRPr="00BB6631">
        <w:rPr>
          <w:rFonts w:cs="Arial"/>
        </w:rPr>
        <w:t>Cheon</w:t>
      </w:r>
      <w:proofErr w:type="spellEnd"/>
      <w:r w:rsidRPr="00BB6631">
        <w:rPr>
          <w:rFonts w:cs="Arial"/>
        </w:rPr>
        <w:t xml:space="preserve"> et al., 2005; </w:t>
      </w:r>
      <w:proofErr w:type="spellStart"/>
      <w:r w:rsidRPr="00BB6631">
        <w:rPr>
          <w:rFonts w:cs="Arial"/>
        </w:rPr>
        <w:t>Mersmann</w:t>
      </w:r>
      <w:proofErr w:type="spellEnd"/>
      <w:r w:rsidRPr="00BB6631">
        <w:rPr>
          <w:rFonts w:cs="Arial"/>
        </w:rPr>
        <w:t xml:space="preserve">, 1995). The growth rate is limited by the slower step that may change with a change in supersaturation and temperature. In this work </w:t>
      </w:r>
      <w:r w:rsidR="00784C21" w:rsidRPr="00BB6631">
        <w:rPr>
          <w:rFonts w:cs="Arial"/>
        </w:rPr>
        <w:t xml:space="preserve">crystal </w:t>
      </w:r>
      <w:r w:rsidRPr="00BB6631">
        <w:rPr>
          <w:rFonts w:cs="Arial"/>
        </w:rPr>
        <w:t>gr</w:t>
      </w:r>
      <w:proofErr w:type="spellStart"/>
      <w:r w:rsidR="00C425ED" w:rsidRPr="00BB6631">
        <w:rPr>
          <w:rFonts w:cs="Arial"/>
          <w:lang w:val="en-GB"/>
        </w:rPr>
        <w:t>owth</w:t>
      </w:r>
      <w:proofErr w:type="spellEnd"/>
      <w:r w:rsidR="0086223B" w:rsidRPr="00BB6631">
        <w:rPr>
          <w:rFonts w:cs="Arial"/>
          <w:lang w:val="en-GB"/>
        </w:rPr>
        <w:t xml:space="preserve"> rate</w:t>
      </w:r>
      <w:r w:rsidR="00507EE1" w:rsidRPr="00BB6631">
        <w:rPr>
          <w:rFonts w:cs="Arial"/>
          <w:lang w:val="en-GB"/>
        </w:rPr>
        <w:t xml:space="preserve"> </w:t>
      </w:r>
      <w:r w:rsidR="00507EE1" w:rsidRPr="00BB6631">
        <w:rPr>
          <w:lang w:val="en-GB"/>
        </w:rPr>
        <w:t>is express</w:t>
      </w:r>
      <w:r w:rsidR="00871D13" w:rsidRPr="00BB6631">
        <w:rPr>
          <w:lang w:val="en-GB"/>
        </w:rPr>
        <w:t>ed</w:t>
      </w:r>
      <w:r w:rsidR="00507EE1" w:rsidRPr="00BB6631">
        <w:rPr>
          <w:lang w:val="en-GB"/>
        </w:rPr>
        <w:t xml:space="preserve"> as linear growth rate calculated from the changes of linear crystal size over process time</w:t>
      </w:r>
      <w:r w:rsidR="00784C21" w:rsidRPr="00BB6631">
        <w:rPr>
          <w:lang w:val="en-GB"/>
        </w:rPr>
        <w:t>:</w:t>
      </w:r>
    </w:p>
    <w:tbl>
      <w:tblPr>
        <w:tblW w:w="5000" w:type="pct"/>
        <w:tblLook w:val="04A0" w:firstRow="1" w:lastRow="0" w:firstColumn="1" w:lastColumn="0" w:noHBand="0" w:noVBand="1"/>
      </w:tblPr>
      <w:tblGrid>
        <w:gridCol w:w="6699"/>
        <w:gridCol w:w="2304"/>
      </w:tblGrid>
      <w:tr w:rsidR="00BB6631" w:rsidRPr="00BB6631" w:rsidTr="0000363B">
        <w:tc>
          <w:tcPr>
            <w:tcW w:w="6699" w:type="dxa"/>
            <w:shd w:val="clear" w:color="auto" w:fill="auto"/>
            <w:vAlign w:val="center"/>
          </w:tcPr>
          <w:p w:rsidR="00784C21" w:rsidRPr="00BB6631" w:rsidRDefault="00784C21" w:rsidP="0000363B">
            <w:pPr>
              <w:pStyle w:val="CETBodytext"/>
              <w:spacing w:before="120" w:after="120"/>
              <w:rPr>
                <w:lang w:val="en-GB"/>
              </w:rPr>
            </w:pPr>
            <m:oMathPara>
              <m:oMathParaPr>
                <m:jc m:val="left"/>
              </m:oMathParaPr>
              <m:oMath>
                <m:r>
                  <w:rPr>
                    <w:rFonts w:ascii="Cambria Math" w:hAnsi="Cambria Math" w:cs="Arial"/>
                    <w:lang w:val="en-GB"/>
                  </w:rPr>
                  <m:t>G=</m:t>
                </m:r>
                <m:f>
                  <m:fPr>
                    <m:ctrlPr>
                      <w:rPr>
                        <w:rFonts w:ascii="Cambria Math" w:hAnsi="Cambria Math" w:cs="Arial"/>
                        <w:i/>
                        <w:lang w:val="en-GB"/>
                      </w:rPr>
                    </m:ctrlPr>
                  </m:fPr>
                  <m:num>
                    <m:r>
                      <w:rPr>
                        <w:rFonts w:ascii="Cambria Math" w:hAnsi="Cambria Math" w:cs="Arial"/>
                        <w:lang w:val="en-GB"/>
                      </w:rPr>
                      <m:t>dL</m:t>
                    </m:r>
                  </m:num>
                  <m:den>
                    <m:r>
                      <w:rPr>
                        <w:rFonts w:ascii="Cambria Math" w:hAnsi="Cambria Math" w:cs="Arial"/>
                        <w:lang w:val="en-GB"/>
                      </w:rPr>
                      <m:t>dt</m:t>
                    </m:r>
                  </m:den>
                </m:f>
              </m:oMath>
            </m:oMathPara>
          </w:p>
        </w:tc>
        <w:tc>
          <w:tcPr>
            <w:tcW w:w="2304" w:type="dxa"/>
            <w:shd w:val="clear" w:color="auto" w:fill="auto"/>
            <w:vAlign w:val="center"/>
          </w:tcPr>
          <w:p w:rsidR="00784C21" w:rsidRPr="00BB6631" w:rsidRDefault="00784C21" w:rsidP="00784C21">
            <w:pPr>
              <w:pStyle w:val="CETBodytext"/>
              <w:spacing w:before="120" w:after="120"/>
              <w:jc w:val="right"/>
              <w:rPr>
                <w:lang w:val="en-GB"/>
              </w:rPr>
            </w:pPr>
            <w:r w:rsidRPr="00BB6631">
              <w:rPr>
                <w:lang w:val="en-GB"/>
              </w:rPr>
              <w:t>(3)</w:t>
            </w:r>
          </w:p>
        </w:tc>
      </w:tr>
    </w:tbl>
    <w:p w:rsidR="00784C21" w:rsidRPr="00BB6631" w:rsidRDefault="00784C21" w:rsidP="00784C21">
      <w:pPr>
        <w:pStyle w:val="CETBodytext"/>
        <w:rPr>
          <w:lang w:val="en-GB"/>
        </w:rPr>
      </w:pPr>
    </w:p>
    <w:p w:rsidR="00125CFF" w:rsidRPr="00BB6631" w:rsidRDefault="00125CFF" w:rsidP="005837A6">
      <w:pPr>
        <w:pStyle w:val="CETBodytext"/>
        <w:rPr>
          <w:rFonts w:cs="Arial"/>
        </w:rPr>
      </w:pPr>
      <w:r w:rsidRPr="00BB6631">
        <w:rPr>
          <w:lang w:val="en-GB"/>
        </w:rPr>
        <w:t xml:space="preserve">Experimentally determined crystal growth rates were marked in dimensionless crystal growth rate vs. dimensionless supersaturation </w:t>
      </w:r>
      <w:r w:rsidR="00C425ED" w:rsidRPr="00BB6631">
        <w:rPr>
          <w:lang w:val="en-GB"/>
        </w:rPr>
        <w:t xml:space="preserve">diagram </w:t>
      </w:r>
      <w:r w:rsidRPr="00BB6631">
        <w:rPr>
          <w:lang w:val="en-GB"/>
        </w:rPr>
        <w:t xml:space="preserve">proposed </w:t>
      </w:r>
      <w:r w:rsidR="00C425ED" w:rsidRPr="00BB6631">
        <w:rPr>
          <w:lang w:val="en-GB"/>
        </w:rPr>
        <w:t xml:space="preserve">by </w:t>
      </w:r>
      <w:proofErr w:type="spellStart"/>
      <w:r w:rsidRPr="00BB6631">
        <w:rPr>
          <w:lang w:val="en-GB"/>
        </w:rPr>
        <w:t>Mersmann</w:t>
      </w:r>
      <w:proofErr w:type="spellEnd"/>
      <w:r w:rsidR="00C425ED" w:rsidRPr="00BB6631">
        <w:rPr>
          <w:lang w:val="en-GB"/>
        </w:rPr>
        <w:t xml:space="preserve"> (</w:t>
      </w:r>
      <w:r w:rsidRPr="00BB6631">
        <w:rPr>
          <w:lang w:val="en-GB"/>
        </w:rPr>
        <w:t xml:space="preserve">1995) </w:t>
      </w:r>
      <w:r w:rsidR="00507EE1" w:rsidRPr="00BB6631">
        <w:rPr>
          <w:lang w:val="en-GB"/>
        </w:rPr>
        <w:t>and presented in</w:t>
      </w:r>
      <w:r w:rsidR="00C425ED" w:rsidRPr="00BB6631">
        <w:rPr>
          <w:lang w:val="en-GB"/>
        </w:rPr>
        <w:t xml:space="preserve"> Figure 2b. </w:t>
      </w:r>
      <w:r w:rsidRPr="00BB6631">
        <w:rPr>
          <w:lang w:val="en-GB"/>
        </w:rPr>
        <w:t xml:space="preserve">In this diagram </w:t>
      </w:r>
      <w:proofErr w:type="spellStart"/>
      <w:r w:rsidRPr="00BB6631">
        <w:rPr>
          <w:i/>
          <w:lang w:val="en-GB"/>
        </w:rPr>
        <w:t>k</w:t>
      </w:r>
      <w:r w:rsidRPr="00BB6631">
        <w:rPr>
          <w:vertAlign w:val="subscript"/>
          <w:lang w:val="en-GB"/>
        </w:rPr>
        <w:t>d</w:t>
      </w:r>
      <w:proofErr w:type="spellEnd"/>
      <w:r w:rsidRPr="00BB6631">
        <w:rPr>
          <w:lang w:val="en-GB"/>
        </w:rPr>
        <w:t xml:space="preserve"> </w:t>
      </w:r>
      <w:r w:rsidR="00871D13" w:rsidRPr="00BB6631">
        <w:rPr>
          <w:lang w:val="en-GB"/>
        </w:rPr>
        <w:t>appears, being a</w:t>
      </w:r>
      <w:r w:rsidRPr="00BB6631">
        <w:rPr>
          <w:lang w:val="en-GB"/>
        </w:rPr>
        <w:t xml:space="preserve"> mass transfer coefficient determined by equation proposed by </w:t>
      </w:r>
      <w:proofErr w:type="spellStart"/>
      <w:r w:rsidRPr="00BB6631">
        <w:rPr>
          <w:rFonts w:cs="Arial"/>
        </w:rPr>
        <w:t>Herndl</w:t>
      </w:r>
      <w:proofErr w:type="spellEnd"/>
      <w:r w:rsidRPr="00BB6631">
        <w:rPr>
          <w:rFonts w:cs="Arial"/>
        </w:rPr>
        <w:t xml:space="preserve"> (1982):</w:t>
      </w:r>
    </w:p>
    <w:tbl>
      <w:tblPr>
        <w:tblW w:w="5000" w:type="pct"/>
        <w:tblLook w:val="04A0" w:firstRow="1" w:lastRow="0" w:firstColumn="1" w:lastColumn="0" w:noHBand="0" w:noVBand="1"/>
      </w:tblPr>
      <w:tblGrid>
        <w:gridCol w:w="6699"/>
        <w:gridCol w:w="2304"/>
      </w:tblGrid>
      <w:tr w:rsidR="00BB6631" w:rsidRPr="00BB6631" w:rsidTr="0000363B">
        <w:tc>
          <w:tcPr>
            <w:tcW w:w="6699" w:type="dxa"/>
            <w:shd w:val="clear" w:color="auto" w:fill="auto"/>
            <w:vAlign w:val="center"/>
          </w:tcPr>
          <w:p w:rsidR="00125CFF" w:rsidRPr="00BB6631" w:rsidRDefault="00921005" w:rsidP="0000363B">
            <w:pPr>
              <w:spacing w:before="120" w:after="120"/>
              <w:jc w:val="center"/>
              <w:rPr>
                <w:rFonts w:cs="Arial"/>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d</m:t>
                    </m:r>
                  </m:sub>
                </m:sSub>
                <m:r>
                  <w:rPr>
                    <w:rFonts w:ascii="Cambria Math" w:hAnsi="Cambria Math"/>
                  </w:rPr>
                  <m:t>(L)=</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AB</m:t>
                        </m:r>
                      </m:sub>
                    </m:sSub>
                  </m:num>
                  <m:den>
                    <m:r>
                      <w:rPr>
                        <w:rFonts w:ascii="Cambria Math" w:hAnsi="Cambria Math"/>
                      </w:rPr>
                      <m:t>L</m:t>
                    </m:r>
                  </m:den>
                </m:f>
                <m:d>
                  <m:dPr>
                    <m:begChr m:val="["/>
                    <m:endChr m:val="]"/>
                    <m:ctrlPr>
                      <w:rPr>
                        <w:rFonts w:ascii="Cambria Math" w:hAnsi="Cambria Math"/>
                        <w:i/>
                      </w:rPr>
                    </m:ctrlPr>
                  </m:dPr>
                  <m:e>
                    <m:r>
                      <w:rPr>
                        <w:rFonts w:ascii="Cambria Math" w:hAnsi="Cambria Math"/>
                      </w:rPr>
                      <m:t>0.8</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ε∙</m:t>
                                </m:r>
                                <m:sSup>
                                  <m:sSupPr>
                                    <m:ctrlPr>
                                      <w:rPr>
                                        <w:rFonts w:ascii="Cambria Math" w:hAnsi="Cambria Math"/>
                                        <w:i/>
                                      </w:rPr>
                                    </m:ctrlPr>
                                  </m:sSupPr>
                                  <m:e>
                                    <m:r>
                                      <w:rPr>
                                        <w:rFonts w:ascii="Cambria Math" w:hAnsi="Cambria Math"/>
                                      </w:rPr>
                                      <m:t>L</m:t>
                                    </m:r>
                                  </m:e>
                                  <m:sup>
                                    <m:r>
                                      <w:rPr>
                                        <w:rFonts w:ascii="Cambria Math" w:hAnsi="Cambria Math"/>
                                      </w:rPr>
                                      <m:t>4</m:t>
                                    </m:r>
                                  </m:sup>
                                </m:sSup>
                              </m:num>
                              <m:den>
                                <m:sSubSup>
                                  <m:sSubSupPr>
                                    <m:ctrlPr>
                                      <w:rPr>
                                        <w:rFonts w:ascii="Cambria Math" w:hAnsi="Cambria Math"/>
                                        <w:i/>
                                      </w:rPr>
                                    </m:ctrlPr>
                                  </m:sSubSupPr>
                                  <m:e>
                                    <m:r>
                                      <w:rPr>
                                        <w:rFonts w:ascii="Cambria Math" w:hAnsi="Cambria Math"/>
                                      </w:rPr>
                                      <m:t>η</m:t>
                                    </m:r>
                                  </m:e>
                                  <m:sub>
                                    <m:r>
                                      <w:rPr>
                                        <w:rFonts w:ascii="Cambria Math" w:hAnsi="Cambria Math"/>
                                      </w:rPr>
                                      <m:t>L</m:t>
                                    </m:r>
                                  </m:sub>
                                  <m:sup>
                                    <m:r>
                                      <w:rPr>
                                        <w:rFonts w:ascii="Cambria Math" w:hAnsi="Cambria Math"/>
                                      </w:rPr>
                                      <m:t>3</m:t>
                                    </m:r>
                                  </m:sup>
                                </m:sSubSup>
                              </m:den>
                            </m:f>
                          </m:e>
                        </m:d>
                      </m:e>
                      <m:sup>
                        <m:r>
                          <w:rPr>
                            <w:rFonts w:ascii="Cambria Math" w:hAnsi="Cambria Math"/>
                          </w:rPr>
                          <m:t>0.2</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η</m:t>
                                    </m:r>
                                  </m:e>
                                  <m:sub>
                                    <m:r>
                                      <w:rPr>
                                        <w:rFonts w:ascii="Cambria Math" w:hAnsi="Cambria Math"/>
                                      </w:rPr>
                                      <m:t>L</m:t>
                                    </m:r>
                                  </m:sub>
                                </m:sSub>
                              </m:num>
                              <m:den>
                                <m:sSub>
                                  <m:sSubPr>
                                    <m:ctrlPr>
                                      <w:rPr>
                                        <w:rFonts w:ascii="Cambria Math" w:hAnsi="Cambria Math"/>
                                        <w:i/>
                                      </w:rPr>
                                    </m:ctrlPr>
                                  </m:sSubPr>
                                  <m:e>
                                    <m:r>
                                      <w:rPr>
                                        <w:rFonts w:ascii="Cambria Math" w:hAnsi="Cambria Math"/>
                                      </w:rPr>
                                      <m:t>D</m:t>
                                    </m:r>
                                  </m:e>
                                  <m:sub>
                                    <m:r>
                                      <w:rPr>
                                        <w:rFonts w:ascii="Cambria Math" w:hAnsi="Cambria Math"/>
                                      </w:rPr>
                                      <m:t>AB</m:t>
                                    </m:r>
                                  </m:sub>
                                </m:sSub>
                              </m:den>
                            </m:f>
                          </m:e>
                        </m:d>
                      </m:e>
                      <m:sup>
                        <m:r>
                          <w:rPr>
                            <w:rFonts w:ascii="Cambria Math" w:hAnsi="Cambria Math"/>
                          </w:rPr>
                          <m:t>0.33</m:t>
                        </m:r>
                      </m:sup>
                    </m:sSup>
                    <m:r>
                      <w:rPr>
                        <w:rFonts w:ascii="Cambria Math" w:hAnsi="Cambria Math"/>
                      </w:rPr>
                      <m:t>+2</m:t>
                    </m:r>
                  </m:e>
                </m:d>
              </m:oMath>
            </m:oMathPara>
          </w:p>
        </w:tc>
        <w:tc>
          <w:tcPr>
            <w:tcW w:w="2304" w:type="dxa"/>
            <w:shd w:val="clear" w:color="auto" w:fill="auto"/>
            <w:vAlign w:val="center"/>
          </w:tcPr>
          <w:p w:rsidR="00125CFF" w:rsidRPr="00BB6631" w:rsidRDefault="00C425ED" w:rsidP="0000363B">
            <w:pPr>
              <w:pStyle w:val="CETBodytext"/>
              <w:spacing w:before="120" w:after="120"/>
              <w:jc w:val="right"/>
              <w:rPr>
                <w:lang w:val="en-GB"/>
              </w:rPr>
            </w:pPr>
            <w:r w:rsidRPr="00BB6631">
              <w:rPr>
                <w:lang w:val="en-GB"/>
              </w:rPr>
              <w:t>(4</w:t>
            </w:r>
            <w:r w:rsidR="00125CFF" w:rsidRPr="00BB6631">
              <w:rPr>
                <w:lang w:val="en-GB"/>
              </w:rPr>
              <w:t>)</w:t>
            </w:r>
          </w:p>
        </w:tc>
      </w:tr>
    </w:tbl>
    <w:p w:rsidR="00507EE1" w:rsidRPr="00BB6631" w:rsidRDefault="00870E4A" w:rsidP="00507EE1">
      <w:pPr>
        <w:pStyle w:val="CETBodytext"/>
        <w:rPr>
          <w:rFonts w:cs="Arial"/>
          <w:lang w:val="en-GB"/>
        </w:rPr>
      </w:pPr>
      <w:proofErr w:type="gramStart"/>
      <w:r w:rsidRPr="00BB6631">
        <w:rPr>
          <w:lang w:val="en-GB"/>
        </w:rPr>
        <w:t>w</w:t>
      </w:r>
      <w:r w:rsidR="00EA1224" w:rsidRPr="00BB6631">
        <w:rPr>
          <w:lang w:val="en-GB"/>
        </w:rPr>
        <w:t>here</w:t>
      </w:r>
      <w:proofErr w:type="gramEnd"/>
      <w:r w:rsidR="00EA1224" w:rsidRPr="00BB6631">
        <w:rPr>
          <w:lang w:val="en-GB"/>
        </w:rPr>
        <w:t xml:space="preserve"> </w:t>
      </w:r>
      <w:r w:rsidR="00EA1224" w:rsidRPr="00BB6631">
        <w:rPr>
          <w:i/>
          <w:lang w:val="en-GB"/>
        </w:rPr>
        <w:t>ε</w:t>
      </w:r>
      <w:r w:rsidR="00125CFF" w:rsidRPr="00BB6631">
        <w:rPr>
          <w:rFonts w:cs="Arial"/>
          <w:lang w:val="en-GB"/>
        </w:rPr>
        <w:t xml:space="preserve"> </w:t>
      </w:r>
      <w:r w:rsidR="00EA1224" w:rsidRPr="00BB6631">
        <w:rPr>
          <w:rFonts w:cs="Arial"/>
          <w:lang w:val="en-GB"/>
        </w:rPr>
        <w:t xml:space="preserve">is </w:t>
      </w:r>
      <w:r w:rsidR="00125CFF" w:rsidRPr="00BB6631">
        <w:rPr>
          <w:rFonts w:cs="Arial"/>
          <w:lang w:val="en-GB"/>
        </w:rPr>
        <w:t xml:space="preserve">the mean specific power </w:t>
      </w:r>
      <w:r w:rsidR="00EA1224" w:rsidRPr="00BB6631">
        <w:rPr>
          <w:rFonts w:cs="Arial"/>
          <w:lang w:val="en-GB"/>
        </w:rPr>
        <w:t>input</w:t>
      </w:r>
      <w:r w:rsidR="00125CFF" w:rsidRPr="00BB6631">
        <w:rPr>
          <w:rFonts w:cs="Arial"/>
          <w:lang w:val="en-GB"/>
        </w:rPr>
        <w:t xml:space="preserve">. This parameter is calculated </w:t>
      </w:r>
      <w:r w:rsidR="00EA1224" w:rsidRPr="00BB6631">
        <w:rPr>
          <w:rFonts w:cs="Arial"/>
          <w:lang w:val="en-GB"/>
        </w:rPr>
        <w:t>from the experimentally determined power number and geometrical characteristics of the crystallizer</w:t>
      </w:r>
      <w:r w:rsidR="00101701" w:rsidRPr="00BB6631">
        <w:rPr>
          <w:rFonts w:cs="Arial"/>
          <w:lang w:val="en-GB"/>
        </w:rPr>
        <w:t xml:space="preserve"> and its values for SB</w:t>
      </w:r>
      <w:r w:rsidR="005837A6" w:rsidRPr="00BB6631">
        <w:rPr>
          <w:rFonts w:cs="Arial"/>
          <w:lang w:val="en-GB"/>
        </w:rPr>
        <w:t>T</w:t>
      </w:r>
      <w:r w:rsidR="00101701" w:rsidRPr="00BB6631">
        <w:rPr>
          <w:rFonts w:cs="Arial"/>
          <w:lang w:val="en-GB"/>
        </w:rPr>
        <w:t xml:space="preserve"> and PBT systems (at </w:t>
      </w:r>
      <w:r w:rsidR="005837A6" w:rsidRPr="00BB6631">
        <w:rPr>
          <w:rFonts w:cs="Arial"/>
          <w:lang w:val="en-GB"/>
        </w:rPr>
        <w:t>Reynolds</w:t>
      </w:r>
      <w:r w:rsidR="00101701" w:rsidRPr="00BB6631">
        <w:rPr>
          <w:rFonts w:cs="Arial"/>
          <w:lang w:val="en-GB"/>
        </w:rPr>
        <w:t xml:space="preserve"> number, </w:t>
      </w:r>
      <w:r w:rsidR="00101701" w:rsidRPr="00BB6631">
        <w:rPr>
          <w:rFonts w:cs="Arial"/>
          <w:i/>
          <w:lang w:val="en-GB"/>
        </w:rPr>
        <w:t>N</w:t>
      </w:r>
      <w:r w:rsidR="00101701" w:rsidRPr="00BB6631">
        <w:rPr>
          <w:rFonts w:cs="Arial"/>
          <w:vertAlign w:val="subscript"/>
          <w:lang w:val="en-GB"/>
        </w:rPr>
        <w:t>RE</w:t>
      </w:r>
      <w:r w:rsidR="00101701" w:rsidRPr="00BB6631">
        <w:rPr>
          <w:rFonts w:cs="Arial"/>
          <w:lang w:val="en-GB"/>
        </w:rPr>
        <w:t xml:space="preserve"> </w:t>
      </w:r>
      <w:r w:rsidR="005837A6" w:rsidRPr="00BB6631">
        <w:rPr>
          <w:rFonts w:cs="Arial"/>
          <w:lang w:val="en-GB"/>
        </w:rPr>
        <w:t>≈</w:t>
      </w:r>
      <w:r w:rsidR="00101701" w:rsidRPr="00BB6631">
        <w:rPr>
          <w:lang w:val="en-GB"/>
        </w:rPr>
        <w:t xml:space="preserve"> </w:t>
      </w:r>
      <w:r w:rsidR="005837A6" w:rsidRPr="00BB6631">
        <w:rPr>
          <w:lang w:val="en-GB"/>
        </w:rPr>
        <w:t xml:space="preserve">21600) are 2.33 and </w:t>
      </w:r>
      <w:r w:rsidR="00101701" w:rsidRPr="00BB6631">
        <w:rPr>
          <w:lang w:val="en-GB"/>
        </w:rPr>
        <w:t>1.</w:t>
      </w:r>
      <w:r w:rsidR="005837A6" w:rsidRPr="00BB6631">
        <w:rPr>
          <w:lang w:val="en-GB"/>
        </w:rPr>
        <w:t>15</w:t>
      </w:r>
      <w:r w:rsidR="00101701" w:rsidRPr="00BB6631">
        <w:rPr>
          <w:lang w:val="en-GB"/>
        </w:rPr>
        <w:t xml:space="preserve"> respectively</w:t>
      </w:r>
      <w:r w:rsidR="00EA1224" w:rsidRPr="00BB6631">
        <w:rPr>
          <w:rFonts w:cs="Arial"/>
          <w:lang w:val="en-GB"/>
        </w:rPr>
        <w:t xml:space="preserve">. Parameter </w:t>
      </w:r>
      <w:r w:rsidR="00EA1224" w:rsidRPr="00BB6631">
        <w:rPr>
          <w:rFonts w:cs="Arial"/>
          <w:i/>
          <w:lang w:val="en-GB"/>
        </w:rPr>
        <w:t>P</w:t>
      </w:r>
      <w:r w:rsidR="00EA1224" w:rsidRPr="00BB6631">
        <w:rPr>
          <w:rFonts w:cs="Arial"/>
          <w:lang w:val="en-GB"/>
        </w:rPr>
        <w:t>* presents a curve fitted to the crystal growth rates data at which the two mechanisms of crystal growth</w:t>
      </w:r>
      <w:r w:rsidR="00507EE1" w:rsidRPr="00BB6631">
        <w:rPr>
          <w:rFonts w:cs="Arial"/>
          <w:lang w:val="en-GB"/>
        </w:rPr>
        <w:t>, volume</w:t>
      </w:r>
      <w:r w:rsidR="00EA1224" w:rsidRPr="00BB6631">
        <w:rPr>
          <w:rFonts w:cs="Arial"/>
          <w:lang w:val="en-GB"/>
        </w:rPr>
        <w:t xml:space="preserve"> diffusion and </w:t>
      </w:r>
      <w:r w:rsidR="00507EE1" w:rsidRPr="00BB6631">
        <w:rPr>
          <w:rFonts w:cs="Arial"/>
          <w:lang w:val="en-GB"/>
        </w:rPr>
        <w:t>integration to</w:t>
      </w:r>
      <w:r w:rsidR="00EA1224" w:rsidRPr="00BB6631">
        <w:rPr>
          <w:rFonts w:cs="Arial"/>
          <w:lang w:val="en-GB"/>
        </w:rPr>
        <w:t xml:space="preserve"> the crystal lattice, are superimposed. </w:t>
      </w:r>
      <w:r w:rsidR="00B934FE" w:rsidRPr="00BB6631">
        <w:rPr>
          <w:rFonts w:cs="Arial"/>
          <w:lang w:val="en-GB"/>
        </w:rPr>
        <w:t>In this work values of parameter P* are bellow 10</w:t>
      </w:r>
      <w:r w:rsidR="00B934FE" w:rsidRPr="00BB6631">
        <w:rPr>
          <w:rFonts w:cs="Arial"/>
          <w:vertAlign w:val="superscript"/>
          <w:lang w:val="en-GB"/>
        </w:rPr>
        <w:t>-5</w:t>
      </w:r>
      <w:r w:rsidR="00B934FE" w:rsidRPr="00BB6631">
        <w:rPr>
          <w:rFonts w:cs="Arial"/>
          <w:lang w:val="en-GB"/>
        </w:rPr>
        <w:t xml:space="preserve">. </w:t>
      </w:r>
      <w:r w:rsidR="00507EE1" w:rsidRPr="00BB6631">
        <w:rPr>
          <w:rFonts w:cs="Arial"/>
          <w:lang w:val="en-GB"/>
        </w:rPr>
        <w:t>This parameter</w:t>
      </w:r>
      <w:r w:rsidR="00EA1224" w:rsidRPr="00BB6631">
        <w:rPr>
          <w:rFonts w:cs="Arial"/>
          <w:lang w:val="en-GB"/>
        </w:rPr>
        <w:t xml:space="preserve"> is </w:t>
      </w:r>
      <w:r w:rsidR="00507EE1" w:rsidRPr="00BB6631">
        <w:rPr>
          <w:rFonts w:cs="Arial"/>
          <w:lang w:val="en-GB"/>
        </w:rPr>
        <w:t xml:space="preserve">a </w:t>
      </w:r>
      <w:r w:rsidR="00EA1224" w:rsidRPr="00BB6631">
        <w:rPr>
          <w:rFonts w:cs="Arial"/>
          <w:lang w:val="en-GB"/>
        </w:rPr>
        <w:t xml:space="preserve">function of mass transfer coefficient, molar density, volume diffusion </w:t>
      </w:r>
      <w:r w:rsidR="00507EE1" w:rsidRPr="00BB6631">
        <w:rPr>
          <w:rFonts w:cs="Arial"/>
          <w:lang w:val="en-GB"/>
        </w:rPr>
        <w:t>coefficient, solubility</w:t>
      </w:r>
      <w:r w:rsidR="00EA1224" w:rsidRPr="00BB6631">
        <w:rPr>
          <w:rFonts w:cs="Arial"/>
          <w:lang w:val="en-GB"/>
        </w:rPr>
        <w:t xml:space="preserve"> and molecular diameter</w:t>
      </w:r>
      <w:r w:rsidR="00507EE1" w:rsidRPr="00BB6631">
        <w:rPr>
          <w:rFonts w:cs="Arial"/>
          <w:lang w:val="en-GB"/>
        </w:rPr>
        <w:t xml:space="preserve">. All mentioned parameters are </w:t>
      </w:r>
      <w:r w:rsidR="005837A6" w:rsidRPr="00BB6631">
        <w:rPr>
          <w:rFonts w:cs="Arial"/>
          <w:lang w:val="en-GB"/>
        </w:rPr>
        <w:t>calculated according to</w:t>
      </w:r>
      <w:r w:rsidR="00EA1224" w:rsidRPr="00BB6631">
        <w:rPr>
          <w:rFonts w:cs="Arial"/>
          <w:lang w:val="en-GB"/>
        </w:rPr>
        <w:t xml:space="preserve"> </w:t>
      </w:r>
      <w:r w:rsidR="00507EE1" w:rsidRPr="00BB6631">
        <w:rPr>
          <w:rFonts w:cs="Arial"/>
          <w:lang w:val="en-GB"/>
        </w:rPr>
        <w:t xml:space="preserve">the </w:t>
      </w:r>
      <w:r w:rsidR="000D5D65" w:rsidRPr="00BB6631">
        <w:rPr>
          <w:rFonts w:cs="Arial"/>
          <w:lang w:val="en-GB"/>
        </w:rPr>
        <w:t>procedure given</w:t>
      </w:r>
      <w:r w:rsidR="00507EE1" w:rsidRPr="00BB6631">
        <w:rPr>
          <w:rFonts w:cs="Arial"/>
          <w:lang w:val="en-GB"/>
        </w:rPr>
        <w:t xml:space="preserve"> in previously publish paper (</w:t>
      </w:r>
      <w:proofErr w:type="spellStart"/>
      <w:r w:rsidRPr="00BB6631">
        <w:rPr>
          <w:rFonts w:cs="Arial"/>
          <w:lang w:val="en-GB"/>
        </w:rPr>
        <w:t>Kaćunić</w:t>
      </w:r>
      <w:proofErr w:type="spellEnd"/>
      <w:r w:rsidR="00507EE1" w:rsidRPr="00BB6631">
        <w:rPr>
          <w:rFonts w:cs="Arial"/>
          <w:lang w:val="en-GB"/>
        </w:rPr>
        <w:t xml:space="preserve"> et al. 2017). </w:t>
      </w:r>
    </w:p>
    <w:p w:rsidR="00640086" w:rsidRPr="00BB6631" w:rsidRDefault="000D5D65" w:rsidP="00E20B9D">
      <w:pPr>
        <w:pStyle w:val="CETBodytext"/>
      </w:pPr>
      <w:r w:rsidRPr="00BB6631">
        <w:t>In the figure 2b is clear that crystal growth rates are integration controlled at all cooling rates regardless impeller applied.  This is even more pronounced at highest supersaturation generated in systems with highest cooling rate (</w:t>
      </w:r>
      <w:r w:rsidRPr="00BB6631">
        <w:rPr>
          <w:i/>
        </w:rPr>
        <w:t xml:space="preserve">b </w:t>
      </w:r>
      <w:r w:rsidRPr="00BB6631">
        <w:t xml:space="preserve">= 9 °C/h). </w:t>
      </w:r>
    </w:p>
    <w:p w:rsidR="00CF6406" w:rsidRPr="00BB6631" w:rsidRDefault="00CF6406" w:rsidP="00600535">
      <w:pPr>
        <w:pStyle w:val="CETBodytext"/>
        <w:rPr>
          <w:lang w:val="en-GB"/>
        </w:rPr>
      </w:pPr>
    </w:p>
    <w:p w:rsidR="005B6914" w:rsidRPr="00BB6631" w:rsidRDefault="005B6914" w:rsidP="00BB6631">
      <w:pPr>
        <w:pStyle w:val="CETheadingx"/>
        <w:rPr>
          <w:lang w:val="en-GB"/>
        </w:rPr>
      </w:pPr>
      <w:r w:rsidRPr="00BB6631">
        <w:rPr>
          <w:lang w:val="en-GB"/>
        </w:rPr>
        <w:t>3.</w:t>
      </w:r>
      <w:r w:rsidR="00BB6631" w:rsidRPr="00BB6631">
        <w:rPr>
          <w:lang w:val="en-GB"/>
        </w:rPr>
        <w:t>3</w:t>
      </w:r>
      <w:r w:rsidRPr="00BB6631">
        <w:rPr>
          <w:lang w:val="en-GB"/>
        </w:rPr>
        <w:t xml:space="preserve">. </w:t>
      </w:r>
      <w:r w:rsidR="00F60842" w:rsidRPr="00BB6631">
        <w:t>Crystal S</w:t>
      </w:r>
      <w:r w:rsidRPr="00BB6631">
        <w:t xml:space="preserve">ize </w:t>
      </w:r>
      <w:r w:rsidR="00F60842" w:rsidRPr="00BB6631">
        <w:t>D</w:t>
      </w:r>
      <w:r w:rsidRPr="00BB6631">
        <w:t xml:space="preserve">istribution </w:t>
      </w:r>
      <w:r w:rsidR="003E3E13" w:rsidRPr="00BB6631">
        <w:t>o</w:t>
      </w:r>
      <w:r w:rsidRPr="00BB6631">
        <w:t xml:space="preserve">btained at </w:t>
      </w:r>
      <w:r w:rsidR="00F60842" w:rsidRPr="00BB6631">
        <w:t>D</w:t>
      </w:r>
      <w:r w:rsidRPr="00BB6631">
        <w:t xml:space="preserve">ifferent </w:t>
      </w:r>
      <w:r w:rsidR="00F60842" w:rsidRPr="00BB6631">
        <w:t>C</w:t>
      </w:r>
      <w:r w:rsidRPr="00BB6631">
        <w:t xml:space="preserve">ooling </w:t>
      </w:r>
      <w:r w:rsidR="00F60842" w:rsidRPr="00BB6631">
        <w:t>R</w:t>
      </w:r>
      <w:r w:rsidRPr="00BB6631">
        <w:t>ate</w:t>
      </w:r>
      <w:r w:rsidR="00F60842" w:rsidRPr="00BB6631">
        <w:t>s</w:t>
      </w:r>
      <w:r w:rsidRPr="00BB6631">
        <w:rPr>
          <w:lang w:val="en-GB"/>
        </w:rPr>
        <w:t xml:space="preserve"> </w:t>
      </w:r>
    </w:p>
    <w:p w:rsidR="00A36043" w:rsidRPr="00BB6631" w:rsidRDefault="000D5D65" w:rsidP="00600535">
      <w:pPr>
        <w:pStyle w:val="CETBodytext"/>
        <w:rPr>
          <w:lang w:val="en-GB"/>
        </w:rPr>
      </w:pPr>
      <w:r w:rsidRPr="00BB6631">
        <w:rPr>
          <w:lang w:val="en-GB"/>
        </w:rPr>
        <w:t xml:space="preserve">In order to </w:t>
      </w:r>
      <w:r w:rsidR="00274D00" w:rsidRPr="00BB6631">
        <w:rPr>
          <w:lang w:val="en-GB"/>
        </w:rPr>
        <w:t>analyse</w:t>
      </w:r>
      <w:r w:rsidRPr="00BB6631">
        <w:rPr>
          <w:lang w:val="en-GB"/>
        </w:rPr>
        <w:t xml:space="preserve"> the influence of cooling rate on crystal </w:t>
      </w:r>
      <w:r w:rsidR="00274D00" w:rsidRPr="00BB6631">
        <w:rPr>
          <w:lang w:val="en-GB"/>
        </w:rPr>
        <w:t>properties</w:t>
      </w:r>
      <w:r w:rsidRPr="00BB6631">
        <w:rPr>
          <w:lang w:val="en-GB"/>
        </w:rPr>
        <w:t xml:space="preserve"> on the </w:t>
      </w:r>
      <w:r w:rsidR="00870E4A" w:rsidRPr="00BB6631">
        <w:rPr>
          <w:lang w:val="en-GB"/>
        </w:rPr>
        <w:t>F</w:t>
      </w:r>
      <w:r w:rsidRPr="00BB6631">
        <w:rPr>
          <w:lang w:val="en-GB"/>
        </w:rPr>
        <w:t xml:space="preserve">igure </w:t>
      </w:r>
      <w:r w:rsidR="00274D00" w:rsidRPr="00BB6631">
        <w:rPr>
          <w:lang w:val="en-GB"/>
        </w:rPr>
        <w:t xml:space="preserve">4 is shown crystal size </w:t>
      </w:r>
      <w:proofErr w:type="gramStart"/>
      <w:r w:rsidRPr="00BB6631">
        <w:rPr>
          <w:lang w:val="en-GB"/>
        </w:rPr>
        <w:t>distributions</w:t>
      </w:r>
      <w:proofErr w:type="gramEnd"/>
      <w:r w:rsidRPr="00BB6631">
        <w:rPr>
          <w:lang w:val="en-GB"/>
        </w:rPr>
        <w:t xml:space="preserve"> </w:t>
      </w:r>
      <w:r w:rsidR="00274D00" w:rsidRPr="00BB6631">
        <w:rPr>
          <w:lang w:val="en-GB"/>
        </w:rPr>
        <w:t xml:space="preserve">of final product obtained at applied cooling rates in SBT and PBT impeller system. </w:t>
      </w:r>
    </w:p>
    <w:p w:rsidR="0000363B" w:rsidRPr="00BB6631" w:rsidRDefault="0000363B" w:rsidP="00600535">
      <w:pPr>
        <w:pStyle w:val="CETBodytext"/>
        <w:rPr>
          <w:lang w:val="en-GB"/>
        </w:rPr>
      </w:pPr>
    </w:p>
    <w:p w:rsidR="00274D00" w:rsidRPr="00BB6631" w:rsidRDefault="00274D00" w:rsidP="00600535">
      <w:pPr>
        <w:pStyle w:val="CETBodytext"/>
        <w:rPr>
          <w:lang w:val="en-GB"/>
        </w:rPr>
      </w:pPr>
    </w:p>
    <w:p w:rsidR="006331B7" w:rsidRPr="00BB6631" w:rsidRDefault="006331B7" w:rsidP="006331B7">
      <w:pPr>
        <w:pStyle w:val="CETBodytext"/>
        <w:jc w:val="left"/>
        <w:rPr>
          <w:lang w:val="en-GB"/>
        </w:rPr>
      </w:pPr>
      <w:r w:rsidRPr="00BB6631">
        <w:rPr>
          <w:noProof/>
        </w:rPr>
        <w:drawing>
          <wp:inline distT="0" distB="0" distL="0" distR="0" wp14:anchorId="124FF1E8" wp14:editId="20001518">
            <wp:extent cx="5610225" cy="26002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0752" cy="2605124"/>
                    </a:xfrm>
                    <a:prstGeom prst="rect">
                      <a:avLst/>
                    </a:prstGeom>
                    <a:noFill/>
                    <a:ln>
                      <a:noFill/>
                    </a:ln>
                  </pic:spPr>
                </pic:pic>
              </a:graphicData>
            </a:graphic>
          </wp:inline>
        </w:drawing>
      </w:r>
    </w:p>
    <w:p w:rsidR="00CF6406" w:rsidRPr="00BB6631" w:rsidRDefault="006331B7" w:rsidP="006331B7">
      <w:pPr>
        <w:pStyle w:val="CETReferencetext"/>
      </w:pPr>
      <w:r w:rsidRPr="00BB6631">
        <w:rPr>
          <w:i/>
        </w:rPr>
        <w:t xml:space="preserve">Figure </w:t>
      </w:r>
      <w:r w:rsidR="000D5D65" w:rsidRPr="00BB6631">
        <w:rPr>
          <w:i/>
        </w:rPr>
        <w:t>4</w:t>
      </w:r>
      <w:r w:rsidRPr="00BB6631">
        <w:rPr>
          <w:i/>
        </w:rPr>
        <w:t>: Crystal size distribution</w:t>
      </w:r>
      <w:r w:rsidR="00DA0DC3" w:rsidRPr="00BB6631">
        <w:rPr>
          <w:i/>
        </w:rPr>
        <w:t xml:space="preserve"> of borax obtained </w:t>
      </w:r>
      <w:r w:rsidRPr="00BB6631">
        <w:rPr>
          <w:i/>
        </w:rPr>
        <w:t>at different cooling rate in a system with a. radial impeller</w:t>
      </w:r>
      <w:r w:rsidRPr="00BB6631">
        <w:t xml:space="preserve"> b. axial impeller</w:t>
      </w:r>
    </w:p>
    <w:p w:rsidR="00A478EE" w:rsidRPr="00BB6631" w:rsidRDefault="00A478EE" w:rsidP="00600535">
      <w:pPr>
        <w:pStyle w:val="CETBodytext"/>
        <w:rPr>
          <w:lang w:val="en-GB"/>
        </w:rPr>
      </w:pPr>
    </w:p>
    <w:p w:rsidR="0099246F" w:rsidRPr="00BB6631" w:rsidRDefault="00274D00" w:rsidP="0099246F">
      <w:pPr>
        <w:pStyle w:val="CETBodytext"/>
        <w:rPr>
          <w:lang w:val="en-GB"/>
        </w:rPr>
      </w:pPr>
      <w:r w:rsidRPr="00BB6631">
        <w:rPr>
          <w:lang w:val="en-GB"/>
        </w:rPr>
        <w:t xml:space="preserve">Fraction of fines (size </w:t>
      </w:r>
      <w:r w:rsidRPr="00BB6631">
        <w:rPr>
          <w:i/>
          <w:lang w:val="en-GB"/>
        </w:rPr>
        <w:t>x</w:t>
      </w:r>
      <w:r w:rsidRPr="00BB6631">
        <w:rPr>
          <w:lang w:val="en-GB"/>
        </w:rPr>
        <w:t xml:space="preserve">&lt;100 </w:t>
      </w:r>
      <w:proofErr w:type="spellStart"/>
      <w:r w:rsidRPr="00BB6631">
        <w:rPr>
          <w:rFonts w:ascii="Calibri" w:hAnsi="Calibri"/>
          <w:lang w:val="en-GB"/>
        </w:rPr>
        <w:t>μ</w:t>
      </w:r>
      <w:r w:rsidRPr="00BB6631">
        <w:rPr>
          <w:lang w:val="en-GB"/>
        </w:rPr>
        <w:t>m</w:t>
      </w:r>
      <w:proofErr w:type="spellEnd"/>
      <w:r w:rsidRPr="00BB6631">
        <w:rPr>
          <w:lang w:val="en-GB"/>
        </w:rPr>
        <w:t>) indicate</w:t>
      </w:r>
      <w:r w:rsidR="0099246F" w:rsidRPr="00BB6631">
        <w:rPr>
          <w:lang w:val="en-GB"/>
        </w:rPr>
        <w:t>d</w:t>
      </w:r>
      <w:r w:rsidRPr="00BB6631">
        <w:rPr>
          <w:lang w:val="en-GB"/>
        </w:rPr>
        <w:t xml:space="preserve"> the presence of secondary nucleation in all system</w:t>
      </w:r>
      <w:r w:rsidR="0099246F" w:rsidRPr="00BB6631">
        <w:rPr>
          <w:lang w:val="en-GB"/>
        </w:rPr>
        <w:t>s</w:t>
      </w:r>
      <w:r w:rsidRPr="00BB6631">
        <w:rPr>
          <w:lang w:val="en-GB"/>
        </w:rPr>
        <w:t xml:space="preserve"> investigated and </w:t>
      </w:r>
      <w:r w:rsidR="0000363B" w:rsidRPr="00BB6631">
        <w:rPr>
          <w:lang w:val="en-GB"/>
        </w:rPr>
        <w:t xml:space="preserve">that </w:t>
      </w:r>
      <w:r w:rsidR="00FB1B9B" w:rsidRPr="00BB6631">
        <w:rPr>
          <w:lang w:val="en-GB"/>
        </w:rPr>
        <w:t>this phenomena i</w:t>
      </w:r>
      <w:r w:rsidR="0000363B" w:rsidRPr="00BB6631">
        <w:rPr>
          <w:lang w:val="en-GB"/>
        </w:rPr>
        <w:t xml:space="preserve">s the </w:t>
      </w:r>
      <w:r w:rsidR="00FC2C94" w:rsidRPr="00BB6631">
        <w:rPr>
          <w:lang w:val="en-GB"/>
        </w:rPr>
        <w:t>highe</w:t>
      </w:r>
      <w:r w:rsidR="0000363B" w:rsidRPr="00BB6631">
        <w:rPr>
          <w:lang w:val="en-GB"/>
        </w:rPr>
        <w:t>st</w:t>
      </w:r>
      <w:r w:rsidRPr="00BB6631">
        <w:rPr>
          <w:lang w:val="en-GB"/>
        </w:rPr>
        <w:t xml:space="preserve"> in PBT impeller system with </w:t>
      </w:r>
      <w:r w:rsidR="0099246F" w:rsidRPr="00BB6631">
        <w:rPr>
          <w:lang w:val="en-GB"/>
        </w:rPr>
        <w:t>highest</w:t>
      </w:r>
      <w:r w:rsidRPr="00BB6631">
        <w:rPr>
          <w:lang w:val="en-GB"/>
        </w:rPr>
        <w:t xml:space="preserve"> cooling rate</w:t>
      </w:r>
      <w:r w:rsidR="0099246F" w:rsidRPr="00BB6631">
        <w:rPr>
          <w:lang w:val="en-GB"/>
        </w:rPr>
        <w:t>. F</w:t>
      </w:r>
      <w:r w:rsidRPr="00BB6631">
        <w:rPr>
          <w:lang w:val="en-GB"/>
        </w:rPr>
        <w:t xml:space="preserve">raction of coarse crystals which </w:t>
      </w:r>
      <w:r w:rsidR="0099246F" w:rsidRPr="00BB6631">
        <w:rPr>
          <w:lang w:val="en-GB"/>
        </w:rPr>
        <w:t>can be result</w:t>
      </w:r>
      <w:r w:rsidRPr="00BB6631">
        <w:rPr>
          <w:lang w:val="en-GB"/>
        </w:rPr>
        <w:t xml:space="preserve"> of crystal gro</w:t>
      </w:r>
      <w:r w:rsidR="0099246F" w:rsidRPr="00BB6631">
        <w:rPr>
          <w:lang w:val="en-GB"/>
        </w:rPr>
        <w:t xml:space="preserve">wth or agglomeration at </w:t>
      </w:r>
      <w:r w:rsidRPr="00BB6631">
        <w:rPr>
          <w:lang w:val="en-GB"/>
        </w:rPr>
        <w:t>4 and 6°C/h are very similar</w:t>
      </w:r>
      <w:r w:rsidR="0099246F" w:rsidRPr="00BB6631">
        <w:rPr>
          <w:lang w:val="en-GB"/>
        </w:rPr>
        <w:t xml:space="preserve"> in both impeller systems. On the other hand, </w:t>
      </w:r>
      <w:r w:rsidR="00DA0DC3" w:rsidRPr="00BB6631">
        <w:rPr>
          <w:lang w:val="en-GB"/>
        </w:rPr>
        <w:t>at</w:t>
      </w:r>
      <w:r w:rsidRPr="00BB6631">
        <w:rPr>
          <w:lang w:val="en-GB"/>
        </w:rPr>
        <w:t xml:space="preserve"> 9 °C/h </w:t>
      </w:r>
      <w:r w:rsidR="0099246F" w:rsidRPr="00BB6631">
        <w:rPr>
          <w:lang w:val="en-GB"/>
        </w:rPr>
        <w:t xml:space="preserve">coarsest crystal fraction in </w:t>
      </w:r>
      <w:r w:rsidR="00FC2C94" w:rsidRPr="00BB6631">
        <w:rPr>
          <w:lang w:val="en-GB"/>
        </w:rPr>
        <w:t>SB</w:t>
      </w:r>
      <w:r w:rsidR="0099246F" w:rsidRPr="00BB6631">
        <w:rPr>
          <w:lang w:val="en-GB"/>
        </w:rPr>
        <w:t xml:space="preserve">T impeller </w:t>
      </w:r>
      <w:r w:rsidR="00FC2C94" w:rsidRPr="00BB6631">
        <w:rPr>
          <w:lang w:val="en-GB"/>
        </w:rPr>
        <w:t>system decreases</w:t>
      </w:r>
      <w:r w:rsidR="0000363B" w:rsidRPr="00BB6631">
        <w:rPr>
          <w:lang w:val="en-GB"/>
        </w:rPr>
        <w:t xml:space="preserve">, </w:t>
      </w:r>
      <w:r w:rsidR="0099246F" w:rsidRPr="00BB6631">
        <w:rPr>
          <w:lang w:val="en-GB"/>
        </w:rPr>
        <w:t xml:space="preserve">while </w:t>
      </w:r>
      <w:r w:rsidR="00FC2C94" w:rsidRPr="00BB6631">
        <w:rPr>
          <w:lang w:val="en-GB"/>
        </w:rPr>
        <w:t xml:space="preserve">in PBT impeller system the maxima in coarse fractions moved toward the smaller sizes. </w:t>
      </w:r>
      <w:r w:rsidR="00DA0DC3" w:rsidRPr="00BB6631">
        <w:rPr>
          <w:lang w:val="en-GB"/>
        </w:rPr>
        <w:t xml:space="preserve">The facts mentioned have </w:t>
      </w:r>
      <w:r w:rsidR="00FC2C94" w:rsidRPr="00BB6631">
        <w:rPr>
          <w:lang w:val="en-GB"/>
        </w:rPr>
        <w:t xml:space="preserve">caused that the value of crystal weight mean diameter, </w:t>
      </w:r>
      <w:proofErr w:type="spellStart"/>
      <w:r w:rsidR="00FC2C94" w:rsidRPr="00BB6631">
        <w:rPr>
          <w:i/>
          <w:lang w:val="en-GB"/>
        </w:rPr>
        <w:t>x</w:t>
      </w:r>
      <w:r w:rsidR="00FC2C94" w:rsidRPr="00BB6631">
        <w:rPr>
          <w:vertAlign w:val="subscript"/>
          <w:lang w:val="en-GB"/>
        </w:rPr>
        <w:t>m</w:t>
      </w:r>
      <w:proofErr w:type="spellEnd"/>
      <w:r w:rsidR="00FC2C94" w:rsidRPr="00BB6631">
        <w:rPr>
          <w:lang w:val="en-GB"/>
        </w:rPr>
        <w:t>, are very similar at 4 and 6 °C/h and it is smaller at 9°C/h in both system investigated</w:t>
      </w:r>
      <w:r w:rsidR="0000363B" w:rsidRPr="00BB6631">
        <w:rPr>
          <w:lang w:val="en-GB"/>
        </w:rPr>
        <w:t xml:space="preserve"> (Table 2)</w:t>
      </w:r>
      <w:r w:rsidR="00FC2C94" w:rsidRPr="00BB6631">
        <w:rPr>
          <w:lang w:val="en-GB"/>
        </w:rPr>
        <w:t xml:space="preserve">. </w:t>
      </w:r>
      <w:r w:rsidR="0000363B" w:rsidRPr="00BB6631">
        <w:rPr>
          <w:lang w:val="en-GB"/>
        </w:rPr>
        <w:t xml:space="preserve">The values of weight mean diameters, </w:t>
      </w:r>
      <w:proofErr w:type="spellStart"/>
      <w:r w:rsidR="0000363B" w:rsidRPr="00BB6631">
        <w:rPr>
          <w:i/>
          <w:lang w:val="en-GB"/>
        </w:rPr>
        <w:t>x</w:t>
      </w:r>
      <w:r w:rsidR="0000363B" w:rsidRPr="00BB6631">
        <w:rPr>
          <w:vertAlign w:val="subscript"/>
          <w:lang w:val="en-GB"/>
        </w:rPr>
        <w:t>m</w:t>
      </w:r>
      <w:proofErr w:type="spellEnd"/>
      <w:r w:rsidR="0000363B" w:rsidRPr="00BB6631">
        <w:rPr>
          <w:lang w:val="en-GB"/>
        </w:rPr>
        <w:t xml:space="preserve">, and standard deviations of crystal size, </w:t>
      </w:r>
      <w:r w:rsidR="0000363B" w:rsidRPr="00BB6631">
        <w:rPr>
          <w:rFonts w:cs="Arial"/>
          <w:i/>
          <w:lang w:val="en-GB"/>
        </w:rPr>
        <w:t>σ</w:t>
      </w:r>
      <w:r w:rsidR="0000363B" w:rsidRPr="00BB6631">
        <w:rPr>
          <w:lang w:val="en-GB"/>
        </w:rPr>
        <w:t>, were calculated according the procedure in previously publish</w:t>
      </w:r>
      <w:r w:rsidR="00870E4A" w:rsidRPr="00BB6631">
        <w:rPr>
          <w:lang w:val="en-GB"/>
        </w:rPr>
        <w:t>ed</w:t>
      </w:r>
      <w:r w:rsidR="0000363B" w:rsidRPr="00BB6631">
        <w:rPr>
          <w:lang w:val="en-GB"/>
        </w:rPr>
        <w:t xml:space="preserve"> paper (</w:t>
      </w:r>
      <w:proofErr w:type="spellStart"/>
      <w:r w:rsidR="00F3593F" w:rsidRPr="00BB6631">
        <w:rPr>
          <w:lang w:val="en-GB"/>
        </w:rPr>
        <w:t>Akrap</w:t>
      </w:r>
      <w:proofErr w:type="spellEnd"/>
      <w:r w:rsidR="0000363B" w:rsidRPr="00BB6631">
        <w:rPr>
          <w:lang w:val="en-GB"/>
        </w:rPr>
        <w:t xml:space="preserve"> et al., 201</w:t>
      </w:r>
      <w:r w:rsidR="00FB1B9B" w:rsidRPr="00BB6631">
        <w:rPr>
          <w:lang w:val="en-GB"/>
        </w:rPr>
        <w:t>2</w:t>
      </w:r>
      <w:r w:rsidR="0000363B" w:rsidRPr="00BB6631">
        <w:rPr>
          <w:lang w:val="en-GB"/>
        </w:rPr>
        <w:t xml:space="preserve">). </w:t>
      </w:r>
      <w:r w:rsidR="00FC2C94" w:rsidRPr="00BB6631">
        <w:rPr>
          <w:lang w:val="en-GB"/>
        </w:rPr>
        <w:t>Microscopic analys</w:t>
      </w:r>
      <w:r w:rsidR="0099246F" w:rsidRPr="00BB6631">
        <w:rPr>
          <w:lang w:val="en-GB"/>
        </w:rPr>
        <w:t>i</w:t>
      </w:r>
      <w:r w:rsidR="00FC2C94" w:rsidRPr="00BB6631">
        <w:rPr>
          <w:lang w:val="en-GB"/>
        </w:rPr>
        <w:t xml:space="preserve">s showed that crystals of </w:t>
      </w:r>
      <w:r w:rsidR="0099246F" w:rsidRPr="00BB6631">
        <w:rPr>
          <w:lang w:val="en-GB"/>
        </w:rPr>
        <w:t>coarsest</w:t>
      </w:r>
      <w:r w:rsidR="00FC2C94" w:rsidRPr="00BB6631">
        <w:rPr>
          <w:lang w:val="en-GB"/>
        </w:rPr>
        <w:t xml:space="preserve"> fraction </w:t>
      </w:r>
      <w:r w:rsidR="0099246F" w:rsidRPr="00BB6631">
        <w:rPr>
          <w:lang w:val="en-GB"/>
        </w:rPr>
        <w:t xml:space="preserve">obtained by the lowest applied cooling rate are more regularly shaped than those obtained at higher cooling rate. Coarse crystals obtained at 9°C are mainly result of agglomeration </w:t>
      </w:r>
      <w:r w:rsidR="00DA0DC3" w:rsidRPr="00BB6631">
        <w:rPr>
          <w:lang w:val="en-GB"/>
        </w:rPr>
        <w:t>regardless</w:t>
      </w:r>
      <w:r w:rsidR="0099246F" w:rsidRPr="00BB6631">
        <w:rPr>
          <w:lang w:val="en-GB"/>
        </w:rPr>
        <w:t xml:space="preserve"> of impeller type </w:t>
      </w:r>
      <w:r w:rsidR="00DA0DC3" w:rsidRPr="00BB6631">
        <w:rPr>
          <w:lang w:val="en-GB"/>
        </w:rPr>
        <w:t>applied</w:t>
      </w:r>
      <w:r w:rsidR="0099246F" w:rsidRPr="00BB6631">
        <w:rPr>
          <w:lang w:val="en-GB"/>
        </w:rPr>
        <w:t>.</w:t>
      </w:r>
    </w:p>
    <w:p w:rsidR="0099246F" w:rsidRPr="00BB6631" w:rsidRDefault="0099246F" w:rsidP="0099246F">
      <w:pPr>
        <w:pStyle w:val="CETBodytext"/>
        <w:rPr>
          <w:lang w:val="en-GB"/>
        </w:rPr>
      </w:pPr>
    </w:p>
    <w:p w:rsidR="0000363B" w:rsidRPr="00BB6631" w:rsidRDefault="0000363B" w:rsidP="0000363B">
      <w:pPr>
        <w:pStyle w:val="CETTabletitle"/>
      </w:pPr>
      <w:r w:rsidRPr="00BB6631">
        <w:lastRenderedPageBreak/>
        <w:t xml:space="preserve">Table </w:t>
      </w:r>
      <w:r w:rsidR="00870E4A" w:rsidRPr="00BB6631">
        <w:t>2</w:t>
      </w:r>
      <w:r w:rsidRPr="00BB6631">
        <w:t>: Values of weight mean diameter and standard deviation of crystal size at examined cooling rates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701"/>
        <w:gridCol w:w="1701"/>
        <w:gridCol w:w="1134"/>
        <w:gridCol w:w="1134"/>
      </w:tblGrid>
      <w:tr w:rsidR="00BB6631" w:rsidRPr="00BB6631" w:rsidTr="0000363B">
        <w:tc>
          <w:tcPr>
            <w:tcW w:w="1276" w:type="dxa"/>
            <w:tcBorders>
              <w:top w:val="single" w:sz="12" w:space="0" w:color="008000"/>
              <w:bottom w:val="single" w:sz="6" w:space="0" w:color="008000"/>
            </w:tcBorders>
            <w:shd w:val="clear" w:color="auto" w:fill="FFFFFF"/>
          </w:tcPr>
          <w:p w:rsidR="0000363B" w:rsidRPr="00BB6631" w:rsidRDefault="0000363B" w:rsidP="0000363B">
            <w:pPr>
              <w:pStyle w:val="CETBodytext"/>
              <w:rPr>
                <w:lang w:val="en-GB"/>
              </w:rPr>
            </w:pPr>
          </w:p>
        </w:tc>
        <w:tc>
          <w:tcPr>
            <w:tcW w:w="3402" w:type="dxa"/>
            <w:gridSpan w:val="2"/>
            <w:tcBorders>
              <w:top w:val="single" w:sz="12" w:space="0" w:color="008000"/>
              <w:bottom w:val="single" w:sz="6" w:space="0" w:color="008000"/>
            </w:tcBorders>
            <w:shd w:val="clear" w:color="auto" w:fill="FFFFFF"/>
          </w:tcPr>
          <w:p w:rsidR="0000363B" w:rsidRPr="00BB6631" w:rsidRDefault="0000363B" w:rsidP="0000363B">
            <w:pPr>
              <w:pStyle w:val="CETBodytext"/>
              <w:jc w:val="center"/>
              <w:rPr>
                <w:i/>
                <w:lang w:val="en-GB"/>
              </w:rPr>
            </w:pPr>
            <w:r w:rsidRPr="00BB6631">
              <w:rPr>
                <w:b/>
                <w:lang w:val="en-GB"/>
              </w:rPr>
              <w:t>SBT</w:t>
            </w:r>
          </w:p>
        </w:tc>
        <w:tc>
          <w:tcPr>
            <w:tcW w:w="2268" w:type="dxa"/>
            <w:gridSpan w:val="2"/>
            <w:tcBorders>
              <w:top w:val="single" w:sz="12" w:space="0" w:color="008000"/>
              <w:bottom w:val="single" w:sz="6" w:space="0" w:color="008000"/>
            </w:tcBorders>
            <w:shd w:val="clear" w:color="auto" w:fill="FFFFFF"/>
          </w:tcPr>
          <w:p w:rsidR="0000363B" w:rsidRPr="00BB6631" w:rsidRDefault="0000363B" w:rsidP="0000363B">
            <w:pPr>
              <w:pStyle w:val="CETBodytext"/>
              <w:jc w:val="center"/>
              <w:rPr>
                <w:b/>
                <w:lang w:val="en-GB"/>
              </w:rPr>
            </w:pPr>
            <w:r w:rsidRPr="00BB6631">
              <w:rPr>
                <w:b/>
                <w:lang w:val="en-GB"/>
              </w:rPr>
              <w:t>PBT</w:t>
            </w:r>
          </w:p>
        </w:tc>
      </w:tr>
      <w:tr w:rsidR="00BB6631" w:rsidRPr="00BB6631" w:rsidTr="0000363B">
        <w:tc>
          <w:tcPr>
            <w:tcW w:w="1276" w:type="dxa"/>
            <w:tcBorders>
              <w:top w:val="single" w:sz="12" w:space="0" w:color="008000"/>
              <w:bottom w:val="single" w:sz="6" w:space="0" w:color="008000"/>
            </w:tcBorders>
            <w:shd w:val="clear" w:color="auto" w:fill="FFFFFF"/>
          </w:tcPr>
          <w:p w:rsidR="0000363B" w:rsidRPr="00BB6631" w:rsidRDefault="0000363B" w:rsidP="0000363B">
            <w:pPr>
              <w:pStyle w:val="CETBodytext"/>
              <w:jc w:val="center"/>
              <w:rPr>
                <w:lang w:val="en-GB"/>
              </w:rPr>
            </w:pPr>
            <w:r w:rsidRPr="00BB6631">
              <w:rPr>
                <w:lang w:val="en-GB"/>
              </w:rPr>
              <w:t>b/ °C/h</w:t>
            </w:r>
          </w:p>
        </w:tc>
        <w:tc>
          <w:tcPr>
            <w:tcW w:w="1701" w:type="dxa"/>
            <w:tcBorders>
              <w:top w:val="single" w:sz="12" w:space="0" w:color="008000"/>
              <w:bottom w:val="single" w:sz="6" w:space="0" w:color="008000"/>
            </w:tcBorders>
            <w:shd w:val="clear" w:color="auto" w:fill="FFFFFF"/>
          </w:tcPr>
          <w:p w:rsidR="0000363B" w:rsidRPr="00BB6631" w:rsidRDefault="0000363B" w:rsidP="0000363B">
            <w:pPr>
              <w:pStyle w:val="CETBodytext"/>
              <w:jc w:val="center"/>
              <w:rPr>
                <w:i/>
                <w:lang w:val="en-GB"/>
              </w:rPr>
            </w:pPr>
            <w:proofErr w:type="spellStart"/>
            <w:r w:rsidRPr="00BB6631">
              <w:rPr>
                <w:i/>
                <w:lang w:val="en-GB"/>
              </w:rPr>
              <w:t>x</w:t>
            </w:r>
            <w:r w:rsidRPr="00BB6631">
              <w:rPr>
                <w:i/>
                <w:vertAlign w:val="subscript"/>
                <w:lang w:val="en-GB"/>
              </w:rPr>
              <w:t>m</w:t>
            </w:r>
            <w:proofErr w:type="spellEnd"/>
            <w:r w:rsidRPr="00BB6631">
              <w:rPr>
                <w:i/>
                <w:vertAlign w:val="subscript"/>
                <w:lang w:val="en-GB"/>
              </w:rPr>
              <w:t xml:space="preserve"> </w:t>
            </w:r>
            <w:r w:rsidRPr="00BB6631">
              <w:rPr>
                <w:i/>
                <w:lang w:val="en-GB"/>
              </w:rPr>
              <w:t>/</w:t>
            </w:r>
            <w:proofErr w:type="spellStart"/>
            <w:r w:rsidRPr="00BB6631">
              <w:rPr>
                <w:rFonts w:ascii="Calibri" w:hAnsi="Calibri"/>
                <w:lang w:val="en-GB"/>
              </w:rPr>
              <w:t>μ</w:t>
            </w:r>
            <w:r w:rsidRPr="00BB6631">
              <w:rPr>
                <w:lang w:val="en-GB"/>
              </w:rPr>
              <w:t>m</w:t>
            </w:r>
            <w:proofErr w:type="spellEnd"/>
          </w:p>
        </w:tc>
        <w:tc>
          <w:tcPr>
            <w:tcW w:w="1701" w:type="dxa"/>
            <w:tcBorders>
              <w:top w:val="single" w:sz="12" w:space="0" w:color="008000"/>
              <w:bottom w:val="single" w:sz="6" w:space="0" w:color="008000"/>
            </w:tcBorders>
            <w:shd w:val="clear" w:color="auto" w:fill="FFFFFF"/>
          </w:tcPr>
          <w:p w:rsidR="0000363B" w:rsidRPr="00BB6631" w:rsidRDefault="0000363B" w:rsidP="0000363B">
            <w:pPr>
              <w:pStyle w:val="CETBodytext"/>
              <w:jc w:val="center"/>
              <w:rPr>
                <w:lang w:val="en-GB"/>
              </w:rPr>
            </w:pPr>
            <w:r w:rsidRPr="00BB6631">
              <w:rPr>
                <w:rFonts w:cs="Arial"/>
                <w:i/>
                <w:lang w:val="en-GB"/>
              </w:rPr>
              <w:t>σ</w:t>
            </w:r>
            <w:r w:rsidRPr="00BB6631">
              <w:rPr>
                <w:i/>
                <w:lang w:val="en-GB"/>
              </w:rPr>
              <w:t>/</w:t>
            </w:r>
            <w:proofErr w:type="spellStart"/>
            <w:r w:rsidRPr="00BB6631">
              <w:rPr>
                <w:rFonts w:ascii="Calibri" w:hAnsi="Calibri"/>
                <w:lang w:val="en-GB"/>
              </w:rPr>
              <w:t>μ</w:t>
            </w:r>
            <w:r w:rsidRPr="00BB6631">
              <w:rPr>
                <w:lang w:val="en-GB"/>
              </w:rPr>
              <w:t>m</w:t>
            </w:r>
            <w:proofErr w:type="spellEnd"/>
          </w:p>
        </w:tc>
        <w:tc>
          <w:tcPr>
            <w:tcW w:w="1134" w:type="dxa"/>
            <w:tcBorders>
              <w:top w:val="single" w:sz="12" w:space="0" w:color="008000"/>
              <w:bottom w:val="single" w:sz="6" w:space="0" w:color="008000"/>
            </w:tcBorders>
            <w:shd w:val="clear" w:color="auto" w:fill="FFFFFF"/>
          </w:tcPr>
          <w:p w:rsidR="0000363B" w:rsidRPr="00BB6631" w:rsidRDefault="0000363B" w:rsidP="0000363B">
            <w:pPr>
              <w:pStyle w:val="CETBodytext"/>
              <w:jc w:val="center"/>
              <w:rPr>
                <w:i/>
                <w:lang w:val="en-GB"/>
              </w:rPr>
            </w:pPr>
            <w:proofErr w:type="spellStart"/>
            <w:r w:rsidRPr="00BB6631">
              <w:rPr>
                <w:i/>
                <w:lang w:val="en-GB"/>
              </w:rPr>
              <w:t>x</w:t>
            </w:r>
            <w:r w:rsidRPr="00BB6631">
              <w:rPr>
                <w:i/>
                <w:vertAlign w:val="subscript"/>
                <w:lang w:val="en-GB"/>
              </w:rPr>
              <w:t>m</w:t>
            </w:r>
            <w:proofErr w:type="spellEnd"/>
            <w:r w:rsidRPr="00BB6631">
              <w:rPr>
                <w:i/>
                <w:vertAlign w:val="subscript"/>
                <w:lang w:val="en-GB"/>
              </w:rPr>
              <w:t xml:space="preserve"> </w:t>
            </w:r>
            <w:r w:rsidRPr="00BB6631">
              <w:rPr>
                <w:i/>
                <w:lang w:val="en-GB"/>
              </w:rPr>
              <w:t>/</w:t>
            </w:r>
            <w:proofErr w:type="spellStart"/>
            <w:r w:rsidRPr="00BB6631">
              <w:rPr>
                <w:rFonts w:ascii="Calibri" w:hAnsi="Calibri"/>
                <w:lang w:val="en-GB"/>
              </w:rPr>
              <w:t>μ</w:t>
            </w:r>
            <w:r w:rsidRPr="00BB6631">
              <w:rPr>
                <w:lang w:val="en-GB"/>
              </w:rPr>
              <w:t>m</w:t>
            </w:r>
            <w:proofErr w:type="spellEnd"/>
          </w:p>
        </w:tc>
        <w:tc>
          <w:tcPr>
            <w:tcW w:w="1134" w:type="dxa"/>
            <w:tcBorders>
              <w:top w:val="single" w:sz="12" w:space="0" w:color="008000"/>
              <w:bottom w:val="single" w:sz="6" w:space="0" w:color="008000"/>
            </w:tcBorders>
            <w:shd w:val="clear" w:color="auto" w:fill="FFFFFF"/>
          </w:tcPr>
          <w:p w:rsidR="0000363B" w:rsidRPr="00BB6631" w:rsidRDefault="0000363B" w:rsidP="0000363B">
            <w:pPr>
              <w:pStyle w:val="CETBodytext"/>
              <w:jc w:val="center"/>
              <w:rPr>
                <w:lang w:val="en-GB"/>
              </w:rPr>
            </w:pPr>
            <w:r w:rsidRPr="00BB6631">
              <w:rPr>
                <w:rFonts w:cs="Arial"/>
                <w:i/>
                <w:lang w:val="en-GB"/>
              </w:rPr>
              <w:t>σ</w:t>
            </w:r>
            <w:r w:rsidRPr="00BB6631">
              <w:rPr>
                <w:i/>
                <w:lang w:val="en-GB"/>
              </w:rPr>
              <w:t>/</w:t>
            </w:r>
            <w:proofErr w:type="spellStart"/>
            <w:r w:rsidRPr="00BB6631">
              <w:rPr>
                <w:rFonts w:ascii="Calibri" w:hAnsi="Calibri"/>
                <w:lang w:val="en-GB"/>
              </w:rPr>
              <w:t>μ</w:t>
            </w:r>
            <w:r w:rsidRPr="00BB6631">
              <w:rPr>
                <w:lang w:val="en-GB"/>
              </w:rPr>
              <w:t>m</w:t>
            </w:r>
            <w:proofErr w:type="spellEnd"/>
          </w:p>
        </w:tc>
      </w:tr>
      <w:tr w:rsidR="00BB6631" w:rsidRPr="00BB6631" w:rsidTr="0000363B">
        <w:tc>
          <w:tcPr>
            <w:tcW w:w="1276" w:type="dxa"/>
            <w:shd w:val="clear" w:color="auto" w:fill="FFFFFF"/>
          </w:tcPr>
          <w:p w:rsidR="0000363B" w:rsidRPr="00BB6631" w:rsidRDefault="0000363B" w:rsidP="0000363B">
            <w:pPr>
              <w:pStyle w:val="CETBodytext"/>
              <w:jc w:val="center"/>
              <w:rPr>
                <w:lang w:val="en-GB"/>
              </w:rPr>
            </w:pPr>
            <w:r w:rsidRPr="00BB6631">
              <w:rPr>
                <w:lang w:val="en-GB"/>
              </w:rPr>
              <w:t>4</w:t>
            </w:r>
          </w:p>
        </w:tc>
        <w:tc>
          <w:tcPr>
            <w:tcW w:w="1701" w:type="dxa"/>
            <w:shd w:val="clear" w:color="auto" w:fill="FFFFFF"/>
          </w:tcPr>
          <w:p w:rsidR="0000363B" w:rsidRPr="00BB6631" w:rsidRDefault="00A755A8" w:rsidP="0000363B">
            <w:pPr>
              <w:pStyle w:val="CETBodytext"/>
              <w:jc w:val="center"/>
              <w:rPr>
                <w:lang w:val="en-GB"/>
              </w:rPr>
            </w:pPr>
            <w:r w:rsidRPr="00BB6631">
              <w:rPr>
                <w:lang w:val="en-GB"/>
              </w:rPr>
              <w:t>160</w:t>
            </w:r>
          </w:p>
        </w:tc>
        <w:tc>
          <w:tcPr>
            <w:tcW w:w="1701" w:type="dxa"/>
            <w:shd w:val="clear" w:color="auto" w:fill="FFFFFF"/>
          </w:tcPr>
          <w:p w:rsidR="0000363B" w:rsidRPr="00BB6631" w:rsidRDefault="00A755A8" w:rsidP="0000363B">
            <w:pPr>
              <w:pStyle w:val="CETBodytext"/>
              <w:jc w:val="center"/>
              <w:rPr>
                <w:lang w:val="en-GB"/>
              </w:rPr>
            </w:pPr>
            <w:r w:rsidRPr="00BB6631">
              <w:rPr>
                <w:lang w:val="en-GB"/>
              </w:rPr>
              <w:t>57</w:t>
            </w:r>
          </w:p>
        </w:tc>
        <w:tc>
          <w:tcPr>
            <w:tcW w:w="1134" w:type="dxa"/>
            <w:shd w:val="clear" w:color="auto" w:fill="FFFFFF"/>
          </w:tcPr>
          <w:p w:rsidR="0000363B" w:rsidRPr="00BB6631" w:rsidRDefault="00A755A8" w:rsidP="0000363B">
            <w:pPr>
              <w:pStyle w:val="CETBodytext"/>
              <w:jc w:val="center"/>
              <w:rPr>
                <w:i/>
                <w:lang w:val="en-GB"/>
              </w:rPr>
            </w:pPr>
            <w:r w:rsidRPr="00BB6631">
              <w:rPr>
                <w:i/>
                <w:lang w:val="en-GB"/>
              </w:rPr>
              <w:t>175</w:t>
            </w:r>
          </w:p>
        </w:tc>
        <w:tc>
          <w:tcPr>
            <w:tcW w:w="1134" w:type="dxa"/>
            <w:shd w:val="clear" w:color="auto" w:fill="FFFFFF"/>
          </w:tcPr>
          <w:p w:rsidR="0000363B" w:rsidRPr="00BB6631" w:rsidRDefault="00A755A8" w:rsidP="0000363B">
            <w:pPr>
              <w:pStyle w:val="CETBodytext"/>
              <w:jc w:val="center"/>
              <w:rPr>
                <w:lang w:val="en-GB"/>
              </w:rPr>
            </w:pPr>
            <w:r w:rsidRPr="00BB6631">
              <w:rPr>
                <w:lang w:val="en-GB"/>
              </w:rPr>
              <w:t>56</w:t>
            </w:r>
          </w:p>
        </w:tc>
      </w:tr>
      <w:tr w:rsidR="00BB6631" w:rsidRPr="00BB6631" w:rsidTr="0000363B">
        <w:tc>
          <w:tcPr>
            <w:tcW w:w="1276" w:type="dxa"/>
            <w:shd w:val="clear" w:color="auto" w:fill="FFFFFF"/>
          </w:tcPr>
          <w:p w:rsidR="0000363B" w:rsidRPr="00BB6631" w:rsidRDefault="0000363B" w:rsidP="0000363B">
            <w:pPr>
              <w:pStyle w:val="CETBodytext"/>
              <w:ind w:right="-1"/>
              <w:jc w:val="center"/>
              <w:rPr>
                <w:rFonts w:cs="Arial"/>
                <w:szCs w:val="18"/>
                <w:lang w:val="en-GB"/>
              </w:rPr>
            </w:pPr>
            <w:r w:rsidRPr="00BB6631">
              <w:rPr>
                <w:rFonts w:cs="Arial"/>
                <w:szCs w:val="18"/>
                <w:lang w:val="en-GB"/>
              </w:rPr>
              <w:t>6</w:t>
            </w:r>
          </w:p>
        </w:tc>
        <w:tc>
          <w:tcPr>
            <w:tcW w:w="1701" w:type="dxa"/>
            <w:shd w:val="clear" w:color="auto" w:fill="FFFFFF"/>
          </w:tcPr>
          <w:p w:rsidR="0000363B" w:rsidRPr="00BB6631" w:rsidRDefault="00A755A8" w:rsidP="0000363B">
            <w:pPr>
              <w:pStyle w:val="CETBodytext"/>
              <w:ind w:right="-1"/>
              <w:jc w:val="center"/>
              <w:rPr>
                <w:lang w:val="en-GB"/>
              </w:rPr>
            </w:pPr>
            <w:r w:rsidRPr="00BB6631">
              <w:rPr>
                <w:lang w:val="en-GB"/>
              </w:rPr>
              <w:t>164</w:t>
            </w:r>
          </w:p>
        </w:tc>
        <w:tc>
          <w:tcPr>
            <w:tcW w:w="1701" w:type="dxa"/>
            <w:shd w:val="clear" w:color="auto" w:fill="FFFFFF"/>
          </w:tcPr>
          <w:p w:rsidR="0000363B" w:rsidRPr="00BB6631" w:rsidRDefault="00A755A8" w:rsidP="0000363B">
            <w:pPr>
              <w:pStyle w:val="CETBodytext"/>
              <w:ind w:right="-1"/>
              <w:jc w:val="center"/>
              <w:rPr>
                <w:rFonts w:cs="Arial"/>
                <w:szCs w:val="18"/>
                <w:lang w:val="en-GB"/>
              </w:rPr>
            </w:pPr>
            <w:r w:rsidRPr="00BB6631">
              <w:rPr>
                <w:lang w:val="en-GB"/>
              </w:rPr>
              <w:t>55</w:t>
            </w:r>
          </w:p>
        </w:tc>
        <w:tc>
          <w:tcPr>
            <w:tcW w:w="1134" w:type="dxa"/>
            <w:shd w:val="clear" w:color="auto" w:fill="FFFFFF"/>
          </w:tcPr>
          <w:p w:rsidR="0000363B" w:rsidRPr="00BB6631" w:rsidRDefault="00A755A8" w:rsidP="0000363B">
            <w:pPr>
              <w:pStyle w:val="CETBodytext"/>
              <w:ind w:right="-1"/>
              <w:jc w:val="center"/>
              <w:rPr>
                <w:lang w:val="en-GB"/>
              </w:rPr>
            </w:pPr>
            <w:r w:rsidRPr="00BB6631">
              <w:rPr>
                <w:lang w:val="en-GB"/>
              </w:rPr>
              <w:t>178</w:t>
            </w:r>
          </w:p>
        </w:tc>
        <w:tc>
          <w:tcPr>
            <w:tcW w:w="1134" w:type="dxa"/>
            <w:shd w:val="clear" w:color="auto" w:fill="FFFFFF"/>
          </w:tcPr>
          <w:p w:rsidR="0000363B" w:rsidRPr="00BB6631" w:rsidRDefault="00A755A8" w:rsidP="0000363B">
            <w:pPr>
              <w:pStyle w:val="CETBodytext"/>
              <w:ind w:right="-1"/>
              <w:jc w:val="center"/>
              <w:rPr>
                <w:rFonts w:cs="Arial"/>
                <w:szCs w:val="18"/>
                <w:lang w:val="en-GB"/>
              </w:rPr>
            </w:pPr>
            <w:r w:rsidRPr="00BB6631">
              <w:rPr>
                <w:rFonts w:cs="Arial"/>
                <w:szCs w:val="18"/>
                <w:lang w:val="en-GB"/>
              </w:rPr>
              <w:t>61</w:t>
            </w:r>
          </w:p>
        </w:tc>
      </w:tr>
      <w:tr w:rsidR="00BB6631" w:rsidRPr="00BB6631" w:rsidTr="0000363B">
        <w:tc>
          <w:tcPr>
            <w:tcW w:w="1276" w:type="dxa"/>
            <w:shd w:val="clear" w:color="auto" w:fill="FFFFFF"/>
          </w:tcPr>
          <w:p w:rsidR="0000363B" w:rsidRPr="00BB6631" w:rsidRDefault="0000363B" w:rsidP="0000363B">
            <w:pPr>
              <w:pStyle w:val="CETBodytext"/>
              <w:ind w:right="-1"/>
              <w:jc w:val="center"/>
              <w:rPr>
                <w:rFonts w:cs="Arial"/>
                <w:szCs w:val="18"/>
                <w:lang w:val="en-GB"/>
              </w:rPr>
            </w:pPr>
            <w:r w:rsidRPr="00BB6631">
              <w:rPr>
                <w:rFonts w:cs="Arial"/>
                <w:szCs w:val="18"/>
                <w:lang w:val="en-GB"/>
              </w:rPr>
              <w:t>9</w:t>
            </w:r>
          </w:p>
        </w:tc>
        <w:tc>
          <w:tcPr>
            <w:tcW w:w="1701" w:type="dxa"/>
            <w:shd w:val="clear" w:color="auto" w:fill="FFFFFF"/>
          </w:tcPr>
          <w:p w:rsidR="0000363B" w:rsidRPr="00BB6631" w:rsidRDefault="00A755A8" w:rsidP="0000363B">
            <w:pPr>
              <w:pStyle w:val="CETBodytext"/>
              <w:ind w:right="-1"/>
              <w:jc w:val="center"/>
              <w:rPr>
                <w:lang w:val="en-GB"/>
              </w:rPr>
            </w:pPr>
            <w:r w:rsidRPr="00BB6631">
              <w:rPr>
                <w:lang w:val="en-GB"/>
              </w:rPr>
              <w:t>151</w:t>
            </w:r>
          </w:p>
        </w:tc>
        <w:tc>
          <w:tcPr>
            <w:tcW w:w="1701" w:type="dxa"/>
            <w:shd w:val="clear" w:color="auto" w:fill="FFFFFF"/>
          </w:tcPr>
          <w:p w:rsidR="0000363B" w:rsidRPr="00BB6631" w:rsidRDefault="00A755A8" w:rsidP="0000363B">
            <w:pPr>
              <w:pStyle w:val="CETBodytext"/>
              <w:ind w:right="-1"/>
              <w:jc w:val="center"/>
              <w:rPr>
                <w:rFonts w:cs="Arial"/>
                <w:szCs w:val="18"/>
                <w:lang w:val="en-GB"/>
              </w:rPr>
            </w:pPr>
            <w:r w:rsidRPr="00BB6631">
              <w:rPr>
                <w:rFonts w:cs="Arial"/>
                <w:szCs w:val="18"/>
                <w:lang w:val="en-GB"/>
              </w:rPr>
              <w:t>46</w:t>
            </w:r>
          </w:p>
        </w:tc>
        <w:tc>
          <w:tcPr>
            <w:tcW w:w="1134" w:type="dxa"/>
            <w:shd w:val="clear" w:color="auto" w:fill="FFFFFF"/>
          </w:tcPr>
          <w:p w:rsidR="0000363B" w:rsidRPr="00BB6631" w:rsidRDefault="00A755A8" w:rsidP="0000363B">
            <w:pPr>
              <w:pStyle w:val="CETBodytext"/>
              <w:ind w:right="-1"/>
              <w:jc w:val="center"/>
              <w:rPr>
                <w:lang w:val="en-GB"/>
              </w:rPr>
            </w:pPr>
            <w:r w:rsidRPr="00BB6631">
              <w:rPr>
                <w:lang w:val="en-GB"/>
              </w:rPr>
              <w:t>145</w:t>
            </w:r>
          </w:p>
        </w:tc>
        <w:tc>
          <w:tcPr>
            <w:tcW w:w="1134" w:type="dxa"/>
            <w:shd w:val="clear" w:color="auto" w:fill="FFFFFF"/>
          </w:tcPr>
          <w:p w:rsidR="0000363B" w:rsidRPr="00BB6631" w:rsidRDefault="00A755A8" w:rsidP="0000363B">
            <w:pPr>
              <w:pStyle w:val="CETBodytext"/>
              <w:ind w:right="-1"/>
              <w:jc w:val="center"/>
              <w:rPr>
                <w:rFonts w:cs="Arial"/>
                <w:szCs w:val="18"/>
                <w:lang w:val="en-GB"/>
              </w:rPr>
            </w:pPr>
            <w:r w:rsidRPr="00BB6631">
              <w:rPr>
                <w:rFonts w:cs="Arial"/>
                <w:szCs w:val="18"/>
                <w:lang w:val="en-GB"/>
              </w:rPr>
              <w:t>42</w:t>
            </w:r>
          </w:p>
        </w:tc>
      </w:tr>
    </w:tbl>
    <w:p w:rsidR="0000363B" w:rsidRPr="00BB6631" w:rsidRDefault="0000363B" w:rsidP="0099246F">
      <w:pPr>
        <w:pStyle w:val="CETBodytext"/>
        <w:rPr>
          <w:lang w:val="en-GB"/>
        </w:rPr>
      </w:pPr>
    </w:p>
    <w:p w:rsidR="00600535" w:rsidRPr="00BB6631" w:rsidRDefault="00600535" w:rsidP="0099246F">
      <w:pPr>
        <w:pStyle w:val="CETHeading1"/>
      </w:pPr>
      <w:r w:rsidRPr="00BB6631">
        <w:t>Conclusions</w:t>
      </w:r>
    </w:p>
    <w:p w:rsidR="00096D45" w:rsidRPr="00BB6631" w:rsidRDefault="00AE7A69" w:rsidP="00356A9A">
      <w:pPr>
        <w:pStyle w:val="CETBodytext"/>
        <w:rPr>
          <w:i/>
          <w:sz w:val="16"/>
          <w:lang w:val="en-GB"/>
        </w:rPr>
      </w:pPr>
      <w:r w:rsidRPr="00BB6631">
        <w:rPr>
          <w:lang w:val="en-GB"/>
        </w:rPr>
        <w:t>Metastable zone wi</w:t>
      </w:r>
      <w:r w:rsidR="002B1A40" w:rsidRPr="00BB6631">
        <w:rPr>
          <w:lang w:val="en-GB"/>
        </w:rPr>
        <w:t>d</w:t>
      </w:r>
      <w:r w:rsidRPr="00BB6631">
        <w:rPr>
          <w:lang w:val="en-GB"/>
        </w:rPr>
        <w:t xml:space="preserve">th </w:t>
      </w:r>
      <w:r w:rsidR="00DA0DC3" w:rsidRPr="00BB6631">
        <w:rPr>
          <w:lang w:val="en-GB"/>
        </w:rPr>
        <w:t xml:space="preserve">of borax dehydrate </w:t>
      </w:r>
      <w:r w:rsidRPr="00BB6631">
        <w:rPr>
          <w:lang w:val="en-GB"/>
        </w:rPr>
        <w:t xml:space="preserve">significantly </w:t>
      </w:r>
      <w:r w:rsidR="00DA0DC3" w:rsidRPr="00BB6631">
        <w:rPr>
          <w:lang w:val="en-GB"/>
        </w:rPr>
        <w:t>depend</w:t>
      </w:r>
      <w:r w:rsidR="00870E4A" w:rsidRPr="00BB6631">
        <w:rPr>
          <w:lang w:val="en-GB"/>
        </w:rPr>
        <w:t>s</w:t>
      </w:r>
      <w:r w:rsidR="00DA0DC3" w:rsidRPr="00BB6631">
        <w:rPr>
          <w:lang w:val="en-GB"/>
        </w:rPr>
        <w:t xml:space="preserve"> on cooling rate and it increase</w:t>
      </w:r>
      <w:r w:rsidR="00F60842" w:rsidRPr="00BB6631">
        <w:rPr>
          <w:lang w:val="en-GB"/>
        </w:rPr>
        <w:t>s</w:t>
      </w:r>
      <w:r w:rsidR="00DA0DC3" w:rsidRPr="00BB6631">
        <w:rPr>
          <w:lang w:val="en-GB"/>
        </w:rPr>
        <w:t xml:space="preserve"> as cooling rate increases. This reflected on the nucleation mechanism and nucleation rate. In all system investigated</w:t>
      </w:r>
      <w:r w:rsidR="00F60842" w:rsidRPr="00BB6631">
        <w:rPr>
          <w:lang w:val="en-GB"/>
        </w:rPr>
        <w:t>,</w:t>
      </w:r>
      <w:r w:rsidR="00DA0DC3" w:rsidRPr="00BB6631">
        <w:rPr>
          <w:lang w:val="en-GB"/>
        </w:rPr>
        <w:t xml:space="preserve"> nucleation </w:t>
      </w:r>
      <w:r w:rsidR="00870E4A" w:rsidRPr="00BB6631">
        <w:rPr>
          <w:lang w:val="en-GB"/>
        </w:rPr>
        <w:t xml:space="preserve">occurred by heterogeneous </w:t>
      </w:r>
      <w:r w:rsidR="00DA0DC3" w:rsidRPr="00BB6631">
        <w:rPr>
          <w:lang w:val="en-GB"/>
        </w:rPr>
        <w:t xml:space="preserve">primary nucleation mechanism. The </w:t>
      </w:r>
      <w:r w:rsidR="00614287" w:rsidRPr="00BB6631">
        <w:rPr>
          <w:lang w:val="en-GB"/>
        </w:rPr>
        <w:t>rate of heterogeneous nucleation was</w:t>
      </w:r>
      <w:r w:rsidR="00DA0DC3" w:rsidRPr="00BB6631">
        <w:rPr>
          <w:lang w:val="en-GB"/>
        </w:rPr>
        <w:t xml:space="preserve"> proportional to metastable zone width; it increased with cooling rates and was slightly higher in radial impeller systems. Crystal growth in all system investigated was integration controlled, </w:t>
      </w:r>
      <w:r w:rsidR="00614287" w:rsidRPr="00BB6631">
        <w:rPr>
          <w:lang w:val="en-GB"/>
        </w:rPr>
        <w:t>especially</w:t>
      </w:r>
      <w:r w:rsidR="00DA0DC3" w:rsidRPr="00BB6631">
        <w:rPr>
          <w:lang w:val="en-GB"/>
        </w:rPr>
        <w:t xml:space="preserve"> at </w:t>
      </w:r>
      <w:r w:rsidR="00614287" w:rsidRPr="00BB6631">
        <w:rPr>
          <w:lang w:val="en-GB"/>
        </w:rPr>
        <w:t>higher</w:t>
      </w:r>
      <w:r w:rsidR="00DA0DC3" w:rsidRPr="00BB6631">
        <w:rPr>
          <w:lang w:val="en-GB"/>
        </w:rPr>
        <w:t xml:space="preserve"> supersaturation generated at higher</w:t>
      </w:r>
      <w:r w:rsidR="00614287" w:rsidRPr="00BB6631">
        <w:rPr>
          <w:lang w:val="en-GB"/>
        </w:rPr>
        <w:t xml:space="preserve"> cooling rates</w:t>
      </w:r>
      <w:r w:rsidR="002B1A40" w:rsidRPr="00BB6631">
        <w:rPr>
          <w:lang w:val="en-GB"/>
        </w:rPr>
        <w:t xml:space="preserve">. </w:t>
      </w:r>
      <w:r w:rsidR="00614287" w:rsidRPr="00BB6631">
        <w:rPr>
          <w:lang w:val="en-GB"/>
        </w:rPr>
        <w:t>Crystal size enlargement was more emphasise</w:t>
      </w:r>
      <w:r w:rsidR="00870E4A" w:rsidRPr="00BB6631">
        <w:rPr>
          <w:lang w:val="en-GB"/>
        </w:rPr>
        <w:t>d</w:t>
      </w:r>
      <w:r w:rsidR="00614287" w:rsidRPr="00BB6631">
        <w:rPr>
          <w:lang w:val="en-GB"/>
        </w:rPr>
        <w:t xml:space="preserve"> at lower cooling rate due to longer retention time and moderate </w:t>
      </w:r>
      <w:proofErr w:type="spellStart"/>
      <w:r w:rsidR="00614287" w:rsidRPr="00BB6631">
        <w:rPr>
          <w:lang w:val="en-GB"/>
        </w:rPr>
        <w:t>desupersaturation</w:t>
      </w:r>
      <w:proofErr w:type="spellEnd"/>
      <w:r w:rsidR="00614287" w:rsidRPr="00BB6631">
        <w:rPr>
          <w:lang w:val="en-GB"/>
        </w:rPr>
        <w:t xml:space="preserve">. Crystal size distribution indicated that although in all system investigated secondary nucleation was present in systems with higher cooling rates agglomeration became more pronounced. </w:t>
      </w:r>
      <w:r w:rsidR="00870E4A" w:rsidRPr="00BB6631">
        <w:rPr>
          <w:lang w:val="en-GB"/>
        </w:rPr>
        <w:t xml:space="preserve">It </w:t>
      </w:r>
      <w:r w:rsidR="00614287" w:rsidRPr="00BB6631">
        <w:rPr>
          <w:lang w:val="en-GB"/>
        </w:rPr>
        <w:t xml:space="preserve">is possible </w:t>
      </w:r>
      <w:r w:rsidR="00870E4A" w:rsidRPr="00BB6631">
        <w:rPr>
          <w:lang w:val="en-GB"/>
        </w:rPr>
        <w:t xml:space="preserve">to produce large and regularly shape crystals </w:t>
      </w:r>
      <w:r w:rsidR="00614287" w:rsidRPr="00BB6631">
        <w:rPr>
          <w:lang w:val="en-GB"/>
        </w:rPr>
        <w:t>at lowest cooling rates regardless of imp</w:t>
      </w:r>
      <w:r w:rsidR="00F60842" w:rsidRPr="00BB6631">
        <w:rPr>
          <w:lang w:val="en-GB"/>
        </w:rPr>
        <w:t>eller type in the crystallizer.</w:t>
      </w:r>
      <w:r w:rsidR="00275BE7" w:rsidRPr="00BB6631">
        <w:rPr>
          <w:vertAlign w:val="superscript"/>
          <w:lang w:val="en-GB"/>
        </w:rPr>
        <w:t xml:space="preserve"> </w:t>
      </w:r>
    </w:p>
    <w:p w:rsidR="007301E2" w:rsidRPr="00BB6631" w:rsidRDefault="00600535" w:rsidP="00283542">
      <w:pPr>
        <w:pStyle w:val="CETReference"/>
        <w:rPr>
          <w:i/>
          <w:lang w:val="en-US"/>
        </w:rPr>
      </w:pPr>
      <w:r w:rsidRPr="00BB6631">
        <w:t>References</w:t>
      </w:r>
      <w:r w:rsidR="00283542" w:rsidRPr="00BB6631">
        <w:rPr>
          <w:i/>
          <w:lang w:val="en-US"/>
        </w:rPr>
        <w:t xml:space="preserve"> </w:t>
      </w:r>
    </w:p>
    <w:p w:rsidR="00F3593F" w:rsidRPr="00BB6631" w:rsidRDefault="00DC4F0A" w:rsidP="007301E2">
      <w:pPr>
        <w:pStyle w:val="CETReference"/>
        <w:rPr>
          <w:b w:val="0"/>
        </w:rPr>
      </w:pPr>
      <w:proofErr w:type="spellStart"/>
      <w:r w:rsidRPr="00BB6631">
        <w:rPr>
          <w:rStyle w:val="hps"/>
          <w:b w:val="0"/>
        </w:rPr>
        <w:t>Akrap</w:t>
      </w:r>
      <w:proofErr w:type="spellEnd"/>
      <w:r w:rsidRPr="00BB6631">
        <w:rPr>
          <w:rStyle w:val="hps"/>
          <w:b w:val="0"/>
        </w:rPr>
        <w:t xml:space="preserve"> </w:t>
      </w:r>
      <w:r w:rsidR="00F3593F" w:rsidRPr="00BB6631">
        <w:rPr>
          <w:rStyle w:val="hps"/>
          <w:b w:val="0"/>
        </w:rPr>
        <w:t xml:space="preserve">M., </w:t>
      </w:r>
      <w:proofErr w:type="spellStart"/>
      <w:r w:rsidR="00F3593F" w:rsidRPr="00BB6631">
        <w:rPr>
          <w:rStyle w:val="hps"/>
          <w:b w:val="0"/>
        </w:rPr>
        <w:t>Kuz</w:t>
      </w:r>
      <w:r w:rsidRPr="00BB6631">
        <w:rPr>
          <w:rStyle w:val="hps"/>
          <w:b w:val="0"/>
        </w:rPr>
        <w:t>m</w:t>
      </w:r>
      <w:r w:rsidR="00182AC0" w:rsidRPr="00BB6631">
        <w:rPr>
          <w:rStyle w:val="hps"/>
          <w:b w:val="0"/>
        </w:rPr>
        <w:t>anić</w:t>
      </w:r>
      <w:proofErr w:type="spellEnd"/>
      <w:r w:rsidR="00182AC0" w:rsidRPr="00BB6631">
        <w:rPr>
          <w:rStyle w:val="hps"/>
          <w:b w:val="0"/>
        </w:rPr>
        <w:t xml:space="preserve"> N., </w:t>
      </w:r>
      <w:proofErr w:type="spellStart"/>
      <w:r w:rsidR="00182AC0" w:rsidRPr="00BB6631">
        <w:rPr>
          <w:rStyle w:val="hps"/>
          <w:b w:val="0"/>
        </w:rPr>
        <w:t>Prlić</w:t>
      </w:r>
      <w:proofErr w:type="spellEnd"/>
      <w:r w:rsidR="00182AC0" w:rsidRPr="00BB6631">
        <w:rPr>
          <w:rStyle w:val="hps"/>
          <w:b w:val="0"/>
        </w:rPr>
        <w:t xml:space="preserve"> </w:t>
      </w:r>
      <w:proofErr w:type="spellStart"/>
      <w:r w:rsidR="00182AC0" w:rsidRPr="00BB6631">
        <w:rPr>
          <w:rStyle w:val="hps"/>
          <w:b w:val="0"/>
        </w:rPr>
        <w:t>Kardum</w:t>
      </w:r>
      <w:proofErr w:type="spellEnd"/>
      <w:r w:rsidR="00F3593F" w:rsidRPr="00BB6631">
        <w:rPr>
          <w:rStyle w:val="hps"/>
          <w:b w:val="0"/>
        </w:rPr>
        <w:t xml:space="preserve"> J., 2012, </w:t>
      </w:r>
      <w:r w:rsidR="00F3593F" w:rsidRPr="00BB6631">
        <w:rPr>
          <w:rStyle w:val="hps"/>
          <w:b w:val="0"/>
          <w:lang w:val="en-US"/>
        </w:rPr>
        <w:t>I</w:t>
      </w:r>
      <w:r w:rsidRPr="00BB6631">
        <w:rPr>
          <w:rStyle w:val="hps"/>
          <w:b w:val="0"/>
          <w:lang w:val="en-US"/>
        </w:rPr>
        <w:t xml:space="preserve">mpeller geometry effect on crystallization kinetics of borax </w:t>
      </w:r>
      <w:proofErr w:type="spellStart"/>
      <w:r w:rsidRPr="00BB6631">
        <w:rPr>
          <w:rStyle w:val="hps"/>
          <w:b w:val="0"/>
          <w:lang w:val="en-US"/>
        </w:rPr>
        <w:t>decahydrate</w:t>
      </w:r>
      <w:proofErr w:type="spellEnd"/>
      <w:r w:rsidRPr="00BB6631">
        <w:rPr>
          <w:rStyle w:val="hps"/>
          <w:b w:val="0"/>
          <w:lang w:val="en-US"/>
        </w:rPr>
        <w:t xml:space="preserve"> in a batch cooling crystallizer</w:t>
      </w:r>
      <w:r w:rsidR="00F3593F" w:rsidRPr="00BB6631">
        <w:rPr>
          <w:rStyle w:val="hps"/>
          <w:b w:val="0"/>
        </w:rPr>
        <w:t xml:space="preserve">, </w:t>
      </w:r>
      <w:r w:rsidR="00F3593F" w:rsidRPr="00BB6631">
        <w:rPr>
          <w:rStyle w:val="hps"/>
          <w:b w:val="0"/>
          <w:bCs/>
          <w:lang w:val="en"/>
        </w:rPr>
        <w:t>Chem</w:t>
      </w:r>
      <w:r w:rsidR="00182AC0" w:rsidRPr="00BB6631">
        <w:rPr>
          <w:rStyle w:val="hps"/>
          <w:b w:val="0"/>
          <w:bCs/>
          <w:lang w:val="en"/>
        </w:rPr>
        <w:t>ical Engineering Research and Design,</w:t>
      </w:r>
      <w:r w:rsidR="00F3593F" w:rsidRPr="00BB6631">
        <w:rPr>
          <w:rStyle w:val="hps"/>
          <w:b w:val="0"/>
          <w:bCs/>
          <w:lang w:val="en"/>
        </w:rPr>
        <w:t xml:space="preserve"> 90 (6)</w:t>
      </w:r>
      <w:r w:rsidRPr="00BB6631">
        <w:rPr>
          <w:rStyle w:val="hps"/>
          <w:b w:val="0"/>
          <w:bCs/>
          <w:lang w:val="en"/>
        </w:rPr>
        <w:t>,</w:t>
      </w:r>
      <w:r w:rsidR="00F3593F" w:rsidRPr="00BB6631">
        <w:rPr>
          <w:rStyle w:val="hps"/>
          <w:b w:val="0"/>
          <w:bCs/>
          <w:lang w:val="en"/>
        </w:rPr>
        <w:t xml:space="preserve"> 793-802.</w:t>
      </w:r>
    </w:p>
    <w:p w:rsidR="00C16577" w:rsidRPr="00BB6631" w:rsidRDefault="00DC4F0A" w:rsidP="008A7B1B">
      <w:proofErr w:type="spellStart"/>
      <w:r w:rsidRPr="00BB6631">
        <w:rPr>
          <w:rStyle w:val="hps"/>
          <w:bCs/>
          <w:lang w:val="en"/>
        </w:rPr>
        <w:t>Ćosić</w:t>
      </w:r>
      <w:proofErr w:type="spellEnd"/>
      <w:r w:rsidR="006B50A4" w:rsidRPr="00BB6631">
        <w:rPr>
          <w:rStyle w:val="hps"/>
          <w:bCs/>
          <w:lang w:val="en"/>
        </w:rPr>
        <w:t xml:space="preserve"> M.</w:t>
      </w:r>
      <w:r w:rsidRPr="00BB6631">
        <w:rPr>
          <w:rStyle w:val="hps"/>
          <w:bCs/>
          <w:lang w:val="en"/>
        </w:rPr>
        <w:t>,</w:t>
      </w:r>
      <w:r w:rsidR="006B50A4" w:rsidRPr="00BB6631">
        <w:rPr>
          <w:rStyle w:val="hps"/>
          <w:bCs/>
          <w:lang w:val="en"/>
        </w:rPr>
        <w:t xml:space="preserve"> </w:t>
      </w:r>
      <w:proofErr w:type="spellStart"/>
      <w:r w:rsidR="006B50A4" w:rsidRPr="00BB6631">
        <w:rPr>
          <w:rStyle w:val="hps"/>
          <w:bCs/>
          <w:lang w:val="en"/>
        </w:rPr>
        <w:t>Kaćunić</w:t>
      </w:r>
      <w:proofErr w:type="spellEnd"/>
      <w:r w:rsidR="006B50A4" w:rsidRPr="00BB6631">
        <w:rPr>
          <w:rStyle w:val="hps"/>
          <w:bCs/>
          <w:lang w:val="en"/>
        </w:rPr>
        <w:t xml:space="preserve"> A.</w:t>
      </w:r>
      <w:r w:rsidR="00182AC0" w:rsidRPr="00BB6631">
        <w:rPr>
          <w:rStyle w:val="hps"/>
          <w:bCs/>
          <w:lang w:val="en"/>
        </w:rPr>
        <w:t xml:space="preserve">, </w:t>
      </w:r>
      <w:proofErr w:type="spellStart"/>
      <w:r w:rsidR="00182AC0" w:rsidRPr="00BB6631">
        <w:rPr>
          <w:rStyle w:val="hps"/>
          <w:bCs/>
          <w:lang w:val="en"/>
        </w:rPr>
        <w:t>Kuzmanić</w:t>
      </w:r>
      <w:proofErr w:type="spellEnd"/>
      <w:r w:rsidR="006B50A4" w:rsidRPr="00BB6631">
        <w:rPr>
          <w:rStyle w:val="hps"/>
          <w:bCs/>
          <w:lang w:val="en"/>
        </w:rPr>
        <w:t xml:space="preserve"> N., 2016, </w:t>
      </w:r>
      <w:r w:rsidRPr="00BB6631">
        <w:rPr>
          <w:rStyle w:val="hps"/>
          <w:bCs/>
          <w:lang w:val="en"/>
        </w:rPr>
        <w:t>The investigation of the influence of impeller blade inclination on borax nucleation and crystal growth kinetics</w:t>
      </w:r>
      <w:r w:rsidR="006B50A4" w:rsidRPr="00BB6631">
        <w:rPr>
          <w:rStyle w:val="hps"/>
          <w:bCs/>
          <w:lang w:val="en"/>
        </w:rPr>
        <w:t>, Chem</w:t>
      </w:r>
      <w:r w:rsidR="00182AC0" w:rsidRPr="00BB6631">
        <w:rPr>
          <w:rStyle w:val="hps"/>
          <w:bCs/>
          <w:lang w:val="en"/>
        </w:rPr>
        <w:t xml:space="preserve">ical </w:t>
      </w:r>
      <w:r w:rsidR="006B50A4" w:rsidRPr="00BB6631">
        <w:rPr>
          <w:rStyle w:val="hps"/>
          <w:bCs/>
          <w:lang w:val="en"/>
        </w:rPr>
        <w:t>Eng</w:t>
      </w:r>
      <w:r w:rsidR="00182AC0" w:rsidRPr="00BB6631">
        <w:rPr>
          <w:rStyle w:val="hps"/>
          <w:bCs/>
          <w:lang w:val="en"/>
        </w:rPr>
        <w:t>ineering</w:t>
      </w:r>
      <w:r w:rsidR="006B50A4" w:rsidRPr="00BB6631">
        <w:rPr>
          <w:rStyle w:val="hps"/>
          <w:bCs/>
          <w:lang w:val="en"/>
        </w:rPr>
        <w:t xml:space="preserve"> Comm</w:t>
      </w:r>
      <w:r w:rsidR="00182AC0" w:rsidRPr="00BB6631">
        <w:rPr>
          <w:rStyle w:val="hps"/>
          <w:bCs/>
          <w:lang w:val="en"/>
        </w:rPr>
        <w:t>unications</w:t>
      </w:r>
      <w:r w:rsidR="006B50A4" w:rsidRPr="00BB6631">
        <w:rPr>
          <w:rStyle w:val="hps"/>
          <w:bCs/>
          <w:lang w:val="en"/>
        </w:rPr>
        <w:t>, 203 (11)</w:t>
      </w:r>
      <w:r w:rsidRPr="00BB6631">
        <w:rPr>
          <w:rStyle w:val="hps"/>
          <w:bCs/>
          <w:lang w:val="en"/>
        </w:rPr>
        <w:t>,</w:t>
      </w:r>
      <w:r w:rsidR="006B50A4" w:rsidRPr="00BB6631">
        <w:rPr>
          <w:rStyle w:val="hps"/>
          <w:bCs/>
          <w:lang w:val="en"/>
        </w:rPr>
        <w:t xml:space="preserve"> 1497-1506.</w:t>
      </w:r>
    </w:p>
    <w:p w:rsidR="00FC6284" w:rsidRPr="00BB6631" w:rsidRDefault="00C16577" w:rsidP="008A7B1B">
      <w:pPr>
        <w:tabs>
          <w:tab w:val="num" w:pos="540"/>
        </w:tabs>
      </w:pPr>
      <w:proofErr w:type="spellStart"/>
      <w:r w:rsidRPr="00BB6631">
        <w:rPr>
          <w:rFonts w:cs="Arial"/>
          <w:lang w:val="en-US"/>
        </w:rPr>
        <w:t>Cheon</w:t>
      </w:r>
      <w:proofErr w:type="spellEnd"/>
      <w:r w:rsidRPr="00BB6631">
        <w:rPr>
          <w:rFonts w:cs="Arial"/>
          <w:lang w:val="en-US"/>
        </w:rPr>
        <w:t xml:space="preserve"> </w:t>
      </w:r>
      <w:r w:rsidR="00FC6284" w:rsidRPr="00BB6631">
        <w:t>Y.-H., Kim K.-J.</w:t>
      </w:r>
      <w:r w:rsidR="0018693A" w:rsidRPr="00BB6631">
        <w:t>,</w:t>
      </w:r>
      <w:r w:rsidR="00DC4F0A" w:rsidRPr="00BB6631">
        <w:t xml:space="preserve"> </w:t>
      </w:r>
      <w:r w:rsidR="00356A9A" w:rsidRPr="00BB6631">
        <w:t>Kim</w:t>
      </w:r>
      <w:r w:rsidR="00FC6284" w:rsidRPr="00BB6631">
        <w:t xml:space="preserve"> S.-H.,</w:t>
      </w:r>
      <w:r w:rsidR="00FC6284" w:rsidRPr="00BB6631">
        <w:rPr>
          <w:i/>
        </w:rPr>
        <w:t xml:space="preserve"> </w:t>
      </w:r>
      <w:r w:rsidR="00FC6284" w:rsidRPr="00BB6631">
        <w:t>2005</w:t>
      </w:r>
      <w:r w:rsidR="00FC6284" w:rsidRPr="00BB6631">
        <w:rPr>
          <w:i/>
        </w:rPr>
        <w:t xml:space="preserve">, </w:t>
      </w:r>
      <w:r w:rsidR="00FC6284" w:rsidRPr="00BB6631">
        <w:t xml:space="preserve">A </w:t>
      </w:r>
      <w:r w:rsidR="00DC4F0A" w:rsidRPr="00BB6631">
        <w:t>s</w:t>
      </w:r>
      <w:r w:rsidR="00FC6284" w:rsidRPr="00BB6631">
        <w:t xml:space="preserve">tudy on crystallization kinetics of </w:t>
      </w:r>
      <w:proofErr w:type="spellStart"/>
      <w:r w:rsidR="00FC6284" w:rsidRPr="00BB6631">
        <w:t>pentaerythritol</w:t>
      </w:r>
      <w:proofErr w:type="spellEnd"/>
      <w:r w:rsidR="00FC6284" w:rsidRPr="00BB6631">
        <w:t xml:space="preserve"> in a batch cooling crystallizer, Chem</w:t>
      </w:r>
      <w:r w:rsidR="003A4456" w:rsidRPr="00BB6631">
        <w:t>ical</w:t>
      </w:r>
      <w:r w:rsidR="00FC6284" w:rsidRPr="00BB6631">
        <w:t xml:space="preserve"> Eng</w:t>
      </w:r>
      <w:r w:rsidR="0018693A" w:rsidRPr="00BB6631">
        <w:t xml:space="preserve">ineering </w:t>
      </w:r>
      <w:r w:rsidR="00FC6284" w:rsidRPr="00BB6631">
        <w:t>Sci</w:t>
      </w:r>
      <w:r w:rsidR="0018693A" w:rsidRPr="00BB6631">
        <w:t>ence</w:t>
      </w:r>
      <w:r w:rsidR="00DC4F0A" w:rsidRPr="00BB6631">
        <w:t>,</w:t>
      </w:r>
      <w:r w:rsidR="00FC6284" w:rsidRPr="00BB6631">
        <w:t xml:space="preserve"> 60 (17)</w:t>
      </w:r>
      <w:r w:rsidR="00DC4F0A" w:rsidRPr="00BB6631">
        <w:t>,</w:t>
      </w:r>
      <w:r w:rsidR="00FC6284" w:rsidRPr="00BB6631">
        <w:t xml:space="preserve"> </w:t>
      </w:r>
      <w:bookmarkStart w:id="0" w:name="_GoBack"/>
      <w:bookmarkEnd w:id="0"/>
      <w:r w:rsidR="00FC6284" w:rsidRPr="00BB6631">
        <w:t>4791-4802.</w:t>
      </w:r>
    </w:p>
    <w:p w:rsidR="00B23468" w:rsidRPr="00BB6631" w:rsidRDefault="00B23468" w:rsidP="00FC6284">
      <w:pPr>
        <w:tabs>
          <w:tab w:val="num" w:pos="540"/>
        </w:tabs>
        <w:ind w:left="284" w:hanging="284"/>
      </w:pPr>
      <w:r w:rsidRPr="00BB6631">
        <w:rPr>
          <w:bCs/>
          <w:lang w:val="hr-HR"/>
        </w:rPr>
        <w:t xml:space="preserve">De </w:t>
      </w:r>
      <w:proofErr w:type="spellStart"/>
      <w:r w:rsidRPr="00BB6631">
        <w:rPr>
          <w:bCs/>
          <w:lang w:val="hr-HR"/>
        </w:rPr>
        <w:t>Haan</w:t>
      </w:r>
      <w:proofErr w:type="spellEnd"/>
      <w:r w:rsidRPr="00BB6631">
        <w:rPr>
          <w:bCs/>
          <w:lang w:val="hr-HR"/>
        </w:rPr>
        <w:t xml:space="preserve"> A.</w:t>
      </w:r>
      <w:r w:rsidR="005B579F" w:rsidRPr="00BB6631">
        <w:rPr>
          <w:bCs/>
          <w:lang w:val="hr-HR"/>
        </w:rPr>
        <w:t>,</w:t>
      </w:r>
      <w:r w:rsidR="00DC4F0A" w:rsidRPr="00BB6631">
        <w:rPr>
          <w:bCs/>
          <w:lang w:val="hr-HR"/>
        </w:rPr>
        <w:t xml:space="preserve"> </w:t>
      </w:r>
      <w:proofErr w:type="spellStart"/>
      <w:r w:rsidR="00DC4F0A" w:rsidRPr="00BB6631">
        <w:rPr>
          <w:bCs/>
          <w:lang w:val="hr-HR"/>
        </w:rPr>
        <w:t>Bosh</w:t>
      </w:r>
      <w:proofErr w:type="spellEnd"/>
      <w:r w:rsidRPr="00BB6631">
        <w:rPr>
          <w:bCs/>
          <w:lang w:val="hr-HR"/>
        </w:rPr>
        <w:t xml:space="preserve"> </w:t>
      </w:r>
      <w:r w:rsidR="00FB1B9B" w:rsidRPr="00BB6631">
        <w:rPr>
          <w:bCs/>
          <w:lang w:val="hr-HR"/>
        </w:rPr>
        <w:t xml:space="preserve">H., </w:t>
      </w:r>
      <w:r w:rsidR="00DC4F0A" w:rsidRPr="00BB6631">
        <w:rPr>
          <w:bCs/>
          <w:lang w:val="hr-HR"/>
        </w:rPr>
        <w:t xml:space="preserve">2013, </w:t>
      </w:r>
      <w:proofErr w:type="spellStart"/>
      <w:r w:rsidRPr="00BB6631">
        <w:rPr>
          <w:bCs/>
          <w:lang w:val="hr-HR"/>
        </w:rPr>
        <w:t>Industrial</w:t>
      </w:r>
      <w:proofErr w:type="spellEnd"/>
      <w:r w:rsidRPr="00BB6631">
        <w:rPr>
          <w:bCs/>
          <w:lang w:val="hr-HR"/>
        </w:rPr>
        <w:t xml:space="preserve"> </w:t>
      </w:r>
      <w:proofErr w:type="spellStart"/>
      <w:r w:rsidR="00DC4F0A" w:rsidRPr="00BB6631">
        <w:rPr>
          <w:bCs/>
          <w:lang w:val="hr-HR"/>
        </w:rPr>
        <w:t>Separation</w:t>
      </w:r>
      <w:proofErr w:type="spellEnd"/>
      <w:r w:rsidR="00DC4F0A" w:rsidRPr="00BB6631">
        <w:rPr>
          <w:bCs/>
          <w:lang w:val="hr-HR"/>
        </w:rPr>
        <w:t xml:space="preserve"> </w:t>
      </w:r>
      <w:proofErr w:type="spellStart"/>
      <w:r w:rsidR="00DC4F0A" w:rsidRPr="00BB6631">
        <w:rPr>
          <w:bCs/>
          <w:lang w:val="hr-HR"/>
        </w:rPr>
        <w:t>Processes</w:t>
      </w:r>
      <w:proofErr w:type="spellEnd"/>
      <w:r w:rsidRPr="00BB6631">
        <w:rPr>
          <w:bCs/>
          <w:lang w:val="hr-HR"/>
        </w:rPr>
        <w:t xml:space="preserve">, Walter de </w:t>
      </w:r>
      <w:proofErr w:type="spellStart"/>
      <w:r w:rsidRPr="00BB6631">
        <w:rPr>
          <w:bCs/>
          <w:lang w:val="hr-HR"/>
        </w:rPr>
        <w:t>Gruyter</w:t>
      </w:r>
      <w:proofErr w:type="spellEnd"/>
      <w:r w:rsidRPr="00BB6631">
        <w:rPr>
          <w:bCs/>
          <w:lang w:val="hr-HR"/>
        </w:rPr>
        <w:t xml:space="preserve"> </w:t>
      </w:r>
      <w:proofErr w:type="spellStart"/>
      <w:r w:rsidR="005B579F" w:rsidRPr="00BB6631">
        <w:rPr>
          <w:bCs/>
          <w:lang w:val="hr-HR"/>
        </w:rPr>
        <w:t>GmbH</w:t>
      </w:r>
      <w:proofErr w:type="spellEnd"/>
      <w:r w:rsidR="005B579F" w:rsidRPr="00BB6631">
        <w:rPr>
          <w:bCs/>
          <w:lang w:val="hr-HR"/>
        </w:rPr>
        <w:t>, Berlin</w:t>
      </w:r>
      <w:r w:rsidR="00FB1B9B" w:rsidRPr="00BB6631">
        <w:rPr>
          <w:bCs/>
          <w:lang w:val="hr-HR"/>
        </w:rPr>
        <w:t>.</w:t>
      </w:r>
    </w:p>
    <w:p w:rsidR="00614287" w:rsidRPr="00BB6631" w:rsidRDefault="00614287" w:rsidP="00F3593F">
      <w:pPr>
        <w:ind w:left="284" w:hanging="284"/>
        <w:rPr>
          <w:szCs w:val="18"/>
        </w:rPr>
      </w:pPr>
      <w:proofErr w:type="spellStart"/>
      <w:r w:rsidRPr="00BB6631">
        <w:rPr>
          <w:szCs w:val="18"/>
        </w:rPr>
        <w:t>Herndl</w:t>
      </w:r>
      <w:proofErr w:type="spellEnd"/>
      <w:r w:rsidRPr="00BB6631">
        <w:rPr>
          <w:szCs w:val="18"/>
        </w:rPr>
        <w:t xml:space="preserve"> G., 1982, </w:t>
      </w:r>
      <w:proofErr w:type="spellStart"/>
      <w:r w:rsidRPr="00BB6631">
        <w:rPr>
          <w:i/>
          <w:szCs w:val="18"/>
        </w:rPr>
        <w:t>Stoffubergang</w:t>
      </w:r>
      <w:proofErr w:type="spellEnd"/>
      <w:r w:rsidRPr="00BB6631">
        <w:rPr>
          <w:i/>
          <w:szCs w:val="18"/>
        </w:rPr>
        <w:t xml:space="preserve"> in </w:t>
      </w:r>
      <w:proofErr w:type="spellStart"/>
      <w:r w:rsidRPr="00BB6631">
        <w:rPr>
          <w:i/>
          <w:szCs w:val="18"/>
        </w:rPr>
        <w:t>geruhrten</w:t>
      </w:r>
      <w:proofErr w:type="spellEnd"/>
      <w:r w:rsidRPr="00BB6631">
        <w:rPr>
          <w:i/>
          <w:szCs w:val="18"/>
        </w:rPr>
        <w:t xml:space="preserve"> </w:t>
      </w:r>
      <w:proofErr w:type="spellStart"/>
      <w:r w:rsidRPr="00BB6631">
        <w:rPr>
          <w:i/>
          <w:szCs w:val="18"/>
        </w:rPr>
        <w:t>Suspensionen</w:t>
      </w:r>
      <w:proofErr w:type="spellEnd"/>
      <w:r w:rsidRPr="00BB6631">
        <w:rPr>
          <w:szCs w:val="18"/>
        </w:rPr>
        <w:t xml:space="preserve">, </w:t>
      </w:r>
      <w:r w:rsidR="00C01ECE" w:rsidRPr="00BB6631">
        <w:rPr>
          <w:szCs w:val="18"/>
        </w:rPr>
        <w:t>PhD</w:t>
      </w:r>
      <w:r w:rsidR="00182AC0" w:rsidRPr="00BB6631">
        <w:rPr>
          <w:szCs w:val="18"/>
        </w:rPr>
        <w:t xml:space="preserve"> Thesis, Technical University of Munich</w:t>
      </w:r>
      <w:r w:rsidR="00C01ECE" w:rsidRPr="00BB6631">
        <w:rPr>
          <w:szCs w:val="18"/>
        </w:rPr>
        <w:t xml:space="preserve">, </w:t>
      </w:r>
      <w:r w:rsidR="00182AC0" w:rsidRPr="00BB6631">
        <w:rPr>
          <w:szCs w:val="18"/>
        </w:rPr>
        <w:t xml:space="preserve">Munich, Germany. </w:t>
      </w:r>
    </w:p>
    <w:p w:rsidR="00F3593F" w:rsidRPr="00BB6631" w:rsidRDefault="00182AC0" w:rsidP="008A7B1B">
      <w:pPr>
        <w:tabs>
          <w:tab w:val="clear" w:pos="7100"/>
        </w:tabs>
        <w:rPr>
          <w:i/>
        </w:rPr>
      </w:pPr>
      <w:proofErr w:type="spellStart"/>
      <w:r w:rsidRPr="00BB6631">
        <w:rPr>
          <w:szCs w:val="18"/>
        </w:rPr>
        <w:t>Kaćunić</w:t>
      </w:r>
      <w:proofErr w:type="spellEnd"/>
      <w:r w:rsidRPr="00BB6631">
        <w:rPr>
          <w:szCs w:val="18"/>
        </w:rPr>
        <w:t xml:space="preserve"> A., </w:t>
      </w:r>
      <w:proofErr w:type="spellStart"/>
      <w:r w:rsidRPr="00BB6631">
        <w:rPr>
          <w:szCs w:val="18"/>
        </w:rPr>
        <w:t>Ćosić</w:t>
      </w:r>
      <w:proofErr w:type="spellEnd"/>
      <w:r w:rsidRPr="00BB6631">
        <w:rPr>
          <w:szCs w:val="18"/>
        </w:rPr>
        <w:t xml:space="preserve"> M., </w:t>
      </w:r>
      <w:proofErr w:type="spellStart"/>
      <w:r w:rsidRPr="00BB6631">
        <w:rPr>
          <w:szCs w:val="18"/>
        </w:rPr>
        <w:t>Rušić</w:t>
      </w:r>
      <w:proofErr w:type="spellEnd"/>
      <w:r w:rsidRPr="00BB6631">
        <w:rPr>
          <w:szCs w:val="18"/>
        </w:rPr>
        <w:t xml:space="preserve"> D., </w:t>
      </w:r>
      <w:proofErr w:type="spellStart"/>
      <w:r w:rsidR="006B50A4" w:rsidRPr="00BB6631">
        <w:rPr>
          <w:szCs w:val="18"/>
        </w:rPr>
        <w:t>Kuzmanić</w:t>
      </w:r>
      <w:proofErr w:type="spellEnd"/>
      <w:r w:rsidR="006B50A4" w:rsidRPr="00BB6631">
        <w:rPr>
          <w:szCs w:val="18"/>
        </w:rPr>
        <w:t xml:space="preserve"> N.,</w:t>
      </w:r>
      <w:r w:rsidR="00F3593F" w:rsidRPr="00BB6631">
        <w:rPr>
          <w:szCs w:val="18"/>
        </w:rPr>
        <w:t xml:space="preserve"> 2017, </w:t>
      </w:r>
      <w:r w:rsidR="006B50A4" w:rsidRPr="00BB6631">
        <w:rPr>
          <w:szCs w:val="18"/>
        </w:rPr>
        <w:t xml:space="preserve">Effect of impeller off-bottom clearance on crystal growth kinetics of borax in dual-impeller batch cooling crystallizer, Chemical </w:t>
      </w:r>
      <w:r w:rsidR="005B579F" w:rsidRPr="00BB6631">
        <w:rPr>
          <w:szCs w:val="18"/>
        </w:rPr>
        <w:t>E</w:t>
      </w:r>
      <w:r w:rsidR="006B50A4" w:rsidRPr="00BB6631">
        <w:rPr>
          <w:szCs w:val="18"/>
        </w:rPr>
        <w:t>ngineering Transaction</w:t>
      </w:r>
      <w:r w:rsidR="005B579F" w:rsidRPr="00BB6631">
        <w:rPr>
          <w:szCs w:val="18"/>
        </w:rPr>
        <w:t>s</w:t>
      </w:r>
      <w:r w:rsidR="006B50A4" w:rsidRPr="00BB6631">
        <w:rPr>
          <w:szCs w:val="18"/>
        </w:rPr>
        <w:t>, 57, 787-792.</w:t>
      </w:r>
      <w:r w:rsidR="00F3593F" w:rsidRPr="00BB6631">
        <w:rPr>
          <w:i/>
        </w:rPr>
        <w:t xml:space="preserve"> </w:t>
      </w:r>
    </w:p>
    <w:p w:rsidR="00F3593F" w:rsidRPr="00BB6631" w:rsidRDefault="005B579F" w:rsidP="008A7B1B">
      <w:pPr>
        <w:tabs>
          <w:tab w:val="clear" w:pos="7100"/>
        </w:tabs>
        <w:rPr>
          <w:i/>
        </w:rPr>
      </w:pPr>
      <w:r w:rsidRPr="00BB6631">
        <w:t xml:space="preserve">Kim K.-J., </w:t>
      </w:r>
      <w:proofErr w:type="spellStart"/>
      <w:r w:rsidRPr="00BB6631">
        <w:t>Mersmann</w:t>
      </w:r>
      <w:proofErr w:type="spellEnd"/>
      <w:r w:rsidR="00F3593F" w:rsidRPr="00BB6631">
        <w:t xml:space="preserve"> A.,</w:t>
      </w:r>
      <w:r w:rsidR="00F3593F" w:rsidRPr="00BB6631">
        <w:rPr>
          <w:i/>
        </w:rPr>
        <w:t xml:space="preserve"> </w:t>
      </w:r>
      <w:r w:rsidR="00F3593F" w:rsidRPr="00BB6631">
        <w:t>2001</w:t>
      </w:r>
      <w:r w:rsidR="00F3593F" w:rsidRPr="00BB6631">
        <w:rPr>
          <w:i/>
        </w:rPr>
        <w:t xml:space="preserve">, </w:t>
      </w:r>
      <w:r w:rsidRPr="00BB6631">
        <w:t>Estimation of metastable zone width in different nucleation processes</w:t>
      </w:r>
      <w:r w:rsidR="00F3593F" w:rsidRPr="00BB6631">
        <w:t>, Chem</w:t>
      </w:r>
      <w:r w:rsidR="00182AC0" w:rsidRPr="00BB6631">
        <w:t>ical Engineering Science</w:t>
      </w:r>
      <w:r w:rsidRPr="00BB6631">
        <w:t>,</w:t>
      </w:r>
      <w:r w:rsidR="00F3593F" w:rsidRPr="00BB6631">
        <w:t xml:space="preserve"> 56 (7)</w:t>
      </w:r>
      <w:r w:rsidRPr="00BB6631">
        <w:t>,</w:t>
      </w:r>
      <w:r w:rsidR="00F3593F" w:rsidRPr="00BB6631">
        <w:t xml:space="preserve"> 2315-2324.</w:t>
      </w:r>
    </w:p>
    <w:p w:rsidR="00614287" w:rsidRPr="00BB6631" w:rsidRDefault="00614287" w:rsidP="008A7B1B">
      <w:pPr>
        <w:rPr>
          <w:szCs w:val="18"/>
        </w:rPr>
      </w:pPr>
      <w:proofErr w:type="spellStart"/>
      <w:r w:rsidRPr="00BB6631">
        <w:rPr>
          <w:szCs w:val="18"/>
        </w:rPr>
        <w:t>Mersmann</w:t>
      </w:r>
      <w:proofErr w:type="spellEnd"/>
      <w:r w:rsidRPr="00BB6631">
        <w:rPr>
          <w:szCs w:val="18"/>
        </w:rPr>
        <w:t xml:space="preserve"> A., 1995, General prediction of statistically mean growth rates of a crystal collective, J</w:t>
      </w:r>
      <w:r w:rsidR="00182AC0" w:rsidRPr="00BB6631">
        <w:rPr>
          <w:szCs w:val="18"/>
        </w:rPr>
        <w:t xml:space="preserve">ournal of </w:t>
      </w:r>
      <w:r w:rsidRPr="00BB6631">
        <w:rPr>
          <w:szCs w:val="18"/>
        </w:rPr>
        <w:t>Cryst</w:t>
      </w:r>
      <w:r w:rsidR="00182AC0" w:rsidRPr="00BB6631">
        <w:rPr>
          <w:szCs w:val="18"/>
        </w:rPr>
        <w:t>al</w:t>
      </w:r>
      <w:r w:rsidRPr="00BB6631">
        <w:rPr>
          <w:szCs w:val="18"/>
        </w:rPr>
        <w:t xml:space="preserve"> Growth, 147, 181-193.</w:t>
      </w:r>
    </w:p>
    <w:p w:rsidR="00283542" w:rsidRPr="00BB6631" w:rsidRDefault="00C01ECE" w:rsidP="00283542">
      <w:pPr>
        <w:ind w:left="284" w:hanging="284"/>
        <w:rPr>
          <w:szCs w:val="18"/>
          <w:lang w:eastAsia="hr-HR"/>
        </w:rPr>
      </w:pPr>
      <w:proofErr w:type="spellStart"/>
      <w:r w:rsidRPr="00BB6631">
        <w:rPr>
          <w:szCs w:val="18"/>
          <w:lang w:eastAsia="hr-HR"/>
        </w:rPr>
        <w:t>Mersmann</w:t>
      </w:r>
      <w:proofErr w:type="spellEnd"/>
      <w:r w:rsidRPr="00BB6631">
        <w:rPr>
          <w:szCs w:val="18"/>
          <w:lang w:eastAsia="hr-HR"/>
        </w:rPr>
        <w:t xml:space="preserve"> A., 1994,</w:t>
      </w:r>
      <w:r w:rsidR="00614287" w:rsidRPr="00BB6631">
        <w:rPr>
          <w:szCs w:val="18"/>
          <w:lang w:eastAsia="hr-HR"/>
        </w:rPr>
        <w:t xml:space="preserve"> </w:t>
      </w:r>
      <w:r w:rsidR="00614287" w:rsidRPr="00BB6631">
        <w:rPr>
          <w:i/>
          <w:szCs w:val="18"/>
          <w:lang w:eastAsia="hr-HR"/>
        </w:rPr>
        <w:t>Crystallization Technology Handbook</w:t>
      </w:r>
      <w:r w:rsidRPr="00BB6631">
        <w:rPr>
          <w:szCs w:val="18"/>
          <w:lang w:eastAsia="hr-HR"/>
        </w:rPr>
        <w:t>, Marcel Dekker, New York</w:t>
      </w:r>
      <w:r w:rsidR="00614287" w:rsidRPr="00BB6631">
        <w:rPr>
          <w:szCs w:val="18"/>
          <w:lang w:eastAsia="hr-HR"/>
        </w:rPr>
        <w:t>.</w:t>
      </w:r>
    </w:p>
    <w:sectPr w:rsidR="00283542" w:rsidRPr="00BB6631"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005" w:rsidRDefault="00921005" w:rsidP="004F5E36">
      <w:r>
        <w:separator/>
      </w:r>
    </w:p>
  </w:endnote>
  <w:endnote w:type="continuationSeparator" w:id="0">
    <w:p w:rsidR="00921005" w:rsidRDefault="0092100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005" w:rsidRDefault="00921005" w:rsidP="004F5E36">
      <w:r>
        <w:separator/>
      </w:r>
    </w:p>
  </w:footnote>
  <w:footnote w:type="continuationSeparator" w:id="0">
    <w:p w:rsidR="00921005" w:rsidRDefault="00921005"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3576A7"/>
    <w:multiLevelType w:val="hybridMultilevel"/>
    <w:tmpl w:val="33E09C78"/>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27A81209"/>
    <w:multiLevelType w:val="hybridMultilevel"/>
    <w:tmpl w:val="45CAC0A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40B47E93"/>
    <w:multiLevelType w:val="hybridMultilevel"/>
    <w:tmpl w:val="533A3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B24D76"/>
    <w:multiLevelType w:val="hybridMultilevel"/>
    <w:tmpl w:val="8BB08B6A"/>
    <w:lvl w:ilvl="0" w:tplc="28583C06">
      <w:start w:val="1"/>
      <w:numFmt w:val="decimal"/>
      <w:lvlText w:val="[%1]."/>
      <w:lvlJc w:val="left"/>
      <w:pPr>
        <w:tabs>
          <w:tab w:val="num" w:pos="851"/>
        </w:tabs>
        <w:ind w:left="851" w:hanging="491"/>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6FF75F9"/>
    <w:multiLevelType w:val="hybridMultilevel"/>
    <w:tmpl w:val="35FEE27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4"/>
  </w:num>
  <w:num w:numId="14">
    <w:abstractNumId w:val="21"/>
  </w:num>
  <w:num w:numId="15">
    <w:abstractNumId w:val="23"/>
  </w:num>
  <w:num w:numId="16">
    <w:abstractNumId w:val="22"/>
  </w:num>
  <w:num w:numId="17">
    <w:abstractNumId w:val="13"/>
  </w:num>
  <w:num w:numId="18">
    <w:abstractNumId w:val="14"/>
    <w:lvlOverride w:ilvl="0">
      <w:startOverride w:val="1"/>
    </w:lvlOverride>
  </w:num>
  <w:num w:numId="19">
    <w:abstractNumId w:val="19"/>
  </w:num>
  <w:num w:numId="20">
    <w:abstractNumId w:val="18"/>
  </w:num>
  <w:num w:numId="21">
    <w:abstractNumId w:val="15"/>
  </w:num>
  <w:num w:numId="22">
    <w:abstractNumId w:val="17"/>
  </w:num>
  <w:num w:numId="23">
    <w:abstractNumId w:val="12"/>
  </w:num>
  <w:num w:numId="24">
    <w:abstractNumId w:val="24"/>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63B"/>
    <w:rsid w:val="000052FB"/>
    <w:rsid w:val="00010F40"/>
    <w:rsid w:val="000117CB"/>
    <w:rsid w:val="00027BCA"/>
    <w:rsid w:val="0003148D"/>
    <w:rsid w:val="00041987"/>
    <w:rsid w:val="00047D7F"/>
    <w:rsid w:val="00051566"/>
    <w:rsid w:val="00061075"/>
    <w:rsid w:val="00062A9A"/>
    <w:rsid w:val="00064A5B"/>
    <w:rsid w:val="00065058"/>
    <w:rsid w:val="00080C3F"/>
    <w:rsid w:val="00086C39"/>
    <w:rsid w:val="00096D45"/>
    <w:rsid w:val="000A03B2"/>
    <w:rsid w:val="000A3B79"/>
    <w:rsid w:val="000B7F72"/>
    <w:rsid w:val="000C02A4"/>
    <w:rsid w:val="000C62B2"/>
    <w:rsid w:val="000D34BE"/>
    <w:rsid w:val="000D5D65"/>
    <w:rsid w:val="000E102F"/>
    <w:rsid w:val="000E36F1"/>
    <w:rsid w:val="000E3A73"/>
    <w:rsid w:val="000E414A"/>
    <w:rsid w:val="000F093C"/>
    <w:rsid w:val="000F16BD"/>
    <w:rsid w:val="000F787B"/>
    <w:rsid w:val="00101701"/>
    <w:rsid w:val="0010731C"/>
    <w:rsid w:val="0012091F"/>
    <w:rsid w:val="00125CFF"/>
    <w:rsid w:val="00126BC2"/>
    <w:rsid w:val="001308B6"/>
    <w:rsid w:val="001311FA"/>
    <w:rsid w:val="0013121F"/>
    <w:rsid w:val="00131FAB"/>
    <w:rsid w:val="00131FE6"/>
    <w:rsid w:val="0013263F"/>
    <w:rsid w:val="00134DE4"/>
    <w:rsid w:val="0014034D"/>
    <w:rsid w:val="00142100"/>
    <w:rsid w:val="00145DB1"/>
    <w:rsid w:val="00150E59"/>
    <w:rsid w:val="00152DE3"/>
    <w:rsid w:val="00162642"/>
    <w:rsid w:val="00164CF9"/>
    <w:rsid w:val="00182AC0"/>
    <w:rsid w:val="0018411F"/>
    <w:rsid w:val="001846D5"/>
    <w:rsid w:val="00184AD6"/>
    <w:rsid w:val="0018693A"/>
    <w:rsid w:val="001B0349"/>
    <w:rsid w:val="001B04D5"/>
    <w:rsid w:val="001B36C9"/>
    <w:rsid w:val="001B65C1"/>
    <w:rsid w:val="001C684B"/>
    <w:rsid w:val="001D51CA"/>
    <w:rsid w:val="001D53FC"/>
    <w:rsid w:val="001F42A5"/>
    <w:rsid w:val="001F7B9D"/>
    <w:rsid w:val="00203F48"/>
    <w:rsid w:val="0020523F"/>
    <w:rsid w:val="002110E1"/>
    <w:rsid w:val="0021611C"/>
    <w:rsid w:val="002224B4"/>
    <w:rsid w:val="002447EF"/>
    <w:rsid w:val="002478C6"/>
    <w:rsid w:val="00251550"/>
    <w:rsid w:val="00252C1A"/>
    <w:rsid w:val="002537AA"/>
    <w:rsid w:val="00255C77"/>
    <w:rsid w:val="00263B05"/>
    <w:rsid w:val="0027221A"/>
    <w:rsid w:val="00274D00"/>
    <w:rsid w:val="00275B61"/>
    <w:rsid w:val="00275BE7"/>
    <w:rsid w:val="00282656"/>
    <w:rsid w:val="00283542"/>
    <w:rsid w:val="00296B83"/>
    <w:rsid w:val="002B1A40"/>
    <w:rsid w:val="002B78CE"/>
    <w:rsid w:val="002C1EE3"/>
    <w:rsid w:val="002C2FB6"/>
    <w:rsid w:val="002C6D78"/>
    <w:rsid w:val="002D5BCD"/>
    <w:rsid w:val="002F407A"/>
    <w:rsid w:val="003009B7"/>
    <w:rsid w:val="00300E56"/>
    <w:rsid w:val="003045CD"/>
    <w:rsid w:val="0030469C"/>
    <w:rsid w:val="00321CA6"/>
    <w:rsid w:val="00323646"/>
    <w:rsid w:val="00325011"/>
    <w:rsid w:val="0033271D"/>
    <w:rsid w:val="00334C09"/>
    <w:rsid w:val="003365E3"/>
    <w:rsid w:val="003438A1"/>
    <w:rsid w:val="00356A9A"/>
    <w:rsid w:val="00357695"/>
    <w:rsid w:val="00360B06"/>
    <w:rsid w:val="00363A81"/>
    <w:rsid w:val="003723D4"/>
    <w:rsid w:val="00373E0C"/>
    <w:rsid w:val="00384CC8"/>
    <w:rsid w:val="003871FD"/>
    <w:rsid w:val="003928B8"/>
    <w:rsid w:val="003A1E30"/>
    <w:rsid w:val="003A4456"/>
    <w:rsid w:val="003A7D1C"/>
    <w:rsid w:val="003B304B"/>
    <w:rsid w:val="003B3146"/>
    <w:rsid w:val="003B60F3"/>
    <w:rsid w:val="003D31ED"/>
    <w:rsid w:val="003E3E13"/>
    <w:rsid w:val="003F015E"/>
    <w:rsid w:val="00400414"/>
    <w:rsid w:val="00403FFA"/>
    <w:rsid w:val="0040598B"/>
    <w:rsid w:val="0041446B"/>
    <w:rsid w:val="0041548E"/>
    <w:rsid w:val="00417C91"/>
    <w:rsid w:val="00421C0D"/>
    <w:rsid w:val="00426D6E"/>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07EE1"/>
    <w:rsid w:val="005119A5"/>
    <w:rsid w:val="005278B7"/>
    <w:rsid w:val="00531BD1"/>
    <w:rsid w:val="00532016"/>
    <w:rsid w:val="005346C8"/>
    <w:rsid w:val="00543C3D"/>
    <w:rsid w:val="00543E7D"/>
    <w:rsid w:val="00545F40"/>
    <w:rsid w:val="00546B05"/>
    <w:rsid w:val="00547A68"/>
    <w:rsid w:val="0055177F"/>
    <w:rsid w:val="005531C9"/>
    <w:rsid w:val="0058293E"/>
    <w:rsid w:val="005837A6"/>
    <w:rsid w:val="00586B2A"/>
    <w:rsid w:val="005A5427"/>
    <w:rsid w:val="005B2110"/>
    <w:rsid w:val="005B3564"/>
    <w:rsid w:val="005B579F"/>
    <w:rsid w:val="005B61E6"/>
    <w:rsid w:val="005B6914"/>
    <w:rsid w:val="005C1E49"/>
    <w:rsid w:val="005C77E1"/>
    <w:rsid w:val="005D530D"/>
    <w:rsid w:val="005D6A2F"/>
    <w:rsid w:val="005E1A82"/>
    <w:rsid w:val="005E794C"/>
    <w:rsid w:val="005F0A28"/>
    <w:rsid w:val="005F0E5E"/>
    <w:rsid w:val="00600535"/>
    <w:rsid w:val="0061098D"/>
    <w:rsid w:val="00610CD6"/>
    <w:rsid w:val="00614287"/>
    <w:rsid w:val="00620DEE"/>
    <w:rsid w:val="00621F92"/>
    <w:rsid w:val="00625639"/>
    <w:rsid w:val="00631B33"/>
    <w:rsid w:val="006331B7"/>
    <w:rsid w:val="00635853"/>
    <w:rsid w:val="006374A8"/>
    <w:rsid w:val="00640086"/>
    <w:rsid w:val="0064184D"/>
    <w:rsid w:val="006422CC"/>
    <w:rsid w:val="00645931"/>
    <w:rsid w:val="006559BB"/>
    <w:rsid w:val="00660E3E"/>
    <w:rsid w:val="00662E74"/>
    <w:rsid w:val="0066598D"/>
    <w:rsid w:val="00680C23"/>
    <w:rsid w:val="00693766"/>
    <w:rsid w:val="006A3281"/>
    <w:rsid w:val="006A407B"/>
    <w:rsid w:val="006B4888"/>
    <w:rsid w:val="006B50A4"/>
    <w:rsid w:val="006B70F0"/>
    <w:rsid w:val="006C2E45"/>
    <w:rsid w:val="006C359C"/>
    <w:rsid w:val="006C5579"/>
    <w:rsid w:val="006C6D3B"/>
    <w:rsid w:val="006E737D"/>
    <w:rsid w:val="0070195D"/>
    <w:rsid w:val="00720A24"/>
    <w:rsid w:val="007301E2"/>
    <w:rsid w:val="00732386"/>
    <w:rsid w:val="00732CDD"/>
    <w:rsid w:val="00737DC7"/>
    <w:rsid w:val="00741823"/>
    <w:rsid w:val="007447F3"/>
    <w:rsid w:val="00753B6D"/>
    <w:rsid w:val="0075499F"/>
    <w:rsid w:val="00756A64"/>
    <w:rsid w:val="007661C8"/>
    <w:rsid w:val="0077098D"/>
    <w:rsid w:val="00784C21"/>
    <w:rsid w:val="007931FA"/>
    <w:rsid w:val="007A7BBA"/>
    <w:rsid w:val="007B0C50"/>
    <w:rsid w:val="007C1A43"/>
    <w:rsid w:val="007C550B"/>
    <w:rsid w:val="007E1DC6"/>
    <w:rsid w:val="00806D5B"/>
    <w:rsid w:val="00813288"/>
    <w:rsid w:val="008168FC"/>
    <w:rsid w:val="008247B9"/>
    <w:rsid w:val="00830996"/>
    <w:rsid w:val="008345F1"/>
    <w:rsid w:val="00853001"/>
    <w:rsid w:val="008545DF"/>
    <w:rsid w:val="0085528F"/>
    <w:rsid w:val="00856F0E"/>
    <w:rsid w:val="0086223B"/>
    <w:rsid w:val="00865319"/>
    <w:rsid w:val="00865B07"/>
    <w:rsid w:val="008667EA"/>
    <w:rsid w:val="00870701"/>
    <w:rsid w:val="00870E4A"/>
    <w:rsid w:val="00871D13"/>
    <w:rsid w:val="00875677"/>
    <w:rsid w:val="0087637F"/>
    <w:rsid w:val="0088288A"/>
    <w:rsid w:val="008904B9"/>
    <w:rsid w:val="00892AD5"/>
    <w:rsid w:val="008A1512"/>
    <w:rsid w:val="008A4CCA"/>
    <w:rsid w:val="008A7B1B"/>
    <w:rsid w:val="008A7EF3"/>
    <w:rsid w:val="008B6450"/>
    <w:rsid w:val="008C5055"/>
    <w:rsid w:val="008C78C1"/>
    <w:rsid w:val="008D1F92"/>
    <w:rsid w:val="008D32B9"/>
    <w:rsid w:val="008D371B"/>
    <w:rsid w:val="008D433B"/>
    <w:rsid w:val="008E566E"/>
    <w:rsid w:val="0090161A"/>
    <w:rsid w:val="00901EB6"/>
    <w:rsid w:val="00904C62"/>
    <w:rsid w:val="00921005"/>
    <w:rsid w:val="0092192F"/>
    <w:rsid w:val="00924DAC"/>
    <w:rsid w:val="00927058"/>
    <w:rsid w:val="009450CE"/>
    <w:rsid w:val="00947179"/>
    <w:rsid w:val="0095164B"/>
    <w:rsid w:val="00954090"/>
    <w:rsid w:val="009573E7"/>
    <w:rsid w:val="00962885"/>
    <w:rsid w:val="009635B9"/>
    <w:rsid w:val="00963E05"/>
    <w:rsid w:val="0096476A"/>
    <w:rsid w:val="00967D54"/>
    <w:rsid w:val="009748B8"/>
    <w:rsid w:val="00981C10"/>
    <w:rsid w:val="0099246F"/>
    <w:rsid w:val="00996483"/>
    <w:rsid w:val="00996F5A"/>
    <w:rsid w:val="009A0A3E"/>
    <w:rsid w:val="009B041A"/>
    <w:rsid w:val="009C1FAC"/>
    <w:rsid w:val="009C7C86"/>
    <w:rsid w:val="009D2FF7"/>
    <w:rsid w:val="009E7884"/>
    <w:rsid w:val="009E788A"/>
    <w:rsid w:val="009F0E08"/>
    <w:rsid w:val="00A11931"/>
    <w:rsid w:val="00A1763D"/>
    <w:rsid w:val="00A17CEC"/>
    <w:rsid w:val="00A23E72"/>
    <w:rsid w:val="00A26F28"/>
    <w:rsid w:val="00A271BA"/>
    <w:rsid w:val="00A27EF0"/>
    <w:rsid w:val="00A35EA8"/>
    <w:rsid w:val="00A36043"/>
    <w:rsid w:val="00A478EE"/>
    <w:rsid w:val="00A47C89"/>
    <w:rsid w:val="00A50B20"/>
    <w:rsid w:val="00A51390"/>
    <w:rsid w:val="00A60D13"/>
    <w:rsid w:val="00A7258D"/>
    <w:rsid w:val="00A72745"/>
    <w:rsid w:val="00A755A8"/>
    <w:rsid w:val="00A76EFC"/>
    <w:rsid w:val="00A82AB2"/>
    <w:rsid w:val="00A91010"/>
    <w:rsid w:val="00A97F29"/>
    <w:rsid w:val="00AA702E"/>
    <w:rsid w:val="00AB0964"/>
    <w:rsid w:val="00AB5011"/>
    <w:rsid w:val="00AC0E09"/>
    <w:rsid w:val="00AC7368"/>
    <w:rsid w:val="00AD16B9"/>
    <w:rsid w:val="00AE377D"/>
    <w:rsid w:val="00AE4A88"/>
    <w:rsid w:val="00AE7A69"/>
    <w:rsid w:val="00AF30BA"/>
    <w:rsid w:val="00B01F0C"/>
    <w:rsid w:val="00B0377D"/>
    <w:rsid w:val="00B17FBD"/>
    <w:rsid w:val="00B23468"/>
    <w:rsid w:val="00B315A6"/>
    <w:rsid w:val="00B31813"/>
    <w:rsid w:val="00B33365"/>
    <w:rsid w:val="00B41A21"/>
    <w:rsid w:val="00B57B36"/>
    <w:rsid w:val="00B856E8"/>
    <w:rsid w:val="00B8686D"/>
    <w:rsid w:val="00B934FE"/>
    <w:rsid w:val="00BB3705"/>
    <w:rsid w:val="00BB6631"/>
    <w:rsid w:val="00BC30C9"/>
    <w:rsid w:val="00BD6795"/>
    <w:rsid w:val="00BE3E58"/>
    <w:rsid w:val="00BF39BE"/>
    <w:rsid w:val="00BF4462"/>
    <w:rsid w:val="00BF670A"/>
    <w:rsid w:val="00C01616"/>
    <w:rsid w:val="00C0162B"/>
    <w:rsid w:val="00C01ECE"/>
    <w:rsid w:val="00C16577"/>
    <w:rsid w:val="00C345B1"/>
    <w:rsid w:val="00C34760"/>
    <w:rsid w:val="00C40142"/>
    <w:rsid w:val="00C425ED"/>
    <w:rsid w:val="00C528CD"/>
    <w:rsid w:val="00C57182"/>
    <w:rsid w:val="00C57863"/>
    <w:rsid w:val="00C63A9C"/>
    <w:rsid w:val="00C655FD"/>
    <w:rsid w:val="00C71E45"/>
    <w:rsid w:val="00C81387"/>
    <w:rsid w:val="00C870A8"/>
    <w:rsid w:val="00C94434"/>
    <w:rsid w:val="00CA0D75"/>
    <w:rsid w:val="00CA1C95"/>
    <w:rsid w:val="00CA5A9C"/>
    <w:rsid w:val="00CC6818"/>
    <w:rsid w:val="00CC7142"/>
    <w:rsid w:val="00CD0AA2"/>
    <w:rsid w:val="00CD3517"/>
    <w:rsid w:val="00CD5A00"/>
    <w:rsid w:val="00CD5FE2"/>
    <w:rsid w:val="00CE7C68"/>
    <w:rsid w:val="00CF22A0"/>
    <w:rsid w:val="00CF6406"/>
    <w:rsid w:val="00D02B4C"/>
    <w:rsid w:val="00D040C4"/>
    <w:rsid w:val="00D215E1"/>
    <w:rsid w:val="00D246B3"/>
    <w:rsid w:val="00D3009B"/>
    <w:rsid w:val="00D4344E"/>
    <w:rsid w:val="00D47419"/>
    <w:rsid w:val="00D47588"/>
    <w:rsid w:val="00D50A0F"/>
    <w:rsid w:val="00D523E1"/>
    <w:rsid w:val="00D57C84"/>
    <w:rsid w:val="00D6057D"/>
    <w:rsid w:val="00D6332F"/>
    <w:rsid w:val="00D738E4"/>
    <w:rsid w:val="00D82451"/>
    <w:rsid w:val="00D84576"/>
    <w:rsid w:val="00D95D15"/>
    <w:rsid w:val="00D96C32"/>
    <w:rsid w:val="00DA0DC3"/>
    <w:rsid w:val="00DA1399"/>
    <w:rsid w:val="00DA24C6"/>
    <w:rsid w:val="00DA4D7B"/>
    <w:rsid w:val="00DB48AC"/>
    <w:rsid w:val="00DC4E87"/>
    <w:rsid w:val="00DC4F0A"/>
    <w:rsid w:val="00DC57F1"/>
    <w:rsid w:val="00DD4BE5"/>
    <w:rsid w:val="00DE264A"/>
    <w:rsid w:val="00E02D18"/>
    <w:rsid w:val="00E041E7"/>
    <w:rsid w:val="00E06AA5"/>
    <w:rsid w:val="00E20B9D"/>
    <w:rsid w:val="00E23CA1"/>
    <w:rsid w:val="00E26995"/>
    <w:rsid w:val="00E35BF8"/>
    <w:rsid w:val="00E409A8"/>
    <w:rsid w:val="00E50C12"/>
    <w:rsid w:val="00E525E9"/>
    <w:rsid w:val="00E65B91"/>
    <w:rsid w:val="00E70D5E"/>
    <w:rsid w:val="00E7209D"/>
    <w:rsid w:val="00E77223"/>
    <w:rsid w:val="00E82958"/>
    <w:rsid w:val="00E8528B"/>
    <w:rsid w:val="00E85B94"/>
    <w:rsid w:val="00E90FF5"/>
    <w:rsid w:val="00E93FD5"/>
    <w:rsid w:val="00E978D0"/>
    <w:rsid w:val="00EA1224"/>
    <w:rsid w:val="00EA1518"/>
    <w:rsid w:val="00EA4613"/>
    <w:rsid w:val="00EA5CDF"/>
    <w:rsid w:val="00EA7F91"/>
    <w:rsid w:val="00EB1523"/>
    <w:rsid w:val="00EC0E49"/>
    <w:rsid w:val="00EE0131"/>
    <w:rsid w:val="00F155B2"/>
    <w:rsid w:val="00F30C64"/>
    <w:rsid w:val="00F32CDB"/>
    <w:rsid w:val="00F3593F"/>
    <w:rsid w:val="00F37DE9"/>
    <w:rsid w:val="00F4620D"/>
    <w:rsid w:val="00F60842"/>
    <w:rsid w:val="00F63A70"/>
    <w:rsid w:val="00FA21D0"/>
    <w:rsid w:val="00FA5F5F"/>
    <w:rsid w:val="00FB1B9B"/>
    <w:rsid w:val="00FB730C"/>
    <w:rsid w:val="00FC2695"/>
    <w:rsid w:val="00FC2C94"/>
    <w:rsid w:val="00FC3E03"/>
    <w:rsid w:val="00FC3FC1"/>
    <w:rsid w:val="00FC6284"/>
    <w:rsid w:val="00FE2E3A"/>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5B6914"/>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5B6914"/>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14TableTitle">
    <w:name w:val="14_Table_Title"/>
    <w:rsid w:val="0020523F"/>
    <w:pPr>
      <w:spacing w:after="120" w:line="240" w:lineRule="auto"/>
      <w:ind w:left="992"/>
    </w:pPr>
    <w:rPr>
      <w:rFonts w:ascii="Times New Roman" w:eastAsia="Times New Roman" w:hAnsi="Times New Roman" w:cs="Times New Roman"/>
      <w:sz w:val="18"/>
      <w:szCs w:val="18"/>
      <w:lang w:val="en-GB" w:eastAsia="de-DE"/>
    </w:rPr>
  </w:style>
  <w:style w:type="character" w:customStyle="1" w:styleId="hps">
    <w:name w:val="hps"/>
    <w:rsid w:val="006B50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5B6914"/>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5B6914"/>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14TableTitle">
    <w:name w:val="14_Table_Title"/>
    <w:rsid w:val="0020523F"/>
    <w:pPr>
      <w:spacing w:after="120" w:line="240" w:lineRule="auto"/>
      <w:ind w:left="992"/>
    </w:pPr>
    <w:rPr>
      <w:rFonts w:ascii="Times New Roman" w:eastAsia="Times New Roman" w:hAnsi="Times New Roman" w:cs="Times New Roman"/>
      <w:sz w:val="18"/>
      <w:szCs w:val="18"/>
      <w:lang w:val="en-GB" w:eastAsia="de-DE"/>
    </w:rPr>
  </w:style>
  <w:style w:type="character" w:customStyle="1" w:styleId="hps">
    <w:name w:val="hps"/>
    <w:rsid w:val="006B5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7FE2A-E035-4C83-8E5C-DDF88E51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2746</Words>
  <Characters>15654</Characters>
  <Application>Microsoft Office Word</Application>
  <DocSecurity>0</DocSecurity>
  <Lines>130</Lines>
  <Paragraphs>36</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18364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cosic</cp:lastModifiedBy>
  <cp:revision>2</cp:revision>
  <cp:lastPrinted>2019-04-03T11:24:00Z</cp:lastPrinted>
  <dcterms:created xsi:type="dcterms:W3CDTF">2019-04-14T20:25:00Z</dcterms:created>
  <dcterms:modified xsi:type="dcterms:W3CDTF">2019-04-14T20:25:00Z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