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19FE1FEC" w14:textId="77777777">
        <w:trPr>
          <w:trHeight w:val="852"/>
          <w:jc w:val="center"/>
        </w:trPr>
        <w:tc>
          <w:tcPr>
            <w:tcW w:w="6946" w:type="dxa"/>
            <w:vMerge w:val="restart"/>
            <w:tcBorders>
              <w:right w:val="single" w:sz="4" w:space="0" w:color="auto"/>
            </w:tcBorders>
          </w:tcPr>
          <w:p w14:paraId="4257FDB0"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60B594B8" wp14:editId="31174FC8">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4AC33EF"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1D51405A"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11E7F15" w14:textId="77777777" w:rsidR="000A03B2" w:rsidRPr="00B57B36" w:rsidRDefault="000A03B2" w:rsidP="00CD5FE2">
            <w:pPr>
              <w:jc w:val="right"/>
            </w:pPr>
            <w:r w:rsidRPr="00B57B36">
              <w:rPr>
                <w:noProof/>
                <w:lang w:val="en-US"/>
              </w:rPr>
              <w:drawing>
                <wp:inline distT="0" distB="0" distL="0" distR="0" wp14:anchorId="665C73F6" wp14:editId="03D98913">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56ED1B5A" w14:textId="77777777">
        <w:trPr>
          <w:trHeight w:val="567"/>
          <w:jc w:val="center"/>
        </w:trPr>
        <w:tc>
          <w:tcPr>
            <w:tcW w:w="6946" w:type="dxa"/>
            <w:vMerge/>
            <w:tcBorders>
              <w:right w:val="single" w:sz="4" w:space="0" w:color="auto"/>
            </w:tcBorders>
          </w:tcPr>
          <w:p w14:paraId="451B6BAA"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7FE24CF"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BD7010C"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02502020"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0213F545" w14:textId="77777777">
        <w:trPr>
          <w:trHeight w:val="68"/>
          <w:jc w:val="center"/>
        </w:trPr>
        <w:tc>
          <w:tcPr>
            <w:tcW w:w="8789" w:type="dxa"/>
            <w:gridSpan w:val="2"/>
          </w:tcPr>
          <w:p w14:paraId="613F4096"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529D92C2"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52B514E8"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07EFF502" w14:textId="7D60D176" w:rsidR="00E978D0" w:rsidRPr="00B57B36" w:rsidRDefault="00DA2B4F" w:rsidP="00E978D0">
      <w:pPr>
        <w:pStyle w:val="CETTitle"/>
      </w:pPr>
      <w:r w:rsidRPr="00DA2B4F">
        <w:t xml:space="preserve">Experimental Investigation and Kinetic </w:t>
      </w:r>
      <w:proofErr w:type="spellStart"/>
      <w:r w:rsidRPr="00DA2B4F">
        <w:t>Modeling</w:t>
      </w:r>
      <w:proofErr w:type="spellEnd"/>
      <w:r w:rsidRPr="00DA2B4F">
        <w:t xml:space="preserve"> of Potassium Alum Dodecahydrate Thermal Decomposition</w:t>
      </w:r>
    </w:p>
    <w:p w14:paraId="1B970759" w14:textId="74588980" w:rsidR="00E978D0" w:rsidRPr="00DA2B4F" w:rsidRDefault="00DA2B4F" w:rsidP="00AB5011">
      <w:pPr>
        <w:pStyle w:val="CETAuthors"/>
        <w:rPr>
          <w:lang w:val="pt-BR"/>
        </w:rPr>
      </w:pPr>
      <w:r w:rsidRPr="00DA2B4F">
        <w:rPr>
          <w:lang w:val="pt-BR"/>
        </w:rPr>
        <w:t xml:space="preserve">Renata Nofal, </w:t>
      </w:r>
      <w:r w:rsidR="00C3649A" w:rsidRPr="00DA2B4F">
        <w:rPr>
          <w:lang w:val="pt-BR"/>
        </w:rPr>
        <w:t>Roberto R. de Avillez</w:t>
      </w:r>
      <w:r w:rsidR="00C3649A">
        <w:rPr>
          <w:lang w:val="pt-BR"/>
        </w:rPr>
        <w:t>,</w:t>
      </w:r>
      <w:r w:rsidR="00C3649A" w:rsidRPr="00DA2B4F">
        <w:rPr>
          <w:lang w:val="pt-BR"/>
        </w:rPr>
        <w:t xml:space="preserve"> </w:t>
      </w:r>
      <w:r w:rsidRPr="00DA2B4F">
        <w:rPr>
          <w:lang w:val="pt-BR"/>
        </w:rPr>
        <w:t>Rodrigo F. M. Souza, Amanda L. T. Brandão*</w:t>
      </w:r>
    </w:p>
    <w:p w14:paraId="37A1CDBD" w14:textId="110D2895" w:rsidR="00E978D0" w:rsidRPr="00AF1443" w:rsidRDefault="00AF1443" w:rsidP="00E978D0">
      <w:pPr>
        <w:pStyle w:val="CETAddress"/>
        <w:rPr>
          <w:lang w:val="pt-BR"/>
        </w:rPr>
      </w:pPr>
      <w:r w:rsidRPr="00AF1443">
        <w:t xml:space="preserve">Departament of Chemical and Material Engineering (DEQM). </w:t>
      </w:r>
      <w:r w:rsidRPr="00AF1443">
        <w:rPr>
          <w:lang w:val="pt-BR"/>
        </w:rPr>
        <w:t>Pontifical Catholic University of Rio de Janeiro (PUC-Rio). Rua Marquês de São Vicente, 225 – Gávea, Rio de Janeiro – RJ, 22430-060, Brazil.</w:t>
      </w:r>
    </w:p>
    <w:p w14:paraId="555E923E" w14:textId="40DAA688" w:rsidR="00E978D0" w:rsidRPr="005E6202" w:rsidRDefault="00AF1443" w:rsidP="00E978D0">
      <w:pPr>
        <w:pStyle w:val="CETemail"/>
        <w:rPr>
          <w:lang w:val="en-US"/>
        </w:rPr>
      </w:pPr>
      <w:r w:rsidRPr="005E6202">
        <w:rPr>
          <w:lang w:val="en-US"/>
        </w:rPr>
        <w:t>amanda.lemette@puc-rio.br</w:t>
      </w:r>
    </w:p>
    <w:p w14:paraId="0D41BC96" w14:textId="46A3DEE1" w:rsidR="00A61C91" w:rsidRPr="00B57B36" w:rsidRDefault="002F2BBC" w:rsidP="00600535">
      <w:pPr>
        <w:pStyle w:val="CETBodytext"/>
        <w:rPr>
          <w:lang w:val="en-GB"/>
        </w:rPr>
      </w:pPr>
      <w:r w:rsidRPr="002F2BBC">
        <w:rPr>
          <w:lang w:val="en-GB"/>
        </w:rPr>
        <w:t>Potassium is an essential ion for plant nutrition, usually supplied in the form of chlorides and sulphates. According to Brazilian availability and demand of agriculture fertilizers, the importation of compounds carrying this chemical element is mandatory in order to fulfil the huge demand for this nutrient. Thus, initiatives looking for alternative sources of potassium become increasingly interesting and economically attractive. A potential route is associated with the sulfuric acid digestion of glauconite bearing greensands and sequential unit operations in order to recover aluminium, iron, magnesium and potassium compounds. In the context of this chemical process, the potassium alum (</w:t>
      </w:r>
      <w:proofErr w:type="spellStart"/>
      <w:proofErr w:type="gramStart"/>
      <w:r w:rsidRPr="002F2BBC">
        <w:rPr>
          <w:lang w:val="en-GB"/>
        </w:rPr>
        <w:t>KAl</w:t>
      </w:r>
      <w:proofErr w:type="spellEnd"/>
      <w:r w:rsidRPr="002F2BBC">
        <w:rPr>
          <w:lang w:val="en-GB"/>
        </w:rPr>
        <w:t>(</w:t>
      </w:r>
      <w:proofErr w:type="gramEnd"/>
      <w:r w:rsidRPr="002F2BBC">
        <w:rPr>
          <w:lang w:val="en-GB"/>
        </w:rPr>
        <w:t>SO</w:t>
      </w:r>
      <w:r w:rsidRPr="003234E6">
        <w:rPr>
          <w:vertAlign w:val="subscript"/>
          <w:lang w:val="en-GB"/>
        </w:rPr>
        <w:t>4</w:t>
      </w:r>
      <w:r w:rsidRPr="002F2BBC">
        <w:rPr>
          <w:lang w:val="en-GB"/>
        </w:rPr>
        <w:t>)</w:t>
      </w:r>
      <w:r w:rsidRPr="003234E6">
        <w:rPr>
          <w:vertAlign w:val="subscript"/>
          <w:lang w:val="en-GB"/>
        </w:rPr>
        <w:t>2</w:t>
      </w:r>
      <w:r w:rsidRPr="002F2BBC">
        <w:rPr>
          <w:lang w:val="en-GB"/>
        </w:rPr>
        <w:t>) appears as a relevant intermediate product, which allows the selective recovery of potassium sulphate (K</w:t>
      </w:r>
      <w:r w:rsidRPr="003234E6">
        <w:rPr>
          <w:vertAlign w:val="subscript"/>
          <w:lang w:val="en-GB"/>
        </w:rPr>
        <w:t>2</w:t>
      </w:r>
      <w:r w:rsidRPr="002F2BBC">
        <w:rPr>
          <w:lang w:val="en-GB"/>
        </w:rPr>
        <w:t>SO</w:t>
      </w:r>
      <w:r w:rsidRPr="003234E6">
        <w:rPr>
          <w:vertAlign w:val="subscript"/>
          <w:lang w:val="en-GB"/>
        </w:rPr>
        <w:t>4</w:t>
      </w:r>
      <w:r w:rsidRPr="002F2BBC">
        <w:rPr>
          <w:lang w:val="en-GB"/>
        </w:rPr>
        <w:t xml:space="preserve">) and </w:t>
      </w:r>
      <w:proofErr w:type="spellStart"/>
      <w:r w:rsidRPr="002F2BBC">
        <w:rPr>
          <w:lang w:val="en-GB"/>
        </w:rPr>
        <w:t>aluminum</w:t>
      </w:r>
      <w:proofErr w:type="spellEnd"/>
      <w:r w:rsidRPr="002F2BBC">
        <w:rPr>
          <w:lang w:val="en-GB"/>
        </w:rPr>
        <w:t xml:space="preserve"> oxide (Al</w:t>
      </w:r>
      <w:r w:rsidRPr="003234E6">
        <w:rPr>
          <w:vertAlign w:val="subscript"/>
          <w:lang w:val="en-GB"/>
        </w:rPr>
        <w:t>2</w:t>
      </w:r>
      <w:r w:rsidRPr="002F2BBC">
        <w:rPr>
          <w:lang w:val="en-GB"/>
        </w:rPr>
        <w:t>O</w:t>
      </w:r>
      <w:r w:rsidRPr="003234E6">
        <w:rPr>
          <w:vertAlign w:val="subscript"/>
          <w:lang w:val="en-GB"/>
        </w:rPr>
        <w:t>3</w:t>
      </w:r>
      <w:r w:rsidRPr="002F2BBC">
        <w:rPr>
          <w:lang w:val="en-GB"/>
        </w:rPr>
        <w:t>) through thermal decomposition followed by solubilization in water and filtration. Based on what was said, the present work investigates the kinetics of potassium alum dodecahydrate (</w:t>
      </w:r>
      <w:proofErr w:type="spellStart"/>
      <w:proofErr w:type="gramStart"/>
      <w:r w:rsidRPr="002F2BBC">
        <w:rPr>
          <w:lang w:val="en-GB"/>
        </w:rPr>
        <w:t>KAl</w:t>
      </w:r>
      <w:proofErr w:type="spellEnd"/>
      <w:r w:rsidRPr="002F2BBC">
        <w:rPr>
          <w:lang w:val="en-GB"/>
        </w:rPr>
        <w:t>(</w:t>
      </w:r>
      <w:proofErr w:type="gramEnd"/>
      <w:r w:rsidRPr="002F2BBC">
        <w:rPr>
          <w:lang w:val="en-GB"/>
        </w:rPr>
        <w:t>SO</w:t>
      </w:r>
      <w:r w:rsidRPr="003234E6">
        <w:rPr>
          <w:vertAlign w:val="subscript"/>
          <w:lang w:val="en-GB"/>
        </w:rPr>
        <w:t>4</w:t>
      </w:r>
      <w:r w:rsidRPr="002F2BBC">
        <w:rPr>
          <w:lang w:val="en-GB"/>
        </w:rPr>
        <w:t>)</w:t>
      </w:r>
      <w:r w:rsidRPr="003234E6">
        <w:rPr>
          <w:vertAlign w:val="subscript"/>
          <w:lang w:val="en-GB"/>
        </w:rPr>
        <w:t>2</w:t>
      </w:r>
      <w:r w:rsidRPr="002F2BBC">
        <w:rPr>
          <w:lang w:val="en-GB"/>
        </w:rPr>
        <w:t>.12H</w:t>
      </w:r>
      <w:r w:rsidRPr="003234E6">
        <w:rPr>
          <w:vertAlign w:val="subscript"/>
          <w:lang w:val="en-GB"/>
        </w:rPr>
        <w:t>2</w:t>
      </w:r>
      <w:r w:rsidRPr="002F2BBC">
        <w:rPr>
          <w:lang w:val="en-GB"/>
        </w:rPr>
        <w:t xml:space="preserve">O) decomposition with and without the presence of charcoal, which acts as a reducing agent. Additionally, the current work proposes a novel mathematical model to describe the weight loss </w:t>
      </w:r>
      <w:r w:rsidR="00A61C91">
        <w:rPr>
          <w:lang w:val="en-GB"/>
        </w:rPr>
        <w:t>as a function of</w:t>
      </w:r>
      <w:r w:rsidRPr="002F2BBC">
        <w:rPr>
          <w:lang w:val="en-GB"/>
        </w:rPr>
        <w:t xml:space="preserve"> time for both processes (with and in absence of charcoal). </w:t>
      </w:r>
      <w:r w:rsidR="009F63CD">
        <w:rPr>
          <w:lang w:val="en-GB"/>
        </w:rPr>
        <w:t>T</w:t>
      </w:r>
      <w:r w:rsidRPr="002F2BBC">
        <w:rPr>
          <w:lang w:val="en-GB"/>
        </w:rPr>
        <w:t>hermogravimetric analy</w:t>
      </w:r>
      <w:r w:rsidR="009F63CD">
        <w:rPr>
          <w:lang w:val="en-GB"/>
        </w:rPr>
        <w:t>se</w:t>
      </w:r>
      <w:r w:rsidRPr="002F2BBC">
        <w:rPr>
          <w:lang w:val="en-GB"/>
        </w:rPr>
        <w:t xml:space="preserve">s (TGA) were conducted under inert atmosphere (nitrogen) and using different heating rates (10, 15 and 20 </w:t>
      </w:r>
      <w:r w:rsidR="006B213D" w:rsidRPr="00B469E9">
        <w:rPr>
          <w:rFonts w:ascii="Cambria Math" w:hAnsi="Cambria Math" w:cs="Cambria Math"/>
        </w:rPr>
        <w:t>℃</w:t>
      </w:r>
      <w:r w:rsidRPr="002F2BBC">
        <w:rPr>
          <w:lang w:val="en-GB"/>
        </w:rPr>
        <w:t xml:space="preserve"> min</w:t>
      </w:r>
      <w:r w:rsidRPr="003234E6">
        <w:rPr>
          <w:vertAlign w:val="superscript"/>
          <w:lang w:val="en-GB"/>
        </w:rPr>
        <w:t>-1</w:t>
      </w:r>
      <w:r w:rsidRPr="002F2BBC">
        <w:rPr>
          <w:lang w:val="en-GB"/>
        </w:rPr>
        <w:t xml:space="preserve">). </w:t>
      </w:r>
      <w:r w:rsidR="00A61C91" w:rsidRPr="00A61C91">
        <w:rPr>
          <w:lang w:val="en-GB"/>
        </w:rPr>
        <w:t>Given the low required computation time, less than 1 s simulates 160 min of reaction, the proposed model can be used to monitor and control mass compositions at industry.</w:t>
      </w:r>
    </w:p>
    <w:p w14:paraId="3AE69077" w14:textId="77777777" w:rsidR="00600535" w:rsidRPr="00B57B36" w:rsidRDefault="00600535" w:rsidP="00600535">
      <w:pPr>
        <w:pStyle w:val="CETHeading1"/>
        <w:rPr>
          <w:lang w:val="en-GB"/>
        </w:rPr>
      </w:pPr>
      <w:r w:rsidRPr="00B57B36">
        <w:rPr>
          <w:lang w:val="en-GB"/>
        </w:rPr>
        <w:t>Introduction</w:t>
      </w:r>
    </w:p>
    <w:p w14:paraId="3C095A23" w14:textId="074C4567" w:rsidR="005759F7" w:rsidRPr="005759F7" w:rsidRDefault="005759F7" w:rsidP="005759F7">
      <w:pPr>
        <w:pStyle w:val="CETBodytext"/>
        <w:rPr>
          <w:lang w:val="en-GB"/>
        </w:rPr>
      </w:pPr>
      <w:r w:rsidRPr="005759F7">
        <w:rPr>
          <w:lang w:val="en-GB"/>
        </w:rPr>
        <w:t xml:space="preserve">Agriculture is the key activity of world food production. </w:t>
      </w:r>
      <w:r w:rsidR="00A61C91" w:rsidRPr="00A61C91">
        <w:rPr>
          <w:lang w:val="en-GB"/>
        </w:rPr>
        <w:t xml:space="preserve">The enormous population growth rate since the industrial revolution poses an always increasing annual demand. </w:t>
      </w:r>
      <w:r w:rsidRPr="005759F7">
        <w:rPr>
          <w:lang w:val="en-GB"/>
        </w:rPr>
        <w:t xml:space="preserve">Therefore, farmers need to produce more, in a smaller area and in a more sustainable way, highlighting the need for fertilizers that, according to the definition of </w:t>
      </w:r>
      <w:proofErr w:type="spellStart"/>
      <w:r w:rsidRPr="005759F7">
        <w:rPr>
          <w:lang w:val="en-GB"/>
        </w:rPr>
        <w:t>Cakmak</w:t>
      </w:r>
      <w:proofErr w:type="spellEnd"/>
      <w:r w:rsidRPr="005759F7">
        <w:rPr>
          <w:lang w:val="en-GB"/>
        </w:rPr>
        <w:t xml:space="preserve"> (2002), offer a fast response of increase productivity </w:t>
      </w:r>
      <w:r w:rsidR="00B10510" w:rsidRPr="005759F7">
        <w:rPr>
          <w:lang w:val="en-GB"/>
        </w:rPr>
        <w:t>and</w:t>
      </w:r>
      <w:r w:rsidRPr="005759F7">
        <w:rPr>
          <w:lang w:val="en-GB"/>
        </w:rPr>
        <w:t xml:space="preserve"> reduce deforestation and erosion.</w:t>
      </w:r>
    </w:p>
    <w:p w14:paraId="37F69C58" w14:textId="6D9007BF" w:rsidR="005759F7" w:rsidRDefault="00A61C91" w:rsidP="005759F7">
      <w:pPr>
        <w:pStyle w:val="CETBodytext"/>
        <w:rPr>
          <w:lang w:val="en-GB"/>
        </w:rPr>
      </w:pPr>
      <w:r w:rsidRPr="00A61C91">
        <w:rPr>
          <w:lang w:val="en-GB"/>
        </w:rPr>
        <w:t xml:space="preserve">The most important macronutrients needed for the plant are </w:t>
      </w:r>
      <w:r w:rsidR="005759F7" w:rsidRPr="005759F7">
        <w:rPr>
          <w:lang w:val="en-GB"/>
        </w:rPr>
        <w:t xml:space="preserve">nitrogen (N), phosphorus (P), </w:t>
      </w:r>
      <w:proofErr w:type="spellStart"/>
      <w:r w:rsidR="005759F7" w:rsidRPr="005759F7">
        <w:rPr>
          <w:lang w:val="en-GB"/>
        </w:rPr>
        <w:t>sulfur</w:t>
      </w:r>
      <w:proofErr w:type="spellEnd"/>
      <w:r w:rsidR="005759F7" w:rsidRPr="005759F7">
        <w:rPr>
          <w:lang w:val="en-GB"/>
        </w:rPr>
        <w:t xml:space="preserve"> (S) and potassium (K). Nitrogen helps the vegetative development, phosphorus impacts on formation of roots and organic products and potassium acts mainly for improve disease resistance and durability, as described in N</w:t>
      </w:r>
      <w:r w:rsidR="00DD0165">
        <w:rPr>
          <w:lang w:val="en-GB"/>
        </w:rPr>
        <w:t>o</w:t>
      </w:r>
      <w:r w:rsidR="005759F7" w:rsidRPr="005759F7">
        <w:rPr>
          <w:lang w:val="en-GB"/>
        </w:rPr>
        <w:t xml:space="preserve">r </w:t>
      </w:r>
      <w:r w:rsidR="005759F7" w:rsidRPr="00D354BE">
        <w:rPr>
          <w:i/>
          <w:lang w:val="en-GB"/>
        </w:rPr>
        <w:t>et al</w:t>
      </w:r>
      <w:r w:rsidR="005759F7" w:rsidRPr="005759F7">
        <w:rPr>
          <w:lang w:val="en-GB"/>
        </w:rPr>
        <w:t>.</w:t>
      </w:r>
      <w:r w:rsidR="00DD0165">
        <w:rPr>
          <w:lang w:val="en-GB"/>
        </w:rPr>
        <w:t xml:space="preserve"> (</w:t>
      </w:r>
      <w:r w:rsidR="005759F7" w:rsidRPr="005759F7">
        <w:rPr>
          <w:lang w:val="en-GB"/>
        </w:rPr>
        <w:t>2018</w:t>
      </w:r>
      <w:r w:rsidR="00DD0165">
        <w:rPr>
          <w:lang w:val="en-GB"/>
        </w:rPr>
        <w:t>)</w:t>
      </w:r>
      <w:r w:rsidR="005759F7" w:rsidRPr="005759F7">
        <w:rPr>
          <w:lang w:val="en-GB"/>
        </w:rPr>
        <w:t xml:space="preserve">. </w:t>
      </w:r>
      <w:r w:rsidRPr="00A61C91">
        <w:rPr>
          <w:lang w:val="en-GB"/>
        </w:rPr>
        <w:t xml:space="preserve">The Brazilian fertilizer production represents only 15 % of its demand and, </w:t>
      </w:r>
      <w:r w:rsidR="005759F7" w:rsidRPr="005759F7">
        <w:rPr>
          <w:lang w:val="en-GB"/>
        </w:rPr>
        <w:t xml:space="preserve">therefore, the country is still strongly dependent on fertilizer importation. The need for fertilization ends solving a crucial agriculture problem: the production of environmentally safe products without decreasing food production and assuring </w:t>
      </w:r>
      <w:r w:rsidR="00B10510" w:rsidRPr="005759F7">
        <w:rPr>
          <w:lang w:val="en-GB"/>
        </w:rPr>
        <w:t>favourable</w:t>
      </w:r>
      <w:r w:rsidR="005759F7" w:rsidRPr="005759F7">
        <w:rPr>
          <w:lang w:val="en-GB"/>
        </w:rPr>
        <w:t xml:space="preserve"> soil characteristics to guarantee the proper plant nutrition. (</w:t>
      </w:r>
      <w:proofErr w:type="spellStart"/>
      <w:r w:rsidR="005759F7" w:rsidRPr="005759F7">
        <w:rPr>
          <w:lang w:val="en-GB"/>
        </w:rPr>
        <w:t>Mingaleeva</w:t>
      </w:r>
      <w:proofErr w:type="spellEnd"/>
      <w:r w:rsidR="005759F7" w:rsidRPr="005759F7">
        <w:rPr>
          <w:lang w:val="en-GB"/>
        </w:rPr>
        <w:t xml:space="preserve"> </w:t>
      </w:r>
      <w:r w:rsidR="005759F7" w:rsidRPr="00D354BE">
        <w:rPr>
          <w:i/>
          <w:lang w:val="en-GB"/>
        </w:rPr>
        <w:t>et al</w:t>
      </w:r>
      <w:r w:rsidR="005759F7" w:rsidRPr="005759F7">
        <w:rPr>
          <w:lang w:val="en-GB"/>
        </w:rPr>
        <w:t>., 2014).</w:t>
      </w:r>
    </w:p>
    <w:p w14:paraId="7DBE8C17" w14:textId="60579919" w:rsidR="00B10510" w:rsidRPr="00B10510" w:rsidRDefault="00B10510" w:rsidP="00B10510">
      <w:pPr>
        <w:pStyle w:val="CETBodytext"/>
        <w:rPr>
          <w:lang w:val="en-GB"/>
        </w:rPr>
      </w:pPr>
      <w:r w:rsidRPr="00B10510">
        <w:rPr>
          <w:lang w:val="en-GB"/>
        </w:rPr>
        <w:t xml:space="preserve">The search for more efficient fertilizers with better competitive prices leads to the development of new chemical routes to produce fertilizers key components. Mining companies have been investigating the use of glauconite bearing ores as raw materials to obtain compounds rich in potassium (Souza </w:t>
      </w:r>
      <w:r w:rsidRPr="00D354BE">
        <w:rPr>
          <w:i/>
          <w:lang w:val="en-GB"/>
        </w:rPr>
        <w:t>et al</w:t>
      </w:r>
      <w:r w:rsidRPr="00B10510">
        <w:rPr>
          <w:lang w:val="en-GB"/>
        </w:rPr>
        <w:t>., 2018). Glauconite is a hydrated silicate mi</w:t>
      </w:r>
      <w:r w:rsidR="00A61C91">
        <w:rPr>
          <w:lang w:val="en-GB"/>
        </w:rPr>
        <w:t xml:space="preserve">neral composed mainly of </w:t>
      </w:r>
      <w:proofErr w:type="spellStart"/>
      <w:r w:rsidR="00A61C91">
        <w:rPr>
          <w:lang w:val="en-GB"/>
        </w:rPr>
        <w:t>alumin</w:t>
      </w:r>
      <w:r w:rsidRPr="00B10510">
        <w:rPr>
          <w:lang w:val="en-GB"/>
        </w:rPr>
        <w:t>um</w:t>
      </w:r>
      <w:proofErr w:type="spellEnd"/>
      <w:r w:rsidRPr="00B10510">
        <w:rPr>
          <w:lang w:val="en-GB"/>
        </w:rPr>
        <w:t>, potassium, magnesium, iron, silicon, oxygen and hydrogen. In general, glauconite has a potassium content ranging from 6 to 14</w:t>
      </w:r>
      <w:r w:rsidR="00D354BE">
        <w:rPr>
          <w:lang w:val="en-GB"/>
        </w:rPr>
        <w:t xml:space="preserve"> </w:t>
      </w:r>
      <w:r w:rsidRPr="00B10510">
        <w:rPr>
          <w:lang w:val="en-GB"/>
        </w:rPr>
        <w:t>% K</w:t>
      </w:r>
      <w:r w:rsidRPr="00D354BE">
        <w:rPr>
          <w:vertAlign w:val="subscript"/>
          <w:lang w:val="en-GB"/>
        </w:rPr>
        <w:t>2</w:t>
      </w:r>
      <w:r w:rsidRPr="00B10510">
        <w:rPr>
          <w:lang w:val="en-GB"/>
        </w:rPr>
        <w:t>O, which promotes its use in processes of obtaining K</w:t>
      </w:r>
      <w:r w:rsidRPr="00D354BE">
        <w:rPr>
          <w:vertAlign w:val="subscript"/>
          <w:lang w:val="en-GB"/>
        </w:rPr>
        <w:t>2</w:t>
      </w:r>
      <w:r w:rsidRPr="00B10510">
        <w:rPr>
          <w:lang w:val="en-GB"/>
        </w:rPr>
        <w:t>SO</w:t>
      </w:r>
      <w:r w:rsidRPr="00D354BE">
        <w:rPr>
          <w:vertAlign w:val="subscript"/>
          <w:lang w:val="en-GB"/>
        </w:rPr>
        <w:t>4</w:t>
      </w:r>
      <w:r w:rsidRPr="00B10510">
        <w:rPr>
          <w:lang w:val="en-GB"/>
        </w:rPr>
        <w:t xml:space="preserve">, given its high amount of potassium (Prakash S. and Verma J.P., 2016). </w:t>
      </w:r>
      <w:proofErr w:type="spellStart"/>
      <w:r w:rsidRPr="00B10510">
        <w:rPr>
          <w:lang w:val="en-GB"/>
        </w:rPr>
        <w:t>Brocchi</w:t>
      </w:r>
      <w:proofErr w:type="spellEnd"/>
      <w:r w:rsidRPr="00B10510">
        <w:rPr>
          <w:lang w:val="en-GB"/>
        </w:rPr>
        <w:t xml:space="preserve"> </w:t>
      </w:r>
      <w:r w:rsidRPr="00D354BE">
        <w:rPr>
          <w:i/>
          <w:lang w:val="en-GB"/>
        </w:rPr>
        <w:t>et al</w:t>
      </w:r>
      <w:r w:rsidRPr="00B10510">
        <w:rPr>
          <w:lang w:val="en-GB"/>
        </w:rPr>
        <w:t xml:space="preserve">. (2015) proposed a chemical route to obtain potassium sulphate and </w:t>
      </w:r>
      <w:proofErr w:type="spellStart"/>
      <w:r w:rsidRPr="00B10510">
        <w:rPr>
          <w:lang w:val="en-GB"/>
        </w:rPr>
        <w:t>aluminum</w:t>
      </w:r>
      <w:proofErr w:type="spellEnd"/>
      <w:r w:rsidRPr="00B10510">
        <w:rPr>
          <w:lang w:val="en-GB"/>
        </w:rPr>
        <w:t xml:space="preserve"> oxide from glauconite concentrate. Souza </w:t>
      </w:r>
      <w:r w:rsidRPr="00D354BE">
        <w:rPr>
          <w:i/>
          <w:lang w:val="en-GB"/>
        </w:rPr>
        <w:t>et al</w:t>
      </w:r>
      <w:r w:rsidRPr="00B10510">
        <w:rPr>
          <w:lang w:val="en-GB"/>
        </w:rPr>
        <w:t>. (2018</w:t>
      </w:r>
      <w:r w:rsidR="00A61C91" w:rsidRPr="00A61C91">
        <w:rPr>
          <w:lang w:val="en-GB"/>
        </w:rPr>
        <w:t xml:space="preserve">) investigated the kinetics to produce an intermediate product from the glauconite </w:t>
      </w:r>
      <w:r w:rsidR="00A61C91" w:rsidRPr="00A61C91">
        <w:rPr>
          <w:lang w:val="en-GB"/>
        </w:rPr>
        <w:lastRenderedPageBreak/>
        <w:t xml:space="preserve">thermal </w:t>
      </w:r>
      <w:r w:rsidRPr="00B10510">
        <w:rPr>
          <w:lang w:val="en-GB"/>
        </w:rPr>
        <w:t>decomposition under non-reductive and reductive atmospheres through thermal gravimetric analyses and X-ray diffraction (XRD). The investigated compound is potassium alum dodecahydrate (</w:t>
      </w:r>
      <w:proofErr w:type="spellStart"/>
      <w:proofErr w:type="gramStart"/>
      <w:r w:rsidRPr="00B10510">
        <w:rPr>
          <w:lang w:val="en-GB"/>
        </w:rPr>
        <w:t>KAl</w:t>
      </w:r>
      <w:proofErr w:type="spellEnd"/>
      <w:r w:rsidRPr="00B10510">
        <w:rPr>
          <w:lang w:val="en-GB"/>
        </w:rPr>
        <w:t>(</w:t>
      </w:r>
      <w:proofErr w:type="gramEnd"/>
      <w:r w:rsidRPr="00B10510">
        <w:rPr>
          <w:lang w:val="en-GB"/>
        </w:rPr>
        <w:t>SO</w:t>
      </w:r>
      <w:r w:rsidRPr="00B10510">
        <w:rPr>
          <w:vertAlign w:val="subscript"/>
          <w:lang w:val="en-GB"/>
        </w:rPr>
        <w:t>4</w:t>
      </w:r>
      <w:r w:rsidRPr="00B10510">
        <w:rPr>
          <w:lang w:val="en-GB"/>
        </w:rPr>
        <w:t>)</w:t>
      </w:r>
      <w:r w:rsidRPr="00B10510">
        <w:rPr>
          <w:vertAlign w:val="subscript"/>
          <w:lang w:val="en-GB"/>
        </w:rPr>
        <w:t>2</w:t>
      </w:r>
      <w:r w:rsidRPr="00B10510">
        <w:rPr>
          <w:lang w:val="en-GB"/>
        </w:rPr>
        <w:t>∙12H</w:t>
      </w:r>
      <w:r w:rsidRPr="00B10510">
        <w:rPr>
          <w:vertAlign w:val="subscript"/>
          <w:lang w:val="en-GB"/>
        </w:rPr>
        <w:t>2</w:t>
      </w:r>
      <w:r w:rsidRPr="00B10510">
        <w:rPr>
          <w:lang w:val="en-GB"/>
        </w:rPr>
        <w:t xml:space="preserve">O) and, for its thermal decomposition, the authors proposed the existence of at least four reaction steps until the loss of </w:t>
      </w:r>
      <w:r w:rsidR="00636624">
        <w:rPr>
          <w:lang w:val="en-GB"/>
        </w:rPr>
        <w:t xml:space="preserve">all the 12 water molecules, </w:t>
      </w:r>
      <w:r w:rsidRPr="00B10510">
        <w:rPr>
          <w:lang w:val="en-GB"/>
        </w:rPr>
        <w:t>and at least two reactions to obtain K</w:t>
      </w:r>
      <w:r w:rsidRPr="00B10510">
        <w:rPr>
          <w:vertAlign w:val="subscript"/>
          <w:lang w:val="en-GB"/>
        </w:rPr>
        <w:t>2</w:t>
      </w:r>
      <w:r w:rsidRPr="00B10510">
        <w:rPr>
          <w:lang w:val="en-GB"/>
        </w:rPr>
        <w:t>SO</w:t>
      </w:r>
      <w:r w:rsidRPr="00B10510">
        <w:rPr>
          <w:vertAlign w:val="subscript"/>
          <w:lang w:val="en-GB"/>
        </w:rPr>
        <w:t>4</w:t>
      </w:r>
      <w:r w:rsidRPr="00B10510">
        <w:rPr>
          <w:lang w:val="en-GB"/>
        </w:rPr>
        <w:t xml:space="preserve"> and Al</w:t>
      </w:r>
      <w:r w:rsidRPr="00B10510">
        <w:rPr>
          <w:vertAlign w:val="subscript"/>
          <w:lang w:val="en-GB"/>
        </w:rPr>
        <w:t>2</w:t>
      </w:r>
      <w:r w:rsidRPr="00B10510">
        <w:rPr>
          <w:lang w:val="en-GB"/>
        </w:rPr>
        <w:t>O</w:t>
      </w:r>
      <w:r w:rsidRPr="00B10510">
        <w:rPr>
          <w:vertAlign w:val="subscript"/>
          <w:lang w:val="en-GB"/>
        </w:rPr>
        <w:t>3</w:t>
      </w:r>
      <w:r w:rsidRPr="00B10510">
        <w:rPr>
          <w:lang w:val="en-GB"/>
        </w:rPr>
        <w:t xml:space="preserve"> from anhydrous alum. According to the authors, the presence of charcoal does not affect the alum dehydration step.</w:t>
      </w:r>
    </w:p>
    <w:p w14:paraId="4190E772" w14:textId="029AACA5" w:rsidR="00B10510" w:rsidRDefault="00AB66B6" w:rsidP="00B10510">
      <w:pPr>
        <w:pStyle w:val="CETBodytext"/>
        <w:rPr>
          <w:lang w:val="en-GB"/>
        </w:rPr>
      </w:pPr>
      <w:r w:rsidRPr="00AB66B6">
        <w:rPr>
          <w:lang w:val="en-GB"/>
        </w:rPr>
        <w:t xml:space="preserve">The authors do not know any research reports published in the literature on the mathematical modelling of the potassium alum thermal degradation kinetics in the absence, or presence, of a reducing agent under inert atmosphere. </w:t>
      </w:r>
      <w:r w:rsidR="00B10510" w:rsidRPr="00B10510">
        <w:rPr>
          <w:lang w:val="en-GB"/>
        </w:rPr>
        <w:t xml:space="preserve"> Therefore, this work investigates both process</w:t>
      </w:r>
      <w:r w:rsidR="00B10510">
        <w:rPr>
          <w:lang w:val="en-GB"/>
        </w:rPr>
        <w:t>es</w:t>
      </w:r>
      <w:r w:rsidR="00B10510" w:rsidRPr="00B10510">
        <w:rPr>
          <w:lang w:val="en-GB"/>
        </w:rPr>
        <w:t xml:space="preserve"> using distinct heating rates for TGA and proposes </w:t>
      </w:r>
      <w:r w:rsidR="00B10510">
        <w:rPr>
          <w:lang w:val="en-GB"/>
        </w:rPr>
        <w:t>one</w:t>
      </w:r>
      <w:r w:rsidR="00B10510" w:rsidRPr="00B10510">
        <w:rPr>
          <w:lang w:val="en-GB"/>
        </w:rPr>
        <w:t xml:space="preserve"> mathematical model </w:t>
      </w:r>
      <w:r w:rsidR="00B10510">
        <w:rPr>
          <w:lang w:val="en-GB"/>
        </w:rPr>
        <w:t xml:space="preserve">for each </w:t>
      </w:r>
      <w:r w:rsidR="00B10510" w:rsidRPr="00B10510">
        <w:rPr>
          <w:lang w:val="en-GB"/>
        </w:rPr>
        <w:t>non-reductive and reductive</w:t>
      </w:r>
      <w:r w:rsidR="006171F1">
        <w:rPr>
          <w:lang w:val="en-GB"/>
        </w:rPr>
        <w:t xml:space="preserve"> experimental conditions</w:t>
      </w:r>
      <w:r w:rsidR="00B10510" w:rsidRPr="00B10510">
        <w:rPr>
          <w:lang w:val="en-GB"/>
        </w:rPr>
        <w:t xml:space="preserve"> capable to describe the mass </w:t>
      </w:r>
      <w:r w:rsidRPr="00AB66B6">
        <w:rPr>
          <w:lang w:val="en-GB"/>
        </w:rPr>
        <w:t xml:space="preserve">loss as a function of time of the potassium alum dodecahydrate thermal decomposition. The present work improves the knowledge about this system </w:t>
      </w:r>
      <w:r w:rsidR="00B10510" w:rsidRPr="00B10510">
        <w:rPr>
          <w:lang w:val="en-GB"/>
        </w:rPr>
        <w:t>and, consequently, stays one step closer to the scenario where this process is conducted at industrial scale.</w:t>
      </w:r>
    </w:p>
    <w:p w14:paraId="23BF48BF" w14:textId="5EDEAA6A" w:rsidR="00BD377F" w:rsidRDefault="00BD377F" w:rsidP="00BD377F">
      <w:pPr>
        <w:pStyle w:val="CETHeading1"/>
      </w:pPr>
      <w:r>
        <w:t>Materials and Methods</w:t>
      </w:r>
    </w:p>
    <w:p w14:paraId="2C9D6A33" w14:textId="57498AA3" w:rsidR="00550567" w:rsidRDefault="002E2A49" w:rsidP="00550567">
      <w:pPr>
        <w:pStyle w:val="CETBodytext"/>
        <w:rPr>
          <w:rFonts w:cs="Arial"/>
          <w:szCs w:val="18"/>
          <w:lang w:val="en-GB"/>
        </w:rPr>
      </w:pPr>
      <w:r>
        <w:t xml:space="preserve">The following chemical materials were used in the current work: nitrogen (99.999 % from Linde GA), charcoal and </w:t>
      </w:r>
      <w:r w:rsidRPr="0081186A">
        <w:t>synthetic potassium alum</w:t>
      </w:r>
      <w:r>
        <w:t xml:space="preserve"> </w:t>
      </w:r>
      <w:r w:rsidRPr="002F2BBC">
        <w:rPr>
          <w:lang w:val="en-GB"/>
        </w:rPr>
        <w:t>dodecahydrate</w:t>
      </w:r>
      <w:r>
        <w:rPr>
          <w:lang w:val="en-GB"/>
        </w:rPr>
        <w:t xml:space="preserve"> (98.0 % from </w:t>
      </w:r>
      <w:proofErr w:type="spellStart"/>
      <w:r w:rsidRPr="002E2A49">
        <w:rPr>
          <w:lang w:val="en-GB"/>
        </w:rPr>
        <w:t>Isofar</w:t>
      </w:r>
      <w:proofErr w:type="spellEnd"/>
      <w:r w:rsidRPr="002E2A49">
        <w:rPr>
          <w:lang w:val="en-GB"/>
        </w:rPr>
        <w:t xml:space="preserve"> </w:t>
      </w:r>
      <w:proofErr w:type="spellStart"/>
      <w:r w:rsidRPr="002E2A49">
        <w:rPr>
          <w:lang w:val="en-GB"/>
        </w:rPr>
        <w:t>Indústria</w:t>
      </w:r>
      <w:proofErr w:type="spellEnd"/>
      <w:r w:rsidRPr="002E2A49">
        <w:rPr>
          <w:lang w:val="en-GB"/>
        </w:rPr>
        <w:t xml:space="preserve"> e </w:t>
      </w:r>
      <w:proofErr w:type="spellStart"/>
      <w:r w:rsidRPr="002E2A49">
        <w:rPr>
          <w:lang w:val="en-GB"/>
        </w:rPr>
        <w:t>Comércio</w:t>
      </w:r>
      <w:proofErr w:type="spellEnd"/>
      <w:r w:rsidRPr="002E2A49">
        <w:rPr>
          <w:lang w:val="en-GB"/>
        </w:rPr>
        <w:t xml:space="preserve"> de </w:t>
      </w:r>
      <w:proofErr w:type="spellStart"/>
      <w:r w:rsidRPr="002E2A49">
        <w:rPr>
          <w:lang w:val="en-GB"/>
        </w:rPr>
        <w:t>Produtos</w:t>
      </w:r>
      <w:proofErr w:type="spellEnd"/>
      <w:r w:rsidRPr="002E2A49">
        <w:rPr>
          <w:lang w:val="en-GB"/>
        </w:rPr>
        <w:t xml:space="preserve"> </w:t>
      </w:r>
      <w:proofErr w:type="spellStart"/>
      <w:r w:rsidRPr="002E2A49">
        <w:rPr>
          <w:lang w:val="en-GB"/>
        </w:rPr>
        <w:t>Químicos</w:t>
      </w:r>
      <w:proofErr w:type="spellEnd"/>
      <w:r>
        <w:rPr>
          <w:lang w:val="en-GB"/>
        </w:rPr>
        <w:t xml:space="preserve">). </w:t>
      </w:r>
      <w:proofErr w:type="spellStart"/>
      <w:r w:rsidR="00AB66B6" w:rsidRPr="00AB66B6">
        <w:rPr>
          <w:lang w:val="en-GB"/>
        </w:rPr>
        <w:t>Netzsch</w:t>
      </w:r>
      <w:proofErr w:type="spellEnd"/>
      <w:r w:rsidR="00AB66B6" w:rsidRPr="00AB66B6">
        <w:rPr>
          <w:lang w:val="en-GB"/>
        </w:rPr>
        <w:t xml:space="preserve"> thermogravimetric </w:t>
      </w:r>
      <w:proofErr w:type="spellStart"/>
      <w:r w:rsidR="00AB66B6" w:rsidRPr="00AB66B6">
        <w:rPr>
          <w:lang w:val="en-GB"/>
        </w:rPr>
        <w:t>analyzer</w:t>
      </w:r>
      <w:proofErr w:type="spellEnd"/>
      <w:r w:rsidR="00AB66B6" w:rsidRPr="00AB66B6">
        <w:rPr>
          <w:lang w:val="en-GB"/>
        </w:rPr>
        <w:t xml:space="preserve">, model STA 449 F3 Jupiter®, was employed. The samples </w:t>
      </w:r>
      <w:r w:rsidR="0081186A" w:rsidRPr="0081186A">
        <w:t>of synthetic hydrate potassium alum</w:t>
      </w:r>
      <w:r w:rsidR="00CA70BA">
        <w:t xml:space="preserve"> </w:t>
      </w:r>
      <w:r w:rsidR="0081186A" w:rsidRPr="0081186A">
        <w:t>were submitted to thermogravimetric</w:t>
      </w:r>
      <w:r w:rsidR="0081186A">
        <w:t xml:space="preserve"> </w:t>
      </w:r>
      <w:r w:rsidR="0081186A" w:rsidRPr="0081186A">
        <w:t>analys</w:t>
      </w:r>
      <w:r w:rsidR="0081186A">
        <w:t>e</w:t>
      </w:r>
      <w:r w:rsidR="0081186A" w:rsidRPr="0081186A">
        <w:t xml:space="preserve">s </w:t>
      </w:r>
      <w:r w:rsidR="0081186A">
        <w:t xml:space="preserve">according to Table 1. </w:t>
      </w:r>
      <w:r w:rsidR="00CA3CCA" w:rsidRPr="002E2A49">
        <w:t>For all samples, after reaching 1000</w:t>
      </w:r>
      <w:r w:rsidR="00D354BE">
        <w:t> </w:t>
      </w:r>
      <w:r w:rsidR="00CA3CCA" w:rsidRPr="002E2A49">
        <w:t>°C, they were ke</w:t>
      </w:r>
      <w:r w:rsidR="00CA3CCA">
        <w:t>pt at this temperature for 1 hour. S15Ch refers to a charcoal</w:t>
      </w:r>
      <w:r w:rsidR="00C147D4">
        <w:t xml:space="preserve"> </w:t>
      </w:r>
      <w:r w:rsidR="00C83BEE">
        <w:t>sample</w:t>
      </w:r>
      <w:r w:rsidR="00CA3CCA">
        <w:rPr>
          <w:rFonts w:cs="Arial"/>
          <w:szCs w:val="18"/>
          <w:lang w:val="en-GB"/>
        </w:rPr>
        <w:t>.</w:t>
      </w:r>
      <w:r w:rsidR="00550567">
        <w:rPr>
          <w:rFonts w:cs="Arial"/>
          <w:szCs w:val="18"/>
          <w:lang w:val="en-GB"/>
        </w:rPr>
        <w:t xml:space="preserve"> </w:t>
      </w:r>
      <w:r w:rsidR="00AB66B6" w:rsidRPr="00AB66B6">
        <w:rPr>
          <w:rFonts w:cs="Arial"/>
          <w:szCs w:val="18"/>
          <w:lang w:val="en-GB"/>
        </w:rPr>
        <w:t>Nitrogen was used as an inert carrier gas with</w:t>
      </w:r>
      <w:r w:rsidR="000C6F2A">
        <w:rPr>
          <w:rFonts w:cs="Arial"/>
          <w:szCs w:val="18"/>
          <w:lang w:val="en-GB"/>
        </w:rPr>
        <w:t xml:space="preserve"> 0.2</w:t>
      </w:r>
      <w:r w:rsidR="00AB66B6" w:rsidRPr="00AB66B6">
        <w:rPr>
          <w:rFonts w:cs="Arial"/>
          <w:szCs w:val="18"/>
          <w:lang w:val="en-GB"/>
        </w:rPr>
        <w:t xml:space="preserve"> L/min flow rate. </w:t>
      </w:r>
      <w:r w:rsidR="00550567">
        <w:rPr>
          <w:rFonts w:cs="Arial"/>
          <w:szCs w:val="18"/>
          <w:lang w:val="en-GB"/>
        </w:rPr>
        <w:t>F</w:t>
      </w:r>
      <w:r w:rsidR="00550567" w:rsidRPr="00550567">
        <w:rPr>
          <w:rFonts w:cs="Arial"/>
          <w:szCs w:val="18"/>
          <w:lang w:val="en-GB"/>
        </w:rPr>
        <w:t xml:space="preserve">or </w:t>
      </w:r>
      <w:r w:rsidR="00550567">
        <w:rPr>
          <w:rFonts w:cs="Arial"/>
          <w:szCs w:val="18"/>
          <w:lang w:val="en-GB"/>
        </w:rPr>
        <w:t>reactions with charcoal</w:t>
      </w:r>
      <w:r w:rsidR="00550567" w:rsidRPr="00550567">
        <w:rPr>
          <w:rFonts w:cs="Arial"/>
          <w:szCs w:val="18"/>
          <w:lang w:val="en-GB"/>
        </w:rPr>
        <w:t>,</w:t>
      </w:r>
      <w:r w:rsidR="00550567">
        <w:rPr>
          <w:rFonts w:cs="Arial"/>
          <w:szCs w:val="18"/>
          <w:lang w:val="en-GB"/>
        </w:rPr>
        <w:t xml:space="preserve"> </w:t>
      </w:r>
      <w:r w:rsidR="00550567" w:rsidRPr="00550567">
        <w:rPr>
          <w:rFonts w:cs="Arial"/>
          <w:szCs w:val="18"/>
          <w:lang w:val="en-GB"/>
        </w:rPr>
        <w:t>the sp</w:t>
      </w:r>
      <w:r w:rsidR="00550567">
        <w:rPr>
          <w:rFonts w:cs="Arial"/>
          <w:szCs w:val="18"/>
          <w:lang w:val="en-GB"/>
        </w:rPr>
        <w:t xml:space="preserve">eciation was carried out for 1 mol of </w:t>
      </w:r>
      <w:proofErr w:type="spellStart"/>
      <w:proofErr w:type="gramStart"/>
      <w:r w:rsidR="00550567" w:rsidRPr="00B10510">
        <w:rPr>
          <w:lang w:val="en-GB"/>
        </w:rPr>
        <w:t>KAl</w:t>
      </w:r>
      <w:proofErr w:type="spellEnd"/>
      <w:r w:rsidR="00550567" w:rsidRPr="00B10510">
        <w:rPr>
          <w:lang w:val="en-GB"/>
        </w:rPr>
        <w:t>(</w:t>
      </w:r>
      <w:proofErr w:type="gramEnd"/>
      <w:r w:rsidR="00550567" w:rsidRPr="00B10510">
        <w:rPr>
          <w:lang w:val="en-GB"/>
        </w:rPr>
        <w:t>SO</w:t>
      </w:r>
      <w:r w:rsidR="00550567" w:rsidRPr="00B10510">
        <w:rPr>
          <w:vertAlign w:val="subscript"/>
          <w:lang w:val="en-GB"/>
        </w:rPr>
        <w:t>4</w:t>
      </w:r>
      <w:r w:rsidR="00550567" w:rsidRPr="00B10510">
        <w:rPr>
          <w:lang w:val="en-GB"/>
        </w:rPr>
        <w:t>)</w:t>
      </w:r>
      <w:r w:rsidR="00550567" w:rsidRPr="00B10510">
        <w:rPr>
          <w:vertAlign w:val="subscript"/>
          <w:lang w:val="en-GB"/>
        </w:rPr>
        <w:t>2</w:t>
      </w:r>
      <w:r w:rsidR="00550567" w:rsidRPr="00B10510">
        <w:rPr>
          <w:lang w:val="en-GB"/>
        </w:rPr>
        <w:t>∙12H</w:t>
      </w:r>
      <w:r w:rsidR="00550567" w:rsidRPr="00B10510">
        <w:rPr>
          <w:vertAlign w:val="subscript"/>
          <w:lang w:val="en-GB"/>
        </w:rPr>
        <w:t>2</w:t>
      </w:r>
      <w:r w:rsidR="00550567" w:rsidRPr="00B10510">
        <w:rPr>
          <w:lang w:val="en-GB"/>
        </w:rPr>
        <w:t>O</w:t>
      </w:r>
      <w:r w:rsidR="00550567" w:rsidRPr="00550567">
        <w:rPr>
          <w:rFonts w:cs="Arial"/>
          <w:szCs w:val="18"/>
          <w:lang w:val="en-GB"/>
        </w:rPr>
        <w:t xml:space="preserve"> </w:t>
      </w:r>
      <w:r w:rsidR="00550567">
        <w:rPr>
          <w:rFonts w:cs="Arial"/>
          <w:szCs w:val="18"/>
          <w:lang w:val="en-GB"/>
        </w:rPr>
        <w:t xml:space="preserve">in association with 1 </w:t>
      </w:r>
      <w:r w:rsidR="00550567" w:rsidRPr="00550567">
        <w:rPr>
          <w:rFonts w:cs="Arial"/>
          <w:szCs w:val="18"/>
          <w:lang w:val="en-GB"/>
        </w:rPr>
        <w:t>mol of carbon</w:t>
      </w:r>
      <w:r w:rsidR="00550567">
        <w:rPr>
          <w:rFonts w:cs="Arial"/>
          <w:szCs w:val="18"/>
          <w:lang w:val="en-GB"/>
        </w:rPr>
        <w:t xml:space="preserve"> </w:t>
      </w:r>
      <w:r w:rsidR="00550567">
        <w:rPr>
          <w:lang w:val="en-GB"/>
        </w:rPr>
        <w:t>(</w:t>
      </w:r>
      <w:r w:rsidR="00550567" w:rsidRPr="00B10510">
        <w:rPr>
          <w:lang w:val="en-GB"/>
        </w:rPr>
        <w:t xml:space="preserve">Souza </w:t>
      </w:r>
      <w:r w:rsidR="00550567" w:rsidRPr="00D354BE">
        <w:rPr>
          <w:i/>
          <w:lang w:val="en-GB"/>
        </w:rPr>
        <w:t>et al</w:t>
      </w:r>
      <w:r w:rsidR="00550567">
        <w:rPr>
          <w:lang w:val="en-GB"/>
        </w:rPr>
        <w:t xml:space="preserve">., </w:t>
      </w:r>
      <w:r w:rsidR="00550567" w:rsidRPr="00B10510">
        <w:rPr>
          <w:lang w:val="en-GB"/>
        </w:rPr>
        <w:t>2018)</w:t>
      </w:r>
      <w:r w:rsidR="00550567" w:rsidRPr="00550567">
        <w:rPr>
          <w:rFonts w:cs="Arial"/>
          <w:szCs w:val="18"/>
          <w:lang w:val="en-GB"/>
        </w:rPr>
        <w:t>.</w:t>
      </w:r>
    </w:p>
    <w:p w14:paraId="687F2A2F" w14:textId="01EAED47" w:rsidR="00CA70BA" w:rsidRPr="00550567" w:rsidRDefault="00CA70BA" w:rsidP="00550567">
      <w:pPr>
        <w:pStyle w:val="CETTabletitle"/>
        <w:rPr>
          <w:rFonts w:cs="Arial"/>
          <w:szCs w:val="18"/>
        </w:rPr>
      </w:pPr>
      <w:r w:rsidRPr="00B57B36">
        <w:t xml:space="preserve">Table 1: </w:t>
      </w:r>
      <w:r w:rsidR="00C83C09">
        <w:t>Experimental conditions used for</w:t>
      </w:r>
      <w:r w:rsidR="00C83C09" w:rsidRPr="0081186A">
        <w:t xml:space="preserve"> thermogravimetric</w:t>
      </w:r>
      <w:r w:rsidR="00C83C09">
        <w:t xml:space="preserve"> </w:t>
      </w:r>
      <w:r w:rsidR="00C83C09" w:rsidRPr="0081186A">
        <w:t>analys</w:t>
      </w:r>
      <w:r w:rsidR="00C83C09">
        <w:t>e</w:t>
      </w:r>
      <w:r w:rsidR="00C83C09" w:rsidRPr="0081186A">
        <w:t>s</w:t>
      </w:r>
      <w:r w:rsidR="00C83C09">
        <w:t>.</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92"/>
        <w:gridCol w:w="1892"/>
        <w:gridCol w:w="1892"/>
        <w:gridCol w:w="1892"/>
      </w:tblGrid>
      <w:tr w:rsidR="00245224" w:rsidRPr="00B57B36" w14:paraId="03FEA5E0" w14:textId="77777777" w:rsidTr="00245224">
        <w:trPr>
          <w:trHeight w:val="388"/>
          <w:jc w:val="center"/>
        </w:trPr>
        <w:tc>
          <w:tcPr>
            <w:tcW w:w="1892" w:type="dxa"/>
            <w:tcBorders>
              <w:top w:val="single" w:sz="12" w:space="0" w:color="008000"/>
              <w:bottom w:val="single" w:sz="6" w:space="0" w:color="008000"/>
            </w:tcBorders>
            <w:shd w:val="clear" w:color="auto" w:fill="FFFFFF"/>
            <w:vAlign w:val="center"/>
          </w:tcPr>
          <w:p w14:paraId="71823FB6" w14:textId="50363C08" w:rsidR="00245224" w:rsidRPr="00B57B36" w:rsidRDefault="00245224" w:rsidP="00C83376">
            <w:pPr>
              <w:pStyle w:val="CETBodytext"/>
              <w:jc w:val="center"/>
              <w:rPr>
                <w:lang w:val="en-GB"/>
              </w:rPr>
            </w:pPr>
            <w:r>
              <w:rPr>
                <w:lang w:val="en-GB"/>
              </w:rPr>
              <w:t>Sample Identification</w:t>
            </w:r>
          </w:p>
        </w:tc>
        <w:tc>
          <w:tcPr>
            <w:tcW w:w="1892" w:type="dxa"/>
            <w:tcBorders>
              <w:top w:val="single" w:sz="12" w:space="0" w:color="008000"/>
              <w:bottom w:val="single" w:sz="6" w:space="0" w:color="008000"/>
            </w:tcBorders>
            <w:shd w:val="clear" w:color="auto" w:fill="FFFFFF"/>
            <w:vAlign w:val="center"/>
          </w:tcPr>
          <w:p w14:paraId="2CD325E0" w14:textId="286EFFEC" w:rsidR="00245224" w:rsidRPr="00B57B36" w:rsidRDefault="00245224" w:rsidP="00C83376">
            <w:pPr>
              <w:pStyle w:val="CETBodytext"/>
              <w:jc w:val="center"/>
              <w:rPr>
                <w:lang w:val="en-GB"/>
              </w:rPr>
            </w:pPr>
            <w:r>
              <w:rPr>
                <w:lang w:val="en-GB"/>
              </w:rPr>
              <w:t>Presence of charcoal</w:t>
            </w:r>
          </w:p>
        </w:tc>
        <w:tc>
          <w:tcPr>
            <w:tcW w:w="1892" w:type="dxa"/>
            <w:tcBorders>
              <w:top w:val="single" w:sz="12" w:space="0" w:color="008000"/>
              <w:bottom w:val="single" w:sz="6" w:space="0" w:color="008000"/>
            </w:tcBorders>
            <w:shd w:val="clear" w:color="auto" w:fill="FFFFFF"/>
            <w:vAlign w:val="center"/>
          </w:tcPr>
          <w:p w14:paraId="3B60C67C" w14:textId="769419B0" w:rsidR="00245224" w:rsidRPr="00B57B36" w:rsidRDefault="00245224" w:rsidP="00C83376">
            <w:pPr>
              <w:pStyle w:val="CETBodytext"/>
              <w:jc w:val="center"/>
              <w:rPr>
                <w:lang w:val="en-GB"/>
              </w:rPr>
            </w:pPr>
            <w:r>
              <w:rPr>
                <w:lang w:val="en-GB"/>
              </w:rPr>
              <w:t>Sample weight (mg)</w:t>
            </w:r>
          </w:p>
        </w:tc>
        <w:tc>
          <w:tcPr>
            <w:tcW w:w="1892" w:type="dxa"/>
            <w:tcBorders>
              <w:top w:val="single" w:sz="12" w:space="0" w:color="008000"/>
              <w:bottom w:val="single" w:sz="6" w:space="0" w:color="008000"/>
            </w:tcBorders>
            <w:shd w:val="clear" w:color="auto" w:fill="FFFFFF"/>
            <w:vAlign w:val="center"/>
          </w:tcPr>
          <w:p w14:paraId="0AAB6129" w14:textId="2D2CB03E" w:rsidR="00245224" w:rsidRPr="00B57B36" w:rsidRDefault="00245224" w:rsidP="00C83376">
            <w:pPr>
              <w:pStyle w:val="CETBodytext"/>
              <w:ind w:right="-1"/>
              <w:jc w:val="center"/>
              <w:rPr>
                <w:rFonts w:cs="Arial"/>
                <w:szCs w:val="18"/>
                <w:lang w:val="en-GB"/>
              </w:rPr>
            </w:pPr>
            <w:r>
              <w:rPr>
                <w:rFonts w:cs="Arial"/>
                <w:szCs w:val="18"/>
                <w:lang w:val="en-GB"/>
              </w:rPr>
              <w:t>Heating Rate (K min</w:t>
            </w:r>
            <w:r w:rsidRPr="00245224">
              <w:rPr>
                <w:rFonts w:cs="Arial"/>
                <w:szCs w:val="18"/>
                <w:vertAlign w:val="superscript"/>
                <w:lang w:val="en-GB"/>
              </w:rPr>
              <w:t>-1</w:t>
            </w:r>
            <w:r>
              <w:rPr>
                <w:rFonts w:cs="Arial"/>
                <w:szCs w:val="18"/>
                <w:lang w:val="en-GB"/>
              </w:rPr>
              <w:t>)</w:t>
            </w:r>
          </w:p>
        </w:tc>
      </w:tr>
      <w:tr w:rsidR="00245224" w:rsidRPr="00B57B36" w14:paraId="7F966779" w14:textId="77777777" w:rsidTr="00245224">
        <w:trPr>
          <w:trHeight w:val="194"/>
          <w:jc w:val="center"/>
        </w:trPr>
        <w:tc>
          <w:tcPr>
            <w:tcW w:w="1892" w:type="dxa"/>
            <w:shd w:val="clear" w:color="auto" w:fill="FFFFFF"/>
            <w:vAlign w:val="center"/>
          </w:tcPr>
          <w:p w14:paraId="5B2E3FBD" w14:textId="3B173255" w:rsidR="00245224" w:rsidRPr="00B57B36" w:rsidRDefault="00245224" w:rsidP="00C83376">
            <w:pPr>
              <w:pStyle w:val="CETBodytext"/>
              <w:jc w:val="center"/>
              <w:rPr>
                <w:lang w:val="en-GB"/>
              </w:rPr>
            </w:pPr>
            <w:r>
              <w:rPr>
                <w:lang w:val="en-GB"/>
              </w:rPr>
              <w:t>S10</w:t>
            </w:r>
          </w:p>
        </w:tc>
        <w:tc>
          <w:tcPr>
            <w:tcW w:w="1892" w:type="dxa"/>
            <w:shd w:val="clear" w:color="auto" w:fill="FFFFFF"/>
            <w:vAlign w:val="center"/>
          </w:tcPr>
          <w:p w14:paraId="18502CCD" w14:textId="4EB62001" w:rsidR="00245224" w:rsidRPr="00B57B36" w:rsidRDefault="00245224" w:rsidP="00C83376">
            <w:pPr>
              <w:pStyle w:val="CETBodytext"/>
              <w:jc w:val="center"/>
              <w:rPr>
                <w:lang w:val="en-GB"/>
              </w:rPr>
            </w:pPr>
            <w:r>
              <w:rPr>
                <w:lang w:val="en-GB"/>
              </w:rPr>
              <w:t>No</w:t>
            </w:r>
          </w:p>
        </w:tc>
        <w:tc>
          <w:tcPr>
            <w:tcW w:w="1892" w:type="dxa"/>
            <w:shd w:val="clear" w:color="auto" w:fill="FFFFFF"/>
            <w:vAlign w:val="center"/>
          </w:tcPr>
          <w:p w14:paraId="56D3609B" w14:textId="7F772F8F" w:rsidR="00245224" w:rsidRPr="00B57B36" w:rsidRDefault="00245224" w:rsidP="00C83376">
            <w:pPr>
              <w:pStyle w:val="CETBodytext"/>
              <w:jc w:val="center"/>
              <w:rPr>
                <w:lang w:val="en-GB"/>
              </w:rPr>
            </w:pPr>
            <w:r>
              <w:rPr>
                <w:lang w:val="en-GB"/>
              </w:rPr>
              <w:t>30.2</w:t>
            </w:r>
          </w:p>
        </w:tc>
        <w:tc>
          <w:tcPr>
            <w:tcW w:w="1892" w:type="dxa"/>
            <w:shd w:val="clear" w:color="auto" w:fill="FFFFFF"/>
            <w:vAlign w:val="center"/>
          </w:tcPr>
          <w:p w14:paraId="062DF3A1" w14:textId="6DB0F492" w:rsidR="00245224" w:rsidRPr="00B57B36" w:rsidRDefault="00245224" w:rsidP="00C83376">
            <w:pPr>
              <w:pStyle w:val="CETBodytext"/>
              <w:ind w:right="-1"/>
              <w:jc w:val="center"/>
              <w:rPr>
                <w:rFonts w:cs="Arial"/>
                <w:szCs w:val="18"/>
                <w:lang w:val="en-GB"/>
              </w:rPr>
            </w:pPr>
            <w:r>
              <w:rPr>
                <w:rFonts w:cs="Arial"/>
                <w:szCs w:val="18"/>
                <w:lang w:val="en-GB"/>
              </w:rPr>
              <w:t>10</w:t>
            </w:r>
          </w:p>
        </w:tc>
      </w:tr>
      <w:tr w:rsidR="00245224" w:rsidRPr="00B57B36" w14:paraId="6E40CEFA" w14:textId="77777777" w:rsidTr="00245224">
        <w:trPr>
          <w:trHeight w:val="194"/>
          <w:jc w:val="center"/>
        </w:trPr>
        <w:tc>
          <w:tcPr>
            <w:tcW w:w="1892" w:type="dxa"/>
            <w:shd w:val="clear" w:color="auto" w:fill="FFFFFF"/>
            <w:vAlign w:val="center"/>
          </w:tcPr>
          <w:p w14:paraId="480C7EEC" w14:textId="41F83FCC" w:rsidR="00245224" w:rsidRPr="00B57B36" w:rsidRDefault="00245224" w:rsidP="00C83376">
            <w:pPr>
              <w:pStyle w:val="CETBodytext"/>
              <w:ind w:right="-1"/>
              <w:jc w:val="center"/>
              <w:rPr>
                <w:rFonts w:cs="Arial"/>
                <w:szCs w:val="18"/>
                <w:lang w:val="en-GB"/>
              </w:rPr>
            </w:pPr>
            <w:r>
              <w:rPr>
                <w:rFonts w:cs="Arial"/>
                <w:szCs w:val="18"/>
                <w:lang w:val="en-GB"/>
              </w:rPr>
              <w:t>S15</w:t>
            </w:r>
          </w:p>
        </w:tc>
        <w:tc>
          <w:tcPr>
            <w:tcW w:w="1892" w:type="dxa"/>
            <w:shd w:val="clear" w:color="auto" w:fill="FFFFFF"/>
            <w:vAlign w:val="center"/>
          </w:tcPr>
          <w:p w14:paraId="226E0837" w14:textId="021E9D87" w:rsidR="00245224" w:rsidRPr="00B57B36" w:rsidRDefault="00245224" w:rsidP="00C83376">
            <w:pPr>
              <w:pStyle w:val="CETBodytext"/>
              <w:ind w:right="-1"/>
              <w:jc w:val="center"/>
              <w:rPr>
                <w:rFonts w:cs="Arial"/>
                <w:szCs w:val="18"/>
                <w:lang w:val="en-GB"/>
              </w:rPr>
            </w:pPr>
            <w:r>
              <w:rPr>
                <w:rFonts w:cs="Arial"/>
                <w:szCs w:val="18"/>
                <w:lang w:val="en-GB"/>
              </w:rPr>
              <w:t>No</w:t>
            </w:r>
          </w:p>
        </w:tc>
        <w:tc>
          <w:tcPr>
            <w:tcW w:w="1892" w:type="dxa"/>
            <w:shd w:val="clear" w:color="auto" w:fill="FFFFFF"/>
            <w:vAlign w:val="center"/>
          </w:tcPr>
          <w:p w14:paraId="723DEFB5" w14:textId="07994583" w:rsidR="00245224" w:rsidRPr="00B57B36" w:rsidRDefault="00245224" w:rsidP="00C83376">
            <w:pPr>
              <w:pStyle w:val="CETBodytext"/>
              <w:ind w:right="-1"/>
              <w:jc w:val="center"/>
              <w:rPr>
                <w:rFonts w:cs="Arial"/>
                <w:szCs w:val="18"/>
                <w:lang w:val="en-GB"/>
              </w:rPr>
            </w:pPr>
            <w:r>
              <w:rPr>
                <w:rFonts w:cs="Arial"/>
                <w:szCs w:val="18"/>
                <w:lang w:val="en-GB"/>
              </w:rPr>
              <w:t>30.6</w:t>
            </w:r>
          </w:p>
        </w:tc>
        <w:tc>
          <w:tcPr>
            <w:tcW w:w="1892" w:type="dxa"/>
            <w:shd w:val="clear" w:color="auto" w:fill="FFFFFF"/>
            <w:vAlign w:val="center"/>
          </w:tcPr>
          <w:p w14:paraId="4D21E8C4" w14:textId="4612F2AB" w:rsidR="00245224" w:rsidRPr="00B57B36" w:rsidRDefault="00245224" w:rsidP="00C83376">
            <w:pPr>
              <w:pStyle w:val="CETBodytext"/>
              <w:ind w:right="-1"/>
              <w:jc w:val="center"/>
              <w:rPr>
                <w:rFonts w:cs="Arial"/>
                <w:szCs w:val="18"/>
                <w:lang w:val="en-GB"/>
              </w:rPr>
            </w:pPr>
            <w:r>
              <w:rPr>
                <w:rFonts w:cs="Arial"/>
                <w:szCs w:val="18"/>
                <w:lang w:val="en-GB"/>
              </w:rPr>
              <w:t>15</w:t>
            </w:r>
          </w:p>
        </w:tc>
      </w:tr>
      <w:tr w:rsidR="00245224" w:rsidRPr="00B57B36" w14:paraId="7C6E818E" w14:textId="77777777" w:rsidTr="00245224">
        <w:trPr>
          <w:trHeight w:val="194"/>
          <w:jc w:val="center"/>
        </w:trPr>
        <w:tc>
          <w:tcPr>
            <w:tcW w:w="1892" w:type="dxa"/>
            <w:shd w:val="clear" w:color="auto" w:fill="FFFFFF"/>
            <w:vAlign w:val="center"/>
          </w:tcPr>
          <w:p w14:paraId="170C4D61" w14:textId="24EA0CD5" w:rsidR="00245224" w:rsidRDefault="00245224" w:rsidP="00C83376">
            <w:pPr>
              <w:pStyle w:val="CETBodytext"/>
              <w:ind w:right="-1"/>
              <w:jc w:val="center"/>
              <w:rPr>
                <w:rFonts w:cs="Arial"/>
                <w:szCs w:val="18"/>
                <w:lang w:val="en-GB"/>
              </w:rPr>
            </w:pPr>
            <w:r>
              <w:rPr>
                <w:rFonts w:cs="Arial"/>
                <w:szCs w:val="18"/>
                <w:lang w:val="en-GB"/>
              </w:rPr>
              <w:t>S20</w:t>
            </w:r>
          </w:p>
        </w:tc>
        <w:tc>
          <w:tcPr>
            <w:tcW w:w="1892" w:type="dxa"/>
            <w:shd w:val="clear" w:color="auto" w:fill="FFFFFF"/>
            <w:vAlign w:val="center"/>
          </w:tcPr>
          <w:p w14:paraId="4E01412D" w14:textId="418E2D48" w:rsidR="00245224" w:rsidRPr="00B57B36" w:rsidRDefault="00245224" w:rsidP="00C83376">
            <w:pPr>
              <w:pStyle w:val="CETBodytext"/>
              <w:ind w:right="-1"/>
              <w:jc w:val="center"/>
              <w:rPr>
                <w:rFonts w:cs="Arial"/>
                <w:szCs w:val="18"/>
                <w:lang w:val="en-GB"/>
              </w:rPr>
            </w:pPr>
            <w:r>
              <w:rPr>
                <w:rFonts w:cs="Arial"/>
                <w:szCs w:val="18"/>
                <w:lang w:val="en-GB"/>
              </w:rPr>
              <w:t>No</w:t>
            </w:r>
          </w:p>
        </w:tc>
        <w:tc>
          <w:tcPr>
            <w:tcW w:w="1892" w:type="dxa"/>
            <w:shd w:val="clear" w:color="auto" w:fill="FFFFFF"/>
            <w:vAlign w:val="center"/>
          </w:tcPr>
          <w:p w14:paraId="212E4B5E" w14:textId="04B3F912" w:rsidR="00245224" w:rsidRPr="00B57B36" w:rsidRDefault="00245224" w:rsidP="00C83376">
            <w:pPr>
              <w:pStyle w:val="CETBodytext"/>
              <w:ind w:right="-1"/>
              <w:jc w:val="center"/>
              <w:rPr>
                <w:rFonts w:cs="Arial"/>
                <w:szCs w:val="18"/>
                <w:lang w:val="en-GB"/>
              </w:rPr>
            </w:pPr>
            <w:r>
              <w:rPr>
                <w:rFonts w:cs="Arial"/>
                <w:szCs w:val="18"/>
                <w:lang w:val="en-GB"/>
              </w:rPr>
              <w:t>30.6</w:t>
            </w:r>
          </w:p>
        </w:tc>
        <w:tc>
          <w:tcPr>
            <w:tcW w:w="1892" w:type="dxa"/>
            <w:shd w:val="clear" w:color="auto" w:fill="FFFFFF"/>
            <w:vAlign w:val="center"/>
          </w:tcPr>
          <w:p w14:paraId="080E1DD5" w14:textId="3B67002A" w:rsidR="00245224" w:rsidRPr="00B57B36" w:rsidRDefault="00245224" w:rsidP="00C83376">
            <w:pPr>
              <w:pStyle w:val="CETBodytext"/>
              <w:ind w:right="-1"/>
              <w:jc w:val="center"/>
              <w:rPr>
                <w:rFonts w:cs="Arial"/>
                <w:szCs w:val="18"/>
                <w:lang w:val="en-GB"/>
              </w:rPr>
            </w:pPr>
            <w:r>
              <w:rPr>
                <w:rFonts w:cs="Arial"/>
                <w:szCs w:val="18"/>
                <w:lang w:val="en-GB"/>
              </w:rPr>
              <w:t>20</w:t>
            </w:r>
          </w:p>
        </w:tc>
      </w:tr>
      <w:tr w:rsidR="001763BE" w:rsidRPr="00B57B36" w14:paraId="60562852" w14:textId="77777777" w:rsidTr="00245224">
        <w:trPr>
          <w:trHeight w:val="194"/>
          <w:jc w:val="center"/>
        </w:trPr>
        <w:tc>
          <w:tcPr>
            <w:tcW w:w="1892" w:type="dxa"/>
            <w:shd w:val="clear" w:color="auto" w:fill="FFFFFF"/>
            <w:vAlign w:val="center"/>
          </w:tcPr>
          <w:p w14:paraId="53CE5C1B" w14:textId="37F8E9E9" w:rsidR="001763BE" w:rsidRDefault="001763BE" w:rsidP="00C83376">
            <w:pPr>
              <w:pStyle w:val="CETBodytext"/>
              <w:ind w:right="-1"/>
              <w:jc w:val="center"/>
              <w:rPr>
                <w:rFonts w:cs="Arial"/>
                <w:szCs w:val="18"/>
                <w:lang w:val="en-GB"/>
              </w:rPr>
            </w:pPr>
            <w:r>
              <w:rPr>
                <w:rFonts w:cs="Arial"/>
                <w:szCs w:val="18"/>
                <w:lang w:val="en-GB"/>
              </w:rPr>
              <w:t>S15Ch</w:t>
            </w:r>
          </w:p>
        </w:tc>
        <w:tc>
          <w:tcPr>
            <w:tcW w:w="1892" w:type="dxa"/>
            <w:shd w:val="clear" w:color="auto" w:fill="FFFFFF"/>
            <w:vAlign w:val="center"/>
          </w:tcPr>
          <w:p w14:paraId="2EB05937" w14:textId="5CC1E763" w:rsidR="001763BE" w:rsidRDefault="001763BE" w:rsidP="00C83376">
            <w:pPr>
              <w:pStyle w:val="CETBodytext"/>
              <w:ind w:right="-1"/>
              <w:jc w:val="center"/>
              <w:rPr>
                <w:rFonts w:cs="Arial"/>
                <w:szCs w:val="18"/>
                <w:lang w:val="en-GB"/>
              </w:rPr>
            </w:pPr>
            <w:r>
              <w:rPr>
                <w:rFonts w:cs="Arial"/>
                <w:szCs w:val="18"/>
                <w:lang w:val="en-GB"/>
              </w:rPr>
              <w:t>Yes</w:t>
            </w:r>
          </w:p>
        </w:tc>
        <w:tc>
          <w:tcPr>
            <w:tcW w:w="1892" w:type="dxa"/>
            <w:shd w:val="clear" w:color="auto" w:fill="FFFFFF"/>
            <w:vAlign w:val="center"/>
          </w:tcPr>
          <w:p w14:paraId="3E5B71EA" w14:textId="1C3BD885" w:rsidR="001763BE" w:rsidRDefault="001763BE" w:rsidP="00C83376">
            <w:pPr>
              <w:pStyle w:val="CETBodytext"/>
              <w:ind w:right="-1"/>
              <w:jc w:val="center"/>
              <w:rPr>
                <w:rFonts w:cs="Arial"/>
                <w:szCs w:val="18"/>
                <w:lang w:val="en-GB"/>
              </w:rPr>
            </w:pPr>
            <w:r>
              <w:rPr>
                <w:rFonts w:cs="Arial"/>
                <w:szCs w:val="18"/>
                <w:lang w:val="en-GB"/>
              </w:rPr>
              <w:t>34.4</w:t>
            </w:r>
          </w:p>
        </w:tc>
        <w:tc>
          <w:tcPr>
            <w:tcW w:w="1892" w:type="dxa"/>
            <w:shd w:val="clear" w:color="auto" w:fill="FFFFFF"/>
            <w:vAlign w:val="center"/>
          </w:tcPr>
          <w:p w14:paraId="552DFD2A" w14:textId="265D636D" w:rsidR="001763BE" w:rsidRDefault="001763BE" w:rsidP="00C83376">
            <w:pPr>
              <w:pStyle w:val="CETBodytext"/>
              <w:ind w:right="-1"/>
              <w:jc w:val="center"/>
              <w:rPr>
                <w:rFonts w:cs="Arial"/>
                <w:szCs w:val="18"/>
                <w:lang w:val="en-GB"/>
              </w:rPr>
            </w:pPr>
            <w:r>
              <w:rPr>
                <w:rFonts w:cs="Arial"/>
                <w:szCs w:val="18"/>
                <w:lang w:val="en-GB"/>
              </w:rPr>
              <w:t>15</w:t>
            </w:r>
          </w:p>
        </w:tc>
      </w:tr>
      <w:tr w:rsidR="00245224" w:rsidRPr="00B57B36" w14:paraId="67AE6F01" w14:textId="77777777" w:rsidTr="00245224">
        <w:trPr>
          <w:trHeight w:val="194"/>
          <w:jc w:val="center"/>
        </w:trPr>
        <w:tc>
          <w:tcPr>
            <w:tcW w:w="1892" w:type="dxa"/>
            <w:shd w:val="clear" w:color="auto" w:fill="FFFFFF"/>
            <w:vAlign w:val="center"/>
          </w:tcPr>
          <w:p w14:paraId="21E77AF7" w14:textId="5EAC7371" w:rsidR="00245224" w:rsidRDefault="00245224" w:rsidP="00C83376">
            <w:pPr>
              <w:pStyle w:val="CETBodytext"/>
              <w:ind w:right="-1"/>
              <w:jc w:val="center"/>
              <w:rPr>
                <w:rFonts w:cs="Arial"/>
                <w:szCs w:val="18"/>
                <w:lang w:val="en-GB"/>
              </w:rPr>
            </w:pPr>
            <w:r>
              <w:rPr>
                <w:rFonts w:cs="Arial"/>
                <w:szCs w:val="18"/>
                <w:lang w:val="en-GB"/>
              </w:rPr>
              <w:t>S10C</w:t>
            </w:r>
          </w:p>
        </w:tc>
        <w:tc>
          <w:tcPr>
            <w:tcW w:w="1892" w:type="dxa"/>
            <w:shd w:val="clear" w:color="auto" w:fill="FFFFFF"/>
            <w:vAlign w:val="center"/>
          </w:tcPr>
          <w:p w14:paraId="4865072F" w14:textId="244278B8" w:rsidR="00245224" w:rsidRPr="00B57B36" w:rsidRDefault="00245224" w:rsidP="00C83376">
            <w:pPr>
              <w:pStyle w:val="CETBodytext"/>
              <w:ind w:right="-1"/>
              <w:jc w:val="center"/>
              <w:rPr>
                <w:rFonts w:cs="Arial"/>
                <w:szCs w:val="18"/>
                <w:lang w:val="en-GB"/>
              </w:rPr>
            </w:pPr>
            <w:r>
              <w:rPr>
                <w:rFonts w:cs="Arial"/>
                <w:szCs w:val="18"/>
                <w:lang w:val="en-GB"/>
              </w:rPr>
              <w:t>Yes</w:t>
            </w:r>
          </w:p>
        </w:tc>
        <w:tc>
          <w:tcPr>
            <w:tcW w:w="1892" w:type="dxa"/>
            <w:shd w:val="clear" w:color="auto" w:fill="FFFFFF"/>
            <w:vAlign w:val="center"/>
          </w:tcPr>
          <w:p w14:paraId="66D16B6A" w14:textId="2CF2FDBA" w:rsidR="00245224" w:rsidRPr="00B57B36" w:rsidRDefault="00245224" w:rsidP="00C83376">
            <w:pPr>
              <w:pStyle w:val="CETBodytext"/>
              <w:ind w:right="-1"/>
              <w:jc w:val="center"/>
              <w:rPr>
                <w:rFonts w:cs="Arial"/>
                <w:szCs w:val="18"/>
                <w:lang w:val="en-GB"/>
              </w:rPr>
            </w:pPr>
            <w:r>
              <w:rPr>
                <w:rFonts w:cs="Arial"/>
                <w:szCs w:val="18"/>
                <w:lang w:val="en-GB"/>
              </w:rPr>
              <w:t>30.9</w:t>
            </w:r>
          </w:p>
        </w:tc>
        <w:tc>
          <w:tcPr>
            <w:tcW w:w="1892" w:type="dxa"/>
            <w:shd w:val="clear" w:color="auto" w:fill="FFFFFF"/>
            <w:vAlign w:val="center"/>
          </w:tcPr>
          <w:p w14:paraId="0B12BD71" w14:textId="75961671" w:rsidR="00245224" w:rsidRPr="00B57B36" w:rsidRDefault="00245224" w:rsidP="00C83376">
            <w:pPr>
              <w:pStyle w:val="CETBodytext"/>
              <w:ind w:right="-1"/>
              <w:jc w:val="center"/>
              <w:rPr>
                <w:rFonts w:cs="Arial"/>
                <w:szCs w:val="18"/>
                <w:lang w:val="en-GB"/>
              </w:rPr>
            </w:pPr>
            <w:r>
              <w:rPr>
                <w:rFonts w:cs="Arial"/>
                <w:szCs w:val="18"/>
                <w:lang w:val="en-GB"/>
              </w:rPr>
              <w:t>10</w:t>
            </w:r>
          </w:p>
        </w:tc>
      </w:tr>
      <w:tr w:rsidR="00245224" w:rsidRPr="00B57B36" w14:paraId="67C2F677" w14:textId="77777777" w:rsidTr="00245224">
        <w:trPr>
          <w:trHeight w:val="194"/>
          <w:jc w:val="center"/>
        </w:trPr>
        <w:tc>
          <w:tcPr>
            <w:tcW w:w="1892" w:type="dxa"/>
            <w:shd w:val="clear" w:color="auto" w:fill="FFFFFF"/>
            <w:vAlign w:val="center"/>
          </w:tcPr>
          <w:p w14:paraId="2B181135" w14:textId="6E1254C8" w:rsidR="00245224" w:rsidRDefault="00245224" w:rsidP="00C83376">
            <w:pPr>
              <w:pStyle w:val="CETBodytext"/>
              <w:ind w:right="-1"/>
              <w:jc w:val="center"/>
              <w:rPr>
                <w:rFonts w:cs="Arial"/>
                <w:szCs w:val="18"/>
                <w:lang w:val="en-GB"/>
              </w:rPr>
            </w:pPr>
            <w:r>
              <w:rPr>
                <w:rFonts w:cs="Arial"/>
                <w:szCs w:val="18"/>
                <w:lang w:val="en-GB"/>
              </w:rPr>
              <w:t>S15C1</w:t>
            </w:r>
          </w:p>
        </w:tc>
        <w:tc>
          <w:tcPr>
            <w:tcW w:w="1892" w:type="dxa"/>
            <w:shd w:val="clear" w:color="auto" w:fill="FFFFFF"/>
            <w:vAlign w:val="center"/>
          </w:tcPr>
          <w:p w14:paraId="5558D83F" w14:textId="2944093E" w:rsidR="00245224" w:rsidRPr="00B57B36" w:rsidRDefault="00245224" w:rsidP="00C83376">
            <w:pPr>
              <w:pStyle w:val="CETBodytext"/>
              <w:ind w:right="-1"/>
              <w:jc w:val="center"/>
              <w:rPr>
                <w:rFonts w:cs="Arial"/>
                <w:szCs w:val="18"/>
                <w:lang w:val="en-GB"/>
              </w:rPr>
            </w:pPr>
            <w:r>
              <w:rPr>
                <w:rFonts w:cs="Arial"/>
                <w:szCs w:val="18"/>
                <w:lang w:val="en-GB"/>
              </w:rPr>
              <w:t>Yes</w:t>
            </w:r>
          </w:p>
        </w:tc>
        <w:tc>
          <w:tcPr>
            <w:tcW w:w="1892" w:type="dxa"/>
            <w:shd w:val="clear" w:color="auto" w:fill="FFFFFF"/>
            <w:vAlign w:val="center"/>
          </w:tcPr>
          <w:p w14:paraId="4C6CD95B" w14:textId="3B6569B1" w:rsidR="00245224" w:rsidRPr="00B57B36" w:rsidRDefault="001763BE" w:rsidP="00C83376">
            <w:pPr>
              <w:pStyle w:val="CETBodytext"/>
              <w:ind w:right="-1"/>
              <w:jc w:val="center"/>
              <w:rPr>
                <w:rFonts w:cs="Arial"/>
                <w:szCs w:val="18"/>
                <w:lang w:val="en-GB"/>
              </w:rPr>
            </w:pPr>
            <w:r>
              <w:rPr>
                <w:rFonts w:cs="Arial"/>
                <w:szCs w:val="18"/>
                <w:lang w:val="en-GB"/>
              </w:rPr>
              <w:t>31.4</w:t>
            </w:r>
          </w:p>
        </w:tc>
        <w:tc>
          <w:tcPr>
            <w:tcW w:w="1892" w:type="dxa"/>
            <w:shd w:val="clear" w:color="auto" w:fill="FFFFFF"/>
            <w:vAlign w:val="center"/>
          </w:tcPr>
          <w:p w14:paraId="06DB4431" w14:textId="728E1C76" w:rsidR="00245224" w:rsidRPr="00B57B36" w:rsidRDefault="00245224" w:rsidP="00C83376">
            <w:pPr>
              <w:pStyle w:val="CETBodytext"/>
              <w:ind w:right="-1"/>
              <w:jc w:val="center"/>
              <w:rPr>
                <w:rFonts w:cs="Arial"/>
                <w:szCs w:val="18"/>
                <w:lang w:val="en-GB"/>
              </w:rPr>
            </w:pPr>
            <w:r>
              <w:rPr>
                <w:rFonts w:cs="Arial"/>
                <w:szCs w:val="18"/>
                <w:lang w:val="en-GB"/>
              </w:rPr>
              <w:t>15</w:t>
            </w:r>
          </w:p>
        </w:tc>
      </w:tr>
      <w:tr w:rsidR="00245224" w:rsidRPr="00B57B36" w14:paraId="5705376E" w14:textId="77777777" w:rsidTr="00245224">
        <w:trPr>
          <w:trHeight w:val="194"/>
          <w:jc w:val="center"/>
        </w:trPr>
        <w:tc>
          <w:tcPr>
            <w:tcW w:w="1892" w:type="dxa"/>
            <w:shd w:val="clear" w:color="auto" w:fill="FFFFFF"/>
            <w:vAlign w:val="center"/>
          </w:tcPr>
          <w:p w14:paraId="61764AD9" w14:textId="1B273C97" w:rsidR="00245224" w:rsidRDefault="00245224" w:rsidP="00C83376">
            <w:pPr>
              <w:pStyle w:val="CETBodytext"/>
              <w:ind w:right="-1"/>
              <w:jc w:val="center"/>
              <w:rPr>
                <w:rFonts w:cs="Arial"/>
                <w:szCs w:val="18"/>
                <w:lang w:val="en-GB"/>
              </w:rPr>
            </w:pPr>
            <w:r>
              <w:rPr>
                <w:rFonts w:cs="Arial"/>
                <w:szCs w:val="18"/>
                <w:lang w:val="en-GB"/>
              </w:rPr>
              <w:t>S15C2</w:t>
            </w:r>
          </w:p>
        </w:tc>
        <w:tc>
          <w:tcPr>
            <w:tcW w:w="1892" w:type="dxa"/>
            <w:shd w:val="clear" w:color="auto" w:fill="FFFFFF"/>
            <w:vAlign w:val="center"/>
          </w:tcPr>
          <w:p w14:paraId="12224DF0" w14:textId="1936A6AE" w:rsidR="00245224" w:rsidRPr="00B57B36" w:rsidRDefault="00245224" w:rsidP="00C83376">
            <w:pPr>
              <w:pStyle w:val="CETBodytext"/>
              <w:ind w:right="-1"/>
              <w:jc w:val="center"/>
              <w:rPr>
                <w:rFonts w:cs="Arial"/>
                <w:szCs w:val="18"/>
                <w:lang w:val="en-GB"/>
              </w:rPr>
            </w:pPr>
            <w:r>
              <w:rPr>
                <w:rFonts w:cs="Arial"/>
                <w:szCs w:val="18"/>
                <w:lang w:val="en-GB"/>
              </w:rPr>
              <w:t>Yes</w:t>
            </w:r>
          </w:p>
        </w:tc>
        <w:tc>
          <w:tcPr>
            <w:tcW w:w="1892" w:type="dxa"/>
            <w:shd w:val="clear" w:color="auto" w:fill="FFFFFF"/>
            <w:vAlign w:val="center"/>
          </w:tcPr>
          <w:p w14:paraId="4914A144" w14:textId="2630B597" w:rsidR="00245224" w:rsidRPr="00B57B36" w:rsidRDefault="00245224" w:rsidP="00C83376">
            <w:pPr>
              <w:pStyle w:val="CETBodytext"/>
              <w:ind w:right="-1"/>
              <w:jc w:val="center"/>
              <w:rPr>
                <w:rFonts w:cs="Arial"/>
                <w:szCs w:val="18"/>
                <w:lang w:val="en-GB"/>
              </w:rPr>
            </w:pPr>
            <w:r>
              <w:rPr>
                <w:rFonts w:cs="Arial"/>
                <w:szCs w:val="18"/>
                <w:lang w:val="en-GB"/>
              </w:rPr>
              <w:t>31.8</w:t>
            </w:r>
          </w:p>
        </w:tc>
        <w:tc>
          <w:tcPr>
            <w:tcW w:w="1892" w:type="dxa"/>
            <w:shd w:val="clear" w:color="auto" w:fill="FFFFFF"/>
            <w:vAlign w:val="center"/>
          </w:tcPr>
          <w:p w14:paraId="377B8692" w14:textId="3F55E291" w:rsidR="00245224" w:rsidRPr="00B57B36" w:rsidRDefault="00245224" w:rsidP="00C83376">
            <w:pPr>
              <w:pStyle w:val="CETBodytext"/>
              <w:ind w:right="-1"/>
              <w:jc w:val="center"/>
              <w:rPr>
                <w:rFonts w:cs="Arial"/>
                <w:szCs w:val="18"/>
                <w:lang w:val="en-GB"/>
              </w:rPr>
            </w:pPr>
            <w:r>
              <w:rPr>
                <w:rFonts w:cs="Arial"/>
                <w:szCs w:val="18"/>
                <w:lang w:val="en-GB"/>
              </w:rPr>
              <w:t>15</w:t>
            </w:r>
          </w:p>
        </w:tc>
      </w:tr>
      <w:tr w:rsidR="00245224" w:rsidRPr="00B57B36" w14:paraId="6E769C48" w14:textId="77777777" w:rsidTr="00245224">
        <w:trPr>
          <w:trHeight w:val="194"/>
          <w:jc w:val="center"/>
        </w:trPr>
        <w:tc>
          <w:tcPr>
            <w:tcW w:w="1892" w:type="dxa"/>
            <w:shd w:val="clear" w:color="auto" w:fill="FFFFFF"/>
            <w:vAlign w:val="center"/>
          </w:tcPr>
          <w:p w14:paraId="1986574F" w14:textId="60C3BCFE" w:rsidR="00245224" w:rsidRDefault="00245224" w:rsidP="00C83376">
            <w:pPr>
              <w:pStyle w:val="CETBodytext"/>
              <w:ind w:right="-1"/>
              <w:jc w:val="center"/>
              <w:rPr>
                <w:rFonts w:cs="Arial"/>
                <w:szCs w:val="18"/>
                <w:lang w:val="en-GB"/>
              </w:rPr>
            </w:pPr>
            <w:r>
              <w:rPr>
                <w:rFonts w:cs="Arial"/>
                <w:szCs w:val="18"/>
                <w:lang w:val="en-GB"/>
              </w:rPr>
              <w:t>S20C</w:t>
            </w:r>
          </w:p>
        </w:tc>
        <w:tc>
          <w:tcPr>
            <w:tcW w:w="1892" w:type="dxa"/>
            <w:shd w:val="clear" w:color="auto" w:fill="FFFFFF"/>
            <w:vAlign w:val="center"/>
          </w:tcPr>
          <w:p w14:paraId="51D04192" w14:textId="06BB5001" w:rsidR="00245224" w:rsidRPr="00B57B36" w:rsidRDefault="00245224" w:rsidP="00C83376">
            <w:pPr>
              <w:pStyle w:val="CETBodytext"/>
              <w:ind w:right="-1"/>
              <w:jc w:val="center"/>
              <w:rPr>
                <w:rFonts w:cs="Arial"/>
                <w:szCs w:val="18"/>
                <w:lang w:val="en-GB"/>
              </w:rPr>
            </w:pPr>
            <w:r>
              <w:rPr>
                <w:rFonts w:cs="Arial"/>
                <w:szCs w:val="18"/>
                <w:lang w:val="en-GB"/>
              </w:rPr>
              <w:t>Yes</w:t>
            </w:r>
          </w:p>
        </w:tc>
        <w:tc>
          <w:tcPr>
            <w:tcW w:w="1892" w:type="dxa"/>
            <w:shd w:val="clear" w:color="auto" w:fill="FFFFFF"/>
            <w:vAlign w:val="center"/>
          </w:tcPr>
          <w:p w14:paraId="3D707001" w14:textId="37F3635E" w:rsidR="00245224" w:rsidRPr="00B57B36" w:rsidRDefault="00245224" w:rsidP="00C83376">
            <w:pPr>
              <w:pStyle w:val="CETBodytext"/>
              <w:ind w:right="-1"/>
              <w:jc w:val="center"/>
              <w:rPr>
                <w:rFonts w:cs="Arial"/>
                <w:szCs w:val="18"/>
                <w:lang w:val="en-GB"/>
              </w:rPr>
            </w:pPr>
            <w:r>
              <w:rPr>
                <w:rFonts w:cs="Arial"/>
                <w:szCs w:val="18"/>
                <w:lang w:val="en-GB"/>
              </w:rPr>
              <w:t>30.4</w:t>
            </w:r>
          </w:p>
        </w:tc>
        <w:tc>
          <w:tcPr>
            <w:tcW w:w="1892" w:type="dxa"/>
            <w:shd w:val="clear" w:color="auto" w:fill="FFFFFF"/>
            <w:vAlign w:val="center"/>
          </w:tcPr>
          <w:p w14:paraId="1D85BAC5" w14:textId="566A0CB9" w:rsidR="00245224" w:rsidRPr="00B57B36" w:rsidRDefault="00245224" w:rsidP="00C83376">
            <w:pPr>
              <w:pStyle w:val="CETBodytext"/>
              <w:ind w:right="-1"/>
              <w:jc w:val="center"/>
              <w:rPr>
                <w:rFonts w:cs="Arial"/>
                <w:szCs w:val="18"/>
                <w:lang w:val="en-GB"/>
              </w:rPr>
            </w:pPr>
            <w:r>
              <w:rPr>
                <w:rFonts w:cs="Arial"/>
                <w:szCs w:val="18"/>
                <w:lang w:val="en-GB"/>
              </w:rPr>
              <w:t>20</w:t>
            </w:r>
          </w:p>
        </w:tc>
      </w:tr>
    </w:tbl>
    <w:p w14:paraId="4520EF54" w14:textId="0957604C" w:rsidR="0081186A" w:rsidRDefault="00551D51" w:rsidP="00551D51">
      <w:pPr>
        <w:pStyle w:val="CETHeading1"/>
      </w:pPr>
      <w:r>
        <w:t>Mathematical Modeling</w:t>
      </w:r>
    </w:p>
    <w:p w14:paraId="228BC8A1" w14:textId="5ECD56EF" w:rsidR="0081186A" w:rsidRDefault="00501569" w:rsidP="0081186A">
      <w:pPr>
        <w:pStyle w:val="CETBodytext"/>
      </w:pPr>
      <w:r>
        <w:t xml:space="preserve">Based on experimental analysis on the TGA and DTG curves (shown in the next section), the following mechanisms are proposed to represent the thermal </w:t>
      </w:r>
      <w:r w:rsidR="005E6202">
        <w:t>decomposition</w:t>
      </w:r>
      <w:r>
        <w:t xml:space="preserve"> of </w:t>
      </w:r>
      <w:proofErr w:type="spellStart"/>
      <w:proofErr w:type="gramStart"/>
      <w:r w:rsidRPr="00B10510">
        <w:rPr>
          <w:lang w:val="en-GB"/>
        </w:rPr>
        <w:t>KAl</w:t>
      </w:r>
      <w:proofErr w:type="spellEnd"/>
      <w:r w:rsidRPr="00B10510">
        <w:rPr>
          <w:lang w:val="en-GB"/>
        </w:rPr>
        <w:t>(</w:t>
      </w:r>
      <w:proofErr w:type="gramEnd"/>
      <w:r w:rsidRPr="00B10510">
        <w:rPr>
          <w:lang w:val="en-GB"/>
        </w:rPr>
        <w:t>SO</w:t>
      </w:r>
      <w:r w:rsidRPr="00B10510">
        <w:rPr>
          <w:vertAlign w:val="subscript"/>
          <w:lang w:val="en-GB"/>
        </w:rPr>
        <w:t>4</w:t>
      </w:r>
      <w:r w:rsidRPr="00B10510">
        <w:rPr>
          <w:lang w:val="en-GB"/>
        </w:rPr>
        <w:t>)</w:t>
      </w:r>
      <w:r w:rsidRPr="00B10510">
        <w:rPr>
          <w:vertAlign w:val="subscript"/>
          <w:lang w:val="en-GB"/>
        </w:rPr>
        <w:t>2</w:t>
      </w:r>
      <w:r w:rsidRPr="00B10510">
        <w:rPr>
          <w:lang w:val="en-GB"/>
        </w:rPr>
        <w:t>∙12H</w:t>
      </w:r>
      <w:r w:rsidRPr="00B10510">
        <w:rPr>
          <w:vertAlign w:val="subscript"/>
          <w:lang w:val="en-GB"/>
        </w:rPr>
        <w:t>2</w:t>
      </w:r>
      <w:r w:rsidRPr="00B10510">
        <w:rPr>
          <w:lang w:val="en-GB"/>
        </w:rPr>
        <w:t>O</w:t>
      </w:r>
      <w:r>
        <w:rPr>
          <w:lang w:val="en-GB"/>
        </w:rPr>
        <w:t xml:space="preserve"> under inert atmosphere with the absence and the presence of charcoal as reducing agent respectively. </w:t>
      </w:r>
    </w:p>
    <w:p w14:paraId="68D83A6B" w14:textId="520E5215" w:rsidR="00165EFF" w:rsidRDefault="002244B0" w:rsidP="00501569">
      <w:pPr>
        <w:pStyle w:val="CETBodytext"/>
        <w:jc w:val="center"/>
      </w:pPr>
      <w:r>
        <w:rPr>
          <w:noProof/>
        </w:rPr>
        <w:drawing>
          <wp:inline distT="0" distB="0" distL="0" distR="0" wp14:anchorId="6C2E7835" wp14:editId="3125AC79">
            <wp:extent cx="4023360" cy="8008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1.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23360" cy="800823"/>
                    </a:xfrm>
                    <a:prstGeom prst="rect">
                      <a:avLst/>
                    </a:prstGeom>
                  </pic:spPr>
                </pic:pic>
              </a:graphicData>
            </a:graphic>
          </wp:inline>
        </w:drawing>
      </w:r>
    </w:p>
    <w:p w14:paraId="3D60D348" w14:textId="1A540E72" w:rsidR="00A87A41" w:rsidRDefault="00A87A41" w:rsidP="00A87A41">
      <w:pPr>
        <w:pStyle w:val="CETCaption"/>
      </w:pPr>
      <w:r w:rsidRPr="00B57B36">
        <w:t xml:space="preserve">Figure 1: </w:t>
      </w:r>
      <w:r>
        <w:t xml:space="preserve">Kinetic mechanism for </w:t>
      </w:r>
      <w:proofErr w:type="spellStart"/>
      <w:proofErr w:type="gramStart"/>
      <w:r w:rsidRPr="00B10510">
        <w:t>KAl</w:t>
      </w:r>
      <w:proofErr w:type="spellEnd"/>
      <w:r w:rsidRPr="00B10510">
        <w:t>(</w:t>
      </w:r>
      <w:proofErr w:type="gramEnd"/>
      <w:r w:rsidRPr="00B10510">
        <w:t>SO</w:t>
      </w:r>
      <w:r w:rsidRPr="00B10510">
        <w:rPr>
          <w:vertAlign w:val="subscript"/>
        </w:rPr>
        <w:t>4</w:t>
      </w:r>
      <w:r w:rsidRPr="00B10510">
        <w:t>)</w:t>
      </w:r>
      <w:r w:rsidRPr="00B10510">
        <w:rPr>
          <w:vertAlign w:val="subscript"/>
        </w:rPr>
        <w:t>2</w:t>
      </w:r>
      <w:r w:rsidRPr="00B10510">
        <w:t>∙12H</w:t>
      </w:r>
      <w:r w:rsidRPr="00B10510">
        <w:rPr>
          <w:vertAlign w:val="subscript"/>
        </w:rPr>
        <w:t>2</w:t>
      </w:r>
      <w:r w:rsidRPr="00B10510">
        <w:t>O</w:t>
      </w:r>
      <w:r>
        <w:t xml:space="preserve"> thermal </w:t>
      </w:r>
      <w:r w:rsidR="005E6202">
        <w:t>decomposition</w:t>
      </w:r>
      <w:r>
        <w:t xml:space="preserve"> in </w:t>
      </w:r>
      <w:r w:rsidR="00AB66B6">
        <w:t xml:space="preserve">an </w:t>
      </w:r>
      <w:r>
        <w:t>inert atmosphere</w:t>
      </w:r>
    </w:p>
    <w:p w14:paraId="74D1068E" w14:textId="77777777" w:rsidR="00501569" w:rsidRDefault="0054680E" w:rsidP="00501569">
      <w:pPr>
        <w:pStyle w:val="CETCaption"/>
        <w:jc w:val="center"/>
      </w:pPr>
      <w:r>
        <w:rPr>
          <w:i w:val="0"/>
          <w:noProof/>
          <w:lang w:val="en-US"/>
        </w:rPr>
        <w:drawing>
          <wp:inline distT="0" distB="0" distL="0" distR="0" wp14:anchorId="413BB2B1" wp14:editId="3BFAF66A">
            <wp:extent cx="3566160" cy="937097"/>
            <wp:effectExtent l="0" t="0" r="0"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2.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6160" cy="937097"/>
                    </a:xfrm>
                    <a:prstGeom prst="rect">
                      <a:avLst/>
                    </a:prstGeom>
                  </pic:spPr>
                </pic:pic>
              </a:graphicData>
            </a:graphic>
          </wp:inline>
        </w:drawing>
      </w:r>
    </w:p>
    <w:p w14:paraId="4602CAA4" w14:textId="3617AD88" w:rsidR="0054680E" w:rsidRPr="00501569" w:rsidRDefault="0054680E" w:rsidP="00501569">
      <w:pPr>
        <w:pStyle w:val="CETCaption"/>
      </w:pPr>
      <w:r w:rsidRPr="00501569">
        <w:t xml:space="preserve">Figure 2: Kinetic mechanism for </w:t>
      </w:r>
      <w:proofErr w:type="spellStart"/>
      <w:proofErr w:type="gramStart"/>
      <w:r w:rsidRPr="00501569">
        <w:t>KAl</w:t>
      </w:r>
      <w:proofErr w:type="spellEnd"/>
      <w:r w:rsidRPr="00501569">
        <w:t>(</w:t>
      </w:r>
      <w:proofErr w:type="gramEnd"/>
      <w:r w:rsidRPr="00501569">
        <w:t>SO</w:t>
      </w:r>
      <w:r w:rsidRPr="00E551D1">
        <w:rPr>
          <w:vertAlign w:val="subscript"/>
        </w:rPr>
        <w:t>4</w:t>
      </w:r>
      <w:r w:rsidRPr="00501569">
        <w:t>)</w:t>
      </w:r>
      <w:r w:rsidRPr="00E551D1">
        <w:rPr>
          <w:vertAlign w:val="subscript"/>
        </w:rPr>
        <w:t>2</w:t>
      </w:r>
      <w:r w:rsidRPr="00501569">
        <w:t>∙12H</w:t>
      </w:r>
      <w:r w:rsidRPr="00E551D1">
        <w:rPr>
          <w:vertAlign w:val="subscript"/>
        </w:rPr>
        <w:t>2</w:t>
      </w:r>
      <w:r w:rsidRPr="00501569">
        <w:t xml:space="preserve">O </w:t>
      </w:r>
      <w:r w:rsidR="00D92C6D" w:rsidRPr="00501569">
        <w:t xml:space="preserve">and charcoal </w:t>
      </w:r>
      <w:r w:rsidRPr="00501569">
        <w:t xml:space="preserve">thermal </w:t>
      </w:r>
      <w:r w:rsidR="005E6202">
        <w:t>decomposition</w:t>
      </w:r>
      <w:r w:rsidRPr="00501569">
        <w:t xml:space="preserve"> in </w:t>
      </w:r>
      <w:r w:rsidR="00AB66B6">
        <w:t xml:space="preserve">an </w:t>
      </w:r>
      <w:r w:rsidRPr="00501569">
        <w:t xml:space="preserve">inert atmosphere </w:t>
      </w:r>
    </w:p>
    <w:p w14:paraId="09EBE870" w14:textId="0F424AEE" w:rsidR="00C3649A" w:rsidRPr="00C3649A" w:rsidRDefault="00C3649A" w:rsidP="009A69A2">
      <w:pPr>
        <w:pStyle w:val="CETBodytext"/>
      </w:pPr>
      <w:r w:rsidRPr="00C3649A">
        <w:lastRenderedPageBreak/>
        <w:t xml:space="preserve">where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t xml:space="preserve"> (from </w:t>
      </w:r>
      <m:oMath>
        <m:r>
          <w:rPr>
            <w:rFonts w:ascii="Cambria Math" w:hAnsi="Cambria Math"/>
          </w:rPr>
          <m:t>i</m:t>
        </m:r>
      </m:oMath>
      <w:r>
        <w:t xml:space="preserve"> = 1 to 4) is the kinetic reaction constant from the mechanism of </w:t>
      </w:r>
      <w:proofErr w:type="spellStart"/>
      <w:r w:rsidRPr="00C3649A">
        <w:rPr>
          <w:i/>
        </w:rPr>
        <w:t>KAl</w:t>
      </w:r>
      <w:proofErr w:type="spellEnd"/>
      <w:r w:rsidRPr="00C3649A">
        <w:rPr>
          <w:i/>
        </w:rPr>
        <w:t>(SO</w:t>
      </w:r>
      <w:r w:rsidRPr="00C3649A">
        <w:rPr>
          <w:i/>
          <w:vertAlign w:val="subscript"/>
        </w:rPr>
        <w:t>4</w:t>
      </w:r>
      <w:r w:rsidRPr="00C3649A">
        <w:rPr>
          <w:i/>
        </w:rPr>
        <w:t>)</w:t>
      </w:r>
      <w:r w:rsidRPr="00C3649A">
        <w:rPr>
          <w:i/>
          <w:vertAlign w:val="subscript"/>
        </w:rPr>
        <w:t>2</w:t>
      </w:r>
      <w:r w:rsidRPr="00C3649A">
        <w:rPr>
          <w:i/>
        </w:rPr>
        <w:t>∙12H</w:t>
      </w:r>
      <w:r w:rsidRPr="00C3649A">
        <w:rPr>
          <w:i/>
          <w:vertAlign w:val="subscript"/>
        </w:rPr>
        <w:t>2</w:t>
      </w:r>
      <w:r w:rsidRPr="00C3649A">
        <w:rPr>
          <w:i/>
        </w:rPr>
        <w:t>O</w:t>
      </w:r>
      <w:r>
        <w:t xml:space="preserve"> thermal de</w:t>
      </w:r>
      <w:r w:rsidR="005E6202">
        <w:t>composition</w:t>
      </w:r>
      <w:r>
        <w:t xml:space="preserve"> in inert atmosphere</w:t>
      </w:r>
      <w:r w:rsidR="00802887">
        <w:t>,</w:t>
      </w:r>
      <w:r>
        <w:t xml:space="preserve"> and </w:t>
      </w:r>
      <m:oMath>
        <m:sSub>
          <m:sSubPr>
            <m:ctrlPr>
              <w:rPr>
                <w:rFonts w:ascii="Cambria Math" w:hAnsi="Cambria Math"/>
                <w:i/>
              </w:rPr>
            </m:ctrlPr>
          </m:sSubPr>
          <m:e>
            <m:r>
              <w:rPr>
                <w:rFonts w:ascii="Cambria Math" w:hAnsi="Cambria Math"/>
              </w:rPr>
              <m:t>k</m:t>
            </m:r>
          </m:e>
          <m:sub>
            <m:r>
              <w:rPr>
                <w:rFonts w:ascii="Cambria Math" w:hAnsi="Cambria Math"/>
              </w:rPr>
              <m:t>ic</m:t>
            </m:r>
          </m:sub>
        </m:sSub>
      </m:oMath>
      <w:r>
        <w:t xml:space="preserve"> (from </w:t>
      </w:r>
      <m:oMath>
        <m:r>
          <w:rPr>
            <w:rFonts w:ascii="Cambria Math" w:hAnsi="Cambria Math"/>
          </w:rPr>
          <m:t>i</m:t>
        </m:r>
      </m:oMath>
      <w:r>
        <w:t xml:space="preserve"> = 1 to 3) is the kinetic reaction constant from the mechanism of </w:t>
      </w:r>
      <w:proofErr w:type="spellStart"/>
      <w:r w:rsidRPr="00C3649A">
        <w:rPr>
          <w:i/>
        </w:rPr>
        <w:t>KAl</w:t>
      </w:r>
      <w:proofErr w:type="spellEnd"/>
      <w:r w:rsidRPr="00C3649A">
        <w:rPr>
          <w:i/>
        </w:rPr>
        <w:t>(SO</w:t>
      </w:r>
      <w:r w:rsidRPr="00C3649A">
        <w:rPr>
          <w:i/>
          <w:vertAlign w:val="subscript"/>
        </w:rPr>
        <w:t>4</w:t>
      </w:r>
      <w:r w:rsidRPr="00C3649A">
        <w:rPr>
          <w:i/>
        </w:rPr>
        <w:t>)</w:t>
      </w:r>
      <w:r w:rsidRPr="00C3649A">
        <w:rPr>
          <w:i/>
          <w:vertAlign w:val="subscript"/>
        </w:rPr>
        <w:t>2</w:t>
      </w:r>
      <w:r w:rsidRPr="00C3649A">
        <w:rPr>
          <w:i/>
        </w:rPr>
        <w:t>∙12H</w:t>
      </w:r>
      <w:r w:rsidRPr="00C3649A">
        <w:rPr>
          <w:i/>
          <w:vertAlign w:val="subscript"/>
        </w:rPr>
        <w:t>2</w:t>
      </w:r>
      <w:r w:rsidRPr="00C3649A">
        <w:rPr>
          <w:i/>
        </w:rPr>
        <w:t>O</w:t>
      </w:r>
      <w:r>
        <w:t xml:space="preserve"> </w:t>
      </w:r>
      <w:r w:rsidRPr="00501569">
        <w:t>and charcoal thermal de</w:t>
      </w:r>
      <w:r w:rsidR="005E6202">
        <w:t>composition</w:t>
      </w:r>
      <w:r w:rsidRPr="00501569">
        <w:t xml:space="preserve"> in inert atmosphere</w:t>
      </w:r>
      <w:r>
        <w:t xml:space="preserve">. All reaction constants follow Arrhenius equation and they can be represented according to </w:t>
      </w:r>
      <w:proofErr w:type="gramStart"/>
      <w:r>
        <w:t>Eq.(</w:t>
      </w:r>
      <w:proofErr w:type="gramEnd"/>
      <w:r>
        <w:t xml:space="preserve">1).  </w:t>
      </w:r>
      <w:r w:rsidRPr="00501569">
        <w:t xml:space="preserve"> </w:t>
      </w:r>
    </w:p>
    <w:tbl>
      <w:tblPr>
        <w:tblW w:w="5000" w:type="pct"/>
        <w:tblLook w:val="04A0" w:firstRow="1" w:lastRow="0" w:firstColumn="1" w:lastColumn="0" w:noHBand="0" w:noVBand="1"/>
      </w:tblPr>
      <w:tblGrid>
        <w:gridCol w:w="7983"/>
        <w:gridCol w:w="804"/>
      </w:tblGrid>
      <w:tr w:rsidR="00CA3F79" w:rsidRPr="00B57B36" w14:paraId="452573A1" w14:textId="77777777" w:rsidTr="00140B0A">
        <w:tc>
          <w:tcPr>
            <w:tcW w:w="7974" w:type="dxa"/>
            <w:shd w:val="clear" w:color="auto" w:fill="auto"/>
            <w:vAlign w:val="center"/>
          </w:tcPr>
          <w:p w14:paraId="5A0282F1" w14:textId="04E4817D" w:rsidR="00CA3F79" w:rsidRPr="00802887" w:rsidRDefault="00660822" w:rsidP="00442164">
            <w:pPr>
              <w:pStyle w:val="CETEquation"/>
            </w:pPr>
            <m:oMathPara>
              <m:oMath>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=exp</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d>
                      <m:dPr>
                        <m:ctrlPr>
                          <w:rPr>
                            <w:rFonts w:ascii="Cambria Math" w:hAnsi="Cambria Math"/>
                            <w:i/>
                          </w:rPr>
                        </m:ctrlPr>
                      </m:dPr>
                      <m:e>
                        <m:f>
                          <m:fPr>
                            <m:ctrlPr>
                              <w:rPr>
                                <w:rFonts w:ascii="Cambria Math" w:hAnsi="Cambria Math"/>
                                <w:i/>
                              </w:rPr>
                            </m:ctrlPr>
                          </m:fPr>
                          <m:num>
                            <m:r>
                              <w:rPr>
                                <w:rFonts w:ascii="Cambria Math" w:hAnsi="Cambria Math"/>
                              </w:rPr>
                              <m:t>T</m:t>
                            </m:r>
                            <m:d>
                              <m:dPr>
                                <m:ctrlPr>
                                  <w:rPr>
                                    <w:rFonts w:ascii="Cambria Math" w:hAnsi="Cambria Math"/>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ref</m:t>
                                    </m:r>
                                  </m:e>
                                  <m:sub>
                                    <m:r>
                                      <w:rPr>
                                        <w:rFonts w:ascii="Cambria Math" w:hAnsi="Cambria Math"/>
                                      </w:rPr>
                                      <m:t>i</m:t>
                                    </m:r>
                                  </m:sub>
                                </m:sSub>
                              </m:sub>
                            </m:sSub>
                            <m:d>
                              <m:dPr>
                                <m:ctrlPr>
                                  <w:rPr>
                                    <w:rFonts w:ascii="Cambria Math" w:hAnsi="Cambria Math"/>
                                  </w:rPr>
                                </m:ctrlPr>
                              </m:dPr>
                              <m:e>
                                <m:r>
                                  <w:rPr>
                                    <w:rFonts w:ascii="Cambria Math" w:hAnsi="Cambria Math"/>
                                  </w:rPr>
                                  <m:t>K</m:t>
                                </m:r>
                              </m:e>
                            </m:d>
                          </m:num>
                          <m:den>
                            <m:r>
                              <w:rPr>
                                <w:rFonts w:ascii="Cambria Math" w:hAnsi="Cambria Math"/>
                              </w:rPr>
                              <m:t>T</m:t>
                            </m:r>
                            <m:d>
                              <m:dPr>
                                <m:ctrlPr>
                                  <w:rPr>
                                    <w:rFonts w:ascii="Cambria Math" w:hAnsi="Cambria Math"/>
                                  </w:rPr>
                                </m:ctrlPr>
                              </m:dPr>
                              <m:e>
                                <m:r>
                                  <w:rPr>
                                    <w:rFonts w:ascii="Cambria Math" w:hAnsi="Cambria Math"/>
                                  </w:rPr>
                                  <m:t>K</m:t>
                                </m:r>
                              </m:e>
                            </m:d>
                          </m:den>
                        </m:f>
                      </m:e>
                    </m:d>
                  </m:e>
                </m:d>
              </m:oMath>
            </m:oMathPara>
          </w:p>
        </w:tc>
        <w:tc>
          <w:tcPr>
            <w:tcW w:w="803" w:type="dxa"/>
            <w:shd w:val="clear" w:color="auto" w:fill="auto"/>
            <w:vAlign w:val="center"/>
          </w:tcPr>
          <w:p w14:paraId="2D6635AA" w14:textId="77777777" w:rsidR="00CA3F79" w:rsidRPr="00B57B36" w:rsidRDefault="00CA3F79" w:rsidP="00442164">
            <w:pPr>
              <w:pStyle w:val="CETEquation"/>
              <w:jc w:val="right"/>
            </w:pPr>
            <w:r w:rsidRPr="00B57B36">
              <w:t>(1)</w:t>
            </w:r>
          </w:p>
        </w:tc>
      </w:tr>
    </w:tbl>
    <w:p w14:paraId="2ABF1CD5" w14:textId="324360F2" w:rsidR="00F20C82" w:rsidRDefault="00C3649A" w:rsidP="009A69A2">
      <w:pPr>
        <w:pStyle w:val="CETBodytext"/>
        <w:rPr>
          <w:rFonts w:cs="Arial"/>
        </w:rPr>
      </w:pPr>
      <w:r w:rsidRPr="00C3649A">
        <w:rPr>
          <w:rFonts w:cs="Arial"/>
          <w:color w:val="212121"/>
          <w:szCs w:val="18"/>
        </w:rPr>
        <w:t xml:space="preserve">Where </w:t>
      </w:r>
      <m:oMath>
        <m:r>
          <w:rPr>
            <w:rFonts w:ascii="Cambria Math" w:hAnsi="Cambria Math"/>
          </w:rPr>
          <m:t>T</m:t>
        </m:r>
      </m:oMath>
      <w:r w:rsidRPr="00C3649A">
        <w:rPr>
          <w:rFonts w:cs="Arial"/>
        </w:rPr>
        <w:t xml:space="preserve"> and</w:t>
      </w:r>
      <w:r w:rsidR="00CA3F79" w:rsidRPr="00C3649A">
        <w:rPr>
          <w:rFonts w:cs="Arial"/>
          <w:color w:val="212121"/>
          <w:szCs w:val="18"/>
        </w:rPr>
        <w:t xml:space="preserve"> </w:t>
      </w: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ref</m:t>
                </m:r>
              </m:e>
              <m:sub>
                <m:r>
                  <w:rPr>
                    <w:rFonts w:ascii="Cambria Math" w:hAnsi="Cambria Math"/>
                  </w:rPr>
                  <m:t>i</m:t>
                </m:r>
              </m:sub>
            </m:sSub>
          </m:sub>
        </m:sSub>
      </m:oMath>
      <w:r w:rsidR="00CA3F79" w:rsidRPr="00C3649A">
        <w:rPr>
          <w:rFonts w:cs="Arial"/>
          <w:color w:val="212121"/>
          <w:szCs w:val="18"/>
        </w:rPr>
        <w:t xml:space="preserve"> </w:t>
      </w:r>
      <w:r>
        <w:rPr>
          <w:rFonts w:cs="Arial"/>
          <w:color w:val="212121"/>
          <w:szCs w:val="18"/>
        </w:rPr>
        <w:t>are reaction and reference</w:t>
      </w:r>
      <w:r w:rsidR="00CA3F79" w:rsidRPr="00C3649A">
        <w:rPr>
          <w:rFonts w:cs="Arial"/>
          <w:color w:val="212121"/>
          <w:szCs w:val="18"/>
        </w:rPr>
        <w:t xml:space="preserve"> temperature</w:t>
      </w:r>
      <w:r>
        <w:rPr>
          <w:rFonts w:cs="Arial"/>
          <w:color w:val="212121"/>
          <w:szCs w:val="18"/>
        </w:rPr>
        <w:t>s</w:t>
      </w:r>
      <w:r w:rsidRPr="00C3649A">
        <w:rPr>
          <w:rFonts w:cs="Arial"/>
          <w:color w:val="212121"/>
          <w:szCs w:val="18"/>
        </w:rPr>
        <w:t xml:space="preserve"> for reaction </w:t>
      </w:r>
      <m:oMath>
        <m:r>
          <w:rPr>
            <w:rFonts w:ascii="Cambria Math" w:hAnsi="Cambria Math" w:cs="Arial"/>
            <w:color w:val="212121"/>
            <w:szCs w:val="18"/>
          </w:rPr>
          <m:t>i</m:t>
        </m:r>
      </m:oMath>
      <w:r w:rsidR="00140BAD">
        <w:rPr>
          <w:rFonts w:cs="Arial"/>
          <w:color w:val="212121"/>
          <w:szCs w:val="18"/>
        </w:rPr>
        <w:t xml:space="preserve"> in </w:t>
      </w:r>
      <w:r w:rsidR="00140BAD" w:rsidRPr="00140BAD">
        <w:rPr>
          <w:rFonts w:cs="Arial"/>
          <w:i/>
          <w:color w:val="212121"/>
          <w:szCs w:val="18"/>
        </w:rPr>
        <w:t>K</w:t>
      </w:r>
      <w:r>
        <w:rPr>
          <w:rFonts w:cs="Arial"/>
          <w:color w:val="212121"/>
          <w:szCs w:val="18"/>
        </w:rPr>
        <w:t>. The reference temperature is usually defined as a suitable average</w:t>
      </w:r>
      <w:r w:rsidR="005E6E0D">
        <w:rPr>
          <w:rFonts w:cs="Arial"/>
          <w:color w:val="212121"/>
          <w:szCs w:val="18"/>
        </w:rPr>
        <w:t xml:space="preserve"> for the evaluated experimental data (</w:t>
      </w:r>
      <w:proofErr w:type="spellStart"/>
      <w:r w:rsidR="005E6E0D" w:rsidRPr="005E6E0D">
        <w:t>Schwaab</w:t>
      </w:r>
      <w:proofErr w:type="spellEnd"/>
      <w:r w:rsidR="005E6E0D">
        <w:t xml:space="preserve"> </w:t>
      </w:r>
      <w:r w:rsidR="005E6E0D" w:rsidRPr="00114430">
        <w:rPr>
          <w:i/>
        </w:rPr>
        <w:t>et al</w:t>
      </w:r>
      <w:r w:rsidR="005E6E0D">
        <w:t>., 2008)</w:t>
      </w:r>
      <w:r w:rsidR="005E6E0D">
        <w:rPr>
          <w:rFonts w:cs="Arial"/>
          <w:color w:val="212121"/>
          <w:szCs w:val="18"/>
        </w:rPr>
        <w:t xml:space="preserve">. </w:t>
      </w:r>
      <w:r w:rsidR="005308CF">
        <w:rPr>
          <w:rFonts w:cs="Arial"/>
          <w:color w:val="212121"/>
          <w:szCs w:val="18"/>
        </w:rPr>
        <w:t xml:space="preserve">In this work, the values </w:t>
      </w:r>
      <w:r w:rsidR="00F20C82">
        <w:rPr>
          <w:rFonts w:cs="Arial"/>
          <w:color w:val="212121"/>
          <w:szCs w:val="18"/>
        </w:rPr>
        <w:t>set for</w:t>
      </w:r>
      <w:r w:rsidR="005308CF">
        <w:rPr>
          <w:rFonts w:cs="Arial"/>
          <w:color w:val="212121"/>
          <w:szCs w:val="18"/>
        </w:rPr>
        <w:t xml:space="preserve"> </w:t>
      </w:r>
      <m:oMath>
        <m:sSub>
          <m:sSubPr>
            <m:ctrlPr>
              <w:rPr>
                <w:rFonts w:ascii="Cambria Math" w:hAnsi="Cambria Math"/>
                <w:i/>
              </w:rPr>
            </m:ctrlPr>
          </m:sSubPr>
          <m:e>
            <m:r>
              <w:rPr>
                <w:rFonts w:ascii="Cambria Math" w:hAnsi="Cambria Math"/>
              </w:rPr>
              <m:t>T</m:t>
            </m:r>
          </m:e>
          <m:sub>
            <m:r>
              <w:rPr>
                <w:rFonts w:ascii="Cambria Math" w:hAnsi="Cambria Math"/>
              </w:rPr>
              <m:t>ref</m:t>
            </m:r>
          </m:sub>
        </m:sSub>
      </m:oMath>
      <w:r w:rsidR="00F20C82">
        <w:rPr>
          <w:rFonts w:cs="Arial"/>
        </w:rPr>
        <w:t xml:space="preserve"> are shown in Table 2.</w:t>
      </w:r>
    </w:p>
    <w:p w14:paraId="67040222" w14:textId="2A03F348" w:rsidR="00F20C82" w:rsidRPr="00B57B36" w:rsidRDefault="00F20C82" w:rsidP="00F20C82">
      <w:pPr>
        <w:pStyle w:val="CETTabletitle"/>
      </w:pPr>
      <w:r w:rsidRPr="00B57B36">
        <w:t xml:space="preserve">Table </w:t>
      </w:r>
      <w:r>
        <w:t>2</w:t>
      </w:r>
      <w:r w:rsidRPr="00B57B36">
        <w:t xml:space="preserve">: </w:t>
      </w:r>
      <w:r>
        <w:t>Experimental conditions used for</w:t>
      </w:r>
      <w:r w:rsidRPr="0081186A">
        <w:t xml:space="preserve"> thermogravimetric</w:t>
      </w:r>
      <w:r>
        <w:t xml:space="preserve"> </w:t>
      </w:r>
      <w:r w:rsidRPr="0081186A">
        <w:t>analys</w:t>
      </w:r>
      <w:r>
        <w:t>e</w:t>
      </w:r>
      <w:r w:rsidRPr="0081186A">
        <w:t>s</w:t>
      </w:r>
      <w:r>
        <w:t>.</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36"/>
        <w:gridCol w:w="2036"/>
        <w:gridCol w:w="2036"/>
        <w:gridCol w:w="2036"/>
      </w:tblGrid>
      <w:tr w:rsidR="002F1025" w:rsidRPr="00B57B36" w14:paraId="6BD654E6" w14:textId="17061341" w:rsidTr="002F1025">
        <w:trPr>
          <w:trHeight w:val="391"/>
          <w:jc w:val="center"/>
        </w:trPr>
        <w:tc>
          <w:tcPr>
            <w:tcW w:w="2036" w:type="dxa"/>
            <w:tcBorders>
              <w:top w:val="single" w:sz="12" w:space="0" w:color="008000"/>
              <w:bottom w:val="single" w:sz="6" w:space="0" w:color="008000"/>
            </w:tcBorders>
            <w:shd w:val="clear" w:color="auto" w:fill="FFFFFF"/>
            <w:vAlign w:val="center"/>
          </w:tcPr>
          <w:p w14:paraId="1FD2B183" w14:textId="29AD901C" w:rsidR="002F1025" w:rsidRPr="00B57B36" w:rsidRDefault="002F1025" w:rsidP="00442164">
            <w:pPr>
              <w:pStyle w:val="CETBodytext"/>
              <w:jc w:val="center"/>
              <w:rPr>
                <w:lang w:val="en-GB"/>
              </w:rPr>
            </w:pPr>
            <w:r>
              <w:rPr>
                <w:lang w:val="en-GB"/>
              </w:rPr>
              <w:t>Kinetic reaction constant</w:t>
            </w:r>
          </w:p>
        </w:tc>
        <w:tc>
          <w:tcPr>
            <w:tcW w:w="2036" w:type="dxa"/>
            <w:tcBorders>
              <w:top w:val="single" w:sz="12" w:space="0" w:color="008000"/>
              <w:bottom w:val="single" w:sz="6" w:space="0" w:color="008000"/>
            </w:tcBorders>
            <w:shd w:val="clear" w:color="auto" w:fill="FFFFFF"/>
            <w:vAlign w:val="center"/>
          </w:tcPr>
          <w:p w14:paraId="34162BC7" w14:textId="335A45E9" w:rsidR="002F1025" w:rsidRPr="00C3649A" w:rsidRDefault="00660822" w:rsidP="002F1025">
            <w:pPr>
              <w:pStyle w:val="CETBodytext"/>
              <w:jc w:val="center"/>
              <w:rPr>
                <w:rFonts w:cs="Arial"/>
                <w:i/>
              </w:rPr>
            </w:pPr>
            <m:oMath>
              <m:sSub>
                <m:sSubPr>
                  <m:ctrlPr>
                    <w:rPr>
                      <w:rFonts w:ascii="Cambria Math" w:hAnsi="Cambria Math"/>
                      <w:i/>
                    </w:rPr>
                  </m:ctrlPr>
                </m:sSubPr>
                <m:e>
                  <m:r>
                    <w:rPr>
                      <w:rFonts w:ascii="Cambria Math" w:hAnsi="Cambria Math"/>
                    </w:rPr>
                    <m:t>T</m:t>
                  </m:r>
                </m:e>
                <m:sub>
                  <m:r>
                    <w:rPr>
                      <w:rFonts w:ascii="Cambria Math" w:hAnsi="Cambria Math"/>
                    </w:rPr>
                    <m:t>ref</m:t>
                  </m:r>
                </m:sub>
              </m:sSub>
              <m:r>
                <w:rPr>
                  <w:rFonts w:ascii="Cambria Math" w:hAnsi="Cambria Math"/>
                </w:rPr>
                <m:t xml:space="preserve"> </m:t>
              </m:r>
              <m:d>
                <m:dPr>
                  <m:ctrlPr>
                    <w:rPr>
                      <w:rFonts w:ascii="Cambria Math" w:hAnsi="Cambria Math"/>
                      <w:i/>
                    </w:rPr>
                  </m:ctrlPr>
                </m:dPr>
                <m:e>
                  <m:r>
                    <w:rPr>
                      <w:rFonts w:ascii="Cambria Math" w:hAnsi="Cambria Math"/>
                    </w:rPr>
                    <m:t>℃</m:t>
                  </m:r>
                </m:e>
              </m:d>
            </m:oMath>
            <w:r w:rsidR="008A094F">
              <w:rPr>
                <w:rFonts w:cs="Arial"/>
                <w:i/>
              </w:rPr>
              <w:t>,</w:t>
            </w:r>
            <w:r w:rsidR="002F1025">
              <w:rPr>
                <w:rFonts w:cs="Arial"/>
                <w:i/>
              </w:rPr>
              <w:t xml:space="preserve"> 10 </w:t>
            </w:r>
            <w:r w:rsidR="006B213D" w:rsidRPr="00B469E9">
              <w:rPr>
                <w:rFonts w:ascii="Cambria Math" w:hAnsi="Cambria Math" w:cs="Cambria Math"/>
              </w:rPr>
              <w:t>℃</w:t>
            </w:r>
            <w:r w:rsidR="002F1025">
              <w:rPr>
                <w:rFonts w:cs="Arial"/>
                <w:i/>
              </w:rPr>
              <w:t xml:space="preserve"> min</w:t>
            </w:r>
            <w:r w:rsidR="002F1025" w:rsidRPr="002F1025">
              <w:rPr>
                <w:rFonts w:cs="Arial"/>
                <w:i/>
                <w:vertAlign w:val="superscript"/>
              </w:rPr>
              <w:t>-1</w:t>
            </w:r>
          </w:p>
        </w:tc>
        <w:tc>
          <w:tcPr>
            <w:tcW w:w="2036" w:type="dxa"/>
            <w:tcBorders>
              <w:top w:val="single" w:sz="12" w:space="0" w:color="008000"/>
              <w:bottom w:val="single" w:sz="6" w:space="0" w:color="008000"/>
            </w:tcBorders>
            <w:shd w:val="clear" w:color="auto" w:fill="FFFFFF"/>
            <w:vAlign w:val="center"/>
          </w:tcPr>
          <w:p w14:paraId="70F0BC4A" w14:textId="04AAA47D" w:rsidR="002F1025" w:rsidRPr="00B57B36" w:rsidRDefault="00660822" w:rsidP="00442164">
            <w:pPr>
              <w:pStyle w:val="CETBodytext"/>
              <w:jc w:val="center"/>
              <w:rPr>
                <w:lang w:val="en-GB"/>
              </w:rPr>
            </w:pPr>
            <m:oMath>
              <m:sSub>
                <m:sSubPr>
                  <m:ctrlPr>
                    <w:rPr>
                      <w:rFonts w:ascii="Cambria Math" w:hAnsi="Cambria Math"/>
                      <w:i/>
                    </w:rPr>
                  </m:ctrlPr>
                </m:sSubPr>
                <m:e>
                  <m:r>
                    <w:rPr>
                      <w:rFonts w:ascii="Cambria Math" w:hAnsi="Cambria Math"/>
                    </w:rPr>
                    <m:t>T</m:t>
                  </m:r>
                </m:e>
                <m:sub>
                  <m:r>
                    <w:rPr>
                      <w:rFonts w:ascii="Cambria Math" w:hAnsi="Cambria Math"/>
                    </w:rPr>
                    <m:t>ref</m:t>
                  </m:r>
                </m:sub>
              </m:sSub>
              <m:r>
                <w:rPr>
                  <w:rFonts w:ascii="Cambria Math" w:hAnsi="Cambria Math"/>
                </w:rPr>
                <m:t xml:space="preserve"> </m:t>
              </m:r>
              <m:d>
                <m:dPr>
                  <m:ctrlPr>
                    <w:rPr>
                      <w:rFonts w:ascii="Cambria Math" w:hAnsi="Cambria Math"/>
                      <w:i/>
                    </w:rPr>
                  </m:ctrlPr>
                </m:dPr>
                <m:e>
                  <m:r>
                    <w:rPr>
                      <w:rFonts w:ascii="Cambria Math" w:hAnsi="Cambria Math"/>
                    </w:rPr>
                    <m:t>℃</m:t>
                  </m:r>
                </m:e>
              </m:d>
            </m:oMath>
            <w:r w:rsidR="008A094F">
              <w:rPr>
                <w:rFonts w:cs="Arial"/>
                <w:i/>
              </w:rPr>
              <w:t>,</w:t>
            </w:r>
            <w:r w:rsidR="002F1025">
              <w:rPr>
                <w:rFonts w:cs="Arial"/>
                <w:i/>
              </w:rPr>
              <w:t xml:space="preserve"> 15 </w:t>
            </w:r>
            <w:r w:rsidR="006B213D" w:rsidRPr="00B469E9">
              <w:rPr>
                <w:rFonts w:ascii="Cambria Math" w:hAnsi="Cambria Math" w:cs="Cambria Math"/>
              </w:rPr>
              <w:t>℃</w:t>
            </w:r>
            <w:r w:rsidR="002F1025">
              <w:rPr>
                <w:rFonts w:cs="Arial"/>
                <w:i/>
              </w:rPr>
              <w:t xml:space="preserve"> min</w:t>
            </w:r>
            <w:r w:rsidR="002F1025" w:rsidRPr="002F1025">
              <w:rPr>
                <w:rFonts w:cs="Arial"/>
                <w:i/>
                <w:vertAlign w:val="superscript"/>
              </w:rPr>
              <w:t>-1</w:t>
            </w:r>
          </w:p>
        </w:tc>
        <w:tc>
          <w:tcPr>
            <w:tcW w:w="2036" w:type="dxa"/>
            <w:tcBorders>
              <w:top w:val="single" w:sz="12" w:space="0" w:color="008000"/>
              <w:bottom w:val="single" w:sz="6" w:space="0" w:color="008000"/>
            </w:tcBorders>
            <w:shd w:val="clear" w:color="auto" w:fill="FFFFFF"/>
            <w:vAlign w:val="center"/>
          </w:tcPr>
          <w:p w14:paraId="5F1D5132" w14:textId="22BA1C18" w:rsidR="002F1025" w:rsidRPr="00C3649A" w:rsidRDefault="00660822" w:rsidP="002F1025">
            <w:pPr>
              <w:pStyle w:val="CETBodytext"/>
              <w:jc w:val="center"/>
              <w:rPr>
                <w:rFonts w:cs="Arial"/>
                <w:i/>
              </w:rPr>
            </w:pPr>
            <m:oMath>
              <m:sSub>
                <m:sSubPr>
                  <m:ctrlPr>
                    <w:rPr>
                      <w:rFonts w:ascii="Cambria Math" w:hAnsi="Cambria Math"/>
                      <w:i/>
                    </w:rPr>
                  </m:ctrlPr>
                </m:sSubPr>
                <m:e>
                  <m:r>
                    <w:rPr>
                      <w:rFonts w:ascii="Cambria Math" w:hAnsi="Cambria Math"/>
                    </w:rPr>
                    <m:t>T</m:t>
                  </m:r>
                </m:e>
                <m:sub>
                  <m:r>
                    <w:rPr>
                      <w:rFonts w:ascii="Cambria Math" w:hAnsi="Cambria Math"/>
                    </w:rPr>
                    <m:t>ref</m:t>
                  </m:r>
                </m:sub>
              </m:sSub>
              <m:r>
                <w:rPr>
                  <w:rFonts w:ascii="Cambria Math" w:hAnsi="Cambria Math"/>
                </w:rPr>
                <m:t xml:space="preserve"> </m:t>
              </m:r>
              <m:d>
                <m:dPr>
                  <m:ctrlPr>
                    <w:rPr>
                      <w:rFonts w:ascii="Cambria Math" w:hAnsi="Cambria Math"/>
                      <w:i/>
                    </w:rPr>
                  </m:ctrlPr>
                </m:dPr>
                <m:e>
                  <m:r>
                    <w:rPr>
                      <w:rFonts w:ascii="Cambria Math" w:hAnsi="Cambria Math"/>
                    </w:rPr>
                    <m:t>℃</m:t>
                  </m:r>
                </m:e>
              </m:d>
            </m:oMath>
            <w:r w:rsidR="008A094F">
              <w:rPr>
                <w:rFonts w:cs="Arial"/>
                <w:i/>
              </w:rPr>
              <w:t>,</w:t>
            </w:r>
            <w:r w:rsidR="002F1025">
              <w:rPr>
                <w:rFonts w:cs="Arial"/>
                <w:i/>
              </w:rPr>
              <w:t xml:space="preserve"> 20 </w:t>
            </w:r>
            <w:r w:rsidR="006B213D" w:rsidRPr="00B469E9">
              <w:rPr>
                <w:rFonts w:ascii="Cambria Math" w:hAnsi="Cambria Math" w:cs="Cambria Math"/>
              </w:rPr>
              <w:t>℃</w:t>
            </w:r>
            <w:r w:rsidR="002F1025">
              <w:rPr>
                <w:rFonts w:cs="Arial"/>
                <w:i/>
              </w:rPr>
              <w:t xml:space="preserve"> min</w:t>
            </w:r>
            <w:r w:rsidR="002F1025" w:rsidRPr="002F1025">
              <w:rPr>
                <w:rFonts w:cs="Arial"/>
                <w:i/>
                <w:vertAlign w:val="superscript"/>
              </w:rPr>
              <w:t>-1</w:t>
            </w:r>
          </w:p>
        </w:tc>
      </w:tr>
      <w:tr w:rsidR="002F1025" w:rsidRPr="00B57B36" w14:paraId="3756868F" w14:textId="02C0C7EE" w:rsidTr="00550567">
        <w:trPr>
          <w:trHeight w:val="195"/>
          <w:jc w:val="center"/>
        </w:trPr>
        <w:tc>
          <w:tcPr>
            <w:tcW w:w="2036" w:type="dxa"/>
            <w:shd w:val="clear" w:color="auto" w:fill="FFFFFF"/>
            <w:vAlign w:val="center"/>
          </w:tcPr>
          <w:p w14:paraId="1883E8BA" w14:textId="015EB034" w:rsidR="002F1025" w:rsidRPr="00B57B36" w:rsidRDefault="00660822" w:rsidP="002F1025">
            <w:pPr>
              <w:pStyle w:val="CETBodytext"/>
              <w:jc w:val="center"/>
              <w:rPr>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oMath>
            </m:oMathPara>
          </w:p>
        </w:tc>
        <w:tc>
          <w:tcPr>
            <w:tcW w:w="2036" w:type="dxa"/>
            <w:shd w:val="clear" w:color="auto" w:fill="FFFFFF"/>
            <w:vAlign w:val="center"/>
          </w:tcPr>
          <w:p w14:paraId="23D75057" w14:textId="0C26BAA7" w:rsidR="002F1025" w:rsidRDefault="002F1025" w:rsidP="002F1025">
            <w:pPr>
              <w:pStyle w:val="CETBodytext"/>
              <w:jc w:val="center"/>
              <w:rPr>
                <w:lang w:val="en-GB"/>
              </w:rPr>
            </w:pPr>
            <w:r>
              <w:rPr>
                <w:lang w:val="en-GB"/>
              </w:rPr>
              <w:t>115.0</w:t>
            </w:r>
          </w:p>
        </w:tc>
        <w:tc>
          <w:tcPr>
            <w:tcW w:w="2036" w:type="dxa"/>
            <w:shd w:val="clear" w:color="auto" w:fill="FFFFFF"/>
            <w:vAlign w:val="center"/>
          </w:tcPr>
          <w:p w14:paraId="1783F413" w14:textId="519A345A" w:rsidR="002F1025" w:rsidRPr="00B57B36" w:rsidRDefault="002F1025" w:rsidP="002F1025">
            <w:pPr>
              <w:pStyle w:val="CETBodytext"/>
              <w:jc w:val="center"/>
              <w:rPr>
                <w:lang w:val="en-GB"/>
              </w:rPr>
            </w:pPr>
            <w:r>
              <w:rPr>
                <w:lang w:val="en-GB"/>
              </w:rPr>
              <w:t>115.0</w:t>
            </w:r>
          </w:p>
        </w:tc>
        <w:tc>
          <w:tcPr>
            <w:tcW w:w="2036" w:type="dxa"/>
            <w:shd w:val="clear" w:color="auto" w:fill="FFFFFF"/>
            <w:vAlign w:val="center"/>
          </w:tcPr>
          <w:p w14:paraId="38C2A3FE" w14:textId="4E4D464E" w:rsidR="002F1025" w:rsidRDefault="002F1025" w:rsidP="002F1025">
            <w:pPr>
              <w:pStyle w:val="CETBodytext"/>
              <w:jc w:val="center"/>
              <w:rPr>
                <w:lang w:val="en-GB"/>
              </w:rPr>
            </w:pPr>
            <w:r>
              <w:rPr>
                <w:lang w:val="en-GB"/>
              </w:rPr>
              <w:t>115.0</w:t>
            </w:r>
          </w:p>
        </w:tc>
      </w:tr>
      <w:tr w:rsidR="002F1025" w:rsidRPr="00B57B36" w14:paraId="5D297772" w14:textId="1E1A1966" w:rsidTr="00550567">
        <w:trPr>
          <w:trHeight w:val="195"/>
          <w:jc w:val="center"/>
        </w:trPr>
        <w:tc>
          <w:tcPr>
            <w:tcW w:w="2036" w:type="dxa"/>
            <w:shd w:val="clear" w:color="auto" w:fill="FFFFFF"/>
            <w:vAlign w:val="center"/>
          </w:tcPr>
          <w:p w14:paraId="0D74F4BE" w14:textId="22B6E618" w:rsidR="002F1025" w:rsidRPr="00B57B36" w:rsidRDefault="00660822" w:rsidP="002F1025">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2</m:t>
                    </m:r>
                  </m:sub>
                </m:sSub>
              </m:oMath>
            </m:oMathPara>
          </w:p>
        </w:tc>
        <w:tc>
          <w:tcPr>
            <w:tcW w:w="2036" w:type="dxa"/>
            <w:shd w:val="clear" w:color="auto" w:fill="FFFFFF"/>
            <w:vAlign w:val="center"/>
          </w:tcPr>
          <w:p w14:paraId="134A05A0" w14:textId="44D35A88" w:rsidR="002F1025" w:rsidRDefault="002F1025" w:rsidP="002F1025">
            <w:pPr>
              <w:pStyle w:val="CETBodytext"/>
              <w:ind w:right="-1"/>
              <w:jc w:val="center"/>
              <w:rPr>
                <w:rFonts w:cs="Arial"/>
                <w:szCs w:val="18"/>
                <w:lang w:val="en-GB"/>
              </w:rPr>
            </w:pPr>
            <w:r>
              <w:rPr>
                <w:rFonts w:cs="Arial"/>
                <w:szCs w:val="18"/>
                <w:lang w:val="en-GB"/>
              </w:rPr>
              <w:t>220.0</w:t>
            </w:r>
          </w:p>
        </w:tc>
        <w:tc>
          <w:tcPr>
            <w:tcW w:w="2036" w:type="dxa"/>
            <w:shd w:val="clear" w:color="auto" w:fill="FFFFFF"/>
            <w:vAlign w:val="center"/>
          </w:tcPr>
          <w:p w14:paraId="5ADDD9DD" w14:textId="1631E5CF" w:rsidR="002F1025" w:rsidRPr="00B57B36" w:rsidRDefault="002F1025" w:rsidP="002F1025">
            <w:pPr>
              <w:pStyle w:val="CETBodytext"/>
              <w:ind w:right="-1"/>
              <w:jc w:val="center"/>
              <w:rPr>
                <w:rFonts w:cs="Arial"/>
                <w:szCs w:val="18"/>
                <w:lang w:val="en-GB"/>
              </w:rPr>
            </w:pPr>
            <w:r>
              <w:rPr>
                <w:rFonts w:cs="Arial"/>
                <w:szCs w:val="18"/>
                <w:lang w:val="en-GB"/>
              </w:rPr>
              <w:t>220.0</w:t>
            </w:r>
          </w:p>
        </w:tc>
        <w:tc>
          <w:tcPr>
            <w:tcW w:w="2036" w:type="dxa"/>
            <w:shd w:val="clear" w:color="auto" w:fill="FFFFFF"/>
            <w:vAlign w:val="center"/>
          </w:tcPr>
          <w:p w14:paraId="6A4D2B87" w14:textId="058EED77" w:rsidR="002F1025" w:rsidRDefault="002F1025" w:rsidP="002F1025">
            <w:pPr>
              <w:pStyle w:val="CETBodytext"/>
              <w:ind w:right="-1"/>
              <w:jc w:val="center"/>
              <w:rPr>
                <w:rFonts w:cs="Arial"/>
                <w:szCs w:val="18"/>
                <w:lang w:val="en-GB"/>
              </w:rPr>
            </w:pPr>
            <w:r>
              <w:rPr>
                <w:rFonts w:cs="Arial"/>
                <w:szCs w:val="18"/>
                <w:lang w:val="en-GB"/>
              </w:rPr>
              <w:t>220.0</w:t>
            </w:r>
          </w:p>
        </w:tc>
      </w:tr>
      <w:tr w:rsidR="002F1025" w:rsidRPr="00B57B36" w14:paraId="1D58D966" w14:textId="2D8BD334" w:rsidTr="00550567">
        <w:trPr>
          <w:trHeight w:val="195"/>
          <w:jc w:val="center"/>
        </w:trPr>
        <w:tc>
          <w:tcPr>
            <w:tcW w:w="2036" w:type="dxa"/>
            <w:shd w:val="clear" w:color="auto" w:fill="FFFFFF"/>
            <w:vAlign w:val="center"/>
          </w:tcPr>
          <w:p w14:paraId="1AD83053" w14:textId="73F09ECC" w:rsidR="002F1025" w:rsidRDefault="00660822" w:rsidP="002F1025">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3</m:t>
                    </m:r>
                  </m:sub>
                </m:sSub>
              </m:oMath>
            </m:oMathPara>
          </w:p>
        </w:tc>
        <w:tc>
          <w:tcPr>
            <w:tcW w:w="2036" w:type="dxa"/>
            <w:shd w:val="clear" w:color="auto" w:fill="FFFFFF"/>
            <w:vAlign w:val="center"/>
          </w:tcPr>
          <w:p w14:paraId="720D07EC" w14:textId="3DC5DD4C" w:rsidR="002F1025" w:rsidRDefault="002F1025" w:rsidP="002F1025">
            <w:pPr>
              <w:pStyle w:val="CETBodytext"/>
              <w:ind w:right="-1"/>
              <w:jc w:val="center"/>
              <w:rPr>
                <w:rFonts w:cs="Arial"/>
                <w:szCs w:val="18"/>
                <w:lang w:val="en-GB"/>
              </w:rPr>
            </w:pPr>
            <w:r>
              <w:rPr>
                <w:rFonts w:cs="Arial"/>
                <w:szCs w:val="18"/>
                <w:lang w:val="en-GB"/>
              </w:rPr>
              <w:t>800.0</w:t>
            </w:r>
          </w:p>
        </w:tc>
        <w:tc>
          <w:tcPr>
            <w:tcW w:w="2036" w:type="dxa"/>
            <w:shd w:val="clear" w:color="auto" w:fill="FFFFFF"/>
            <w:vAlign w:val="center"/>
          </w:tcPr>
          <w:p w14:paraId="72C2A6CF" w14:textId="19C69349" w:rsidR="002F1025" w:rsidRPr="00B57B36" w:rsidRDefault="002F1025" w:rsidP="002F1025">
            <w:pPr>
              <w:pStyle w:val="CETBodytext"/>
              <w:ind w:right="-1"/>
              <w:jc w:val="center"/>
              <w:rPr>
                <w:rFonts w:cs="Arial"/>
                <w:szCs w:val="18"/>
                <w:lang w:val="en-GB"/>
              </w:rPr>
            </w:pPr>
            <w:r>
              <w:rPr>
                <w:rFonts w:cs="Arial"/>
                <w:szCs w:val="18"/>
                <w:lang w:val="en-GB"/>
              </w:rPr>
              <w:t>849.5</w:t>
            </w:r>
          </w:p>
        </w:tc>
        <w:tc>
          <w:tcPr>
            <w:tcW w:w="2036" w:type="dxa"/>
            <w:shd w:val="clear" w:color="auto" w:fill="FFFFFF"/>
            <w:vAlign w:val="center"/>
          </w:tcPr>
          <w:p w14:paraId="683240B7" w14:textId="7A9C6BCB" w:rsidR="002F1025" w:rsidRDefault="002F1025" w:rsidP="002F1025">
            <w:pPr>
              <w:pStyle w:val="CETBodytext"/>
              <w:ind w:right="-1"/>
              <w:jc w:val="center"/>
              <w:rPr>
                <w:rFonts w:cs="Arial"/>
                <w:szCs w:val="18"/>
                <w:lang w:val="en-GB"/>
              </w:rPr>
            </w:pPr>
            <w:r>
              <w:rPr>
                <w:rFonts w:cs="Arial"/>
                <w:szCs w:val="18"/>
                <w:lang w:val="en-GB"/>
              </w:rPr>
              <w:t>8</w:t>
            </w:r>
            <w:r w:rsidR="00282A4D">
              <w:rPr>
                <w:rFonts w:cs="Arial"/>
                <w:szCs w:val="18"/>
                <w:lang w:val="en-GB"/>
              </w:rPr>
              <w:t>55</w:t>
            </w:r>
            <w:r>
              <w:rPr>
                <w:rFonts w:cs="Arial"/>
                <w:szCs w:val="18"/>
                <w:lang w:val="en-GB"/>
              </w:rPr>
              <w:t>.</w:t>
            </w:r>
            <w:r w:rsidR="00282A4D">
              <w:rPr>
                <w:rFonts w:cs="Arial"/>
                <w:szCs w:val="18"/>
                <w:lang w:val="en-GB"/>
              </w:rPr>
              <w:t>0</w:t>
            </w:r>
          </w:p>
        </w:tc>
      </w:tr>
      <w:tr w:rsidR="002F1025" w:rsidRPr="00B57B36" w14:paraId="6C01C13B" w14:textId="6AE9899D" w:rsidTr="00550567">
        <w:trPr>
          <w:trHeight w:val="195"/>
          <w:jc w:val="center"/>
        </w:trPr>
        <w:tc>
          <w:tcPr>
            <w:tcW w:w="2036" w:type="dxa"/>
            <w:shd w:val="clear" w:color="auto" w:fill="FFFFFF"/>
            <w:vAlign w:val="center"/>
          </w:tcPr>
          <w:p w14:paraId="7498CE61" w14:textId="350FD531" w:rsidR="002F1025" w:rsidRDefault="00660822" w:rsidP="002F1025">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4</m:t>
                    </m:r>
                  </m:sub>
                </m:sSub>
              </m:oMath>
            </m:oMathPara>
          </w:p>
        </w:tc>
        <w:tc>
          <w:tcPr>
            <w:tcW w:w="2036" w:type="dxa"/>
            <w:shd w:val="clear" w:color="auto" w:fill="FFFFFF"/>
            <w:vAlign w:val="center"/>
          </w:tcPr>
          <w:p w14:paraId="092A7CA6" w14:textId="062ABCDD" w:rsidR="002F1025" w:rsidRDefault="002F1025" w:rsidP="002F1025">
            <w:pPr>
              <w:pStyle w:val="CETBodytext"/>
              <w:ind w:right="-1"/>
              <w:jc w:val="center"/>
              <w:rPr>
                <w:rFonts w:cs="Arial"/>
                <w:szCs w:val="18"/>
                <w:lang w:val="en-GB"/>
              </w:rPr>
            </w:pPr>
            <w:r>
              <w:rPr>
                <w:rFonts w:cs="Arial"/>
                <w:szCs w:val="18"/>
                <w:lang w:val="en-GB"/>
              </w:rPr>
              <w:t>800.0</w:t>
            </w:r>
          </w:p>
        </w:tc>
        <w:tc>
          <w:tcPr>
            <w:tcW w:w="2036" w:type="dxa"/>
            <w:shd w:val="clear" w:color="auto" w:fill="FFFFFF"/>
            <w:vAlign w:val="center"/>
          </w:tcPr>
          <w:p w14:paraId="25326583" w14:textId="78F5CF9C" w:rsidR="002F1025" w:rsidRDefault="002F1025" w:rsidP="002F1025">
            <w:pPr>
              <w:pStyle w:val="CETBodytext"/>
              <w:ind w:right="-1"/>
              <w:jc w:val="center"/>
              <w:rPr>
                <w:rFonts w:cs="Arial"/>
                <w:szCs w:val="18"/>
                <w:lang w:val="en-GB"/>
              </w:rPr>
            </w:pPr>
            <w:r>
              <w:rPr>
                <w:rFonts w:cs="Arial"/>
                <w:szCs w:val="18"/>
                <w:lang w:val="en-GB"/>
              </w:rPr>
              <w:t>849.5</w:t>
            </w:r>
          </w:p>
        </w:tc>
        <w:tc>
          <w:tcPr>
            <w:tcW w:w="2036" w:type="dxa"/>
            <w:shd w:val="clear" w:color="auto" w:fill="FFFFFF"/>
            <w:vAlign w:val="center"/>
          </w:tcPr>
          <w:p w14:paraId="1C5143C6" w14:textId="01F58F07" w:rsidR="002F1025" w:rsidRDefault="002F1025" w:rsidP="002F1025">
            <w:pPr>
              <w:pStyle w:val="CETBodytext"/>
              <w:ind w:right="-1"/>
              <w:jc w:val="center"/>
              <w:rPr>
                <w:rFonts w:cs="Arial"/>
                <w:szCs w:val="18"/>
                <w:lang w:val="en-GB"/>
              </w:rPr>
            </w:pPr>
            <w:r>
              <w:rPr>
                <w:rFonts w:cs="Arial"/>
                <w:szCs w:val="18"/>
                <w:lang w:val="en-GB"/>
              </w:rPr>
              <w:t>8</w:t>
            </w:r>
            <w:r w:rsidR="00282A4D">
              <w:rPr>
                <w:rFonts w:cs="Arial"/>
                <w:szCs w:val="18"/>
                <w:lang w:val="en-GB"/>
              </w:rPr>
              <w:t>55</w:t>
            </w:r>
            <w:r>
              <w:rPr>
                <w:rFonts w:cs="Arial"/>
                <w:szCs w:val="18"/>
                <w:lang w:val="en-GB"/>
              </w:rPr>
              <w:t>.</w:t>
            </w:r>
            <w:r w:rsidR="00282A4D">
              <w:rPr>
                <w:rFonts w:cs="Arial"/>
                <w:szCs w:val="18"/>
                <w:lang w:val="en-GB"/>
              </w:rPr>
              <w:t>0</w:t>
            </w:r>
          </w:p>
        </w:tc>
      </w:tr>
      <w:tr w:rsidR="002F1025" w:rsidRPr="00B57B36" w14:paraId="65EDD81D" w14:textId="74A1C098" w:rsidTr="00550567">
        <w:trPr>
          <w:trHeight w:val="195"/>
          <w:jc w:val="center"/>
        </w:trPr>
        <w:tc>
          <w:tcPr>
            <w:tcW w:w="2036" w:type="dxa"/>
            <w:shd w:val="clear" w:color="auto" w:fill="FFFFFF"/>
            <w:vAlign w:val="center"/>
          </w:tcPr>
          <w:p w14:paraId="1A5ED5D8" w14:textId="11D67A51" w:rsidR="002F1025" w:rsidRDefault="00660822" w:rsidP="002F1025">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1c</m:t>
                    </m:r>
                  </m:sub>
                </m:sSub>
              </m:oMath>
            </m:oMathPara>
          </w:p>
        </w:tc>
        <w:tc>
          <w:tcPr>
            <w:tcW w:w="2036" w:type="dxa"/>
            <w:shd w:val="clear" w:color="auto" w:fill="FFFFFF"/>
            <w:vAlign w:val="center"/>
          </w:tcPr>
          <w:p w14:paraId="224DAD84" w14:textId="3985C754" w:rsidR="002F1025" w:rsidRDefault="002F1025" w:rsidP="002F1025">
            <w:pPr>
              <w:pStyle w:val="CETBodytext"/>
              <w:ind w:right="-1"/>
              <w:jc w:val="center"/>
              <w:rPr>
                <w:rFonts w:cs="Arial"/>
                <w:szCs w:val="18"/>
                <w:lang w:val="en-GB"/>
              </w:rPr>
            </w:pPr>
            <w:r>
              <w:rPr>
                <w:rFonts w:cs="Arial"/>
                <w:szCs w:val="18"/>
                <w:lang w:val="en-GB"/>
              </w:rPr>
              <w:t>115.0</w:t>
            </w:r>
          </w:p>
        </w:tc>
        <w:tc>
          <w:tcPr>
            <w:tcW w:w="2036" w:type="dxa"/>
            <w:shd w:val="clear" w:color="auto" w:fill="FFFFFF"/>
            <w:vAlign w:val="center"/>
          </w:tcPr>
          <w:p w14:paraId="433E780A" w14:textId="3DFCB237" w:rsidR="002F1025" w:rsidRPr="00B57B36" w:rsidRDefault="002F1025" w:rsidP="002F1025">
            <w:pPr>
              <w:pStyle w:val="CETBodytext"/>
              <w:ind w:right="-1"/>
              <w:jc w:val="center"/>
              <w:rPr>
                <w:rFonts w:cs="Arial"/>
                <w:szCs w:val="18"/>
                <w:lang w:val="en-GB"/>
              </w:rPr>
            </w:pPr>
            <w:r>
              <w:rPr>
                <w:rFonts w:cs="Arial"/>
                <w:szCs w:val="18"/>
                <w:lang w:val="en-GB"/>
              </w:rPr>
              <w:t>115.0</w:t>
            </w:r>
          </w:p>
        </w:tc>
        <w:tc>
          <w:tcPr>
            <w:tcW w:w="2036" w:type="dxa"/>
            <w:shd w:val="clear" w:color="auto" w:fill="FFFFFF"/>
            <w:vAlign w:val="center"/>
          </w:tcPr>
          <w:p w14:paraId="7C6673DD" w14:textId="75516F7B" w:rsidR="002F1025" w:rsidRDefault="002F1025" w:rsidP="002F1025">
            <w:pPr>
              <w:pStyle w:val="CETBodytext"/>
              <w:ind w:right="-1"/>
              <w:jc w:val="center"/>
              <w:rPr>
                <w:rFonts w:cs="Arial"/>
                <w:szCs w:val="18"/>
                <w:lang w:val="en-GB"/>
              </w:rPr>
            </w:pPr>
            <w:r>
              <w:rPr>
                <w:rFonts w:cs="Arial"/>
                <w:szCs w:val="18"/>
                <w:lang w:val="en-GB"/>
              </w:rPr>
              <w:t>115.0</w:t>
            </w:r>
          </w:p>
        </w:tc>
      </w:tr>
      <w:tr w:rsidR="002F1025" w:rsidRPr="00B57B36" w14:paraId="02A91CA8" w14:textId="0177CDD0" w:rsidTr="00550567">
        <w:trPr>
          <w:trHeight w:val="195"/>
          <w:jc w:val="center"/>
        </w:trPr>
        <w:tc>
          <w:tcPr>
            <w:tcW w:w="2036" w:type="dxa"/>
            <w:shd w:val="clear" w:color="auto" w:fill="FFFFFF"/>
            <w:vAlign w:val="center"/>
          </w:tcPr>
          <w:p w14:paraId="7088B95B" w14:textId="3AC0226D" w:rsidR="002F1025" w:rsidRDefault="00660822" w:rsidP="002F1025">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2c</m:t>
                    </m:r>
                  </m:sub>
                </m:sSub>
              </m:oMath>
            </m:oMathPara>
          </w:p>
        </w:tc>
        <w:tc>
          <w:tcPr>
            <w:tcW w:w="2036" w:type="dxa"/>
            <w:shd w:val="clear" w:color="auto" w:fill="FFFFFF"/>
            <w:vAlign w:val="center"/>
          </w:tcPr>
          <w:p w14:paraId="261DAC64" w14:textId="5C3CC29F" w:rsidR="002F1025" w:rsidRDefault="002F1025" w:rsidP="002F1025">
            <w:pPr>
              <w:pStyle w:val="CETBodytext"/>
              <w:ind w:right="-1"/>
              <w:jc w:val="center"/>
              <w:rPr>
                <w:rFonts w:cs="Arial"/>
                <w:szCs w:val="18"/>
                <w:lang w:val="en-GB"/>
              </w:rPr>
            </w:pPr>
            <w:r>
              <w:rPr>
                <w:rFonts w:cs="Arial"/>
                <w:szCs w:val="18"/>
                <w:lang w:val="en-GB"/>
              </w:rPr>
              <w:t>220.0</w:t>
            </w:r>
          </w:p>
        </w:tc>
        <w:tc>
          <w:tcPr>
            <w:tcW w:w="2036" w:type="dxa"/>
            <w:shd w:val="clear" w:color="auto" w:fill="FFFFFF"/>
            <w:vAlign w:val="center"/>
          </w:tcPr>
          <w:p w14:paraId="483BDCAE" w14:textId="19066A03" w:rsidR="002F1025" w:rsidRPr="00B57B36" w:rsidRDefault="002F1025" w:rsidP="002F1025">
            <w:pPr>
              <w:pStyle w:val="CETBodytext"/>
              <w:ind w:right="-1"/>
              <w:jc w:val="center"/>
              <w:rPr>
                <w:rFonts w:cs="Arial"/>
                <w:szCs w:val="18"/>
                <w:lang w:val="en-GB"/>
              </w:rPr>
            </w:pPr>
            <w:r>
              <w:rPr>
                <w:rFonts w:cs="Arial"/>
                <w:szCs w:val="18"/>
                <w:lang w:val="en-GB"/>
              </w:rPr>
              <w:t>220.0</w:t>
            </w:r>
          </w:p>
        </w:tc>
        <w:tc>
          <w:tcPr>
            <w:tcW w:w="2036" w:type="dxa"/>
            <w:shd w:val="clear" w:color="auto" w:fill="FFFFFF"/>
            <w:vAlign w:val="center"/>
          </w:tcPr>
          <w:p w14:paraId="6C1F6706" w14:textId="502EB8AB" w:rsidR="002F1025" w:rsidRDefault="002F1025" w:rsidP="002F1025">
            <w:pPr>
              <w:pStyle w:val="CETBodytext"/>
              <w:ind w:right="-1"/>
              <w:jc w:val="center"/>
              <w:rPr>
                <w:rFonts w:cs="Arial"/>
                <w:szCs w:val="18"/>
                <w:lang w:val="en-GB"/>
              </w:rPr>
            </w:pPr>
            <w:r>
              <w:rPr>
                <w:rFonts w:cs="Arial"/>
                <w:szCs w:val="18"/>
                <w:lang w:val="en-GB"/>
              </w:rPr>
              <w:t>220.0</w:t>
            </w:r>
          </w:p>
        </w:tc>
      </w:tr>
      <w:tr w:rsidR="002F1025" w:rsidRPr="00B57B36" w14:paraId="186D7AC9" w14:textId="0BC02F72" w:rsidTr="00550567">
        <w:trPr>
          <w:trHeight w:val="195"/>
          <w:jc w:val="center"/>
        </w:trPr>
        <w:tc>
          <w:tcPr>
            <w:tcW w:w="2036" w:type="dxa"/>
            <w:shd w:val="clear" w:color="auto" w:fill="FFFFFF"/>
            <w:vAlign w:val="center"/>
          </w:tcPr>
          <w:p w14:paraId="2CBD1593" w14:textId="247C54A2" w:rsidR="002F1025" w:rsidRDefault="00660822" w:rsidP="002F1025">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3c</m:t>
                    </m:r>
                  </m:sub>
                </m:sSub>
              </m:oMath>
            </m:oMathPara>
          </w:p>
        </w:tc>
        <w:tc>
          <w:tcPr>
            <w:tcW w:w="2036" w:type="dxa"/>
            <w:shd w:val="clear" w:color="auto" w:fill="FFFFFF"/>
            <w:vAlign w:val="center"/>
          </w:tcPr>
          <w:p w14:paraId="39C70C25" w14:textId="22033730" w:rsidR="002F1025" w:rsidRDefault="002F1025" w:rsidP="002F1025">
            <w:pPr>
              <w:pStyle w:val="CETBodytext"/>
              <w:ind w:right="-1"/>
              <w:jc w:val="center"/>
              <w:rPr>
                <w:rFonts w:cs="Arial"/>
                <w:szCs w:val="18"/>
                <w:lang w:val="en-GB"/>
              </w:rPr>
            </w:pPr>
            <w:r>
              <w:rPr>
                <w:rFonts w:cs="Arial"/>
                <w:szCs w:val="18"/>
                <w:lang w:val="en-GB"/>
              </w:rPr>
              <w:t>748.0</w:t>
            </w:r>
          </w:p>
        </w:tc>
        <w:tc>
          <w:tcPr>
            <w:tcW w:w="2036" w:type="dxa"/>
            <w:shd w:val="clear" w:color="auto" w:fill="FFFFFF"/>
            <w:vAlign w:val="center"/>
          </w:tcPr>
          <w:p w14:paraId="6CF17940" w14:textId="5B6B2DC0" w:rsidR="002F1025" w:rsidRPr="00B57B36" w:rsidRDefault="002F1025" w:rsidP="002F1025">
            <w:pPr>
              <w:pStyle w:val="CETBodytext"/>
              <w:ind w:right="-1"/>
              <w:jc w:val="center"/>
              <w:rPr>
                <w:rFonts w:cs="Arial"/>
                <w:szCs w:val="18"/>
                <w:lang w:val="en-GB"/>
              </w:rPr>
            </w:pPr>
            <w:r>
              <w:rPr>
                <w:rFonts w:cs="Arial"/>
                <w:szCs w:val="18"/>
                <w:lang w:val="en-GB"/>
              </w:rPr>
              <w:t>748.0</w:t>
            </w:r>
          </w:p>
        </w:tc>
        <w:tc>
          <w:tcPr>
            <w:tcW w:w="2036" w:type="dxa"/>
            <w:shd w:val="clear" w:color="auto" w:fill="FFFFFF"/>
            <w:vAlign w:val="center"/>
          </w:tcPr>
          <w:p w14:paraId="66E8D465" w14:textId="7CCBE512" w:rsidR="002F1025" w:rsidRDefault="002F1025" w:rsidP="002F1025">
            <w:pPr>
              <w:pStyle w:val="CETBodytext"/>
              <w:ind w:right="-1"/>
              <w:jc w:val="center"/>
              <w:rPr>
                <w:rFonts w:cs="Arial"/>
                <w:szCs w:val="18"/>
                <w:lang w:val="en-GB"/>
              </w:rPr>
            </w:pPr>
            <w:r>
              <w:rPr>
                <w:rFonts w:cs="Arial"/>
                <w:szCs w:val="18"/>
                <w:lang w:val="en-GB"/>
              </w:rPr>
              <w:t>7</w:t>
            </w:r>
            <w:r w:rsidR="00A67909">
              <w:rPr>
                <w:rFonts w:cs="Arial"/>
                <w:szCs w:val="18"/>
                <w:lang w:val="en-GB"/>
              </w:rPr>
              <w:t>55</w:t>
            </w:r>
            <w:r>
              <w:rPr>
                <w:rFonts w:cs="Arial"/>
                <w:szCs w:val="18"/>
                <w:lang w:val="en-GB"/>
              </w:rPr>
              <w:t>.0</w:t>
            </w:r>
          </w:p>
        </w:tc>
      </w:tr>
    </w:tbl>
    <w:p w14:paraId="109F02C4" w14:textId="77777777" w:rsidR="00F20C82" w:rsidRDefault="00F20C82" w:rsidP="009A69A2">
      <w:pPr>
        <w:pStyle w:val="CETBodytext"/>
        <w:rPr>
          <w:rFonts w:cs="Arial"/>
          <w:color w:val="212121"/>
          <w:szCs w:val="18"/>
        </w:rPr>
      </w:pPr>
    </w:p>
    <w:p w14:paraId="3E543683" w14:textId="0D553A6F" w:rsidR="00CA3F79" w:rsidRDefault="00BE6D82" w:rsidP="00BE6D82">
      <w:pPr>
        <w:pStyle w:val="CETBodytext"/>
        <w:rPr>
          <w:rFonts w:cs="Arial"/>
          <w:color w:val="212121"/>
          <w:szCs w:val="18"/>
        </w:rPr>
      </w:pPr>
      <w:r>
        <w:rPr>
          <w:rFonts w:cs="Arial"/>
          <w:color w:val="212121"/>
          <w:szCs w:val="18"/>
        </w:rPr>
        <w:t xml:space="preserve">The </w:t>
      </w:r>
      <w:r w:rsidRPr="00BE6D82">
        <w:rPr>
          <w:rFonts w:cs="Arial"/>
          <w:color w:val="212121"/>
          <w:szCs w:val="18"/>
        </w:rPr>
        <w:t>pre-exponential factor</w:t>
      </w:r>
      <w:r>
        <w:rPr>
          <w:rFonts w:cs="Arial"/>
          <w:color w:val="212121"/>
          <w:szCs w:val="18"/>
        </w:rPr>
        <w:t xml:space="preserve"> </w:t>
      </w:r>
      <m:oMath>
        <m:sSub>
          <m:sSubPr>
            <m:ctrlPr>
              <w:rPr>
                <w:rFonts w:ascii="Cambria Math" w:hAnsi="Cambria Math"/>
                <w:i/>
              </w:rPr>
            </m:ctrlPr>
          </m:sSubPr>
          <m:e>
            <m:r>
              <w:rPr>
                <w:rFonts w:ascii="Cambria Math" w:hAnsi="Cambria Math"/>
              </w:rPr>
              <m:t>k</m:t>
            </m:r>
          </m:e>
          <m:sub>
            <m:r>
              <w:rPr>
                <w:rFonts w:ascii="Cambria Math" w:hAnsi="Cambria Math"/>
              </w:rPr>
              <m:t>0i</m:t>
            </m:r>
          </m:sub>
        </m:sSub>
      </m:oMath>
      <w:r>
        <w:rPr>
          <w:rFonts w:cs="Arial"/>
        </w:rPr>
        <w:t xml:space="preserve"> and t</w:t>
      </w:r>
      <w:r>
        <w:rPr>
          <w:rFonts w:cs="Arial"/>
          <w:color w:val="212121"/>
          <w:szCs w:val="18"/>
        </w:rPr>
        <w:t xml:space="preserve">he activation energy </w:t>
      </w:r>
      <m:oMath>
        <m:sSub>
          <m:sSubPr>
            <m:ctrlPr>
              <w:rPr>
                <w:rFonts w:ascii="Cambria Math" w:hAnsi="Cambria Math"/>
                <w:i/>
              </w:rPr>
            </m:ctrlPr>
          </m:sSubPr>
          <m:e>
            <m:r>
              <w:rPr>
                <w:rFonts w:ascii="Cambria Math" w:hAnsi="Cambria Math"/>
              </w:rPr>
              <m:t>E</m:t>
            </m:r>
          </m:e>
          <m:sub>
            <m:r>
              <w:rPr>
                <w:rFonts w:ascii="Cambria Math" w:hAnsi="Cambria Math"/>
              </w:rPr>
              <m:t>i</m:t>
            </m:r>
          </m:sub>
        </m:sSub>
      </m:oMath>
      <w:r>
        <w:rPr>
          <w:rFonts w:cs="Arial"/>
        </w:rPr>
        <w:t xml:space="preserve"> for each reaction can be recovered from parameters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Pr>
          <w:rFonts w:cs="Arial"/>
        </w:rPr>
        <w:t xml:space="preserve"> and </w:t>
      </w:r>
      <m:oMath>
        <m:sSub>
          <m:sSubPr>
            <m:ctrlPr>
              <w:rPr>
                <w:rFonts w:ascii="Cambria Math" w:hAnsi="Cambria Math"/>
                <w:i/>
              </w:rPr>
            </m:ctrlPr>
          </m:sSubPr>
          <m:e>
            <m:r>
              <w:rPr>
                <w:rFonts w:ascii="Cambria Math" w:hAnsi="Cambria Math"/>
              </w:rPr>
              <m:t>B</m:t>
            </m:r>
          </m:e>
          <m:sub>
            <m:r>
              <w:rPr>
                <w:rFonts w:ascii="Cambria Math" w:hAnsi="Cambria Math"/>
              </w:rPr>
              <m:t>i</m:t>
            </m:r>
          </m:sub>
        </m:sSub>
      </m:oMath>
      <w:r>
        <w:rPr>
          <w:rFonts w:cs="Arial"/>
        </w:rPr>
        <w:t xml:space="preserve"> through the following equations.</w:t>
      </w:r>
    </w:p>
    <w:p w14:paraId="7B4B6AC6" w14:textId="174C23A5" w:rsidR="00CA3F79" w:rsidRDefault="00CA3F79" w:rsidP="009A69A2">
      <w:pPr>
        <w:pStyle w:val="CETBodytext"/>
        <w:rPr>
          <w:rFonts w:cs="Arial"/>
          <w:color w:val="212121"/>
          <w:szCs w:val="18"/>
        </w:rPr>
      </w:pPr>
    </w:p>
    <w:tbl>
      <w:tblPr>
        <w:tblW w:w="5000" w:type="pct"/>
        <w:tblLook w:val="04A0" w:firstRow="1" w:lastRow="0" w:firstColumn="1" w:lastColumn="0" w:noHBand="0" w:noVBand="1"/>
      </w:tblPr>
      <w:tblGrid>
        <w:gridCol w:w="7983"/>
        <w:gridCol w:w="804"/>
      </w:tblGrid>
      <w:tr w:rsidR="00CA3F79" w:rsidRPr="00B57B36" w14:paraId="7BF47908" w14:textId="77777777" w:rsidTr="00140B0A">
        <w:tc>
          <w:tcPr>
            <w:tcW w:w="7974" w:type="dxa"/>
            <w:shd w:val="clear" w:color="auto" w:fill="auto"/>
            <w:vAlign w:val="center"/>
          </w:tcPr>
          <w:p w14:paraId="607656D9" w14:textId="5A5F2D57" w:rsidR="00CA3F79" w:rsidRPr="00B57B36" w:rsidRDefault="00660822" w:rsidP="00442164">
            <w:pPr>
              <w:pStyle w:val="CETEquation"/>
            </w:pPr>
            <m:oMathPara>
              <m:oMath>
                <m:sSub>
                  <m:sSubPr>
                    <m:ctrlPr>
                      <w:rPr>
                        <w:rFonts w:ascii="Cambria Math" w:hAnsi="Cambria Math"/>
                        <w:i/>
                      </w:rPr>
                    </m:ctrlPr>
                  </m:sSubPr>
                  <m:e>
                    <m:r>
                      <w:rPr>
                        <w:rFonts w:ascii="Cambria Math" w:hAnsi="Cambria Math"/>
                      </w:rPr>
                      <m:t>k</m:t>
                    </m:r>
                  </m:e>
                  <m:sub>
                    <m:r>
                      <w:rPr>
                        <w:rFonts w:ascii="Cambria Math" w:hAnsi="Cambria Math"/>
                      </w:rPr>
                      <m:t>0i</m:t>
                    </m:r>
                  </m:sub>
                </m:sSub>
                <m:r>
                  <w:rPr>
                    <w:rFonts w:ascii="Cambria Math" w:hAnsi="Cambria Math"/>
                  </w:rPr>
                  <m:t>=</m:t>
                </m:r>
                <m:sSup>
                  <m:sSupPr>
                    <m:ctrlPr>
                      <w:rPr>
                        <w:rFonts w:ascii="Cambria Math" w:hAnsi="Cambria Math"/>
                        <w:i/>
                      </w:rPr>
                    </m:ctrlPr>
                  </m:sSupPr>
                  <m:e>
                    <m:r>
                      <w:rPr>
                        <w:rFonts w:ascii="Cambria Math" w:hAnsi="Cambria Math"/>
                      </w:rPr>
                      <m:t>e</m:t>
                    </m:r>
                  </m:e>
                  <m:sup>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e>
                    </m:d>
                  </m:sup>
                </m:sSup>
              </m:oMath>
            </m:oMathPara>
          </w:p>
        </w:tc>
        <w:tc>
          <w:tcPr>
            <w:tcW w:w="803" w:type="dxa"/>
            <w:shd w:val="clear" w:color="auto" w:fill="auto"/>
            <w:vAlign w:val="center"/>
          </w:tcPr>
          <w:p w14:paraId="36EEA31E" w14:textId="6B965CF8" w:rsidR="00CA3F79" w:rsidRPr="00B57B36" w:rsidRDefault="00CA3F79" w:rsidP="00442164">
            <w:pPr>
              <w:pStyle w:val="CETEquation"/>
              <w:jc w:val="right"/>
            </w:pPr>
            <w:r w:rsidRPr="00B57B36">
              <w:t>(</w:t>
            </w:r>
            <w:r w:rsidR="00CD31DF">
              <w:t>2</w:t>
            </w:r>
            <w:r w:rsidRPr="00B57B36">
              <w:t>)</w:t>
            </w:r>
          </w:p>
        </w:tc>
      </w:tr>
      <w:tr w:rsidR="00CA3F79" w:rsidRPr="00B57B36" w14:paraId="1854B97D" w14:textId="77777777" w:rsidTr="00140B0A">
        <w:tc>
          <w:tcPr>
            <w:tcW w:w="7974" w:type="dxa"/>
            <w:shd w:val="clear" w:color="auto" w:fill="auto"/>
            <w:vAlign w:val="center"/>
          </w:tcPr>
          <w:p w14:paraId="28535C6C" w14:textId="0079509E" w:rsidR="00CA3F79" w:rsidRPr="00CA3F79" w:rsidRDefault="00660822" w:rsidP="00140BAD">
            <w:pPr>
              <w:pStyle w:val="CETEquation"/>
              <w:rPr>
                <w:rFonts w:ascii="Cambria Math" w:hAnsi="Cambria Math"/>
                <w:oMath/>
              </w:rPr>
            </w:pPr>
            <m:oMathPara>
              <m:oMath>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R</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ref</m:t>
                        </m:r>
                      </m:e>
                      <m:sub>
                        <m:r>
                          <w:rPr>
                            <w:rFonts w:ascii="Cambria Math" w:hAnsi="Cambria Math"/>
                          </w:rPr>
                          <m:t>i</m:t>
                        </m:r>
                      </m:sub>
                    </m:sSub>
                  </m:sub>
                </m:sSub>
                <m:d>
                  <m:dPr>
                    <m:ctrlPr>
                      <w:rPr>
                        <w:rFonts w:ascii="Cambria Math" w:hAnsi="Cambria Math"/>
                      </w:rPr>
                    </m:ctrlPr>
                  </m:dPr>
                  <m:e>
                    <m:r>
                      <w:rPr>
                        <w:rFonts w:ascii="Cambria Math" w:hAnsi="Cambria Math"/>
                      </w:rPr>
                      <m:t>K</m:t>
                    </m:r>
                  </m:e>
                </m:d>
              </m:oMath>
            </m:oMathPara>
          </w:p>
        </w:tc>
        <w:tc>
          <w:tcPr>
            <w:tcW w:w="803" w:type="dxa"/>
            <w:shd w:val="clear" w:color="auto" w:fill="auto"/>
            <w:vAlign w:val="center"/>
          </w:tcPr>
          <w:p w14:paraId="210D5A7A" w14:textId="0D84D390" w:rsidR="00CA3F79" w:rsidRPr="00B57B36" w:rsidRDefault="00CA3F79" w:rsidP="00442164">
            <w:pPr>
              <w:pStyle w:val="CETEquation"/>
              <w:jc w:val="right"/>
            </w:pPr>
            <w:r w:rsidRPr="00B57B36">
              <w:t>(</w:t>
            </w:r>
            <w:r w:rsidR="00CD31DF">
              <w:t>3</w:t>
            </w:r>
            <w:r w:rsidRPr="00B57B36">
              <w:t>)</w:t>
            </w:r>
          </w:p>
        </w:tc>
      </w:tr>
    </w:tbl>
    <w:p w14:paraId="7A4A8857" w14:textId="21340048" w:rsidR="00BE6D82" w:rsidRDefault="00BE6D82" w:rsidP="009A69A2">
      <w:pPr>
        <w:pStyle w:val="CETBodytext"/>
        <w:rPr>
          <w:rFonts w:cs="Arial"/>
        </w:rPr>
      </w:pPr>
      <w:r w:rsidRPr="00BE6D82">
        <w:rPr>
          <w:rFonts w:cs="Arial"/>
          <w:color w:val="212121"/>
          <w:szCs w:val="18"/>
        </w:rPr>
        <w:t xml:space="preserve">where </w:t>
      </w:r>
      <m:oMath>
        <m:r>
          <w:rPr>
            <w:rFonts w:ascii="Cambria Math" w:hAnsi="Cambria Math"/>
          </w:rPr>
          <m:t>R</m:t>
        </m:r>
      </m:oMath>
      <w:r w:rsidRPr="00BE6D82">
        <w:rPr>
          <w:rFonts w:cs="Arial"/>
        </w:rPr>
        <w:t xml:space="preserve"> is</w:t>
      </w:r>
      <w:r>
        <w:rPr>
          <w:rFonts w:cs="Arial"/>
        </w:rPr>
        <w:t xml:space="preserve"> the universal gas </w:t>
      </w:r>
      <w:proofErr w:type="gramStart"/>
      <w:r>
        <w:rPr>
          <w:rFonts w:cs="Arial"/>
        </w:rPr>
        <w:t>constant</w:t>
      </w:r>
      <w:r w:rsidR="00140BAD">
        <w:rPr>
          <w:rFonts w:cs="Arial"/>
        </w:rPr>
        <w:t>.</w:t>
      </w:r>
      <w:proofErr w:type="gramEnd"/>
    </w:p>
    <w:p w14:paraId="13B9D8B5" w14:textId="3ACDD53D" w:rsidR="00F704B3" w:rsidRDefault="00F704B3" w:rsidP="00F704B3">
      <w:pPr>
        <w:pStyle w:val="CETBodytext"/>
        <w:rPr>
          <w:rFonts w:cs="Arial"/>
          <w:color w:val="212121"/>
          <w:szCs w:val="18"/>
        </w:rPr>
      </w:pPr>
      <w:r w:rsidRPr="00517E6B">
        <w:rPr>
          <w:rFonts w:cs="Arial"/>
          <w:color w:val="212121"/>
          <w:szCs w:val="18"/>
        </w:rPr>
        <w:t>The kinetics of the</w:t>
      </w:r>
      <w:r w:rsidRPr="00F704B3">
        <w:rPr>
          <w:rFonts w:cs="Arial"/>
          <w:color w:val="212121"/>
          <w:szCs w:val="18"/>
        </w:rPr>
        <w:t xml:space="preserve"> </w:t>
      </w:r>
      <w:r w:rsidR="00517E6B" w:rsidRPr="002F2BBC">
        <w:rPr>
          <w:lang w:val="en-GB"/>
        </w:rPr>
        <w:t xml:space="preserve">potassium alum dodecahydrate </w:t>
      </w:r>
      <w:r w:rsidR="00517E6B">
        <w:rPr>
          <w:lang w:val="en-GB"/>
        </w:rPr>
        <w:t xml:space="preserve">thermal </w:t>
      </w:r>
      <w:r w:rsidR="005E6202">
        <w:rPr>
          <w:lang w:val="en-GB"/>
        </w:rPr>
        <w:t>decomposition</w:t>
      </w:r>
      <w:r w:rsidR="00517E6B">
        <w:rPr>
          <w:lang w:val="en-GB"/>
        </w:rPr>
        <w:t xml:space="preserve">, with and without the presence of </w:t>
      </w:r>
      <w:r w:rsidR="00E412FE">
        <w:rPr>
          <w:lang w:val="en-GB"/>
        </w:rPr>
        <w:t>char</w:t>
      </w:r>
      <w:r w:rsidR="00517E6B">
        <w:rPr>
          <w:lang w:val="en-GB"/>
        </w:rPr>
        <w:t xml:space="preserve">coal under </w:t>
      </w:r>
      <w:r w:rsidR="00517E6B" w:rsidRPr="00517E6B">
        <w:rPr>
          <w:i/>
          <w:lang w:val="en-GB"/>
        </w:rPr>
        <w:t>N</w:t>
      </w:r>
      <w:r w:rsidR="00517E6B" w:rsidRPr="00517E6B">
        <w:rPr>
          <w:i/>
          <w:vertAlign w:val="subscript"/>
          <w:lang w:val="en-GB"/>
        </w:rPr>
        <w:t>2</w:t>
      </w:r>
      <w:r w:rsidR="00517E6B">
        <w:rPr>
          <w:lang w:val="en-GB"/>
        </w:rPr>
        <w:t xml:space="preserve"> atmosphere, </w:t>
      </w:r>
      <w:r w:rsidRPr="00F704B3">
        <w:rPr>
          <w:rFonts w:cs="Arial"/>
          <w:color w:val="212121"/>
          <w:szCs w:val="18"/>
        </w:rPr>
        <w:t>was assumed to follow a first-order rate model</w:t>
      </w:r>
      <w:r w:rsidR="00517E6B">
        <w:rPr>
          <w:rFonts w:cs="Arial"/>
          <w:color w:val="212121"/>
          <w:szCs w:val="18"/>
        </w:rPr>
        <w:t xml:space="preserve"> except for</w:t>
      </w:r>
      <w:r w:rsidR="00802887">
        <w:rPr>
          <w:rFonts w:cs="Arial"/>
          <w:color w:val="212121"/>
          <w:szCs w:val="18"/>
        </w:rPr>
        <w:t xml:space="preserve"> the</w:t>
      </w:r>
      <w:r w:rsidR="00517E6B">
        <w:rPr>
          <w:rFonts w:cs="Arial"/>
          <w:color w:val="212121"/>
          <w:szCs w:val="18"/>
        </w:rPr>
        <w:t xml:space="preserve"> reaction where the </w:t>
      </w:r>
      <w:r w:rsidR="00E412FE">
        <w:rPr>
          <w:rFonts w:cs="Arial"/>
          <w:color w:val="212121"/>
          <w:szCs w:val="18"/>
        </w:rPr>
        <w:t>char</w:t>
      </w:r>
      <w:r w:rsidR="00517E6B">
        <w:rPr>
          <w:rFonts w:cs="Arial"/>
          <w:color w:val="212121"/>
          <w:szCs w:val="18"/>
        </w:rPr>
        <w:t xml:space="preserve">coal </w:t>
      </w:r>
      <w:r w:rsidR="00232855">
        <w:rPr>
          <w:rFonts w:cs="Arial"/>
          <w:color w:val="212121"/>
          <w:szCs w:val="18"/>
        </w:rPr>
        <w:t>takes</w:t>
      </w:r>
      <w:r w:rsidR="00517E6B">
        <w:rPr>
          <w:rFonts w:cs="Arial"/>
          <w:color w:val="212121"/>
          <w:szCs w:val="18"/>
        </w:rPr>
        <w:t xml:space="preserve"> part of it, for this unique case the order </w:t>
      </w:r>
      <w:r w:rsidR="00232855">
        <w:rPr>
          <w:rFonts w:cs="Arial"/>
          <w:color w:val="212121"/>
          <w:szCs w:val="18"/>
        </w:rPr>
        <w:t xml:space="preserve">rate model </w:t>
      </w:r>
      <w:r w:rsidR="006A78F0">
        <w:rPr>
          <w:rFonts w:cs="Arial"/>
          <w:color w:val="212121"/>
          <w:szCs w:val="18"/>
        </w:rPr>
        <w:t>was assumed equal to 2</w:t>
      </w:r>
      <w:r w:rsidR="00517E6B">
        <w:rPr>
          <w:rFonts w:cs="Arial"/>
          <w:color w:val="212121"/>
          <w:szCs w:val="18"/>
        </w:rPr>
        <w:t>.5 as the can be seen in Table 3.</w:t>
      </w:r>
    </w:p>
    <w:p w14:paraId="2046A908" w14:textId="64E80B6A" w:rsidR="00187448" w:rsidRPr="00B57B36" w:rsidRDefault="00187448" w:rsidP="00187448">
      <w:pPr>
        <w:pStyle w:val="CETTabletitle"/>
      </w:pPr>
      <w:r w:rsidRPr="00B57B36">
        <w:t xml:space="preserve">Table </w:t>
      </w:r>
      <w:r>
        <w:t>3</w:t>
      </w:r>
      <w:r w:rsidRPr="00B57B36">
        <w:t xml:space="preserve">: </w:t>
      </w:r>
      <w:r w:rsidR="00232855">
        <w:t>Reaction rate expressions</w:t>
      </w:r>
    </w:p>
    <w:tbl>
      <w:tblPr>
        <w:tblW w:w="7048" w:type="dxa"/>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00"/>
        <w:gridCol w:w="2624"/>
        <w:gridCol w:w="1426"/>
        <w:gridCol w:w="2098"/>
      </w:tblGrid>
      <w:tr w:rsidR="00187448" w:rsidRPr="00B57B36" w14:paraId="78D0642E" w14:textId="77777777" w:rsidTr="00232855">
        <w:trPr>
          <w:trHeight w:val="215"/>
          <w:jc w:val="center"/>
        </w:trPr>
        <w:tc>
          <w:tcPr>
            <w:tcW w:w="900" w:type="dxa"/>
            <w:tcBorders>
              <w:top w:val="single" w:sz="12" w:space="0" w:color="008000"/>
              <w:bottom w:val="single" w:sz="6" w:space="0" w:color="008000"/>
              <w:right w:val="nil"/>
            </w:tcBorders>
            <w:shd w:val="clear" w:color="auto" w:fill="FFFFFF"/>
            <w:vAlign w:val="center"/>
          </w:tcPr>
          <w:p w14:paraId="51CF6A40" w14:textId="31111889" w:rsidR="00187448" w:rsidRPr="00B57B36" w:rsidRDefault="00187448" w:rsidP="00187448">
            <w:pPr>
              <w:pStyle w:val="CETBodytext"/>
              <w:jc w:val="center"/>
              <w:rPr>
                <w:lang w:val="en-GB"/>
              </w:rPr>
            </w:pPr>
            <w:r>
              <w:rPr>
                <w:lang w:val="en-GB"/>
              </w:rPr>
              <w:t>Reaction</w:t>
            </w:r>
          </w:p>
        </w:tc>
        <w:tc>
          <w:tcPr>
            <w:tcW w:w="2624" w:type="dxa"/>
            <w:tcBorders>
              <w:top w:val="single" w:sz="12" w:space="0" w:color="008000"/>
              <w:left w:val="nil"/>
              <w:bottom w:val="single" w:sz="6" w:space="0" w:color="008000"/>
            </w:tcBorders>
            <w:shd w:val="clear" w:color="auto" w:fill="FFFFFF"/>
            <w:vAlign w:val="center"/>
          </w:tcPr>
          <w:p w14:paraId="1D2C0AFE" w14:textId="04281A9E" w:rsidR="00187448" w:rsidRPr="00B57B36" w:rsidRDefault="00187448" w:rsidP="00187448">
            <w:pPr>
              <w:pStyle w:val="CETBodytext"/>
              <w:jc w:val="center"/>
              <w:rPr>
                <w:lang w:val="en-GB"/>
              </w:rPr>
            </w:pPr>
            <w:r>
              <w:rPr>
                <w:lang w:val="en-GB"/>
              </w:rPr>
              <w:t>Reaction rate</w:t>
            </w:r>
            <w:r w:rsidR="00232855">
              <w:rPr>
                <w:lang w:val="en-GB"/>
              </w:rPr>
              <w:t xml:space="preserve"> expression</w:t>
            </w:r>
          </w:p>
        </w:tc>
        <w:tc>
          <w:tcPr>
            <w:tcW w:w="1426" w:type="dxa"/>
            <w:tcBorders>
              <w:top w:val="single" w:sz="12" w:space="0" w:color="008000"/>
              <w:bottom w:val="single" w:sz="6" w:space="0" w:color="008000"/>
              <w:right w:val="nil"/>
            </w:tcBorders>
            <w:shd w:val="clear" w:color="auto" w:fill="FFFFFF"/>
            <w:vAlign w:val="center"/>
          </w:tcPr>
          <w:p w14:paraId="6AB5580D" w14:textId="04D2A504" w:rsidR="00187448" w:rsidRPr="00B57B36" w:rsidRDefault="00187448" w:rsidP="00187448">
            <w:pPr>
              <w:pStyle w:val="CETBodytext"/>
              <w:ind w:right="-1"/>
              <w:jc w:val="center"/>
              <w:rPr>
                <w:rFonts w:cs="Arial"/>
                <w:szCs w:val="18"/>
                <w:lang w:val="en-GB"/>
              </w:rPr>
            </w:pPr>
            <w:r>
              <w:rPr>
                <w:lang w:val="en-GB"/>
              </w:rPr>
              <w:t>Reaction</w:t>
            </w:r>
          </w:p>
        </w:tc>
        <w:tc>
          <w:tcPr>
            <w:tcW w:w="2098" w:type="dxa"/>
            <w:tcBorders>
              <w:top w:val="single" w:sz="12" w:space="0" w:color="008000"/>
              <w:left w:val="nil"/>
              <w:bottom w:val="single" w:sz="6" w:space="0" w:color="008000"/>
            </w:tcBorders>
            <w:shd w:val="clear" w:color="auto" w:fill="FFFFFF"/>
            <w:vAlign w:val="center"/>
          </w:tcPr>
          <w:p w14:paraId="49FFE3BB" w14:textId="57A35030" w:rsidR="00187448" w:rsidRPr="00B57B36" w:rsidRDefault="00232855" w:rsidP="00187448">
            <w:pPr>
              <w:pStyle w:val="CETBodytext"/>
              <w:ind w:right="-1"/>
              <w:jc w:val="center"/>
              <w:rPr>
                <w:rFonts w:cs="Arial"/>
                <w:szCs w:val="18"/>
                <w:lang w:val="en-GB"/>
              </w:rPr>
            </w:pPr>
            <w:r>
              <w:rPr>
                <w:lang w:val="en-GB"/>
              </w:rPr>
              <w:t>Reaction rate expression</w:t>
            </w:r>
          </w:p>
        </w:tc>
      </w:tr>
      <w:tr w:rsidR="00187448" w:rsidRPr="00B57B36" w14:paraId="34F9E4E1" w14:textId="77777777" w:rsidTr="00232855">
        <w:trPr>
          <w:trHeight w:val="436"/>
          <w:jc w:val="center"/>
        </w:trPr>
        <w:tc>
          <w:tcPr>
            <w:tcW w:w="900" w:type="dxa"/>
            <w:tcBorders>
              <w:right w:val="nil"/>
            </w:tcBorders>
            <w:shd w:val="clear" w:color="auto" w:fill="FFFFFF"/>
            <w:vAlign w:val="center"/>
          </w:tcPr>
          <w:p w14:paraId="6DA04473" w14:textId="55353BCB" w:rsidR="00187448" w:rsidRPr="00B57B36" w:rsidRDefault="00187448" w:rsidP="00187448">
            <w:pPr>
              <w:pStyle w:val="CETBodytext"/>
              <w:jc w:val="center"/>
              <w:rPr>
                <w:lang w:val="en-GB"/>
              </w:rPr>
            </w:pPr>
            <w:r>
              <w:rPr>
                <w:lang w:val="en-GB"/>
              </w:rPr>
              <w:t>R1</w:t>
            </w:r>
          </w:p>
        </w:tc>
        <w:tc>
          <w:tcPr>
            <w:tcW w:w="2624" w:type="dxa"/>
            <w:tcBorders>
              <w:left w:val="nil"/>
            </w:tcBorders>
            <w:shd w:val="clear" w:color="auto" w:fill="FFFFFF"/>
            <w:vAlign w:val="center"/>
          </w:tcPr>
          <w:p w14:paraId="386EE6D7" w14:textId="4792F3C7" w:rsidR="00187448" w:rsidRPr="00B57B36" w:rsidRDefault="00660822" w:rsidP="00187448">
            <w:pPr>
              <w:pStyle w:val="CETBodytext"/>
              <w:jc w:val="center"/>
              <w:rPr>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KAl</m:t>
                    </m:r>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S</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4</m:t>
                                </m:r>
                              </m:sub>
                            </m:sSub>
                          </m:e>
                        </m:d>
                      </m:e>
                      <m:sub>
                        <m:r>
                          <w:rPr>
                            <w:rFonts w:ascii="Cambria Math" w:hAnsi="Cambria Math"/>
                            <w:lang w:val="en-GB"/>
                          </w:rPr>
                          <m:t>2</m:t>
                        </m:r>
                      </m:sub>
                    </m:sSub>
                    <m:r>
                      <w:rPr>
                        <w:rFonts w:ascii="Cambria Math" w:hAnsi="Cambria Math"/>
                        <w:lang w:val="en-GB"/>
                      </w:rPr>
                      <m:t>∙12</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O</m:t>
                    </m:r>
                  </m:sub>
                </m:sSub>
              </m:oMath>
            </m:oMathPara>
          </w:p>
        </w:tc>
        <w:tc>
          <w:tcPr>
            <w:tcW w:w="1426" w:type="dxa"/>
            <w:tcBorders>
              <w:right w:val="nil"/>
            </w:tcBorders>
            <w:shd w:val="clear" w:color="auto" w:fill="FFFFFF"/>
            <w:vAlign w:val="center"/>
          </w:tcPr>
          <w:p w14:paraId="71D4B128" w14:textId="7D131398" w:rsidR="00187448" w:rsidRPr="00B57B36" w:rsidRDefault="00187448" w:rsidP="00187448">
            <w:pPr>
              <w:pStyle w:val="CETBodytext"/>
              <w:ind w:right="-1"/>
              <w:jc w:val="center"/>
              <w:rPr>
                <w:rFonts w:cs="Arial"/>
                <w:szCs w:val="18"/>
                <w:lang w:val="en-GB"/>
              </w:rPr>
            </w:pPr>
            <w:r>
              <w:rPr>
                <w:lang w:val="en-GB"/>
              </w:rPr>
              <w:t>R1C</w:t>
            </w:r>
          </w:p>
        </w:tc>
        <w:tc>
          <w:tcPr>
            <w:tcW w:w="2098" w:type="dxa"/>
            <w:tcBorders>
              <w:left w:val="nil"/>
            </w:tcBorders>
            <w:shd w:val="clear" w:color="auto" w:fill="FFFFFF"/>
            <w:vAlign w:val="center"/>
          </w:tcPr>
          <w:p w14:paraId="079D34A9" w14:textId="1CAA832E" w:rsidR="00187448" w:rsidRPr="00B57B36" w:rsidRDefault="00660822" w:rsidP="00187448">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1C</m:t>
                    </m:r>
                  </m:sub>
                </m:s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KAl</m:t>
                    </m:r>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S</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4</m:t>
                                </m:r>
                              </m:sub>
                            </m:sSub>
                          </m:e>
                        </m:d>
                      </m:e>
                      <m:sub>
                        <m:r>
                          <w:rPr>
                            <w:rFonts w:ascii="Cambria Math" w:hAnsi="Cambria Math"/>
                            <w:lang w:val="en-GB"/>
                          </w:rPr>
                          <m:t>2</m:t>
                        </m:r>
                      </m:sub>
                    </m:sSub>
                    <m:r>
                      <w:rPr>
                        <w:rFonts w:ascii="Cambria Math" w:hAnsi="Cambria Math"/>
                        <w:lang w:val="en-GB"/>
                      </w:rPr>
                      <m:t>∙12</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O</m:t>
                    </m:r>
                  </m:sub>
                </m:sSub>
              </m:oMath>
            </m:oMathPara>
          </w:p>
        </w:tc>
      </w:tr>
      <w:tr w:rsidR="00187448" w:rsidRPr="00B57B36" w14:paraId="2DBB6BDF" w14:textId="77777777" w:rsidTr="00232855">
        <w:trPr>
          <w:trHeight w:val="211"/>
          <w:jc w:val="center"/>
        </w:trPr>
        <w:tc>
          <w:tcPr>
            <w:tcW w:w="900" w:type="dxa"/>
            <w:tcBorders>
              <w:right w:val="nil"/>
            </w:tcBorders>
            <w:shd w:val="clear" w:color="auto" w:fill="FFFFFF"/>
            <w:vAlign w:val="center"/>
          </w:tcPr>
          <w:p w14:paraId="71CE4907" w14:textId="227E819C" w:rsidR="00187448" w:rsidRPr="00B57B36" w:rsidRDefault="00187448" w:rsidP="00187448">
            <w:pPr>
              <w:pStyle w:val="CETBodytext"/>
              <w:ind w:right="-1"/>
              <w:jc w:val="center"/>
              <w:rPr>
                <w:rFonts w:cs="Arial"/>
                <w:szCs w:val="18"/>
                <w:lang w:val="en-GB"/>
              </w:rPr>
            </w:pPr>
            <w:r>
              <w:rPr>
                <w:rFonts w:cs="Arial"/>
                <w:szCs w:val="18"/>
                <w:lang w:val="en-GB"/>
              </w:rPr>
              <w:t>R2</w:t>
            </w:r>
          </w:p>
        </w:tc>
        <w:tc>
          <w:tcPr>
            <w:tcW w:w="2624" w:type="dxa"/>
            <w:tcBorders>
              <w:left w:val="nil"/>
              <w:bottom w:val="nil"/>
            </w:tcBorders>
            <w:shd w:val="clear" w:color="auto" w:fill="FFFFFF"/>
            <w:vAlign w:val="center"/>
          </w:tcPr>
          <w:p w14:paraId="11D481B7" w14:textId="41038F69" w:rsidR="00187448" w:rsidRPr="00B57B36" w:rsidRDefault="00660822" w:rsidP="00187448">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KAl</m:t>
                    </m:r>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S</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4</m:t>
                                </m:r>
                              </m:sub>
                            </m:sSub>
                          </m:e>
                        </m:d>
                      </m:e>
                      <m:sub>
                        <m:r>
                          <w:rPr>
                            <w:rFonts w:ascii="Cambria Math" w:hAnsi="Cambria Math"/>
                            <w:lang w:val="en-GB"/>
                          </w:rPr>
                          <m:t>2</m:t>
                        </m:r>
                      </m:sub>
                    </m:sSub>
                    <m:r>
                      <w:rPr>
                        <w:rFonts w:ascii="Cambria Math" w:hAnsi="Cambria Math"/>
                        <w:lang w:val="en-GB"/>
                      </w:rPr>
                      <m:t>∙5</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O</m:t>
                    </m:r>
                  </m:sub>
                </m:sSub>
              </m:oMath>
            </m:oMathPara>
          </w:p>
        </w:tc>
        <w:tc>
          <w:tcPr>
            <w:tcW w:w="1426" w:type="dxa"/>
            <w:tcBorders>
              <w:right w:val="nil"/>
            </w:tcBorders>
            <w:shd w:val="clear" w:color="auto" w:fill="FFFFFF"/>
            <w:vAlign w:val="center"/>
          </w:tcPr>
          <w:p w14:paraId="0EFC5A1C" w14:textId="1B10F19D" w:rsidR="00187448" w:rsidRPr="00B57B36" w:rsidRDefault="00187448" w:rsidP="00187448">
            <w:pPr>
              <w:pStyle w:val="CETBodytext"/>
              <w:ind w:right="-1"/>
              <w:jc w:val="center"/>
              <w:rPr>
                <w:rFonts w:cs="Arial"/>
                <w:szCs w:val="18"/>
                <w:lang w:val="en-GB"/>
              </w:rPr>
            </w:pPr>
            <w:r>
              <w:rPr>
                <w:rFonts w:cs="Arial"/>
                <w:szCs w:val="18"/>
                <w:lang w:val="en-GB"/>
              </w:rPr>
              <w:t>R2C</w:t>
            </w:r>
          </w:p>
        </w:tc>
        <w:tc>
          <w:tcPr>
            <w:tcW w:w="2098" w:type="dxa"/>
            <w:tcBorders>
              <w:left w:val="nil"/>
            </w:tcBorders>
            <w:shd w:val="clear" w:color="auto" w:fill="FFFFFF"/>
            <w:vAlign w:val="center"/>
          </w:tcPr>
          <w:p w14:paraId="0219AAD5" w14:textId="1E7634B5" w:rsidR="00187448" w:rsidRPr="00B57B36" w:rsidRDefault="00660822" w:rsidP="00187448">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2C</m:t>
                    </m:r>
                  </m:sub>
                </m:s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KAl</m:t>
                    </m:r>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S</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4</m:t>
                                </m:r>
                              </m:sub>
                            </m:sSub>
                          </m:e>
                        </m:d>
                      </m:e>
                      <m:sub>
                        <m:r>
                          <w:rPr>
                            <w:rFonts w:ascii="Cambria Math" w:hAnsi="Cambria Math"/>
                            <w:lang w:val="en-GB"/>
                          </w:rPr>
                          <m:t>2</m:t>
                        </m:r>
                      </m:sub>
                    </m:sSub>
                    <m:r>
                      <w:rPr>
                        <w:rFonts w:ascii="Cambria Math" w:hAnsi="Cambria Math"/>
                        <w:lang w:val="en-GB"/>
                      </w:rPr>
                      <m:t>∙5</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O</m:t>
                    </m:r>
                  </m:sub>
                </m:sSub>
              </m:oMath>
            </m:oMathPara>
          </w:p>
        </w:tc>
      </w:tr>
      <w:tr w:rsidR="00187448" w:rsidRPr="00B57B36" w14:paraId="24D04A6F" w14:textId="77777777" w:rsidTr="00232855">
        <w:trPr>
          <w:trHeight w:val="215"/>
          <w:jc w:val="center"/>
        </w:trPr>
        <w:tc>
          <w:tcPr>
            <w:tcW w:w="900" w:type="dxa"/>
            <w:tcBorders>
              <w:right w:val="nil"/>
            </w:tcBorders>
            <w:shd w:val="clear" w:color="auto" w:fill="FFFFFF"/>
            <w:vAlign w:val="center"/>
          </w:tcPr>
          <w:p w14:paraId="620FF9D7" w14:textId="7128041C" w:rsidR="00187448" w:rsidRDefault="00187448" w:rsidP="00187448">
            <w:pPr>
              <w:pStyle w:val="CETBodytext"/>
              <w:ind w:right="-1"/>
              <w:jc w:val="center"/>
              <w:rPr>
                <w:rFonts w:cs="Arial"/>
                <w:szCs w:val="18"/>
                <w:lang w:val="en-GB"/>
              </w:rPr>
            </w:pPr>
            <w:r>
              <w:rPr>
                <w:rFonts w:cs="Arial"/>
                <w:szCs w:val="18"/>
                <w:lang w:val="en-GB"/>
              </w:rPr>
              <w:t>R3</w:t>
            </w:r>
          </w:p>
        </w:tc>
        <w:tc>
          <w:tcPr>
            <w:tcW w:w="2624" w:type="dxa"/>
            <w:tcBorders>
              <w:top w:val="nil"/>
              <w:left w:val="nil"/>
            </w:tcBorders>
            <w:shd w:val="clear" w:color="auto" w:fill="FFFFFF"/>
            <w:vAlign w:val="center"/>
          </w:tcPr>
          <w:p w14:paraId="19F08E4A" w14:textId="0BCF950A" w:rsidR="00187448" w:rsidRPr="00B57B36" w:rsidRDefault="00660822" w:rsidP="00187448">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3</m:t>
                    </m:r>
                  </m:sub>
                </m:s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Al</m:t>
                    </m:r>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S</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4</m:t>
                                </m:r>
                              </m:sub>
                            </m:sSub>
                          </m:e>
                        </m:d>
                      </m:e>
                      <m:sub>
                        <m:r>
                          <w:rPr>
                            <w:rFonts w:ascii="Cambria Math" w:hAnsi="Cambria Math"/>
                            <w:lang w:val="en-GB"/>
                          </w:rPr>
                          <m:t>2</m:t>
                        </m:r>
                      </m:sub>
                    </m:sSub>
                  </m:sub>
                </m:sSub>
              </m:oMath>
            </m:oMathPara>
          </w:p>
        </w:tc>
        <w:tc>
          <w:tcPr>
            <w:tcW w:w="1426" w:type="dxa"/>
            <w:tcBorders>
              <w:right w:val="nil"/>
            </w:tcBorders>
            <w:shd w:val="clear" w:color="auto" w:fill="FFFFFF"/>
            <w:vAlign w:val="center"/>
          </w:tcPr>
          <w:p w14:paraId="66D1B42A" w14:textId="38C77304" w:rsidR="00187448" w:rsidRPr="00B57B36" w:rsidRDefault="00187448" w:rsidP="00187448">
            <w:pPr>
              <w:pStyle w:val="CETBodytext"/>
              <w:ind w:right="-1"/>
              <w:jc w:val="center"/>
              <w:rPr>
                <w:rFonts w:cs="Arial"/>
                <w:szCs w:val="18"/>
                <w:lang w:val="en-GB"/>
              </w:rPr>
            </w:pPr>
            <w:r>
              <w:rPr>
                <w:rFonts w:cs="Arial"/>
                <w:szCs w:val="18"/>
                <w:lang w:val="en-GB"/>
              </w:rPr>
              <w:t>R3C</w:t>
            </w:r>
          </w:p>
        </w:tc>
        <w:tc>
          <w:tcPr>
            <w:tcW w:w="2098" w:type="dxa"/>
            <w:tcBorders>
              <w:left w:val="nil"/>
              <w:bottom w:val="nil"/>
            </w:tcBorders>
            <w:shd w:val="clear" w:color="auto" w:fill="FFFFFF"/>
            <w:vAlign w:val="center"/>
          </w:tcPr>
          <w:p w14:paraId="15F9A233" w14:textId="7200BBB2" w:rsidR="00187448" w:rsidRPr="00B57B36" w:rsidRDefault="00660822" w:rsidP="00187448">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3C</m:t>
                    </m:r>
                  </m:sub>
                </m:s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Al</m:t>
                    </m:r>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S</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4</m:t>
                                </m:r>
                              </m:sub>
                            </m:sSub>
                          </m:e>
                        </m:d>
                      </m:e>
                      <m:sub>
                        <m:r>
                          <w:rPr>
                            <w:rFonts w:ascii="Cambria Math" w:hAnsi="Cambria Math"/>
                            <w:lang w:val="en-GB"/>
                          </w:rPr>
                          <m:t>2</m:t>
                        </m:r>
                      </m:sub>
                    </m:sSub>
                  </m:sub>
                </m:sSub>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C</m:t>
                    </m:r>
                  </m:sub>
                  <m:sup>
                    <m:r>
                      <w:rPr>
                        <w:rFonts w:ascii="Cambria Math" w:hAnsi="Cambria Math"/>
                        <w:lang w:val="en-GB"/>
                      </w:rPr>
                      <m:t>1.5</m:t>
                    </m:r>
                  </m:sup>
                </m:sSubSup>
              </m:oMath>
            </m:oMathPara>
          </w:p>
        </w:tc>
      </w:tr>
      <w:tr w:rsidR="00187448" w:rsidRPr="00B57B36" w14:paraId="3599BE55" w14:textId="77777777" w:rsidTr="00232855">
        <w:trPr>
          <w:trHeight w:val="215"/>
          <w:jc w:val="center"/>
        </w:trPr>
        <w:tc>
          <w:tcPr>
            <w:tcW w:w="900" w:type="dxa"/>
            <w:tcBorders>
              <w:right w:val="nil"/>
            </w:tcBorders>
            <w:shd w:val="clear" w:color="auto" w:fill="FFFFFF"/>
            <w:vAlign w:val="center"/>
          </w:tcPr>
          <w:p w14:paraId="6FBA6CB2" w14:textId="599EEB3B" w:rsidR="00187448" w:rsidRDefault="00187448" w:rsidP="00187448">
            <w:pPr>
              <w:pStyle w:val="CETBodytext"/>
              <w:ind w:right="-1"/>
              <w:jc w:val="center"/>
              <w:rPr>
                <w:rFonts w:cs="Arial"/>
                <w:szCs w:val="18"/>
                <w:lang w:val="en-GB"/>
              </w:rPr>
            </w:pPr>
            <w:r>
              <w:rPr>
                <w:rFonts w:cs="Arial"/>
                <w:szCs w:val="18"/>
                <w:lang w:val="en-GB"/>
              </w:rPr>
              <w:t>R4</w:t>
            </w:r>
          </w:p>
        </w:tc>
        <w:tc>
          <w:tcPr>
            <w:tcW w:w="2624" w:type="dxa"/>
            <w:tcBorders>
              <w:left w:val="nil"/>
              <w:bottom w:val="single" w:sz="12" w:space="0" w:color="008000"/>
            </w:tcBorders>
            <w:shd w:val="clear" w:color="auto" w:fill="FFFFFF"/>
            <w:vAlign w:val="center"/>
          </w:tcPr>
          <w:p w14:paraId="5DE8CB6B" w14:textId="52C393B7" w:rsidR="00187448" w:rsidRPr="00B57B36" w:rsidRDefault="00660822" w:rsidP="00187448">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4</m:t>
                    </m:r>
                  </m:sub>
                </m:sSub>
                <m:sSub>
                  <m:sSubPr>
                    <m:ctrlPr>
                      <w:rPr>
                        <w:rFonts w:ascii="Cambria Math" w:hAnsi="Cambria Math"/>
                        <w:i/>
                        <w:lang w:val="en-GB"/>
                      </w:rPr>
                    </m:ctrlPr>
                  </m:sSubPr>
                  <m:e>
                    <m:r>
                      <w:rPr>
                        <w:rFonts w:ascii="Cambria Math" w:hAnsi="Cambria Math"/>
                        <w:lang w:val="en-GB"/>
                      </w:rPr>
                      <m:t>n</m:t>
                    </m:r>
                  </m:e>
                  <m:sub>
                    <m:sSub>
                      <m:sSubPr>
                        <m:ctrlPr>
                          <w:rPr>
                            <w:rFonts w:ascii="Cambria Math" w:hAnsi="Cambria Math"/>
                            <w:i/>
                            <w:lang w:val="en-GB"/>
                          </w:rPr>
                        </m:ctrlPr>
                      </m:sSubPr>
                      <m:e>
                        <m:r>
                          <w:rPr>
                            <w:rFonts w:ascii="Cambria Math" w:hAnsi="Cambria Math"/>
                            <w:lang w:val="en-GB"/>
                          </w:rPr>
                          <m:t>Al</m:t>
                        </m:r>
                      </m:e>
                      <m:sub>
                        <m:r>
                          <w:rPr>
                            <w:rFonts w:ascii="Cambria Math" w:hAnsi="Cambria Math"/>
                            <w:lang w:val="en-GB"/>
                          </w:rPr>
                          <m:t>2</m:t>
                        </m:r>
                      </m:sub>
                    </m:sSub>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S</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4</m:t>
                                </m:r>
                              </m:sub>
                            </m:sSub>
                          </m:e>
                        </m:d>
                      </m:e>
                      <m:sub>
                        <m:r>
                          <w:rPr>
                            <w:rFonts w:ascii="Cambria Math" w:hAnsi="Cambria Math"/>
                            <w:lang w:val="en-GB"/>
                          </w:rPr>
                          <m:t>3</m:t>
                        </m:r>
                      </m:sub>
                    </m:sSub>
                  </m:sub>
                </m:sSub>
              </m:oMath>
            </m:oMathPara>
          </w:p>
        </w:tc>
        <w:tc>
          <w:tcPr>
            <w:tcW w:w="1426" w:type="dxa"/>
            <w:shd w:val="clear" w:color="auto" w:fill="FFFFFF"/>
            <w:vAlign w:val="center"/>
          </w:tcPr>
          <w:p w14:paraId="4F2E79E3" w14:textId="77777777" w:rsidR="00187448" w:rsidRPr="00B57B36" w:rsidRDefault="00187448" w:rsidP="00187448">
            <w:pPr>
              <w:pStyle w:val="CETBodytext"/>
              <w:ind w:right="-1"/>
              <w:jc w:val="center"/>
              <w:rPr>
                <w:rFonts w:cs="Arial"/>
                <w:szCs w:val="18"/>
                <w:lang w:val="en-GB"/>
              </w:rPr>
            </w:pPr>
          </w:p>
        </w:tc>
        <w:tc>
          <w:tcPr>
            <w:tcW w:w="2098" w:type="dxa"/>
            <w:tcBorders>
              <w:top w:val="nil"/>
            </w:tcBorders>
            <w:shd w:val="clear" w:color="auto" w:fill="FFFFFF"/>
            <w:vAlign w:val="center"/>
          </w:tcPr>
          <w:p w14:paraId="4506EC08" w14:textId="77777777" w:rsidR="00187448" w:rsidRPr="00B57B36" w:rsidRDefault="00187448" w:rsidP="00187448">
            <w:pPr>
              <w:pStyle w:val="CETBodytext"/>
              <w:ind w:right="-1"/>
              <w:jc w:val="center"/>
              <w:rPr>
                <w:rFonts w:cs="Arial"/>
                <w:szCs w:val="18"/>
                <w:lang w:val="en-GB"/>
              </w:rPr>
            </w:pPr>
          </w:p>
        </w:tc>
      </w:tr>
    </w:tbl>
    <w:p w14:paraId="307C0FCA" w14:textId="66BE2077" w:rsidR="00187448" w:rsidRPr="00F704B3" w:rsidRDefault="00232855" w:rsidP="00F704B3">
      <w:pPr>
        <w:pStyle w:val="CETBodytext"/>
        <w:rPr>
          <w:rFonts w:cs="Arial"/>
          <w:color w:val="212121"/>
          <w:szCs w:val="18"/>
        </w:rPr>
      </w:pPr>
      <w:r>
        <w:rPr>
          <w:rFonts w:cs="Arial"/>
          <w:color w:val="212121"/>
          <w:szCs w:val="18"/>
        </w:rPr>
        <w:t xml:space="preserve">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oMath>
      <w:r w:rsidR="00910D6E">
        <w:rPr>
          <w:rFonts w:cs="Arial"/>
          <w:lang w:val="en-GB"/>
        </w:rPr>
        <w:t xml:space="preserve"> </w:t>
      </w:r>
      <w:r>
        <w:rPr>
          <w:rFonts w:cs="Arial"/>
          <w:lang w:val="en-GB"/>
        </w:rPr>
        <w:t xml:space="preserve">is the number of moles of specie </w:t>
      </w:r>
      <m:oMath>
        <m:r>
          <w:rPr>
            <w:rFonts w:ascii="Cambria Math" w:hAnsi="Cambria Math" w:cs="Arial"/>
            <w:lang w:val="en-GB"/>
          </w:rPr>
          <m:t>i</m:t>
        </m:r>
      </m:oMath>
      <w:r>
        <w:rPr>
          <w:rFonts w:cs="Arial"/>
          <w:lang w:val="en-GB"/>
        </w:rPr>
        <w:t>.</w:t>
      </w:r>
    </w:p>
    <w:p w14:paraId="502C6EAD" w14:textId="77777777" w:rsidR="00BE6D82" w:rsidRDefault="00BE6D82" w:rsidP="009A69A2">
      <w:pPr>
        <w:pStyle w:val="CETBodytext"/>
        <w:rPr>
          <w:rFonts w:cs="Arial"/>
          <w:color w:val="212121"/>
          <w:szCs w:val="18"/>
          <w:highlight w:val="yellow"/>
        </w:rPr>
      </w:pPr>
    </w:p>
    <w:p w14:paraId="2150A3B9" w14:textId="504DE285" w:rsidR="00CA3F79" w:rsidRPr="00C93EC0" w:rsidRDefault="00C93EC0" w:rsidP="009A69A2">
      <w:pPr>
        <w:pStyle w:val="CETBodytext"/>
        <w:rPr>
          <w:rFonts w:cs="Arial"/>
          <w:color w:val="212121"/>
          <w:szCs w:val="18"/>
        </w:rPr>
      </w:pPr>
      <w:r w:rsidRPr="009A5FA0">
        <w:rPr>
          <w:rFonts w:cs="Arial"/>
          <w:color w:val="212121"/>
          <w:szCs w:val="18"/>
        </w:rPr>
        <w:t xml:space="preserve">Finally, </w:t>
      </w:r>
      <w:r w:rsidR="009A5FA0">
        <w:rPr>
          <w:rFonts w:cs="Arial"/>
          <w:color w:val="212121"/>
          <w:szCs w:val="18"/>
        </w:rPr>
        <w:t xml:space="preserve">to </w:t>
      </w:r>
      <w:r w:rsidRPr="009A5FA0">
        <w:rPr>
          <w:rFonts w:cs="Arial"/>
          <w:color w:val="212121"/>
          <w:szCs w:val="18"/>
        </w:rPr>
        <w:t>calculat</w:t>
      </w:r>
      <w:r w:rsidR="009A5FA0">
        <w:rPr>
          <w:rFonts w:cs="Arial"/>
          <w:color w:val="212121"/>
          <w:szCs w:val="18"/>
        </w:rPr>
        <w:t>e</w:t>
      </w:r>
      <w:r w:rsidRPr="009A5FA0">
        <w:rPr>
          <w:rFonts w:cs="Arial"/>
          <w:color w:val="212121"/>
          <w:szCs w:val="18"/>
        </w:rPr>
        <w:t xml:space="preserve"> the </w:t>
      </w:r>
      <w:r w:rsidR="009A5FA0" w:rsidRPr="009A5FA0">
        <w:rPr>
          <w:rFonts w:cs="Arial"/>
          <w:color w:val="212121"/>
          <w:szCs w:val="18"/>
        </w:rPr>
        <w:t>weight</w:t>
      </w:r>
      <w:r w:rsidRPr="009A5FA0">
        <w:rPr>
          <w:rFonts w:cs="Arial"/>
          <w:color w:val="212121"/>
          <w:szCs w:val="18"/>
        </w:rPr>
        <w:t xml:space="preserve"> loss, only the formed solid components were computed. At each time interval</w:t>
      </w:r>
      <w:r w:rsidR="009A5FA0" w:rsidRPr="009A5FA0">
        <w:rPr>
          <w:rFonts w:cs="Arial"/>
          <w:color w:val="212121"/>
          <w:szCs w:val="18"/>
        </w:rPr>
        <w:t>,</w:t>
      </w:r>
      <w:r w:rsidRPr="009A5FA0">
        <w:rPr>
          <w:rFonts w:cs="Arial"/>
          <w:color w:val="212121"/>
          <w:szCs w:val="18"/>
        </w:rPr>
        <w:t xml:space="preserve"> the total </w:t>
      </w:r>
      <w:r w:rsidR="009A5FA0" w:rsidRPr="009A5FA0">
        <w:rPr>
          <w:rFonts w:cs="Arial"/>
          <w:color w:val="212121"/>
          <w:szCs w:val="18"/>
        </w:rPr>
        <w:t>weight</w:t>
      </w:r>
      <w:r w:rsidRPr="009A5FA0">
        <w:rPr>
          <w:rFonts w:cs="Arial"/>
          <w:color w:val="212121"/>
          <w:szCs w:val="18"/>
        </w:rPr>
        <w:t xml:space="preserve"> of all solid components present was counted and compared to the initial </w:t>
      </w:r>
      <w:r w:rsidR="009A5FA0" w:rsidRPr="009A5FA0">
        <w:rPr>
          <w:lang w:val="en-GB"/>
        </w:rPr>
        <w:t>potassium alum dodecahydrate</w:t>
      </w:r>
      <w:r w:rsidR="009A5FA0" w:rsidRPr="009A5FA0">
        <w:rPr>
          <w:rFonts w:cs="Arial"/>
          <w:color w:val="212121"/>
          <w:szCs w:val="18"/>
        </w:rPr>
        <w:t xml:space="preserve"> weight</w:t>
      </w:r>
      <w:r w:rsidR="009A5FA0">
        <w:rPr>
          <w:rFonts w:cs="Arial"/>
          <w:color w:val="212121"/>
          <w:szCs w:val="18"/>
        </w:rPr>
        <w:t>. From this approach, t</w:t>
      </w:r>
      <w:r w:rsidRPr="009A5FA0">
        <w:rPr>
          <w:rFonts w:cs="Arial"/>
          <w:color w:val="212121"/>
          <w:szCs w:val="18"/>
        </w:rPr>
        <w:t xml:space="preserve">he </w:t>
      </w:r>
      <w:r w:rsidR="009A5FA0">
        <w:rPr>
          <w:rFonts w:cs="Arial"/>
          <w:color w:val="212121"/>
          <w:szCs w:val="18"/>
        </w:rPr>
        <w:t xml:space="preserve">weight </w:t>
      </w:r>
      <w:r w:rsidRPr="009A5FA0">
        <w:rPr>
          <w:rFonts w:cs="Arial"/>
          <w:color w:val="212121"/>
          <w:szCs w:val="18"/>
        </w:rPr>
        <w:t>loss represents the formation of gaseous products (water vapor and SO</w:t>
      </w:r>
      <w:r w:rsidRPr="009A5FA0">
        <w:rPr>
          <w:rFonts w:cs="Arial"/>
          <w:color w:val="212121"/>
          <w:szCs w:val="18"/>
          <w:vertAlign w:val="subscript"/>
        </w:rPr>
        <w:t>3</w:t>
      </w:r>
      <w:r w:rsidRPr="009A5FA0">
        <w:rPr>
          <w:rFonts w:cs="Arial"/>
          <w:color w:val="212121"/>
          <w:szCs w:val="18"/>
        </w:rPr>
        <w:t xml:space="preserve">) according to </w:t>
      </w:r>
      <w:proofErr w:type="gramStart"/>
      <w:r w:rsidRPr="009A5FA0">
        <w:rPr>
          <w:rFonts w:cs="Arial"/>
          <w:color w:val="212121"/>
          <w:szCs w:val="18"/>
        </w:rPr>
        <w:t>Eq(</w:t>
      </w:r>
      <w:proofErr w:type="gramEnd"/>
      <w:r w:rsidR="009A5FA0">
        <w:rPr>
          <w:rFonts w:cs="Arial"/>
          <w:color w:val="212121"/>
          <w:szCs w:val="18"/>
        </w:rPr>
        <w:t>4</w:t>
      </w:r>
      <w:r w:rsidRPr="009A5FA0">
        <w:rPr>
          <w:rFonts w:cs="Arial"/>
          <w:color w:val="212121"/>
          <w:szCs w:val="18"/>
        </w:rPr>
        <w:t>).</w:t>
      </w:r>
    </w:p>
    <w:tbl>
      <w:tblPr>
        <w:tblW w:w="5000" w:type="pct"/>
        <w:tblLook w:val="04A0" w:firstRow="1" w:lastRow="0" w:firstColumn="1" w:lastColumn="0" w:noHBand="0" w:noVBand="1"/>
      </w:tblPr>
      <w:tblGrid>
        <w:gridCol w:w="7983"/>
        <w:gridCol w:w="804"/>
      </w:tblGrid>
      <w:tr w:rsidR="009A69A2" w:rsidRPr="00B57B36" w14:paraId="5365065A" w14:textId="77777777" w:rsidTr="00140B0A">
        <w:tc>
          <w:tcPr>
            <w:tcW w:w="8188" w:type="dxa"/>
            <w:shd w:val="clear" w:color="auto" w:fill="auto"/>
            <w:vAlign w:val="center"/>
          </w:tcPr>
          <w:p w14:paraId="2628D7C7" w14:textId="483F7018" w:rsidR="009A69A2" w:rsidRPr="00B57B36" w:rsidRDefault="009A69A2" w:rsidP="00442164">
            <w:pPr>
              <w:pStyle w:val="CETEquation"/>
            </w:pPr>
            <m:oMathPara>
              <m:oMath>
                <m:r>
                  <w:rPr>
                    <w:rFonts w:ascii="Cambria Math" w:hAnsi="Cambria Math"/>
                  </w:rPr>
                  <m:t>WL=</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i(t=t)</m:t>
                            </m:r>
                          </m:sub>
                        </m:sSub>
                      </m:e>
                    </m:nary>
                  </m:num>
                  <m:den>
                    <m:sSub>
                      <m:sSubPr>
                        <m:ctrlPr>
                          <w:rPr>
                            <w:rFonts w:ascii="Cambria Math" w:hAnsi="Cambria Math"/>
                            <w:i/>
                          </w:rPr>
                        </m:ctrlPr>
                      </m:sSubPr>
                      <m:e>
                        <m:r>
                          <w:rPr>
                            <w:rFonts w:ascii="Cambria Math" w:hAnsi="Cambria Math"/>
                          </w:rPr>
                          <m:t>w</m:t>
                        </m:r>
                      </m:e>
                      <m:sub>
                        <m:r>
                          <w:rPr>
                            <w:rFonts w:ascii="Cambria Math" w:hAnsi="Cambria Math"/>
                          </w:rPr>
                          <m:t>sample</m:t>
                        </m:r>
                        <m:d>
                          <m:dPr>
                            <m:ctrlPr>
                              <w:rPr>
                                <w:rFonts w:ascii="Cambria Math" w:hAnsi="Cambria Math"/>
                                <w:i/>
                              </w:rPr>
                            </m:ctrlPr>
                          </m:dPr>
                          <m:e>
                            <m:r>
                              <w:rPr>
                                <w:rFonts w:ascii="Cambria Math" w:hAnsi="Cambria Math"/>
                              </w:rPr>
                              <m:t>t=0</m:t>
                            </m:r>
                          </m:e>
                        </m:d>
                      </m:sub>
                    </m:sSub>
                  </m:den>
                </m:f>
                <m:r>
                  <w:rPr>
                    <w:rFonts w:ascii="Cambria Math" w:hAnsi="Cambria Math"/>
                  </w:rPr>
                  <m:t xml:space="preserve"> ∙100</m:t>
                </m:r>
              </m:oMath>
            </m:oMathPara>
          </w:p>
        </w:tc>
        <w:tc>
          <w:tcPr>
            <w:tcW w:w="815" w:type="dxa"/>
            <w:shd w:val="clear" w:color="auto" w:fill="auto"/>
            <w:vAlign w:val="center"/>
          </w:tcPr>
          <w:p w14:paraId="07EABD18" w14:textId="29DD25AB" w:rsidR="009A69A2" w:rsidRPr="00B57B36" w:rsidRDefault="009A69A2" w:rsidP="00442164">
            <w:pPr>
              <w:pStyle w:val="CETEquation"/>
              <w:jc w:val="right"/>
            </w:pPr>
            <w:r w:rsidRPr="00B57B36">
              <w:t>(</w:t>
            </w:r>
            <w:r w:rsidR="00CD31DF">
              <w:t>4</w:t>
            </w:r>
            <w:r w:rsidRPr="00B57B36">
              <w:t>)</w:t>
            </w:r>
          </w:p>
        </w:tc>
      </w:tr>
    </w:tbl>
    <w:p w14:paraId="435E96E7" w14:textId="1AA3962B" w:rsidR="00BC1640" w:rsidRDefault="009A69A2" w:rsidP="0081186A">
      <w:pPr>
        <w:pStyle w:val="CETBodytext"/>
        <w:rPr>
          <w:lang w:val="en-GB"/>
        </w:rPr>
      </w:pPr>
      <w:r w:rsidRPr="009A69A2">
        <w:t xml:space="preserve">where </w:t>
      </w:r>
      <m:oMath>
        <m:r>
          <w:rPr>
            <w:rFonts w:ascii="Cambria Math" w:hAnsi="Cambria Math"/>
          </w:rPr>
          <m:t>WL</m:t>
        </m:r>
      </m:oMath>
      <w:r>
        <w:t xml:space="preserve"> is the weight loss in %, </w:t>
      </w:r>
      <m:oMath>
        <m:r>
          <w:rPr>
            <w:rFonts w:ascii="Cambria Math" w:hAnsi="Cambria Math"/>
          </w:rPr>
          <m:t>N</m:t>
        </m:r>
      </m:oMath>
      <w:r>
        <w:t xml:space="preserve"> is the total number of solid components present in the system </w:t>
      </w:r>
      <w:bookmarkStart w:id="0" w:name="_GoBack"/>
      <w:bookmarkEnd w:id="0"/>
      <w:r>
        <w:t xml:space="preserve">and </w:t>
      </w:r>
      <m:oMath>
        <m:sSub>
          <m:sSubPr>
            <m:ctrlPr>
              <w:rPr>
                <w:rFonts w:ascii="Cambria Math" w:hAnsi="Cambria Math"/>
                <w:i/>
                <w:lang w:val="en-GB"/>
              </w:rPr>
            </m:ctrlPr>
          </m:sSubPr>
          <m:e>
            <m:r>
              <w:rPr>
                <w:rFonts w:ascii="Cambria Math" w:hAnsi="Cambria Math"/>
              </w:rPr>
              <m:t>w</m:t>
            </m:r>
          </m:e>
          <m:sub>
            <m:r>
              <w:rPr>
                <w:rFonts w:ascii="Cambria Math" w:hAnsi="Cambria Math"/>
              </w:rPr>
              <m:t>sample</m:t>
            </m:r>
            <m:d>
              <m:dPr>
                <m:ctrlPr>
                  <w:rPr>
                    <w:rFonts w:ascii="Cambria Math" w:hAnsi="Cambria Math"/>
                    <w:i/>
                    <w:lang w:val="en-GB"/>
                  </w:rPr>
                </m:ctrlPr>
              </m:dPr>
              <m:e>
                <m:r>
                  <w:rPr>
                    <w:rFonts w:ascii="Cambria Math" w:hAnsi="Cambria Math"/>
                  </w:rPr>
                  <m:t>t=0</m:t>
                </m:r>
              </m:e>
            </m:d>
          </m:sub>
        </m:sSub>
      </m:oMath>
      <w:r>
        <w:rPr>
          <w:lang w:val="en-GB"/>
        </w:rPr>
        <w:t xml:space="preserve"> is the initial sample weight shown in Table </w:t>
      </w:r>
      <w:proofErr w:type="gramStart"/>
      <w:r>
        <w:rPr>
          <w:lang w:val="en-GB"/>
        </w:rPr>
        <w:t>1.</w:t>
      </w:r>
      <w:proofErr w:type="gramEnd"/>
      <w:r>
        <w:rPr>
          <w:lang w:val="en-GB"/>
        </w:rPr>
        <w:t xml:space="preserve"> </w:t>
      </w:r>
    </w:p>
    <w:p w14:paraId="7623484B" w14:textId="505F1651" w:rsidR="0021761E" w:rsidRPr="00761B08" w:rsidRDefault="00C33D1F" w:rsidP="0081186A">
      <w:pPr>
        <w:pStyle w:val="CETBodytext"/>
      </w:pPr>
      <w:r w:rsidRPr="00437DC9">
        <w:lastRenderedPageBreak/>
        <w:t xml:space="preserve">From the kinetic mechanisms </w:t>
      </w:r>
      <w:r w:rsidR="00910D6E">
        <w:t>propos</w:t>
      </w:r>
      <w:r w:rsidRPr="00437DC9">
        <w:t>ed in Figures 1 and 2, m</w:t>
      </w:r>
      <w:r w:rsidR="002565B3">
        <w:t>olar</w:t>
      </w:r>
      <w:r w:rsidRPr="00437DC9">
        <w:t xml:space="preserve"> balances for all components were done, resulting in an </w:t>
      </w:r>
      <w:r w:rsidR="00910D6E" w:rsidRPr="00910D6E">
        <w:t>ODE (</w:t>
      </w:r>
      <w:r w:rsidR="00910D6E">
        <w:t>ordinary differential equation)</w:t>
      </w:r>
      <w:r w:rsidRPr="00437DC9">
        <w:t xml:space="preserve"> system that were solved numerically using implicit BDF (backward differentiation formula)</w:t>
      </w:r>
      <w:r w:rsidR="00437DC9" w:rsidRPr="00437DC9">
        <w:t xml:space="preserve"> programmed in Python</w:t>
      </w:r>
      <w:r w:rsidR="00910D6E">
        <w:t xml:space="preserve"> (</w:t>
      </w:r>
      <w:proofErr w:type="spellStart"/>
      <w:r w:rsidR="00910D6E">
        <w:t>Petzold</w:t>
      </w:r>
      <w:proofErr w:type="spellEnd"/>
      <w:r w:rsidR="00910D6E">
        <w:t>, 1983)</w:t>
      </w:r>
      <w:r w:rsidR="00437DC9" w:rsidRPr="00437DC9">
        <w:t xml:space="preserve">. </w:t>
      </w:r>
    </w:p>
    <w:p w14:paraId="123A5A13" w14:textId="6D09BB3F" w:rsidR="0021761E" w:rsidRDefault="0021761E" w:rsidP="0021761E">
      <w:pPr>
        <w:pStyle w:val="CETHeading1"/>
      </w:pPr>
      <w:r>
        <w:t>Results and Discussion</w:t>
      </w:r>
    </w:p>
    <w:p w14:paraId="152FB182" w14:textId="27EC6525" w:rsidR="00CA3F79" w:rsidRDefault="00CA3F79" w:rsidP="0081186A">
      <w:pPr>
        <w:pStyle w:val="CETBodytext"/>
      </w:pPr>
    </w:p>
    <w:p w14:paraId="171E5929" w14:textId="69727461" w:rsidR="00803576" w:rsidRDefault="000D3ADC" w:rsidP="000D3ADC">
      <w:pPr>
        <w:pStyle w:val="CETBodytext"/>
      </w:pPr>
      <w:r w:rsidRPr="000D3ADC">
        <w:t>The thermogravimetric results, TGA curves are presented in Figure 1.</w:t>
      </w:r>
      <w:r>
        <w:t xml:space="preserve"> </w:t>
      </w:r>
    </w:p>
    <w:p w14:paraId="66E78E45" w14:textId="77777777" w:rsidR="000D3ADC" w:rsidRPr="000D3ADC" w:rsidRDefault="000D3ADC" w:rsidP="000D3ADC">
      <w:pPr>
        <w:pStyle w:val="CETBodytext"/>
      </w:pPr>
    </w:p>
    <w:p w14:paraId="5C45134C" w14:textId="43AB52A4" w:rsidR="00DE7E7D" w:rsidRDefault="007B45FC" w:rsidP="008116A0">
      <w:pPr>
        <w:pStyle w:val="CETBodytext"/>
        <w:jc w:val="center"/>
        <w:rPr>
          <w:noProof/>
        </w:rPr>
      </w:pPr>
      <w:r>
        <w:rPr>
          <w:noProof/>
        </w:rPr>
        <w:drawing>
          <wp:inline distT="0" distB="0" distL="0" distR="0" wp14:anchorId="1FA396C5" wp14:editId="58400ED6">
            <wp:extent cx="1828800" cy="1097238"/>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S10.tif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1097238"/>
                    </a:xfrm>
                    <a:prstGeom prst="rect">
                      <a:avLst/>
                    </a:prstGeom>
                  </pic:spPr>
                </pic:pic>
              </a:graphicData>
            </a:graphic>
          </wp:inline>
        </w:drawing>
      </w:r>
      <w:r w:rsidR="009127B2">
        <w:rPr>
          <w:noProof/>
        </w:rPr>
        <w:drawing>
          <wp:inline distT="0" distB="0" distL="0" distR="0" wp14:anchorId="44B243CD" wp14:editId="2A559246">
            <wp:extent cx="1828800" cy="1097238"/>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S15.tif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0" cy="1097238"/>
                    </a:xfrm>
                    <a:prstGeom prst="rect">
                      <a:avLst/>
                    </a:prstGeom>
                  </pic:spPr>
                </pic:pic>
              </a:graphicData>
            </a:graphic>
          </wp:inline>
        </w:drawing>
      </w:r>
      <w:r w:rsidR="00303A76">
        <w:rPr>
          <w:noProof/>
        </w:rPr>
        <w:drawing>
          <wp:inline distT="0" distB="0" distL="0" distR="0" wp14:anchorId="1E8E3B3E" wp14:editId="0B543144">
            <wp:extent cx="1828800" cy="1097238"/>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S20.tif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8800" cy="1097238"/>
                    </a:xfrm>
                    <a:prstGeom prst="rect">
                      <a:avLst/>
                    </a:prstGeom>
                  </pic:spPr>
                </pic:pic>
              </a:graphicData>
            </a:graphic>
          </wp:inline>
        </w:drawing>
      </w:r>
    </w:p>
    <w:p w14:paraId="2511D5CF" w14:textId="013710CE" w:rsidR="00F32128" w:rsidRDefault="00F32128" w:rsidP="00F32128">
      <w:pPr>
        <w:pStyle w:val="CETCaption"/>
        <w:numPr>
          <w:ilvl w:val="0"/>
          <w:numId w:val="23"/>
        </w:numPr>
        <w:rPr>
          <w:noProof/>
        </w:rPr>
      </w:pPr>
      <w:r>
        <w:rPr>
          <w:noProof/>
        </w:rPr>
        <w:t xml:space="preserve">                                                  (b)                                                  (c)</w:t>
      </w:r>
    </w:p>
    <w:p w14:paraId="7290E3A9" w14:textId="42E6D032" w:rsidR="00F32128" w:rsidRDefault="00A55E21" w:rsidP="00F32128">
      <w:pPr>
        <w:pStyle w:val="CETCaption"/>
        <w:rPr>
          <w:noProof/>
        </w:rPr>
      </w:pPr>
      <w:r>
        <w:rPr>
          <w:noProof/>
        </w:rPr>
        <w:t xml:space="preserve"> </w:t>
      </w:r>
      <w:r w:rsidR="00F32128">
        <w:rPr>
          <w:noProof/>
        </w:rPr>
        <w:t xml:space="preserve"> </w:t>
      </w:r>
      <w:r>
        <w:rPr>
          <w:noProof/>
          <w:lang w:val="en-US"/>
        </w:rPr>
        <w:drawing>
          <wp:inline distT="0" distB="0" distL="0" distR="0" wp14:anchorId="07899D6A" wp14:editId="74C3E9F0">
            <wp:extent cx="1828800" cy="1097238"/>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S10C.tif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8800" cy="1097238"/>
                    </a:xfrm>
                    <a:prstGeom prst="rect">
                      <a:avLst/>
                    </a:prstGeom>
                  </pic:spPr>
                </pic:pic>
              </a:graphicData>
            </a:graphic>
          </wp:inline>
        </w:drawing>
      </w:r>
      <w:r>
        <w:rPr>
          <w:noProof/>
          <w:lang w:val="en-US"/>
        </w:rPr>
        <w:drawing>
          <wp:inline distT="0" distB="0" distL="0" distR="0" wp14:anchorId="643C8FF8" wp14:editId="15D4701E">
            <wp:extent cx="1828800" cy="1097238"/>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S15C.tif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8800" cy="1097238"/>
                    </a:xfrm>
                    <a:prstGeom prst="rect">
                      <a:avLst/>
                    </a:prstGeom>
                  </pic:spPr>
                </pic:pic>
              </a:graphicData>
            </a:graphic>
          </wp:inline>
        </w:drawing>
      </w:r>
      <w:r>
        <w:rPr>
          <w:noProof/>
          <w:lang w:val="en-US"/>
        </w:rPr>
        <w:drawing>
          <wp:inline distT="0" distB="0" distL="0" distR="0" wp14:anchorId="1761D0B7" wp14:editId="4768E988">
            <wp:extent cx="1828800" cy="1097238"/>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S20C.tif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8800" cy="1097238"/>
                    </a:xfrm>
                    <a:prstGeom prst="rect">
                      <a:avLst/>
                    </a:prstGeom>
                  </pic:spPr>
                </pic:pic>
              </a:graphicData>
            </a:graphic>
          </wp:inline>
        </w:drawing>
      </w:r>
    </w:p>
    <w:p w14:paraId="4AB2A77B" w14:textId="77777777" w:rsidR="00F32128" w:rsidRDefault="00F32128" w:rsidP="00F32128">
      <w:pPr>
        <w:pStyle w:val="CETCaption"/>
        <w:rPr>
          <w:noProof/>
        </w:rPr>
      </w:pPr>
      <w:r>
        <w:rPr>
          <w:noProof/>
        </w:rPr>
        <w:t xml:space="preserve">                            (d)                                                      (e)                                                  (f)</w:t>
      </w:r>
    </w:p>
    <w:p w14:paraId="150DE34A" w14:textId="31887389" w:rsidR="005E671B" w:rsidRDefault="00F32128" w:rsidP="004F3502">
      <w:pPr>
        <w:pStyle w:val="CETCaption"/>
      </w:pPr>
      <w:r>
        <w:rPr>
          <w:noProof/>
        </w:rPr>
        <w:t xml:space="preserve">Figure 1: </w:t>
      </w:r>
      <w:r>
        <w:t xml:space="preserve">Weight loss and temperature as a function of time for potassium </w:t>
      </w:r>
      <w:proofErr w:type="spellStart"/>
      <w:r>
        <w:t>alumen</w:t>
      </w:r>
      <w:proofErr w:type="spellEnd"/>
      <w:r>
        <w:t xml:space="preserve"> dodecahydrate in the absence of charcoal</w:t>
      </w:r>
      <w:r w:rsidR="000C6F2A">
        <w:t xml:space="preserve"> (a to c) </w:t>
      </w:r>
      <w:r w:rsidR="00C21639">
        <w:t>and with</w:t>
      </w:r>
      <w:r>
        <w:t xml:space="preserve"> the presence of charcoal </w:t>
      </w:r>
      <w:r w:rsidR="000C6F2A">
        <w:t xml:space="preserve">(d to f) </w:t>
      </w:r>
      <w:r w:rsidR="00947991">
        <w:t>under inert atmosphere.</w:t>
      </w:r>
    </w:p>
    <w:p w14:paraId="06F442F2" w14:textId="4E17F503" w:rsidR="004F3502" w:rsidRDefault="004F3502" w:rsidP="004F3502">
      <w:pPr>
        <w:pStyle w:val="CETBodytext"/>
      </w:pPr>
      <w:r w:rsidRPr="00B469E9">
        <w:t xml:space="preserve">Table 4 shows the final weights achieved at the end of each </w:t>
      </w:r>
      <w:r w:rsidR="00C04917" w:rsidRPr="0081186A">
        <w:t>thermogravimetric</w:t>
      </w:r>
      <w:r w:rsidR="00C04917">
        <w:t xml:space="preserve"> </w:t>
      </w:r>
      <w:r w:rsidR="00C04917" w:rsidRPr="0081186A">
        <w:t>analys</w:t>
      </w:r>
      <w:r w:rsidR="00C04917">
        <w:t>is</w:t>
      </w:r>
      <w:r w:rsidRPr="00B469E9">
        <w:t xml:space="preserve">. </w:t>
      </w:r>
      <w:r w:rsidR="000D3ADC" w:rsidRPr="000D3ADC">
        <w:t>Figure 1a clearly shows the influence of increasing the heating rate on reducing the decomposition time. For t</w:t>
      </w:r>
      <w:r w:rsidR="000D3ADC">
        <w:t>h</w:t>
      </w:r>
      <w:r w:rsidRPr="00B469E9">
        <w:t xml:space="preserve">e lowest heating rate used (10 </w:t>
      </w:r>
      <w:r w:rsidRPr="00B469E9">
        <w:rPr>
          <w:rFonts w:ascii="Cambria Math" w:hAnsi="Cambria Math" w:cs="Cambria Math"/>
        </w:rPr>
        <w:t>℃</w:t>
      </w:r>
      <w:r w:rsidRPr="00B469E9">
        <w:t xml:space="preserve"> min</w:t>
      </w:r>
      <w:r w:rsidRPr="00B469E9">
        <w:rPr>
          <w:vertAlign w:val="superscript"/>
        </w:rPr>
        <w:t>-1</w:t>
      </w:r>
      <w:r w:rsidRPr="00B469E9">
        <w:t xml:space="preserve">), reactions R3 and R4 only take place after 65 min approximately while for 20 </w:t>
      </w:r>
      <w:r w:rsidRPr="00B469E9">
        <w:rPr>
          <w:rFonts w:ascii="Cambria Math" w:hAnsi="Cambria Math" w:cs="Cambria Math"/>
        </w:rPr>
        <w:t>℃</w:t>
      </w:r>
      <w:r w:rsidRPr="00B469E9">
        <w:t xml:space="preserve"> min</w:t>
      </w:r>
      <w:r w:rsidRPr="00B469E9">
        <w:rPr>
          <w:vertAlign w:val="superscript"/>
        </w:rPr>
        <w:t>-1</w:t>
      </w:r>
      <w:r w:rsidRPr="00B469E9">
        <w:t xml:space="preserve"> these reactions occur before the first 50 min. </w:t>
      </w:r>
      <w:r w:rsidR="000D3ADC" w:rsidRPr="000D3ADC">
        <w:t>The presence of charcoal does not affect the dehydration step, since the curves for reactions R1 and R2 (first 30 min) did not s</w:t>
      </w:r>
      <w:r w:rsidR="000D3ADC">
        <w:t>hift with the charcoal addition</w:t>
      </w:r>
      <w:r w:rsidRPr="00B469E9">
        <w:t xml:space="preserve">. On the other hand, </w:t>
      </w:r>
      <w:r w:rsidR="000D3ADC" w:rsidRPr="000D3ADC">
        <w:t xml:space="preserve">the charcoal addition accelerated the anhydrous alum thermal decomposition as shown in Fig. 2b for the reactions R3 and R4 that occurred between 600°C and 900°C. The anhydrous alum thermal decomposition occurs at lower temperatures when charcoal is present in the reaction system. </w:t>
      </w:r>
    </w:p>
    <w:p w14:paraId="3E46A485" w14:textId="77777777" w:rsidR="004F3502" w:rsidRPr="00B57B36" w:rsidRDefault="004F3502" w:rsidP="004F3502">
      <w:pPr>
        <w:pStyle w:val="CETTabletitle"/>
      </w:pPr>
      <w:r w:rsidRPr="00B57B36">
        <w:t xml:space="preserve">Table </w:t>
      </w:r>
      <w:r>
        <w:t>4</w:t>
      </w:r>
      <w:r w:rsidRPr="00B57B36">
        <w:t xml:space="preserve">: </w:t>
      </w:r>
      <w:r w:rsidRPr="00A46C14">
        <w:t xml:space="preserve">Heating rates and their respective final weights for thermal </w:t>
      </w:r>
      <w:r>
        <w:t>decomposition</w:t>
      </w:r>
      <w:r w:rsidRPr="00A46C14">
        <w:t xml:space="preserve"> of potassium </w:t>
      </w:r>
      <w:proofErr w:type="spellStart"/>
      <w:r w:rsidRPr="00A46C14">
        <w:t>alumen</w:t>
      </w:r>
      <w:proofErr w:type="spellEnd"/>
      <w:r w:rsidRPr="00A46C14">
        <w:t xml:space="preserve"> dodecahydrate</w:t>
      </w:r>
      <w:r>
        <w:t xml:space="preserve"> with and without the presence of charcoal under</w:t>
      </w:r>
      <w:r w:rsidRPr="00A46C14">
        <w:t xml:space="preserve"> inert atmosphere</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27"/>
        <w:gridCol w:w="2527"/>
        <w:gridCol w:w="2527"/>
      </w:tblGrid>
      <w:tr w:rsidR="004F3502" w:rsidRPr="00B57B36" w14:paraId="6A848D44" w14:textId="77777777" w:rsidTr="004340C5">
        <w:trPr>
          <w:trHeight w:val="466"/>
          <w:jc w:val="center"/>
        </w:trPr>
        <w:tc>
          <w:tcPr>
            <w:tcW w:w="2527" w:type="dxa"/>
            <w:tcBorders>
              <w:top w:val="single" w:sz="12" w:space="0" w:color="008000"/>
              <w:bottom w:val="single" w:sz="6" w:space="0" w:color="008000"/>
            </w:tcBorders>
            <w:shd w:val="clear" w:color="auto" w:fill="FFFFFF"/>
            <w:vAlign w:val="center"/>
          </w:tcPr>
          <w:p w14:paraId="372263E0" w14:textId="77777777" w:rsidR="004F3502" w:rsidRPr="004C0853" w:rsidRDefault="004F3502" w:rsidP="004340C5">
            <w:pPr>
              <w:pStyle w:val="CETBodytext"/>
              <w:jc w:val="center"/>
              <w:rPr>
                <w:lang w:val="en-GB"/>
              </w:rPr>
            </w:pPr>
            <w:r>
              <w:rPr>
                <w:lang w:val="en-GB"/>
              </w:rPr>
              <w:t>Sample Identification</w:t>
            </w:r>
          </w:p>
        </w:tc>
        <w:tc>
          <w:tcPr>
            <w:tcW w:w="2527" w:type="dxa"/>
            <w:tcBorders>
              <w:top w:val="single" w:sz="12" w:space="0" w:color="008000"/>
              <w:bottom w:val="single" w:sz="6" w:space="0" w:color="008000"/>
            </w:tcBorders>
            <w:shd w:val="clear" w:color="auto" w:fill="FFFFFF"/>
            <w:vAlign w:val="center"/>
          </w:tcPr>
          <w:p w14:paraId="3D5E4EE2" w14:textId="77777777" w:rsidR="004F3502" w:rsidRPr="00B57B36" w:rsidRDefault="004F3502" w:rsidP="004340C5">
            <w:pPr>
              <w:pStyle w:val="CETBodytext"/>
              <w:jc w:val="center"/>
              <w:rPr>
                <w:lang w:val="en-GB"/>
              </w:rPr>
            </w:pPr>
            <w:r w:rsidRPr="004C0853">
              <w:rPr>
                <w:lang w:val="en-GB"/>
              </w:rPr>
              <w:t>Heating rate (</w:t>
            </w:r>
            <w:r w:rsidRPr="00B469E9">
              <w:rPr>
                <w:rFonts w:ascii="Cambria Math" w:hAnsi="Cambria Math" w:cs="Cambria Math"/>
              </w:rPr>
              <w:t>℃</w:t>
            </w:r>
            <w:r w:rsidRPr="004C0853">
              <w:rPr>
                <w:lang w:val="en-GB"/>
              </w:rPr>
              <w:t xml:space="preserve"> min</w:t>
            </w:r>
            <w:r w:rsidRPr="005C2CAA">
              <w:rPr>
                <w:vertAlign w:val="superscript"/>
                <w:lang w:val="en-GB"/>
              </w:rPr>
              <w:t>-1</w:t>
            </w:r>
            <w:r w:rsidRPr="004C0853">
              <w:rPr>
                <w:lang w:val="en-GB"/>
              </w:rPr>
              <w:t>)</w:t>
            </w:r>
          </w:p>
        </w:tc>
        <w:tc>
          <w:tcPr>
            <w:tcW w:w="2527" w:type="dxa"/>
            <w:tcBorders>
              <w:top w:val="single" w:sz="12" w:space="0" w:color="008000"/>
              <w:bottom w:val="single" w:sz="6" w:space="0" w:color="008000"/>
            </w:tcBorders>
            <w:shd w:val="clear" w:color="auto" w:fill="FFFFFF"/>
            <w:vAlign w:val="center"/>
          </w:tcPr>
          <w:p w14:paraId="66050B04" w14:textId="77777777" w:rsidR="004F3502" w:rsidRPr="00B57B36" w:rsidRDefault="004F3502" w:rsidP="004340C5">
            <w:pPr>
              <w:pStyle w:val="CETBodytext"/>
              <w:jc w:val="center"/>
              <w:rPr>
                <w:lang w:val="en-GB"/>
              </w:rPr>
            </w:pPr>
            <w:r w:rsidRPr="004C0853">
              <w:rPr>
                <w:lang w:val="en-GB"/>
              </w:rPr>
              <w:t>Final weight (%)</w:t>
            </w:r>
          </w:p>
        </w:tc>
      </w:tr>
      <w:tr w:rsidR="004F3502" w:rsidRPr="00B57B36" w14:paraId="298387A4" w14:textId="77777777" w:rsidTr="004340C5">
        <w:trPr>
          <w:trHeight w:val="238"/>
          <w:jc w:val="center"/>
        </w:trPr>
        <w:tc>
          <w:tcPr>
            <w:tcW w:w="2527" w:type="dxa"/>
            <w:shd w:val="clear" w:color="auto" w:fill="FFFFFF"/>
          </w:tcPr>
          <w:p w14:paraId="7A2C4A5B" w14:textId="77777777" w:rsidR="004F3502" w:rsidRDefault="004F3502" w:rsidP="004340C5">
            <w:pPr>
              <w:pStyle w:val="CETBodytext"/>
              <w:jc w:val="center"/>
              <w:rPr>
                <w:lang w:val="en-GB"/>
              </w:rPr>
            </w:pPr>
            <w:r>
              <w:rPr>
                <w:lang w:val="en-GB"/>
              </w:rPr>
              <w:t>S10</w:t>
            </w:r>
          </w:p>
        </w:tc>
        <w:tc>
          <w:tcPr>
            <w:tcW w:w="2527" w:type="dxa"/>
            <w:shd w:val="clear" w:color="auto" w:fill="FFFFFF"/>
            <w:vAlign w:val="center"/>
          </w:tcPr>
          <w:p w14:paraId="102D9167" w14:textId="77777777" w:rsidR="004F3502" w:rsidRPr="00B57B36" w:rsidRDefault="004F3502" w:rsidP="004340C5">
            <w:pPr>
              <w:pStyle w:val="CETBodytext"/>
              <w:jc w:val="center"/>
              <w:rPr>
                <w:lang w:val="en-GB"/>
              </w:rPr>
            </w:pPr>
            <w:r>
              <w:rPr>
                <w:lang w:val="en-GB"/>
              </w:rPr>
              <w:t>10</w:t>
            </w:r>
          </w:p>
        </w:tc>
        <w:tc>
          <w:tcPr>
            <w:tcW w:w="2527" w:type="dxa"/>
            <w:shd w:val="clear" w:color="auto" w:fill="FFFFFF"/>
            <w:vAlign w:val="center"/>
          </w:tcPr>
          <w:p w14:paraId="3F2FD823" w14:textId="77777777" w:rsidR="004F3502" w:rsidRDefault="004F3502" w:rsidP="004340C5">
            <w:pPr>
              <w:pStyle w:val="CETBodytext"/>
              <w:jc w:val="center"/>
            </w:pPr>
            <w:r>
              <w:t>30.324</w:t>
            </w:r>
          </w:p>
        </w:tc>
      </w:tr>
      <w:tr w:rsidR="004F3502" w:rsidRPr="00B57B36" w14:paraId="07E257CC" w14:textId="77777777" w:rsidTr="004340C5">
        <w:trPr>
          <w:trHeight w:val="238"/>
          <w:jc w:val="center"/>
        </w:trPr>
        <w:tc>
          <w:tcPr>
            <w:tcW w:w="2527" w:type="dxa"/>
            <w:shd w:val="clear" w:color="auto" w:fill="FFFFFF"/>
          </w:tcPr>
          <w:p w14:paraId="35F758A6" w14:textId="77777777" w:rsidR="004F3502" w:rsidRDefault="004F3502" w:rsidP="004340C5">
            <w:pPr>
              <w:pStyle w:val="CETBodytext"/>
              <w:jc w:val="center"/>
              <w:rPr>
                <w:lang w:val="en-GB"/>
              </w:rPr>
            </w:pPr>
            <w:r>
              <w:rPr>
                <w:lang w:val="en-GB"/>
              </w:rPr>
              <w:t>S15</w:t>
            </w:r>
          </w:p>
        </w:tc>
        <w:tc>
          <w:tcPr>
            <w:tcW w:w="2527" w:type="dxa"/>
            <w:shd w:val="clear" w:color="auto" w:fill="FFFFFF"/>
            <w:vAlign w:val="center"/>
          </w:tcPr>
          <w:p w14:paraId="6D10A960" w14:textId="77777777" w:rsidR="004F3502" w:rsidRPr="00B57B36" w:rsidRDefault="004F3502" w:rsidP="004340C5">
            <w:pPr>
              <w:pStyle w:val="CETBodytext"/>
              <w:jc w:val="center"/>
              <w:rPr>
                <w:lang w:val="en-GB"/>
              </w:rPr>
            </w:pPr>
            <w:r>
              <w:rPr>
                <w:lang w:val="en-GB"/>
              </w:rPr>
              <w:t>15</w:t>
            </w:r>
          </w:p>
        </w:tc>
        <w:tc>
          <w:tcPr>
            <w:tcW w:w="2527" w:type="dxa"/>
            <w:shd w:val="clear" w:color="auto" w:fill="FFFFFF"/>
            <w:vAlign w:val="center"/>
          </w:tcPr>
          <w:p w14:paraId="333EB63F" w14:textId="77777777" w:rsidR="004F3502" w:rsidRDefault="004F3502" w:rsidP="004340C5">
            <w:pPr>
              <w:pStyle w:val="CETBodytext"/>
              <w:jc w:val="center"/>
            </w:pPr>
            <w:r>
              <w:t>30.262</w:t>
            </w:r>
          </w:p>
        </w:tc>
      </w:tr>
      <w:tr w:rsidR="004F3502" w:rsidRPr="00B57B36" w14:paraId="32908328" w14:textId="77777777" w:rsidTr="004340C5">
        <w:trPr>
          <w:trHeight w:val="227"/>
          <w:jc w:val="center"/>
        </w:trPr>
        <w:tc>
          <w:tcPr>
            <w:tcW w:w="2527" w:type="dxa"/>
            <w:shd w:val="clear" w:color="auto" w:fill="FFFFFF"/>
          </w:tcPr>
          <w:p w14:paraId="114ED679" w14:textId="77777777" w:rsidR="004F3502" w:rsidRDefault="004F3502" w:rsidP="004340C5">
            <w:pPr>
              <w:pStyle w:val="CETBodytext"/>
              <w:ind w:right="-1"/>
              <w:jc w:val="center"/>
              <w:rPr>
                <w:rFonts w:cs="Arial"/>
                <w:szCs w:val="18"/>
                <w:lang w:val="en-GB"/>
              </w:rPr>
            </w:pPr>
            <w:r>
              <w:rPr>
                <w:rFonts w:cs="Arial"/>
                <w:szCs w:val="18"/>
                <w:lang w:val="en-GB"/>
              </w:rPr>
              <w:t>S20</w:t>
            </w:r>
          </w:p>
        </w:tc>
        <w:tc>
          <w:tcPr>
            <w:tcW w:w="2527" w:type="dxa"/>
            <w:shd w:val="clear" w:color="auto" w:fill="FFFFFF"/>
            <w:vAlign w:val="center"/>
          </w:tcPr>
          <w:p w14:paraId="18869DA0" w14:textId="77777777" w:rsidR="004F3502" w:rsidRPr="00B57B36" w:rsidRDefault="004F3502" w:rsidP="004340C5">
            <w:pPr>
              <w:pStyle w:val="CETBodytext"/>
              <w:ind w:right="-1"/>
              <w:jc w:val="center"/>
              <w:rPr>
                <w:rFonts w:cs="Arial"/>
                <w:szCs w:val="18"/>
                <w:lang w:val="en-GB"/>
              </w:rPr>
            </w:pPr>
            <w:r>
              <w:rPr>
                <w:rFonts w:cs="Arial"/>
                <w:szCs w:val="18"/>
                <w:lang w:val="en-GB"/>
              </w:rPr>
              <w:t>20</w:t>
            </w:r>
          </w:p>
        </w:tc>
        <w:tc>
          <w:tcPr>
            <w:tcW w:w="2527" w:type="dxa"/>
            <w:shd w:val="clear" w:color="auto" w:fill="FFFFFF"/>
            <w:vAlign w:val="center"/>
          </w:tcPr>
          <w:p w14:paraId="7F59C967" w14:textId="77777777" w:rsidR="004F3502" w:rsidRDefault="004F3502" w:rsidP="004340C5">
            <w:pPr>
              <w:pStyle w:val="CETBodytext"/>
              <w:jc w:val="center"/>
            </w:pPr>
            <w:r>
              <w:t>29.304</w:t>
            </w:r>
          </w:p>
        </w:tc>
      </w:tr>
      <w:tr w:rsidR="004F3502" w:rsidRPr="00B57B36" w14:paraId="5BBF034B" w14:textId="77777777" w:rsidTr="004340C5">
        <w:trPr>
          <w:trHeight w:val="227"/>
          <w:jc w:val="center"/>
        </w:trPr>
        <w:tc>
          <w:tcPr>
            <w:tcW w:w="2527" w:type="dxa"/>
            <w:shd w:val="clear" w:color="auto" w:fill="FFFFFF"/>
          </w:tcPr>
          <w:p w14:paraId="6D04706B" w14:textId="77777777" w:rsidR="004F3502" w:rsidRDefault="004F3502" w:rsidP="004340C5">
            <w:pPr>
              <w:pStyle w:val="CETBodytext"/>
              <w:ind w:right="-1"/>
              <w:jc w:val="center"/>
              <w:rPr>
                <w:rFonts w:cs="Arial"/>
                <w:szCs w:val="18"/>
                <w:lang w:val="en-GB"/>
              </w:rPr>
            </w:pPr>
            <w:r>
              <w:rPr>
                <w:rFonts w:cs="Arial"/>
                <w:szCs w:val="18"/>
                <w:lang w:val="en-GB"/>
              </w:rPr>
              <w:t>S10C</w:t>
            </w:r>
          </w:p>
        </w:tc>
        <w:tc>
          <w:tcPr>
            <w:tcW w:w="2527" w:type="dxa"/>
            <w:shd w:val="clear" w:color="auto" w:fill="FFFFFF"/>
            <w:vAlign w:val="center"/>
          </w:tcPr>
          <w:p w14:paraId="5E599F5F" w14:textId="77777777" w:rsidR="004F3502" w:rsidRDefault="004F3502" w:rsidP="004340C5">
            <w:pPr>
              <w:pStyle w:val="CETBodytext"/>
              <w:ind w:right="-1"/>
              <w:jc w:val="center"/>
              <w:rPr>
                <w:rFonts w:cs="Arial"/>
                <w:szCs w:val="18"/>
                <w:lang w:val="en-GB"/>
              </w:rPr>
            </w:pPr>
            <w:r>
              <w:rPr>
                <w:lang w:val="en-GB"/>
              </w:rPr>
              <w:t>10</w:t>
            </w:r>
          </w:p>
        </w:tc>
        <w:tc>
          <w:tcPr>
            <w:tcW w:w="2527" w:type="dxa"/>
            <w:shd w:val="clear" w:color="auto" w:fill="FFFFFF"/>
            <w:vAlign w:val="center"/>
          </w:tcPr>
          <w:p w14:paraId="2F43EBEF" w14:textId="77777777" w:rsidR="004F3502" w:rsidRDefault="004F3502" w:rsidP="004340C5">
            <w:pPr>
              <w:pStyle w:val="CETBodytext"/>
              <w:jc w:val="center"/>
            </w:pPr>
            <w:r>
              <w:rPr>
                <w:rFonts w:cs="Arial"/>
                <w:color w:val="000000"/>
                <w:szCs w:val="18"/>
              </w:rPr>
              <w:t>28.179</w:t>
            </w:r>
          </w:p>
        </w:tc>
      </w:tr>
      <w:tr w:rsidR="004F3502" w:rsidRPr="00B57B36" w14:paraId="2B071620" w14:textId="77777777" w:rsidTr="004340C5">
        <w:trPr>
          <w:trHeight w:val="227"/>
          <w:jc w:val="center"/>
        </w:trPr>
        <w:tc>
          <w:tcPr>
            <w:tcW w:w="2527" w:type="dxa"/>
            <w:shd w:val="clear" w:color="auto" w:fill="FFFFFF"/>
          </w:tcPr>
          <w:p w14:paraId="49EE3B6C" w14:textId="77777777" w:rsidR="004F3502" w:rsidRDefault="004F3502" w:rsidP="004340C5">
            <w:pPr>
              <w:pStyle w:val="CETBodytext"/>
              <w:ind w:right="-1"/>
              <w:jc w:val="center"/>
              <w:rPr>
                <w:rFonts w:cs="Arial"/>
                <w:szCs w:val="18"/>
                <w:lang w:val="en-GB"/>
              </w:rPr>
            </w:pPr>
            <w:r>
              <w:rPr>
                <w:rFonts w:cs="Arial"/>
                <w:szCs w:val="18"/>
                <w:lang w:val="en-GB"/>
              </w:rPr>
              <w:t>S15C1</w:t>
            </w:r>
          </w:p>
        </w:tc>
        <w:tc>
          <w:tcPr>
            <w:tcW w:w="2527" w:type="dxa"/>
            <w:shd w:val="clear" w:color="auto" w:fill="FFFFFF"/>
            <w:vAlign w:val="center"/>
          </w:tcPr>
          <w:p w14:paraId="536A7CA5" w14:textId="77777777" w:rsidR="004F3502" w:rsidRDefault="004F3502" w:rsidP="004340C5">
            <w:pPr>
              <w:pStyle w:val="CETBodytext"/>
              <w:ind w:right="-1"/>
              <w:jc w:val="center"/>
              <w:rPr>
                <w:rFonts w:cs="Arial"/>
                <w:szCs w:val="18"/>
                <w:lang w:val="en-GB"/>
              </w:rPr>
            </w:pPr>
            <w:r>
              <w:rPr>
                <w:lang w:val="en-GB"/>
              </w:rPr>
              <w:t>15</w:t>
            </w:r>
          </w:p>
        </w:tc>
        <w:tc>
          <w:tcPr>
            <w:tcW w:w="2527" w:type="dxa"/>
            <w:shd w:val="clear" w:color="auto" w:fill="FFFFFF"/>
            <w:vAlign w:val="center"/>
          </w:tcPr>
          <w:p w14:paraId="373C9AB0" w14:textId="77777777" w:rsidR="004F3502" w:rsidRDefault="004F3502" w:rsidP="004340C5">
            <w:pPr>
              <w:pStyle w:val="CETBodytext"/>
              <w:jc w:val="center"/>
            </w:pPr>
            <w:r>
              <w:rPr>
                <w:rFonts w:cs="Arial"/>
                <w:color w:val="000000"/>
                <w:szCs w:val="18"/>
              </w:rPr>
              <w:t>29.214</w:t>
            </w:r>
          </w:p>
        </w:tc>
      </w:tr>
      <w:tr w:rsidR="004F3502" w:rsidRPr="00B57B36" w14:paraId="2C98FB99" w14:textId="77777777" w:rsidTr="004340C5">
        <w:trPr>
          <w:trHeight w:val="227"/>
          <w:jc w:val="center"/>
        </w:trPr>
        <w:tc>
          <w:tcPr>
            <w:tcW w:w="2527" w:type="dxa"/>
            <w:shd w:val="clear" w:color="auto" w:fill="FFFFFF"/>
          </w:tcPr>
          <w:p w14:paraId="49E88857" w14:textId="77777777" w:rsidR="004F3502" w:rsidRDefault="004F3502" w:rsidP="004340C5">
            <w:pPr>
              <w:pStyle w:val="CETBodytext"/>
              <w:ind w:right="-1"/>
              <w:jc w:val="center"/>
              <w:rPr>
                <w:rFonts w:cs="Arial"/>
                <w:szCs w:val="18"/>
                <w:lang w:val="en-GB"/>
              </w:rPr>
            </w:pPr>
            <w:r>
              <w:rPr>
                <w:rFonts w:cs="Arial"/>
                <w:szCs w:val="18"/>
                <w:lang w:val="en-GB"/>
              </w:rPr>
              <w:t>S15C2</w:t>
            </w:r>
          </w:p>
        </w:tc>
        <w:tc>
          <w:tcPr>
            <w:tcW w:w="2527" w:type="dxa"/>
            <w:shd w:val="clear" w:color="auto" w:fill="FFFFFF"/>
            <w:vAlign w:val="center"/>
          </w:tcPr>
          <w:p w14:paraId="78C34CB7" w14:textId="77777777" w:rsidR="004F3502" w:rsidRDefault="004F3502" w:rsidP="004340C5">
            <w:pPr>
              <w:pStyle w:val="CETBodytext"/>
              <w:ind w:right="-1"/>
              <w:jc w:val="center"/>
              <w:rPr>
                <w:rFonts w:cs="Arial"/>
                <w:szCs w:val="18"/>
                <w:lang w:val="en-GB"/>
              </w:rPr>
            </w:pPr>
            <w:r>
              <w:rPr>
                <w:rFonts w:cs="Arial"/>
                <w:szCs w:val="18"/>
                <w:lang w:val="en-GB"/>
              </w:rPr>
              <w:t>15</w:t>
            </w:r>
          </w:p>
        </w:tc>
        <w:tc>
          <w:tcPr>
            <w:tcW w:w="2527" w:type="dxa"/>
            <w:shd w:val="clear" w:color="auto" w:fill="FFFFFF"/>
            <w:vAlign w:val="center"/>
          </w:tcPr>
          <w:p w14:paraId="776303E2" w14:textId="77777777" w:rsidR="004F3502" w:rsidRDefault="004F3502" w:rsidP="004340C5">
            <w:pPr>
              <w:pStyle w:val="CETBodytext"/>
              <w:jc w:val="center"/>
            </w:pPr>
            <w:r>
              <w:rPr>
                <w:rFonts w:cs="Arial"/>
                <w:color w:val="000000"/>
                <w:szCs w:val="18"/>
              </w:rPr>
              <w:t>29.909</w:t>
            </w:r>
          </w:p>
        </w:tc>
      </w:tr>
      <w:tr w:rsidR="004F3502" w:rsidRPr="00B57B36" w14:paraId="64B9F093" w14:textId="77777777" w:rsidTr="004340C5">
        <w:trPr>
          <w:trHeight w:val="227"/>
          <w:jc w:val="center"/>
        </w:trPr>
        <w:tc>
          <w:tcPr>
            <w:tcW w:w="2527" w:type="dxa"/>
            <w:shd w:val="clear" w:color="auto" w:fill="FFFFFF"/>
          </w:tcPr>
          <w:p w14:paraId="03F8F839" w14:textId="77777777" w:rsidR="004F3502" w:rsidRDefault="004F3502" w:rsidP="004340C5">
            <w:pPr>
              <w:pStyle w:val="CETBodytext"/>
              <w:ind w:right="-1"/>
              <w:jc w:val="center"/>
              <w:rPr>
                <w:rFonts w:cs="Arial"/>
                <w:szCs w:val="18"/>
                <w:lang w:val="en-GB"/>
              </w:rPr>
            </w:pPr>
            <w:r>
              <w:rPr>
                <w:rFonts w:cs="Arial"/>
                <w:szCs w:val="18"/>
                <w:lang w:val="en-GB"/>
              </w:rPr>
              <w:t>S20C</w:t>
            </w:r>
          </w:p>
        </w:tc>
        <w:tc>
          <w:tcPr>
            <w:tcW w:w="2527" w:type="dxa"/>
            <w:shd w:val="clear" w:color="auto" w:fill="FFFFFF"/>
            <w:vAlign w:val="center"/>
          </w:tcPr>
          <w:p w14:paraId="01575BCE" w14:textId="77777777" w:rsidR="004F3502" w:rsidRDefault="004F3502" w:rsidP="004340C5">
            <w:pPr>
              <w:pStyle w:val="CETBodytext"/>
              <w:ind w:right="-1"/>
              <w:jc w:val="center"/>
              <w:rPr>
                <w:rFonts w:cs="Arial"/>
                <w:szCs w:val="18"/>
                <w:lang w:val="en-GB"/>
              </w:rPr>
            </w:pPr>
            <w:r>
              <w:rPr>
                <w:rFonts w:cs="Arial"/>
                <w:szCs w:val="18"/>
                <w:lang w:val="en-GB"/>
              </w:rPr>
              <w:t>20</w:t>
            </w:r>
          </w:p>
        </w:tc>
        <w:tc>
          <w:tcPr>
            <w:tcW w:w="2527" w:type="dxa"/>
            <w:shd w:val="clear" w:color="auto" w:fill="FFFFFF"/>
            <w:vAlign w:val="center"/>
          </w:tcPr>
          <w:p w14:paraId="0F69B10D" w14:textId="77777777" w:rsidR="004F3502" w:rsidRDefault="004F3502" w:rsidP="004340C5">
            <w:pPr>
              <w:pStyle w:val="CETBodytext"/>
              <w:jc w:val="center"/>
            </w:pPr>
            <w:r>
              <w:rPr>
                <w:rFonts w:cs="Arial"/>
                <w:color w:val="000000"/>
                <w:szCs w:val="18"/>
              </w:rPr>
              <w:t>28.697</w:t>
            </w:r>
          </w:p>
        </w:tc>
      </w:tr>
    </w:tbl>
    <w:p w14:paraId="700BE2B0" w14:textId="790E6A34" w:rsidR="00B36F33" w:rsidRDefault="00B36F33" w:rsidP="00B36F33">
      <w:pPr>
        <w:pStyle w:val="CETBodytext"/>
        <w:jc w:val="center"/>
      </w:pPr>
      <w:r>
        <w:rPr>
          <w:noProof/>
        </w:rPr>
        <w:lastRenderedPageBreak/>
        <w:drawing>
          <wp:inline distT="0" distB="0" distL="0" distR="0" wp14:anchorId="2E6F8196" wp14:editId="7C266BD4">
            <wp:extent cx="2743200" cy="2057321"/>
            <wp:effectExtent l="0" t="0" r="0" b="635"/>
            <wp:docPr id="35" name="Picture 35"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2.tif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43200" cy="2057321"/>
                    </a:xfrm>
                    <a:prstGeom prst="rect">
                      <a:avLst/>
                    </a:prstGeom>
                  </pic:spPr>
                </pic:pic>
              </a:graphicData>
            </a:graphic>
          </wp:inline>
        </w:drawing>
      </w:r>
      <w:r w:rsidR="00A03A11">
        <w:rPr>
          <w:noProof/>
        </w:rPr>
        <w:drawing>
          <wp:inline distT="0" distB="0" distL="0" distR="0" wp14:anchorId="31C5F884" wp14:editId="7CA84443">
            <wp:extent cx="2743200" cy="2057321"/>
            <wp:effectExtent l="0" t="0" r="0" b="635"/>
            <wp:docPr id="37" name="Picture 3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3.tif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43200" cy="2057321"/>
                    </a:xfrm>
                    <a:prstGeom prst="rect">
                      <a:avLst/>
                    </a:prstGeom>
                  </pic:spPr>
                </pic:pic>
              </a:graphicData>
            </a:graphic>
          </wp:inline>
        </w:drawing>
      </w:r>
    </w:p>
    <w:p w14:paraId="390D4800" w14:textId="17F1028E" w:rsidR="00A03A11" w:rsidRDefault="00A03A11" w:rsidP="004F3502">
      <w:pPr>
        <w:pStyle w:val="CETCaption"/>
      </w:pPr>
      <w:r>
        <w:t xml:space="preserve">                                            (a)                                                                             </w:t>
      </w:r>
      <w:proofErr w:type="gramStart"/>
      <w:r>
        <w:t xml:space="preserve">   (</w:t>
      </w:r>
      <w:proofErr w:type="gramEnd"/>
      <w:r>
        <w:t>b)</w:t>
      </w:r>
    </w:p>
    <w:p w14:paraId="592F5F21" w14:textId="44B0E929" w:rsidR="00B36F33" w:rsidRDefault="00B36F33" w:rsidP="004F3502">
      <w:pPr>
        <w:pStyle w:val="CETCaption"/>
      </w:pPr>
      <w:r w:rsidRPr="00FE7A25">
        <w:t>Figure</w:t>
      </w:r>
      <w:r>
        <w:t xml:space="preserve"> 2</w:t>
      </w:r>
      <w:r w:rsidRPr="00FE7A25">
        <w:t xml:space="preserve">: </w:t>
      </w:r>
      <w:r>
        <w:t>Weight loss as a function of</w:t>
      </w:r>
      <w:r w:rsidR="00A03A11">
        <w:t xml:space="preserve"> (a)</w:t>
      </w:r>
      <w:r>
        <w:t xml:space="preserve"> time</w:t>
      </w:r>
      <w:r w:rsidR="00A03A11">
        <w:t xml:space="preserve"> and (b) temperature</w:t>
      </w:r>
      <w:r>
        <w:t xml:space="preserve"> for potassium </w:t>
      </w:r>
      <w:proofErr w:type="spellStart"/>
      <w:r>
        <w:t>alumen</w:t>
      </w:r>
      <w:proofErr w:type="spellEnd"/>
      <w:r>
        <w:t xml:space="preserve"> dodecahydrate in the absence of charcoal and with the presence of charcoal under inert atmosphere.</w:t>
      </w:r>
    </w:p>
    <w:p w14:paraId="1130A5AF" w14:textId="7F752710" w:rsidR="00803576" w:rsidRDefault="00803576" w:rsidP="00803576">
      <w:pPr>
        <w:pStyle w:val="CETBodytext"/>
      </w:pPr>
      <w:r>
        <w:t xml:space="preserve">Observing the results shown in Table 4, the heating rate and the use of charcoal do not affect the final weight achieved. All experiments resulted in approximately the same final weight around 30 %. </w:t>
      </w:r>
    </w:p>
    <w:p w14:paraId="5F1C51CF" w14:textId="1C183774" w:rsidR="00CA7C7D" w:rsidRDefault="000D3ADC" w:rsidP="000D3ADC">
      <w:pPr>
        <w:pStyle w:val="CETBodytext"/>
      </w:pPr>
      <w:r w:rsidRPr="000D3ADC">
        <w:t xml:space="preserve">After an exhaustive search, the best model parameters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B</m:t>
            </m:r>
          </m:e>
          <m:sub>
            <m:r>
              <w:rPr>
                <w:rFonts w:ascii="Cambria Math" w:hAnsi="Cambria Math"/>
              </w:rPr>
              <m:t>i</m:t>
            </m:r>
          </m:sub>
        </m:sSub>
      </m:oMath>
      <w:r>
        <w:t xml:space="preserve"> </w:t>
      </w:r>
      <w:r w:rsidRPr="000D3ADC">
        <w:t>are shown in Table 5.</w:t>
      </w:r>
      <w:r w:rsidR="006171F1">
        <w:t xml:space="preserve"> With these values, both models (one with the absence and the other with the presence of charcoal) were capable to predict weight loss data close to the ones measured experimentally. </w:t>
      </w:r>
    </w:p>
    <w:p w14:paraId="2A9E4256" w14:textId="035EE0AE" w:rsidR="006171F1" w:rsidRPr="00B57B36" w:rsidRDefault="006171F1" w:rsidP="006171F1">
      <w:pPr>
        <w:pStyle w:val="CETTabletitle"/>
      </w:pPr>
      <w:r w:rsidRPr="00B57B36">
        <w:t xml:space="preserve">Table </w:t>
      </w:r>
      <w:r>
        <w:t>5</w:t>
      </w:r>
      <w:r w:rsidRPr="00B57B36">
        <w:t xml:space="preserve">: </w:t>
      </w:r>
      <w:r>
        <w:t>Parameter values used in the simulations</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50"/>
        <w:gridCol w:w="1710"/>
        <w:gridCol w:w="1620"/>
        <w:gridCol w:w="1980"/>
        <w:gridCol w:w="2127"/>
      </w:tblGrid>
      <w:tr w:rsidR="006171F1" w:rsidRPr="00B57B36" w14:paraId="0C07171D" w14:textId="77777777" w:rsidTr="00550567">
        <w:trPr>
          <w:trHeight w:val="391"/>
          <w:jc w:val="center"/>
        </w:trPr>
        <w:tc>
          <w:tcPr>
            <w:tcW w:w="1350" w:type="dxa"/>
            <w:tcBorders>
              <w:top w:val="single" w:sz="12" w:space="0" w:color="008000"/>
              <w:bottom w:val="single" w:sz="6" w:space="0" w:color="008000"/>
              <w:right w:val="nil"/>
            </w:tcBorders>
            <w:shd w:val="clear" w:color="auto" w:fill="FFFFFF"/>
            <w:vAlign w:val="center"/>
          </w:tcPr>
          <w:p w14:paraId="1463A088" w14:textId="77777777" w:rsidR="006171F1" w:rsidRPr="00B57B36" w:rsidRDefault="006171F1" w:rsidP="00550567">
            <w:pPr>
              <w:pStyle w:val="CETBodytext"/>
              <w:jc w:val="center"/>
              <w:rPr>
                <w:lang w:val="en-GB"/>
              </w:rPr>
            </w:pPr>
            <w:r>
              <w:rPr>
                <w:lang w:val="en-GB"/>
              </w:rPr>
              <w:t>Kinetic reaction constant</w:t>
            </w:r>
          </w:p>
        </w:tc>
        <w:tc>
          <w:tcPr>
            <w:tcW w:w="1710" w:type="dxa"/>
            <w:tcBorders>
              <w:top w:val="single" w:sz="12" w:space="0" w:color="008000"/>
              <w:left w:val="nil"/>
              <w:bottom w:val="single" w:sz="6" w:space="0" w:color="008000"/>
              <w:right w:val="nil"/>
            </w:tcBorders>
            <w:shd w:val="clear" w:color="auto" w:fill="FFFFFF"/>
            <w:vAlign w:val="center"/>
          </w:tcPr>
          <w:p w14:paraId="4D12393A" w14:textId="77777777" w:rsidR="006171F1" w:rsidRPr="000D3ADC" w:rsidRDefault="006171F1" w:rsidP="00550567">
            <w:pPr>
              <w:pStyle w:val="CETBodytext"/>
              <w:jc w:val="center"/>
              <w:rPr>
                <w:rFonts w:cs="Arial"/>
                <w:i/>
              </w:rPr>
            </w:pPr>
            <w:r w:rsidRPr="000D3ADC">
              <w:rPr>
                <w:rFonts w:cs="Arial"/>
                <w:i/>
              </w:rPr>
              <w:t>S10, S15 and S20</w:t>
            </w:r>
          </w:p>
          <w:p w14:paraId="4F2A4C46" w14:textId="77777777" w:rsidR="006171F1" w:rsidRPr="000D3ADC" w:rsidRDefault="00660822" w:rsidP="00550567">
            <w:pPr>
              <w:pStyle w:val="CETBodytext"/>
              <w:jc w:val="center"/>
              <w:rPr>
                <w:rFonts w:cs="Arial"/>
                <w:i/>
              </w:rPr>
            </w:pPr>
            <m:oMathPara>
              <m:oMath>
                <m:sSub>
                  <m:sSubPr>
                    <m:ctrlPr>
                      <w:rPr>
                        <w:rFonts w:ascii="Cambria Math" w:hAnsi="Cambria Math"/>
                        <w:i/>
                      </w:rPr>
                    </m:ctrlPr>
                  </m:sSubPr>
                  <m:e>
                    <m:r>
                      <w:rPr>
                        <w:rFonts w:ascii="Cambria Math" w:hAnsi="Cambria Math"/>
                      </w:rPr>
                      <m:t>A</m:t>
                    </m:r>
                  </m:e>
                  <m:sub>
                    <m:r>
                      <w:rPr>
                        <w:rFonts w:ascii="Cambria Math" w:hAnsi="Cambria Math"/>
                      </w:rPr>
                      <m:t>i</m:t>
                    </m:r>
                  </m:sub>
                </m:sSub>
              </m:oMath>
            </m:oMathPara>
          </w:p>
        </w:tc>
        <w:tc>
          <w:tcPr>
            <w:tcW w:w="1620" w:type="dxa"/>
            <w:tcBorders>
              <w:top w:val="single" w:sz="12" w:space="0" w:color="008000"/>
              <w:left w:val="nil"/>
              <w:bottom w:val="single" w:sz="6" w:space="0" w:color="008000"/>
              <w:right w:val="nil"/>
            </w:tcBorders>
            <w:shd w:val="clear" w:color="auto" w:fill="FFFFFF"/>
            <w:vAlign w:val="center"/>
          </w:tcPr>
          <w:p w14:paraId="24BCE9FB" w14:textId="77777777" w:rsidR="006171F1" w:rsidRPr="000D3ADC" w:rsidRDefault="006171F1" w:rsidP="00550567">
            <w:pPr>
              <w:pStyle w:val="CETBodytext"/>
              <w:jc w:val="center"/>
              <w:rPr>
                <w:rFonts w:cs="Arial"/>
                <w:i/>
              </w:rPr>
            </w:pPr>
            <w:r w:rsidRPr="000D3ADC">
              <w:rPr>
                <w:rFonts w:cs="Arial"/>
                <w:i/>
              </w:rPr>
              <w:t>S10, S15 and S20</w:t>
            </w:r>
          </w:p>
          <w:p w14:paraId="7E68FFC5" w14:textId="77777777" w:rsidR="006171F1" w:rsidRPr="000D3ADC" w:rsidRDefault="00660822" w:rsidP="00550567">
            <w:pPr>
              <w:pStyle w:val="CETBodytext"/>
              <w:jc w:val="center"/>
              <w:rPr>
                <w:lang w:val="en-GB"/>
              </w:rPr>
            </w:pPr>
            <m:oMathPara>
              <m:oMath>
                <m:sSub>
                  <m:sSubPr>
                    <m:ctrlPr>
                      <w:rPr>
                        <w:rFonts w:ascii="Cambria Math" w:hAnsi="Cambria Math"/>
                        <w:i/>
                      </w:rPr>
                    </m:ctrlPr>
                  </m:sSubPr>
                  <m:e>
                    <m:r>
                      <w:rPr>
                        <w:rFonts w:ascii="Cambria Math" w:hAnsi="Cambria Math"/>
                      </w:rPr>
                      <m:t>B</m:t>
                    </m:r>
                  </m:e>
                  <m:sub>
                    <m:r>
                      <w:rPr>
                        <w:rFonts w:ascii="Cambria Math" w:hAnsi="Cambria Math"/>
                      </w:rPr>
                      <m:t>i</m:t>
                    </m:r>
                  </m:sub>
                </m:sSub>
              </m:oMath>
            </m:oMathPara>
          </w:p>
        </w:tc>
        <w:tc>
          <w:tcPr>
            <w:tcW w:w="1980" w:type="dxa"/>
            <w:tcBorders>
              <w:top w:val="single" w:sz="12" w:space="0" w:color="008000"/>
              <w:left w:val="nil"/>
              <w:bottom w:val="single" w:sz="6" w:space="0" w:color="008000"/>
              <w:right w:val="nil"/>
            </w:tcBorders>
            <w:shd w:val="clear" w:color="auto" w:fill="FFFFFF"/>
            <w:vAlign w:val="center"/>
          </w:tcPr>
          <w:p w14:paraId="1D29349C" w14:textId="77777777" w:rsidR="006171F1" w:rsidRPr="000D3ADC" w:rsidRDefault="006171F1" w:rsidP="00550567">
            <w:pPr>
              <w:pStyle w:val="CETBodytext"/>
              <w:jc w:val="center"/>
              <w:rPr>
                <w:rFonts w:cs="Arial"/>
                <w:i/>
              </w:rPr>
            </w:pPr>
            <w:r w:rsidRPr="000D3ADC">
              <w:rPr>
                <w:rFonts w:cs="Arial"/>
                <w:i/>
              </w:rPr>
              <w:t>S10C, S15C1 and S20C</w:t>
            </w:r>
          </w:p>
          <w:p w14:paraId="50D40AE1" w14:textId="77777777" w:rsidR="006171F1" w:rsidRPr="000D3ADC" w:rsidRDefault="00660822" w:rsidP="00550567">
            <w:pPr>
              <w:pStyle w:val="CETBodytext"/>
              <w:jc w:val="center"/>
              <w:rPr>
                <w:rFonts w:cs="Arial"/>
                <w:i/>
              </w:rPr>
            </w:pPr>
            <m:oMathPara>
              <m:oMath>
                <m:sSub>
                  <m:sSubPr>
                    <m:ctrlPr>
                      <w:rPr>
                        <w:rFonts w:ascii="Cambria Math" w:hAnsi="Cambria Math"/>
                        <w:i/>
                      </w:rPr>
                    </m:ctrlPr>
                  </m:sSubPr>
                  <m:e>
                    <m:r>
                      <w:rPr>
                        <w:rFonts w:ascii="Cambria Math" w:hAnsi="Cambria Math"/>
                      </w:rPr>
                      <m:t>A</m:t>
                    </m:r>
                  </m:e>
                  <m:sub>
                    <m:r>
                      <w:rPr>
                        <w:rFonts w:ascii="Cambria Math" w:hAnsi="Cambria Math"/>
                      </w:rPr>
                      <m:t>i</m:t>
                    </m:r>
                  </m:sub>
                </m:sSub>
              </m:oMath>
            </m:oMathPara>
          </w:p>
        </w:tc>
        <w:tc>
          <w:tcPr>
            <w:tcW w:w="2127" w:type="dxa"/>
            <w:tcBorders>
              <w:top w:val="single" w:sz="12" w:space="0" w:color="008000"/>
              <w:left w:val="nil"/>
              <w:bottom w:val="single" w:sz="6" w:space="0" w:color="008000"/>
            </w:tcBorders>
            <w:shd w:val="clear" w:color="auto" w:fill="FFFFFF"/>
          </w:tcPr>
          <w:p w14:paraId="71B23B24" w14:textId="77777777" w:rsidR="006171F1" w:rsidRPr="000D3ADC" w:rsidRDefault="006171F1" w:rsidP="00550567">
            <w:pPr>
              <w:pStyle w:val="CETBodytext"/>
              <w:jc w:val="center"/>
              <w:rPr>
                <w:rFonts w:cs="Arial"/>
                <w:i/>
              </w:rPr>
            </w:pPr>
            <w:r w:rsidRPr="000D3ADC">
              <w:rPr>
                <w:rFonts w:cs="Arial"/>
                <w:i/>
              </w:rPr>
              <w:t>S10C, S15C1 and S20C</w:t>
            </w:r>
          </w:p>
          <w:p w14:paraId="5D93D960" w14:textId="77777777" w:rsidR="006171F1" w:rsidRPr="000D3ADC" w:rsidRDefault="00660822" w:rsidP="00550567">
            <w:pPr>
              <w:pStyle w:val="CETBodytext"/>
              <w:jc w:val="center"/>
              <w:rPr>
                <w:rFonts w:cs="Arial"/>
                <w:i/>
              </w:rPr>
            </w:pPr>
            <m:oMathPara>
              <m:oMath>
                <m:sSub>
                  <m:sSubPr>
                    <m:ctrlPr>
                      <w:rPr>
                        <w:rFonts w:ascii="Cambria Math" w:hAnsi="Cambria Math"/>
                        <w:i/>
                      </w:rPr>
                    </m:ctrlPr>
                  </m:sSubPr>
                  <m:e>
                    <m:r>
                      <w:rPr>
                        <w:rFonts w:ascii="Cambria Math" w:hAnsi="Cambria Math"/>
                      </w:rPr>
                      <m:t>B</m:t>
                    </m:r>
                  </m:e>
                  <m:sub>
                    <m:r>
                      <w:rPr>
                        <w:rFonts w:ascii="Cambria Math" w:hAnsi="Cambria Math"/>
                      </w:rPr>
                      <m:t>i</m:t>
                    </m:r>
                  </m:sub>
                </m:sSub>
              </m:oMath>
            </m:oMathPara>
          </w:p>
        </w:tc>
      </w:tr>
      <w:tr w:rsidR="006171F1" w:rsidRPr="00B57B36" w14:paraId="3CD17E3D" w14:textId="77777777" w:rsidTr="00550567">
        <w:trPr>
          <w:trHeight w:val="195"/>
          <w:jc w:val="center"/>
        </w:trPr>
        <w:tc>
          <w:tcPr>
            <w:tcW w:w="1350" w:type="dxa"/>
            <w:tcBorders>
              <w:right w:val="nil"/>
            </w:tcBorders>
            <w:shd w:val="clear" w:color="auto" w:fill="FFFFFF"/>
            <w:vAlign w:val="center"/>
          </w:tcPr>
          <w:p w14:paraId="070E61D8" w14:textId="77777777" w:rsidR="006171F1" w:rsidRPr="00B57B36" w:rsidRDefault="00660822" w:rsidP="00550567">
            <w:pPr>
              <w:pStyle w:val="CETBodytext"/>
              <w:jc w:val="center"/>
              <w:rPr>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oMath>
            </m:oMathPara>
          </w:p>
        </w:tc>
        <w:tc>
          <w:tcPr>
            <w:tcW w:w="1710" w:type="dxa"/>
            <w:tcBorders>
              <w:left w:val="nil"/>
              <w:right w:val="nil"/>
            </w:tcBorders>
            <w:shd w:val="clear" w:color="auto" w:fill="FFFFFF"/>
          </w:tcPr>
          <w:p w14:paraId="4DCC58AF" w14:textId="77777777" w:rsidR="006171F1" w:rsidRPr="000D3ADC" w:rsidRDefault="006171F1" w:rsidP="00550567">
            <w:pPr>
              <w:pStyle w:val="CETBodytext"/>
              <w:jc w:val="center"/>
              <w:rPr>
                <w:lang w:val="en-GB"/>
              </w:rPr>
            </w:pPr>
            <w:r w:rsidRPr="000D3ADC">
              <w:t>-1.30</w:t>
            </w:r>
          </w:p>
        </w:tc>
        <w:tc>
          <w:tcPr>
            <w:tcW w:w="1620" w:type="dxa"/>
            <w:tcBorders>
              <w:left w:val="nil"/>
              <w:right w:val="nil"/>
            </w:tcBorders>
            <w:shd w:val="clear" w:color="auto" w:fill="FFFFFF"/>
          </w:tcPr>
          <w:p w14:paraId="33731AC6" w14:textId="77777777" w:rsidR="006171F1" w:rsidRPr="000D3ADC" w:rsidRDefault="006171F1" w:rsidP="00550567">
            <w:pPr>
              <w:pStyle w:val="CETBodytext"/>
              <w:jc w:val="center"/>
              <w:rPr>
                <w:lang w:val="en-GB"/>
              </w:rPr>
            </w:pPr>
            <w:r w:rsidRPr="000D3ADC">
              <w:t>39.81</w:t>
            </w:r>
          </w:p>
        </w:tc>
        <w:tc>
          <w:tcPr>
            <w:tcW w:w="1980" w:type="dxa"/>
            <w:tcBorders>
              <w:left w:val="nil"/>
              <w:right w:val="nil"/>
            </w:tcBorders>
            <w:shd w:val="clear" w:color="auto" w:fill="FFFFFF"/>
            <w:vAlign w:val="center"/>
          </w:tcPr>
          <w:p w14:paraId="61D6F8AB" w14:textId="77777777" w:rsidR="006171F1" w:rsidRPr="000D3ADC" w:rsidRDefault="006171F1" w:rsidP="00550567">
            <w:pPr>
              <w:pStyle w:val="CETBodytext"/>
              <w:jc w:val="center"/>
              <w:rPr>
                <w:lang w:val="en-GB"/>
              </w:rPr>
            </w:pPr>
          </w:p>
        </w:tc>
        <w:tc>
          <w:tcPr>
            <w:tcW w:w="2127" w:type="dxa"/>
            <w:tcBorders>
              <w:left w:val="nil"/>
            </w:tcBorders>
            <w:shd w:val="clear" w:color="auto" w:fill="FFFFFF"/>
          </w:tcPr>
          <w:p w14:paraId="0F0E90B1" w14:textId="77777777" w:rsidR="006171F1" w:rsidRPr="000D3ADC" w:rsidRDefault="006171F1" w:rsidP="00550567">
            <w:pPr>
              <w:pStyle w:val="CETBodytext"/>
              <w:jc w:val="center"/>
              <w:rPr>
                <w:lang w:val="en-GB"/>
              </w:rPr>
            </w:pPr>
          </w:p>
        </w:tc>
      </w:tr>
      <w:tr w:rsidR="006171F1" w:rsidRPr="00B57B36" w14:paraId="7A2294E4" w14:textId="77777777" w:rsidTr="00550567">
        <w:trPr>
          <w:trHeight w:val="195"/>
          <w:jc w:val="center"/>
        </w:trPr>
        <w:tc>
          <w:tcPr>
            <w:tcW w:w="1350" w:type="dxa"/>
            <w:tcBorders>
              <w:right w:val="nil"/>
            </w:tcBorders>
            <w:shd w:val="clear" w:color="auto" w:fill="FFFFFF"/>
            <w:vAlign w:val="center"/>
          </w:tcPr>
          <w:p w14:paraId="4BE4BCE1" w14:textId="77777777" w:rsidR="006171F1" w:rsidRPr="00B57B36" w:rsidRDefault="00660822" w:rsidP="00550567">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2</m:t>
                    </m:r>
                  </m:sub>
                </m:sSub>
              </m:oMath>
            </m:oMathPara>
          </w:p>
        </w:tc>
        <w:tc>
          <w:tcPr>
            <w:tcW w:w="1710" w:type="dxa"/>
            <w:tcBorders>
              <w:left w:val="nil"/>
              <w:right w:val="nil"/>
            </w:tcBorders>
            <w:shd w:val="clear" w:color="auto" w:fill="FFFFFF"/>
          </w:tcPr>
          <w:p w14:paraId="212EF1F6" w14:textId="77777777" w:rsidR="006171F1" w:rsidRPr="000D3ADC" w:rsidRDefault="006171F1" w:rsidP="00550567">
            <w:pPr>
              <w:pStyle w:val="CETBodytext"/>
              <w:ind w:right="-1"/>
              <w:jc w:val="center"/>
              <w:rPr>
                <w:rFonts w:cs="Arial"/>
                <w:szCs w:val="18"/>
                <w:lang w:val="en-GB"/>
              </w:rPr>
            </w:pPr>
            <w:r w:rsidRPr="000D3ADC">
              <w:t>-1.40</w:t>
            </w:r>
          </w:p>
        </w:tc>
        <w:tc>
          <w:tcPr>
            <w:tcW w:w="1620" w:type="dxa"/>
            <w:tcBorders>
              <w:left w:val="nil"/>
              <w:right w:val="nil"/>
            </w:tcBorders>
            <w:shd w:val="clear" w:color="auto" w:fill="FFFFFF"/>
          </w:tcPr>
          <w:p w14:paraId="21052543" w14:textId="77777777" w:rsidR="006171F1" w:rsidRPr="000D3ADC" w:rsidRDefault="006171F1" w:rsidP="00550567">
            <w:pPr>
              <w:pStyle w:val="CETBodytext"/>
              <w:ind w:right="-1"/>
              <w:jc w:val="center"/>
              <w:rPr>
                <w:rFonts w:cs="Arial"/>
                <w:szCs w:val="18"/>
                <w:lang w:val="en-GB"/>
              </w:rPr>
            </w:pPr>
            <w:r w:rsidRPr="000D3ADC">
              <w:t>0.71</w:t>
            </w:r>
          </w:p>
        </w:tc>
        <w:tc>
          <w:tcPr>
            <w:tcW w:w="1980" w:type="dxa"/>
            <w:tcBorders>
              <w:left w:val="nil"/>
              <w:right w:val="nil"/>
            </w:tcBorders>
            <w:shd w:val="clear" w:color="auto" w:fill="FFFFFF"/>
            <w:vAlign w:val="center"/>
          </w:tcPr>
          <w:p w14:paraId="5D734C56" w14:textId="77777777" w:rsidR="006171F1" w:rsidRPr="000D3ADC" w:rsidRDefault="006171F1" w:rsidP="00550567">
            <w:pPr>
              <w:pStyle w:val="CETBodytext"/>
              <w:ind w:right="-1"/>
              <w:jc w:val="center"/>
              <w:rPr>
                <w:rFonts w:cs="Arial"/>
                <w:szCs w:val="18"/>
                <w:lang w:val="en-GB"/>
              </w:rPr>
            </w:pPr>
          </w:p>
        </w:tc>
        <w:tc>
          <w:tcPr>
            <w:tcW w:w="2127" w:type="dxa"/>
            <w:tcBorders>
              <w:left w:val="nil"/>
            </w:tcBorders>
            <w:shd w:val="clear" w:color="auto" w:fill="FFFFFF"/>
          </w:tcPr>
          <w:p w14:paraId="2B4466A5" w14:textId="77777777" w:rsidR="006171F1" w:rsidRPr="000D3ADC" w:rsidRDefault="006171F1" w:rsidP="00550567">
            <w:pPr>
              <w:pStyle w:val="CETBodytext"/>
              <w:ind w:right="-1"/>
              <w:jc w:val="center"/>
              <w:rPr>
                <w:rFonts w:cs="Arial"/>
                <w:szCs w:val="18"/>
                <w:lang w:val="en-GB"/>
              </w:rPr>
            </w:pPr>
          </w:p>
        </w:tc>
      </w:tr>
      <w:tr w:rsidR="006171F1" w:rsidRPr="00B57B36" w14:paraId="04DFE8F4" w14:textId="77777777" w:rsidTr="00550567">
        <w:trPr>
          <w:trHeight w:val="195"/>
          <w:jc w:val="center"/>
        </w:trPr>
        <w:tc>
          <w:tcPr>
            <w:tcW w:w="1350" w:type="dxa"/>
            <w:tcBorders>
              <w:right w:val="nil"/>
            </w:tcBorders>
            <w:shd w:val="clear" w:color="auto" w:fill="FFFFFF"/>
            <w:vAlign w:val="center"/>
          </w:tcPr>
          <w:p w14:paraId="1BB6DD93" w14:textId="77777777" w:rsidR="006171F1" w:rsidRDefault="00660822" w:rsidP="00550567">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3</m:t>
                    </m:r>
                  </m:sub>
                </m:sSub>
              </m:oMath>
            </m:oMathPara>
          </w:p>
        </w:tc>
        <w:tc>
          <w:tcPr>
            <w:tcW w:w="1710" w:type="dxa"/>
            <w:tcBorders>
              <w:left w:val="nil"/>
              <w:right w:val="nil"/>
            </w:tcBorders>
            <w:shd w:val="clear" w:color="auto" w:fill="FFFFFF"/>
          </w:tcPr>
          <w:p w14:paraId="515F15DC" w14:textId="77777777" w:rsidR="006171F1" w:rsidRPr="000D3ADC" w:rsidRDefault="006171F1" w:rsidP="00550567">
            <w:pPr>
              <w:pStyle w:val="CETBodytext"/>
              <w:ind w:right="-1"/>
              <w:jc w:val="center"/>
              <w:rPr>
                <w:rFonts w:cs="Arial"/>
                <w:szCs w:val="18"/>
                <w:lang w:val="en-GB"/>
              </w:rPr>
            </w:pPr>
            <w:r w:rsidRPr="000D3ADC">
              <w:t>0.60</w:t>
            </w:r>
          </w:p>
        </w:tc>
        <w:tc>
          <w:tcPr>
            <w:tcW w:w="1620" w:type="dxa"/>
            <w:tcBorders>
              <w:left w:val="nil"/>
              <w:right w:val="nil"/>
            </w:tcBorders>
            <w:shd w:val="clear" w:color="auto" w:fill="FFFFFF"/>
          </w:tcPr>
          <w:p w14:paraId="47D6815F" w14:textId="77777777" w:rsidR="006171F1" w:rsidRPr="000D3ADC" w:rsidRDefault="006171F1" w:rsidP="00550567">
            <w:pPr>
              <w:pStyle w:val="CETBodytext"/>
              <w:ind w:right="-1"/>
              <w:jc w:val="center"/>
              <w:rPr>
                <w:rFonts w:cs="Arial"/>
                <w:szCs w:val="18"/>
                <w:lang w:val="en-GB"/>
              </w:rPr>
            </w:pPr>
            <w:r w:rsidRPr="000D3ADC">
              <w:t>38.02</w:t>
            </w:r>
          </w:p>
        </w:tc>
        <w:tc>
          <w:tcPr>
            <w:tcW w:w="1980" w:type="dxa"/>
            <w:tcBorders>
              <w:left w:val="nil"/>
              <w:right w:val="nil"/>
            </w:tcBorders>
            <w:shd w:val="clear" w:color="auto" w:fill="FFFFFF"/>
            <w:vAlign w:val="center"/>
          </w:tcPr>
          <w:p w14:paraId="0B2DFB4C" w14:textId="77777777" w:rsidR="006171F1" w:rsidRPr="000D3ADC" w:rsidRDefault="006171F1" w:rsidP="00550567">
            <w:pPr>
              <w:pStyle w:val="CETBodytext"/>
              <w:ind w:right="-1"/>
              <w:jc w:val="center"/>
              <w:rPr>
                <w:rFonts w:cs="Arial"/>
                <w:szCs w:val="18"/>
                <w:lang w:val="en-GB"/>
              </w:rPr>
            </w:pPr>
          </w:p>
        </w:tc>
        <w:tc>
          <w:tcPr>
            <w:tcW w:w="2127" w:type="dxa"/>
            <w:tcBorders>
              <w:left w:val="nil"/>
            </w:tcBorders>
            <w:shd w:val="clear" w:color="auto" w:fill="FFFFFF"/>
          </w:tcPr>
          <w:p w14:paraId="7E0E47A8" w14:textId="77777777" w:rsidR="006171F1" w:rsidRPr="000D3ADC" w:rsidRDefault="006171F1" w:rsidP="00550567">
            <w:pPr>
              <w:pStyle w:val="CETBodytext"/>
              <w:ind w:right="-1"/>
              <w:jc w:val="center"/>
              <w:rPr>
                <w:rFonts w:cs="Arial"/>
                <w:szCs w:val="18"/>
                <w:lang w:val="en-GB"/>
              </w:rPr>
            </w:pPr>
          </w:p>
        </w:tc>
      </w:tr>
      <w:tr w:rsidR="006171F1" w:rsidRPr="00B57B36" w14:paraId="1A6C2981" w14:textId="77777777" w:rsidTr="00550567">
        <w:trPr>
          <w:trHeight w:val="195"/>
          <w:jc w:val="center"/>
        </w:trPr>
        <w:tc>
          <w:tcPr>
            <w:tcW w:w="1350" w:type="dxa"/>
            <w:tcBorders>
              <w:right w:val="nil"/>
            </w:tcBorders>
            <w:shd w:val="clear" w:color="auto" w:fill="FFFFFF"/>
            <w:vAlign w:val="center"/>
          </w:tcPr>
          <w:p w14:paraId="1CF881EE" w14:textId="77777777" w:rsidR="006171F1" w:rsidRDefault="00660822" w:rsidP="00550567">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4</m:t>
                    </m:r>
                  </m:sub>
                </m:sSub>
              </m:oMath>
            </m:oMathPara>
          </w:p>
        </w:tc>
        <w:tc>
          <w:tcPr>
            <w:tcW w:w="1710" w:type="dxa"/>
            <w:tcBorders>
              <w:left w:val="nil"/>
              <w:right w:val="nil"/>
            </w:tcBorders>
            <w:shd w:val="clear" w:color="auto" w:fill="FFFFFF"/>
            <w:vAlign w:val="center"/>
          </w:tcPr>
          <w:p w14:paraId="049D3E2A" w14:textId="77777777" w:rsidR="006171F1" w:rsidRPr="000D3ADC" w:rsidRDefault="006171F1" w:rsidP="00550567">
            <w:pPr>
              <w:pStyle w:val="CETBodytext"/>
              <w:ind w:right="-1"/>
              <w:jc w:val="center"/>
              <w:rPr>
                <w:rFonts w:cs="Arial"/>
                <w:szCs w:val="18"/>
                <w:lang w:val="en-GB"/>
              </w:rPr>
            </w:pPr>
            <w:r w:rsidRPr="000D3ADC">
              <w:rPr>
                <w:rFonts w:cs="Arial"/>
                <w:szCs w:val="18"/>
                <w:lang w:val="en-GB"/>
              </w:rPr>
              <w:t>-1.50</w:t>
            </w:r>
          </w:p>
        </w:tc>
        <w:tc>
          <w:tcPr>
            <w:tcW w:w="1620" w:type="dxa"/>
            <w:tcBorders>
              <w:left w:val="nil"/>
              <w:right w:val="nil"/>
            </w:tcBorders>
            <w:shd w:val="clear" w:color="auto" w:fill="FFFFFF"/>
            <w:vAlign w:val="center"/>
          </w:tcPr>
          <w:p w14:paraId="1F66754D" w14:textId="77777777" w:rsidR="006171F1" w:rsidRPr="000D3ADC" w:rsidRDefault="006171F1" w:rsidP="00550567">
            <w:pPr>
              <w:pStyle w:val="CETBodytext"/>
              <w:ind w:right="-1"/>
              <w:jc w:val="center"/>
              <w:rPr>
                <w:rFonts w:cs="Arial"/>
                <w:szCs w:val="18"/>
                <w:lang w:val="en-GB"/>
              </w:rPr>
            </w:pPr>
            <w:r w:rsidRPr="000D3ADC">
              <w:rPr>
                <w:rFonts w:cs="Arial"/>
                <w:szCs w:val="18"/>
                <w:lang w:val="en-GB"/>
              </w:rPr>
              <w:t>0.002</w:t>
            </w:r>
          </w:p>
        </w:tc>
        <w:tc>
          <w:tcPr>
            <w:tcW w:w="1980" w:type="dxa"/>
            <w:tcBorders>
              <w:left w:val="nil"/>
              <w:right w:val="nil"/>
            </w:tcBorders>
            <w:shd w:val="clear" w:color="auto" w:fill="FFFFFF"/>
            <w:vAlign w:val="center"/>
          </w:tcPr>
          <w:p w14:paraId="38AECC9C" w14:textId="77777777" w:rsidR="006171F1" w:rsidRPr="000D3ADC" w:rsidRDefault="006171F1" w:rsidP="00550567">
            <w:pPr>
              <w:pStyle w:val="CETBodytext"/>
              <w:ind w:right="-1"/>
              <w:jc w:val="center"/>
              <w:rPr>
                <w:rFonts w:cs="Arial"/>
                <w:szCs w:val="18"/>
                <w:lang w:val="en-GB"/>
              </w:rPr>
            </w:pPr>
          </w:p>
        </w:tc>
        <w:tc>
          <w:tcPr>
            <w:tcW w:w="2127" w:type="dxa"/>
            <w:tcBorders>
              <w:left w:val="nil"/>
            </w:tcBorders>
            <w:shd w:val="clear" w:color="auto" w:fill="FFFFFF"/>
          </w:tcPr>
          <w:p w14:paraId="24EC5B02" w14:textId="77777777" w:rsidR="006171F1" w:rsidRPr="000D3ADC" w:rsidRDefault="006171F1" w:rsidP="00550567">
            <w:pPr>
              <w:pStyle w:val="CETBodytext"/>
              <w:ind w:right="-1"/>
              <w:jc w:val="center"/>
              <w:rPr>
                <w:rFonts w:cs="Arial"/>
                <w:szCs w:val="18"/>
                <w:lang w:val="en-GB"/>
              </w:rPr>
            </w:pPr>
          </w:p>
        </w:tc>
      </w:tr>
      <w:tr w:rsidR="006171F1" w:rsidRPr="00B57B36" w14:paraId="24323A8A" w14:textId="77777777" w:rsidTr="00550567">
        <w:trPr>
          <w:trHeight w:val="195"/>
          <w:jc w:val="center"/>
        </w:trPr>
        <w:tc>
          <w:tcPr>
            <w:tcW w:w="1350" w:type="dxa"/>
            <w:tcBorders>
              <w:right w:val="nil"/>
            </w:tcBorders>
            <w:shd w:val="clear" w:color="auto" w:fill="FFFFFF"/>
            <w:vAlign w:val="center"/>
          </w:tcPr>
          <w:p w14:paraId="4281022B" w14:textId="77777777" w:rsidR="006171F1" w:rsidRDefault="00660822" w:rsidP="00550567">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1c</m:t>
                    </m:r>
                  </m:sub>
                </m:sSub>
              </m:oMath>
            </m:oMathPara>
          </w:p>
        </w:tc>
        <w:tc>
          <w:tcPr>
            <w:tcW w:w="1710" w:type="dxa"/>
            <w:tcBorders>
              <w:left w:val="nil"/>
              <w:right w:val="nil"/>
            </w:tcBorders>
            <w:shd w:val="clear" w:color="auto" w:fill="FFFFFF"/>
            <w:vAlign w:val="center"/>
          </w:tcPr>
          <w:p w14:paraId="6A3D1053" w14:textId="77777777" w:rsidR="006171F1" w:rsidRPr="000D3ADC" w:rsidRDefault="006171F1" w:rsidP="00550567">
            <w:pPr>
              <w:pStyle w:val="CETBodytext"/>
              <w:ind w:right="-1"/>
              <w:jc w:val="center"/>
              <w:rPr>
                <w:rFonts w:cs="Arial"/>
                <w:szCs w:val="18"/>
                <w:lang w:val="en-GB"/>
              </w:rPr>
            </w:pPr>
          </w:p>
        </w:tc>
        <w:tc>
          <w:tcPr>
            <w:tcW w:w="1620" w:type="dxa"/>
            <w:tcBorders>
              <w:left w:val="nil"/>
              <w:right w:val="nil"/>
            </w:tcBorders>
            <w:shd w:val="clear" w:color="auto" w:fill="FFFFFF"/>
            <w:vAlign w:val="center"/>
          </w:tcPr>
          <w:p w14:paraId="43A81EC9" w14:textId="77777777" w:rsidR="006171F1" w:rsidRPr="000D3ADC" w:rsidRDefault="006171F1" w:rsidP="00550567">
            <w:pPr>
              <w:pStyle w:val="CETBodytext"/>
              <w:ind w:right="-1"/>
              <w:jc w:val="center"/>
              <w:rPr>
                <w:rFonts w:cs="Arial"/>
                <w:szCs w:val="18"/>
                <w:lang w:val="en-GB"/>
              </w:rPr>
            </w:pPr>
          </w:p>
        </w:tc>
        <w:tc>
          <w:tcPr>
            <w:tcW w:w="1980" w:type="dxa"/>
            <w:tcBorders>
              <w:left w:val="nil"/>
              <w:bottom w:val="nil"/>
              <w:right w:val="nil"/>
            </w:tcBorders>
            <w:shd w:val="clear" w:color="auto" w:fill="FFFFFF"/>
          </w:tcPr>
          <w:p w14:paraId="23B1EEAC" w14:textId="77777777" w:rsidR="006171F1" w:rsidRPr="000D3ADC" w:rsidRDefault="006171F1" w:rsidP="00550567">
            <w:pPr>
              <w:pStyle w:val="CETBodytext"/>
              <w:ind w:right="-1"/>
              <w:jc w:val="center"/>
              <w:rPr>
                <w:rFonts w:cs="Arial"/>
                <w:szCs w:val="18"/>
                <w:lang w:val="en-GB"/>
              </w:rPr>
            </w:pPr>
            <w:r w:rsidRPr="000D3ADC">
              <w:t>-1.17</w:t>
            </w:r>
          </w:p>
        </w:tc>
        <w:tc>
          <w:tcPr>
            <w:tcW w:w="2127" w:type="dxa"/>
            <w:tcBorders>
              <w:left w:val="nil"/>
              <w:bottom w:val="nil"/>
            </w:tcBorders>
            <w:shd w:val="clear" w:color="auto" w:fill="FFFFFF"/>
          </w:tcPr>
          <w:p w14:paraId="7C1DF44D" w14:textId="77777777" w:rsidR="006171F1" w:rsidRPr="000D3ADC" w:rsidRDefault="006171F1" w:rsidP="00550567">
            <w:pPr>
              <w:pStyle w:val="CETBodytext"/>
              <w:ind w:right="-1"/>
              <w:jc w:val="center"/>
              <w:rPr>
                <w:rFonts w:cs="Arial"/>
                <w:szCs w:val="18"/>
                <w:lang w:val="en-GB"/>
              </w:rPr>
            </w:pPr>
            <w:r w:rsidRPr="000D3ADC">
              <w:t>32.54</w:t>
            </w:r>
          </w:p>
        </w:tc>
      </w:tr>
      <w:tr w:rsidR="006171F1" w:rsidRPr="00B57B36" w14:paraId="27FEF421" w14:textId="77777777" w:rsidTr="00550567">
        <w:trPr>
          <w:trHeight w:val="195"/>
          <w:jc w:val="center"/>
        </w:trPr>
        <w:tc>
          <w:tcPr>
            <w:tcW w:w="1350" w:type="dxa"/>
            <w:tcBorders>
              <w:right w:val="nil"/>
            </w:tcBorders>
            <w:shd w:val="clear" w:color="auto" w:fill="FFFFFF"/>
            <w:vAlign w:val="center"/>
          </w:tcPr>
          <w:p w14:paraId="35FC90AF" w14:textId="77777777" w:rsidR="006171F1" w:rsidRDefault="00660822" w:rsidP="00550567">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2c</m:t>
                    </m:r>
                  </m:sub>
                </m:sSub>
              </m:oMath>
            </m:oMathPara>
          </w:p>
        </w:tc>
        <w:tc>
          <w:tcPr>
            <w:tcW w:w="1710" w:type="dxa"/>
            <w:tcBorders>
              <w:left w:val="nil"/>
              <w:bottom w:val="nil"/>
              <w:right w:val="nil"/>
            </w:tcBorders>
            <w:shd w:val="clear" w:color="auto" w:fill="FFFFFF"/>
            <w:vAlign w:val="center"/>
          </w:tcPr>
          <w:p w14:paraId="3547472B" w14:textId="77777777" w:rsidR="006171F1" w:rsidRPr="000D3ADC" w:rsidRDefault="006171F1" w:rsidP="00550567">
            <w:pPr>
              <w:pStyle w:val="CETBodytext"/>
              <w:ind w:right="-1"/>
              <w:jc w:val="center"/>
              <w:rPr>
                <w:rFonts w:cs="Arial"/>
                <w:szCs w:val="18"/>
                <w:lang w:val="en-GB"/>
              </w:rPr>
            </w:pPr>
          </w:p>
        </w:tc>
        <w:tc>
          <w:tcPr>
            <w:tcW w:w="1620" w:type="dxa"/>
            <w:tcBorders>
              <w:left w:val="nil"/>
              <w:bottom w:val="nil"/>
              <w:right w:val="nil"/>
            </w:tcBorders>
            <w:shd w:val="clear" w:color="auto" w:fill="FFFFFF"/>
            <w:vAlign w:val="center"/>
          </w:tcPr>
          <w:p w14:paraId="0A81FBF0" w14:textId="77777777" w:rsidR="006171F1" w:rsidRPr="000D3ADC" w:rsidRDefault="006171F1" w:rsidP="00550567">
            <w:pPr>
              <w:pStyle w:val="CETBodytext"/>
              <w:ind w:right="-1"/>
              <w:jc w:val="center"/>
              <w:rPr>
                <w:rFonts w:cs="Arial"/>
                <w:szCs w:val="18"/>
                <w:lang w:val="en-GB"/>
              </w:rPr>
            </w:pPr>
          </w:p>
        </w:tc>
        <w:tc>
          <w:tcPr>
            <w:tcW w:w="1980" w:type="dxa"/>
            <w:tcBorders>
              <w:top w:val="nil"/>
              <w:left w:val="nil"/>
              <w:right w:val="nil"/>
            </w:tcBorders>
            <w:shd w:val="clear" w:color="auto" w:fill="FFFFFF"/>
          </w:tcPr>
          <w:p w14:paraId="37AAEC52" w14:textId="77777777" w:rsidR="006171F1" w:rsidRPr="000D3ADC" w:rsidRDefault="006171F1" w:rsidP="00550567">
            <w:pPr>
              <w:pStyle w:val="CETBodytext"/>
              <w:ind w:right="-1"/>
              <w:jc w:val="center"/>
              <w:rPr>
                <w:rFonts w:cs="Arial"/>
                <w:szCs w:val="18"/>
                <w:lang w:val="en-GB"/>
              </w:rPr>
            </w:pPr>
            <w:r w:rsidRPr="000D3ADC">
              <w:t>-1.68</w:t>
            </w:r>
          </w:p>
        </w:tc>
        <w:tc>
          <w:tcPr>
            <w:tcW w:w="2127" w:type="dxa"/>
            <w:tcBorders>
              <w:top w:val="nil"/>
              <w:left w:val="nil"/>
            </w:tcBorders>
            <w:shd w:val="clear" w:color="auto" w:fill="FFFFFF"/>
          </w:tcPr>
          <w:p w14:paraId="3338E03B" w14:textId="77777777" w:rsidR="006171F1" w:rsidRPr="000D3ADC" w:rsidRDefault="006171F1" w:rsidP="00550567">
            <w:pPr>
              <w:pStyle w:val="CETBodytext"/>
              <w:ind w:right="-1"/>
              <w:jc w:val="center"/>
              <w:rPr>
                <w:rFonts w:cs="Arial"/>
                <w:szCs w:val="18"/>
                <w:lang w:val="en-GB"/>
              </w:rPr>
            </w:pPr>
            <w:r w:rsidRPr="000D3ADC">
              <w:t>1.87</w:t>
            </w:r>
          </w:p>
        </w:tc>
      </w:tr>
      <w:tr w:rsidR="006171F1" w:rsidRPr="00B57B36" w14:paraId="0C9A9C00" w14:textId="77777777" w:rsidTr="00550567">
        <w:trPr>
          <w:trHeight w:val="195"/>
          <w:jc w:val="center"/>
        </w:trPr>
        <w:tc>
          <w:tcPr>
            <w:tcW w:w="1350" w:type="dxa"/>
            <w:tcBorders>
              <w:right w:val="nil"/>
            </w:tcBorders>
            <w:shd w:val="clear" w:color="auto" w:fill="FFFFFF"/>
            <w:vAlign w:val="center"/>
          </w:tcPr>
          <w:p w14:paraId="7AE84E68" w14:textId="77777777" w:rsidR="006171F1" w:rsidRDefault="00660822" w:rsidP="00550567">
            <w:pPr>
              <w:pStyle w:val="CETBodytext"/>
              <w:ind w:right="-1"/>
              <w:jc w:val="center"/>
              <w:rPr>
                <w:rFonts w:cs="Arial"/>
                <w:szCs w:val="18"/>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3c</m:t>
                    </m:r>
                  </m:sub>
                </m:sSub>
              </m:oMath>
            </m:oMathPara>
          </w:p>
        </w:tc>
        <w:tc>
          <w:tcPr>
            <w:tcW w:w="1710" w:type="dxa"/>
            <w:tcBorders>
              <w:top w:val="nil"/>
              <w:left w:val="nil"/>
              <w:bottom w:val="single" w:sz="12" w:space="0" w:color="008000"/>
              <w:right w:val="nil"/>
            </w:tcBorders>
            <w:shd w:val="clear" w:color="auto" w:fill="FFFFFF"/>
            <w:vAlign w:val="center"/>
          </w:tcPr>
          <w:p w14:paraId="3D14E35E" w14:textId="77777777" w:rsidR="006171F1" w:rsidRPr="000D3ADC" w:rsidRDefault="006171F1" w:rsidP="00550567">
            <w:pPr>
              <w:pStyle w:val="CETBodytext"/>
              <w:ind w:right="-1"/>
              <w:jc w:val="center"/>
              <w:rPr>
                <w:rFonts w:cs="Arial"/>
                <w:szCs w:val="18"/>
                <w:lang w:val="en-GB"/>
              </w:rPr>
            </w:pPr>
          </w:p>
        </w:tc>
        <w:tc>
          <w:tcPr>
            <w:tcW w:w="1620" w:type="dxa"/>
            <w:tcBorders>
              <w:top w:val="nil"/>
              <w:left w:val="nil"/>
              <w:bottom w:val="single" w:sz="12" w:space="0" w:color="008000"/>
              <w:right w:val="nil"/>
            </w:tcBorders>
            <w:shd w:val="clear" w:color="auto" w:fill="FFFFFF"/>
            <w:vAlign w:val="center"/>
          </w:tcPr>
          <w:p w14:paraId="65636317" w14:textId="77777777" w:rsidR="006171F1" w:rsidRPr="000D3ADC" w:rsidRDefault="006171F1" w:rsidP="00550567">
            <w:pPr>
              <w:pStyle w:val="CETBodytext"/>
              <w:ind w:right="-1"/>
              <w:jc w:val="center"/>
              <w:rPr>
                <w:rFonts w:cs="Arial"/>
                <w:szCs w:val="18"/>
                <w:lang w:val="en-GB"/>
              </w:rPr>
            </w:pPr>
          </w:p>
        </w:tc>
        <w:tc>
          <w:tcPr>
            <w:tcW w:w="1980" w:type="dxa"/>
            <w:tcBorders>
              <w:left w:val="nil"/>
              <w:bottom w:val="single" w:sz="12" w:space="0" w:color="008000"/>
              <w:right w:val="nil"/>
            </w:tcBorders>
            <w:shd w:val="clear" w:color="auto" w:fill="FFFFFF"/>
            <w:vAlign w:val="center"/>
          </w:tcPr>
          <w:p w14:paraId="30DD504F" w14:textId="77777777" w:rsidR="006171F1" w:rsidRPr="000D3ADC" w:rsidRDefault="006171F1" w:rsidP="00550567">
            <w:pPr>
              <w:pStyle w:val="CETBodytext"/>
              <w:ind w:right="-1"/>
              <w:jc w:val="center"/>
              <w:rPr>
                <w:rFonts w:cs="Arial"/>
                <w:szCs w:val="18"/>
                <w:lang w:val="en-GB"/>
              </w:rPr>
            </w:pPr>
            <w:r w:rsidRPr="000D3ADC">
              <w:rPr>
                <w:rFonts w:cs="Arial"/>
                <w:szCs w:val="18"/>
                <w:lang w:val="en-GB"/>
              </w:rPr>
              <w:t>-1.30</w:t>
            </w:r>
          </w:p>
        </w:tc>
        <w:tc>
          <w:tcPr>
            <w:tcW w:w="2127" w:type="dxa"/>
            <w:tcBorders>
              <w:left w:val="nil"/>
              <w:bottom w:val="single" w:sz="12" w:space="0" w:color="008000"/>
            </w:tcBorders>
            <w:shd w:val="clear" w:color="auto" w:fill="FFFFFF"/>
          </w:tcPr>
          <w:p w14:paraId="355EB034" w14:textId="77777777" w:rsidR="006171F1" w:rsidRPr="000D3ADC" w:rsidRDefault="006171F1" w:rsidP="00550567">
            <w:pPr>
              <w:pStyle w:val="CETBodytext"/>
              <w:ind w:right="-1"/>
              <w:jc w:val="center"/>
              <w:rPr>
                <w:rFonts w:cs="Arial"/>
                <w:szCs w:val="18"/>
                <w:lang w:val="en-GB"/>
              </w:rPr>
            </w:pPr>
            <w:r w:rsidRPr="000D3ADC">
              <w:rPr>
                <w:rFonts w:cs="Arial"/>
                <w:szCs w:val="18"/>
                <w:lang w:val="en-GB"/>
              </w:rPr>
              <w:t>22.39</w:t>
            </w:r>
          </w:p>
        </w:tc>
      </w:tr>
    </w:tbl>
    <w:p w14:paraId="21DD7EF8" w14:textId="77777777" w:rsidR="00CA7C7D" w:rsidRDefault="00CA7C7D" w:rsidP="00CA7C7D">
      <w:pPr>
        <w:pStyle w:val="CETBodytext"/>
      </w:pPr>
    </w:p>
    <w:p w14:paraId="0511DFEA" w14:textId="525E5BA2" w:rsidR="00CA7C7D" w:rsidRDefault="00CA7C7D" w:rsidP="00CA7C7D">
      <w:pPr>
        <w:pStyle w:val="CETBodytext"/>
      </w:pPr>
      <w:r>
        <w:t xml:space="preserve">Finally, Figure 3 presents the comparison among the experimental data and model responses for some of the experimental conditions from Table 1 for weight loss during reaction time. For all conditions considered, both models could represent well the experimental data and they are ready to be submitted for the next step: parameters estimation. The parameters presented in Table 5 are not the final ones, they are going to be used as initial guess in the estimation procedure. After this optimization step, the model predictions certainly will get </w:t>
      </w:r>
      <w:r w:rsidR="00941518">
        <w:t xml:space="preserve">even </w:t>
      </w:r>
      <w:r>
        <w:t xml:space="preserve">closer to the experimental data. </w:t>
      </w:r>
    </w:p>
    <w:p w14:paraId="76923E0F" w14:textId="387351E4" w:rsidR="001557A7" w:rsidRDefault="00660822" w:rsidP="0081186A">
      <w:pPr>
        <w:pStyle w:val="CETBodytext"/>
      </w:pPr>
      <w:r>
        <w:rPr>
          <w:noProof/>
        </w:rPr>
        <w:drawing>
          <wp:inline distT="0" distB="0" distL="0" distR="0" wp14:anchorId="0A9A9B63" wp14:editId="4BEF252E">
            <wp:extent cx="1828869" cy="1371600"/>
            <wp:effectExtent l="0" t="0" r="0" b="0"/>
            <wp:docPr id="15" name="Imagem 15" descr="Uma imagem contendo text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M&amp;Ymod_time.tif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28869" cy="1371600"/>
                    </a:xfrm>
                    <a:prstGeom prst="rect">
                      <a:avLst/>
                    </a:prstGeom>
                  </pic:spPr>
                </pic:pic>
              </a:graphicData>
            </a:graphic>
          </wp:inline>
        </w:drawing>
      </w:r>
      <w:r w:rsidR="00823E83">
        <w:rPr>
          <w:noProof/>
        </w:rPr>
        <w:drawing>
          <wp:inline distT="0" distB="0" distL="0" distR="0" wp14:anchorId="7B696D58" wp14:editId="49CFCE31">
            <wp:extent cx="1828869" cy="1371600"/>
            <wp:effectExtent l="0" t="0" r="0" b="0"/>
            <wp:docPr id="16" name="Imagem 16" descr="Uma imagem contendo text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M&amp;Ymod_time.tif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28869" cy="1371600"/>
                    </a:xfrm>
                    <a:prstGeom prst="rect">
                      <a:avLst/>
                    </a:prstGeom>
                  </pic:spPr>
                </pic:pic>
              </a:graphicData>
            </a:graphic>
          </wp:inline>
        </w:drawing>
      </w:r>
      <w:r w:rsidR="00F70892">
        <w:rPr>
          <w:noProof/>
        </w:rPr>
        <w:drawing>
          <wp:inline distT="0" distB="0" distL="0" distR="0" wp14:anchorId="3B1976EA" wp14:editId="32A86E06">
            <wp:extent cx="1828869" cy="1371600"/>
            <wp:effectExtent l="0" t="0" r="0" b="0"/>
            <wp:docPr id="17" name="Imagem 17" descr="Uma imagem contendo text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YM&amp;Ymod_time.tif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28869" cy="1371600"/>
                    </a:xfrm>
                    <a:prstGeom prst="rect">
                      <a:avLst/>
                    </a:prstGeom>
                  </pic:spPr>
                </pic:pic>
              </a:graphicData>
            </a:graphic>
          </wp:inline>
        </w:drawing>
      </w:r>
    </w:p>
    <w:p w14:paraId="32109F2C" w14:textId="3FC303B5" w:rsidR="00257F88" w:rsidRDefault="0019147F" w:rsidP="00237250">
      <w:pPr>
        <w:pStyle w:val="CETCaption"/>
      </w:pPr>
      <w:r>
        <w:t xml:space="preserve">                          (a)                                                  </w:t>
      </w:r>
      <w:proofErr w:type="gramStart"/>
      <w:r>
        <w:t xml:space="preserve">   (</w:t>
      </w:r>
      <w:proofErr w:type="gramEnd"/>
      <w:r>
        <w:t>b)                                                     (c)</w:t>
      </w:r>
    </w:p>
    <w:p w14:paraId="440F41B8" w14:textId="4C7F718D" w:rsidR="00FF1DCE" w:rsidRDefault="00E3595A" w:rsidP="0081186A">
      <w:pPr>
        <w:pStyle w:val="CETBodytext"/>
      </w:pPr>
      <w:r>
        <w:rPr>
          <w:noProof/>
        </w:rPr>
        <w:lastRenderedPageBreak/>
        <w:drawing>
          <wp:inline distT="0" distB="0" distL="0" distR="0" wp14:anchorId="684F1CA5" wp14:editId="2182555E">
            <wp:extent cx="1828869" cy="1371600"/>
            <wp:effectExtent l="0" t="0" r="0" b="0"/>
            <wp:docPr id="12" name="Imagem 12" descr="Uma imagem contendo text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M&amp;Ymod_time10.tif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28869" cy="1371600"/>
                    </a:xfrm>
                    <a:prstGeom prst="rect">
                      <a:avLst/>
                    </a:prstGeom>
                  </pic:spPr>
                </pic:pic>
              </a:graphicData>
            </a:graphic>
          </wp:inline>
        </w:drawing>
      </w:r>
      <w:r w:rsidR="00FF56CF">
        <w:rPr>
          <w:noProof/>
        </w:rPr>
        <w:drawing>
          <wp:inline distT="0" distB="0" distL="0" distR="0" wp14:anchorId="242E3090" wp14:editId="79A84C01">
            <wp:extent cx="1828869" cy="1371600"/>
            <wp:effectExtent l="0" t="0" r="0" b="0"/>
            <wp:docPr id="13" name="Imagem 13" descr="Uma imagem contendo text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M&amp;Ymod_time.tif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28869" cy="1371600"/>
                    </a:xfrm>
                    <a:prstGeom prst="rect">
                      <a:avLst/>
                    </a:prstGeom>
                  </pic:spPr>
                </pic:pic>
              </a:graphicData>
            </a:graphic>
          </wp:inline>
        </w:drawing>
      </w:r>
      <w:r w:rsidR="00932B84">
        <w:rPr>
          <w:noProof/>
        </w:rPr>
        <w:drawing>
          <wp:inline distT="0" distB="0" distL="0" distR="0" wp14:anchorId="50341639" wp14:editId="6F6E1DF6">
            <wp:extent cx="1828869" cy="1371600"/>
            <wp:effectExtent l="0" t="0" r="0" b="0"/>
            <wp:docPr id="14" name="Imagem 14" descr="Uma imagem contendo text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YM&amp;Ymod_time.tif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28869" cy="1371600"/>
                    </a:xfrm>
                    <a:prstGeom prst="rect">
                      <a:avLst/>
                    </a:prstGeom>
                  </pic:spPr>
                </pic:pic>
              </a:graphicData>
            </a:graphic>
          </wp:inline>
        </w:drawing>
      </w:r>
    </w:p>
    <w:p w14:paraId="2FED5221" w14:textId="5732715B" w:rsidR="0019147F" w:rsidRDefault="0019147F" w:rsidP="00237250">
      <w:pPr>
        <w:pStyle w:val="CETCaption"/>
      </w:pPr>
      <w:r>
        <w:t xml:space="preserve">                          (d)                                                  </w:t>
      </w:r>
      <w:proofErr w:type="gramStart"/>
      <w:r>
        <w:t xml:space="preserve">   (</w:t>
      </w:r>
      <w:proofErr w:type="gramEnd"/>
      <w:r>
        <w:t>e)                                                        (f)</w:t>
      </w:r>
    </w:p>
    <w:p w14:paraId="45338ED8" w14:textId="2EC98D6E" w:rsidR="0019147F" w:rsidRDefault="0019147F" w:rsidP="0019147F">
      <w:pPr>
        <w:pStyle w:val="CETBodytext"/>
      </w:pPr>
      <w:r w:rsidRPr="00FE7A25">
        <w:rPr>
          <w:i/>
        </w:rPr>
        <w:t>Figure</w:t>
      </w:r>
      <w:r>
        <w:rPr>
          <w:i/>
        </w:rPr>
        <w:t xml:space="preserve"> 3</w:t>
      </w:r>
      <w:r w:rsidRPr="00FE7A25">
        <w:rPr>
          <w:i/>
        </w:rPr>
        <w:t xml:space="preserve">: </w:t>
      </w:r>
      <w:r>
        <w:rPr>
          <w:i/>
        </w:rPr>
        <w:t xml:space="preserve">Comparison between experimental data (ED) and model prediction (MP) for potassium </w:t>
      </w:r>
      <w:proofErr w:type="spellStart"/>
      <w:r>
        <w:rPr>
          <w:i/>
        </w:rPr>
        <w:t>alumen</w:t>
      </w:r>
      <w:proofErr w:type="spellEnd"/>
      <w:r>
        <w:rPr>
          <w:i/>
        </w:rPr>
        <w:t xml:space="preserve"> dodecahydrate weight loss as a function of time with and without </w:t>
      </w:r>
      <w:r w:rsidRPr="00A46C14">
        <w:t xml:space="preserve">charcoal </w:t>
      </w:r>
      <w:r w:rsidR="00854185">
        <w:t>under</w:t>
      </w:r>
      <w:r w:rsidRPr="00A46C14">
        <w:t xml:space="preserve"> inert atmosphere</w:t>
      </w:r>
      <w:r w:rsidR="00D1275B">
        <w:t xml:space="preserve"> for different experimental conditions</w:t>
      </w:r>
      <w:r w:rsidR="00854185">
        <w:t xml:space="preserve">. </w:t>
      </w:r>
    </w:p>
    <w:p w14:paraId="1225C648" w14:textId="53BAD729" w:rsidR="00600535" w:rsidRPr="00B57B36" w:rsidRDefault="00D1275B" w:rsidP="00600535">
      <w:pPr>
        <w:pStyle w:val="CETHeading1"/>
        <w:rPr>
          <w:lang w:val="en-GB"/>
        </w:rPr>
      </w:pPr>
      <w:r>
        <w:rPr>
          <w:lang w:val="en-GB"/>
        </w:rPr>
        <w:t>C</w:t>
      </w:r>
      <w:r w:rsidR="00600535" w:rsidRPr="00B57B36">
        <w:rPr>
          <w:lang w:val="en-GB"/>
        </w:rPr>
        <w:t>onclusions</w:t>
      </w:r>
    </w:p>
    <w:p w14:paraId="611767D2" w14:textId="530C05DE" w:rsidR="000D3ADC" w:rsidRDefault="000D3ADC" w:rsidP="00F7613D">
      <w:pPr>
        <w:pStyle w:val="CETBodytext"/>
      </w:pPr>
      <w:r w:rsidRPr="000D3ADC">
        <w:t xml:space="preserve">Potassium </w:t>
      </w:r>
      <w:proofErr w:type="spellStart"/>
      <w:r w:rsidRPr="000D3ADC">
        <w:t>alumen</w:t>
      </w:r>
      <w:proofErr w:type="spellEnd"/>
      <w:r w:rsidRPr="000D3ADC">
        <w:t xml:space="preserve"> dodecahydrate thermal decomposition in inert atmosphere was successfully conducted in the current work. The use of charcoal as reducing agent</w:t>
      </w:r>
      <w:r>
        <w:t>,</w:t>
      </w:r>
      <w:r w:rsidRPr="000D3ADC">
        <w:t xml:space="preserve"> although does not affect the dehydration step, proved efficient in reducing the initial decomposition of the anhydrous alum. A sequence of reactions </w:t>
      </w:r>
      <w:r w:rsidR="00E7237D">
        <w:t xml:space="preserve">is </w:t>
      </w:r>
      <w:r w:rsidRPr="000D3ADC">
        <w:t xml:space="preserve">proposed to describe the kinetic mechanism of the potassium </w:t>
      </w:r>
      <w:proofErr w:type="spellStart"/>
      <w:r w:rsidRPr="000D3ADC">
        <w:t>alumen</w:t>
      </w:r>
      <w:proofErr w:type="spellEnd"/>
      <w:r w:rsidRPr="000D3ADC">
        <w:t xml:space="preserve"> dodecahydrate thermal decomposition in inert atmosphere and using charcoal as a reducing agent. The next step is to estimate the model parameters through an optimization model.  </w:t>
      </w:r>
    </w:p>
    <w:p w14:paraId="4BD2BA5E" w14:textId="2475E934" w:rsidR="00600535" w:rsidRPr="00B57B36" w:rsidRDefault="00600535" w:rsidP="00600535">
      <w:pPr>
        <w:pStyle w:val="CETAcknowledgementstitle"/>
      </w:pPr>
      <w:r w:rsidRPr="00B57B36">
        <w:t>Acknowledgments</w:t>
      </w:r>
    </w:p>
    <w:p w14:paraId="6E448F79" w14:textId="24D5D093" w:rsidR="00600535" w:rsidRPr="001558F0" w:rsidRDefault="008F450E" w:rsidP="001558F0">
      <w:pPr>
        <w:pStyle w:val="CETBodytext"/>
      </w:pPr>
      <w:r w:rsidRPr="001558F0">
        <w:t xml:space="preserve">The authors thank </w:t>
      </w:r>
      <w:proofErr w:type="spellStart"/>
      <w:r w:rsidRPr="001558F0">
        <w:t>CNPq</w:t>
      </w:r>
      <w:proofErr w:type="spellEnd"/>
      <w:r w:rsidRPr="001558F0">
        <w:t xml:space="preserve"> – </w:t>
      </w:r>
      <w:proofErr w:type="spellStart"/>
      <w:r w:rsidRPr="001558F0">
        <w:t>Conselho</w:t>
      </w:r>
      <w:proofErr w:type="spellEnd"/>
      <w:r w:rsidRPr="001558F0">
        <w:t xml:space="preserve"> Nacional de </w:t>
      </w:r>
      <w:proofErr w:type="spellStart"/>
      <w:r w:rsidRPr="001558F0">
        <w:t>Desenvolvimento</w:t>
      </w:r>
      <w:proofErr w:type="spellEnd"/>
      <w:r w:rsidRPr="001558F0">
        <w:t xml:space="preserve"> </w:t>
      </w:r>
      <w:proofErr w:type="spellStart"/>
      <w:r w:rsidRPr="001558F0">
        <w:t>Científico</w:t>
      </w:r>
      <w:proofErr w:type="spellEnd"/>
      <w:r w:rsidRPr="001558F0">
        <w:t xml:space="preserve"> e </w:t>
      </w:r>
      <w:proofErr w:type="spellStart"/>
      <w:r w:rsidRPr="001558F0">
        <w:t>Tecnológico</w:t>
      </w:r>
      <w:proofErr w:type="spellEnd"/>
      <w:r w:rsidRPr="001558F0">
        <w:t xml:space="preserve"> – for providing scholarship for this research.</w:t>
      </w:r>
    </w:p>
    <w:p w14:paraId="5741014D" w14:textId="6DE18DB7" w:rsidR="00600535" w:rsidRPr="00B57B36" w:rsidRDefault="00600535" w:rsidP="00600535">
      <w:pPr>
        <w:pStyle w:val="CETReference"/>
      </w:pPr>
      <w:r w:rsidRPr="00B57B36">
        <w:t>References</w:t>
      </w:r>
      <w:r w:rsidR="005E6E0D">
        <w:t xml:space="preserve"> </w:t>
      </w:r>
    </w:p>
    <w:p w14:paraId="000DFEF7" w14:textId="633D4ABE" w:rsidR="00DD0165" w:rsidRPr="00DD0165" w:rsidRDefault="00DD0165" w:rsidP="005E6E0D">
      <w:pPr>
        <w:pStyle w:val="CETReferencetext"/>
      </w:pPr>
      <w:proofErr w:type="spellStart"/>
      <w:r w:rsidRPr="00DD0165">
        <w:t>Brocchi</w:t>
      </w:r>
      <w:proofErr w:type="spellEnd"/>
      <w:r w:rsidRPr="00DD0165">
        <w:t xml:space="preserve"> E.A., Fragoso CLR, </w:t>
      </w:r>
      <w:proofErr w:type="spellStart"/>
      <w:r w:rsidRPr="00DD0165">
        <w:t>Bulcão</w:t>
      </w:r>
      <w:proofErr w:type="spellEnd"/>
      <w:r w:rsidRPr="00DD0165">
        <w:t xml:space="preserve"> R</w:t>
      </w:r>
      <w:r w:rsidR="003830B2">
        <w:t>.</w:t>
      </w:r>
      <w:r w:rsidRPr="00DD0165">
        <w:t>N</w:t>
      </w:r>
      <w:r w:rsidR="003830B2">
        <w:t>.</w:t>
      </w:r>
      <w:r w:rsidRPr="00DD0165">
        <w:t>, Navarro R</w:t>
      </w:r>
      <w:r w:rsidR="003830B2">
        <w:t>.</w:t>
      </w:r>
      <w:r w:rsidRPr="00DD0165">
        <w:t>C</w:t>
      </w:r>
      <w:r w:rsidR="003830B2">
        <w:t>.</w:t>
      </w:r>
      <w:r w:rsidRPr="00DD0165">
        <w:t>S</w:t>
      </w:r>
      <w:r w:rsidR="003830B2">
        <w:t>.</w:t>
      </w:r>
      <w:r w:rsidRPr="00DD0165">
        <w:t>, Souza R</w:t>
      </w:r>
      <w:r w:rsidR="003830B2">
        <w:t>.</w:t>
      </w:r>
      <w:r w:rsidRPr="00DD0165">
        <w:t>F</w:t>
      </w:r>
      <w:r w:rsidR="003830B2">
        <w:t>.</w:t>
      </w:r>
      <w:r w:rsidRPr="00DD0165">
        <w:t>M.</w:t>
      </w:r>
      <w:r w:rsidR="003830B2">
        <w:t xml:space="preserve">, </w:t>
      </w:r>
      <w:r w:rsidR="00290D1F" w:rsidRPr="00DD0165">
        <w:t>2015</w:t>
      </w:r>
      <w:r w:rsidR="00290D1F">
        <w:t xml:space="preserve">, </w:t>
      </w:r>
      <w:r w:rsidRPr="00DD0165">
        <w:t>Chemical processing of a glauconite concentrate in order to</w:t>
      </w:r>
      <w:r w:rsidR="003830B2">
        <w:t xml:space="preserve"> </w:t>
      </w:r>
      <w:r w:rsidRPr="00DD0165">
        <w:t>produce K2SO4</w:t>
      </w:r>
      <w:r>
        <w:t xml:space="preserve"> </w:t>
      </w:r>
      <w:r w:rsidRPr="00DD0165">
        <w:t>and Al2O3. European Metallurgical</w:t>
      </w:r>
      <w:r w:rsidR="003830B2">
        <w:t xml:space="preserve"> </w:t>
      </w:r>
      <w:r w:rsidRPr="00DD0165">
        <w:t>Conference of 2015, Düsseldorf</w:t>
      </w:r>
      <w:r w:rsidR="00290D1F">
        <w:t xml:space="preserve">, </w:t>
      </w:r>
      <w:r w:rsidRPr="00DD0165">
        <w:t>Germany. Proceedings of</w:t>
      </w:r>
      <w:r>
        <w:t xml:space="preserve"> </w:t>
      </w:r>
      <w:r w:rsidRPr="00DD0165">
        <w:t>EMC 2015</w:t>
      </w:r>
      <w:r w:rsidR="00290D1F">
        <w:t>,</w:t>
      </w:r>
      <w:r w:rsidRPr="00DD0165">
        <w:t xml:space="preserve"> </w:t>
      </w:r>
      <w:proofErr w:type="spellStart"/>
      <w:r w:rsidRPr="00DD0165">
        <w:t>Clausthal-Zellerfeld</w:t>
      </w:r>
      <w:proofErr w:type="spellEnd"/>
      <w:r w:rsidRPr="00DD0165">
        <w:t>, 1</w:t>
      </w:r>
      <w:r w:rsidR="00290D1F">
        <w:t>,</w:t>
      </w:r>
      <w:r w:rsidRPr="00DD0165">
        <w:t xml:space="preserve"> 313</w:t>
      </w:r>
      <w:r w:rsidR="00290D1F">
        <w:t xml:space="preserve"> </w:t>
      </w:r>
      <w:r w:rsidRPr="00DD0165">
        <w:t>–</w:t>
      </w:r>
      <w:r w:rsidR="00290D1F">
        <w:t xml:space="preserve"> </w:t>
      </w:r>
      <w:r w:rsidRPr="00DD0165">
        <w:t>24.</w:t>
      </w:r>
    </w:p>
    <w:p w14:paraId="42C42365" w14:textId="54CAB852" w:rsidR="005E6E0D" w:rsidRPr="00DD0165" w:rsidRDefault="005E6E0D" w:rsidP="005E6E0D">
      <w:pPr>
        <w:pStyle w:val="CETReferencetext"/>
        <w:rPr>
          <w:b/>
        </w:rPr>
      </w:pPr>
      <w:proofErr w:type="spellStart"/>
      <w:r w:rsidRPr="00DD0165">
        <w:t>Cakmak</w:t>
      </w:r>
      <w:proofErr w:type="spellEnd"/>
      <w:r w:rsidRPr="00DD0165">
        <w:t xml:space="preserve"> I.</w:t>
      </w:r>
      <w:r w:rsidR="00222D3B" w:rsidRPr="00DD0165">
        <w:t>, 2002,</w:t>
      </w:r>
      <w:r w:rsidRPr="00DD0165">
        <w:t xml:space="preserve"> </w:t>
      </w:r>
      <w:r w:rsidR="00222D3B" w:rsidRPr="00DD0165">
        <w:t xml:space="preserve">Plant nutrition research: Priorities to meet human needs for food in sustainable ways, </w:t>
      </w:r>
      <w:r w:rsidR="002B27A2" w:rsidRPr="00DD0165">
        <w:t xml:space="preserve">Plant and Soil, </w:t>
      </w:r>
      <w:r w:rsidRPr="00DD0165">
        <w:t>247</w:t>
      </w:r>
      <w:r w:rsidR="002B27A2" w:rsidRPr="00DD0165">
        <w:t>, 3 – 24</w:t>
      </w:r>
      <w:r w:rsidRPr="00DD0165">
        <w:t xml:space="preserve">. </w:t>
      </w:r>
    </w:p>
    <w:p w14:paraId="4EB8A99B" w14:textId="51414AD8" w:rsidR="005E6E0D" w:rsidRPr="00DD0165" w:rsidRDefault="00DD0165" w:rsidP="00DD0165">
      <w:pPr>
        <w:pStyle w:val="CETReferencetext"/>
      </w:pPr>
      <w:proofErr w:type="spellStart"/>
      <w:r w:rsidRPr="00DD0165">
        <w:t>Mingaleeva</w:t>
      </w:r>
      <w:proofErr w:type="spellEnd"/>
      <w:r w:rsidRPr="00DD0165">
        <w:t xml:space="preserve"> </w:t>
      </w:r>
      <w:r w:rsidR="005E6E0D" w:rsidRPr="00DD0165">
        <w:t>G</w:t>
      </w:r>
      <w:r w:rsidRPr="00DD0165">
        <w:t>.</w:t>
      </w:r>
      <w:r w:rsidR="005E6E0D" w:rsidRPr="00DD0165">
        <w:t xml:space="preserve">R., </w:t>
      </w:r>
      <w:r w:rsidRPr="00DD0165">
        <w:t xml:space="preserve">Nikolaev </w:t>
      </w:r>
      <w:r w:rsidR="005E6E0D" w:rsidRPr="00DD0165">
        <w:t>A</w:t>
      </w:r>
      <w:r w:rsidRPr="00DD0165">
        <w:t>.</w:t>
      </w:r>
      <w:r w:rsidR="005E6E0D" w:rsidRPr="00DD0165">
        <w:t xml:space="preserve">N., </w:t>
      </w:r>
      <w:proofErr w:type="spellStart"/>
      <w:r w:rsidRPr="00DD0165">
        <w:t>Shamsutdinov</w:t>
      </w:r>
      <w:proofErr w:type="spellEnd"/>
      <w:r w:rsidRPr="00DD0165">
        <w:t xml:space="preserve"> </w:t>
      </w:r>
      <w:r w:rsidR="005E6E0D" w:rsidRPr="00DD0165">
        <w:t>E</w:t>
      </w:r>
      <w:r w:rsidRPr="00DD0165">
        <w:t>.</w:t>
      </w:r>
      <w:r w:rsidR="005E6E0D" w:rsidRPr="00DD0165">
        <w:t>V., 2014, Utilization of Emissions of CO2 by</w:t>
      </w:r>
      <w:r w:rsidRPr="00DD0165">
        <w:t xml:space="preserve"> </w:t>
      </w:r>
      <w:r w:rsidR="005E6E0D" w:rsidRPr="00DD0165">
        <w:t>Production of Mineral Fertilizers, Chemical Engineering Transactions, 39, 1117</w:t>
      </w:r>
      <w:r w:rsidR="002B27A2" w:rsidRPr="00DD0165">
        <w:t xml:space="preserve"> – </w:t>
      </w:r>
      <w:r w:rsidR="005E6E0D" w:rsidRPr="00DD0165">
        <w:t>1122</w:t>
      </w:r>
      <w:r w:rsidR="002B27A2" w:rsidRPr="00DD0165">
        <w:t>.</w:t>
      </w:r>
    </w:p>
    <w:p w14:paraId="1D4F88F6" w14:textId="066EE25C" w:rsidR="005E6E0D" w:rsidRDefault="00DD0165" w:rsidP="005E6E0D">
      <w:pPr>
        <w:pStyle w:val="CETReferencetext"/>
      </w:pPr>
      <w:r w:rsidRPr="00DD0165">
        <w:t xml:space="preserve">Nor </w:t>
      </w:r>
      <w:r w:rsidR="005E6E0D" w:rsidRPr="00DD0165">
        <w:t>N</w:t>
      </w:r>
      <w:r w:rsidRPr="00DD0165">
        <w:t>.</w:t>
      </w:r>
      <w:r w:rsidR="005E6E0D" w:rsidRPr="00DD0165">
        <w:t>A</w:t>
      </w:r>
      <w:r w:rsidRPr="00DD0165">
        <w:t>.</w:t>
      </w:r>
      <w:r w:rsidR="005E6E0D" w:rsidRPr="00DD0165">
        <w:t>M</w:t>
      </w:r>
      <w:r w:rsidRPr="00DD0165">
        <w:t>.</w:t>
      </w:r>
      <w:r w:rsidR="005E6E0D" w:rsidRPr="00DD0165">
        <w:t xml:space="preserve">, </w:t>
      </w:r>
      <w:r w:rsidRPr="00DD0165">
        <w:t xml:space="preserve">Man </w:t>
      </w:r>
      <w:r w:rsidR="005E6E0D" w:rsidRPr="00DD0165">
        <w:t>S</w:t>
      </w:r>
      <w:r w:rsidRPr="00DD0165">
        <w:t>.</w:t>
      </w:r>
      <w:r w:rsidR="005E6E0D" w:rsidRPr="00DD0165">
        <w:t>H</w:t>
      </w:r>
      <w:r w:rsidRPr="00DD0165">
        <w:t>.</w:t>
      </w:r>
      <w:r w:rsidR="005E6E0D" w:rsidRPr="00DD0165">
        <w:t>C</w:t>
      </w:r>
      <w:r w:rsidRPr="00DD0165">
        <w:t>.</w:t>
      </w:r>
      <w:r w:rsidR="005E6E0D" w:rsidRPr="00DD0165">
        <w:t xml:space="preserve">, </w:t>
      </w:r>
      <w:proofErr w:type="spellStart"/>
      <w:r w:rsidRPr="00DD0165">
        <w:t>Baharulrazi</w:t>
      </w:r>
      <w:proofErr w:type="spellEnd"/>
      <w:r w:rsidRPr="00DD0165">
        <w:t xml:space="preserve"> </w:t>
      </w:r>
      <w:r w:rsidR="005E6E0D" w:rsidRPr="00DD0165">
        <w:t>N</w:t>
      </w:r>
      <w:r w:rsidRPr="00DD0165">
        <w:t>.</w:t>
      </w:r>
      <w:r w:rsidR="005E6E0D" w:rsidRPr="00DD0165">
        <w:t xml:space="preserve">, </w:t>
      </w:r>
      <w:proofErr w:type="spellStart"/>
      <w:r w:rsidRPr="00DD0165">
        <w:t>Yunus</w:t>
      </w:r>
      <w:proofErr w:type="spellEnd"/>
      <w:r w:rsidRPr="00DD0165">
        <w:t xml:space="preserve"> </w:t>
      </w:r>
      <w:r w:rsidR="005E6E0D" w:rsidRPr="00DD0165">
        <w:t>N</w:t>
      </w:r>
      <w:r w:rsidRPr="00DD0165">
        <w:t>.</w:t>
      </w:r>
      <w:r w:rsidR="005E6E0D" w:rsidRPr="00DD0165">
        <w:t>A</w:t>
      </w:r>
      <w:r w:rsidRPr="00DD0165">
        <w:t>.</w:t>
      </w:r>
      <w:r w:rsidR="005E6E0D" w:rsidRPr="00DD0165">
        <w:t>, 2018, Optimisation of model-based fertiliser formulation for sustainable agriculture, Chemical Engineering Transactions, 63, 49</w:t>
      </w:r>
      <w:r w:rsidR="00172210" w:rsidRPr="00DD0165">
        <w:t xml:space="preserve"> </w:t>
      </w:r>
      <w:r w:rsidR="002B27A2" w:rsidRPr="00DD0165">
        <w:t>–</w:t>
      </w:r>
      <w:r w:rsidR="005E6E0D" w:rsidRPr="00DD0165">
        <w:t>54</w:t>
      </w:r>
      <w:r w:rsidR="00172210" w:rsidRPr="00DD0165">
        <w:t>.</w:t>
      </w:r>
    </w:p>
    <w:p w14:paraId="66EEA80E" w14:textId="74F5D5EA" w:rsidR="00910D6E" w:rsidRPr="00DD0165" w:rsidRDefault="00910D6E" w:rsidP="005E6E0D">
      <w:pPr>
        <w:pStyle w:val="CETReferencetext"/>
      </w:pPr>
      <w:proofErr w:type="spellStart"/>
      <w:r w:rsidRPr="00910D6E">
        <w:t>Petzold</w:t>
      </w:r>
      <w:proofErr w:type="spellEnd"/>
      <w:r w:rsidRPr="00910D6E">
        <w:t xml:space="preserve"> L., </w:t>
      </w:r>
      <w:r>
        <w:t xml:space="preserve">1983, </w:t>
      </w:r>
      <w:r w:rsidRPr="00910D6E">
        <w:t xml:space="preserve">Automatic selection of methods for solving stiff and </w:t>
      </w:r>
      <w:proofErr w:type="spellStart"/>
      <w:r w:rsidRPr="00910D6E">
        <w:t>nonstiff</w:t>
      </w:r>
      <w:proofErr w:type="spellEnd"/>
      <w:r w:rsidRPr="00910D6E">
        <w:t xml:space="preserve"> systems of </w:t>
      </w:r>
      <w:r>
        <w:t>ordinary differential equations</w:t>
      </w:r>
      <w:r w:rsidRPr="00910D6E">
        <w:t>, SIAM Journal on Scientific</w:t>
      </w:r>
      <w:r>
        <w:t xml:space="preserve"> and Statistical Computing, </w:t>
      </w:r>
      <w:r w:rsidRPr="00910D6E">
        <w:t xml:space="preserve">4, </w:t>
      </w:r>
      <w:r>
        <w:t>136</w:t>
      </w:r>
      <w:r w:rsidRPr="00DD0165">
        <w:t xml:space="preserve"> – </w:t>
      </w:r>
      <w:r>
        <w:t>148.</w:t>
      </w:r>
    </w:p>
    <w:p w14:paraId="0F45FD31" w14:textId="060BC264" w:rsidR="005E6E0D" w:rsidRPr="00DD0165" w:rsidRDefault="005E6E0D" w:rsidP="005E6E0D">
      <w:pPr>
        <w:pStyle w:val="CETReferencetext"/>
      </w:pPr>
      <w:r w:rsidRPr="00DD0165">
        <w:t>Prakash S., Verma J.P. (2016) Global Perspective of Potash for Fertilizer Production. In: Meena V., Maurya B., Verma J., Meena R. (eds) Potassium Solubilizing Microorganisms for Sustainable Agriculture. Springer, New Delhi.</w:t>
      </w:r>
    </w:p>
    <w:p w14:paraId="5091C767" w14:textId="77777777" w:rsidR="00F7613D" w:rsidRDefault="005E6E0D" w:rsidP="005E6E0D">
      <w:pPr>
        <w:pStyle w:val="CETReferencetext"/>
        <w:rPr>
          <w:lang w:val="en-US"/>
        </w:rPr>
      </w:pPr>
      <w:proofErr w:type="spellStart"/>
      <w:r w:rsidRPr="00DD0165">
        <w:rPr>
          <w:lang w:val="en-US"/>
        </w:rPr>
        <w:t>Schwaab</w:t>
      </w:r>
      <w:proofErr w:type="spellEnd"/>
      <w:r w:rsidRPr="00DD0165">
        <w:rPr>
          <w:lang w:val="en-US"/>
        </w:rPr>
        <w:t xml:space="preserve"> M., </w:t>
      </w:r>
      <w:proofErr w:type="spellStart"/>
      <w:r w:rsidRPr="00DD0165">
        <w:rPr>
          <w:lang w:val="en-US"/>
        </w:rPr>
        <w:t>Biscaia</w:t>
      </w:r>
      <w:proofErr w:type="spellEnd"/>
      <w:r w:rsidRPr="00DD0165">
        <w:rPr>
          <w:lang w:val="en-US"/>
        </w:rPr>
        <w:t xml:space="preserve"> Jr. E.C., Monteiro J.L., Pinto J.C., 2008, Nonlinear Parameter Estimation through Particle Swarm Optimization, Chemical Engineering Science, 63, 1542 – 1552.</w:t>
      </w:r>
    </w:p>
    <w:p w14:paraId="6476FDCD" w14:textId="6DA0E583" w:rsidR="005E6E0D" w:rsidRPr="000D56D6" w:rsidRDefault="00DD0165" w:rsidP="005E6E0D">
      <w:pPr>
        <w:pStyle w:val="CETReferencetext"/>
      </w:pPr>
      <w:r w:rsidRPr="00DD0165">
        <w:rPr>
          <w:lang w:val="en-US"/>
        </w:rPr>
        <w:t xml:space="preserve">Souza R., Navarro R., Grillo A.V., </w:t>
      </w:r>
      <w:proofErr w:type="spellStart"/>
      <w:r w:rsidRPr="00DD0165">
        <w:rPr>
          <w:lang w:val="en-US"/>
        </w:rPr>
        <w:t>Brocchi</w:t>
      </w:r>
      <w:proofErr w:type="spellEnd"/>
      <w:r w:rsidRPr="00DD0165">
        <w:rPr>
          <w:lang w:val="en-US"/>
        </w:rPr>
        <w:t xml:space="preserve">, E., 2018, Potassium alum thermal decomposition study under non-reductive and reductive conditions, J Mater Res Technol. </w:t>
      </w:r>
      <w:r w:rsidRPr="00F7613D">
        <w:rPr>
          <w:lang w:val="en-US"/>
        </w:rPr>
        <w:t>DOI 10.1016/j.jmrt.2018.05.017.</w:t>
      </w:r>
    </w:p>
    <w:sectPr w:rsidR="005E6E0D" w:rsidRPr="000D56D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819DE" w14:textId="77777777" w:rsidR="000E184F" w:rsidRDefault="000E184F" w:rsidP="004F5E36">
      <w:r>
        <w:separator/>
      </w:r>
    </w:p>
  </w:endnote>
  <w:endnote w:type="continuationSeparator" w:id="0">
    <w:p w14:paraId="0B5A788E" w14:textId="77777777" w:rsidR="000E184F" w:rsidRDefault="000E184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25D59" w14:textId="77777777" w:rsidR="000E184F" w:rsidRDefault="000E184F" w:rsidP="004F5E36">
      <w:r>
        <w:separator/>
      </w:r>
    </w:p>
  </w:footnote>
  <w:footnote w:type="continuationSeparator" w:id="0">
    <w:p w14:paraId="38209E66" w14:textId="77777777" w:rsidR="000E184F" w:rsidRDefault="000E184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7140F4E"/>
    <w:multiLevelType w:val="hybridMultilevel"/>
    <w:tmpl w:val="924AB3E8"/>
    <w:lvl w:ilvl="0" w:tplc="0D108804">
      <w:start w:val="1"/>
      <w:numFmt w:val="low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1" w15:restartNumberingAfterBreak="0">
    <w:nsid w:val="7C551EA8"/>
    <w:multiLevelType w:val="hybridMultilevel"/>
    <w:tmpl w:val="7C5C63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A3A"/>
    <w:rsid w:val="000052FB"/>
    <w:rsid w:val="000107FB"/>
    <w:rsid w:val="00010F40"/>
    <w:rsid w:val="000117CB"/>
    <w:rsid w:val="000228C3"/>
    <w:rsid w:val="00030FEF"/>
    <w:rsid w:val="0003148D"/>
    <w:rsid w:val="00047D7F"/>
    <w:rsid w:val="00051566"/>
    <w:rsid w:val="00062A9A"/>
    <w:rsid w:val="00065058"/>
    <w:rsid w:val="00074F58"/>
    <w:rsid w:val="00086C39"/>
    <w:rsid w:val="000A03B2"/>
    <w:rsid w:val="000A3B79"/>
    <w:rsid w:val="000C6F2A"/>
    <w:rsid w:val="000D34BE"/>
    <w:rsid w:val="000D3ADC"/>
    <w:rsid w:val="000E102F"/>
    <w:rsid w:val="000E184F"/>
    <w:rsid w:val="000E36F1"/>
    <w:rsid w:val="000E3A73"/>
    <w:rsid w:val="000E414A"/>
    <w:rsid w:val="000F093C"/>
    <w:rsid w:val="000F16BD"/>
    <w:rsid w:val="000F787B"/>
    <w:rsid w:val="00114430"/>
    <w:rsid w:val="0012091F"/>
    <w:rsid w:val="00124E88"/>
    <w:rsid w:val="0012605A"/>
    <w:rsid w:val="00126BC2"/>
    <w:rsid w:val="001308B6"/>
    <w:rsid w:val="0013121F"/>
    <w:rsid w:val="00131FAB"/>
    <w:rsid w:val="00131FE6"/>
    <w:rsid w:val="0013263F"/>
    <w:rsid w:val="00134DE4"/>
    <w:rsid w:val="0013755C"/>
    <w:rsid w:val="0014034D"/>
    <w:rsid w:val="00140B0A"/>
    <w:rsid w:val="00140BAD"/>
    <w:rsid w:val="00150E59"/>
    <w:rsid w:val="00152DE3"/>
    <w:rsid w:val="001557A7"/>
    <w:rsid w:val="001558F0"/>
    <w:rsid w:val="00162642"/>
    <w:rsid w:val="001642DB"/>
    <w:rsid w:val="00164CF9"/>
    <w:rsid w:val="00165EFF"/>
    <w:rsid w:val="00172210"/>
    <w:rsid w:val="001736D0"/>
    <w:rsid w:val="001763BE"/>
    <w:rsid w:val="00184AD6"/>
    <w:rsid w:val="0018584A"/>
    <w:rsid w:val="00187448"/>
    <w:rsid w:val="0019064C"/>
    <w:rsid w:val="0019147F"/>
    <w:rsid w:val="0019669F"/>
    <w:rsid w:val="001B0349"/>
    <w:rsid w:val="001B42EF"/>
    <w:rsid w:val="001B6578"/>
    <w:rsid w:val="001B65C1"/>
    <w:rsid w:val="001C684B"/>
    <w:rsid w:val="001D53FC"/>
    <w:rsid w:val="001F42A5"/>
    <w:rsid w:val="001F7B9D"/>
    <w:rsid w:val="0021761E"/>
    <w:rsid w:val="002224B4"/>
    <w:rsid w:val="00222D3B"/>
    <w:rsid w:val="002244B0"/>
    <w:rsid w:val="00232855"/>
    <w:rsid w:val="00237250"/>
    <w:rsid w:val="002447EF"/>
    <w:rsid w:val="00245224"/>
    <w:rsid w:val="00251550"/>
    <w:rsid w:val="00252C1A"/>
    <w:rsid w:val="002565B3"/>
    <w:rsid w:val="00257F88"/>
    <w:rsid w:val="00263B05"/>
    <w:rsid w:val="0027221A"/>
    <w:rsid w:val="00274632"/>
    <w:rsid w:val="00274895"/>
    <w:rsid w:val="00275B61"/>
    <w:rsid w:val="00282656"/>
    <w:rsid w:val="00282A4D"/>
    <w:rsid w:val="00290D1F"/>
    <w:rsid w:val="00296B83"/>
    <w:rsid w:val="00297C00"/>
    <w:rsid w:val="002B27A2"/>
    <w:rsid w:val="002B78CE"/>
    <w:rsid w:val="002C2FB6"/>
    <w:rsid w:val="002D5BCD"/>
    <w:rsid w:val="002E2A49"/>
    <w:rsid w:val="002E2EC6"/>
    <w:rsid w:val="002F1025"/>
    <w:rsid w:val="002F2BBC"/>
    <w:rsid w:val="003009B7"/>
    <w:rsid w:val="00300E56"/>
    <w:rsid w:val="00303A76"/>
    <w:rsid w:val="0030469C"/>
    <w:rsid w:val="00321CA6"/>
    <w:rsid w:val="003234E6"/>
    <w:rsid w:val="00334C09"/>
    <w:rsid w:val="003365E3"/>
    <w:rsid w:val="003550B2"/>
    <w:rsid w:val="003723D4"/>
    <w:rsid w:val="003830B2"/>
    <w:rsid w:val="00384CC8"/>
    <w:rsid w:val="003871FD"/>
    <w:rsid w:val="003A1599"/>
    <w:rsid w:val="003A1E30"/>
    <w:rsid w:val="003A6C9B"/>
    <w:rsid w:val="003A7D1C"/>
    <w:rsid w:val="003B13D7"/>
    <w:rsid w:val="003B304B"/>
    <w:rsid w:val="003B3140"/>
    <w:rsid w:val="003B3146"/>
    <w:rsid w:val="003B60F3"/>
    <w:rsid w:val="003D35BA"/>
    <w:rsid w:val="003E2377"/>
    <w:rsid w:val="003F015E"/>
    <w:rsid w:val="00400414"/>
    <w:rsid w:val="0041446B"/>
    <w:rsid w:val="004340C5"/>
    <w:rsid w:val="00437DC9"/>
    <w:rsid w:val="00442164"/>
    <w:rsid w:val="0044329C"/>
    <w:rsid w:val="00446413"/>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3502"/>
    <w:rsid w:val="004F5E36"/>
    <w:rsid w:val="00501569"/>
    <w:rsid w:val="00507B47"/>
    <w:rsid w:val="00507CC9"/>
    <w:rsid w:val="005119A5"/>
    <w:rsid w:val="00517E6B"/>
    <w:rsid w:val="005278B7"/>
    <w:rsid w:val="005308CF"/>
    <w:rsid w:val="00532016"/>
    <w:rsid w:val="005346C8"/>
    <w:rsid w:val="00543E7D"/>
    <w:rsid w:val="0054680E"/>
    <w:rsid w:val="00546B05"/>
    <w:rsid w:val="00547A68"/>
    <w:rsid w:val="00550567"/>
    <w:rsid w:val="00551D51"/>
    <w:rsid w:val="005531C9"/>
    <w:rsid w:val="005759F7"/>
    <w:rsid w:val="00583162"/>
    <w:rsid w:val="005B2110"/>
    <w:rsid w:val="005B61E6"/>
    <w:rsid w:val="005B7789"/>
    <w:rsid w:val="005C77E1"/>
    <w:rsid w:val="005C7F01"/>
    <w:rsid w:val="005D6A2F"/>
    <w:rsid w:val="005E1A82"/>
    <w:rsid w:val="005E6202"/>
    <w:rsid w:val="005E671B"/>
    <w:rsid w:val="005E6E0D"/>
    <w:rsid w:val="005E794C"/>
    <w:rsid w:val="005F0A28"/>
    <w:rsid w:val="005F0E5E"/>
    <w:rsid w:val="00600535"/>
    <w:rsid w:val="00610CD6"/>
    <w:rsid w:val="006171F1"/>
    <w:rsid w:val="00620DEE"/>
    <w:rsid w:val="00621F92"/>
    <w:rsid w:val="00625639"/>
    <w:rsid w:val="00631B33"/>
    <w:rsid w:val="00636624"/>
    <w:rsid w:val="0064184D"/>
    <w:rsid w:val="006422CC"/>
    <w:rsid w:val="00642CAB"/>
    <w:rsid w:val="00656906"/>
    <w:rsid w:val="00656D72"/>
    <w:rsid w:val="00660822"/>
    <w:rsid w:val="00660E3E"/>
    <w:rsid w:val="00662E74"/>
    <w:rsid w:val="006728F7"/>
    <w:rsid w:val="00672BA0"/>
    <w:rsid w:val="00677E40"/>
    <w:rsid w:val="00680C23"/>
    <w:rsid w:val="00681466"/>
    <w:rsid w:val="00693766"/>
    <w:rsid w:val="006A3281"/>
    <w:rsid w:val="006A78F0"/>
    <w:rsid w:val="006B213D"/>
    <w:rsid w:val="006B4888"/>
    <w:rsid w:val="006B48D9"/>
    <w:rsid w:val="006B556D"/>
    <w:rsid w:val="006C18D5"/>
    <w:rsid w:val="006C2E45"/>
    <w:rsid w:val="006C359C"/>
    <w:rsid w:val="006C5579"/>
    <w:rsid w:val="006E737D"/>
    <w:rsid w:val="00700181"/>
    <w:rsid w:val="0070195D"/>
    <w:rsid w:val="00703204"/>
    <w:rsid w:val="0071051D"/>
    <w:rsid w:val="00712E83"/>
    <w:rsid w:val="00720A24"/>
    <w:rsid w:val="00721655"/>
    <w:rsid w:val="007274A9"/>
    <w:rsid w:val="00732386"/>
    <w:rsid w:val="007447F3"/>
    <w:rsid w:val="0075499F"/>
    <w:rsid w:val="00761B08"/>
    <w:rsid w:val="007661C8"/>
    <w:rsid w:val="0077098D"/>
    <w:rsid w:val="007931FA"/>
    <w:rsid w:val="00795C93"/>
    <w:rsid w:val="007A7176"/>
    <w:rsid w:val="007A7BBA"/>
    <w:rsid w:val="007B0C50"/>
    <w:rsid w:val="007B45FC"/>
    <w:rsid w:val="007C1A43"/>
    <w:rsid w:val="007D0493"/>
    <w:rsid w:val="007E1DC6"/>
    <w:rsid w:val="007E2795"/>
    <w:rsid w:val="00802887"/>
    <w:rsid w:val="00803576"/>
    <w:rsid w:val="008116A0"/>
    <w:rsid w:val="0081186A"/>
    <w:rsid w:val="00813288"/>
    <w:rsid w:val="008168FC"/>
    <w:rsid w:val="00823E83"/>
    <w:rsid w:val="00830996"/>
    <w:rsid w:val="00833409"/>
    <w:rsid w:val="008345F1"/>
    <w:rsid w:val="00854185"/>
    <w:rsid w:val="00865B07"/>
    <w:rsid w:val="008667EA"/>
    <w:rsid w:val="0087637F"/>
    <w:rsid w:val="008904B9"/>
    <w:rsid w:val="00892AD5"/>
    <w:rsid w:val="008A094F"/>
    <w:rsid w:val="008A1512"/>
    <w:rsid w:val="008A6E18"/>
    <w:rsid w:val="008C78C1"/>
    <w:rsid w:val="008D32B9"/>
    <w:rsid w:val="008D433B"/>
    <w:rsid w:val="008E566E"/>
    <w:rsid w:val="008F450E"/>
    <w:rsid w:val="0090161A"/>
    <w:rsid w:val="00901EB6"/>
    <w:rsid w:val="00902251"/>
    <w:rsid w:val="00904C62"/>
    <w:rsid w:val="00910D6E"/>
    <w:rsid w:val="009127B2"/>
    <w:rsid w:val="00924DAC"/>
    <w:rsid w:val="00927058"/>
    <w:rsid w:val="00930657"/>
    <w:rsid w:val="00932B84"/>
    <w:rsid w:val="00937653"/>
    <w:rsid w:val="00941518"/>
    <w:rsid w:val="009450CE"/>
    <w:rsid w:val="00947179"/>
    <w:rsid w:val="00947991"/>
    <w:rsid w:val="0095164B"/>
    <w:rsid w:val="00954090"/>
    <w:rsid w:val="009573E7"/>
    <w:rsid w:val="009635B9"/>
    <w:rsid w:val="00963E05"/>
    <w:rsid w:val="00967D54"/>
    <w:rsid w:val="00996483"/>
    <w:rsid w:val="00996F5A"/>
    <w:rsid w:val="009A0A3E"/>
    <w:rsid w:val="009A5FA0"/>
    <w:rsid w:val="009A69A2"/>
    <w:rsid w:val="009B041A"/>
    <w:rsid w:val="009C7C86"/>
    <w:rsid w:val="009D2FF7"/>
    <w:rsid w:val="009E1B7C"/>
    <w:rsid w:val="009E7884"/>
    <w:rsid w:val="009E788A"/>
    <w:rsid w:val="009F0E08"/>
    <w:rsid w:val="009F63CD"/>
    <w:rsid w:val="00A03A11"/>
    <w:rsid w:val="00A14077"/>
    <w:rsid w:val="00A1763D"/>
    <w:rsid w:val="00A17CEC"/>
    <w:rsid w:val="00A27EF0"/>
    <w:rsid w:val="00A31D5B"/>
    <w:rsid w:val="00A33439"/>
    <w:rsid w:val="00A37219"/>
    <w:rsid w:val="00A46C14"/>
    <w:rsid w:val="00A50B20"/>
    <w:rsid w:val="00A51390"/>
    <w:rsid w:val="00A55E21"/>
    <w:rsid w:val="00A60D13"/>
    <w:rsid w:val="00A61C91"/>
    <w:rsid w:val="00A668D0"/>
    <w:rsid w:val="00A67909"/>
    <w:rsid w:val="00A72745"/>
    <w:rsid w:val="00A76EFC"/>
    <w:rsid w:val="00A87A41"/>
    <w:rsid w:val="00A91010"/>
    <w:rsid w:val="00A97F29"/>
    <w:rsid w:val="00AA702E"/>
    <w:rsid w:val="00AB0964"/>
    <w:rsid w:val="00AB5011"/>
    <w:rsid w:val="00AB66B6"/>
    <w:rsid w:val="00AC6429"/>
    <w:rsid w:val="00AC7368"/>
    <w:rsid w:val="00AD16B9"/>
    <w:rsid w:val="00AE377D"/>
    <w:rsid w:val="00AF1443"/>
    <w:rsid w:val="00AF52DC"/>
    <w:rsid w:val="00B10510"/>
    <w:rsid w:val="00B15258"/>
    <w:rsid w:val="00B15507"/>
    <w:rsid w:val="00B17FBD"/>
    <w:rsid w:val="00B26DAD"/>
    <w:rsid w:val="00B315A6"/>
    <w:rsid w:val="00B31813"/>
    <w:rsid w:val="00B33365"/>
    <w:rsid w:val="00B36F33"/>
    <w:rsid w:val="00B469E9"/>
    <w:rsid w:val="00B47CC2"/>
    <w:rsid w:val="00B57B36"/>
    <w:rsid w:val="00B8686D"/>
    <w:rsid w:val="00BA4C41"/>
    <w:rsid w:val="00BC1640"/>
    <w:rsid w:val="00BC30C9"/>
    <w:rsid w:val="00BD377F"/>
    <w:rsid w:val="00BE3E58"/>
    <w:rsid w:val="00BE6D82"/>
    <w:rsid w:val="00C01616"/>
    <w:rsid w:val="00C0162B"/>
    <w:rsid w:val="00C04917"/>
    <w:rsid w:val="00C147D4"/>
    <w:rsid w:val="00C21639"/>
    <w:rsid w:val="00C33D1F"/>
    <w:rsid w:val="00C345B1"/>
    <w:rsid w:val="00C3649A"/>
    <w:rsid w:val="00C40142"/>
    <w:rsid w:val="00C57182"/>
    <w:rsid w:val="00C57863"/>
    <w:rsid w:val="00C6515D"/>
    <w:rsid w:val="00C655FD"/>
    <w:rsid w:val="00C83376"/>
    <w:rsid w:val="00C83BEE"/>
    <w:rsid w:val="00C83C09"/>
    <w:rsid w:val="00C870A8"/>
    <w:rsid w:val="00C93EC0"/>
    <w:rsid w:val="00C94434"/>
    <w:rsid w:val="00C96486"/>
    <w:rsid w:val="00CA0D75"/>
    <w:rsid w:val="00CA1C95"/>
    <w:rsid w:val="00CA3CCA"/>
    <w:rsid w:val="00CA3F79"/>
    <w:rsid w:val="00CA5A9C"/>
    <w:rsid w:val="00CA70BA"/>
    <w:rsid w:val="00CA7C7D"/>
    <w:rsid w:val="00CB71E4"/>
    <w:rsid w:val="00CD31DF"/>
    <w:rsid w:val="00CD3517"/>
    <w:rsid w:val="00CD38D6"/>
    <w:rsid w:val="00CD5A00"/>
    <w:rsid w:val="00CD5FE2"/>
    <w:rsid w:val="00CD7809"/>
    <w:rsid w:val="00CE7C68"/>
    <w:rsid w:val="00D02B4C"/>
    <w:rsid w:val="00D040C4"/>
    <w:rsid w:val="00D1275B"/>
    <w:rsid w:val="00D354BE"/>
    <w:rsid w:val="00D54421"/>
    <w:rsid w:val="00D55CB6"/>
    <w:rsid w:val="00D567D9"/>
    <w:rsid w:val="00D57C84"/>
    <w:rsid w:val="00D6057D"/>
    <w:rsid w:val="00D61944"/>
    <w:rsid w:val="00D75C2F"/>
    <w:rsid w:val="00D84576"/>
    <w:rsid w:val="00D92C6D"/>
    <w:rsid w:val="00D9572D"/>
    <w:rsid w:val="00DA1399"/>
    <w:rsid w:val="00DA24C6"/>
    <w:rsid w:val="00DA2B4F"/>
    <w:rsid w:val="00DA4D7B"/>
    <w:rsid w:val="00DD0165"/>
    <w:rsid w:val="00DD68B4"/>
    <w:rsid w:val="00DE264A"/>
    <w:rsid w:val="00DE7E7D"/>
    <w:rsid w:val="00E02D18"/>
    <w:rsid w:val="00E041E7"/>
    <w:rsid w:val="00E23CA1"/>
    <w:rsid w:val="00E26995"/>
    <w:rsid w:val="00E3595A"/>
    <w:rsid w:val="00E35B34"/>
    <w:rsid w:val="00E409A8"/>
    <w:rsid w:val="00E412FE"/>
    <w:rsid w:val="00E50C12"/>
    <w:rsid w:val="00E513BF"/>
    <w:rsid w:val="00E51B84"/>
    <w:rsid w:val="00E551D1"/>
    <w:rsid w:val="00E65B91"/>
    <w:rsid w:val="00E664C9"/>
    <w:rsid w:val="00E7209D"/>
    <w:rsid w:val="00E7237D"/>
    <w:rsid w:val="00E77223"/>
    <w:rsid w:val="00E8528B"/>
    <w:rsid w:val="00E85B94"/>
    <w:rsid w:val="00E978D0"/>
    <w:rsid w:val="00EA4613"/>
    <w:rsid w:val="00EA7F91"/>
    <w:rsid w:val="00EB1523"/>
    <w:rsid w:val="00EC0E49"/>
    <w:rsid w:val="00EE0131"/>
    <w:rsid w:val="00EF242B"/>
    <w:rsid w:val="00EF4ADF"/>
    <w:rsid w:val="00EF5A21"/>
    <w:rsid w:val="00F14F72"/>
    <w:rsid w:val="00F155B2"/>
    <w:rsid w:val="00F20C82"/>
    <w:rsid w:val="00F20DC6"/>
    <w:rsid w:val="00F30C64"/>
    <w:rsid w:val="00F32128"/>
    <w:rsid w:val="00F32CDB"/>
    <w:rsid w:val="00F60BB8"/>
    <w:rsid w:val="00F63A70"/>
    <w:rsid w:val="00F704B3"/>
    <w:rsid w:val="00F70892"/>
    <w:rsid w:val="00F7613D"/>
    <w:rsid w:val="00F82BEC"/>
    <w:rsid w:val="00F84023"/>
    <w:rsid w:val="00FA21D0"/>
    <w:rsid w:val="00FA5F5F"/>
    <w:rsid w:val="00FB730C"/>
    <w:rsid w:val="00FC2695"/>
    <w:rsid w:val="00FC3E03"/>
    <w:rsid w:val="00FC3FC1"/>
    <w:rsid w:val="00FF1DCE"/>
    <w:rsid w:val="00FF3742"/>
    <w:rsid w:val="00FF56CF"/>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87EA7"/>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xtodoEspaoReservado">
    <w:name w:val="Placeholder Text"/>
    <w:basedOn w:val="Fontepargpadro"/>
    <w:uiPriority w:val="99"/>
    <w:semiHidden/>
    <w:rsid w:val="009A69A2"/>
    <w:rPr>
      <w:color w:val="808080"/>
    </w:rPr>
  </w:style>
  <w:style w:type="paragraph" w:styleId="PargrafodaLista">
    <w:name w:val="List Paragraph"/>
    <w:basedOn w:val="Normal"/>
    <w:uiPriority w:val="34"/>
    <w:rsid w:val="00257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24407">
      <w:bodyDiv w:val="1"/>
      <w:marLeft w:val="0"/>
      <w:marRight w:val="0"/>
      <w:marTop w:val="0"/>
      <w:marBottom w:val="0"/>
      <w:divBdr>
        <w:top w:val="none" w:sz="0" w:space="0" w:color="auto"/>
        <w:left w:val="none" w:sz="0" w:space="0" w:color="auto"/>
        <w:bottom w:val="none" w:sz="0" w:space="0" w:color="auto"/>
        <w:right w:val="none" w:sz="0" w:space="0" w:color="auto"/>
      </w:divBdr>
    </w:div>
    <w:div w:id="266549753">
      <w:bodyDiv w:val="1"/>
      <w:marLeft w:val="0"/>
      <w:marRight w:val="0"/>
      <w:marTop w:val="0"/>
      <w:marBottom w:val="0"/>
      <w:divBdr>
        <w:top w:val="none" w:sz="0" w:space="0" w:color="auto"/>
        <w:left w:val="none" w:sz="0" w:space="0" w:color="auto"/>
        <w:bottom w:val="none" w:sz="0" w:space="0" w:color="auto"/>
        <w:right w:val="none" w:sz="0" w:space="0" w:color="auto"/>
      </w:divBdr>
    </w:div>
    <w:div w:id="283971536">
      <w:bodyDiv w:val="1"/>
      <w:marLeft w:val="0"/>
      <w:marRight w:val="0"/>
      <w:marTop w:val="0"/>
      <w:marBottom w:val="0"/>
      <w:divBdr>
        <w:top w:val="none" w:sz="0" w:space="0" w:color="auto"/>
        <w:left w:val="none" w:sz="0" w:space="0" w:color="auto"/>
        <w:bottom w:val="none" w:sz="0" w:space="0" w:color="auto"/>
        <w:right w:val="none" w:sz="0" w:space="0" w:color="auto"/>
      </w:divBdr>
      <w:divsChild>
        <w:div w:id="4528187">
          <w:marLeft w:val="0"/>
          <w:marRight w:val="0"/>
          <w:marTop w:val="0"/>
          <w:marBottom w:val="0"/>
          <w:divBdr>
            <w:top w:val="none" w:sz="0" w:space="0" w:color="auto"/>
            <w:left w:val="none" w:sz="0" w:space="0" w:color="auto"/>
            <w:bottom w:val="none" w:sz="0" w:space="0" w:color="auto"/>
            <w:right w:val="none" w:sz="0" w:space="0" w:color="auto"/>
          </w:divBdr>
          <w:divsChild>
            <w:div w:id="18025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3797">
      <w:bodyDiv w:val="1"/>
      <w:marLeft w:val="0"/>
      <w:marRight w:val="0"/>
      <w:marTop w:val="0"/>
      <w:marBottom w:val="0"/>
      <w:divBdr>
        <w:top w:val="none" w:sz="0" w:space="0" w:color="auto"/>
        <w:left w:val="none" w:sz="0" w:space="0" w:color="auto"/>
        <w:bottom w:val="none" w:sz="0" w:space="0" w:color="auto"/>
        <w:right w:val="none" w:sz="0" w:space="0" w:color="auto"/>
      </w:divBdr>
    </w:div>
    <w:div w:id="472716112">
      <w:bodyDiv w:val="1"/>
      <w:marLeft w:val="0"/>
      <w:marRight w:val="0"/>
      <w:marTop w:val="0"/>
      <w:marBottom w:val="0"/>
      <w:divBdr>
        <w:top w:val="none" w:sz="0" w:space="0" w:color="auto"/>
        <w:left w:val="none" w:sz="0" w:space="0" w:color="auto"/>
        <w:bottom w:val="none" w:sz="0" w:space="0" w:color="auto"/>
        <w:right w:val="none" w:sz="0" w:space="0" w:color="auto"/>
      </w:divBdr>
    </w:div>
    <w:div w:id="538781057">
      <w:bodyDiv w:val="1"/>
      <w:marLeft w:val="0"/>
      <w:marRight w:val="0"/>
      <w:marTop w:val="0"/>
      <w:marBottom w:val="0"/>
      <w:divBdr>
        <w:top w:val="none" w:sz="0" w:space="0" w:color="auto"/>
        <w:left w:val="none" w:sz="0" w:space="0" w:color="auto"/>
        <w:bottom w:val="none" w:sz="0" w:space="0" w:color="auto"/>
        <w:right w:val="none" w:sz="0" w:space="0" w:color="auto"/>
      </w:divBdr>
    </w:div>
    <w:div w:id="75787191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224041">
      <w:bodyDiv w:val="1"/>
      <w:marLeft w:val="0"/>
      <w:marRight w:val="0"/>
      <w:marTop w:val="0"/>
      <w:marBottom w:val="0"/>
      <w:divBdr>
        <w:top w:val="none" w:sz="0" w:space="0" w:color="auto"/>
        <w:left w:val="none" w:sz="0" w:space="0" w:color="auto"/>
        <w:bottom w:val="none" w:sz="0" w:space="0" w:color="auto"/>
        <w:right w:val="none" w:sz="0" w:space="0" w:color="auto"/>
      </w:divBdr>
      <w:divsChild>
        <w:div w:id="425148922">
          <w:marLeft w:val="0"/>
          <w:marRight w:val="0"/>
          <w:marTop w:val="0"/>
          <w:marBottom w:val="0"/>
          <w:divBdr>
            <w:top w:val="none" w:sz="0" w:space="0" w:color="auto"/>
            <w:left w:val="none" w:sz="0" w:space="0" w:color="auto"/>
            <w:bottom w:val="none" w:sz="0" w:space="0" w:color="auto"/>
            <w:right w:val="none" w:sz="0" w:space="0" w:color="auto"/>
          </w:divBdr>
          <w:divsChild>
            <w:div w:id="1931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2607">
      <w:bodyDiv w:val="1"/>
      <w:marLeft w:val="0"/>
      <w:marRight w:val="0"/>
      <w:marTop w:val="0"/>
      <w:marBottom w:val="0"/>
      <w:divBdr>
        <w:top w:val="none" w:sz="0" w:space="0" w:color="auto"/>
        <w:left w:val="none" w:sz="0" w:space="0" w:color="auto"/>
        <w:bottom w:val="none" w:sz="0" w:space="0" w:color="auto"/>
        <w:right w:val="none" w:sz="0" w:space="0" w:color="auto"/>
      </w:divBdr>
      <w:divsChild>
        <w:div w:id="1408452204">
          <w:marLeft w:val="0"/>
          <w:marRight w:val="0"/>
          <w:marTop w:val="0"/>
          <w:marBottom w:val="0"/>
          <w:divBdr>
            <w:top w:val="none" w:sz="0" w:space="0" w:color="auto"/>
            <w:left w:val="none" w:sz="0" w:space="0" w:color="auto"/>
            <w:bottom w:val="none" w:sz="0" w:space="0" w:color="auto"/>
            <w:right w:val="none" w:sz="0" w:space="0" w:color="auto"/>
          </w:divBdr>
          <w:divsChild>
            <w:div w:id="13927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0381">
      <w:bodyDiv w:val="1"/>
      <w:marLeft w:val="0"/>
      <w:marRight w:val="0"/>
      <w:marTop w:val="0"/>
      <w:marBottom w:val="0"/>
      <w:divBdr>
        <w:top w:val="none" w:sz="0" w:space="0" w:color="auto"/>
        <w:left w:val="none" w:sz="0" w:space="0" w:color="auto"/>
        <w:bottom w:val="none" w:sz="0" w:space="0" w:color="auto"/>
        <w:right w:val="none" w:sz="0" w:space="0" w:color="auto"/>
      </w:divBdr>
    </w:div>
    <w:div w:id="1348210679">
      <w:bodyDiv w:val="1"/>
      <w:marLeft w:val="0"/>
      <w:marRight w:val="0"/>
      <w:marTop w:val="0"/>
      <w:marBottom w:val="0"/>
      <w:divBdr>
        <w:top w:val="none" w:sz="0" w:space="0" w:color="auto"/>
        <w:left w:val="none" w:sz="0" w:space="0" w:color="auto"/>
        <w:bottom w:val="none" w:sz="0" w:space="0" w:color="auto"/>
        <w:right w:val="none" w:sz="0" w:space="0" w:color="auto"/>
      </w:divBdr>
    </w:div>
    <w:div w:id="1408382140">
      <w:bodyDiv w:val="1"/>
      <w:marLeft w:val="0"/>
      <w:marRight w:val="0"/>
      <w:marTop w:val="0"/>
      <w:marBottom w:val="0"/>
      <w:divBdr>
        <w:top w:val="none" w:sz="0" w:space="0" w:color="auto"/>
        <w:left w:val="none" w:sz="0" w:space="0" w:color="auto"/>
        <w:bottom w:val="none" w:sz="0" w:space="0" w:color="auto"/>
        <w:right w:val="none" w:sz="0" w:space="0" w:color="auto"/>
      </w:divBdr>
    </w:div>
    <w:div w:id="1500845250">
      <w:bodyDiv w:val="1"/>
      <w:marLeft w:val="0"/>
      <w:marRight w:val="0"/>
      <w:marTop w:val="0"/>
      <w:marBottom w:val="0"/>
      <w:divBdr>
        <w:top w:val="none" w:sz="0" w:space="0" w:color="auto"/>
        <w:left w:val="none" w:sz="0" w:space="0" w:color="auto"/>
        <w:bottom w:val="none" w:sz="0" w:space="0" w:color="auto"/>
        <w:right w:val="none" w:sz="0" w:space="0" w:color="auto"/>
      </w:divBdr>
    </w:div>
    <w:div w:id="1602637940">
      <w:bodyDiv w:val="1"/>
      <w:marLeft w:val="0"/>
      <w:marRight w:val="0"/>
      <w:marTop w:val="0"/>
      <w:marBottom w:val="0"/>
      <w:divBdr>
        <w:top w:val="none" w:sz="0" w:space="0" w:color="auto"/>
        <w:left w:val="none" w:sz="0" w:space="0" w:color="auto"/>
        <w:bottom w:val="none" w:sz="0" w:space="0" w:color="auto"/>
        <w:right w:val="none" w:sz="0" w:space="0" w:color="auto"/>
      </w:divBdr>
    </w:div>
    <w:div w:id="1628929404">
      <w:bodyDiv w:val="1"/>
      <w:marLeft w:val="0"/>
      <w:marRight w:val="0"/>
      <w:marTop w:val="0"/>
      <w:marBottom w:val="0"/>
      <w:divBdr>
        <w:top w:val="none" w:sz="0" w:space="0" w:color="auto"/>
        <w:left w:val="none" w:sz="0" w:space="0" w:color="auto"/>
        <w:bottom w:val="none" w:sz="0" w:space="0" w:color="auto"/>
        <w:right w:val="none" w:sz="0" w:space="0" w:color="auto"/>
      </w:divBdr>
      <w:divsChild>
        <w:div w:id="1841433153">
          <w:marLeft w:val="0"/>
          <w:marRight w:val="0"/>
          <w:marTop w:val="0"/>
          <w:marBottom w:val="0"/>
          <w:divBdr>
            <w:top w:val="none" w:sz="0" w:space="0" w:color="auto"/>
            <w:left w:val="none" w:sz="0" w:space="0" w:color="auto"/>
            <w:bottom w:val="none" w:sz="0" w:space="0" w:color="auto"/>
            <w:right w:val="none" w:sz="0" w:space="0" w:color="auto"/>
          </w:divBdr>
          <w:divsChild>
            <w:div w:id="2314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679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39411">
      <w:bodyDiv w:val="1"/>
      <w:marLeft w:val="0"/>
      <w:marRight w:val="0"/>
      <w:marTop w:val="0"/>
      <w:marBottom w:val="0"/>
      <w:divBdr>
        <w:top w:val="none" w:sz="0" w:space="0" w:color="auto"/>
        <w:left w:val="none" w:sz="0" w:space="0" w:color="auto"/>
        <w:bottom w:val="none" w:sz="0" w:space="0" w:color="auto"/>
        <w:right w:val="none" w:sz="0" w:space="0" w:color="auto"/>
      </w:divBdr>
    </w:div>
    <w:div w:id="206401325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iff"/><Relationship Id="rId18" Type="http://schemas.openxmlformats.org/officeDocument/2006/relationships/image" Target="media/image11.tif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tiff"/><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5" Type="http://schemas.openxmlformats.org/officeDocument/2006/relationships/image" Target="media/image18.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image" Target="media/image13.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image" Target="media/image17.tiff"/><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image" Target="media/image16.tiff"/><Relationship Id="rId10" Type="http://schemas.openxmlformats.org/officeDocument/2006/relationships/image" Target="media/image3.tiff"/><Relationship Id="rId19" Type="http://schemas.openxmlformats.org/officeDocument/2006/relationships/image" Target="media/image12.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tiff"/><Relationship Id="rId22" Type="http://schemas.openxmlformats.org/officeDocument/2006/relationships/image" Target="media/image15.tiff"/><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03C0-6879-4C72-BE18-A5CE7A7D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2596</Words>
  <Characters>14019</Characters>
  <Application>Microsoft Office Word</Application>
  <DocSecurity>0</DocSecurity>
  <Lines>116</Lines>
  <Paragraphs>33</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Amanda Lemette</cp:lastModifiedBy>
  <cp:revision>2</cp:revision>
  <cp:lastPrinted>2019-04-07T21:33:00Z</cp:lastPrinted>
  <dcterms:created xsi:type="dcterms:W3CDTF">2019-04-07T21:33:00Z</dcterms:created>
  <dcterms:modified xsi:type="dcterms:W3CDTF">2019-04-07T21:33:00Z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