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0A03B2" w:rsidRPr="00B57B36" w14:paraId="44CAED88" w14:textId="77777777">
        <w:trPr>
          <w:trHeight w:val="852"/>
          <w:jc w:val="center"/>
        </w:trPr>
        <w:tc>
          <w:tcPr>
            <w:tcW w:w="6946" w:type="dxa"/>
            <w:vMerge w:val="restart"/>
            <w:tcBorders>
              <w:right w:val="single" w:sz="4" w:space="0" w:color="auto"/>
            </w:tcBorders>
          </w:tcPr>
          <w:p w14:paraId="53E007C4" w14:textId="77777777" w:rsidR="000A03B2" w:rsidRPr="00B57B36" w:rsidRDefault="000A03B2" w:rsidP="00DE264A">
            <w:pPr>
              <w:tabs>
                <w:tab w:val="left" w:pos="-108"/>
              </w:tabs>
              <w:ind w:left="-108"/>
              <w:jc w:val="left"/>
              <w:rPr>
                <w:rFonts w:cs="Arial"/>
                <w:b/>
                <w:bCs/>
                <w:i/>
                <w:iCs/>
                <w:color w:val="000066"/>
                <w:sz w:val="12"/>
                <w:szCs w:val="12"/>
                <w:lang w:eastAsia="it-IT"/>
              </w:rPr>
            </w:pPr>
            <w:r w:rsidRPr="00B57B36">
              <w:rPr>
                <w:rFonts w:ascii="AdvP6960" w:hAnsi="AdvP6960" w:cs="AdvP6960"/>
                <w:noProof/>
                <w:color w:val="241F20"/>
                <w:szCs w:val="18"/>
                <w:lang w:val="it-IT" w:eastAsia="it-IT"/>
              </w:rPr>
              <w:drawing>
                <wp:inline distT="0" distB="0" distL="0" distR="0" wp14:anchorId="4ED26158" wp14:editId="77ED4515">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B57B36">
              <w:rPr>
                <w:rFonts w:ascii="AdvP6960" w:hAnsi="AdvP6960" w:cs="AdvP6960"/>
                <w:color w:val="241F20"/>
                <w:szCs w:val="18"/>
                <w:lang w:eastAsia="it-IT"/>
              </w:rPr>
              <w:t xml:space="preserve"> </w:t>
            </w:r>
            <w:r w:rsidRPr="00B57B36">
              <w:rPr>
                <w:rFonts w:cs="Arial"/>
                <w:b/>
                <w:bCs/>
                <w:i/>
                <w:iCs/>
                <w:color w:val="000066"/>
                <w:sz w:val="24"/>
                <w:szCs w:val="24"/>
                <w:lang w:eastAsia="it-IT"/>
              </w:rPr>
              <w:t>CHEMICAL ENGINEERING</w:t>
            </w:r>
            <w:r w:rsidRPr="00B57B36">
              <w:rPr>
                <w:rFonts w:cs="Arial"/>
                <w:b/>
                <w:bCs/>
                <w:i/>
                <w:iCs/>
                <w:color w:val="0033FF"/>
                <w:sz w:val="24"/>
                <w:szCs w:val="24"/>
                <w:lang w:eastAsia="it-IT"/>
              </w:rPr>
              <w:t xml:space="preserve"> </w:t>
            </w:r>
            <w:r w:rsidRPr="00B57B36">
              <w:rPr>
                <w:rFonts w:cs="Arial"/>
                <w:b/>
                <w:bCs/>
                <w:i/>
                <w:iCs/>
                <w:color w:val="666666"/>
                <w:sz w:val="24"/>
                <w:szCs w:val="24"/>
                <w:lang w:eastAsia="it-IT"/>
              </w:rPr>
              <w:t>TRANSACTIONS</w:t>
            </w:r>
            <w:r w:rsidRPr="00B57B36">
              <w:rPr>
                <w:color w:val="333333"/>
                <w:sz w:val="24"/>
                <w:szCs w:val="24"/>
                <w:lang w:eastAsia="it-IT"/>
              </w:rPr>
              <w:t xml:space="preserve"> </w:t>
            </w:r>
            <w:r w:rsidRPr="00B57B36">
              <w:rPr>
                <w:rFonts w:cs="Arial"/>
                <w:b/>
                <w:bCs/>
                <w:i/>
                <w:iCs/>
                <w:color w:val="000066"/>
                <w:sz w:val="27"/>
                <w:szCs w:val="27"/>
                <w:lang w:eastAsia="it-IT"/>
              </w:rPr>
              <w:br/>
            </w:r>
          </w:p>
          <w:p w14:paraId="5496D1FA" w14:textId="77777777" w:rsidR="000A03B2" w:rsidRPr="00B57B36" w:rsidRDefault="00A76EFC" w:rsidP="009635B9">
            <w:pPr>
              <w:tabs>
                <w:tab w:val="left" w:pos="-108"/>
              </w:tabs>
              <w:ind w:left="-108"/>
              <w:rPr>
                <w:rFonts w:cs="Arial"/>
                <w:b/>
                <w:bCs/>
                <w:i/>
                <w:iCs/>
                <w:color w:val="000066"/>
                <w:sz w:val="22"/>
                <w:szCs w:val="22"/>
                <w:lang w:eastAsia="it-IT"/>
              </w:rPr>
            </w:pPr>
            <w:r w:rsidRPr="00B57B36">
              <w:rPr>
                <w:rFonts w:cs="Arial"/>
                <w:b/>
                <w:bCs/>
                <w:i/>
                <w:iCs/>
                <w:color w:val="000066"/>
                <w:sz w:val="22"/>
                <w:szCs w:val="22"/>
                <w:lang w:eastAsia="it-IT"/>
              </w:rPr>
              <w:t xml:space="preserve">VOL. </w:t>
            </w:r>
            <w:r w:rsidR="007931FA">
              <w:rPr>
                <w:rFonts w:cs="Arial"/>
                <w:b/>
                <w:bCs/>
                <w:i/>
                <w:iCs/>
                <w:color w:val="000066"/>
                <w:sz w:val="22"/>
                <w:szCs w:val="22"/>
                <w:lang w:eastAsia="it-IT"/>
              </w:rPr>
              <w:t>7</w:t>
            </w:r>
            <w:r w:rsidR="009635B9">
              <w:rPr>
                <w:rFonts w:cs="Arial"/>
                <w:b/>
                <w:bCs/>
                <w:i/>
                <w:iCs/>
                <w:color w:val="000066"/>
                <w:sz w:val="22"/>
                <w:szCs w:val="22"/>
                <w:lang w:eastAsia="it-IT"/>
              </w:rPr>
              <w:t>6</w:t>
            </w:r>
            <w:r w:rsidR="00FA5F5F">
              <w:rPr>
                <w:rFonts w:cs="Arial"/>
                <w:b/>
                <w:bCs/>
                <w:i/>
                <w:iCs/>
                <w:color w:val="000066"/>
                <w:sz w:val="22"/>
                <w:szCs w:val="22"/>
                <w:lang w:eastAsia="it-IT"/>
              </w:rPr>
              <w:t>, 201</w:t>
            </w:r>
            <w:r w:rsidR="007931FA">
              <w:rPr>
                <w:rFonts w:cs="Arial"/>
                <w:b/>
                <w:bCs/>
                <w:i/>
                <w:iCs/>
                <w:color w:val="000066"/>
                <w:sz w:val="22"/>
                <w:szCs w:val="22"/>
                <w:lang w:eastAsia="it-IT"/>
              </w:rPr>
              <w:t>9</w:t>
            </w:r>
          </w:p>
        </w:tc>
        <w:tc>
          <w:tcPr>
            <w:tcW w:w="1843" w:type="dxa"/>
            <w:tcBorders>
              <w:left w:val="single" w:sz="4" w:space="0" w:color="auto"/>
              <w:bottom w:val="nil"/>
              <w:right w:val="single" w:sz="4" w:space="0" w:color="auto"/>
            </w:tcBorders>
          </w:tcPr>
          <w:p w14:paraId="3902539D" w14:textId="77777777" w:rsidR="000A03B2" w:rsidRPr="00B57B36" w:rsidRDefault="000A03B2" w:rsidP="00CD5FE2">
            <w:pPr>
              <w:spacing w:line="140" w:lineRule="atLeast"/>
              <w:jc w:val="right"/>
              <w:rPr>
                <w:rFonts w:cs="Arial"/>
                <w:sz w:val="14"/>
                <w:szCs w:val="14"/>
              </w:rPr>
            </w:pPr>
            <w:r w:rsidRPr="00B57B36">
              <w:rPr>
                <w:rFonts w:cs="Arial"/>
                <w:sz w:val="14"/>
                <w:szCs w:val="14"/>
              </w:rPr>
              <w:t>A publication of</w:t>
            </w:r>
          </w:p>
          <w:p w14:paraId="294E882D" w14:textId="77777777" w:rsidR="000A03B2" w:rsidRPr="00B57B36" w:rsidRDefault="000A03B2" w:rsidP="00CD5FE2">
            <w:pPr>
              <w:jc w:val="right"/>
            </w:pPr>
            <w:r w:rsidRPr="00B57B36">
              <w:rPr>
                <w:noProof/>
                <w:lang w:val="it-IT" w:eastAsia="it-IT"/>
              </w:rPr>
              <w:drawing>
                <wp:inline distT="0" distB="0" distL="0" distR="0" wp14:anchorId="648027D8" wp14:editId="238574FE">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B57B36" w14:paraId="06974DE4" w14:textId="77777777">
        <w:trPr>
          <w:trHeight w:val="567"/>
          <w:jc w:val="center"/>
        </w:trPr>
        <w:tc>
          <w:tcPr>
            <w:tcW w:w="6946" w:type="dxa"/>
            <w:vMerge/>
            <w:tcBorders>
              <w:right w:val="single" w:sz="4" w:space="0" w:color="auto"/>
            </w:tcBorders>
          </w:tcPr>
          <w:p w14:paraId="38074350" w14:textId="77777777" w:rsidR="000A03B2" w:rsidRPr="00B57B36" w:rsidRDefault="000A03B2" w:rsidP="00CD5FE2">
            <w:pPr>
              <w:tabs>
                <w:tab w:val="left" w:pos="-108"/>
              </w:tabs>
            </w:pPr>
          </w:p>
        </w:tc>
        <w:tc>
          <w:tcPr>
            <w:tcW w:w="1843" w:type="dxa"/>
            <w:tcBorders>
              <w:left w:val="single" w:sz="4" w:space="0" w:color="auto"/>
              <w:bottom w:val="nil"/>
              <w:right w:val="single" w:sz="4" w:space="0" w:color="auto"/>
            </w:tcBorders>
          </w:tcPr>
          <w:p w14:paraId="09AE23CA" w14:textId="77777777" w:rsidR="000A03B2" w:rsidRPr="00B57B36" w:rsidRDefault="000A03B2" w:rsidP="00CD5FE2">
            <w:pPr>
              <w:spacing w:line="140" w:lineRule="atLeast"/>
              <w:jc w:val="right"/>
              <w:rPr>
                <w:rFonts w:cs="Arial"/>
                <w:sz w:val="14"/>
                <w:szCs w:val="14"/>
              </w:rPr>
            </w:pPr>
            <w:r w:rsidRPr="00B57B36">
              <w:rPr>
                <w:rFonts w:cs="Arial"/>
                <w:sz w:val="14"/>
                <w:szCs w:val="14"/>
              </w:rPr>
              <w:t>The Italian Association</w:t>
            </w:r>
          </w:p>
          <w:p w14:paraId="789FBA0C" w14:textId="77777777" w:rsidR="000A03B2" w:rsidRPr="00B57B36" w:rsidRDefault="000A03B2" w:rsidP="00CD5FE2">
            <w:pPr>
              <w:spacing w:line="140" w:lineRule="atLeast"/>
              <w:jc w:val="right"/>
              <w:rPr>
                <w:rFonts w:cs="Arial"/>
                <w:sz w:val="14"/>
                <w:szCs w:val="14"/>
              </w:rPr>
            </w:pPr>
            <w:r w:rsidRPr="00B57B36">
              <w:rPr>
                <w:rFonts w:cs="Arial"/>
                <w:sz w:val="14"/>
                <w:szCs w:val="14"/>
              </w:rPr>
              <w:t>of Chemical Engineering</w:t>
            </w:r>
          </w:p>
          <w:p w14:paraId="22B14B02" w14:textId="77777777" w:rsidR="000A03B2" w:rsidRPr="00B57B36" w:rsidRDefault="000A03B2" w:rsidP="00162642">
            <w:pPr>
              <w:spacing w:line="140" w:lineRule="atLeast"/>
              <w:jc w:val="right"/>
              <w:rPr>
                <w:rFonts w:cs="Arial"/>
                <w:sz w:val="14"/>
                <w:szCs w:val="14"/>
              </w:rPr>
            </w:pPr>
            <w:r w:rsidRPr="00B57B36">
              <w:rPr>
                <w:rFonts w:cs="Arial"/>
                <w:sz w:val="14"/>
                <w:szCs w:val="14"/>
              </w:rPr>
              <w:t xml:space="preserve">Online at </w:t>
            </w:r>
            <w:r w:rsidR="00162642">
              <w:rPr>
                <w:rFonts w:cs="Arial"/>
                <w:sz w:val="14"/>
                <w:szCs w:val="14"/>
              </w:rPr>
              <w:t>www.cetjournal.it</w:t>
            </w:r>
          </w:p>
        </w:tc>
      </w:tr>
      <w:tr w:rsidR="000A03B2" w:rsidRPr="00B57B36" w14:paraId="2ECB7F6F" w14:textId="77777777">
        <w:trPr>
          <w:trHeight w:val="68"/>
          <w:jc w:val="center"/>
        </w:trPr>
        <w:tc>
          <w:tcPr>
            <w:tcW w:w="8789" w:type="dxa"/>
            <w:gridSpan w:val="2"/>
          </w:tcPr>
          <w:p w14:paraId="7593E636" w14:textId="77777777" w:rsidR="00300E56" w:rsidRPr="00252C1A" w:rsidRDefault="00300E56" w:rsidP="003365E3">
            <w:pPr>
              <w:ind w:left="-107"/>
              <w:rPr>
                <w:lang w:val="it-IT"/>
              </w:rPr>
            </w:pPr>
            <w:r w:rsidRPr="00252C1A">
              <w:rPr>
                <w:rFonts w:ascii="Tahoma" w:hAnsi="Tahoma" w:cs="Tahoma"/>
                <w:iCs/>
                <w:color w:val="333333"/>
                <w:sz w:val="14"/>
                <w:szCs w:val="14"/>
                <w:lang w:val="it-IT" w:eastAsia="it-IT"/>
              </w:rPr>
              <w:t>Guest Editors:</w:t>
            </w:r>
            <w:r w:rsidR="00904C62" w:rsidRPr="00252C1A">
              <w:rPr>
                <w:rFonts w:ascii="Tahoma" w:hAnsi="Tahoma" w:cs="Tahoma"/>
                <w:iCs/>
                <w:color w:val="333333"/>
                <w:sz w:val="14"/>
                <w:szCs w:val="14"/>
                <w:lang w:val="it-IT" w:eastAsia="it-IT"/>
              </w:rPr>
              <w:t xml:space="preserve"> </w:t>
            </w:r>
            <w:r w:rsidR="009635B9" w:rsidRPr="00252C1A">
              <w:rPr>
                <w:rFonts w:ascii="Tahoma" w:hAnsi="Tahoma" w:cs="Tahoma"/>
                <w:sz w:val="14"/>
                <w:szCs w:val="14"/>
                <w:lang w:val="it-IT"/>
              </w:rPr>
              <w:t>Sauro Pierucci,</w:t>
            </w:r>
            <w:r w:rsidR="003B60F3" w:rsidRPr="00252C1A">
              <w:rPr>
                <w:rFonts w:ascii="Tahoma" w:hAnsi="Tahoma" w:cs="Tahoma"/>
                <w:sz w:val="14"/>
                <w:szCs w:val="14"/>
                <w:lang w:val="it-IT"/>
              </w:rPr>
              <w:t xml:space="preserve"> </w:t>
            </w:r>
            <w:r w:rsidR="00047D7F" w:rsidRPr="00252C1A">
              <w:rPr>
                <w:rFonts w:ascii="Tahoma" w:hAnsi="Tahoma" w:cs="Tahoma"/>
                <w:sz w:val="14"/>
                <w:szCs w:val="14"/>
                <w:shd w:val="clear" w:color="auto" w:fill="FFFFFF"/>
                <w:lang w:val="it-IT"/>
              </w:rPr>
              <w:t>Jiří Jaromír Klemeš</w:t>
            </w:r>
            <w:r w:rsidR="00252C1A">
              <w:rPr>
                <w:rFonts w:ascii="Tahoma" w:hAnsi="Tahoma" w:cs="Tahoma"/>
                <w:sz w:val="14"/>
                <w:szCs w:val="14"/>
                <w:shd w:val="clear" w:color="auto" w:fill="FFFFFF"/>
                <w:lang w:val="it-IT"/>
              </w:rPr>
              <w:t>, Lau</w:t>
            </w:r>
            <w:r w:rsidR="00252C1A" w:rsidRPr="00252C1A">
              <w:rPr>
                <w:rFonts w:ascii="Tahoma" w:hAnsi="Tahoma" w:cs="Tahoma"/>
                <w:sz w:val="14"/>
                <w:szCs w:val="14"/>
                <w:shd w:val="clear" w:color="auto" w:fill="FFFFFF"/>
                <w:lang w:val="it-IT"/>
              </w:rPr>
              <w:t>ra Piazza</w:t>
            </w:r>
          </w:p>
          <w:p w14:paraId="45F3A346" w14:textId="77777777" w:rsidR="000A03B2" w:rsidRPr="00B57B36" w:rsidRDefault="00FA5F5F" w:rsidP="00131FAB">
            <w:pPr>
              <w:tabs>
                <w:tab w:val="left" w:pos="-108"/>
              </w:tabs>
              <w:spacing w:line="140" w:lineRule="atLeast"/>
              <w:ind w:left="-107"/>
              <w:jc w:val="left"/>
            </w:pPr>
            <w:r>
              <w:rPr>
                <w:rFonts w:ascii="Tahoma" w:hAnsi="Tahoma" w:cs="Tahoma"/>
                <w:iCs/>
                <w:color w:val="333333"/>
                <w:sz w:val="14"/>
                <w:szCs w:val="14"/>
                <w:lang w:eastAsia="it-IT"/>
              </w:rPr>
              <w:t>Copyright © 201</w:t>
            </w:r>
            <w:r w:rsidR="007931FA">
              <w:rPr>
                <w:rFonts w:ascii="Tahoma" w:hAnsi="Tahoma" w:cs="Tahoma"/>
                <w:iCs/>
                <w:color w:val="333333"/>
                <w:sz w:val="14"/>
                <w:szCs w:val="14"/>
                <w:lang w:eastAsia="it-IT"/>
              </w:rPr>
              <w:t>9</w:t>
            </w:r>
            <w:r w:rsidR="00904C62" w:rsidRPr="00B57B36">
              <w:rPr>
                <w:rFonts w:ascii="Tahoma" w:hAnsi="Tahoma" w:cs="Tahoma"/>
                <w:iCs/>
                <w:color w:val="333333"/>
                <w:sz w:val="14"/>
                <w:szCs w:val="14"/>
                <w:lang w:eastAsia="it-IT"/>
              </w:rPr>
              <w:t xml:space="preserve">, AIDIC </w:t>
            </w:r>
            <w:proofErr w:type="spellStart"/>
            <w:r w:rsidR="00904C62" w:rsidRPr="00B57B36">
              <w:rPr>
                <w:rFonts w:ascii="Tahoma" w:hAnsi="Tahoma" w:cs="Tahoma"/>
                <w:iCs/>
                <w:color w:val="333333"/>
                <w:sz w:val="14"/>
                <w:szCs w:val="14"/>
                <w:lang w:eastAsia="it-IT"/>
              </w:rPr>
              <w:t>Servizi</w:t>
            </w:r>
            <w:proofErr w:type="spellEnd"/>
            <w:r w:rsidR="00904C62" w:rsidRPr="00B57B36">
              <w:rPr>
                <w:rFonts w:ascii="Tahoma" w:hAnsi="Tahoma" w:cs="Tahoma"/>
                <w:iCs/>
                <w:color w:val="333333"/>
                <w:sz w:val="14"/>
                <w:szCs w:val="14"/>
                <w:lang w:eastAsia="it-IT"/>
              </w:rPr>
              <w:t xml:space="preserve"> </w:t>
            </w:r>
            <w:proofErr w:type="spellStart"/>
            <w:r w:rsidR="00904C62" w:rsidRPr="00B57B36">
              <w:rPr>
                <w:rFonts w:ascii="Tahoma" w:hAnsi="Tahoma" w:cs="Tahoma"/>
                <w:iCs/>
                <w:color w:val="333333"/>
                <w:sz w:val="14"/>
                <w:szCs w:val="14"/>
                <w:lang w:eastAsia="it-IT"/>
              </w:rPr>
              <w:t>S.r.l</w:t>
            </w:r>
            <w:proofErr w:type="spellEnd"/>
            <w:r w:rsidR="00904C62" w:rsidRPr="00B57B36">
              <w:rPr>
                <w:rFonts w:ascii="Tahoma" w:hAnsi="Tahoma" w:cs="Tahoma"/>
                <w:iCs/>
                <w:color w:val="333333"/>
                <w:sz w:val="14"/>
                <w:szCs w:val="14"/>
                <w:lang w:eastAsia="it-IT"/>
              </w:rPr>
              <w:t>.</w:t>
            </w:r>
            <w:r w:rsidR="00300E56" w:rsidRPr="00B57B36">
              <w:rPr>
                <w:rFonts w:ascii="Tahoma" w:hAnsi="Tahoma" w:cs="Tahoma"/>
                <w:iCs/>
                <w:color w:val="333333"/>
                <w:sz w:val="14"/>
                <w:szCs w:val="14"/>
                <w:lang w:eastAsia="it-IT"/>
              </w:rPr>
              <w:br/>
            </w:r>
            <w:r w:rsidR="00300E56" w:rsidRPr="00B57B36">
              <w:rPr>
                <w:rFonts w:ascii="Tahoma" w:hAnsi="Tahoma" w:cs="Tahoma"/>
                <w:b/>
                <w:iCs/>
                <w:color w:val="000000"/>
                <w:sz w:val="14"/>
                <w:szCs w:val="14"/>
                <w:lang w:eastAsia="it-IT"/>
              </w:rPr>
              <w:t>ISBN</w:t>
            </w:r>
            <w:r w:rsidR="00300E56" w:rsidRPr="00B57B36">
              <w:rPr>
                <w:rFonts w:ascii="Tahoma" w:hAnsi="Tahoma" w:cs="Tahoma"/>
                <w:iCs/>
                <w:color w:val="000000"/>
                <w:sz w:val="14"/>
                <w:szCs w:val="14"/>
                <w:lang w:eastAsia="it-IT"/>
              </w:rPr>
              <w:t xml:space="preserve"> </w:t>
            </w:r>
            <w:r w:rsidR="008D32B9" w:rsidRPr="00131FAB">
              <w:rPr>
                <w:rFonts w:ascii="Tahoma" w:hAnsi="Tahoma" w:cs="Tahoma"/>
                <w:sz w:val="14"/>
                <w:szCs w:val="14"/>
              </w:rPr>
              <w:t>978-88-95608-</w:t>
            </w:r>
            <w:r w:rsidR="009635B9">
              <w:rPr>
                <w:rFonts w:ascii="Tahoma" w:hAnsi="Tahoma" w:cs="Tahoma"/>
                <w:sz w:val="14"/>
                <w:szCs w:val="14"/>
              </w:rPr>
              <w:t>73</w:t>
            </w:r>
            <w:r w:rsidR="008D32B9" w:rsidRPr="00131FAB">
              <w:rPr>
                <w:rFonts w:ascii="Tahoma" w:hAnsi="Tahoma" w:cs="Tahoma"/>
                <w:sz w:val="14"/>
                <w:szCs w:val="14"/>
              </w:rPr>
              <w:t>-</w:t>
            </w:r>
            <w:r w:rsidR="009635B9">
              <w:rPr>
                <w:rFonts w:ascii="Tahoma" w:hAnsi="Tahoma" w:cs="Tahoma"/>
                <w:sz w:val="14"/>
                <w:szCs w:val="14"/>
              </w:rPr>
              <w:t>0</w:t>
            </w:r>
            <w:r w:rsidR="00300E56" w:rsidRPr="00131FAB">
              <w:rPr>
                <w:rFonts w:ascii="Tahoma" w:hAnsi="Tahoma" w:cs="Tahoma"/>
                <w:iCs/>
                <w:color w:val="333333"/>
                <w:sz w:val="14"/>
                <w:szCs w:val="14"/>
                <w:lang w:eastAsia="it-IT"/>
              </w:rPr>
              <w:t>;</w:t>
            </w:r>
            <w:r w:rsidR="00300E56" w:rsidRPr="00B57B36">
              <w:rPr>
                <w:rFonts w:ascii="Tahoma" w:hAnsi="Tahoma" w:cs="Tahoma"/>
                <w:iCs/>
                <w:color w:val="333333"/>
                <w:sz w:val="14"/>
                <w:szCs w:val="14"/>
                <w:lang w:eastAsia="it-IT"/>
              </w:rPr>
              <w:t xml:space="preserve"> </w:t>
            </w:r>
            <w:r w:rsidR="00300E56" w:rsidRPr="00B57B36">
              <w:rPr>
                <w:rFonts w:ascii="Tahoma" w:hAnsi="Tahoma" w:cs="Tahoma"/>
                <w:b/>
                <w:iCs/>
                <w:color w:val="333333"/>
                <w:sz w:val="14"/>
                <w:szCs w:val="14"/>
                <w:lang w:eastAsia="it-IT"/>
              </w:rPr>
              <w:t>ISSN</w:t>
            </w:r>
            <w:r w:rsidR="00300E56" w:rsidRPr="00B57B36">
              <w:rPr>
                <w:rFonts w:ascii="Tahoma" w:hAnsi="Tahoma" w:cs="Tahoma"/>
                <w:iCs/>
                <w:color w:val="333333"/>
                <w:sz w:val="14"/>
                <w:szCs w:val="14"/>
                <w:lang w:eastAsia="it-IT"/>
              </w:rPr>
              <w:t xml:space="preserve"> 2283-9216</w:t>
            </w:r>
          </w:p>
        </w:tc>
      </w:tr>
    </w:tbl>
    <w:p w14:paraId="4FE49858" w14:textId="77777777" w:rsidR="000A03B2" w:rsidRPr="00B57B36" w:rsidRDefault="000A03B2" w:rsidP="000A03B2">
      <w:pPr>
        <w:pStyle w:val="CETAuthors"/>
        <w:sectPr w:rsidR="000A03B2" w:rsidRPr="00B57B36">
          <w:type w:val="continuous"/>
          <w:pgSz w:w="11906" w:h="16838" w:code="9"/>
          <w:pgMar w:top="1701" w:right="1418" w:bottom="1701" w:left="1701" w:header="1701" w:footer="0" w:gutter="0"/>
          <w:cols w:space="708"/>
          <w:titlePg/>
          <w:docGrid w:linePitch="360"/>
        </w:sectPr>
      </w:pPr>
    </w:p>
    <w:p w14:paraId="0FB54BB4" w14:textId="77777777" w:rsidR="00E978D0" w:rsidRPr="00B57B36" w:rsidRDefault="00125EAF" w:rsidP="00E978D0">
      <w:pPr>
        <w:pStyle w:val="CETTitle"/>
      </w:pPr>
      <w:r w:rsidRPr="00125EAF">
        <w:t xml:space="preserve">Simulation-based </w:t>
      </w:r>
      <w:r>
        <w:t>A</w:t>
      </w:r>
      <w:r w:rsidRPr="00125EAF">
        <w:t xml:space="preserve">nalysis of </w:t>
      </w:r>
      <w:r>
        <w:t>P</w:t>
      </w:r>
      <w:r w:rsidRPr="00125EAF">
        <w:t xml:space="preserve">ropylene </w:t>
      </w:r>
      <w:r>
        <w:t>G</w:t>
      </w:r>
      <w:r w:rsidRPr="00125EAF">
        <w:t xml:space="preserve">lycol </w:t>
      </w:r>
      <w:r>
        <w:t>P</w:t>
      </w:r>
      <w:r w:rsidRPr="00125EAF">
        <w:t xml:space="preserve">roduction from </w:t>
      </w:r>
      <w:r>
        <w:t>L</w:t>
      </w:r>
      <w:r w:rsidRPr="00125EAF">
        <w:t xml:space="preserve">actic </w:t>
      </w:r>
      <w:r>
        <w:t>A</w:t>
      </w:r>
      <w:r w:rsidRPr="00125EAF">
        <w:t>cid</w:t>
      </w:r>
    </w:p>
    <w:p w14:paraId="3925E2CD" w14:textId="77777777" w:rsidR="00E978D0" w:rsidRPr="00A810A1" w:rsidRDefault="00125EAF" w:rsidP="00C770B5">
      <w:pPr>
        <w:pStyle w:val="CETAuthors"/>
        <w:rPr>
          <w:lang w:val="pt-BR"/>
        </w:rPr>
      </w:pPr>
      <w:r w:rsidRPr="00A810A1">
        <w:rPr>
          <w:lang w:val="pt-BR"/>
        </w:rPr>
        <w:t>Andressa N. Marchesan*,</w:t>
      </w:r>
      <w:r w:rsidR="00600535" w:rsidRPr="00A810A1">
        <w:rPr>
          <w:lang w:val="pt-BR"/>
        </w:rPr>
        <w:t xml:space="preserve"> </w:t>
      </w:r>
      <w:r w:rsidRPr="00A810A1">
        <w:rPr>
          <w:lang w:val="pt-BR"/>
        </w:rPr>
        <w:t>Marina P. Oncken</w:t>
      </w:r>
      <w:r w:rsidR="00600535" w:rsidRPr="00A810A1">
        <w:rPr>
          <w:lang w:val="pt-BR"/>
        </w:rPr>
        <w:t xml:space="preserve">, </w:t>
      </w:r>
      <w:r w:rsidRPr="00A810A1">
        <w:rPr>
          <w:lang w:val="pt-BR"/>
        </w:rPr>
        <w:t>Rubens Maciel Filho, Maria Regina W. Maciel</w:t>
      </w:r>
    </w:p>
    <w:p w14:paraId="7D7AA4F7" w14:textId="77777777" w:rsidR="00125EAF" w:rsidRDefault="00125EAF" w:rsidP="00E978D0">
      <w:pPr>
        <w:pStyle w:val="CETAddress"/>
      </w:pPr>
      <w:r w:rsidRPr="00125EAF">
        <w:t>Laboratory of Optimization, Design</w:t>
      </w:r>
      <w:r w:rsidR="00426249">
        <w:t>,</w:t>
      </w:r>
      <w:r w:rsidRPr="00125EAF">
        <w:t xml:space="preserve"> </w:t>
      </w:r>
      <w:r w:rsidRPr="00426249">
        <w:t>and</w:t>
      </w:r>
      <w:r w:rsidRPr="00125EAF">
        <w:t xml:space="preserve"> Advanced Control, School of Chemical Engineering, University of Campinas, Av. Albert Einstein 500, Campinas, Brazil.</w:t>
      </w:r>
    </w:p>
    <w:p w14:paraId="65179768" w14:textId="77777777" w:rsidR="00E978D0" w:rsidRDefault="00125EAF" w:rsidP="00E978D0">
      <w:pPr>
        <w:pStyle w:val="CETemail"/>
      </w:pPr>
      <w:r>
        <w:t>marchesan.andressa</w:t>
      </w:r>
      <w:r w:rsidR="00600535" w:rsidRPr="00B57B36">
        <w:t>@</w:t>
      </w:r>
      <w:r>
        <w:t>gmail</w:t>
      </w:r>
      <w:r w:rsidR="00600535" w:rsidRPr="00B57B36">
        <w:t>.</w:t>
      </w:r>
      <w:r>
        <w:t>com</w:t>
      </w:r>
    </w:p>
    <w:p w14:paraId="55185E66" w14:textId="70962908" w:rsidR="00125BE4" w:rsidRDefault="00C770B5" w:rsidP="00C770B5">
      <w:pPr>
        <w:pStyle w:val="CETBodytext"/>
      </w:pPr>
      <w:r w:rsidRPr="005559EF">
        <w:t xml:space="preserve">Propylene glycol is an intermediate molecule with </w:t>
      </w:r>
      <w:r w:rsidRPr="00426249">
        <w:rPr>
          <w:noProof/>
        </w:rPr>
        <w:t>wide</w:t>
      </w:r>
      <w:r w:rsidRPr="005559EF">
        <w:t xml:space="preserve"> applications in the chemical industry. Its most successful renewable production technology is based on hydrogenolysis</w:t>
      </w:r>
      <w:r w:rsidR="00DC43BB">
        <w:t xml:space="preserve"> of </w:t>
      </w:r>
      <w:r w:rsidR="00DC43BB" w:rsidRPr="005559EF">
        <w:t>glycerol</w:t>
      </w:r>
      <w:r w:rsidRPr="005559EF">
        <w:t xml:space="preserve">, </w:t>
      </w:r>
      <w:proofErr w:type="spellStart"/>
      <w:r w:rsidRPr="005559EF">
        <w:t>subproduct</w:t>
      </w:r>
      <w:proofErr w:type="spellEnd"/>
      <w:r w:rsidRPr="005559EF">
        <w:t xml:space="preserve"> of </w:t>
      </w:r>
      <w:r w:rsidR="00426249">
        <w:t xml:space="preserve">the </w:t>
      </w:r>
      <w:r w:rsidRPr="00426249">
        <w:rPr>
          <w:noProof/>
        </w:rPr>
        <w:t>biodiesel</w:t>
      </w:r>
      <w:r w:rsidRPr="005559EF">
        <w:t xml:space="preserve"> industry, which has been commercially produced since </w:t>
      </w:r>
      <w:r>
        <w:t xml:space="preserve">the </w:t>
      </w:r>
      <w:r w:rsidRPr="005559EF">
        <w:t xml:space="preserve">early 2010s. The biodiesel market, however, is highly dependent on government incentives and raises the fuel versus food debate. Other renewable raw materials that can be obtained from lignocellulosic sources, such as cellulose and lactic acid, have been studied for propylene glycol production through similar </w:t>
      </w:r>
      <w:r w:rsidRPr="00426249">
        <w:rPr>
          <w:noProof/>
        </w:rPr>
        <w:t>technology</w:t>
      </w:r>
      <w:r w:rsidRPr="005559EF">
        <w:t xml:space="preserve"> but focus</w:t>
      </w:r>
      <w:r>
        <w:t>ing</w:t>
      </w:r>
      <w:r w:rsidRPr="005559EF">
        <w:t xml:space="preserve"> on catalyst development. In that regard, this work developed a conceptual design and simulation using Aspen Plus® for propylene glycol production from lactic</w:t>
      </w:r>
      <w:r w:rsidR="002E2220">
        <w:t xml:space="preserve"> acid</w:t>
      </w:r>
      <w:r w:rsidR="00125BE4">
        <w:t>.</w:t>
      </w:r>
      <w:r w:rsidRPr="005559EF">
        <w:t xml:space="preserve"> </w:t>
      </w:r>
      <w:r w:rsidRPr="00426249">
        <w:rPr>
          <w:noProof/>
        </w:rPr>
        <w:t xml:space="preserve">To assess </w:t>
      </w:r>
      <w:r w:rsidR="002E2220" w:rsidRPr="00426249">
        <w:rPr>
          <w:noProof/>
        </w:rPr>
        <w:t>its</w:t>
      </w:r>
      <w:r w:rsidRPr="00426249">
        <w:rPr>
          <w:noProof/>
        </w:rPr>
        <w:t xml:space="preserve"> potential as feedstock</w:t>
      </w:r>
      <w:r w:rsidRPr="000D35C3">
        <w:t xml:space="preserve">, </w:t>
      </w:r>
      <w:r w:rsidR="00125BE4">
        <w:t>ma</w:t>
      </w:r>
      <w:r w:rsidR="00DC43BB">
        <w:t>ss</w:t>
      </w:r>
      <w:r w:rsidR="00125BE4">
        <w:t xml:space="preserve"> and energy balances were compared with those reported </w:t>
      </w:r>
      <w:r w:rsidR="00B35708">
        <w:t>i</w:t>
      </w:r>
      <w:r w:rsidR="00125BE4">
        <w:t xml:space="preserve">n the literature for glycerol-based propylene glycol. The results demonstrate that </w:t>
      </w:r>
      <w:r w:rsidR="002E2220">
        <w:t xml:space="preserve">there is room for improvement towards a competitive lactic-acid based biorefinery, </w:t>
      </w:r>
      <w:r w:rsidR="00426249">
        <w:t>e</w:t>
      </w:r>
      <w:r w:rsidR="002E2220" w:rsidRPr="00426249">
        <w:rPr>
          <w:noProof/>
        </w:rPr>
        <w:t>specially</w:t>
      </w:r>
      <w:r w:rsidR="002E2220">
        <w:t xml:space="preserve"> in terms of energy consumption.</w:t>
      </w:r>
    </w:p>
    <w:p w14:paraId="22EA654B" w14:textId="77777777" w:rsidR="00D85812" w:rsidRDefault="00600535" w:rsidP="00D7552D">
      <w:pPr>
        <w:pStyle w:val="CETHeading1"/>
        <w:rPr>
          <w:lang w:val="en-GB"/>
        </w:rPr>
      </w:pPr>
      <w:r w:rsidRPr="00B57B36">
        <w:rPr>
          <w:lang w:val="en-GB"/>
        </w:rPr>
        <w:t>Introduction</w:t>
      </w:r>
    </w:p>
    <w:p w14:paraId="153CB9DA" w14:textId="77777777" w:rsidR="00D85812" w:rsidRDefault="0054573D" w:rsidP="00D7552D">
      <w:pPr>
        <w:pStyle w:val="CETBodytext"/>
      </w:pPr>
      <w:r>
        <w:t xml:space="preserve">The growing interest in the </w:t>
      </w:r>
      <w:r w:rsidR="00867C9F">
        <w:t xml:space="preserve">replacement of petrochemicals and fuels with renewable equivalents has </w:t>
      </w:r>
      <w:r>
        <w:t>fostered research on new routes to</w:t>
      </w:r>
      <w:r w:rsidR="00867C9F">
        <w:t xml:space="preserve"> enable this transition, especially those based on biochemical conversion</w:t>
      </w:r>
      <w:r w:rsidR="00851087">
        <w:t xml:space="preserve">. </w:t>
      </w:r>
      <w:r w:rsidR="00FB5C27">
        <w:t>However, despite promising theoretical yields</w:t>
      </w:r>
      <w:r w:rsidR="0008191F">
        <w:t xml:space="preserve"> (</w:t>
      </w:r>
      <w:proofErr w:type="spellStart"/>
      <w:r w:rsidR="0008191F">
        <w:t>Straathof</w:t>
      </w:r>
      <w:proofErr w:type="spellEnd"/>
      <w:r w:rsidR="0008191F">
        <w:t>, 2017)</w:t>
      </w:r>
      <w:r w:rsidR="00FB5C27">
        <w:t>, depending on the targeted product, current microorganisms have much lower performance than required to enable their commercial application. This is the case for glycols such as propylene glycol (1,2-propanediol, 1,2-PDO).</w:t>
      </w:r>
      <w:r w:rsidR="0008191F">
        <w:t xml:space="preserve"> </w:t>
      </w:r>
      <w:r w:rsidR="00851087">
        <w:t>S</w:t>
      </w:r>
      <w:r w:rsidR="0008191F">
        <w:t xml:space="preserve">o </w:t>
      </w:r>
      <w:r w:rsidR="00D176BF">
        <w:t>far,</w:t>
      </w:r>
      <w:r w:rsidR="0008191F">
        <w:t xml:space="preserve"> the highest reported yield is 0.48 g/g at </w:t>
      </w:r>
      <w:r w:rsidR="0008191F" w:rsidRPr="00426249">
        <w:rPr>
          <w:noProof/>
        </w:rPr>
        <w:t>very</w:t>
      </w:r>
      <w:r w:rsidR="0008191F">
        <w:t xml:space="preserve"> low productivity of 0.043 g/L/h</w:t>
      </w:r>
      <w:r w:rsidR="00D176BF">
        <w:t xml:space="preserve"> (Jain, 2015)</w:t>
      </w:r>
      <w:r w:rsidR="0008191F">
        <w:t>.</w:t>
      </w:r>
    </w:p>
    <w:p w14:paraId="55B29E3C" w14:textId="77777777" w:rsidR="00851087" w:rsidRDefault="00CC3E5E" w:rsidP="00942D7C">
      <w:pPr>
        <w:pStyle w:val="CETBodytext"/>
      </w:pPr>
      <w:r>
        <w:t xml:space="preserve">Chemical catalysis has been an </w:t>
      </w:r>
      <w:r w:rsidRPr="00426249">
        <w:rPr>
          <w:noProof/>
        </w:rPr>
        <w:t>important</w:t>
      </w:r>
      <w:r>
        <w:t xml:space="preserve"> player in</w:t>
      </w:r>
      <w:r w:rsidRPr="00426249">
        <w:rPr>
          <w:noProof/>
        </w:rPr>
        <w:t xml:space="preserve"> renewables</w:t>
      </w:r>
      <w:r>
        <w:t xml:space="preserve"> production.</w:t>
      </w:r>
      <w:r w:rsidR="00851087">
        <w:t xml:space="preserve"> </w:t>
      </w:r>
      <w:r w:rsidR="002A637A">
        <w:t>Bio-propylene glycol is commercially produced from biodiesel-derived glycerol since the beginning of the decade through hydrogenolysis reactions over metal catalysts (Cu</w:t>
      </w:r>
      <w:r w:rsidR="00BE688D">
        <w:t>, Ni, Ru</w:t>
      </w:r>
      <w:r w:rsidR="002A637A">
        <w:t>)</w:t>
      </w:r>
      <w:r w:rsidR="001778AD">
        <w:t>.</w:t>
      </w:r>
      <w:r w:rsidR="00BE688D">
        <w:t xml:space="preserve"> </w:t>
      </w:r>
      <w:r w:rsidR="001F4350">
        <w:t xml:space="preserve">Nonetheless, </w:t>
      </w:r>
      <w:r w:rsidR="00426249">
        <w:t xml:space="preserve">the </w:t>
      </w:r>
      <w:r w:rsidR="001778AD" w:rsidRPr="00426249">
        <w:rPr>
          <w:noProof/>
        </w:rPr>
        <w:t>biodiesel</w:t>
      </w:r>
      <w:r w:rsidR="001778AD">
        <w:t xml:space="preserve"> market is highly dependent on government policies </w:t>
      </w:r>
      <w:r w:rsidR="001778AD" w:rsidRPr="00426249">
        <w:rPr>
          <w:noProof/>
        </w:rPr>
        <w:t>and</w:t>
      </w:r>
      <w:r w:rsidR="001778AD">
        <w:t xml:space="preserve"> subsidies and current hydrogenolysis catalysts require high-purity glycerol (Kong 2016).  </w:t>
      </w:r>
    </w:p>
    <w:p w14:paraId="406D4CEC" w14:textId="77777777" w:rsidR="00755287" w:rsidRDefault="00351461" w:rsidP="00942D7C">
      <w:pPr>
        <w:pStyle w:val="CETBodytext"/>
      </w:pPr>
      <w:r w:rsidRPr="00351461">
        <w:t>Other feedstocks have been e</w:t>
      </w:r>
      <w:r>
        <w:t xml:space="preserve">xplored </w:t>
      </w:r>
      <w:r w:rsidR="00BA43A2">
        <w:t>to produce</w:t>
      </w:r>
      <w:r>
        <w:t xml:space="preserve"> 1,2-PDO through similar reactions, such as lignocellulosic biomass and glucose, but they still suffer from catalyst stability and low selectivity </w:t>
      </w:r>
      <w:r w:rsidR="00BA43A2">
        <w:t>(Zheng</w:t>
      </w:r>
      <w:r w:rsidR="00755287">
        <w:t xml:space="preserve"> </w:t>
      </w:r>
      <w:r w:rsidR="00F1507D" w:rsidRPr="00F1507D">
        <w:rPr>
          <w:i/>
        </w:rPr>
        <w:t>et al.</w:t>
      </w:r>
      <w:r w:rsidR="00BA43A2">
        <w:t>, 2017). Another promising intermediate for 1,2-PDO production is lactic acid</w:t>
      </w:r>
      <w:r w:rsidR="00755287">
        <w:t xml:space="preserve"> (LA)</w:t>
      </w:r>
      <w:r w:rsidR="00BA43A2">
        <w:t xml:space="preserve">, because of its high theoretical yield from lignocellulosic sugars and its high reactivity to a variety of products </w:t>
      </w:r>
      <w:r w:rsidR="00755287">
        <w:t>(</w:t>
      </w:r>
      <w:proofErr w:type="spellStart"/>
      <w:r w:rsidR="00755287">
        <w:t>Dusselier</w:t>
      </w:r>
      <w:proofErr w:type="spellEnd"/>
      <w:r w:rsidR="00755287">
        <w:t xml:space="preserve"> </w:t>
      </w:r>
      <w:r w:rsidR="00F1507D" w:rsidRPr="00F1507D">
        <w:rPr>
          <w:i/>
        </w:rPr>
        <w:t>et al.</w:t>
      </w:r>
      <w:r w:rsidR="00755287">
        <w:t>, 2013). However, research has been dedicated mostly to lab-scale studies and catalyst development.</w:t>
      </w:r>
    </w:p>
    <w:p w14:paraId="3C2CCD81" w14:textId="77777777" w:rsidR="00755287" w:rsidRDefault="00755287" w:rsidP="00755287">
      <w:pPr>
        <w:pStyle w:val="CETBodytext"/>
      </w:pPr>
      <w:r w:rsidRPr="002E2220">
        <w:t xml:space="preserve">In this context, this work aims to develop a preliminary conceptual design to assess the potential of lactic acid transformation to 1,2-PDO through process simulation, in order to obtain </w:t>
      </w:r>
      <w:r w:rsidR="002E2220" w:rsidRPr="002E2220">
        <w:t>the main process parameters (material and energy balances) and identify process bottlenecks when compared to</w:t>
      </w:r>
      <w:r w:rsidR="002E2220">
        <w:t xml:space="preserve"> glycerol as a feedstock, which is </w:t>
      </w:r>
      <w:r w:rsidR="002E2220" w:rsidRPr="00426249">
        <w:rPr>
          <w:noProof/>
        </w:rPr>
        <w:t>a</w:t>
      </w:r>
      <w:r w:rsidR="00426249" w:rsidRPr="00426249">
        <w:rPr>
          <w:noProof/>
        </w:rPr>
        <w:t>n</w:t>
      </w:r>
      <w:r w:rsidR="002E2220" w:rsidRPr="00426249">
        <w:rPr>
          <w:noProof/>
        </w:rPr>
        <w:t xml:space="preserve"> </w:t>
      </w:r>
      <w:r w:rsidR="00426249" w:rsidRPr="00426249">
        <w:rPr>
          <w:noProof/>
        </w:rPr>
        <w:t>e</w:t>
      </w:r>
      <w:r w:rsidR="002E2220" w:rsidRPr="00426249">
        <w:rPr>
          <w:noProof/>
        </w:rPr>
        <w:t>stablished</w:t>
      </w:r>
      <w:r w:rsidR="002E2220">
        <w:t xml:space="preserve"> process.</w:t>
      </w:r>
      <w:r w:rsidR="00115794">
        <w:t xml:space="preserve"> The development of conceptual designs will allow a more </w:t>
      </w:r>
      <w:r w:rsidR="00115794" w:rsidRPr="00426249">
        <w:rPr>
          <w:noProof/>
        </w:rPr>
        <w:t>th</w:t>
      </w:r>
      <w:r w:rsidR="00426249">
        <w:rPr>
          <w:noProof/>
        </w:rPr>
        <w:t>o</w:t>
      </w:r>
      <w:r w:rsidR="00115794" w:rsidRPr="00426249">
        <w:rPr>
          <w:noProof/>
        </w:rPr>
        <w:t>rough</w:t>
      </w:r>
      <w:r w:rsidR="00115794">
        <w:t xml:space="preserve"> economic and environmental feasibility analysis of such processes.</w:t>
      </w:r>
    </w:p>
    <w:p w14:paraId="1DD4AA8D" w14:textId="77777777" w:rsidR="00755287" w:rsidRDefault="00755287">
      <w:pPr>
        <w:tabs>
          <w:tab w:val="clear" w:pos="7100"/>
        </w:tabs>
        <w:spacing w:after="200" w:line="276" w:lineRule="auto"/>
        <w:jc w:val="left"/>
        <w:rPr>
          <w:lang w:val="en-US"/>
        </w:rPr>
      </w:pPr>
      <w:r>
        <w:br w:type="page"/>
      </w:r>
    </w:p>
    <w:p w14:paraId="029FB127" w14:textId="77777777" w:rsidR="00D07EDC" w:rsidRPr="00755287" w:rsidRDefault="00D07EDC" w:rsidP="00755287">
      <w:pPr>
        <w:pStyle w:val="CETHeading1"/>
      </w:pPr>
      <w:r>
        <w:lastRenderedPageBreak/>
        <w:t>Methods</w:t>
      </w:r>
    </w:p>
    <w:p w14:paraId="435BD50C" w14:textId="77777777" w:rsidR="00600535" w:rsidRDefault="00384655" w:rsidP="00C96F16">
      <w:pPr>
        <w:pStyle w:val="CETheadingx"/>
      </w:pPr>
      <w:r>
        <w:t>Process Description</w:t>
      </w:r>
    </w:p>
    <w:p w14:paraId="350909D3" w14:textId="77777777" w:rsidR="00685E14" w:rsidRDefault="00685E14" w:rsidP="00685E14">
      <w:pPr>
        <w:pStyle w:val="CETHeadingxx"/>
      </w:pPr>
      <w:r>
        <w:t>Scenario LA-1</w:t>
      </w:r>
    </w:p>
    <w:p w14:paraId="36CAB3AD" w14:textId="77777777" w:rsidR="00500F33" w:rsidRDefault="0093451C" w:rsidP="007606FB">
      <w:pPr>
        <w:pStyle w:val="CETBodytext"/>
      </w:pPr>
      <w:r>
        <w:t xml:space="preserve">Lactic acid (88 </w:t>
      </w:r>
      <w:proofErr w:type="spellStart"/>
      <w:r>
        <w:t>wt</w:t>
      </w:r>
      <w:proofErr w:type="spellEnd"/>
      <w:r>
        <w:t xml:space="preserve">%) is heated to 50 ºC and mixed with a recycle stream composed of water and unreacted </w:t>
      </w:r>
      <w:r w:rsidR="00220F89">
        <w:t>LA</w:t>
      </w:r>
      <w:r>
        <w:t xml:space="preserve">, resulting in a feed stream of </w:t>
      </w:r>
      <w:r w:rsidR="00220F89">
        <w:t xml:space="preserve">38 </w:t>
      </w:r>
      <w:proofErr w:type="spellStart"/>
      <w:r w:rsidR="00220F89">
        <w:t>wt</w:t>
      </w:r>
      <w:proofErr w:type="spellEnd"/>
      <w:r w:rsidR="00220F89">
        <w:t>% LA. H</w:t>
      </w:r>
      <w:r w:rsidR="00220F89" w:rsidRPr="00220F89">
        <w:rPr>
          <w:vertAlign w:val="subscript"/>
        </w:rPr>
        <w:t>2</w:t>
      </w:r>
      <w:r w:rsidR="00220F89">
        <w:rPr>
          <w:vertAlign w:val="subscript"/>
        </w:rPr>
        <w:t xml:space="preserve"> </w:t>
      </w:r>
      <w:r w:rsidR="00220F89">
        <w:t xml:space="preserve">enters the reactor </w:t>
      </w:r>
      <w:r w:rsidR="001D4277">
        <w:t xml:space="preserve">(R) </w:t>
      </w:r>
      <w:r w:rsidR="00220F89">
        <w:t>at 200 ºC</w:t>
      </w:r>
      <w:r w:rsidR="001559C8">
        <w:t xml:space="preserve"> </w:t>
      </w:r>
      <w:r w:rsidR="00BC29B3">
        <w:t>and</w:t>
      </w:r>
      <w:r w:rsidR="001559C8">
        <w:t xml:space="preserve"> a molar ratio H</w:t>
      </w:r>
      <w:r w:rsidR="001559C8" w:rsidRPr="001559C8">
        <w:rPr>
          <w:vertAlign w:val="subscript"/>
        </w:rPr>
        <w:t>2</w:t>
      </w:r>
      <w:r w:rsidR="001559C8">
        <w:t xml:space="preserve">/LA of </w:t>
      </w:r>
      <w:r w:rsidR="001559C8" w:rsidRPr="00C4318A">
        <w:rPr>
          <w:b/>
        </w:rPr>
        <w:t>2.5</w:t>
      </w:r>
      <w:r w:rsidR="00220F89">
        <w:t xml:space="preserve">, resulting in a temperature profile of </w:t>
      </w:r>
      <w:r w:rsidR="004D43C8">
        <w:t>112</w:t>
      </w:r>
      <w:r w:rsidR="00220F89">
        <w:t>-1</w:t>
      </w:r>
      <w:r w:rsidR="004D43C8">
        <w:t xml:space="preserve">61 </w:t>
      </w:r>
      <w:r w:rsidR="00220F89">
        <w:t xml:space="preserve">ºC </w:t>
      </w:r>
      <w:r w:rsidR="001559C8">
        <w:t>to avoid</w:t>
      </w:r>
      <w:r w:rsidR="00220F89">
        <w:t xml:space="preserve"> the undesired </w:t>
      </w:r>
      <w:proofErr w:type="spellStart"/>
      <w:r w:rsidR="00220F89">
        <w:t>overhydrogenolysis</w:t>
      </w:r>
      <w:proofErr w:type="spellEnd"/>
      <w:r w:rsidR="00220F89">
        <w:t xml:space="preserve"> of 1,2-PDO to </w:t>
      </w:r>
      <w:proofErr w:type="spellStart"/>
      <w:r w:rsidR="00220F89">
        <w:t>propanols</w:t>
      </w:r>
      <w:proofErr w:type="spellEnd"/>
      <w:r w:rsidR="00220F89">
        <w:t xml:space="preserve"> and propionic acid above 180 ºC (</w:t>
      </w:r>
      <w:proofErr w:type="spellStart"/>
      <w:r w:rsidR="00220F89">
        <w:t>Cortright</w:t>
      </w:r>
      <w:proofErr w:type="spellEnd"/>
      <w:r w:rsidR="00220F89">
        <w:t xml:space="preserve"> </w:t>
      </w:r>
      <w:r w:rsidR="00F1507D" w:rsidRPr="00F1507D">
        <w:rPr>
          <w:i/>
        </w:rPr>
        <w:t>et al.</w:t>
      </w:r>
      <w:r w:rsidR="00220F89">
        <w:t>, 2002)</w:t>
      </w:r>
      <w:r w:rsidR="001D4277">
        <w:t>. The resulting mixture (PROD) is separated in a flash drum (F1)</w:t>
      </w:r>
      <w:r w:rsidR="001559C8">
        <w:t xml:space="preserve">, </w:t>
      </w:r>
      <w:r w:rsidR="00BC29B3">
        <w:t>after which</w:t>
      </w:r>
      <w:r w:rsidR="001559C8">
        <w:t xml:space="preserve"> the unreacted H</w:t>
      </w:r>
      <w:r w:rsidR="001559C8" w:rsidRPr="001559C8">
        <w:rPr>
          <w:vertAlign w:val="subscript"/>
        </w:rPr>
        <w:t>2</w:t>
      </w:r>
      <w:r w:rsidR="001559C8">
        <w:t xml:space="preserve"> is compressed and heated to the required reactor inlet conditions. Given the high boiling point and the thermal sensitivity of LA (</w:t>
      </w:r>
      <w:proofErr w:type="spellStart"/>
      <w:r w:rsidR="001559C8">
        <w:t>Komesu</w:t>
      </w:r>
      <w:proofErr w:type="spellEnd"/>
      <w:r w:rsidR="005F3C79">
        <w:t xml:space="preserve"> </w:t>
      </w:r>
      <w:r w:rsidR="00F1507D" w:rsidRPr="00F1507D">
        <w:rPr>
          <w:i/>
        </w:rPr>
        <w:t>et al.</w:t>
      </w:r>
      <w:r w:rsidR="005F3C79">
        <w:t>, 2018) and the intermediate 1,2-PDO boiling point (188 ºC),</w:t>
      </w:r>
      <w:r w:rsidR="001559C8">
        <w:t xml:space="preserve"> in order to </w:t>
      </w:r>
      <w:r w:rsidR="005F3C79">
        <w:t xml:space="preserve">separate the 1,2-PDO product and unreacted LA, </w:t>
      </w:r>
      <w:r w:rsidR="002A19BB">
        <w:t>these are sent to a reactive distillation column (ACET). In the reactive distillation, 1,2-PDO</w:t>
      </w:r>
      <w:r w:rsidR="00B85F78">
        <w:t xml:space="preserve"> reversibly</w:t>
      </w:r>
      <w:r w:rsidR="002A19BB">
        <w:t xml:space="preserve"> reacts with excess acetaldehyde (</w:t>
      </w:r>
      <w:r w:rsidR="00684C1B">
        <w:t xml:space="preserve">AC/PDO = </w:t>
      </w:r>
      <w:r w:rsidR="002A19BB" w:rsidRPr="00C4318A">
        <w:rPr>
          <w:b/>
        </w:rPr>
        <w:t>8</w:t>
      </w:r>
      <w:r w:rsidR="002A19BB">
        <w:t xml:space="preserve">) to produce </w:t>
      </w:r>
      <w:r w:rsidR="002A19BB" w:rsidRPr="002A19BB">
        <w:t>2,4-dimethyl-1,3-dioxolane</w:t>
      </w:r>
      <w:r w:rsidR="002A19BB">
        <w:t xml:space="preserve"> (DMD), </w:t>
      </w:r>
      <w:r w:rsidR="00B85F78">
        <w:t xml:space="preserve">an acetal with </w:t>
      </w:r>
      <w:r w:rsidR="00426249">
        <w:t xml:space="preserve">a </w:t>
      </w:r>
      <w:r w:rsidR="00B85F78" w:rsidRPr="00426249">
        <w:rPr>
          <w:noProof/>
        </w:rPr>
        <w:t>lower</w:t>
      </w:r>
      <w:r w:rsidR="00B85F78">
        <w:t xml:space="preserve"> boiling point (92 ºC) (</w:t>
      </w:r>
      <w:proofErr w:type="spellStart"/>
      <w:r w:rsidR="00B85F78">
        <w:t>Dhale</w:t>
      </w:r>
      <w:proofErr w:type="spellEnd"/>
      <w:r w:rsidR="00B85F78">
        <w:t xml:space="preserve"> </w:t>
      </w:r>
      <w:r w:rsidR="00F1507D" w:rsidRPr="00F1507D">
        <w:rPr>
          <w:i/>
        </w:rPr>
        <w:t>et al.</w:t>
      </w:r>
      <w:r w:rsidR="00B85F78">
        <w:t xml:space="preserve"> 2004). Part of the bottom stream is recycled to the reactor to maintain the temperature profile and increase overall yield, and the distillate is separated in a distillation column (AC-REC) to recover the excess acetaldehyde.</w:t>
      </w:r>
    </w:p>
    <w:p w14:paraId="195BCD64" w14:textId="77777777" w:rsidR="00C96F16" w:rsidRDefault="00B85F78" w:rsidP="007606FB">
      <w:pPr>
        <w:pStyle w:val="CETBodytext"/>
      </w:pPr>
      <w:r>
        <w:t xml:space="preserve">The obtained DMD reacts with </w:t>
      </w:r>
      <w:r w:rsidR="00684C1B">
        <w:t xml:space="preserve">excess </w:t>
      </w:r>
      <w:r>
        <w:t xml:space="preserve">water </w:t>
      </w:r>
      <w:r w:rsidR="00684C1B">
        <w:t>(H</w:t>
      </w:r>
      <w:r w:rsidR="00684C1B" w:rsidRPr="00684C1B">
        <w:rPr>
          <w:vertAlign w:val="subscript"/>
        </w:rPr>
        <w:t>2</w:t>
      </w:r>
      <w:r w:rsidR="00684C1B">
        <w:t xml:space="preserve">O/DMD = </w:t>
      </w:r>
      <w:r w:rsidR="002F0656" w:rsidRPr="00D56932">
        <w:rPr>
          <w:b/>
        </w:rPr>
        <w:t>3</w:t>
      </w:r>
      <w:r w:rsidR="00684C1B">
        <w:t xml:space="preserve">) </w:t>
      </w:r>
      <w:r>
        <w:t xml:space="preserve">in a reactive distillation column (HYDR), producing 1,2-PDO and </w:t>
      </w:r>
      <w:r w:rsidR="006F3AE8">
        <w:t>acetaldehyde.</w:t>
      </w:r>
      <w:r w:rsidR="00C67BAE">
        <w:t xml:space="preserve"> </w:t>
      </w:r>
      <w:r w:rsidR="004028C3">
        <w:t xml:space="preserve">Unreacted DMD and acetaldehyde are recovered through distillation (AC-DMD-R), while high-purity </w:t>
      </w:r>
      <w:r w:rsidR="007B4CA5">
        <w:t>1,2-PDO</w:t>
      </w:r>
      <w:r w:rsidR="004028C3">
        <w:t xml:space="preserve"> (99.5 mol%) is obtained in a final distillation (PDO-REC).</w:t>
      </w:r>
      <w:r w:rsidR="00500F33">
        <w:t xml:space="preserve"> The process flowsheet is represented in Figure 1.</w:t>
      </w:r>
    </w:p>
    <w:p w14:paraId="71E32B20" w14:textId="77777777" w:rsidR="00C4318A" w:rsidRDefault="00C4318A" w:rsidP="007606FB">
      <w:pPr>
        <w:pStyle w:val="CETBodytext"/>
      </w:pPr>
    </w:p>
    <w:p w14:paraId="32FA5480" w14:textId="77777777" w:rsidR="00685E14" w:rsidRPr="00685E14" w:rsidRDefault="00685E14" w:rsidP="007606FB">
      <w:pPr>
        <w:pStyle w:val="CETBodytext"/>
        <w:rPr>
          <w:b/>
        </w:rPr>
      </w:pPr>
      <w:r w:rsidRPr="00685E14">
        <w:rPr>
          <w:b/>
        </w:rPr>
        <w:t>Scenario LA-2</w:t>
      </w:r>
    </w:p>
    <w:p w14:paraId="48887F4D" w14:textId="77777777" w:rsidR="00685E14" w:rsidRDefault="00685E14" w:rsidP="00685E14">
      <w:pPr>
        <w:pStyle w:val="CETBodytext"/>
      </w:pPr>
      <w:r>
        <w:t xml:space="preserve">Lactic acid (88 </w:t>
      </w:r>
      <w:proofErr w:type="spellStart"/>
      <w:r>
        <w:t>wt</w:t>
      </w:r>
      <w:proofErr w:type="spellEnd"/>
      <w:r>
        <w:t>%) at 25 ºC is mixed with H</w:t>
      </w:r>
      <w:r w:rsidRPr="00220F89">
        <w:rPr>
          <w:vertAlign w:val="subscript"/>
        </w:rPr>
        <w:t>2</w:t>
      </w:r>
      <w:r w:rsidRPr="00685E14">
        <w:t>,</w:t>
      </w:r>
      <w:r>
        <w:rPr>
          <w:vertAlign w:val="subscript"/>
        </w:rPr>
        <w:t xml:space="preserve"> </w:t>
      </w:r>
      <w:r>
        <w:t>which enters the reactor (R) at 200 ºC and a molar ratio H</w:t>
      </w:r>
      <w:r w:rsidRPr="001559C8">
        <w:rPr>
          <w:vertAlign w:val="subscript"/>
        </w:rPr>
        <w:t>2</w:t>
      </w:r>
      <w:r>
        <w:t xml:space="preserve">/LA of </w:t>
      </w:r>
      <w:r w:rsidRPr="007E7B37">
        <w:rPr>
          <w:b/>
        </w:rPr>
        <w:t>10</w:t>
      </w:r>
      <w:r>
        <w:t xml:space="preserve">, resulting in a </w:t>
      </w:r>
      <w:r w:rsidR="008C7957">
        <w:t xml:space="preserve">reactor </w:t>
      </w:r>
      <w:r>
        <w:t>temperature profile of 97-1</w:t>
      </w:r>
      <w:r w:rsidR="004D43C8">
        <w:t>80</w:t>
      </w:r>
      <w:r>
        <w:t>ºC</w:t>
      </w:r>
      <w:r w:rsidR="00C4318A">
        <w:t xml:space="preserve">. </w:t>
      </w:r>
      <w:r>
        <w:t>The resulting mixture (PROD) is separated in a flash drum (F1), after which the unreacted H</w:t>
      </w:r>
      <w:r w:rsidRPr="001559C8">
        <w:rPr>
          <w:vertAlign w:val="subscript"/>
        </w:rPr>
        <w:t>2</w:t>
      </w:r>
      <w:r>
        <w:t xml:space="preserve"> is compressed and heated to the required reactor inlet conditions. </w:t>
      </w:r>
      <w:r w:rsidR="00C4318A">
        <w:t xml:space="preserve">The liquid products </w:t>
      </w:r>
      <w:r>
        <w:t xml:space="preserve">are sent to a reactive distillation column (ACET). In the reactive distillation, 1,2-PDO reversibly reacts with excess acetaldehyde (AC/PDO = </w:t>
      </w:r>
      <w:r w:rsidR="00C4318A" w:rsidRPr="00C4318A">
        <w:rPr>
          <w:b/>
        </w:rPr>
        <w:t>7</w:t>
      </w:r>
      <w:r>
        <w:t xml:space="preserve">) to produce </w:t>
      </w:r>
      <w:r w:rsidRPr="002A19BB">
        <w:t>2,4-dimethyl-1,3-dioxolane</w:t>
      </w:r>
      <w:r>
        <w:t xml:space="preserve"> (DMD</w:t>
      </w:r>
      <w:r w:rsidR="00C4318A">
        <w:t xml:space="preserve">). </w:t>
      </w:r>
      <w:r>
        <w:t>The obtained DMD reacts with excess water (H</w:t>
      </w:r>
      <w:r w:rsidRPr="00684C1B">
        <w:rPr>
          <w:vertAlign w:val="subscript"/>
        </w:rPr>
        <w:t>2</w:t>
      </w:r>
      <w:r>
        <w:t xml:space="preserve">O/DMD = </w:t>
      </w:r>
      <w:r w:rsidR="00C83CF7" w:rsidRPr="002F0656">
        <w:rPr>
          <w:b/>
        </w:rPr>
        <w:t>3</w:t>
      </w:r>
      <w:r>
        <w:t xml:space="preserve">) in a reactive distillation column (HYDR), producing 1,2-PDO and acetaldehyde. </w:t>
      </w:r>
      <w:r w:rsidR="002F0656">
        <w:t>A</w:t>
      </w:r>
      <w:r>
        <w:t>cetaldehyde are recovered through distillation (AC-R</w:t>
      </w:r>
      <w:r w:rsidR="002F0656">
        <w:t>EC</w:t>
      </w:r>
      <w:r>
        <w:t>), while high-purity 1,2-PDO (99.5 mol%) is obtained in a final distillation (PDO-REC).</w:t>
      </w:r>
    </w:p>
    <w:p w14:paraId="37888DC8" w14:textId="77777777" w:rsidR="003E2865" w:rsidRDefault="003E2865" w:rsidP="007606FB">
      <w:pPr>
        <w:pStyle w:val="CETheadingx"/>
        <w:numPr>
          <w:ilvl w:val="0"/>
          <w:numId w:val="0"/>
        </w:numPr>
        <w:rPr>
          <w:lang w:val="en-GB"/>
        </w:rPr>
      </w:pPr>
      <w:r>
        <w:rPr>
          <w:noProof/>
          <w:lang w:val="en-GB"/>
        </w:rPr>
        <w:drawing>
          <wp:inline distT="0" distB="0" distL="0" distR="0" wp14:anchorId="51E600D9" wp14:editId="7FBB7718">
            <wp:extent cx="5580000" cy="2800383"/>
            <wp:effectExtent l="0" t="0" r="1905"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2427"/>
                    <a:stretch/>
                  </pic:blipFill>
                  <pic:spPr bwMode="auto">
                    <a:xfrm>
                      <a:off x="0" y="0"/>
                      <a:ext cx="5580000" cy="2800383"/>
                    </a:xfrm>
                    <a:prstGeom prst="rect">
                      <a:avLst/>
                    </a:prstGeom>
                    <a:noFill/>
                    <a:ln>
                      <a:noFill/>
                    </a:ln>
                    <a:extLst>
                      <a:ext uri="{53640926-AAD7-44D8-BBD7-CCE9431645EC}">
                        <a14:shadowObscured xmlns:a14="http://schemas.microsoft.com/office/drawing/2010/main"/>
                      </a:ext>
                    </a:extLst>
                  </pic:spPr>
                </pic:pic>
              </a:graphicData>
            </a:graphic>
          </wp:inline>
        </w:drawing>
      </w:r>
    </w:p>
    <w:p w14:paraId="0CB3FF36" w14:textId="77777777" w:rsidR="002E2220" w:rsidRDefault="00CB277E" w:rsidP="002E2220">
      <w:pPr>
        <w:pStyle w:val="CETCaption"/>
      </w:pPr>
      <w:r w:rsidRPr="00B57B36">
        <w:t xml:space="preserve">Figure 1: </w:t>
      </w:r>
      <w:r>
        <w:t>Process flowsheet for lactic acid hydrogenation simulation</w:t>
      </w:r>
      <w:r w:rsidR="00685E14">
        <w:t xml:space="preserve"> (Scenario LA-1)</w:t>
      </w:r>
      <w:r w:rsidR="000A4256">
        <w:t>:</w:t>
      </w:r>
      <w:r>
        <w:t xml:space="preserve"> 1) Hydrogenation and H</w:t>
      </w:r>
      <w:r w:rsidRPr="004D43C8">
        <w:rPr>
          <w:vertAlign w:val="subscript"/>
        </w:rPr>
        <w:t>2</w:t>
      </w:r>
      <w:r>
        <w:t xml:space="preserve"> recycle; 2) Acetalization and acetaldehyde recovery and recycle; 3) Acetal hydrolysis and acetaldehyde recycle; 4) Lactic acid recycle; 5) PDO purification.</w:t>
      </w:r>
    </w:p>
    <w:p w14:paraId="70526E04" w14:textId="77777777" w:rsidR="002E2220" w:rsidRPr="002E2220" w:rsidRDefault="002E2220" w:rsidP="002E2220">
      <w:pPr>
        <w:pStyle w:val="CETCaption"/>
      </w:pPr>
    </w:p>
    <w:p w14:paraId="25538086" w14:textId="77777777" w:rsidR="009C0DF6" w:rsidRPr="00CB277E" w:rsidRDefault="00D85812" w:rsidP="00D85812">
      <w:pPr>
        <w:pStyle w:val="CETheadingx"/>
        <w:rPr>
          <w:lang w:val="en-GB"/>
        </w:rPr>
      </w:pPr>
      <w:r>
        <w:lastRenderedPageBreak/>
        <w:t>Process Simulation</w:t>
      </w:r>
    </w:p>
    <w:p w14:paraId="0F764BE8" w14:textId="5A3CE8BD" w:rsidR="00D85812" w:rsidRDefault="00961FE3" w:rsidP="005351DC">
      <w:pPr>
        <w:pStyle w:val="CETBodytext"/>
      </w:pPr>
      <w:r w:rsidRPr="00961FE3">
        <w:rPr>
          <w:lang w:val="en-GB"/>
        </w:rPr>
        <w:t>Simulation</w:t>
      </w:r>
      <w:r>
        <w:rPr>
          <w:lang w:val="en-GB"/>
        </w:rPr>
        <w:t xml:space="preserve">s were performed </w:t>
      </w:r>
      <w:r w:rsidR="00D85812">
        <w:rPr>
          <w:lang w:val="en-GB"/>
        </w:rPr>
        <w:t>using software Aspen Plus</w:t>
      </w:r>
      <w:r w:rsidR="00D85812" w:rsidRPr="00D85812">
        <w:rPr>
          <w:vertAlign w:val="superscript"/>
          <w:lang w:val="en-GB"/>
        </w:rPr>
        <w:t>®</w:t>
      </w:r>
      <w:r w:rsidR="00D85812">
        <w:rPr>
          <w:lang w:val="en-GB"/>
        </w:rPr>
        <w:t xml:space="preserve"> v8.6, with </w:t>
      </w:r>
      <w:r>
        <w:rPr>
          <w:lang w:val="en-GB"/>
        </w:rPr>
        <w:t>UNIQUAC for liquid-phase activity and Redlich-</w:t>
      </w:r>
      <w:proofErr w:type="spellStart"/>
      <w:r>
        <w:rPr>
          <w:lang w:val="en-GB"/>
        </w:rPr>
        <w:t>Kwong</w:t>
      </w:r>
      <w:proofErr w:type="spellEnd"/>
      <w:r>
        <w:rPr>
          <w:lang w:val="en-GB"/>
        </w:rPr>
        <w:t xml:space="preserve"> Equation of State for vapor phase</w:t>
      </w:r>
      <w:r w:rsidR="00BC29B3">
        <w:rPr>
          <w:lang w:val="en-GB"/>
        </w:rPr>
        <w:t xml:space="preserve"> (UNIQ-RK)</w:t>
      </w:r>
      <w:r w:rsidR="005577C2">
        <w:rPr>
          <w:lang w:val="en-GB"/>
        </w:rPr>
        <w:t xml:space="preserve"> calculations</w:t>
      </w:r>
      <w:r>
        <w:rPr>
          <w:lang w:val="en-GB"/>
        </w:rPr>
        <w:t xml:space="preserve">. The pure component and binary interaction parameters employed were those available on the software database and those </w:t>
      </w:r>
      <w:r w:rsidR="00E93520">
        <w:rPr>
          <w:lang w:val="en-GB"/>
        </w:rPr>
        <w:t xml:space="preserve">reported by </w:t>
      </w:r>
      <w:proofErr w:type="spellStart"/>
      <w:r w:rsidR="00E93520">
        <w:rPr>
          <w:lang w:val="en-GB"/>
        </w:rPr>
        <w:t>Chopade</w:t>
      </w:r>
      <w:proofErr w:type="spellEnd"/>
      <w:r w:rsidR="00E93520">
        <w:rPr>
          <w:lang w:val="en-GB"/>
        </w:rPr>
        <w:t xml:space="preserve"> </w:t>
      </w:r>
      <w:r w:rsidR="00F1507D" w:rsidRPr="00F1507D">
        <w:rPr>
          <w:i/>
          <w:lang w:val="en-GB"/>
        </w:rPr>
        <w:t>et al.</w:t>
      </w:r>
      <w:r w:rsidR="00E93520">
        <w:rPr>
          <w:lang w:val="en-GB"/>
        </w:rPr>
        <w:t xml:space="preserve"> </w:t>
      </w:r>
      <w:r w:rsidR="00E93520" w:rsidRPr="00D85812">
        <w:t xml:space="preserve">(2003) for </w:t>
      </w:r>
      <w:r w:rsidR="00D85812" w:rsidRPr="00D85812">
        <w:t>DMD and water. When binary parameters were not a</w:t>
      </w:r>
      <w:r w:rsidR="00D85812">
        <w:t>vailable, th</w:t>
      </w:r>
      <w:r w:rsidR="00BC29B3">
        <w:t>ey</w:t>
      </w:r>
      <w:r w:rsidR="00D85812">
        <w:t xml:space="preserve"> were estimated using UNIFAC group contribution method.</w:t>
      </w:r>
    </w:p>
    <w:p w14:paraId="484AB1BD" w14:textId="77777777" w:rsidR="005351DC" w:rsidRPr="00C51DFC" w:rsidRDefault="00D85812" w:rsidP="005351DC">
      <w:pPr>
        <w:pStyle w:val="CETBodytext"/>
      </w:pPr>
      <w:r>
        <w:t xml:space="preserve">LA hydrogenolysis simulation was based on the kinetic model reported by Xi </w:t>
      </w:r>
      <w:r w:rsidR="00F1507D" w:rsidRPr="00F1507D">
        <w:rPr>
          <w:i/>
        </w:rPr>
        <w:t>et al.</w:t>
      </w:r>
      <w:r>
        <w:t xml:space="preserve"> (2011) </w:t>
      </w:r>
      <w:r w:rsidR="00A63628">
        <w:t xml:space="preserve">for reaction over Ru/AC catalyst in trickle-bed reactors </w:t>
      </w:r>
      <w:r w:rsidR="00720A74">
        <w:t xml:space="preserve">at 83 bar </w:t>
      </w:r>
      <w:r>
        <w:t xml:space="preserve">and do not consider the formation of other byproducts. The kinetic parameters </w:t>
      </w:r>
      <w:r w:rsidRPr="00400922">
        <w:rPr>
          <w:noProof/>
        </w:rPr>
        <w:t>are presented</w:t>
      </w:r>
      <w:r>
        <w:t xml:space="preserve"> in Table 1</w:t>
      </w:r>
      <w:r w:rsidR="0066092B">
        <w:t xml:space="preserve"> and the main simulation parameters employed are listed in Table 2.</w:t>
      </w:r>
      <w:r w:rsidR="00C51DFC">
        <w:t xml:space="preserve"> Flash temperature for H</w:t>
      </w:r>
      <w:r w:rsidR="00C51DFC">
        <w:rPr>
          <w:vertAlign w:val="subscript"/>
        </w:rPr>
        <w:t>2</w:t>
      </w:r>
      <w:r w:rsidR="00C51DFC">
        <w:t xml:space="preserve"> recovery was determined in order to obtain a 99 mol % H</w:t>
      </w:r>
      <w:r w:rsidR="00C51DFC" w:rsidRPr="00C51DFC">
        <w:rPr>
          <w:vertAlign w:val="subscript"/>
        </w:rPr>
        <w:t>2</w:t>
      </w:r>
      <w:r w:rsidR="00C51DFC">
        <w:t xml:space="preserve"> stream.</w:t>
      </w:r>
    </w:p>
    <w:p w14:paraId="74916ACF" w14:textId="77777777" w:rsidR="00FA6D05" w:rsidRPr="00B57B36" w:rsidRDefault="00FA6D05" w:rsidP="00FA6D05">
      <w:pPr>
        <w:pStyle w:val="CETTabletitle"/>
      </w:pPr>
      <w:r w:rsidRPr="00B57B36">
        <w:t xml:space="preserve">Table </w:t>
      </w:r>
      <w:r w:rsidR="00FE216A">
        <w:t>1</w:t>
      </w:r>
      <w:r w:rsidRPr="00B57B36">
        <w:t xml:space="preserve">: </w:t>
      </w:r>
      <w:r>
        <w:t xml:space="preserve">Kinetic model for lactic acid hydrogenolysis over Ru (Xi </w:t>
      </w:r>
      <w:r w:rsidR="00F1507D" w:rsidRPr="00F1507D">
        <w:t>et al.</w:t>
      </w:r>
      <w:r>
        <w:t xml:space="preserve"> 2011)</w:t>
      </w:r>
    </w:p>
    <w:tbl>
      <w:tblPr>
        <w:tblW w:w="5000" w:type="pct"/>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1843"/>
        <w:gridCol w:w="1357"/>
        <w:gridCol w:w="1441"/>
        <w:gridCol w:w="1355"/>
        <w:gridCol w:w="1441"/>
        <w:gridCol w:w="1350"/>
      </w:tblGrid>
      <w:tr w:rsidR="007A1185" w:rsidRPr="00B57B36" w14:paraId="6208F319" w14:textId="77777777" w:rsidTr="00017917">
        <w:tc>
          <w:tcPr>
            <w:tcW w:w="2641" w:type="pct"/>
            <w:gridSpan w:val="3"/>
            <w:tcBorders>
              <w:top w:val="single" w:sz="12" w:space="0" w:color="008000"/>
              <w:bottom w:val="single" w:sz="6" w:space="0" w:color="008000"/>
            </w:tcBorders>
            <w:shd w:val="clear" w:color="auto" w:fill="FFFFFF"/>
            <w:vAlign w:val="center"/>
          </w:tcPr>
          <w:p w14:paraId="09BB8E86" w14:textId="77777777" w:rsidR="007A1185" w:rsidRPr="00B57B36" w:rsidRDefault="007A1185" w:rsidP="007A1185">
            <w:pPr>
              <w:pStyle w:val="CETBodytext"/>
              <w:jc w:val="center"/>
              <w:rPr>
                <w:lang w:val="en-GB"/>
              </w:rPr>
            </w:pPr>
            <w:r>
              <w:rPr>
                <w:lang w:val="en-GB"/>
              </w:rPr>
              <w:t>Reaction</w:t>
            </w:r>
          </w:p>
        </w:tc>
        <w:tc>
          <w:tcPr>
            <w:tcW w:w="2359" w:type="pct"/>
            <w:gridSpan w:val="3"/>
            <w:tcBorders>
              <w:top w:val="single" w:sz="12" w:space="0" w:color="008000"/>
              <w:bottom w:val="single" w:sz="6" w:space="0" w:color="008000"/>
            </w:tcBorders>
            <w:shd w:val="clear" w:color="auto" w:fill="FFFFFF"/>
            <w:vAlign w:val="center"/>
          </w:tcPr>
          <w:p w14:paraId="7B575FF3" w14:textId="77777777" w:rsidR="007A1185" w:rsidRPr="00B57B36" w:rsidRDefault="007A1185" w:rsidP="007A1185">
            <w:pPr>
              <w:pStyle w:val="CETBodytext"/>
              <w:ind w:right="-1"/>
              <w:jc w:val="center"/>
              <w:rPr>
                <w:rFonts w:cs="Arial"/>
                <w:szCs w:val="18"/>
                <w:lang w:val="en-GB"/>
              </w:rPr>
            </w:pPr>
            <w:r>
              <w:rPr>
                <w:rFonts w:cs="Arial"/>
                <w:szCs w:val="18"/>
                <w:lang w:val="en-GB"/>
              </w:rPr>
              <w:t>Rate Equation</w:t>
            </w:r>
          </w:p>
        </w:tc>
      </w:tr>
      <w:tr w:rsidR="007A1185" w:rsidRPr="00B57B36" w14:paraId="0E2B49FF" w14:textId="77777777" w:rsidTr="000A4256">
        <w:tc>
          <w:tcPr>
            <w:tcW w:w="2641" w:type="pct"/>
            <w:gridSpan w:val="3"/>
            <w:tcBorders>
              <w:top w:val="single" w:sz="6" w:space="0" w:color="008000"/>
              <w:bottom w:val="single" w:sz="6" w:space="0" w:color="008000"/>
            </w:tcBorders>
            <w:shd w:val="clear" w:color="auto" w:fill="FFFFFF"/>
            <w:vAlign w:val="center"/>
          </w:tcPr>
          <w:p w14:paraId="0C62EFCF" w14:textId="77777777" w:rsidR="007A1185" w:rsidRPr="00BA41F0" w:rsidRDefault="00BA41F0" w:rsidP="00BA41F0">
            <w:pPr>
              <w:pStyle w:val="CETEquation"/>
            </w:pPr>
            <m:oMathPara>
              <m:oMath>
                <m:r>
                  <m:rPr>
                    <m:sty m:val="p"/>
                  </m:rPr>
                  <w:rPr>
                    <w:rFonts w:ascii="Cambria Math" w:hAnsi="Cambria Math"/>
                  </w:rPr>
                  <m:t>LA+2</m:t>
                </m:r>
                <m:sSub>
                  <m:sSubPr>
                    <m:ctrlPr>
                      <w:rPr>
                        <w:rFonts w:ascii="Cambria Math" w:hAnsi="Cambria Math"/>
                      </w:rPr>
                    </m:ctrlPr>
                  </m:sSubPr>
                  <m:e>
                    <m:r>
                      <m:rPr>
                        <m:sty m:val="p"/>
                      </m:rPr>
                      <w:rPr>
                        <w:rFonts w:ascii="Cambria Math" w:hAnsi="Cambria Math"/>
                      </w:rPr>
                      <m:t>H</m:t>
                    </m:r>
                  </m:e>
                  <m:sub>
                    <m:r>
                      <m:rPr>
                        <m:sty m:val="p"/>
                      </m:rPr>
                      <w:rPr>
                        <w:rFonts w:ascii="Cambria Math" w:hAnsi="Cambria Math"/>
                      </w:rPr>
                      <m:t>2</m:t>
                    </m:r>
                  </m:sub>
                </m:sSub>
                <m:box>
                  <m:boxPr>
                    <m:opEmu m:val="1"/>
                    <m:ctrlPr>
                      <w:rPr>
                        <w:rFonts w:ascii="Cambria Math" w:hAnsi="Cambria Math"/>
                      </w:rPr>
                    </m:ctrlPr>
                  </m:boxPr>
                  <m:e>
                    <m:groupChr>
                      <m:groupChrPr>
                        <m:chr m:val="→"/>
                        <m:vertJc m:val="bot"/>
                        <m:ctrlPr>
                          <w:rPr>
                            <w:rFonts w:ascii="Cambria Math" w:hAnsi="Cambria Math"/>
                          </w:rPr>
                        </m:ctrlPr>
                      </m:groupChrPr>
                      <m:e>
                        <m:sSub>
                          <m:sSubPr>
                            <m:ctrlPr>
                              <w:rPr>
                                <w:rFonts w:ascii="Cambria Math" w:hAnsi="Cambria Math"/>
                              </w:rPr>
                            </m:ctrlPr>
                          </m:sSubPr>
                          <m:e>
                            <m:r>
                              <m:rPr>
                                <m:sty m:val="p"/>
                              </m:rPr>
                              <w:rPr>
                                <w:rFonts w:ascii="Cambria Math" w:hAnsi="Cambria Math"/>
                              </w:rPr>
                              <m:t>r</m:t>
                            </m:r>
                          </m:e>
                          <m:sub>
                            <m:r>
                              <m:rPr>
                                <m:sty m:val="p"/>
                              </m:rPr>
                              <w:rPr>
                                <w:rFonts w:ascii="Cambria Math" w:hAnsi="Cambria Math"/>
                              </w:rPr>
                              <m:t>1</m:t>
                            </m:r>
                          </m:sub>
                        </m:sSub>
                      </m:e>
                    </m:groupChr>
                  </m:e>
                </m:box>
                <m:r>
                  <m:rPr>
                    <m:sty m:val="p"/>
                  </m:rPr>
                  <w:rPr>
                    <w:rFonts w:ascii="Cambria Math" w:hAnsi="Cambria Math"/>
                  </w:rPr>
                  <m:t>PDO+</m:t>
                </m:r>
                <m:sSub>
                  <m:sSubPr>
                    <m:ctrlPr>
                      <w:rPr>
                        <w:rFonts w:ascii="Cambria Math" w:hAnsi="Cambria Math"/>
                      </w:rPr>
                    </m:ctrlPr>
                  </m:sSubPr>
                  <m:e>
                    <m:r>
                      <m:rPr>
                        <m:sty m:val="p"/>
                      </m:rPr>
                      <w:rPr>
                        <w:rFonts w:ascii="Cambria Math" w:hAnsi="Cambria Math"/>
                      </w:rPr>
                      <m:t>H</m:t>
                    </m:r>
                  </m:e>
                  <m:sub>
                    <m:r>
                      <m:rPr>
                        <m:sty m:val="p"/>
                      </m:rPr>
                      <w:rPr>
                        <w:rFonts w:ascii="Cambria Math" w:hAnsi="Cambria Math"/>
                      </w:rPr>
                      <m:t>2</m:t>
                    </m:r>
                  </m:sub>
                </m:sSub>
                <m:r>
                  <m:rPr>
                    <m:sty m:val="p"/>
                  </m:rPr>
                  <w:rPr>
                    <w:rFonts w:ascii="Cambria Math" w:hAnsi="Cambria Math"/>
                  </w:rPr>
                  <m:t>O</m:t>
                </m:r>
              </m:oMath>
            </m:oMathPara>
          </w:p>
        </w:tc>
        <w:tc>
          <w:tcPr>
            <w:tcW w:w="2359" w:type="pct"/>
            <w:gridSpan w:val="3"/>
            <w:tcBorders>
              <w:top w:val="single" w:sz="6" w:space="0" w:color="008000"/>
              <w:bottom w:val="single" w:sz="6" w:space="0" w:color="008000"/>
            </w:tcBorders>
            <w:shd w:val="clear" w:color="auto" w:fill="FFFFFF"/>
            <w:vAlign w:val="center"/>
          </w:tcPr>
          <w:p w14:paraId="4A9696FD" w14:textId="77777777" w:rsidR="007A1185" w:rsidRPr="00BA41F0" w:rsidRDefault="00150B31" w:rsidP="00BA41F0">
            <w:pPr>
              <w:pStyle w:val="CETEquation"/>
            </w:pPr>
            <m:oMathPara>
              <m:oMath>
                <m:sSub>
                  <m:sSubPr>
                    <m:ctrlPr>
                      <w:rPr>
                        <w:rFonts w:ascii="Cambria Math" w:hAnsi="Cambria Math"/>
                      </w:rPr>
                    </m:ctrlPr>
                  </m:sSubPr>
                  <m:e>
                    <m:r>
                      <m:rPr>
                        <m:sty m:val="p"/>
                      </m:rPr>
                      <w:rPr>
                        <w:rFonts w:ascii="Cambria Math" w:hAnsi="Cambria Math"/>
                      </w:rPr>
                      <m:t>r</m:t>
                    </m:r>
                  </m:e>
                  <m:sub>
                    <m:r>
                      <m:rPr>
                        <m:sty m:val="p"/>
                      </m:rPr>
                      <w:rPr>
                        <w:rFonts w:ascii="Cambria Math" w:hAnsi="Cambria Math"/>
                      </w:rPr>
                      <m:t>1</m:t>
                    </m:r>
                  </m:sub>
                </m:sSub>
                <m:r>
                  <m:rPr>
                    <m:sty m:val="p"/>
                  </m:rPr>
                  <w:rPr>
                    <w:rFonts w:ascii="Cambria Math" w:hAnsi="Cambria Math"/>
                  </w:rPr>
                  <m:t>=</m:t>
                </m:r>
                <m:f>
                  <m:fPr>
                    <m:ctrlPr>
                      <w:rPr>
                        <w:rFonts w:ascii="Cambria Math" w:hAnsi="Cambria Math"/>
                      </w:rPr>
                    </m:ctrlPr>
                  </m:fPr>
                  <m:num>
                    <m:r>
                      <m:rPr>
                        <m:sty m:val="p"/>
                      </m:rPr>
                      <w:rPr>
                        <w:rFonts w:ascii="Cambria Math" w:hAnsi="Cambria Math"/>
                      </w:rPr>
                      <m:t>k</m:t>
                    </m:r>
                    <m:sSub>
                      <m:sSubPr>
                        <m:ctrlPr>
                          <w:rPr>
                            <w:rFonts w:ascii="Cambria Math" w:hAnsi="Cambria Math"/>
                          </w:rPr>
                        </m:ctrlPr>
                      </m:sSubPr>
                      <m:e>
                        <m:d>
                          <m:dPr>
                            <m:ctrlPr>
                              <w:rPr>
                                <w:rFonts w:ascii="Cambria Math" w:hAnsi="Cambria Math"/>
                              </w:rPr>
                            </m:ctrlPr>
                          </m:dPr>
                          <m:e>
                            <m:sSub>
                              <m:sSubPr>
                                <m:ctrlPr>
                                  <w:rPr>
                                    <w:rFonts w:ascii="Cambria Math" w:hAnsi="Cambria Math"/>
                                  </w:rPr>
                                </m:ctrlPr>
                              </m:sSubPr>
                              <m:e>
                                <m:r>
                                  <m:rPr>
                                    <m:sty m:val="p"/>
                                  </m:rPr>
                                  <w:rPr>
                                    <w:rFonts w:ascii="Cambria Math" w:hAnsi="Cambria Math"/>
                                  </w:rPr>
                                  <m:t>C</m:t>
                                </m:r>
                              </m:e>
                              <m:sub>
                                <m:r>
                                  <m:rPr>
                                    <m:sty m:val="p"/>
                                  </m:rPr>
                                  <w:rPr>
                                    <w:rFonts w:ascii="Cambria Math" w:hAnsi="Cambria Math"/>
                                  </w:rPr>
                                  <m:t>LA</m:t>
                                </m:r>
                              </m:sub>
                            </m:sSub>
                          </m:e>
                        </m:d>
                      </m:e>
                      <m:sub>
                        <m:r>
                          <m:rPr>
                            <m:sty m:val="p"/>
                          </m:rPr>
                          <w:rPr>
                            <w:rFonts w:ascii="Cambria Math" w:hAnsi="Cambria Math"/>
                          </w:rPr>
                          <m:t>L</m:t>
                        </m:r>
                      </m:sub>
                    </m:sSub>
                    <m:sSub>
                      <m:sSubPr>
                        <m:ctrlPr>
                          <w:rPr>
                            <w:rFonts w:ascii="Cambria Math" w:hAnsi="Cambria Math"/>
                          </w:rPr>
                        </m:ctrlPr>
                      </m:sSubPr>
                      <m:e>
                        <m:r>
                          <m:rPr>
                            <m:sty m:val="p"/>
                          </m:rPr>
                          <w:rPr>
                            <w:rFonts w:ascii="Cambria Math" w:hAnsi="Cambria Math"/>
                          </w:rPr>
                          <m:t>(C</m:t>
                        </m:r>
                      </m:e>
                      <m:sub>
                        <m:sSub>
                          <m:sSubPr>
                            <m:ctrlPr>
                              <w:rPr>
                                <w:rFonts w:ascii="Cambria Math" w:hAnsi="Cambria Math"/>
                              </w:rPr>
                            </m:ctrlPr>
                          </m:sSubPr>
                          <m:e>
                            <m:r>
                              <m:rPr>
                                <m:sty m:val="p"/>
                              </m:rPr>
                              <w:rPr>
                                <w:rFonts w:ascii="Cambria Math" w:hAnsi="Cambria Math"/>
                              </w:rPr>
                              <m:t>H</m:t>
                            </m:r>
                          </m:e>
                          <m:sub>
                            <m:r>
                              <m:rPr>
                                <m:sty m:val="p"/>
                              </m:rPr>
                              <w:rPr>
                                <w:rFonts w:ascii="Cambria Math" w:hAnsi="Cambria Math"/>
                              </w:rPr>
                              <m:t>2</m:t>
                            </m:r>
                          </m:sub>
                        </m:sSub>
                      </m:sub>
                    </m:sSub>
                    <m:sSub>
                      <m:sSubPr>
                        <m:ctrlPr>
                          <w:rPr>
                            <w:rFonts w:ascii="Cambria Math" w:hAnsi="Cambria Math"/>
                          </w:rPr>
                        </m:ctrlPr>
                      </m:sSubPr>
                      <m:e>
                        <m:r>
                          <m:rPr>
                            <m:sty m:val="p"/>
                          </m:rPr>
                          <w:rPr>
                            <w:rFonts w:ascii="Cambria Math" w:hAnsi="Cambria Math"/>
                          </w:rPr>
                          <m:t>)</m:t>
                        </m:r>
                      </m:e>
                      <m:sub>
                        <m:r>
                          <m:rPr>
                            <m:sty m:val="p"/>
                          </m:rPr>
                          <w:rPr>
                            <w:rFonts w:ascii="Cambria Math" w:hAnsi="Cambria Math"/>
                          </w:rPr>
                          <m:t>L</m:t>
                        </m:r>
                      </m:sub>
                    </m:sSub>
                  </m:num>
                  <m:den>
                    <m:sSup>
                      <m:sSupPr>
                        <m:ctrlPr>
                          <w:rPr>
                            <w:rFonts w:ascii="Cambria Math" w:hAnsi="Cambria Math"/>
                          </w:rPr>
                        </m:ctrlPr>
                      </m:sSupPr>
                      <m:e>
                        <m:d>
                          <m:dPr>
                            <m:ctrlPr>
                              <w:rPr>
                                <w:rFonts w:ascii="Cambria Math" w:hAnsi="Cambria Math"/>
                              </w:rPr>
                            </m:ctrlPr>
                          </m:dPr>
                          <m:e>
                            <m:r>
                              <m:rPr>
                                <m:sty m:val="p"/>
                              </m:rPr>
                              <w:rPr>
                                <w:rFonts w:ascii="Cambria Math" w:hAnsi="Cambria Math"/>
                              </w:rPr>
                              <m:t>1+</m:t>
                            </m:r>
                            <m:sSub>
                              <m:sSubPr>
                                <m:ctrlPr>
                                  <w:rPr>
                                    <w:rFonts w:ascii="Cambria Math" w:hAnsi="Cambria Math"/>
                                  </w:rPr>
                                </m:ctrlPr>
                              </m:sSubPr>
                              <m:e>
                                <m:r>
                                  <m:rPr>
                                    <m:sty m:val="p"/>
                                  </m:rPr>
                                  <w:rPr>
                                    <w:rFonts w:ascii="Cambria Math" w:hAnsi="Cambria Math"/>
                                  </w:rPr>
                                  <m:t>K</m:t>
                                </m:r>
                              </m:e>
                              <m:sub>
                                <m:sSub>
                                  <m:sSubPr>
                                    <m:ctrlPr>
                                      <w:rPr>
                                        <w:rFonts w:ascii="Cambria Math" w:hAnsi="Cambria Math"/>
                                      </w:rPr>
                                    </m:ctrlPr>
                                  </m:sSubPr>
                                  <m:e>
                                    <m:r>
                                      <m:rPr>
                                        <m:sty m:val="p"/>
                                      </m:rPr>
                                      <w:rPr>
                                        <w:rFonts w:ascii="Cambria Math" w:hAnsi="Cambria Math"/>
                                      </w:rPr>
                                      <m:t>H</m:t>
                                    </m:r>
                                  </m:e>
                                  <m:sub>
                                    <m:r>
                                      <m:rPr>
                                        <m:sty m:val="p"/>
                                      </m:rPr>
                                      <w:rPr>
                                        <w:rFonts w:ascii="Cambria Math" w:hAnsi="Cambria Math"/>
                                      </w:rPr>
                                      <m:t>2</m:t>
                                    </m:r>
                                  </m:sub>
                                </m:sSub>
                              </m:sub>
                            </m:sSub>
                            <m:sSub>
                              <m:sSubPr>
                                <m:ctrlPr>
                                  <w:rPr>
                                    <w:rFonts w:ascii="Cambria Math" w:hAnsi="Cambria Math"/>
                                  </w:rPr>
                                </m:ctrlPr>
                              </m:sSubPr>
                              <m:e>
                                <m:r>
                                  <m:rPr>
                                    <m:sty m:val="p"/>
                                  </m:rPr>
                                  <w:rPr>
                                    <w:rFonts w:ascii="Cambria Math" w:hAnsi="Cambria Math"/>
                                  </w:rPr>
                                  <m:t>(C</m:t>
                                </m:r>
                              </m:e>
                              <m:sub>
                                <m:sSub>
                                  <m:sSubPr>
                                    <m:ctrlPr>
                                      <w:rPr>
                                        <w:rFonts w:ascii="Cambria Math" w:hAnsi="Cambria Math"/>
                                      </w:rPr>
                                    </m:ctrlPr>
                                  </m:sSubPr>
                                  <m:e>
                                    <m:r>
                                      <m:rPr>
                                        <m:sty m:val="p"/>
                                      </m:rPr>
                                      <w:rPr>
                                        <w:rFonts w:ascii="Cambria Math" w:hAnsi="Cambria Math"/>
                                      </w:rPr>
                                      <m:t>H</m:t>
                                    </m:r>
                                  </m:e>
                                  <m:sub>
                                    <m:r>
                                      <m:rPr>
                                        <m:sty m:val="p"/>
                                      </m:rPr>
                                      <w:rPr>
                                        <w:rFonts w:ascii="Cambria Math" w:hAnsi="Cambria Math"/>
                                      </w:rPr>
                                      <m:t>2</m:t>
                                    </m:r>
                                  </m:sub>
                                </m:sSub>
                              </m:sub>
                            </m:sSub>
                            <m:sSub>
                              <m:sSubPr>
                                <m:ctrlPr>
                                  <w:rPr>
                                    <w:rFonts w:ascii="Cambria Math" w:hAnsi="Cambria Math"/>
                                  </w:rPr>
                                </m:ctrlPr>
                              </m:sSubPr>
                              <m:e>
                                <m:r>
                                  <m:rPr>
                                    <m:sty m:val="p"/>
                                  </m:rPr>
                                  <w:rPr>
                                    <w:rFonts w:ascii="Cambria Math" w:hAnsi="Cambria Math"/>
                                  </w:rPr>
                                  <m:t>)</m:t>
                                </m:r>
                              </m:e>
                              <m:sub>
                                <m:r>
                                  <m:rPr>
                                    <m:sty m:val="p"/>
                                  </m:rPr>
                                  <w:rPr>
                                    <w:rFonts w:ascii="Cambria Math" w:hAnsi="Cambria Math"/>
                                  </w:rPr>
                                  <m:t>L</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K</m:t>
                                </m:r>
                              </m:e>
                              <m:sub>
                                <m:r>
                                  <m:rPr>
                                    <m:sty m:val="p"/>
                                  </m:rPr>
                                  <w:rPr>
                                    <w:rFonts w:ascii="Cambria Math" w:hAnsi="Cambria Math"/>
                                  </w:rPr>
                                  <m:t>LA</m:t>
                                </m:r>
                              </m:sub>
                            </m:sSub>
                            <m:sSub>
                              <m:sSubPr>
                                <m:ctrlPr>
                                  <w:rPr>
                                    <w:rFonts w:ascii="Cambria Math" w:hAnsi="Cambria Math"/>
                                  </w:rPr>
                                </m:ctrlPr>
                              </m:sSubPr>
                              <m:e>
                                <m:r>
                                  <m:rPr>
                                    <m:sty m:val="p"/>
                                  </m:rPr>
                                  <w:rPr>
                                    <w:rFonts w:ascii="Cambria Math" w:hAnsi="Cambria Math"/>
                                  </w:rPr>
                                  <m:t>(C</m:t>
                                </m:r>
                              </m:e>
                              <m:sub>
                                <m:r>
                                  <m:rPr>
                                    <m:sty m:val="p"/>
                                  </m:rPr>
                                  <w:rPr>
                                    <w:rFonts w:ascii="Cambria Math" w:hAnsi="Cambria Math"/>
                                  </w:rPr>
                                  <m:t>LA</m:t>
                                </m:r>
                              </m:sub>
                            </m:sSub>
                            <m:sSub>
                              <m:sSubPr>
                                <m:ctrlPr>
                                  <w:rPr>
                                    <w:rFonts w:ascii="Cambria Math" w:hAnsi="Cambria Math"/>
                                  </w:rPr>
                                </m:ctrlPr>
                              </m:sSubPr>
                              <m:e>
                                <m:r>
                                  <m:rPr>
                                    <m:sty m:val="p"/>
                                  </m:rPr>
                                  <w:rPr>
                                    <w:rFonts w:ascii="Cambria Math" w:hAnsi="Cambria Math"/>
                                  </w:rPr>
                                  <m:t>)</m:t>
                                </m:r>
                              </m:e>
                              <m:sub>
                                <m:r>
                                  <m:rPr>
                                    <m:sty m:val="p"/>
                                  </m:rPr>
                                  <w:rPr>
                                    <w:rFonts w:ascii="Cambria Math" w:hAnsi="Cambria Math"/>
                                  </w:rPr>
                                  <m:t>L</m:t>
                                </m:r>
                              </m:sub>
                            </m:sSub>
                          </m:e>
                        </m:d>
                      </m:e>
                      <m:sup>
                        <m:r>
                          <m:rPr>
                            <m:sty m:val="p"/>
                          </m:rPr>
                          <w:rPr>
                            <w:rFonts w:ascii="Cambria Math" w:hAnsi="Cambria Math"/>
                          </w:rPr>
                          <m:t>2</m:t>
                        </m:r>
                      </m:sup>
                    </m:sSup>
                  </m:den>
                </m:f>
              </m:oMath>
            </m:oMathPara>
          </w:p>
        </w:tc>
      </w:tr>
      <w:tr w:rsidR="007A1185" w:rsidRPr="00B57B36" w14:paraId="15D76C9A" w14:textId="77777777" w:rsidTr="000A4256">
        <w:tc>
          <w:tcPr>
            <w:tcW w:w="5000" w:type="pct"/>
            <w:gridSpan w:val="6"/>
            <w:tcBorders>
              <w:top w:val="single" w:sz="4" w:space="0" w:color="auto"/>
              <w:bottom w:val="nil"/>
            </w:tcBorders>
            <w:shd w:val="clear" w:color="auto" w:fill="FFFFFF"/>
            <w:vAlign w:val="center"/>
          </w:tcPr>
          <w:p w14:paraId="2DC26633" w14:textId="77777777" w:rsidR="007A1185" w:rsidRPr="000A4256" w:rsidRDefault="007A1185" w:rsidP="000A4256">
            <w:pPr>
              <w:pStyle w:val="CETBodytext"/>
              <w:jc w:val="center"/>
              <w:rPr>
                <w:lang w:val="en-GB"/>
              </w:rPr>
            </w:pPr>
            <w:r>
              <w:rPr>
                <w:lang w:val="en-GB"/>
              </w:rPr>
              <w:t>Rate Parameters</w:t>
            </w:r>
          </w:p>
        </w:tc>
      </w:tr>
      <w:tr w:rsidR="007A1185" w:rsidRPr="00B57B36" w14:paraId="3F2304FC" w14:textId="77777777" w:rsidTr="000A4256">
        <w:tc>
          <w:tcPr>
            <w:tcW w:w="1821" w:type="pct"/>
            <w:gridSpan w:val="2"/>
            <w:tcBorders>
              <w:top w:val="nil"/>
            </w:tcBorders>
            <w:shd w:val="clear" w:color="auto" w:fill="FFFFFF"/>
            <w:vAlign w:val="center"/>
          </w:tcPr>
          <w:p w14:paraId="046DFAA9" w14:textId="77777777" w:rsidR="007A1185" w:rsidRPr="000A4256" w:rsidRDefault="00BA41F0" w:rsidP="000A4256">
            <w:pPr>
              <w:pStyle w:val="CETBodytext"/>
              <w:jc w:val="center"/>
              <w:rPr>
                <w:lang w:val="en-GB"/>
              </w:rPr>
            </w:pPr>
            <m:oMathPara>
              <m:oMath>
                <m:r>
                  <m:rPr>
                    <m:sty m:val="p"/>
                  </m:rPr>
                  <w:rPr>
                    <w:rFonts w:ascii="Cambria Math" w:hAnsi="Cambria Math"/>
                    <w:lang w:val="en-GB"/>
                  </w:rPr>
                  <m:t xml:space="preserve">k= </m:t>
                </m:r>
                <m:sSub>
                  <m:sSubPr>
                    <m:ctrlPr>
                      <w:rPr>
                        <w:rFonts w:ascii="Cambria Math" w:hAnsi="Cambria Math"/>
                        <w:lang w:val="en-GB"/>
                      </w:rPr>
                    </m:ctrlPr>
                  </m:sSubPr>
                  <m:e>
                    <m:r>
                      <m:rPr>
                        <m:sty m:val="p"/>
                      </m:rPr>
                      <w:rPr>
                        <w:rFonts w:ascii="Cambria Math" w:hAnsi="Cambria Math"/>
                        <w:lang w:val="en-GB"/>
                      </w:rPr>
                      <m:t>k</m:t>
                    </m:r>
                  </m:e>
                  <m:sub>
                    <m:r>
                      <m:rPr>
                        <m:sty m:val="p"/>
                      </m:rPr>
                      <w:rPr>
                        <w:rFonts w:ascii="Cambria Math" w:hAnsi="Cambria Math"/>
                        <w:lang w:val="en-GB"/>
                      </w:rPr>
                      <m:t>0</m:t>
                    </m:r>
                  </m:sub>
                </m:sSub>
                <m:func>
                  <m:funcPr>
                    <m:ctrlPr>
                      <w:rPr>
                        <w:rFonts w:ascii="Cambria Math" w:hAnsi="Cambria Math"/>
                        <w:lang w:val="en-GB"/>
                      </w:rPr>
                    </m:ctrlPr>
                  </m:funcPr>
                  <m:fName>
                    <m:r>
                      <m:rPr>
                        <m:sty m:val="p"/>
                      </m:rPr>
                      <w:rPr>
                        <w:rFonts w:ascii="Cambria Math" w:hAnsi="Cambria Math"/>
                        <w:lang w:val="en-GB"/>
                      </w:rPr>
                      <m:t>exp</m:t>
                    </m:r>
                  </m:fName>
                  <m:e>
                    <m:d>
                      <m:dPr>
                        <m:ctrlPr>
                          <w:rPr>
                            <w:rFonts w:ascii="Cambria Math" w:hAnsi="Cambria Math"/>
                            <w:lang w:val="en-GB"/>
                          </w:rPr>
                        </m:ctrlPr>
                      </m:dPr>
                      <m:e>
                        <m:r>
                          <m:rPr>
                            <m:sty m:val="p"/>
                          </m:rPr>
                          <w:rPr>
                            <w:rFonts w:ascii="Cambria Math" w:hAnsi="Cambria Math"/>
                            <w:lang w:val="en-GB"/>
                          </w:rPr>
                          <m:t>-</m:t>
                        </m:r>
                        <m:f>
                          <m:fPr>
                            <m:ctrlPr>
                              <w:rPr>
                                <w:rFonts w:ascii="Cambria Math" w:hAnsi="Cambria Math"/>
                                <w:lang w:val="en-GB"/>
                              </w:rPr>
                            </m:ctrlPr>
                          </m:fPr>
                          <m:num>
                            <m:sSub>
                              <m:sSubPr>
                                <m:ctrlPr>
                                  <w:rPr>
                                    <w:rFonts w:ascii="Cambria Math" w:hAnsi="Cambria Math"/>
                                    <w:lang w:val="en-GB"/>
                                  </w:rPr>
                                </m:ctrlPr>
                              </m:sSubPr>
                              <m:e>
                                <m:r>
                                  <m:rPr>
                                    <m:sty m:val="p"/>
                                  </m:rPr>
                                  <w:rPr>
                                    <w:rFonts w:ascii="Cambria Math" w:hAnsi="Cambria Math"/>
                                    <w:lang w:val="en-GB"/>
                                  </w:rPr>
                                  <m:t>E</m:t>
                                </m:r>
                              </m:e>
                              <m:sub>
                                <m:r>
                                  <m:rPr>
                                    <m:sty m:val="p"/>
                                  </m:rPr>
                                  <w:rPr>
                                    <w:rFonts w:ascii="Cambria Math" w:hAnsi="Cambria Math"/>
                                    <w:lang w:val="en-GB"/>
                                  </w:rPr>
                                  <m:t>A</m:t>
                                </m:r>
                              </m:sub>
                            </m:sSub>
                          </m:num>
                          <m:den>
                            <m:r>
                              <m:rPr>
                                <m:sty m:val="p"/>
                              </m:rPr>
                              <w:rPr>
                                <w:rFonts w:ascii="Cambria Math" w:hAnsi="Cambria Math"/>
                                <w:lang w:val="en-GB"/>
                              </w:rPr>
                              <m:t>RT</m:t>
                            </m:r>
                          </m:den>
                        </m:f>
                      </m:e>
                    </m:d>
                  </m:e>
                </m:func>
              </m:oMath>
            </m:oMathPara>
          </w:p>
        </w:tc>
        <w:tc>
          <w:tcPr>
            <w:tcW w:w="1591" w:type="pct"/>
            <w:gridSpan w:val="2"/>
            <w:tcBorders>
              <w:top w:val="nil"/>
            </w:tcBorders>
            <w:shd w:val="clear" w:color="auto" w:fill="FFFFFF"/>
            <w:vAlign w:val="center"/>
          </w:tcPr>
          <w:p w14:paraId="0A35C70A" w14:textId="77777777" w:rsidR="007A1185" w:rsidRPr="000A4256" w:rsidRDefault="00150B31" w:rsidP="000A4256">
            <w:pPr>
              <w:pStyle w:val="CETBodytext"/>
              <w:jc w:val="center"/>
              <w:rPr>
                <w:lang w:val="en-GB"/>
              </w:rPr>
            </w:pPr>
            <m:oMathPara>
              <m:oMath>
                <m:sSub>
                  <m:sSubPr>
                    <m:ctrlPr>
                      <w:rPr>
                        <w:rFonts w:ascii="Cambria Math" w:hAnsi="Cambria Math"/>
                        <w:lang w:val="en-GB"/>
                      </w:rPr>
                    </m:ctrlPr>
                  </m:sSubPr>
                  <m:e>
                    <m:r>
                      <m:rPr>
                        <m:sty m:val="p"/>
                      </m:rPr>
                      <w:rPr>
                        <w:rFonts w:ascii="Cambria Math" w:hAnsi="Cambria Math"/>
                        <w:lang w:val="en-GB"/>
                      </w:rPr>
                      <m:t>K</m:t>
                    </m:r>
                  </m:e>
                  <m:sub>
                    <m:sSub>
                      <m:sSubPr>
                        <m:ctrlPr>
                          <w:rPr>
                            <w:rFonts w:ascii="Cambria Math" w:hAnsi="Cambria Math"/>
                            <w:lang w:val="en-GB"/>
                          </w:rPr>
                        </m:ctrlPr>
                      </m:sSubPr>
                      <m:e>
                        <m:r>
                          <m:rPr>
                            <m:sty m:val="p"/>
                          </m:rPr>
                          <w:rPr>
                            <w:rFonts w:ascii="Cambria Math" w:hAnsi="Cambria Math"/>
                            <w:lang w:val="en-GB"/>
                          </w:rPr>
                          <m:t>H</m:t>
                        </m:r>
                      </m:e>
                      <m:sub>
                        <m:r>
                          <m:rPr>
                            <m:sty m:val="p"/>
                          </m:rPr>
                          <w:rPr>
                            <w:rFonts w:ascii="Cambria Math" w:hAnsi="Cambria Math"/>
                            <w:lang w:val="en-GB"/>
                          </w:rPr>
                          <m:t>2</m:t>
                        </m:r>
                      </m:sub>
                    </m:sSub>
                  </m:sub>
                </m:sSub>
                <m:r>
                  <m:rPr>
                    <m:sty m:val="p"/>
                  </m:rPr>
                  <w:rPr>
                    <w:rFonts w:ascii="Cambria Math" w:hAnsi="Cambria Math"/>
                    <w:lang w:val="en-GB"/>
                  </w:rPr>
                  <m:t xml:space="preserve">= </m:t>
                </m:r>
                <m:sSub>
                  <m:sSubPr>
                    <m:ctrlPr>
                      <w:rPr>
                        <w:rFonts w:ascii="Cambria Math" w:hAnsi="Cambria Math"/>
                        <w:lang w:val="en-GB"/>
                      </w:rPr>
                    </m:ctrlPr>
                  </m:sSubPr>
                  <m:e>
                    <m:r>
                      <m:rPr>
                        <m:sty m:val="p"/>
                      </m:rPr>
                      <w:rPr>
                        <w:rFonts w:ascii="Cambria Math" w:hAnsi="Cambria Math"/>
                        <w:lang w:val="en-GB"/>
                      </w:rPr>
                      <m:t>K</m:t>
                    </m:r>
                  </m:e>
                  <m:sub>
                    <m:r>
                      <m:rPr>
                        <m:sty m:val="p"/>
                      </m:rPr>
                      <w:rPr>
                        <w:rFonts w:ascii="Cambria Math" w:hAnsi="Cambria Math"/>
                        <w:lang w:val="en-GB"/>
                      </w:rPr>
                      <m:t>0</m:t>
                    </m:r>
                  </m:sub>
                </m:sSub>
                <m:func>
                  <m:funcPr>
                    <m:ctrlPr>
                      <w:rPr>
                        <w:rFonts w:ascii="Cambria Math" w:hAnsi="Cambria Math"/>
                        <w:lang w:val="en-GB"/>
                      </w:rPr>
                    </m:ctrlPr>
                  </m:funcPr>
                  <m:fName>
                    <m:r>
                      <m:rPr>
                        <m:sty m:val="p"/>
                      </m:rPr>
                      <w:rPr>
                        <w:rFonts w:ascii="Cambria Math" w:hAnsi="Cambria Math"/>
                        <w:lang w:val="en-GB"/>
                      </w:rPr>
                      <m:t>exp</m:t>
                    </m:r>
                  </m:fName>
                  <m:e>
                    <m:d>
                      <m:dPr>
                        <m:ctrlPr>
                          <w:rPr>
                            <w:rFonts w:ascii="Cambria Math" w:hAnsi="Cambria Math"/>
                            <w:lang w:val="en-GB"/>
                          </w:rPr>
                        </m:ctrlPr>
                      </m:dPr>
                      <m:e>
                        <m:r>
                          <m:rPr>
                            <m:sty m:val="p"/>
                          </m:rPr>
                          <w:rPr>
                            <w:rFonts w:ascii="Cambria Math" w:hAnsi="Cambria Math"/>
                            <w:lang w:val="en-GB"/>
                          </w:rPr>
                          <m:t>-</m:t>
                        </m:r>
                        <m:f>
                          <m:fPr>
                            <m:ctrlPr>
                              <w:rPr>
                                <w:rFonts w:ascii="Cambria Math" w:hAnsi="Cambria Math"/>
                                <w:lang w:val="en-GB"/>
                              </w:rPr>
                            </m:ctrlPr>
                          </m:fPr>
                          <m:num>
                            <m:r>
                              <m:rPr>
                                <m:sty m:val="p"/>
                              </m:rPr>
                              <w:rPr>
                                <w:rFonts w:ascii="Cambria Math" w:hAnsi="Cambria Math"/>
                                <w:lang w:val="en-GB"/>
                              </w:rPr>
                              <m:t xml:space="preserve">ΔH </m:t>
                            </m:r>
                          </m:num>
                          <m:den>
                            <m:r>
                              <m:rPr>
                                <m:sty m:val="p"/>
                              </m:rPr>
                              <w:rPr>
                                <w:rFonts w:ascii="Cambria Math" w:hAnsi="Cambria Math"/>
                                <w:lang w:val="en-GB"/>
                              </w:rPr>
                              <m:t>RT</m:t>
                            </m:r>
                          </m:den>
                        </m:f>
                      </m:e>
                    </m:d>
                  </m:e>
                </m:func>
              </m:oMath>
            </m:oMathPara>
          </w:p>
        </w:tc>
        <w:tc>
          <w:tcPr>
            <w:tcW w:w="1588" w:type="pct"/>
            <w:gridSpan w:val="2"/>
            <w:tcBorders>
              <w:top w:val="nil"/>
            </w:tcBorders>
            <w:shd w:val="clear" w:color="auto" w:fill="FFFFFF"/>
            <w:vAlign w:val="center"/>
          </w:tcPr>
          <w:p w14:paraId="4C219376" w14:textId="77777777" w:rsidR="007A1185" w:rsidRPr="00BA41F0" w:rsidRDefault="00150B31" w:rsidP="00BA41F0">
            <w:pPr>
              <w:pStyle w:val="CETEquation"/>
            </w:pPr>
            <m:oMathPara>
              <m:oMath>
                <m:sSub>
                  <m:sSubPr>
                    <m:ctrlPr>
                      <w:rPr>
                        <w:rFonts w:ascii="Cambria Math" w:hAnsi="Cambria Math"/>
                      </w:rPr>
                    </m:ctrlPr>
                  </m:sSubPr>
                  <m:e>
                    <m:r>
                      <m:rPr>
                        <m:sty m:val="p"/>
                      </m:rPr>
                      <w:rPr>
                        <w:rFonts w:ascii="Cambria Math" w:hAnsi="Cambria Math"/>
                      </w:rPr>
                      <m:t>K</m:t>
                    </m:r>
                  </m:e>
                  <m:sub>
                    <m:r>
                      <m:rPr>
                        <m:sty m:val="p"/>
                      </m:rPr>
                      <w:rPr>
                        <w:rFonts w:ascii="Cambria Math" w:hAnsi="Cambria Math"/>
                      </w:rPr>
                      <m:t>LA</m:t>
                    </m:r>
                  </m:sub>
                </m:sSub>
                <m:r>
                  <m:rPr>
                    <m:sty m:val="p"/>
                  </m:rPr>
                  <w:rPr>
                    <w:rFonts w:ascii="Cambria Math" w:hAnsi="Cambria Math"/>
                  </w:rPr>
                  <m:t xml:space="preserve">= </m:t>
                </m:r>
                <m:sSub>
                  <m:sSubPr>
                    <m:ctrlPr>
                      <w:rPr>
                        <w:rFonts w:ascii="Cambria Math" w:hAnsi="Cambria Math"/>
                      </w:rPr>
                    </m:ctrlPr>
                  </m:sSubPr>
                  <m:e>
                    <m:r>
                      <m:rPr>
                        <m:sty m:val="p"/>
                      </m:rPr>
                      <w:rPr>
                        <w:rFonts w:ascii="Cambria Math" w:hAnsi="Cambria Math"/>
                      </w:rPr>
                      <m:t>K</m:t>
                    </m:r>
                  </m:e>
                  <m:sub>
                    <m:r>
                      <m:rPr>
                        <m:sty m:val="p"/>
                      </m:rPr>
                      <w:rPr>
                        <w:rFonts w:ascii="Cambria Math" w:hAnsi="Cambria Math"/>
                      </w:rPr>
                      <m:t>0</m:t>
                    </m:r>
                  </m:sub>
                </m:sSub>
                <m:func>
                  <m:funcPr>
                    <m:ctrlPr>
                      <w:rPr>
                        <w:rFonts w:ascii="Cambria Math" w:hAnsi="Cambria Math"/>
                      </w:rPr>
                    </m:ctrlPr>
                  </m:funcPr>
                  <m:fName>
                    <m:r>
                      <m:rPr>
                        <m:sty m:val="p"/>
                      </m:rPr>
                      <w:rPr>
                        <w:rFonts w:ascii="Cambria Math" w:hAnsi="Cambria Math"/>
                      </w:rPr>
                      <m:t>exp</m:t>
                    </m:r>
                  </m:fName>
                  <m:e>
                    <m:d>
                      <m:dPr>
                        <m:ctrlPr>
                          <w:rPr>
                            <w:rFonts w:ascii="Cambria Math" w:hAnsi="Cambria Math"/>
                          </w:rPr>
                        </m:ctrlPr>
                      </m:dPr>
                      <m:e>
                        <m:r>
                          <m:rPr>
                            <m:sty m:val="p"/>
                          </m:rPr>
                          <w:rPr>
                            <w:rFonts w:ascii="Cambria Math" w:hAnsi="Cambria Math"/>
                          </w:rPr>
                          <m:t>-</m:t>
                        </m:r>
                        <m:f>
                          <m:fPr>
                            <m:ctrlPr>
                              <w:rPr>
                                <w:rFonts w:ascii="Cambria Math" w:hAnsi="Cambria Math"/>
                              </w:rPr>
                            </m:ctrlPr>
                          </m:fPr>
                          <m:num>
                            <m:r>
                              <m:rPr>
                                <m:sty m:val="p"/>
                              </m:rPr>
                              <w:rPr>
                                <w:rFonts w:ascii="Cambria Math" w:hAnsi="Cambria Math"/>
                              </w:rPr>
                              <m:t xml:space="preserve">ΔH </m:t>
                            </m:r>
                          </m:num>
                          <m:den>
                            <m:r>
                              <m:rPr>
                                <m:sty m:val="p"/>
                              </m:rPr>
                              <w:rPr>
                                <w:rFonts w:ascii="Cambria Math" w:hAnsi="Cambria Math"/>
                              </w:rPr>
                              <m:t>RT</m:t>
                            </m:r>
                          </m:den>
                        </m:f>
                      </m:e>
                    </m:d>
                  </m:e>
                </m:func>
              </m:oMath>
            </m:oMathPara>
          </w:p>
        </w:tc>
      </w:tr>
      <w:tr w:rsidR="00017917" w:rsidRPr="00B57B36" w14:paraId="6CAA886A" w14:textId="77777777" w:rsidTr="00017917">
        <w:tc>
          <w:tcPr>
            <w:tcW w:w="1049" w:type="pct"/>
            <w:shd w:val="clear" w:color="auto" w:fill="FFFFFF"/>
            <w:vAlign w:val="center"/>
          </w:tcPr>
          <w:p w14:paraId="3D831FB3" w14:textId="77777777" w:rsidR="00017917" w:rsidRPr="00017917" w:rsidRDefault="00017917" w:rsidP="00FA6D05">
            <w:pPr>
              <w:pStyle w:val="CETBodytext"/>
              <w:jc w:val="center"/>
              <w:rPr>
                <w:lang w:val="pt-BR"/>
              </w:rPr>
            </w:pPr>
            <w:r w:rsidRPr="00017917">
              <w:rPr>
                <w:rFonts w:ascii="Cambria Math" w:hAnsi="Cambria Math"/>
                <w:lang w:val="pt-BR"/>
              </w:rPr>
              <w:t>k</w:t>
            </w:r>
            <w:r w:rsidRPr="00017917">
              <w:rPr>
                <w:rFonts w:ascii="Cambria Math" w:hAnsi="Cambria Math"/>
                <w:vertAlign w:val="subscript"/>
                <w:lang w:val="pt-BR"/>
              </w:rPr>
              <w:t>0</w:t>
            </w:r>
            <w:r w:rsidRPr="00017917">
              <w:rPr>
                <w:lang w:val="pt-BR"/>
              </w:rPr>
              <w:t xml:space="preserve"> ((m³)²/</w:t>
            </w:r>
            <w:proofErr w:type="spellStart"/>
            <w:r w:rsidRPr="00017917">
              <w:rPr>
                <w:lang w:val="pt-BR"/>
              </w:rPr>
              <w:t>kmol</w:t>
            </w:r>
            <w:proofErr w:type="spellEnd"/>
            <w:r w:rsidRPr="00017917">
              <w:rPr>
                <w:lang w:val="pt-BR"/>
              </w:rPr>
              <w:t>/h)</w:t>
            </w:r>
          </w:p>
        </w:tc>
        <w:tc>
          <w:tcPr>
            <w:tcW w:w="772" w:type="pct"/>
            <w:shd w:val="clear" w:color="auto" w:fill="FFFFFF"/>
            <w:vAlign w:val="center"/>
          </w:tcPr>
          <w:p w14:paraId="6A63DBEF" w14:textId="77777777" w:rsidR="00017917" w:rsidRPr="00017917" w:rsidRDefault="00017917" w:rsidP="00FA6D05">
            <w:pPr>
              <w:pStyle w:val="CETBodytext"/>
              <w:jc w:val="center"/>
              <w:rPr>
                <w:lang w:val="pt-BR"/>
              </w:rPr>
            </w:pPr>
            <w:r w:rsidRPr="00017917">
              <w:rPr>
                <w:rFonts w:ascii="Cambria Math" w:hAnsi="Cambria Math"/>
                <w:lang w:val="pt-BR"/>
              </w:rPr>
              <w:t>E</w:t>
            </w:r>
            <w:r w:rsidRPr="00017917">
              <w:rPr>
                <w:rFonts w:ascii="Cambria Math" w:hAnsi="Cambria Math"/>
                <w:vertAlign w:val="subscript"/>
                <w:lang w:val="pt-BR"/>
              </w:rPr>
              <w:t>A</w:t>
            </w:r>
            <w:r w:rsidRPr="00017917">
              <w:rPr>
                <w:lang w:val="pt-BR"/>
              </w:rPr>
              <w:t xml:space="preserve"> (kJ/mol)</w:t>
            </w:r>
          </w:p>
        </w:tc>
        <w:tc>
          <w:tcPr>
            <w:tcW w:w="820" w:type="pct"/>
            <w:shd w:val="clear" w:color="auto" w:fill="FFFFFF"/>
            <w:vAlign w:val="center"/>
          </w:tcPr>
          <w:p w14:paraId="13F94BB9" w14:textId="77777777" w:rsidR="00017917" w:rsidRDefault="00017917" w:rsidP="00FA6D05">
            <w:pPr>
              <w:pStyle w:val="CETBodytext"/>
              <w:jc w:val="center"/>
            </w:pPr>
            <w:r w:rsidRPr="00F6359B">
              <w:rPr>
                <w:rFonts w:ascii="Cambria Math" w:hAnsi="Cambria Math"/>
              </w:rPr>
              <w:t>K</w:t>
            </w:r>
            <w:r w:rsidRPr="00F6359B">
              <w:rPr>
                <w:rFonts w:ascii="Cambria Math" w:hAnsi="Cambria Math"/>
                <w:vertAlign w:val="subscript"/>
              </w:rPr>
              <w:t>0</w:t>
            </w:r>
            <w:r w:rsidRPr="00F6359B">
              <w:rPr>
                <w:rFonts w:ascii="Cambria Math" w:hAnsi="Cambria Math"/>
              </w:rPr>
              <w:t xml:space="preserve"> </w:t>
            </w:r>
            <w:r>
              <w:t>(m³/</w:t>
            </w:r>
            <w:proofErr w:type="spellStart"/>
            <w:r>
              <w:t>kmol</w:t>
            </w:r>
            <w:proofErr w:type="spellEnd"/>
            <w:r>
              <w:t>)</w:t>
            </w:r>
          </w:p>
        </w:tc>
        <w:tc>
          <w:tcPr>
            <w:tcW w:w="771" w:type="pct"/>
            <w:shd w:val="clear" w:color="auto" w:fill="FFFFFF"/>
            <w:vAlign w:val="center"/>
          </w:tcPr>
          <w:p w14:paraId="5DDAC143" w14:textId="77777777" w:rsidR="00017917" w:rsidRDefault="00017917" w:rsidP="00FA6D05">
            <w:pPr>
              <w:pStyle w:val="CETBodytext"/>
              <w:jc w:val="center"/>
            </w:pPr>
            <w:r w:rsidRPr="00F6359B">
              <w:rPr>
                <w:rFonts w:ascii="Cambria Math" w:hAnsi="Cambria Math" w:cs="Arial"/>
              </w:rPr>
              <w:t>Δ</w:t>
            </w:r>
            <w:r w:rsidRPr="00F6359B">
              <w:rPr>
                <w:rFonts w:ascii="Cambria Math" w:hAnsi="Cambria Math"/>
              </w:rPr>
              <w:t>H</w:t>
            </w:r>
            <w:r>
              <w:t xml:space="preserve"> (kJ/mol)</w:t>
            </w:r>
          </w:p>
        </w:tc>
        <w:tc>
          <w:tcPr>
            <w:tcW w:w="820" w:type="pct"/>
            <w:shd w:val="clear" w:color="auto" w:fill="FFFFFF"/>
            <w:vAlign w:val="center"/>
          </w:tcPr>
          <w:p w14:paraId="2C350500" w14:textId="77777777" w:rsidR="00017917" w:rsidRDefault="00017917" w:rsidP="00FA6D05">
            <w:pPr>
              <w:pStyle w:val="CETBodytext"/>
              <w:jc w:val="center"/>
            </w:pPr>
            <w:r w:rsidRPr="00F6359B">
              <w:rPr>
                <w:rFonts w:ascii="Cambria Math" w:hAnsi="Cambria Math"/>
              </w:rPr>
              <w:t>K</w:t>
            </w:r>
            <w:r w:rsidRPr="00F6359B">
              <w:rPr>
                <w:rFonts w:ascii="Cambria Math" w:hAnsi="Cambria Math"/>
                <w:vertAlign w:val="subscript"/>
              </w:rPr>
              <w:t>0</w:t>
            </w:r>
            <w:r w:rsidRPr="00F6359B">
              <w:rPr>
                <w:rFonts w:ascii="Cambria Math" w:hAnsi="Cambria Math"/>
              </w:rPr>
              <w:t xml:space="preserve"> </w:t>
            </w:r>
            <w:r>
              <w:t>(m³/</w:t>
            </w:r>
            <w:proofErr w:type="spellStart"/>
            <w:r>
              <w:t>kmol</w:t>
            </w:r>
            <w:proofErr w:type="spellEnd"/>
            <w:r>
              <w:t>)</w:t>
            </w:r>
          </w:p>
        </w:tc>
        <w:tc>
          <w:tcPr>
            <w:tcW w:w="768" w:type="pct"/>
            <w:shd w:val="clear" w:color="auto" w:fill="FFFFFF"/>
            <w:vAlign w:val="center"/>
          </w:tcPr>
          <w:p w14:paraId="090DACCA" w14:textId="77777777" w:rsidR="00017917" w:rsidRDefault="00017917" w:rsidP="00FA6D05">
            <w:pPr>
              <w:pStyle w:val="CETBodytext"/>
              <w:jc w:val="center"/>
            </w:pPr>
            <w:r w:rsidRPr="00F6359B">
              <w:rPr>
                <w:rFonts w:ascii="Cambria Math" w:hAnsi="Cambria Math" w:cs="Arial"/>
              </w:rPr>
              <w:t>Δ</w:t>
            </w:r>
            <w:r w:rsidRPr="00F6359B">
              <w:rPr>
                <w:rFonts w:ascii="Cambria Math" w:hAnsi="Cambria Math"/>
              </w:rPr>
              <w:t>H</w:t>
            </w:r>
            <w:r>
              <w:t xml:space="preserve"> (kJ/mol)</w:t>
            </w:r>
          </w:p>
        </w:tc>
      </w:tr>
      <w:tr w:rsidR="007A1185" w:rsidRPr="00B57B36" w14:paraId="575D374A" w14:textId="77777777" w:rsidTr="00017917">
        <w:tc>
          <w:tcPr>
            <w:tcW w:w="1049" w:type="pct"/>
            <w:shd w:val="clear" w:color="auto" w:fill="FFFFFF"/>
            <w:vAlign w:val="center"/>
          </w:tcPr>
          <w:p w14:paraId="65402BD6" w14:textId="77777777" w:rsidR="00F6359B" w:rsidRPr="00B57B36" w:rsidRDefault="007A1185" w:rsidP="00FA6D05">
            <w:pPr>
              <w:pStyle w:val="CETBodytext"/>
              <w:ind w:right="-1"/>
              <w:jc w:val="center"/>
              <w:rPr>
                <w:rFonts w:cs="Arial"/>
                <w:szCs w:val="18"/>
                <w:lang w:val="en-GB"/>
              </w:rPr>
            </w:pPr>
            <w:r>
              <w:rPr>
                <w:rFonts w:cs="Arial"/>
                <w:szCs w:val="18"/>
                <w:lang w:val="en-GB"/>
              </w:rPr>
              <w:t>0.</w:t>
            </w:r>
            <w:r w:rsidR="00FA6D05">
              <w:rPr>
                <w:rFonts w:cs="Arial"/>
                <w:szCs w:val="18"/>
                <w:lang w:val="en-GB"/>
              </w:rPr>
              <w:t>0</w:t>
            </w:r>
            <w:r>
              <w:rPr>
                <w:rFonts w:cs="Arial"/>
                <w:szCs w:val="18"/>
                <w:lang w:val="en-GB"/>
              </w:rPr>
              <w:t>07</w:t>
            </w:r>
          </w:p>
        </w:tc>
        <w:tc>
          <w:tcPr>
            <w:tcW w:w="772" w:type="pct"/>
            <w:shd w:val="clear" w:color="auto" w:fill="FFFFFF"/>
            <w:vAlign w:val="center"/>
          </w:tcPr>
          <w:p w14:paraId="69DEAF25" w14:textId="77777777" w:rsidR="00F6359B" w:rsidRPr="00B57B36" w:rsidRDefault="00F6359B" w:rsidP="00FA6D05">
            <w:pPr>
              <w:pStyle w:val="CETBodytext"/>
              <w:ind w:right="-1"/>
              <w:jc w:val="center"/>
              <w:rPr>
                <w:rFonts w:cs="Arial"/>
                <w:szCs w:val="18"/>
                <w:lang w:val="en-GB"/>
              </w:rPr>
            </w:pPr>
            <w:r>
              <w:rPr>
                <w:rFonts w:cs="Arial"/>
                <w:szCs w:val="18"/>
                <w:lang w:val="en-GB"/>
              </w:rPr>
              <w:t>12.4</w:t>
            </w:r>
          </w:p>
        </w:tc>
        <w:tc>
          <w:tcPr>
            <w:tcW w:w="820" w:type="pct"/>
            <w:shd w:val="clear" w:color="auto" w:fill="FFFFFF"/>
            <w:vAlign w:val="center"/>
          </w:tcPr>
          <w:p w14:paraId="1EF208B1" w14:textId="77777777" w:rsidR="00F6359B" w:rsidRPr="00B57B36" w:rsidRDefault="00F6359B" w:rsidP="00FA6D05">
            <w:pPr>
              <w:pStyle w:val="CETBodytext"/>
              <w:ind w:right="-1"/>
              <w:jc w:val="center"/>
              <w:rPr>
                <w:rFonts w:cs="Arial"/>
                <w:szCs w:val="18"/>
                <w:lang w:val="en-GB"/>
              </w:rPr>
            </w:pPr>
            <w:r>
              <w:rPr>
                <w:rFonts w:cs="Arial"/>
                <w:szCs w:val="18"/>
                <w:lang w:val="en-GB"/>
              </w:rPr>
              <w:t>1.92x10</w:t>
            </w:r>
            <w:r w:rsidRPr="00D85910">
              <w:rPr>
                <w:rFonts w:cs="Arial"/>
                <w:szCs w:val="18"/>
                <w:vertAlign w:val="superscript"/>
                <w:lang w:val="en-GB"/>
              </w:rPr>
              <w:t>-11</w:t>
            </w:r>
          </w:p>
        </w:tc>
        <w:tc>
          <w:tcPr>
            <w:tcW w:w="771" w:type="pct"/>
            <w:shd w:val="clear" w:color="auto" w:fill="FFFFFF"/>
            <w:vAlign w:val="center"/>
          </w:tcPr>
          <w:p w14:paraId="46443781" w14:textId="77777777" w:rsidR="00F6359B" w:rsidRPr="00B57B36" w:rsidRDefault="00F6359B" w:rsidP="00FA6D05">
            <w:pPr>
              <w:pStyle w:val="CETBodytext"/>
              <w:ind w:right="-1"/>
              <w:jc w:val="center"/>
              <w:rPr>
                <w:rFonts w:cs="Arial"/>
                <w:szCs w:val="18"/>
                <w:lang w:val="en-GB"/>
              </w:rPr>
            </w:pPr>
            <w:r>
              <w:rPr>
                <w:rFonts w:cs="Arial"/>
                <w:szCs w:val="18"/>
                <w:lang w:val="en-GB"/>
              </w:rPr>
              <w:t>-79.8</w:t>
            </w:r>
          </w:p>
        </w:tc>
        <w:tc>
          <w:tcPr>
            <w:tcW w:w="820" w:type="pct"/>
            <w:shd w:val="clear" w:color="auto" w:fill="FFFFFF"/>
            <w:vAlign w:val="center"/>
          </w:tcPr>
          <w:p w14:paraId="42123B76" w14:textId="77777777" w:rsidR="00F6359B" w:rsidRPr="00B57B36" w:rsidRDefault="00F6359B" w:rsidP="00FA6D05">
            <w:pPr>
              <w:pStyle w:val="CETBodytext"/>
              <w:ind w:right="-1"/>
              <w:jc w:val="center"/>
              <w:rPr>
                <w:rFonts w:cs="Arial"/>
                <w:szCs w:val="18"/>
                <w:lang w:val="en-GB"/>
              </w:rPr>
            </w:pPr>
            <w:r>
              <w:rPr>
                <w:rFonts w:cs="Arial"/>
                <w:szCs w:val="18"/>
                <w:lang w:val="en-GB"/>
              </w:rPr>
              <w:t>8x10</w:t>
            </w:r>
            <w:r w:rsidRPr="00D85910">
              <w:rPr>
                <w:rFonts w:cs="Arial"/>
                <w:szCs w:val="18"/>
                <w:vertAlign w:val="superscript"/>
                <w:lang w:val="en-GB"/>
              </w:rPr>
              <w:t>-8</w:t>
            </w:r>
          </w:p>
        </w:tc>
        <w:tc>
          <w:tcPr>
            <w:tcW w:w="768" w:type="pct"/>
            <w:shd w:val="clear" w:color="auto" w:fill="FFFFFF"/>
            <w:vAlign w:val="center"/>
          </w:tcPr>
          <w:p w14:paraId="507FF169" w14:textId="77777777" w:rsidR="00F6359B" w:rsidRPr="00B57B36" w:rsidRDefault="00F6359B" w:rsidP="00FA6D05">
            <w:pPr>
              <w:pStyle w:val="CETBodytext"/>
              <w:ind w:right="-1"/>
              <w:jc w:val="center"/>
              <w:rPr>
                <w:rFonts w:cs="Arial"/>
                <w:szCs w:val="18"/>
                <w:lang w:val="en-GB"/>
              </w:rPr>
            </w:pPr>
            <w:r>
              <w:rPr>
                <w:rFonts w:cs="Arial"/>
                <w:szCs w:val="18"/>
                <w:lang w:val="en-GB"/>
              </w:rPr>
              <w:t>-47.8</w:t>
            </w:r>
          </w:p>
        </w:tc>
      </w:tr>
    </w:tbl>
    <w:p w14:paraId="2E1EEC2C" w14:textId="77777777" w:rsidR="00811507" w:rsidRDefault="00811507" w:rsidP="00811507">
      <w:pPr>
        <w:pStyle w:val="CETBodytext"/>
      </w:pPr>
    </w:p>
    <w:p w14:paraId="7357291A" w14:textId="77777777" w:rsidR="003D3144" w:rsidRDefault="00BC29B3" w:rsidP="00BC29B3">
      <w:pPr>
        <w:pStyle w:val="CETCaption"/>
      </w:pPr>
      <w:r w:rsidRPr="00B57B36">
        <w:t xml:space="preserve">Table </w:t>
      </w:r>
      <w:r w:rsidR="00851087">
        <w:t>2</w:t>
      </w:r>
      <w:r w:rsidRPr="00B57B36">
        <w:t xml:space="preserve">: </w:t>
      </w:r>
      <w:r>
        <w:t>Main equipment and simulation conditions</w:t>
      </w:r>
    </w:p>
    <w:tbl>
      <w:tblPr>
        <w:tblW w:w="0" w:type="auto"/>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1682"/>
        <w:gridCol w:w="3649"/>
        <w:gridCol w:w="3456"/>
      </w:tblGrid>
      <w:tr w:rsidR="0066092B" w:rsidRPr="007A5F29" w14:paraId="0BD21BE5" w14:textId="77777777" w:rsidTr="0066092B">
        <w:tc>
          <w:tcPr>
            <w:tcW w:w="0" w:type="auto"/>
            <w:tcBorders>
              <w:top w:val="single" w:sz="12" w:space="0" w:color="008000"/>
              <w:bottom w:val="single" w:sz="12" w:space="0" w:color="008000"/>
            </w:tcBorders>
            <w:shd w:val="clear" w:color="auto" w:fill="FFFFFF"/>
          </w:tcPr>
          <w:p w14:paraId="71D0B178" w14:textId="77777777" w:rsidR="0066092B" w:rsidRPr="00B57504" w:rsidRDefault="0066092B" w:rsidP="00BA41F0">
            <w:pPr>
              <w:pStyle w:val="CETBodytext"/>
              <w:jc w:val="center"/>
              <w:rPr>
                <w:lang w:val="en-GB"/>
              </w:rPr>
            </w:pPr>
            <w:r w:rsidRPr="00B57504">
              <w:rPr>
                <w:lang w:val="en-GB"/>
              </w:rPr>
              <w:t>Equipment (Block)</w:t>
            </w:r>
          </w:p>
        </w:tc>
        <w:tc>
          <w:tcPr>
            <w:tcW w:w="0" w:type="auto"/>
            <w:gridSpan w:val="2"/>
            <w:tcBorders>
              <w:top w:val="single" w:sz="12" w:space="0" w:color="008000"/>
              <w:bottom w:val="single" w:sz="12" w:space="0" w:color="008000"/>
            </w:tcBorders>
            <w:shd w:val="clear" w:color="auto" w:fill="FFFFFF"/>
            <w:vAlign w:val="center"/>
          </w:tcPr>
          <w:p w14:paraId="6E353F81" w14:textId="77777777" w:rsidR="0066092B" w:rsidRPr="00B57504" w:rsidRDefault="0066092B" w:rsidP="00624E6E">
            <w:pPr>
              <w:pStyle w:val="CETBodytext"/>
              <w:jc w:val="center"/>
              <w:rPr>
                <w:lang w:val="en-GB"/>
              </w:rPr>
            </w:pPr>
            <w:r w:rsidRPr="00B57504">
              <w:rPr>
                <w:lang w:val="en-GB"/>
              </w:rPr>
              <w:t>Parameters</w:t>
            </w:r>
          </w:p>
        </w:tc>
      </w:tr>
      <w:tr w:rsidR="002E2220" w:rsidRPr="007A5F29" w14:paraId="4532E90A" w14:textId="77777777" w:rsidTr="0066092B">
        <w:tc>
          <w:tcPr>
            <w:tcW w:w="0" w:type="auto"/>
            <w:tcBorders>
              <w:top w:val="single" w:sz="12" w:space="0" w:color="008000"/>
              <w:bottom w:val="nil"/>
            </w:tcBorders>
            <w:shd w:val="clear" w:color="auto" w:fill="FFFFFF"/>
          </w:tcPr>
          <w:p w14:paraId="1684E68D" w14:textId="77777777" w:rsidR="002E2220" w:rsidRPr="00B57504" w:rsidRDefault="002E2220" w:rsidP="00BA41F0">
            <w:pPr>
              <w:pStyle w:val="CETBodytext"/>
              <w:jc w:val="center"/>
              <w:rPr>
                <w:lang w:val="en-GB"/>
              </w:rPr>
            </w:pPr>
          </w:p>
        </w:tc>
        <w:tc>
          <w:tcPr>
            <w:tcW w:w="0" w:type="auto"/>
            <w:tcBorders>
              <w:top w:val="single" w:sz="12" w:space="0" w:color="008000"/>
              <w:bottom w:val="nil"/>
            </w:tcBorders>
            <w:shd w:val="clear" w:color="auto" w:fill="FFFFFF"/>
            <w:vAlign w:val="center"/>
          </w:tcPr>
          <w:p w14:paraId="038D7835" w14:textId="77777777" w:rsidR="002E2220" w:rsidRPr="00B57504" w:rsidRDefault="0066092B" w:rsidP="0066092B">
            <w:pPr>
              <w:pStyle w:val="CETBodytext"/>
              <w:jc w:val="center"/>
              <w:rPr>
                <w:lang w:val="en-GB"/>
              </w:rPr>
            </w:pPr>
            <w:r w:rsidRPr="00B57504">
              <w:rPr>
                <w:lang w:val="en-GB"/>
              </w:rPr>
              <w:t>LA-1</w:t>
            </w:r>
          </w:p>
        </w:tc>
        <w:tc>
          <w:tcPr>
            <w:tcW w:w="0" w:type="auto"/>
            <w:tcBorders>
              <w:top w:val="single" w:sz="12" w:space="0" w:color="008000"/>
              <w:bottom w:val="nil"/>
            </w:tcBorders>
            <w:shd w:val="clear" w:color="auto" w:fill="FFFFFF"/>
          </w:tcPr>
          <w:p w14:paraId="65493995" w14:textId="77777777" w:rsidR="002E2220" w:rsidRPr="00B57504" w:rsidRDefault="0066092B" w:rsidP="0066092B">
            <w:pPr>
              <w:pStyle w:val="CETBodytext"/>
              <w:jc w:val="center"/>
              <w:rPr>
                <w:lang w:val="en-GB"/>
              </w:rPr>
            </w:pPr>
            <w:r w:rsidRPr="00B57504">
              <w:rPr>
                <w:lang w:val="en-GB"/>
              </w:rPr>
              <w:t>LA-2</w:t>
            </w:r>
          </w:p>
        </w:tc>
      </w:tr>
      <w:tr w:rsidR="00B57504" w:rsidRPr="00DB5254" w14:paraId="71116004" w14:textId="77777777" w:rsidTr="00B35708">
        <w:trPr>
          <w:trHeight w:val="769"/>
        </w:trPr>
        <w:tc>
          <w:tcPr>
            <w:tcW w:w="0" w:type="auto"/>
            <w:vMerge w:val="restart"/>
            <w:tcBorders>
              <w:top w:val="nil"/>
            </w:tcBorders>
            <w:shd w:val="clear" w:color="auto" w:fill="FFFFFF"/>
            <w:vAlign w:val="center"/>
          </w:tcPr>
          <w:p w14:paraId="4D22EB4A" w14:textId="77777777" w:rsidR="00B57504" w:rsidRPr="00B57504" w:rsidRDefault="00B57504" w:rsidP="003028EC">
            <w:pPr>
              <w:pStyle w:val="CETBodytext"/>
              <w:jc w:val="center"/>
              <w:rPr>
                <w:lang w:val="en-GB"/>
              </w:rPr>
            </w:pPr>
            <w:r w:rsidRPr="00B57504">
              <w:rPr>
                <w:lang w:val="en-GB"/>
              </w:rPr>
              <w:t>R (</w:t>
            </w:r>
            <w:proofErr w:type="spellStart"/>
            <w:r w:rsidRPr="00B57504">
              <w:rPr>
                <w:lang w:val="en-GB"/>
              </w:rPr>
              <w:t>RPlug</w:t>
            </w:r>
            <w:proofErr w:type="spellEnd"/>
            <w:r w:rsidRPr="00B57504">
              <w:rPr>
                <w:lang w:val="en-GB"/>
              </w:rPr>
              <w:t>)</w:t>
            </w:r>
          </w:p>
        </w:tc>
        <w:tc>
          <w:tcPr>
            <w:tcW w:w="0" w:type="auto"/>
            <w:gridSpan w:val="2"/>
            <w:tcBorders>
              <w:top w:val="nil"/>
            </w:tcBorders>
            <w:shd w:val="clear" w:color="auto" w:fill="FFFFFF"/>
            <w:vAlign w:val="center"/>
          </w:tcPr>
          <w:p w14:paraId="4FA95ABC" w14:textId="77777777" w:rsidR="00B57504" w:rsidRPr="00B57504" w:rsidRDefault="00B57504" w:rsidP="003028EC">
            <w:pPr>
              <w:pStyle w:val="CETBodytext"/>
              <w:jc w:val="center"/>
              <w:rPr>
                <w:lang w:val="en-GB"/>
              </w:rPr>
            </w:pPr>
            <w:r w:rsidRPr="00B57504">
              <w:rPr>
                <w:lang w:val="en-GB"/>
              </w:rPr>
              <w:t>Adiabatic:; D = 1.1 m; L = 4.4 m; Catalyst mass = 1700 kg;</w:t>
            </w:r>
          </w:p>
          <w:p w14:paraId="2F0ACADF" w14:textId="77777777" w:rsidR="00B57504" w:rsidRPr="00B57504" w:rsidRDefault="00B57504" w:rsidP="003028EC">
            <w:pPr>
              <w:pStyle w:val="CETBodytext"/>
              <w:jc w:val="center"/>
              <w:rPr>
                <w:lang w:val="en-GB"/>
              </w:rPr>
            </w:pPr>
            <w:r w:rsidRPr="00B57504">
              <w:rPr>
                <w:lang w:val="en-GB"/>
              </w:rPr>
              <w:t>Pressure Drop – Ergun equation;</w:t>
            </w:r>
          </w:p>
          <w:p w14:paraId="4C15880E" w14:textId="77777777" w:rsidR="00B57504" w:rsidRPr="00B57504" w:rsidRDefault="00B57504" w:rsidP="003028EC">
            <w:pPr>
              <w:pStyle w:val="CETBodytext"/>
              <w:jc w:val="center"/>
              <w:rPr>
                <w:lang w:val="en-GB"/>
              </w:rPr>
            </w:pPr>
            <w:proofErr w:type="spellStart"/>
            <w:r w:rsidRPr="00B57504">
              <w:rPr>
                <w:lang w:val="en-GB"/>
              </w:rPr>
              <w:t>Dp</w:t>
            </w:r>
            <w:proofErr w:type="spellEnd"/>
            <w:r w:rsidRPr="00B57504">
              <w:rPr>
                <w:lang w:val="en-GB"/>
              </w:rPr>
              <w:t xml:space="preserve"> = 1.368 mm; </w:t>
            </w:r>
            <w:proofErr w:type="spellStart"/>
            <w:r w:rsidRPr="00B57504">
              <w:rPr>
                <w:lang w:val="en-GB"/>
              </w:rPr>
              <w:t>ρp</w:t>
            </w:r>
            <w:proofErr w:type="spellEnd"/>
            <w:r w:rsidRPr="00B57504">
              <w:rPr>
                <w:lang w:val="en-GB"/>
              </w:rPr>
              <w:t xml:space="preserve"> = 800 kg/m³; P0 = 83 bar (Xi </w:t>
            </w:r>
            <w:r w:rsidRPr="00B57504">
              <w:rPr>
                <w:i/>
                <w:lang w:val="en-GB"/>
              </w:rPr>
              <w:t>et al.</w:t>
            </w:r>
            <w:r w:rsidRPr="00B57504">
              <w:rPr>
                <w:lang w:val="en-GB"/>
              </w:rPr>
              <w:t xml:space="preserve"> 2011)</w:t>
            </w:r>
          </w:p>
        </w:tc>
      </w:tr>
      <w:tr w:rsidR="00B57504" w:rsidRPr="00DB5254" w14:paraId="167AEE10" w14:textId="77777777" w:rsidTr="00B35708">
        <w:trPr>
          <w:trHeight w:val="297"/>
        </w:trPr>
        <w:tc>
          <w:tcPr>
            <w:tcW w:w="0" w:type="auto"/>
            <w:vMerge/>
            <w:tcBorders>
              <w:bottom w:val="nil"/>
            </w:tcBorders>
            <w:shd w:val="clear" w:color="auto" w:fill="FFFFFF"/>
            <w:vAlign w:val="center"/>
          </w:tcPr>
          <w:p w14:paraId="429D7EFA" w14:textId="77777777" w:rsidR="00B57504" w:rsidRPr="00B57504" w:rsidRDefault="00B57504" w:rsidP="003028EC">
            <w:pPr>
              <w:pStyle w:val="CETBodytext"/>
              <w:jc w:val="center"/>
              <w:rPr>
                <w:lang w:val="en-GB"/>
              </w:rPr>
            </w:pPr>
          </w:p>
        </w:tc>
        <w:tc>
          <w:tcPr>
            <w:tcW w:w="0" w:type="auto"/>
            <w:tcBorders>
              <w:top w:val="nil"/>
            </w:tcBorders>
            <w:shd w:val="clear" w:color="auto" w:fill="FFFFFF"/>
            <w:vAlign w:val="center"/>
          </w:tcPr>
          <w:p w14:paraId="2F1D0AAC" w14:textId="77777777" w:rsidR="00B57504" w:rsidRPr="00B57504" w:rsidRDefault="00B57504" w:rsidP="003028EC">
            <w:pPr>
              <w:pStyle w:val="CETBodytext"/>
              <w:jc w:val="center"/>
              <w:rPr>
                <w:lang w:val="en-GB"/>
              </w:rPr>
            </w:pPr>
            <w:r w:rsidRPr="00B57504">
              <w:rPr>
                <w:lang w:val="en-GB"/>
              </w:rPr>
              <w:t>T = 112 – 161ºC</w:t>
            </w:r>
          </w:p>
        </w:tc>
        <w:tc>
          <w:tcPr>
            <w:tcW w:w="0" w:type="auto"/>
            <w:tcBorders>
              <w:top w:val="nil"/>
            </w:tcBorders>
            <w:shd w:val="clear" w:color="auto" w:fill="FFFFFF"/>
            <w:vAlign w:val="center"/>
          </w:tcPr>
          <w:p w14:paraId="082F37C3" w14:textId="77777777" w:rsidR="00B57504" w:rsidRPr="00B57504" w:rsidRDefault="00B57504" w:rsidP="003028EC">
            <w:pPr>
              <w:pStyle w:val="CETBodytext"/>
              <w:jc w:val="center"/>
              <w:rPr>
                <w:lang w:val="en-GB"/>
              </w:rPr>
            </w:pPr>
            <w:r w:rsidRPr="00B57504">
              <w:rPr>
                <w:lang w:val="en-GB"/>
              </w:rPr>
              <w:t>T = 97 – 180 ºC</w:t>
            </w:r>
          </w:p>
        </w:tc>
      </w:tr>
      <w:tr w:rsidR="00B23C35" w:rsidRPr="00DB5254" w14:paraId="6CE87609" w14:textId="77777777" w:rsidTr="0066092B">
        <w:tc>
          <w:tcPr>
            <w:tcW w:w="0" w:type="auto"/>
            <w:tcBorders>
              <w:top w:val="nil"/>
              <w:bottom w:val="nil"/>
            </w:tcBorders>
            <w:shd w:val="clear" w:color="auto" w:fill="FFFFFF"/>
            <w:vAlign w:val="center"/>
          </w:tcPr>
          <w:p w14:paraId="050B9476" w14:textId="77777777" w:rsidR="00B23C35" w:rsidRPr="00B57504" w:rsidRDefault="00B23C35" w:rsidP="003028EC">
            <w:pPr>
              <w:pStyle w:val="CETBodytext"/>
              <w:jc w:val="center"/>
              <w:rPr>
                <w:lang w:val="en-GB"/>
              </w:rPr>
            </w:pPr>
            <w:r w:rsidRPr="00B57504">
              <w:rPr>
                <w:lang w:val="en-GB"/>
              </w:rPr>
              <w:t>F1 (Flash2)</w:t>
            </w:r>
          </w:p>
        </w:tc>
        <w:tc>
          <w:tcPr>
            <w:tcW w:w="0" w:type="auto"/>
            <w:tcBorders>
              <w:top w:val="nil"/>
              <w:bottom w:val="nil"/>
            </w:tcBorders>
            <w:shd w:val="clear" w:color="auto" w:fill="FFFFFF"/>
            <w:vAlign w:val="center"/>
          </w:tcPr>
          <w:p w14:paraId="284B32A2" w14:textId="77777777" w:rsidR="00B23C35" w:rsidRPr="00B57504" w:rsidRDefault="00B23C35" w:rsidP="003028EC">
            <w:pPr>
              <w:pStyle w:val="CETBodytext"/>
              <w:jc w:val="center"/>
              <w:rPr>
                <w:lang w:val="en-GB"/>
              </w:rPr>
            </w:pPr>
            <w:r w:rsidRPr="00B57504">
              <w:rPr>
                <w:lang w:val="en-GB"/>
              </w:rPr>
              <w:t xml:space="preserve">P = </w:t>
            </w:r>
            <w:r w:rsidR="008C34BE" w:rsidRPr="00B57504">
              <w:rPr>
                <w:lang w:val="en-GB"/>
              </w:rPr>
              <w:t>82.8</w:t>
            </w:r>
            <w:r w:rsidRPr="00B57504">
              <w:rPr>
                <w:lang w:val="en-GB"/>
              </w:rPr>
              <w:t xml:space="preserve"> bar; T = </w:t>
            </w:r>
            <w:r w:rsidR="008C34BE" w:rsidRPr="00B57504">
              <w:rPr>
                <w:lang w:val="en-GB"/>
              </w:rPr>
              <w:t>6</w:t>
            </w:r>
            <w:r w:rsidRPr="00B57504">
              <w:rPr>
                <w:lang w:val="en-GB"/>
              </w:rPr>
              <w:t>0 ºC</w:t>
            </w:r>
          </w:p>
        </w:tc>
        <w:tc>
          <w:tcPr>
            <w:tcW w:w="0" w:type="auto"/>
            <w:tcBorders>
              <w:top w:val="nil"/>
              <w:bottom w:val="nil"/>
            </w:tcBorders>
            <w:shd w:val="clear" w:color="auto" w:fill="FFFFFF"/>
          </w:tcPr>
          <w:p w14:paraId="67E23A6E" w14:textId="77777777" w:rsidR="00B23C35" w:rsidRPr="00B57504" w:rsidRDefault="0066092B" w:rsidP="003028EC">
            <w:pPr>
              <w:pStyle w:val="CETBodytext"/>
              <w:jc w:val="center"/>
              <w:rPr>
                <w:lang w:val="en-GB"/>
              </w:rPr>
            </w:pPr>
            <w:r w:rsidRPr="00B57504">
              <w:rPr>
                <w:lang w:val="en-GB"/>
              </w:rPr>
              <w:t xml:space="preserve">P = </w:t>
            </w:r>
            <w:r w:rsidR="00EF3BD2" w:rsidRPr="00B57504">
              <w:rPr>
                <w:lang w:val="en-GB"/>
              </w:rPr>
              <w:t>83</w:t>
            </w:r>
            <w:r w:rsidRPr="00B57504">
              <w:rPr>
                <w:lang w:val="en-GB"/>
              </w:rPr>
              <w:t xml:space="preserve"> bar, T = </w:t>
            </w:r>
            <w:r w:rsidR="00EF3BD2" w:rsidRPr="00B57504">
              <w:rPr>
                <w:lang w:val="en-GB"/>
              </w:rPr>
              <w:t>6</w:t>
            </w:r>
            <w:r w:rsidRPr="00B57504">
              <w:rPr>
                <w:lang w:val="en-GB"/>
              </w:rPr>
              <w:t>0 ºC</w:t>
            </w:r>
          </w:p>
        </w:tc>
      </w:tr>
      <w:tr w:rsidR="00B23C35" w:rsidRPr="007A5F29" w14:paraId="45C3589D" w14:textId="77777777" w:rsidTr="0066092B">
        <w:tc>
          <w:tcPr>
            <w:tcW w:w="0" w:type="auto"/>
            <w:tcBorders>
              <w:top w:val="nil"/>
            </w:tcBorders>
            <w:shd w:val="clear" w:color="auto" w:fill="FFFFFF"/>
            <w:vAlign w:val="center"/>
          </w:tcPr>
          <w:p w14:paraId="2D051C93" w14:textId="77777777" w:rsidR="00B23C35" w:rsidRPr="00B57504" w:rsidRDefault="00B23C35" w:rsidP="003028EC">
            <w:pPr>
              <w:pStyle w:val="CETBodytext"/>
              <w:jc w:val="center"/>
              <w:rPr>
                <w:lang w:val="en-GB"/>
              </w:rPr>
            </w:pPr>
            <w:r w:rsidRPr="00B57504">
              <w:rPr>
                <w:lang w:val="en-GB"/>
              </w:rPr>
              <w:t>ACET (</w:t>
            </w:r>
            <w:proofErr w:type="spellStart"/>
            <w:r w:rsidRPr="00B57504">
              <w:rPr>
                <w:lang w:val="en-GB"/>
              </w:rPr>
              <w:t>RadFrac</w:t>
            </w:r>
            <w:proofErr w:type="spellEnd"/>
            <w:r w:rsidRPr="00B57504">
              <w:rPr>
                <w:lang w:val="en-GB"/>
              </w:rPr>
              <w:t>)</w:t>
            </w:r>
          </w:p>
        </w:tc>
        <w:tc>
          <w:tcPr>
            <w:tcW w:w="0" w:type="auto"/>
            <w:tcBorders>
              <w:top w:val="nil"/>
            </w:tcBorders>
            <w:shd w:val="clear" w:color="auto" w:fill="FFFFFF"/>
            <w:vAlign w:val="center"/>
          </w:tcPr>
          <w:p w14:paraId="3825FD0F" w14:textId="77777777" w:rsidR="00B23C35" w:rsidRPr="00B57504" w:rsidRDefault="00B23C35" w:rsidP="003028EC">
            <w:pPr>
              <w:pStyle w:val="CETBodytext"/>
              <w:jc w:val="center"/>
              <w:rPr>
                <w:lang w:val="en-GB"/>
              </w:rPr>
            </w:pPr>
            <w:r w:rsidRPr="00B57504">
              <w:rPr>
                <w:lang w:val="en-GB"/>
              </w:rPr>
              <w:t>1</w:t>
            </w:r>
            <w:r w:rsidR="008C34BE" w:rsidRPr="00B57504">
              <w:rPr>
                <w:lang w:val="en-GB"/>
              </w:rPr>
              <w:t>0</w:t>
            </w:r>
            <w:r w:rsidRPr="00B57504">
              <w:rPr>
                <w:lang w:val="en-GB"/>
              </w:rPr>
              <w:t xml:space="preserve"> stages (3-</w:t>
            </w:r>
            <w:r w:rsidR="008C34BE" w:rsidRPr="00B57504">
              <w:rPr>
                <w:lang w:val="en-GB"/>
              </w:rPr>
              <w:t>9</w:t>
            </w:r>
            <w:r w:rsidRPr="00B57504">
              <w:rPr>
                <w:lang w:val="en-GB"/>
              </w:rPr>
              <w:t xml:space="preserve"> reactive);</w:t>
            </w:r>
            <w:r w:rsidR="0066092B" w:rsidRPr="00B57504">
              <w:rPr>
                <w:lang w:val="en-GB"/>
              </w:rPr>
              <w:br/>
            </w:r>
            <w:r w:rsidRPr="00B57504">
              <w:rPr>
                <w:lang w:val="en-GB"/>
              </w:rPr>
              <w:t xml:space="preserve">RR = </w:t>
            </w:r>
            <w:r w:rsidR="008C34BE" w:rsidRPr="00B57504">
              <w:rPr>
                <w:lang w:val="en-GB"/>
              </w:rPr>
              <w:t>0.52</w:t>
            </w:r>
            <w:r w:rsidRPr="00B57504">
              <w:rPr>
                <w:lang w:val="en-GB"/>
              </w:rPr>
              <w:t>; D/F = 0.5</w:t>
            </w:r>
            <w:r w:rsidR="008C34BE" w:rsidRPr="00B57504">
              <w:rPr>
                <w:lang w:val="en-GB"/>
              </w:rPr>
              <w:t>2</w:t>
            </w:r>
            <w:r w:rsidRPr="00B57504">
              <w:rPr>
                <w:lang w:val="en-GB"/>
              </w:rPr>
              <w:t>;</w:t>
            </w:r>
          </w:p>
          <w:p w14:paraId="2469F122" w14:textId="77777777" w:rsidR="00B23C35" w:rsidRPr="00B57504" w:rsidRDefault="00B23C35" w:rsidP="003028EC">
            <w:pPr>
              <w:pStyle w:val="CETBodytext"/>
              <w:jc w:val="center"/>
              <w:rPr>
                <w:lang w:val="en-GB"/>
              </w:rPr>
            </w:pPr>
            <w:r w:rsidRPr="00B57504">
              <w:rPr>
                <w:lang w:val="en-GB"/>
              </w:rPr>
              <w:t>Liquid holdup = 1</w:t>
            </w:r>
            <w:r w:rsidR="00D33E79" w:rsidRPr="00B57504">
              <w:rPr>
                <w:lang w:val="en-GB"/>
              </w:rPr>
              <w:t>35</w:t>
            </w:r>
            <w:r w:rsidRPr="00B57504">
              <w:rPr>
                <w:lang w:val="en-GB"/>
              </w:rPr>
              <w:t>0 L; D = 1.</w:t>
            </w:r>
            <w:r w:rsidR="00D33E79" w:rsidRPr="00B57504">
              <w:rPr>
                <w:lang w:val="en-GB"/>
              </w:rPr>
              <w:t>7</w:t>
            </w:r>
            <w:r w:rsidRPr="00B57504">
              <w:rPr>
                <w:lang w:val="en-GB"/>
              </w:rPr>
              <w:t xml:space="preserve"> m;</w:t>
            </w:r>
            <w:r w:rsidR="0066092B" w:rsidRPr="00B57504">
              <w:rPr>
                <w:lang w:val="en-GB"/>
              </w:rPr>
              <w:br/>
            </w:r>
            <w:r w:rsidRPr="00B57504">
              <w:rPr>
                <w:lang w:val="en-GB"/>
              </w:rPr>
              <w:t xml:space="preserve">P = </w:t>
            </w:r>
            <w:r w:rsidR="00D33E79" w:rsidRPr="00B57504">
              <w:rPr>
                <w:lang w:val="en-GB"/>
              </w:rPr>
              <w:t>2.5</w:t>
            </w:r>
            <w:r w:rsidRPr="00B57504">
              <w:rPr>
                <w:lang w:val="en-GB"/>
              </w:rPr>
              <w:t xml:space="preserve"> – </w:t>
            </w:r>
            <w:r w:rsidR="00D33E79" w:rsidRPr="00B57504">
              <w:rPr>
                <w:lang w:val="en-GB"/>
              </w:rPr>
              <w:t>2.5</w:t>
            </w:r>
            <w:r w:rsidR="00930DC0" w:rsidRPr="00B57504">
              <w:rPr>
                <w:lang w:val="en-GB"/>
              </w:rPr>
              <w:t>4</w:t>
            </w:r>
            <w:r w:rsidRPr="00B57504">
              <w:rPr>
                <w:lang w:val="en-GB"/>
              </w:rPr>
              <w:t xml:space="preserve"> bar</w:t>
            </w:r>
          </w:p>
        </w:tc>
        <w:tc>
          <w:tcPr>
            <w:tcW w:w="0" w:type="auto"/>
            <w:tcBorders>
              <w:top w:val="nil"/>
            </w:tcBorders>
            <w:shd w:val="clear" w:color="auto" w:fill="FFFFFF"/>
          </w:tcPr>
          <w:p w14:paraId="0F54602C" w14:textId="77777777" w:rsidR="0066092B" w:rsidRPr="00B57504" w:rsidRDefault="0066092B" w:rsidP="0066092B">
            <w:pPr>
              <w:pStyle w:val="CETBodytext"/>
              <w:jc w:val="center"/>
              <w:rPr>
                <w:lang w:val="en-GB"/>
              </w:rPr>
            </w:pPr>
            <w:r w:rsidRPr="00B57504">
              <w:rPr>
                <w:lang w:val="en-GB"/>
              </w:rPr>
              <w:t>1</w:t>
            </w:r>
            <w:r w:rsidR="002C3352" w:rsidRPr="00B57504">
              <w:rPr>
                <w:lang w:val="en-GB"/>
              </w:rPr>
              <w:t>2</w:t>
            </w:r>
            <w:r w:rsidRPr="00B57504">
              <w:rPr>
                <w:lang w:val="en-GB"/>
              </w:rPr>
              <w:t xml:space="preserve"> stages (3-1</w:t>
            </w:r>
            <w:r w:rsidR="002C3352" w:rsidRPr="00B57504">
              <w:rPr>
                <w:lang w:val="en-GB"/>
              </w:rPr>
              <w:t>1</w:t>
            </w:r>
            <w:r w:rsidRPr="00B57504">
              <w:rPr>
                <w:lang w:val="en-GB"/>
              </w:rPr>
              <w:t xml:space="preserve"> reactive)</w:t>
            </w:r>
            <w:r w:rsidRPr="00B57504">
              <w:rPr>
                <w:lang w:val="en-GB"/>
              </w:rPr>
              <w:br/>
              <w:t>RR = 0.</w:t>
            </w:r>
            <w:r w:rsidR="002C3352" w:rsidRPr="00B57504">
              <w:rPr>
                <w:lang w:val="en-GB"/>
              </w:rPr>
              <w:t>6</w:t>
            </w:r>
            <w:r w:rsidRPr="00B57504">
              <w:rPr>
                <w:lang w:val="en-GB"/>
              </w:rPr>
              <w:t>; D/F = 0.77;</w:t>
            </w:r>
          </w:p>
          <w:p w14:paraId="32FA4204" w14:textId="77777777" w:rsidR="00B23C35" w:rsidRPr="00B57504" w:rsidRDefault="0066092B" w:rsidP="0066092B">
            <w:pPr>
              <w:pStyle w:val="CETBodytext"/>
              <w:jc w:val="center"/>
              <w:rPr>
                <w:lang w:val="en-GB"/>
              </w:rPr>
            </w:pPr>
            <w:r w:rsidRPr="00B57504">
              <w:rPr>
                <w:lang w:val="en-GB"/>
              </w:rPr>
              <w:t>Liquid holdup = 1</w:t>
            </w:r>
            <w:r w:rsidR="002C3352" w:rsidRPr="00B57504">
              <w:rPr>
                <w:lang w:val="en-GB"/>
              </w:rPr>
              <w:t>2</w:t>
            </w:r>
            <w:r w:rsidRPr="00B57504">
              <w:rPr>
                <w:lang w:val="en-GB"/>
              </w:rPr>
              <w:t>00 L; D = 1.</w:t>
            </w:r>
            <w:r w:rsidR="002C3352" w:rsidRPr="00B57504">
              <w:rPr>
                <w:lang w:val="en-GB"/>
              </w:rPr>
              <w:t>62</w:t>
            </w:r>
            <w:r w:rsidRPr="00B57504">
              <w:rPr>
                <w:lang w:val="en-GB"/>
              </w:rPr>
              <w:t xml:space="preserve"> m;</w:t>
            </w:r>
            <w:r w:rsidRPr="00B57504">
              <w:rPr>
                <w:lang w:val="en-GB"/>
              </w:rPr>
              <w:br/>
              <w:t>P = 1.2 – 1.27 bar</w:t>
            </w:r>
          </w:p>
        </w:tc>
      </w:tr>
      <w:tr w:rsidR="0066092B" w:rsidRPr="007A5F29" w14:paraId="250F2250" w14:textId="77777777" w:rsidTr="00150B31">
        <w:tc>
          <w:tcPr>
            <w:tcW w:w="0" w:type="auto"/>
            <w:shd w:val="clear" w:color="auto" w:fill="FFFFFF"/>
            <w:vAlign w:val="center"/>
          </w:tcPr>
          <w:p w14:paraId="722B4B9C" w14:textId="77777777" w:rsidR="0066092B" w:rsidRPr="00B57504" w:rsidRDefault="0066092B" w:rsidP="0066092B">
            <w:pPr>
              <w:pStyle w:val="CETBodytext"/>
              <w:ind w:right="-1"/>
              <w:jc w:val="center"/>
              <w:rPr>
                <w:lang w:val="en-GB"/>
              </w:rPr>
            </w:pPr>
            <w:r w:rsidRPr="00B57504">
              <w:rPr>
                <w:lang w:val="en-GB"/>
              </w:rPr>
              <w:t>AC-REC (</w:t>
            </w:r>
            <w:proofErr w:type="spellStart"/>
            <w:r w:rsidRPr="00B57504">
              <w:rPr>
                <w:lang w:val="en-GB"/>
              </w:rPr>
              <w:t>RadFrac</w:t>
            </w:r>
            <w:proofErr w:type="spellEnd"/>
            <w:r w:rsidRPr="00B57504">
              <w:rPr>
                <w:lang w:val="en-GB"/>
              </w:rPr>
              <w:t>)</w:t>
            </w:r>
          </w:p>
        </w:tc>
        <w:tc>
          <w:tcPr>
            <w:tcW w:w="0" w:type="auto"/>
            <w:shd w:val="clear" w:color="auto" w:fill="FFFFFF"/>
            <w:vAlign w:val="center"/>
          </w:tcPr>
          <w:p w14:paraId="020091F1" w14:textId="77777777" w:rsidR="0066092B" w:rsidRPr="00B57504" w:rsidRDefault="008C34BE" w:rsidP="0066092B">
            <w:pPr>
              <w:pStyle w:val="CETBodytext"/>
              <w:ind w:right="-1"/>
              <w:jc w:val="center"/>
              <w:rPr>
                <w:lang w:val="en-GB"/>
              </w:rPr>
            </w:pPr>
            <w:r w:rsidRPr="00B57504">
              <w:rPr>
                <w:lang w:val="en-GB"/>
              </w:rPr>
              <w:t>20</w:t>
            </w:r>
            <w:r w:rsidR="0066092B" w:rsidRPr="00B57504">
              <w:rPr>
                <w:lang w:val="en-GB"/>
              </w:rPr>
              <w:t xml:space="preserve"> stages; RR = </w:t>
            </w:r>
            <w:r w:rsidR="00D33E79" w:rsidRPr="00B57504">
              <w:rPr>
                <w:lang w:val="en-GB"/>
              </w:rPr>
              <w:t>0.42</w:t>
            </w:r>
            <w:r w:rsidR="0066092B" w:rsidRPr="00B57504">
              <w:rPr>
                <w:lang w:val="en-GB"/>
              </w:rPr>
              <w:t xml:space="preserve">; D/F = </w:t>
            </w:r>
            <w:r w:rsidR="00D33E79" w:rsidRPr="00B57504">
              <w:rPr>
                <w:lang w:val="en-GB"/>
              </w:rPr>
              <w:t>0.66</w:t>
            </w:r>
            <w:r w:rsidR="0066092B" w:rsidRPr="00B57504">
              <w:rPr>
                <w:lang w:val="en-GB"/>
              </w:rPr>
              <w:t>;</w:t>
            </w:r>
          </w:p>
          <w:p w14:paraId="6AEB7E2D" w14:textId="77777777" w:rsidR="0066092B" w:rsidRPr="00B57504" w:rsidRDefault="0066092B" w:rsidP="0066092B">
            <w:pPr>
              <w:pStyle w:val="CETBodytext"/>
              <w:ind w:right="-1"/>
              <w:jc w:val="center"/>
              <w:rPr>
                <w:lang w:val="en-GB"/>
              </w:rPr>
            </w:pPr>
            <w:r w:rsidRPr="00B57504">
              <w:rPr>
                <w:lang w:val="en-GB"/>
              </w:rPr>
              <w:t xml:space="preserve">P = </w:t>
            </w:r>
            <w:r w:rsidR="008C34BE" w:rsidRPr="00B57504">
              <w:rPr>
                <w:lang w:val="en-GB"/>
              </w:rPr>
              <w:t>3</w:t>
            </w:r>
            <w:r w:rsidRPr="00B57504">
              <w:rPr>
                <w:lang w:val="en-GB"/>
              </w:rPr>
              <w:t xml:space="preserve"> – </w:t>
            </w:r>
            <w:r w:rsidR="008C34BE" w:rsidRPr="00B57504">
              <w:rPr>
                <w:lang w:val="en-GB"/>
              </w:rPr>
              <w:t>3</w:t>
            </w:r>
            <w:r w:rsidRPr="00B57504">
              <w:rPr>
                <w:lang w:val="en-GB"/>
              </w:rPr>
              <w:t>.</w:t>
            </w:r>
            <w:r w:rsidR="002C3352" w:rsidRPr="00B57504">
              <w:rPr>
                <w:lang w:val="en-GB"/>
              </w:rPr>
              <w:t>13</w:t>
            </w:r>
            <w:r w:rsidRPr="00B57504">
              <w:rPr>
                <w:lang w:val="en-GB"/>
              </w:rPr>
              <w:t xml:space="preserve"> bar; D = </w:t>
            </w:r>
            <w:r w:rsidR="00D33E79" w:rsidRPr="00B57504">
              <w:rPr>
                <w:lang w:val="en-GB"/>
              </w:rPr>
              <w:t>1.09</w:t>
            </w:r>
            <w:r w:rsidRPr="00B57504">
              <w:rPr>
                <w:lang w:val="en-GB"/>
              </w:rPr>
              <w:t xml:space="preserve"> m</w:t>
            </w:r>
          </w:p>
        </w:tc>
        <w:tc>
          <w:tcPr>
            <w:tcW w:w="0" w:type="auto"/>
            <w:shd w:val="clear" w:color="auto" w:fill="FFFFFF"/>
            <w:vAlign w:val="center"/>
          </w:tcPr>
          <w:p w14:paraId="675463F5" w14:textId="77777777" w:rsidR="0066092B" w:rsidRPr="00B57504" w:rsidRDefault="002C3352" w:rsidP="0066092B">
            <w:pPr>
              <w:pStyle w:val="CETBodytext"/>
              <w:ind w:right="-1"/>
              <w:jc w:val="center"/>
              <w:rPr>
                <w:lang w:val="en-GB"/>
              </w:rPr>
            </w:pPr>
            <w:r w:rsidRPr="00B57504">
              <w:rPr>
                <w:lang w:val="en-GB"/>
              </w:rPr>
              <w:t>20</w:t>
            </w:r>
            <w:r w:rsidR="0066092B" w:rsidRPr="00B57504">
              <w:rPr>
                <w:lang w:val="en-GB"/>
              </w:rPr>
              <w:t xml:space="preserve"> stages; RR = 0.407; D/F = 0.754;</w:t>
            </w:r>
          </w:p>
          <w:p w14:paraId="2B8B963B" w14:textId="77777777" w:rsidR="0066092B" w:rsidRPr="00B57504" w:rsidRDefault="0066092B" w:rsidP="0066092B">
            <w:pPr>
              <w:pStyle w:val="CETBodytext"/>
              <w:ind w:right="-1"/>
              <w:jc w:val="center"/>
              <w:rPr>
                <w:lang w:val="en-GB"/>
              </w:rPr>
            </w:pPr>
            <w:r w:rsidRPr="00B57504">
              <w:rPr>
                <w:lang w:val="en-GB"/>
              </w:rPr>
              <w:t xml:space="preserve">P = </w:t>
            </w:r>
            <w:r w:rsidR="002C3352" w:rsidRPr="00B57504">
              <w:rPr>
                <w:lang w:val="en-GB"/>
              </w:rPr>
              <w:t>3</w:t>
            </w:r>
            <w:r w:rsidRPr="00B57504">
              <w:rPr>
                <w:lang w:val="en-GB"/>
              </w:rPr>
              <w:t xml:space="preserve"> – </w:t>
            </w:r>
            <w:r w:rsidR="002C3352" w:rsidRPr="00B57504">
              <w:rPr>
                <w:lang w:val="en-GB"/>
              </w:rPr>
              <w:t>3.13</w:t>
            </w:r>
            <w:r w:rsidRPr="00B57504">
              <w:rPr>
                <w:lang w:val="en-GB"/>
              </w:rPr>
              <w:t xml:space="preserve"> bar; D = 1.1</w:t>
            </w:r>
            <w:r w:rsidR="002C3352" w:rsidRPr="00B57504">
              <w:rPr>
                <w:lang w:val="en-GB"/>
              </w:rPr>
              <w:t>1</w:t>
            </w:r>
            <w:r w:rsidRPr="00B57504">
              <w:rPr>
                <w:lang w:val="en-GB"/>
              </w:rPr>
              <w:t xml:space="preserve"> m</w:t>
            </w:r>
          </w:p>
        </w:tc>
      </w:tr>
      <w:tr w:rsidR="0066092B" w:rsidRPr="007A5F29" w14:paraId="4B156B1A" w14:textId="77777777" w:rsidTr="00150B31">
        <w:tc>
          <w:tcPr>
            <w:tcW w:w="0" w:type="auto"/>
            <w:shd w:val="clear" w:color="auto" w:fill="FFFFFF"/>
            <w:vAlign w:val="center"/>
          </w:tcPr>
          <w:p w14:paraId="50A41879" w14:textId="77777777" w:rsidR="0066092B" w:rsidRPr="00B57504" w:rsidRDefault="0066092B" w:rsidP="0066092B">
            <w:pPr>
              <w:pStyle w:val="CETBodytext"/>
              <w:ind w:right="-1"/>
              <w:jc w:val="center"/>
              <w:rPr>
                <w:lang w:val="en-GB"/>
              </w:rPr>
            </w:pPr>
            <w:r w:rsidRPr="00B57504">
              <w:rPr>
                <w:lang w:val="en-GB"/>
              </w:rPr>
              <w:t>HYDR (</w:t>
            </w:r>
            <w:proofErr w:type="spellStart"/>
            <w:r w:rsidRPr="00B57504">
              <w:rPr>
                <w:lang w:val="en-GB"/>
              </w:rPr>
              <w:t>RadFrac</w:t>
            </w:r>
            <w:proofErr w:type="spellEnd"/>
            <w:r w:rsidRPr="00B57504">
              <w:rPr>
                <w:lang w:val="en-GB"/>
              </w:rPr>
              <w:t>)</w:t>
            </w:r>
          </w:p>
        </w:tc>
        <w:tc>
          <w:tcPr>
            <w:tcW w:w="0" w:type="auto"/>
            <w:shd w:val="clear" w:color="auto" w:fill="FFFFFF"/>
            <w:vAlign w:val="center"/>
          </w:tcPr>
          <w:p w14:paraId="424BC9C0" w14:textId="77777777" w:rsidR="0066092B" w:rsidRPr="00B57504" w:rsidRDefault="00D33E79" w:rsidP="0066092B">
            <w:pPr>
              <w:pStyle w:val="CETBodytext"/>
              <w:ind w:right="-1"/>
              <w:jc w:val="center"/>
              <w:rPr>
                <w:lang w:val="en-GB"/>
              </w:rPr>
            </w:pPr>
            <w:r w:rsidRPr="00B57504">
              <w:rPr>
                <w:lang w:val="en-GB"/>
              </w:rPr>
              <w:t>20</w:t>
            </w:r>
            <w:r w:rsidR="0066092B" w:rsidRPr="00B57504">
              <w:rPr>
                <w:lang w:val="en-GB"/>
              </w:rPr>
              <w:t xml:space="preserve"> stages (2-1</w:t>
            </w:r>
            <w:r w:rsidRPr="00B57504">
              <w:rPr>
                <w:lang w:val="en-GB"/>
              </w:rPr>
              <w:t>5</w:t>
            </w:r>
            <w:r w:rsidR="0066092B" w:rsidRPr="00B57504">
              <w:rPr>
                <w:lang w:val="en-GB"/>
              </w:rPr>
              <w:t xml:space="preserve"> reactive); RR = 4; D/F = 0.4</w:t>
            </w:r>
            <w:r w:rsidRPr="00B57504">
              <w:rPr>
                <w:lang w:val="en-GB"/>
              </w:rPr>
              <w:t>96</w:t>
            </w:r>
            <w:r w:rsidR="0066092B" w:rsidRPr="00B57504">
              <w:rPr>
                <w:lang w:val="en-GB"/>
              </w:rPr>
              <w:t>;</w:t>
            </w:r>
          </w:p>
          <w:p w14:paraId="7087A4E3" w14:textId="77777777" w:rsidR="0066092B" w:rsidRPr="00B57504" w:rsidRDefault="0066092B" w:rsidP="0066092B">
            <w:pPr>
              <w:pStyle w:val="CETBodytext"/>
              <w:ind w:right="-1"/>
              <w:jc w:val="center"/>
              <w:rPr>
                <w:lang w:val="en-GB"/>
              </w:rPr>
            </w:pPr>
            <w:r w:rsidRPr="00B57504">
              <w:rPr>
                <w:lang w:val="en-GB"/>
              </w:rPr>
              <w:t xml:space="preserve">Liquid holdup = </w:t>
            </w:r>
            <w:r w:rsidR="00D33E79" w:rsidRPr="00B57504">
              <w:rPr>
                <w:lang w:val="en-GB"/>
              </w:rPr>
              <w:t>60</w:t>
            </w:r>
            <w:r w:rsidRPr="00B57504">
              <w:rPr>
                <w:lang w:val="en-GB"/>
              </w:rPr>
              <w:t>0 L;</w:t>
            </w:r>
            <w:r w:rsidRPr="00B57504">
              <w:rPr>
                <w:lang w:val="en-GB"/>
              </w:rPr>
              <w:br/>
              <w:t>P = 1 – 1.06 bar; D = 1.</w:t>
            </w:r>
            <w:r w:rsidR="00D33E79" w:rsidRPr="00B57504">
              <w:rPr>
                <w:lang w:val="en-GB"/>
              </w:rPr>
              <w:t>11</w:t>
            </w:r>
            <w:r w:rsidRPr="00B57504">
              <w:rPr>
                <w:lang w:val="en-GB"/>
              </w:rPr>
              <w:t xml:space="preserve"> m</w:t>
            </w:r>
          </w:p>
        </w:tc>
        <w:tc>
          <w:tcPr>
            <w:tcW w:w="0" w:type="auto"/>
            <w:shd w:val="clear" w:color="auto" w:fill="FFFFFF"/>
            <w:vAlign w:val="center"/>
          </w:tcPr>
          <w:p w14:paraId="1ECD8603" w14:textId="77777777" w:rsidR="0046357B" w:rsidRPr="00B57504" w:rsidRDefault="0046357B" w:rsidP="0046357B">
            <w:pPr>
              <w:pStyle w:val="CETBodytext"/>
              <w:ind w:right="-1"/>
              <w:jc w:val="center"/>
              <w:rPr>
                <w:lang w:val="en-GB"/>
              </w:rPr>
            </w:pPr>
            <w:r w:rsidRPr="00B57504">
              <w:rPr>
                <w:lang w:val="en-GB"/>
              </w:rPr>
              <w:t>20 stages (2-15 reactive); RR = 4; D/F = 0.5;</w:t>
            </w:r>
          </w:p>
          <w:p w14:paraId="4D9AEA25" w14:textId="77777777" w:rsidR="0066092B" w:rsidRPr="00B57504" w:rsidRDefault="0046357B" w:rsidP="0046357B">
            <w:pPr>
              <w:pStyle w:val="CETBodytext"/>
              <w:ind w:right="-1"/>
              <w:jc w:val="center"/>
              <w:rPr>
                <w:lang w:val="en-GB"/>
              </w:rPr>
            </w:pPr>
            <w:r w:rsidRPr="00B57504">
              <w:rPr>
                <w:lang w:val="en-GB"/>
              </w:rPr>
              <w:t>Liquid holdup = 600 L;</w:t>
            </w:r>
            <w:r w:rsidR="0066092B" w:rsidRPr="00B57504">
              <w:rPr>
                <w:lang w:val="en-GB"/>
              </w:rPr>
              <w:br/>
              <w:t>P = 1 – 1.06 bar; D = 1.</w:t>
            </w:r>
            <w:r w:rsidR="002C3352" w:rsidRPr="00B57504">
              <w:rPr>
                <w:lang w:val="en-GB"/>
              </w:rPr>
              <w:t>12</w:t>
            </w:r>
            <w:r w:rsidR="0066092B" w:rsidRPr="00B57504">
              <w:rPr>
                <w:lang w:val="en-GB"/>
              </w:rPr>
              <w:t xml:space="preserve"> m</w:t>
            </w:r>
          </w:p>
        </w:tc>
      </w:tr>
      <w:tr w:rsidR="0066092B" w:rsidRPr="007A5F29" w14:paraId="725EE627" w14:textId="77777777" w:rsidTr="00150B31">
        <w:tc>
          <w:tcPr>
            <w:tcW w:w="0" w:type="auto"/>
            <w:shd w:val="clear" w:color="auto" w:fill="FFFFFF"/>
            <w:vAlign w:val="center"/>
          </w:tcPr>
          <w:p w14:paraId="0FBAA03C" w14:textId="77777777" w:rsidR="0066092B" w:rsidRPr="00B57504" w:rsidRDefault="0066092B" w:rsidP="0066092B">
            <w:pPr>
              <w:pStyle w:val="CETBodytext"/>
              <w:ind w:right="-1"/>
              <w:jc w:val="center"/>
              <w:rPr>
                <w:lang w:val="en-GB"/>
              </w:rPr>
            </w:pPr>
            <w:r w:rsidRPr="00B57504">
              <w:rPr>
                <w:lang w:val="en-GB"/>
              </w:rPr>
              <w:t>AC-REC</w:t>
            </w:r>
            <w:r w:rsidR="00CA4419">
              <w:rPr>
                <w:lang w:val="en-GB"/>
              </w:rPr>
              <w:t>-2</w:t>
            </w:r>
            <w:r w:rsidRPr="00B57504">
              <w:rPr>
                <w:lang w:val="en-GB"/>
              </w:rPr>
              <w:t xml:space="preserve"> (</w:t>
            </w:r>
            <w:proofErr w:type="spellStart"/>
            <w:r w:rsidRPr="00B57504">
              <w:rPr>
                <w:lang w:val="en-GB"/>
              </w:rPr>
              <w:t>RadFrac</w:t>
            </w:r>
            <w:proofErr w:type="spellEnd"/>
            <w:r w:rsidRPr="00B57504">
              <w:rPr>
                <w:lang w:val="en-GB"/>
              </w:rPr>
              <w:t>)</w:t>
            </w:r>
          </w:p>
        </w:tc>
        <w:tc>
          <w:tcPr>
            <w:tcW w:w="0" w:type="auto"/>
            <w:shd w:val="clear" w:color="auto" w:fill="FFFFFF"/>
            <w:vAlign w:val="center"/>
          </w:tcPr>
          <w:p w14:paraId="05A1E4D5" w14:textId="77777777" w:rsidR="008C34BE" w:rsidRPr="00B57504" w:rsidRDefault="008C34BE" w:rsidP="008C34BE">
            <w:pPr>
              <w:pStyle w:val="CETBodytext"/>
              <w:ind w:right="-1"/>
              <w:jc w:val="center"/>
              <w:rPr>
                <w:lang w:val="en-GB"/>
              </w:rPr>
            </w:pPr>
            <w:r w:rsidRPr="00B57504">
              <w:rPr>
                <w:lang w:val="en-GB"/>
              </w:rPr>
              <w:t>14 stages; RR = 1; D/F = 0.51;</w:t>
            </w:r>
          </w:p>
          <w:p w14:paraId="2ED47A59" w14:textId="77777777" w:rsidR="0066092B" w:rsidRPr="00B57504" w:rsidRDefault="008C34BE" w:rsidP="008C34BE">
            <w:pPr>
              <w:pStyle w:val="CETBodytext"/>
              <w:ind w:right="-1"/>
              <w:jc w:val="center"/>
              <w:rPr>
                <w:lang w:val="en-GB"/>
              </w:rPr>
            </w:pPr>
            <w:r w:rsidRPr="00B57504">
              <w:rPr>
                <w:lang w:val="en-GB"/>
              </w:rPr>
              <w:t>P = 3 – 3.09 bar; D = 0.58 m</w:t>
            </w:r>
          </w:p>
        </w:tc>
        <w:tc>
          <w:tcPr>
            <w:tcW w:w="0" w:type="auto"/>
            <w:shd w:val="clear" w:color="auto" w:fill="FFFFFF"/>
            <w:vAlign w:val="center"/>
          </w:tcPr>
          <w:p w14:paraId="2866804D" w14:textId="77777777" w:rsidR="0066092B" w:rsidRPr="00B57504" w:rsidRDefault="0066092B" w:rsidP="0066092B">
            <w:pPr>
              <w:pStyle w:val="CETBodytext"/>
              <w:ind w:right="-1"/>
              <w:jc w:val="center"/>
              <w:rPr>
                <w:lang w:val="en-GB"/>
              </w:rPr>
            </w:pPr>
            <w:r w:rsidRPr="00B57504">
              <w:rPr>
                <w:lang w:val="en-GB"/>
              </w:rPr>
              <w:t>1</w:t>
            </w:r>
            <w:r w:rsidR="002C3352" w:rsidRPr="00B57504">
              <w:rPr>
                <w:lang w:val="en-GB"/>
              </w:rPr>
              <w:t>4</w:t>
            </w:r>
            <w:r w:rsidRPr="00B57504">
              <w:rPr>
                <w:lang w:val="en-GB"/>
              </w:rPr>
              <w:t xml:space="preserve"> stages; RR = </w:t>
            </w:r>
            <w:r w:rsidR="0091322A" w:rsidRPr="00B57504">
              <w:rPr>
                <w:lang w:val="en-GB"/>
              </w:rPr>
              <w:t>1.13</w:t>
            </w:r>
            <w:r w:rsidRPr="00B57504">
              <w:rPr>
                <w:lang w:val="en-GB"/>
              </w:rPr>
              <w:t>; D/F = 0.</w:t>
            </w:r>
            <w:r w:rsidR="0091322A" w:rsidRPr="00B57504">
              <w:rPr>
                <w:lang w:val="en-GB"/>
              </w:rPr>
              <w:t>5</w:t>
            </w:r>
            <w:r w:rsidRPr="00B57504">
              <w:rPr>
                <w:lang w:val="en-GB"/>
              </w:rPr>
              <w:t>;</w:t>
            </w:r>
          </w:p>
          <w:p w14:paraId="7F54C6E3" w14:textId="77777777" w:rsidR="0066092B" w:rsidRPr="00B57504" w:rsidRDefault="0066092B" w:rsidP="0066092B">
            <w:pPr>
              <w:pStyle w:val="CETBodytext"/>
              <w:ind w:right="-1"/>
              <w:jc w:val="center"/>
              <w:rPr>
                <w:lang w:val="en-GB"/>
              </w:rPr>
            </w:pPr>
            <w:r w:rsidRPr="00B57504">
              <w:rPr>
                <w:lang w:val="en-GB"/>
              </w:rPr>
              <w:t xml:space="preserve">P = </w:t>
            </w:r>
            <w:r w:rsidR="0091322A" w:rsidRPr="00B57504">
              <w:rPr>
                <w:lang w:val="en-GB"/>
              </w:rPr>
              <w:t>3</w:t>
            </w:r>
            <w:r w:rsidRPr="00B57504">
              <w:rPr>
                <w:lang w:val="en-GB"/>
              </w:rPr>
              <w:t xml:space="preserve"> – </w:t>
            </w:r>
            <w:r w:rsidR="0091322A" w:rsidRPr="00B57504">
              <w:rPr>
                <w:lang w:val="en-GB"/>
              </w:rPr>
              <w:t xml:space="preserve">3.09 </w:t>
            </w:r>
            <w:r w:rsidRPr="00B57504">
              <w:rPr>
                <w:lang w:val="en-GB"/>
              </w:rPr>
              <w:t>bar; D = 0.5</w:t>
            </w:r>
            <w:r w:rsidR="0091322A" w:rsidRPr="00B57504">
              <w:rPr>
                <w:lang w:val="en-GB"/>
              </w:rPr>
              <w:t>9</w:t>
            </w:r>
            <w:r w:rsidRPr="00B57504">
              <w:rPr>
                <w:lang w:val="en-GB"/>
              </w:rPr>
              <w:t xml:space="preserve"> m</w:t>
            </w:r>
          </w:p>
        </w:tc>
      </w:tr>
      <w:tr w:rsidR="0066092B" w:rsidRPr="007A5F29" w14:paraId="0F322886" w14:textId="77777777" w:rsidTr="00150B31">
        <w:tc>
          <w:tcPr>
            <w:tcW w:w="0" w:type="auto"/>
            <w:shd w:val="clear" w:color="auto" w:fill="FFFFFF"/>
            <w:vAlign w:val="center"/>
          </w:tcPr>
          <w:p w14:paraId="3DB05164" w14:textId="77777777" w:rsidR="0066092B" w:rsidRPr="00B57504" w:rsidRDefault="0066092B" w:rsidP="0066092B">
            <w:pPr>
              <w:pStyle w:val="CETBodytext"/>
              <w:ind w:right="-1"/>
              <w:jc w:val="center"/>
              <w:rPr>
                <w:lang w:val="en-GB"/>
              </w:rPr>
            </w:pPr>
            <w:r w:rsidRPr="00B57504">
              <w:rPr>
                <w:lang w:val="en-GB"/>
              </w:rPr>
              <w:t>PDO-REC (</w:t>
            </w:r>
            <w:proofErr w:type="spellStart"/>
            <w:r w:rsidRPr="00B57504">
              <w:rPr>
                <w:lang w:val="en-GB"/>
              </w:rPr>
              <w:t>RadFrac</w:t>
            </w:r>
            <w:proofErr w:type="spellEnd"/>
            <w:r w:rsidRPr="00B57504">
              <w:rPr>
                <w:lang w:val="en-GB"/>
              </w:rPr>
              <w:t>)</w:t>
            </w:r>
          </w:p>
        </w:tc>
        <w:tc>
          <w:tcPr>
            <w:tcW w:w="0" w:type="auto"/>
            <w:shd w:val="clear" w:color="auto" w:fill="FFFFFF"/>
            <w:vAlign w:val="center"/>
          </w:tcPr>
          <w:p w14:paraId="302F4079" w14:textId="77777777" w:rsidR="0066092B" w:rsidRPr="00B57504" w:rsidRDefault="0066092B" w:rsidP="0066092B">
            <w:pPr>
              <w:pStyle w:val="CETBodytext"/>
              <w:ind w:right="-1"/>
              <w:jc w:val="center"/>
              <w:rPr>
                <w:lang w:val="en-GB"/>
              </w:rPr>
            </w:pPr>
            <w:r w:rsidRPr="00B57504">
              <w:rPr>
                <w:lang w:val="en-GB"/>
              </w:rPr>
              <w:t>8 stages; RR = 0.</w:t>
            </w:r>
            <w:r w:rsidR="00D33E79" w:rsidRPr="00B57504">
              <w:rPr>
                <w:lang w:val="en-GB"/>
              </w:rPr>
              <w:t>572</w:t>
            </w:r>
            <w:r w:rsidRPr="00B57504">
              <w:rPr>
                <w:lang w:val="en-GB"/>
              </w:rPr>
              <w:t>; D/F = 0.</w:t>
            </w:r>
            <w:r w:rsidR="00D33E79" w:rsidRPr="00B57504">
              <w:rPr>
                <w:lang w:val="en-GB"/>
              </w:rPr>
              <w:t>714</w:t>
            </w:r>
            <w:r w:rsidRPr="00B57504">
              <w:rPr>
                <w:lang w:val="en-GB"/>
              </w:rPr>
              <w:t>;</w:t>
            </w:r>
          </w:p>
          <w:p w14:paraId="1FC91EF3" w14:textId="77777777" w:rsidR="0066092B" w:rsidRPr="00B57504" w:rsidRDefault="0066092B" w:rsidP="0066092B">
            <w:pPr>
              <w:pStyle w:val="CETBodytext"/>
              <w:ind w:right="-1"/>
              <w:jc w:val="center"/>
              <w:rPr>
                <w:lang w:val="en-GB"/>
              </w:rPr>
            </w:pPr>
            <w:r w:rsidRPr="00B57504">
              <w:rPr>
                <w:lang w:val="en-GB"/>
              </w:rPr>
              <w:t>P = 1 – 1.05 bar; D = 0.</w:t>
            </w:r>
            <w:r w:rsidR="00930DC0" w:rsidRPr="00B57504">
              <w:rPr>
                <w:lang w:val="en-GB"/>
              </w:rPr>
              <w:t>59</w:t>
            </w:r>
            <w:r w:rsidRPr="00B57504">
              <w:rPr>
                <w:lang w:val="en-GB"/>
              </w:rPr>
              <w:t xml:space="preserve"> m</w:t>
            </w:r>
          </w:p>
        </w:tc>
        <w:tc>
          <w:tcPr>
            <w:tcW w:w="0" w:type="auto"/>
            <w:shd w:val="clear" w:color="auto" w:fill="FFFFFF"/>
            <w:vAlign w:val="center"/>
          </w:tcPr>
          <w:p w14:paraId="01B52493" w14:textId="77777777" w:rsidR="0066092B" w:rsidRPr="00B57504" w:rsidRDefault="0066092B" w:rsidP="0066092B">
            <w:pPr>
              <w:pStyle w:val="CETBodytext"/>
              <w:ind w:right="-1"/>
              <w:jc w:val="center"/>
              <w:rPr>
                <w:lang w:val="en-GB"/>
              </w:rPr>
            </w:pPr>
            <w:r w:rsidRPr="00B57504">
              <w:rPr>
                <w:lang w:val="en-GB"/>
              </w:rPr>
              <w:t>8 stages; RR = 0.2</w:t>
            </w:r>
            <w:r w:rsidR="00EF3BD2" w:rsidRPr="00B57504">
              <w:rPr>
                <w:lang w:val="en-GB"/>
              </w:rPr>
              <w:t>55</w:t>
            </w:r>
            <w:r w:rsidRPr="00B57504">
              <w:rPr>
                <w:lang w:val="en-GB"/>
              </w:rPr>
              <w:t>; D/F = 0.</w:t>
            </w:r>
            <w:r w:rsidR="00EF3BD2" w:rsidRPr="00B57504">
              <w:rPr>
                <w:lang w:val="en-GB"/>
              </w:rPr>
              <w:t>545</w:t>
            </w:r>
            <w:r w:rsidRPr="00B57504">
              <w:rPr>
                <w:lang w:val="en-GB"/>
              </w:rPr>
              <w:t>;</w:t>
            </w:r>
          </w:p>
          <w:p w14:paraId="1D48DC25" w14:textId="77777777" w:rsidR="0066092B" w:rsidRPr="00B57504" w:rsidRDefault="0066092B" w:rsidP="0066092B">
            <w:pPr>
              <w:pStyle w:val="CETBodytext"/>
              <w:ind w:right="-1"/>
              <w:jc w:val="center"/>
              <w:rPr>
                <w:lang w:val="en-GB"/>
              </w:rPr>
            </w:pPr>
            <w:r w:rsidRPr="00B57504">
              <w:rPr>
                <w:lang w:val="en-GB"/>
              </w:rPr>
              <w:t>P = 1 – 1.05 bar; D = 0.</w:t>
            </w:r>
            <w:r w:rsidR="00EF3BD2" w:rsidRPr="00B57504">
              <w:rPr>
                <w:lang w:val="en-GB"/>
              </w:rPr>
              <w:t>577</w:t>
            </w:r>
            <w:r w:rsidRPr="00B57504">
              <w:rPr>
                <w:lang w:val="en-GB"/>
              </w:rPr>
              <w:t xml:space="preserve"> m</w:t>
            </w:r>
          </w:p>
        </w:tc>
      </w:tr>
    </w:tbl>
    <w:p w14:paraId="12496630" w14:textId="77777777" w:rsidR="0066092B" w:rsidRDefault="0066092B" w:rsidP="0066092B">
      <w:pPr>
        <w:pStyle w:val="CETBodytext"/>
      </w:pPr>
    </w:p>
    <w:p w14:paraId="24E1FA2F" w14:textId="77777777" w:rsidR="00C51DFC" w:rsidRDefault="0066092B" w:rsidP="0066092B">
      <w:pPr>
        <w:pStyle w:val="CETBodytext"/>
      </w:pPr>
      <w:r>
        <w:t xml:space="preserve">Propylene glycol reversible acetalization occurs with </w:t>
      </w:r>
      <w:r w:rsidRPr="00400922">
        <w:rPr>
          <w:noProof/>
        </w:rPr>
        <w:t>excess</w:t>
      </w:r>
      <w:r>
        <w:t xml:space="preserve"> aldehyde, according to Eq (1). Both acetalization and hydrogenolysis reactive distillation simulations were performed based on the kinetics reported by </w:t>
      </w:r>
      <w:proofErr w:type="spellStart"/>
      <w:r>
        <w:t>Dhale</w:t>
      </w:r>
      <w:proofErr w:type="spellEnd"/>
      <w:r>
        <w:t xml:space="preserve"> </w:t>
      </w:r>
      <w:r w:rsidR="00F1507D" w:rsidRPr="00F1507D">
        <w:rPr>
          <w:i/>
        </w:rPr>
        <w:t>et al.</w:t>
      </w:r>
      <w:r>
        <w:t xml:space="preserve"> (2004), according to </w:t>
      </w:r>
      <w:proofErr w:type="spellStart"/>
      <w:r>
        <w:t>Eqs</w:t>
      </w:r>
      <w:proofErr w:type="spellEnd"/>
      <w:r>
        <w:t xml:space="preserve"> (2) and (3), obtained using structured packing </w:t>
      </w:r>
      <w:proofErr w:type="spellStart"/>
      <w:r>
        <w:t>Katapack</w:t>
      </w:r>
      <w:proofErr w:type="spellEnd"/>
      <w:r w:rsidRPr="003D3144">
        <w:rPr>
          <w:vertAlign w:val="superscript"/>
        </w:rPr>
        <w:t>®</w:t>
      </w:r>
      <w:r>
        <w:t xml:space="preserve">-S filled with cationic exchange resin </w:t>
      </w:r>
      <w:proofErr w:type="spellStart"/>
      <w:r>
        <w:t>Amberlyst</w:t>
      </w:r>
      <w:proofErr w:type="spellEnd"/>
      <w:r>
        <w:t xml:space="preserve"> 15. For liquid holdup, packing sizing and pressure drop calculations</w:t>
      </w:r>
      <w:r w:rsidR="00B15B51">
        <w:t xml:space="preserve"> in the simulator</w:t>
      </w:r>
      <w:r>
        <w:t>, an HETP of 1 m, surface area of 125 m²/m³ (Coker, 2010) and void fraction of 0.622 (</w:t>
      </w:r>
      <w:proofErr w:type="spellStart"/>
      <w:r>
        <w:t>Kolodziej</w:t>
      </w:r>
      <w:proofErr w:type="spellEnd"/>
      <w:r>
        <w:t xml:space="preserve"> </w:t>
      </w:r>
      <w:r w:rsidR="00F1507D" w:rsidRPr="00F1507D">
        <w:rPr>
          <w:i/>
        </w:rPr>
        <w:t>et al.</w:t>
      </w:r>
      <w:r>
        <w:t xml:space="preserve">, 2002) were assumed. </w:t>
      </w:r>
      <w:r w:rsidR="00C51DFC">
        <w:t xml:space="preserve">For acetaldehyde recovery distillations, both columns were designed </w:t>
      </w:r>
      <w:r w:rsidR="008A0DBB">
        <w:t xml:space="preserve">(number of stages, reflux ratio and feed stage) </w:t>
      </w:r>
      <w:r w:rsidR="00C51DFC">
        <w:t xml:space="preserve">using </w:t>
      </w:r>
      <w:r w:rsidR="00C51DFC">
        <w:t>Winn Underwood Gilliland shortcut design calculation</w:t>
      </w:r>
      <w:r w:rsidR="00C51DFC">
        <w:t xml:space="preserve"> (DSTWU block) to obtain a 99 mol % acetaldehyde distillate stream with 98% recovery, </w:t>
      </w:r>
      <w:r w:rsidR="008A0DBB">
        <w:t xml:space="preserve">whose results were used to perform more </w:t>
      </w:r>
      <w:r w:rsidR="00C51DFC">
        <w:t xml:space="preserve">rigorous </w:t>
      </w:r>
      <w:r w:rsidR="00C51DFC">
        <w:lastRenderedPageBreak/>
        <w:t>simulation to achieve both specifications (RADFRAC block). In the final PDO purification distillation (PDO-REC), shortcut design was also used to recover 99.95% of the feed PDO with 99.5 mol % purity</w:t>
      </w:r>
      <w:r w:rsidR="00B95A2D">
        <w:t xml:space="preserve"> and </w:t>
      </w:r>
      <w:r w:rsidR="008A0DBB">
        <w:t>also used in</w:t>
      </w:r>
      <w:r w:rsidR="00B95A2D">
        <w:t xml:space="preserve"> rigorous simulation to achieve the required specifications</w:t>
      </w:r>
      <w:r w:rsidR="00C51DFC">
        <w:t>.</w:t>
      </w:r>
    </w:p>
    <w:tbl>
      <w:tblPr>
        <w:tblW w:w="5000" w:type="pct"/>
        <w:tblLook w:val="04A0" w:firstRow="1" w:lastRow="0" w:firstColumn="1" w:lastColumn="0" w:noHBand="0" w:noVBand="1"/>
      </w:tblPr>
      <w:tblGrid>
        <w:gridCol w:w="6539"/>
        <w:gridCol w:w="2248"/>
      </w:tblGrid>
      <w:tr w:rsidR="0066092B" w:rsidRPr="007A5F29" w14:paraId="03262DD8" w14:textId="77777777" w:rsidTr="00150B31">
        <w:tc>
          <w:tcPr>
            <w:tcW w:w="6539" w:type="dxa"/>
            <w:shd w:val="clear" w:color="auto" w:fill="auto"/>
            <w:vAlign w:val="center"/>
          </w:tcPr>
          <w:p w14:paraId="0C47A023" w14:textId="77777777" w:rsidR="0066092B" w:rsidRPr="000B0CEB" w:rsidRDefault="0066092B" w:rsidP="00150B31">
            <w:pPr>
              <w:pStyle w:val="CETEquation"/>
              <w:rPr>
                <w:lang w:val="en-US"/>
              </w:rPr>
            </w:pPr>
            <m:oMathPara>
              <m:oMath>
                <m:r>
                  <w:rPr>
                    <w:rFonts w:ascii="Cambria Math" w:hAnsi="Cambria Math"/>
                  </w:rPr>
                  <m:t>PDO</m:t>
                </m:r>
                <m:r>
                  <m:rPr>
                    <m:sty m:val="p"/>
                  </m:rPr>
                  <w:rPr>
                    <w:rFonts w:ascii="Cambria Math" w:hAnsi="Cambria Math"/>
                    <w:lang w:val="en-US"/>
                  </w:rPr>
                  <m:t>+</m:t>
                </m:r>
                <m:r>
                  <w:rPr>
                    <w:rFonts w:ascii="Cambria Math" w:hAnsi="Cambria Math"/>
                  </w:rPr>
                  <m:t>AC</m:t>
                </m:r>
                <m:r>
                  <m:rPr>
                    <m:sty m:val="p"/>
                  </m:rPr>
                  <w:rPr>
                    <w:rFonts w:ascii="Cambria Math" w:hAnsi="Cambria Math"/>
                    <w:lang w:val="en-US"/>
                  </w:rPr>
                  <m:t xml:space="preserve"> </m:t>
                </m:r>
                <m:m>
                  <m:mPr>
                    <m:mcs>
                      <m:mc>
                        <m:mcPr>
                          <m:count m:val="1"/>
                          <m:mcJc m:val="center"/>
                        </m:mcPr>
                      </m:mc>
                    </m:mcs>
                    <m:ctrlPr>
                      <w:rPr>
                        <w:rFonts w:ascii="Cambria Math" w:hAnsi="Cambria Math"/>
                      </w:rPr>
                    </m:ctrlPr>
                  </m:mPr>
                  <m:mr>
                    <m:e>
                      <m:r>
                        <w:rPr>
                          <w:rFonts w:ascii="Cambria Math" w:hAnsi="Cambria Math"/>
                        </w:rPr>
                        <m:t>Acet</m:t>
                      </m:r>
                    </m:e>
                  </m:mr>
                  <m:mr>
                    <m:e>
                      <m:r>
                        <m:rPr>
                          <m:sty m:val="p"/>
                        </m:rPr>
                        <w:rPr>
                          <w:rFonts w:ascii="Cambria Math" w:hAnsi="Cambria Math"/>
                          <w:lang w:val="en-US"/>
                        </w:rPr>
                        <m:t>⇄</m:t>
                      </m:r>
                    </m:e>
                  </m:mr>
                  <m:mr>
                    <m:e>
                      <m:r>
                        <w:rPr>
                          <w:rFonts w:ascii="Cambria Math" w:hAnsi="Cambria Math"/>
                        </w:rPr>
                        <m:t>Hydro</m:t>
                      </m:r>
                    </m:e>
                  </m:mr>
                </m:m>
                <m:r>
                  <w:rPr>
                    <w:rFonts w:ascii="Cambria Math" w:hAnsi="Cambria Math"/>
                  </w:rPr>
                  <m:t>DMD</m:t>
                </m:r>
                <m:r>
                  <m:rPr>
                    <m:sty m:val="p"/>
                  </m:rPr>
                  <w:rPr>
                    <w:rFonts w:ascii="Cambria Math" w:hAnsi="Cambria Math"/>
                  </w:rPr>
                  <m:t>+</m:t>
                </m:r>
                <m:sSub>
                  <m:sSubPr>
                    <m:ctrlPr>
                      <w:rPr>
                        <w:rFonts w:ascii="Cambria Math" w:hAnsi="Cambria Math"/>
                      </w:rPr>
                    </m:ctrlPr>
                  </m:sSubPr>
                  <m:e>
                    <m:r>
                      <w:rPr>
                        <w:rFonts w:ascii="Cambria Math" w:hAnsi="Cambria Math"/>
                      </w:rPr>
                      <m:t>H</m:t>
                    </m:r>
                  </m:e>
                  <m:sub>
                    <m:r>
                      <m:rPr>
                        <m:sty m:val="p"/>
                      </m:rPr>
                      <w:rPr>
                        <w:rFonts w:ascii="Cambria Math" w:hAnsi="Cambria Math"/>
                      </w:rPr>
                      <m:t>2</m:t>
                    </m:r>
                  </m:sub>
                </m:sSub>
                <m:r>
                  <w:rPr>
                    <w:rFonts w:ascii="Cambria Math" w:hAnsi="Cambria Math"/>
                  </w:rPr>
                  <m:t>O</m:t>
                </m:r>
              </m:oMath>
            </m:oMathPara>
          </w:p>
        </w:tc>
        <w:tc>
          <w:tcPr>
            <w:tcW w:w="2248" w:type="dxa"/>
            <w:shd w:val="clear" w:color="auto" w:fill="auto"/>
            <w:vAlign w:val="center"/>
          </w:tcPr>
          <w:p w14:paraId="32D727FF" w14:textId="77777777" w:rsidR="0066092B" w:rsidRPr="007A5F29" w:rsidRDefault="0066092B" w:rsidP="00150B31">
            <w:pPr>
              <w:pStyle w:val="CETBodytext"/>
              <w:spacing w:before="120" w:after="120"/>
              <w:jc w:val="right"/>
              <w:rPr>
                <w:lang w:val="en-GB"/>
              </w:rPr>
            </w:pPr>
            <w:r w:rsidRPr="007A5F29">
              <w:rPr>
                <w:lang w:val="en-GB"/>
              </w:rPr>
              <w:t>(1)</w:t>
            </w:r>
          </w:p>
        </w:tc>
      </w:tr>
      <w:tr w:rsidR="0066092B" w:rsidRPr="007A5F29" w14:paraId="29B0C716" w14:textId="77777777" w:rsidTr="00150B31">
        <w:tc>
          <w:tcPr>
            <w:tcW w:w="6539" w:type="dxa"/>
            <w:shd w:val="clear" w:color="auto" w:fill="auto"/>
            <w:vAlign w:val="center"/>
          </w:tcPr>
          <w:p w14:paraId="6AB96087" w14:textId="77777777" w:rsidR="0066092B" w:rsidRPr="000B0CEB" w:rsidRDefault="00150B31" w:rsidP="00150B31">
            <w:pPr>
              <w:pStyle w:val="CETEquation"/>
              <w:rPr>
                <w:lang w:val="en-US"/>
              </w:rPr>
            </w:pPr>
            <m:oMathPara>
              <m:oMath>
                <m:sSub>
                  <m:sSubPr>
                    <m:ctrlPr>
                      <w:rPr>
                        <w:rFonts w:ascii="Cambria Math" w:hAnsi="Cambria Math"/>
                      </w:rPr>
                    </m:ctrlPr>
                  </m:sSubPr>
                  <m:e>
                    <m:r>
                      <m:rPr>
                        <m:sty m:val="p"/>
                      </m:rPr>
                      <w:rPr>
                        <w:rFonts w:ascii="Cambria Math" w:hAnsi="Cambria Math"/>
                      </w:rPr>
                      <m:t>r</m:t>
                    </m:r>
                  </m:e>
                  <m:sub>
                    <m:r>
                      <m:rPr>
                        <m:sty m:val="p"/>
                      </m:rPr>
                      <w:rPr>
                        <w:rFonts w:ascii="Cambria Math" w:hAnsi="Cambria Math"/>
                      </w:rPr>
                      <m:t>Acet</m:t>
                    </m:r>
                  </m:sub>
                </m:sSub>
                <m:r>
                  <m:rPr>
                    <m:sty m:val="p"/>
                  </m:rPr>
                  <w:rPr>
                    <w:rFonts w:ascii="Cambria Math" w:hAnsi="Cambria Math"/>
                  </w:rPr>
                  <m:t xml:space="preserve"> </m:t>
                </m:r>
                <m:d>
                  <m:dPr>
                    <m:ctrlPr>
                      <w:rPr>
                        <w:rFonts w:ascii="Cambria Math" w:hAnsi="Cambria Math"/>
                      </w:rPr>
                    </m:ctrlPr>
                  </m:dPr>
                  <m:e>
                    <m:f>
                      <m:fPr>
                        <m:ctrlPr>
                          <w:rPr>
                            <w:rFonts w:ascii="Cambria Math" w:hAnsi="Cambria Math"/>
                          </w:rPr>
                        </m:ctrlPr>
                      </m:fPr>
                      <m:num>
                        <m:r>
                          <m:rPr>
                            <m:sty m:val="p"/>
                          </m:rPr>
                          <w:rPr>
                            <w:rFonts w:ascii="Cambria Math" w:hAnsi="Cambria Math"/>
                            <w:noProof/>
                          </w:rPr>
                          <m:t>kmol</m:t>
                        </m:r>
                      </m:num>
                      <m:den>
                        <m:sSup>
                          <m:sSupPr>
                            <m:ctrlPr>
                              <w:rPr>
                                <w:rFonts w:ascii="Cambria Math" w:hAnsi="Cambria Math"/>
                              </w:rPr>
                            </m:ctrlPr>
                          </m:sSupPr>
                          <m:e>
                            <m:r>
                              <m:rPr>
                                <m:sty m:val="p"/>
                              </m:rPr>
                              <w:rPr>
                                <w:rFonts w:ascii="Cambria Math" w:hAnsi="Cambria Math"/>
                              </w:rPr>
                              <m:t>m</m:t>
                            </m:r>
                          </m:e>
                          <m:sup>
                            <m:r>
                              <m:rPr>
                                <m:sty m:val="p"/>
                              </m:rPr>
                              <w:rPr>
                                <w:rFonts w:ascii="Cambria Math" w:hAnsi="Cambria Math"/>
                              </w:rPr>
                              <m:t>3</m:t>
                            </m:r>
                          </m:sup>
                        </m:sSup>
                        <m:r>
                          <m:rPr>
                            <m:sty m:val="p"/>
                          </m:rPr>
                          <w:rPr>
                            <w:rFonts w:ascii="Cambria Math" w:hAnsi="Cambria Math"/>
                          </w:rPr>
                          <m:t xml:space="preserve"> s</m:t>
                        </m:r>
                      </m:den>
                    </m:f>
                  </m:e>
                </m:d>
                <m:r>
                  <m:rPr>
                    <m:sty m:val="p"/>
                  </m:rPr>
                  <w:rPr>
                    <w:rFonts w:ascii="Cambria Math" w:hAnsi="Cambria Math"/>
                  </w:rPr>
                  <m:t>=0.3exp</m:t>
                </m:r>
                <m:d>
                  <m:dPr>
                    <m:ctrlPr>
                      <w:rPr>
                        <w:rFonts w:ascii="Cambria Math" w:hAnsi="Cambria Math"/>
                      </w:rPr>
                    </m:ctrlPr>
                  </m:dPr>
                  <m:e>
                    <m:r>
                      <m:rPr>
                        <m:sty m:val="p"/>
                      </m:rPr>
                      <w:rPr>
                        <w:rFonts w:ascii="Cambria Math" w:hAnsi="Cambria Math"/>
                      </w:rPr>
                      <m:t>-</m:t>
                    </m:r>
                    <m:f>
                      <m:fPr>
                        <m:ctrlPr>
                          <w:rPr>
                            <w:rFonts w:ascii="Cambria Math" w:hAnsi="Cambria Math"/>
                          </w:rPr>
                        </m:ctrlPr>
                      </m:fPr>
                      <m:num>
                        <m:r>
                          <m:rPr>
                            <m:sty m:val="p"/>
                          </m:rPr>
                          <w:rPr>
                            <w:rFonts w:ascii="Cambria Math" w:hAnsi="Cambria Math"/>
                          </w:rPr>
                          <m:t>1515</m:t>
                        </m:r>
                      </m:num>
                      <m:den>
                        <m:r>
                          <m:rPr>
                            <m:sty m:val="p"/>
                          </m:rPr>
                          <w:rPr>
                            <w:rFonts w:ascii="Cambria Math" w:hAnsi="Cambria Math"/>
                          </w:rPr>
                          <m:t>T</m:t>
                        </m:r>
                      </m:den>
                    </m:f>
                  </m:e>
                </m:d>
                <m:sSub>
                  <m:sSubPr>
                    <m:ctrlPr>
                      <w:rPr>
                        <w:rFonts w:ascii="Cambria Math" w:hAnsi="Cambria Math"/>
                      </w:rPr>
                    </m:ctrlPr>
                  </m:sSubPr>
                  <m:e>
                    <m:d>
                      <m:dPr>
                        <m:ctrlPr>
                          <w:rPr>
                            <w:rFonts w:ascii="Cambria Math" w:hAnsi="Cambria Math"/>
                          </w:rPr>
                        </m:ctrlPr>
                      </m:dPr>
                      <m:e>
                        <m:sSub>
                          <m:sSubPr>
                            <m:ctrlPr>
                              <w:rPr>
                                <w:rFonts w:ascii="Cambria Math" w:hAnsi="Cambria Math"/>
                              </w:rPr>
                            </m:ctrlPr>
                          </m:sSubPr>
                          <m:e>
                            <m:r>
                              <m:rPr>
                                <m:sty m:val="p"/>
                              </m:rPr>
                              <w:rPr>
                                <w:rFonts w:ascii="Cambria Math" w:hAnsi="Cambria Math"/>
                              </w:rPr>
                              <m:t>C</m:t>
                            </m:r>
                          </m:e>
                          <m:sub>
                            <m:r>
                              <m:rPr>
                                <m:sty m:val="p"/>
                              </m:rPr>
                              <w:rPr>
                                <w:rFonts w:ascii="Cambria Math" w:hAnsi="Cambria Math"/>
                              </w:rPr>
                              <m:t>PDO</m:t>
                            </m:r>
                          </m:sub>
                        </m:sSub>
                      </m:e>
                    </m:d>
                  </m:e>
                  <m:sub>
                    <m:r>
                      <m:rPr>
                        <m:sty m:val="p"/>
                      </m:rPr>
                      <w:rPr>
                        <w:rFonts w:ascii="Cambria Math" w:hAnsi="Cambria Math"/>
                      </w:rPr>
                      <m:t>L</m:t>
                    </m:r>
                  </m:sub>
                </m:sSub>
                <m:sSub>
                  <m:sSubPr>
                    <m:ctrlPr>
                      <w:rPr>
                        <w:rFonts w:ascii="Cambria Math" w:hAnsi="Cambria Math"/>
                      </w:rPr>
                    </m:ctrlPr>
                  </m:sSubPr>
                  <m:e>
                    <m:d>
                      <m:dPr>
                        <m:ctrlPr>
                          <w:rPr>
                            <w:rFonts w:ascii="Cambria Math" w:hAnsi="Cambria Math"/>
                          </w:rPr>
                        </m:ctrlPr>
                      </m:dPr>
                      <m:e>
                        <m:sSub>
                          <m:sSubPr>
                            <m:ctrlPr>
                              <w:rPr>
                                <w:rFonts w:ascii="Cambria Math" w:hAnsi="Cambria Math"/>
                              </w:rPr>
                            </m:ctrlPr>
                          </m:sSubPr>
                          <m:e>
                            <m:r>
                              <m:rPr>
                                <m:sty m:val="p"/>
                              </m:rPr>
                              <w:rPr>
                                <w:rFonts w:ascii="Cambria Math" w:hAnsi="Cambria Math"/>
                              </w:rPr>
                              <m:t>C</m:t>
                            </m:r>
                          </m:e>
                          <m:sub>
                            <m:r>
                              <m:rPr>
                                <m:sty m:val="p"/>
                              </m:rPr>
                              <w:rPr>
                                <w:rFonts w:ascii="Cambria Math" w:hAnsi="Cambria Math"/>
                              </w:rPr>
                              <m:t>AC</m:t>
                            </m:r>
                          </m:sub>
                        </m:sSub>
                      </m:e>
                    </m:d>
                  </m:e>
                  <m:sub>
                    <m:r>
                      <m:rPr>
                        <m:sty m:val="p"/>
                      </m:rPr>
                      <w:rPr>
                        <w:rFonts w:ascii="Cambria Math" w:hAnsi="Cambria Math"/>
                      </w:rPr>
                      <m:t>L</m:t>
                    </m:r>
                  </m:sub>
                </m:sSub>
              </m:oMath>
            </m:oMathPara>
          </w:p>
        </w:tc>
        <w:tc>
          <w:tcPr>
            <w:tcW w:w="2248" w:type="dxa"/>
            <w:shd w:val="clear" w:color="auto" w:fill="auto"/>
            <w:vAlign w:val="center"/>
          </w:tcPr>
          <w:p w14:paraId="64B90990" w14:textId="77777777" w:rsidR="0066092B" w:rsidRPr="00BA41F0" w:rsidRDefault="0066092B" w:rsidP="00150B31">
            <w:pPr>
              <w:pStyle w:val="CETBodytext"/>
              <w:spacing w:before="120" w:after="120"/>
              <w:jc w:val="right"/>
              <w:rPr>
                <w:lang w:val="en-GB"/>
              </w:rPr>
            </w:pPr>
            <w:r w:rsidRPr="007A5F29">
              <w:rPr>
                <w:lang w:val="en-GB"/>
              </w:rPr>
              <w:t>(</w:t>
            </w:r>
            <w:r>
              <w:rPr>
                <w:lang w:val="en-GB"/>
              </w:rPr>
              <w:t>2</w:t>
            </w:r>
            <w:r w:rsidRPr="007A5F29">
              <w:rPr>
                <w:lang w:val="en-GB"/>
              </w:rPr>
              <w:t>)</w:t>
            </w:r>
          </w:p>
        </w:tc>
      </w:tr>
      <w:tr w:rsidR="0066092B" w:rsidRPr="007A5F29" w14:paraId="1D078960" w14:textId="77777777" w:rsidTr="00150B31">
        <w:tc>
          <w:tcPr>
            <w:tcW w:w="6539" w:type="dxa"/>
            <w:shd w:val="clear" w:color="auto" w:fill="auto"/>
            <w:vAlign w:val="center"/>
          </w:tcPr>
          <w:p w14:paraId="7DD24E70" w14:textId="77777777" w:rsidR="0066092B" w:rsidRPr="000B0CEB" w:rsidRDefault="00150B31" w:rsidP="00150B31">
            <w:pPr>
              <w:pStyle w:val="CETEquation"/>
              <w:rPr>
                <w:lang w:val="en-US"/>
              </w:rPr>
            </w:pPr>
            <m:oMathPara>
              <m:oMath>
                <m:sSub>
                  <m:sSubPr>
                    <m:ctrlPr>
                      <w:rPr>
                        <w:rFonts w:ascii="Cambria Math" w:hAnsi="Cambria Math"/>
                      </w:rPr>
                    </m:ctrlPr>
                  </m:sSubPr>
                  <m:e>
                    <m:r>
                      <m:rPr>
                        <m:sty m:val="p"/>
                      </m:rPr>
                      <w:rPr>
                        <w:rFonts w:ascii="Cambria Math" w:hAnsi="Cambria Math"/>
                      </w:rPr>
                      <m:t>r</m:t>
                    </m:r>
                  </m:e>
                  <m:sub>
                    <m:r>
                      <m:rPr>
                        <m:sty m:val="p"/>
                      </m:rPr>
                      <w:rPr>
                        <w:rFonts w:ascii="Cambria Math" w:hAnsi="Cambria Math"/>
                      </w:rPr>
                      <m:t>Hydro</m:t>
                    </m:r>
                  </m:sub>
                </m:sSub>
                <m:r>
                  <m:rPr>
                    <m:sty m:val="p"/>
                  </m:rPr>
                  <w:rPr>
                    <w:rFonts w:ascii="Cambria Math" w:hAnsi="Cambria Math"/>
                  </w:rPr>
                  <m:t xml:space="preserve"> </m:t>
                </m:r>
                <m:d>
                  <m:dPr>
                    <m:ctrlPr>
                      <w:rPr>
                        <w:rFonts w:ascii="Cambria Math" w:hAnsi="Cambria Math"/>
                      </w:rPr>
                    </m:ctrlPr>
                  </m:dPr>
                  <m:e>
                    <m:f>
                      <m:fPr>
                        <m:ctrlPr>
                          <w:rPr>
                            <w:rFonts w:ascii="Cambria Math" w:hAnsi="Cambria Math"/>
                          </w:rPr>
                        </m:ctrlPr>
                      </m:fPr>
                      <m:num>
                        <m:r>
                          <m:rPr>
                            <m:sty m:val="p"/>
                          </m:rPr>
                          <w:rPr>
                            <w:rFonts w:ascii="Cambria Math" w:hAnsi="Cambria Math"/>
                            <w:noProof/>
                          </w:rPr>
                          <m:t>kmol</m:t>
                        </m:r>
                      </m:num>
                      <m:den>
                        <m:sSup>
                          <m:sSupPr>
                            <m:ctrlPr>
                              <w:rPr>
                                <w:rFonts w:ascii="Cambria Math" w:hAnsi="Cambria Math"/>
                              </w:rPr>
                            </m:ctrlPr>
                          </m:sSupPr>
                          <m:e>
                            <m:r>
                              <m:rPr>
                                <m:sty m:val="p"/>
                              </m:rPr>
                              <w:rPr>
                                <w:rFonts w:ascii="Cambria Math" w:hAnsi="Cambria Math"/>
                              </w:rPr>
                              <m:t>m</m:t>
                            </m:r>
                          </m:e>
                          <m:sup>
                            <m:r>
                              <m:rPr>
                                <m:sty m:val="p"/>
                              </m:rPr>
                              <w:rPr>
                                <w:rFonts w:ascii="Cambria Math" w:hAnsi="Cambria Math"/>
                              </w:rPr>
                              <m:t>3</m:t>
                            </m:r>
                          </m:sup>
                        </m:sSup>
                        <m:r>
                          <m:rPr>
                            <m:sty m:val="p"/>
                          </m:rPr>
                          <w:rPr>
                            <w:rFonts w:ascii="Cambria Math" w:hAnsi="Cambria Math"/>
                          </w:rPr>
                          <m:t xml:space="preserve"> s</m:t>
                        </m:r>
                      </m:den>
                    </m:f>
                  </m:e>
                </m:d>
                <m:r>
                  <m:rPr>
                    <m:sty m:val="p"/>
                  </m:rPr>
                  <w:rPr>
                    <w:rFonts w:ascii="Cambria Math" w:hAnsi="Cambria Math"/>
                  </w:rPr>
                  <m:t>=1.8exp</m:t>
                </m:r>
                <m:d>
                  <m:dPr>
                    <m:ctrlPr>
                      <w:rPr>
                        <w:rFonts w:ascii="Cambria Math" w:hAnsi="Cambria Math"/>
                      </w:rPr>
                    </m:ctrlPr>
                  </m:dPr>
                  <m:e>
                    <m:r>
                      <m:rPr>
                        <m:sty m:val="p"/>
                      </m:rPr>
                      <w:rPr>
                        <w:rFonts w:ascii="Cambria Math" w:hAnsi="Cambria Math"/>
                      </w:rPr>
                      <m:t>-</m:t>
                    </m:r>
                    <m:f>
                      <m:fPr>
                        <m:ctrlPr>
                          <w:rPr>
                            <w:rFonts w:ascii="Cambria Math" w:hAnsi="Cambria Math"/>
                          </w:rPr>
                        </m:ctrlPr>
                      </m:fPr>
                      <m:num>
                        <m:r>
                          <m:rPr>
                            <m:sty m:val="p"/>
                          </m:rPr>
                          <w:rPr>
                            <w:rFonts w:ascii="Cambria Math" w:hAnsi="Cambria Math"/>
                          </w:rPr>
                          <m:t>2942</m:t>
                        </m:r>
                      </m:num>
                      <m:den>
                        <m:r>
                          <m:rPr>
                            <m:sty m:val="p"/>
                          </m:rPr>
                          <w:rPr>
                            <w:rFonts w:ascii="Cambria Math" w:hAnsi="Cambria Math"/>
                          </w:rPr>
                          <m:t>T</m:t>
                        </m:r>
                      </m:den>
                    </m:f>
                  </m:e>
                </m:d>
                <m:sSub>
                  <m:sSubPr>
                    <m:ctrlPr>
                      <w:rPr>
                        <w:rFonts w:ascii="Cambria Math" w:hAnsi="Cambria Math"/>
                      </w:rPr>
                    </m:ctrlPr>
                  </m:sSubPr>
                  <m:e>
                    <m:d>
                      <m:dPr>
                        <m:ctrlPr>
                          <w:rPr>
                            <w:rFonts w:ascii="Cambria Math" w:hAnsi="Cambria Math"/>
                          </w:rPr>
                        </m:ctrlPr>
                      </m:dPr>
                      <m:e>
                        <m:sSub>
                          <m:sSubPr>
                            <m:ctrlPr>
                              <w:rPr>
                                <w:rFonts w:ascii="Cambria Math" w:hAnsi="Cambria Math"/>
                              </w:rPr>
                            </m:ctrlPr>
                          </m:sSubPr>
                          <m:e>
                            <m:r>
                              <m:rPr>
                                <m:sty m:val="p"/>
                              </m:rPr>
                              <w:rPr>
                                <w:rFonts w:ascii="Cambria Math" w:hAnsi="Cambria Math"/>
                              </w:rPr>
                              <m:t>C</m:t>
                            </m:r>
                          </m:e>
                          <m:sub>
                            <m:r>
                              <m:rPr>
                                <m:sty m:val="p"/>
                              </m:rPr>
                              <w:rPr>
                                <w:rFonts w:ascii="Cambria Math" w:hAnsi="Cambria Math"/>
                              </w:rPr>
                              <m:t>DMD</m:t>
                            </m:r>
                          </m:sub>
                        </m:sSub>
                      </m:e>
                    </m:d>
                  </m:e>
                  <m:sub>
                    <m:r>
                      <m:rPr>
                        <m:sty m:val="p"/>
                      </m:rPr>
                      <w:rPr>
                        <w:rFonts w:ascii="Cambria Math" w:hAnsi="Cambria Math"/>
                      </w:rPr>
                      <m:t>L</m:t>
                    </m:r>
                  </m:sub>
                </m:sSub>
                <m:sSub>
                  <m:sSubPr>
                    <m:ctrlPr>
                      <w:rPr>
                        <w:rFonts w:ascii="Cambria Math" w:hAnsi="Cambria Math"/>
                      </w:rPr>
                    </m:ctrlPr>
                  </m:sSubPr>
                  <m:e>
                    <m:d>
                      <m:dPr>
                        <m:ctrlPr>
                          <w:rPr>
                            <w:rFonts w:ascii="Cambria Math" w:hAnsi="Cambria Math"/>
                          </w:rPr>
                        </m:ctrlPr>
                      </m:dPr>
                      <m:e>
                        <m:sSub>
                          <m:sSubPr>
                            <m:ctrlPr>
                              <w:rPr>
                                <w:rFonts w:ascii="Cambria Math" w:hAnsi="Cambria Math"/>
                              </w:rPr>
                            </m:ctrlPr>
                          </m:sSubPr>
                          <m:e>
                            <m:r>
                              <m:rPr>
                                <m:sty m:val="p"/>
                              </m:rPr>
                              <w:rPr>
                                <w:rFonts w:ascii="Cambria Math" w:hAnsi="Cambria Math"/>
                              </w:rPr>
                              <m:t>C</m:t>
                            </m:r>
                          </m:e>
                          <m:sub>
                            <m:sSub>
                              <m:sSubPr>
                                <m:ctrlPr>
                                  <w:rPr>
                                    <w:rFonts w:ascii="Cambria Math" w:hAnsi="Cambria Math"/>
                                  </w:rPr>
                                </m:ctrlPr>
                              </m:sSubPr>
                              <m:e>
                                <m:r>
                                  <m:rPr>
                                    <m:sty m:val="p"/>
                                  </m:rPr>
                                  <w:rPr>
                                    <w:rFonts w:ascii="Cambria Math" w:hAnsi="Cambria Math"/>
                                  </w:rPr>
                                  <m:t>H</m:t>
                                </m:r>
                              </m:e>
                              <m:sub>
                                <m:r>
                                  <m:rPr>
                                    <m:sty m:val="p"/>
                                  </m:rPr>
                                  <w:rPr>
                                    <w:rFonts w:ascii="Cambria Math" w:hAnsi="Cambria Math"/>
                                  </w:rPr>
                                  <m:t>2</m:t>
                                </m:r>
                              </m:sub>
                            </m:sSub>
                            <m:r>
                              <m:rPr>
                                <m:sty m:val="p"/>
                              </m:rPr>
                              <w:rPr>
                                <w:rFonts w:ascii="Cambria Math" w:hAnsi="Cambria Math"/>
                              </w:rPr>
                              <m:t>O</m:t>
                            </m:r>
                          </m:sub>
                        </m:sSub>
                      </m:e>
                    </m:d>
                  </m:e>
                  <m:sub>
                    <m:r>
                      <m:rPr>
                        <m:sty m:val="p"/>
                      </m:rPr>
                      <w:rPr>
                        <w:rFonts w:ascii="Cambria Math" w:hAnsi="Cambria Math"/>
                      </w:rPr>
                      <m:t>L</m:t>
                    </m:r>
                  </m:sub>
                </m:sSub>
              </m:oMath>
            </m:oMathPara>
          </w:p>
        </w:tc>
        <w:tc>
          <w:tcPr>
            <w:tcW w:w="2248" w:type="dxa"/>
            <w:shd w:val="clear" w:color="auto" w:fill="auto"/>
            <w:vAlign w:val="center"/>
          </w:tcPr>
          <w:p w14:paraId="0818086A" w14:textId="77777777" w:rsidR="0066092B" w:rsidRPr="007A5F29" w:rsidRDefault="0066092B" w:rsidP="00150B31">
            <w:pPr>
              <w:pStyle w:val="CETBodytext"/>
              <w:spacing w:before="120" w:after="120"/>
              <w:jc w:val="right"/>
              <w:rPr>
                <w:lang w:val="en-GB"/>
              </w:rPr>
            </w:pPr>
            <w:r w:rsidRPr="007A5F29">
              <w:rPr>
                <w:lang w:val="en-GB"/>
              </w:rPr>
              <w:t>(</w:t>
            </w:r>
            <w:r>
              <w:rPr>
                <w:lang w:val="en-GB"/>
              </w:rPr>
              <w:t>3</w:t>
            </w:r>
            <w:r w:rsidRPr="007A5F29">
              <w:rPr>
                <w:lang w:val="en-GB"/>
              </w:rPr>
              <w:t>)</w:t>
            </w:r>
          </w:p>
        </w:tc>
      </w:tr>
    </w:tbl>
    <w:p w14:paraId="452DEA90" w14:textId="77777777" w:rsidR="0095534F" w:rsidRDefault="00D07EDC" w:rsidP="00D07EDC">
      <w:pPr>
        <w:pStyle w:val="CETHeading1"/>
      </w:pPr>
      <w:r>
        <w:t>Results and Discussion</w:t>
      </w:r>
    </w:p>
    <w:p w14:paraId="0D8C631E" w14:textId="7F833AFC" w:rsidR="003159FB" w:rsidRDefault="00041972" w:rsidP="00755287">
      <w:pPr>
        <w:pStyle w:val="CETBodytext"/>
      </w:pPr>
      <w:r>
        <w:t xml:space="preserve">Table 3 presents the main </w:t>
      </w:r>
      <w:r w:rsidR="00256FE1">
        <w:t>results for the proposed process</w:t>
      </w:r>
      <w:r w:rsidR="00115794">
        <w:t>es</w:t>
      </w:r>
      <w:r w:rsidR="00256FE1">
        <w:t xml:space="preserve">, assuming an annual capacity of 20,000 ton/y of 1,2-PDO (2478 kg/h). </w:t>
      </w:r>
      <w:r w:rsidR="00C81DBC">
        <w:t xml:space="preserve">Due to lactic acid polymerization undesired reactions and catalyst deactivation at high temperatures, two approaches can </w:t>
      </w:r>
      <w:r w:rsidR="00C81DBC" w:rsidRPr="00400922">
        <w:rPr>
          <w:noProof/>
        </w:rPr>
        <w:t>be used</w:t>
      </w:r>
      <w:r w:rsidR="00C81DBC">
        <w:t xml:space="preserve"> in order to dilute the feedstock and reduce the temperature increase due to the heat of reaction. The first (LA-1) consists </w:t>
      </w:r>
      <w:r w:rsidR="005577C2">
        <w:t>o</w:t>
      </w:r>
      <w:r w:rsidR="00C81DBC">
        <w:t xml:space="preserve">n using very dilute LA aqueous solutions (typical conditions </w:t>
      </w:r>
      <w:r w:rsidR="00B35708">
        <w:t>i</w:t>
      </w:r>
      <w:r w:rsidR="00C81DBC">
        <w:t xml:space="preserve">n the literature are usually 1 M solutions (ca. 10 </w:t>
      </w:r>
      <w:proofErr w:type="spellStart"/>
      <w:r w:rsidR="00C81DBC">
        <w:t>wt</w:t>
      </w:r>
      <w:proofErr w:type="spellEnd"/>
      <w:r w:rsidR="00C81DBC">
        <w:t xml:space="preserve"> %) (Xi </w:t>
      </w:r>
      <w:r w:rsidR="00F1507D" w:rsidRPr="00F1507D">
        <w:rPr>
          <w:i/>
        </w:rPr>
        <w:t>et al.</w:t>
      </w:r>
      <w:r w:rsidR="00C81DBC">
        <w:t xml:space="preserve">, 2011). However, </w:t>
      </w:r>
      <w:r w:rsidR="00C81DBC" w:rsidRPr="00400922">
        <w:rPr>
          <w:noProof/>
        </w:rPr>
        <w:t>large</w:t>
      </w:r>
      <w:r w:rsidR="00C81DBC">
        <w:t xml:space="preserve"> excess water leads to high energy consumption and low DMD yield in the reactive distillation step because it shifts the reaction equilibrium (Eq. (1)) towards 1,2-PDO. Therefore, more concentrate</w:t>
      </w:r>
      <w:r w:rsidR="00C51DFC">
        <w:t>d</w:t>
      </w:r>
      <w:r w:rsidR="00C81DBC">
        <w:t xml:space="preserve"> feedstock solutions can improve the reactive distillation efficiency. However, more detailed experimental studies and kinetic models are necessary to </w:t>
      </w:r>
      <w:r w:rsidR="00DA7D04">
        <w:t>e</w:t>
      </w:r>
      <w:r w:rsidR="00C81DBC" w:rsidRPr="00DA7D04">
        <w:rPr>
          <w:noProof/>
        </w:rPr>
        <w:t>stablish</w:t>
      </w:r>
      <w:r w:rsidR="00C81DBC">
        <w:t xml:space="preserve"> the maximum LA concentration</w:t>
      </w:r>
      <w:r w:rsidR="008C7957">
        <w:t xml:space="preserve"> allowed for hydrogenation</w:t>
      </w:r>
      <w:r w:rsidR="00C81DBC">
        <w:t>.</w:t>
      </w:r>
    </w:p>
    <w:p w14:paraId="5DC33057" w14:textId="77777777" w:rsidR="00755287" w:rsidRPr="003159FB" w:rsidRDefault="00C81DBC" w:rsidP="00755287">
      <w:pPr>
        <w:pStyle w:val="CETBodytext"/>
      </w:pPr>
      <w:r>
        <w:t xml:space="preserve">The second approach (LA-2) uses high hydrogen to lactic acid molar ratios, acting as water does in the previous case. </w:t>
      </w:r>
      <w:r w:rsidR="003159FB">
        <w:t>In scenario LA-2, the H</w:t>
      </w:r>
      <w:r w:rsidR="003159FB" w:rsidRPr="003159FB">
        <w:rPr>
          <w:vertAlign w:val="subscript"/>
        </w:rPr>
        <w:t>2</w:t>
      </w:r>
      <w:r w:rsidR="003159FB">
        <w:t>/LA ratio was determined based on the temperature profile along the reactor for scenario LA-1. Using excess hydrogen enabled a lower excess of acetaldehyde in the following acetalization step</w:t>
      </w:r>
      <w:r w:rsidR="00C51DFC">
        <w:t xml:space="preserve"> (ACET)</w:t>
      </w:r>
      <w:r w:rsidR="003159FB">
        <w:t xml:space="preserve">, which in turn resulted in a reduction of </w:t>
      </w:r>
      <w:r w:rsidR="003D435B">
        <w:t>15</w:t>
      </w:r>
      <w:r w:rsidR="003159FB">
        <w:t xml:space="preserve"> % in heating demand</w:t>
      </w:r>
      <w:r w:rsidR="00C51DFC">
        <w:t xml:space="preserve"> in this step</w:t>
      </w:r>
      <w:r w:rsidR="003159FB">
        <w:t xml:space="preserve">. </w:t>
      </w:r>
      <w:r w:rsidR="00C51DFC">
        <w:t>Given that water and acetaldehyde are only partially miscible (</w:t>
      </w:r>
      <w:proofErr w:type="spellStart"/>
      <w:r w:rsidR="00C51DFC">
        <w:t>Dhale</w:t>
      </w:r>
      <w:proofErr w:type="spellEnd"/>
      <w:r w:rsidR="00C51DFC">
        <w:t xml:space="preserve"> </w:t>
      </w:r>
      <w:r w:rsidR="00C51DFC" w:rsidRPr="00F1507D">
        <w:rPr>
          <w:i/>
        </w:rPr>
        <w:t>et al.</w:t>
      </w:r>
      <w:r w:rsidR="00C51DFC">
        <w:rPr>
          <w:i/>
        </w:rPr>
        <w:t>,</w:t>
      </w:r>
      <w:r w:rsidR="00C51DFC">
        <w:t xml:space="preserve"> 2004</w:t>
      </w:r>
      <w:r w:rsidR="00C51DFC">
        <w:t xml:space="preserve">), the use of more concentrated LA solutions might be challenging for reactive distillation, because lower water and higher acetal concentrations along the column incurs in the formation of two liquid phases. </w:t>
      </w:r>
      <w:r w:rsidR="003D435B">
        <w:t>In order to prevent the formation of these two-phases, lower operating pressure is required in the ACET reactive column, leading to lower condenser temperatures (30 ºC at 1.2 bar</w:t>
      </w:r>
      <w:r w:rsidR="00B15B51">
        <w:t>, versus 50 ºC at 2.5 bar). Therefore, the use of reactive distillation for 1,2-PDO purification requires more thorough studies in order to assess its feasibility in large-scale processes.</w:t>
      </w:r>
    </w:p>
    <w:p w14:paraId="24226D86" w14:textId="77777777" w:rsidR="0095534F" w:rsidRDefault="00B116E9" w:rsidP="00B116E9">
      <w:pPr>
        <w:pStyle w:val="CETCaption"/>
      </w:pPr>
      <w:r>
        <w:t xml:space="preserve">Table 3: </w:t>
      </w:r>
      <w:r w:rsidR="002F5D8D">
        <w:t>Main equipment energy requirement for 1,2-PDO production from LA</w:t>
      </w:r>
    </w:p>
    <w:tbl>
      <w:tblPr>
        <w:tblW w:w="5000" w:type="pct"/>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2409"/>
        <w:gridCol w:w="1206"/>
        <w:gridCol w:w="1206"/>
        <w:gridCol w:w="991"/>
        <w:gridCol w:w="991"/>
        <w:gridCol w:w="991"/>
        <w:gridCol w:w="993"/>
      </w:tblGrid>
      <w:tr w:rsidR="00256FE1" w:rsidRPr="007A5F29" w14:paraId="49D2112E" w14:textId="77777777" w:rsidTr="00E359AD">
        <w:tc>
          <w:tcPr>
            <w:tcW w:w="1371" w:type="pct"/>
            <w:tcBorders>
              <w:top w:val="single" w:sz="12" w:space="0" w:color="008000"/>
              <w:bottom w:val="single" w:sz="12" w:space="0" w:color="008000"/>
            </w:tcBorders>
            <w:shd w:val="clear" w:color="auto" w:fill="FFFFFF"/>
          </w:tcPr>
          <w:p w14:paraId="57D06114" w14:textId="77777777" w:rsidR="00256FE1" w:rsidRPr="007A5F29" w:rsidRDefault="00256FE1" w:rsidP="00125BE4">
            <w:pPr>
              <w:pStyle w:val="CETBodytext"/>
              <w:jc w:val="center"/>
              <w:rPr>
                <w:lang w:val="en-GB"/>
              </w:rPr>
            </w:pPr>
            <w:r>
              <w:rPr>
                <w:lang w:val="en-GB"/>
              </w:rPr>
              <w:t>Equipment</w:t>
            </w:r>
            <w:r w:rsidRPr="007A5F29">
              <w:rPr>
                <w:lang w:val="en-GB"/>
              </w:rPr>
              <w:t xml:space="preserve"> </w:t>
            </w:r>
            <w:r>
              <w:rPr>
                <w:lang w:val="en-GB"/>
              </w:rPr>
              <w:t>(Block)</w:t>
            </w:r>
          </w:p>
        </w:tc>
        <w:tc>
          <w:tcPr>
            <w:tcW w:w="1372" w:type="pct"/>
            <w:gridSpan w:val="2"/>
            <w:tcBorders>
              <w:top w:val="single" w:sz="12" w:space="0" w:color="008000"/>
              <w:bottom w:val="single" w:sz="12" w:space="0" w:color="008000"/>
            </w:tcBorders>
            <w:shd w:val="clear" w:color="auto" w:fill="FFFFFF"/>
            <w:vAlign w:val="center"/>
          </w:tcPr>
          <w:p w14:paraId="70292D54" w14:textId="77777777" w:rsidR="00256FE1" w:rsidRPr="007A5F29" w:rsidRDefault="00256FE1" w:rsidP="00125BE4">
            <w:pPr>
              <w:pStyle w:val="CETBodytext"/>
              <w:jc w:val="center"/>
              <w:rPr>
                <w:lang w:val="en-GB"/>
              </w:rPr>
            </w:pPr>
            <w:r>
              <w:rPr>
                <w:lang w:val="en-GB"/>
              </w:rPr>
              <w:t>Conversion (mol %)</w:t>
            </w:r>
          </w:p>
        </w:tc>
        <w:tc>
          <w:tcPr>
            <w:tcW w:w="2257" w:type="pct"/>
            <w:gridSpan w:val="4"/>
            <w:tcBorders>
              <w:top w:val="single" w:sz="12" w:space="0" w:color="008000"/>
              <w:bottom w:val="single" w:sz="12" w:space="0" w:color="008000"/>
            </w:tcBorders>
            <w:shd w:val="clear" w:color="auto" w:fill="FFFFFF"/>
            <w:vAlign w:val="center"/>
          </w:tcPr>
          <w:p w14:paraId="76BCF363" w14:textId="77777777" w:rsidR="00256FE1" w:rsidRPr="007A5F29" w:rsidRDefault="00256FE1" w:rsidP="00125BE4">
            <w:pPr>
              <w:pStyle w:val="CETBodytext"/>
              <w:jc w:val="center"/>
              <w:rPr>
                <w:lang w:val="en-GB"/>
              </w:rPr>
            </w:pPr>
            <w:r>
              <w:rPr>
                <w:lang w:val="en-GB"/>
              </w:rPr>
              <w:t>Energy Requirement</w:t>
            </w:r>
            <w:r w:rsidR="00823AA7">
              <w:rPr>
                <w:lang w:val="en-GB"/>
              </w:rPr>
              <w:t xml:space="preserve"> (Heating – H, Cooling – C)</w:t>
            </w:r>
          </w:p>
        </w:tc>
      </w:tr>
      <w:tr w:rsidR="00E359AD" w:rsidRPr="007A5F29" w14:paraId="5FCFFBA3" w14:textId="77777777" w:rsidTr="00E359AD">
        <w:tc>
          <w:tcPr>
            <w:tcW w:w="1371" w:type="pct"/>
            <w:tcBorders>
              <w:top w:val="single" w:sz="12" w:space="0" w:color="008000"/>
              <w:bottom w:val="nil"/>
            </w:tcBorders>
            <w:shd w:val="clear" w:color="auto" w:fill="FFFFFF"/>
          </w:tcPr>
          <w:p w14:paraId="1AE9E110" w14:textId="77777777" w:rsidR="00E359AD" w:rsidRPr="00255CD5" w:rsidRDefault="00E359AD" w:rsidP="00255CD5">
            <w:pPr>
              <w:pStyle w:val="CETBodytext"/>
              <w:ind w:right="-1"/>
              <w:jc w:val="center"/>
              <w:rPr>
                <w:rFonts w:cs="Arial"/>
                <w:szCs w:val="18"/>
                <w:lang w:val="en-GB"/>
              </w:rPr>
            </w:pPr>
          </w:p>
        </w:tc>
        <w:tc>
          <w:tcPr>
            <w:tcW w:w="686" w:type="pct"/>
            <w:tcBorders>
              <w:top w:val="single" w:sz="12" w:space="0" w:color="008000"/>
              <w:bottom w:val="nil"/>
            </w:tcBorders>
            <w:shd w:val="clear" w:color="auto" w:fill="FFFFFF"/>
            <w:vAlign w:val="center"/>
          </w:tcPr>
          <w:p w14:paraId="196BE401" w14:textId="77777777" w:rsidR="00E359AD" w:rsidRPr="00255CD5" w:rsidRDefault="00E359AD" w:rsidP="00255CD5">
            <w:pPr>
              <w:pStyle w:val="CETBodytext"/>
              <w:ind w:right="-1"/>
              <w:jc w:val="center"/>
              <w:rPr>
                <w:rFonts w:cs="Arial"/>
                <w:szCs w:val="18"/>
                <w:lang w:val="en-GB"/>
              </w:rPr>
            </w:pPr>
            <w:r w:rsidRPr="00255CD5">
              <w:rPr>
                <w:rFonts w:cs="Arial"/>
                <w:szCs w:val="18"/>
                <w:lang w:val="en-GB"/>
              </w:rPr>
              <w:t>LA-1</w:t>
            </w:r>
          </w:p>
        </w:tc>
        <w:tc>
          <w:tcPr>
            <w:tcW w:w="686" w:type="pct"/>
            <w:tcBorders>
              <w:top w:val="single" w:sz="12" w:space="0" w:color="008000"/>
              <w:bottom w:val="nil"/>
            </w:tcBorders>
            <w:shd w:val="clear" w:color="auto" w:fill="FFFFFF"/>
            <w:vAlign w:val="center"/>
          </w:tcPr>
          <w:p w14:paraId="5B16AEE3" w14:textId="77777777" w:rsidR="00E359AD" w:rsidRPr="00255CD5" w:rsidRDefault="00E359AD" w:rsidP="00255CD5">
            <w:pPr>
              <w:pStyle w:val="CETBodytext"/>
              <w:ind w:right="-1"/>
              <w:jc w:val="center"/>
              <w:rPr>
                <w:rFonts w:cs="Arial"/>
                <w:szCs w:val="18"/>
                <w:lang w:val="en-GB"/>
              </w:rPr>
            </w:pPr>
            <w:r w:rsidRPr="00255CD5">
              <w:rPr>
                <w:rFonts w:cs="Arial"/>
                <w:szCs w:val="18"/>
                <w:lang w:val="en-GB"/>
              </w:rPr>
              <w:t>LA-2</w:t>
            </w:r>
          </w:p>
        </w:tc>
        <w:tc>
          <w:tcPr>
            <w:tcW w:w="1128" w:type="pct"/>
            <w:gridSpan w:val="2"/>
            <w:tcBorders>
              <w:top w:val="single" w:sz="12" w:space="0" w:color="008000"/>
              <w:bottom w:val="nil"/>
            </w:tcBorders>
            <w:shd w:val="clear" w:color="auto" w:fill="FFFFFF"/>
            <w:vAlign w:val="center"/>
          </w:tcPr>
          <w:p w14:paraId="104020F8" w14:textId="77777777" w:rsidR="00E359AD" w:rsidRPr="00255CD5" w:rsidRDefault="00E359AD" w:rsidP="00255CD5">
            <w:pPr>
              <w:pStyle w:val="CETBodytext"/>
              <w:ind w:right="-1"/>
              <w:jc w:val="center"/>
              <w:rPr>
                <w:rFonts w:cs="Arial"/>
                <w:szCs w:val="18"/>
                <w:lang w:val="en-GB"/>
              </w:rPr>
            </w:pPr>
            <w:r w:rsidRPr="00255CD5">
              <w:rPr>
                <w:rFonts w:cs="Arial"/>
                <w:szCs w:val="18"/>
                <w:lang w:val="en-GB"/>
              </w:rPr>
              <w:t>LA-1</w:t>
            </w:r>
          </w:p>
        </w:tc>
        <w:tc>
          <w:tcPr>
            <w:tcW w:w="1129" w:type="pct"/>
            <w:gridSpan w:val="2"/>
            <w:tcBorders>
              <w:top w:val="single" w:sz="12" w:space="0" w:color="008000"/>
              <w:bottom w:val="nil"/>
            </w:tcBorders>
            <w:shd w:val="clear" w:color="auto" w:fill="FFFFFF"/>
            <w:vAlign w:val="center"/>
          </w:tcPr>
          <w:p w14:paraId="073D9028" w14:textId="77777777" w:rsidR="00E359AD" w:rsidRPr="00255CD5" w:rsidRDefault="00E359AD" w:rsidP="00255CD5">
            <w:pPr>
              <w:pStyle w:val="CETBodytext"/>
              <w:ind w:right="-1"/>
              <w:jc w:val="center"/>
              <w:rPr>
                <w:rFonts w:cs="Arial"/>
                <w:szCs w:val="18"/>
                <w:lang w:val="en-GB"/>
              </w:rPr>
            </w:pPr>
            <w:r w:rsidRPr="00255CD5">
              <w:rPr>
                <w:rFonts w:cs="Arial"/>
                <w:szCs w:val="18"/>
                <w:lang w:val="en-GB"/>
              </w:rPr>
              <w:t>LA-2</w:t>
            </w:r>
          </w:p>
        </w:tc>
      </w:tr>
      <w:tr w:rsidR="00E359AD" w:rsidRPr="007A5F29" w14:paraId="0B676ADF" w14:textId="77777777" w:rsidTr="00E359AD">
        <w:tc>
          <w:tcPr>
            <w:tcW w:w="1371" w:type="pct"/>
            <w:tcBorders>
              <w:top w:val="nil"/>
              <w:bottom w:val="nil"/>
            </w:tcBorders>
            <w:shd w:val="clear" w:color="auto" w:fill="FFFFFF"/>
          </w:tcPr>
          <w:p w14:paraId="48F58364" w14:textId="77777777" w:rsidR="00E359AD" w:rsidRPr="00255CD5" w:rsidRDefault="00E359AD" w:rsidP="00255CD5">
            <w:pPr>
              <w:pStyle w:val="CETBodytext"/>
              <w:ind w:right="-1"/>
              <w:jc w:val="center"/>
              <w:rPr>
                <w:rFonts w:cs="Arial"/>
                <w:szCs w:val="18"/>
                <w:lang w:val="en-GB"/>
              </w:rPr>
            </w:pPr>
          </w:p>
        </w:tc>
        <w:tc>
          <w:tcPr>
            <w:tcW w:w="686" w:type="pct"/>
            <w:tcBorders>
              <w:top w:val="nil"/>
            </w:tcBorders>
            <w:shd w:val="clear" w:color="auto" w:fill="FFFFFF"/>
            <w:vAlign w:val="center"/>
          </w:tcPr>
          <w:p w14:paraId="0DBE71BE" w14:textId="77777777" w:rsidR="00E359AD" w:rsidRPr="00255CD5" w:rsidRDefault="00E359AD" w:rsidP="00255CD5">
            <w:pPr>
              <w:pStyle w:val="CETBodytext"/>
              <w:ind w:right="-1"/>
              <w:jc w:val="center"/>
              <w:rPr>
                <w:rFonts w:cs="Arial"/>
                <w:szCs w:val="18"/>
                <w:lang w:val="en-GB"/>
              </w:rPr>
            </w:pPr>
          </w:p>
        </w:tc>
        <w:tc>
          <w:tcPr>
            <w:tcW w:w="686" w:type="pct"/>
            <w:tcBorders>
              <w:top w:val="nil"/>
            </w:tcBorders>
            <w:shd w:val="clear" w:color="auto" w:fill="FFFFFF"/>
            <w:vAlign w:val="center"/>
          </w:tcPr>
          <w:p w14:paraId="5E1E3467" w14:textId="77777777" w:rsidR="00E359AD" w:rsidRPr="00255CD5" w:rsidRDefault="00E359AD" w:rsidP="00255CD5">
            <w:pPr>
              <w:pStyle w:val="CETBodytext"/>
              <w:ind w:right="-1"/>
              <w:jc w:val="center"/>
              <w:rPr>
                <w:rFonts w:cs="Arial"/>
                <w:szCs w:val="18"/>
                <w:lang w:val="en-GB"/>
              </w:rPr>
            </w:pPr>
          </w:p>
        </w:tc>
        <w:tc>
          <w:tcPr>
            <w:tcW w:w="564" w:type="pct"/>
            <w:tcBorders>
              <w:top w:val="nil"/>
            </w:tcBorders>
            <w:shd w:val="clear" w:color="auto" w:fill="FFFFFF"/>
            <w:vAlign w:val="center"/>
          </w:tcPr>
          <w:p w14:paraId="47CD3DF7" w14:textId="77777777" w:rsidR="00E359AD" w:rsidRPr="00255CD5" w:rsidRDefault="00E359AD" w:rsidP="00255CD5">
            <w:pPr>
              <w:pStyle w:val="CETBodytext"/>
              <w:ind w:right="-1"/>
              <w:jc w:val="center"/>
              <w:rPr>
                <w:rFonts w:cs="Arial"/>
                <w:szCs w:val="18"/>
                <w:lang w:val="en-GB"/>
              </w:rPr>
            </w:pPr>
            <w:r w:rsidRPr="00255CD5">
              <w:rPr>
                <w:rFonts w:cs="Arial"/>
                <w:szCs w:val="18"/>
                <w:lang w:val="en-GB"/>
              </w:rPr>
              <w:t>H (MW)</w:t>
            </w:r>
          </w:p>
        </w:tc>
        <w:tc>
          <w:tcPr>
            <w:tcW w:w="564" w:type="pct"/>
            <w:tcBorders>
              <w:top w:val="nil"/>
            </w:tcBorders>
            <w:shd w:val="clear" w:color="auto" w:fill="FFFFFF"/>
            <w:vAlign w:val="center"/>
          </w:tcPr>
          <w:p w14:paraId="27CF11CF" w14:textId="77777777" w:rsidR="00E359AD" w:rsidRPr="00255CD5" w:rsidRDefault="00E359AD" w:rsidP="00255CD5">
            <w:pPr>
              <w:pStyle w:val="CETBodytext"/>
              <w:ind w:right="-1"/>
              <w:jc w:val="center"/>
              <w:rPr>
                <w:rFonts w:cs="Arial"/>
                <w:szCs w:val="18"/>
                <w:lang w:val="en-GB"/>
              </w:rPr>
            </w:pPr>
            <w:r w:rsidRPr="00255CD5">
              <w:rPr>
                <w:rFonts w:cs="Arial"/>
                <w:szCs w:val="18"/>
                <w:lang w:val="en-GB"/>
              </w:rPr>
              <w:t>C(MW)</w:t>
            </w:r>
          </w:p>
        </w:tc>
        <w:tc>
          <w:tcPr>
            <w:tcW w:w="564" w:type="pct"/>
            <w:tcBorders>
              <w:top w:val="nil"/>
            </w:tcBorders>
            <w:shd w:val="clear" w:color="auto" w:fill="FFFFFF"/>
            <w:vAlign w:val="center"/>
          </w:tcPr>
          <w:p w14:paraId="4DEB0D50" w14:textId="77777777" w:rsidR="00E359AD" w:rsidRPr="00255CD5" w:rsidRDefault="00E359AD" w:rsidP="00255CD5">
            <w:pPr>
              <w:pStyle w:val="CETBodytext"/>
              <w:ind w:right="-1"/>
              <w:jc w:val="center"/>
              <w:rPr>
                <w:rFonts w:cs="Arial"/>
                <w:szCs w:val="18"/>
                <w:lang w:val="en-GB"/>
              </w:rPr>
            </w:pPr>
            <w:r w:rsidRPr="00255CD5">
              <w:rPr>
                <w:rFonts w:cs="Arial"/>
                <w:szCs w:val="18"/>
                <w:lang w:val="en-GB"/>
              </w:rPr>
              <w:t>H (MW)</w:t>
            </w:r>
          </w:p>
        </w:tc>
        <w:tc>
          <w:tcPr>
            <w:tcW w:w="565" w:type="pct"/>
            <w:tcBorders>
              <w:top w:val="nil"/>
            </w:tcBorders>
            <w:shd w:val="clear" w:color="auto" w:fill="FFFFFF"/>
            <w:vAlign w:val="center"/>
          </w:tcPr>
          <w:p w14:paraId="4D6A8B1B" w14:textId="77777777" w:rsidR="00E359AD" w:rsidRPr="00255CD5" w:rsidRDefault="00E359AD" w:rsidP="00255CD5">
            <w:pPr>
              <w:pStyle w:val="CETBodytext"/>
              <w:ind w:right="-1"/>
              <w:jc w:val="center"/>
              <w:rPr>
                <w:rFonts w:cs="Arial"/>
                <w:szCs w:val="18"/>
                <w:lang w:val="en-GB"/>
              </w:rPr>
            </w:pPr>
            <w:r w:rsidRPr="00255CD5">
              <w:rPr>
                <w:rFonts w:cs="Arial"/>
                <w:szCs w:val="18"/>
                <w:lang w:val="en-GB"/>
              </w:rPr>
              <w:t>C(MW)</w:t>
            </w:r>
          </w:p>
        </w:tc>
      </w:tr>
      <w:tr w:rsidR="00CA4419" w:rsidRPr="00193DE9" w14:paraId="54D1A20B" w14:textId="77777777" w:rsidTr="00E359AD">
        <w:tc>
          <w:tcPr>
            <w:tcW w:w="1371" w:type="pct"/>
            <w:tcBorders>
              <w:top w:val="nil"/>
              <w:bottom w:val="nil"/>
            </w:tcBorders>
            <w:shd w:val="clear" w:color="auto" w:fill="FFFFFF"/>
            <w:vAlign w:val="center"/>
          </w:tcPr>
          <w:p w14:paraId="197B9B3F" w14:textId="77777777" w:rsidR="00CA4419" w:rsidRPr="00255CD5" w:rsidRDefault="00CA4419" w:rsidP="00CA4419">
            <w:pPr>
              <w:pStyle w:val="CETBodytext"/>
              <w:ind w:right="-1"/>
              <w:jc w:val="center"/>
              <w:rPr>
                <w:rFonts w:cs="Arial"/>
                <w:szCs w:val="18"/>
                <w:lang w:val="en-GB"/>
              </w:rPr>
            </w:pPr>
            <w:r w:rsidRPr="00255CD5">
              <w:rPr>
                <w:rFonts w:cs="Arial"/>
                <w:szCs w:val="18"/>
                <w:lang w:val="en-GB"/>
              </w:rPr>
              <w:t>R (</w:t>
            </w:r>
            <w:proofErr w:type="spellStart"/>
            <w:r w:rsidRPr="00255CD5">
              <w:rPr>
                <w:rFonts w:cs="Arial"/>
                <w:szCs w:val="18"/>
                <w:lang w:val="en-GB"/>
              </w:rPr>
              <w:t>RPlug</w:t>
            </w:r>
            <w:proofErr w:type="spellEnd"/>
            <w:r w:rsidRPr="00255CD5">
              <w:rPr>
                <w:rFonts w:cs="Arial"/>
                <w:szCs w:val="18"/>
                <w:lang w:val="en-GB"/>
              </w:rPr>
              <w:t>)</w:t>
            </w:r>
          </w:p>
        </w:tc>
        <w:tc>
          <w:tcPr>
            <w:tcW w:w="686" w:type="pct"/>
            <w:shd w:val="clear" w:color="auto" w:fill="FFFFFF"/>
            <w:vAlign w:val="center"/>
          </w:tcPr>
          <w:p w14:paraId="35FF7623" w14:textId="77777777" w:rsidR="00CA4419" w:rsidRDefault="00CA4419" w:rsidP="00CA4419">
            <w:pPr>
              <w:tabs>
                <w:tab w:val="clear" w:pos="7100"/>
              </w:tabs>
              <w:spacing w:line="240" w:lineRule="auto"/>
              <w:jc w:val="center"/>
              <w:rPr>
                <w:rFonts w:cs="Arial"/>
                <w:color w:val="000000"/>
                <w:szCs w:val="18"/>
                <w:lang w:val="en-US"/>
              </w:rPr>
            </w:pPr>
            <w:r>
              <w:rPr>
                <w:rFonts w:cs="Arial"/>
                <w:color w:val="000000"/>
                <w:szCs w:val="18"/>
              </w:rPr>
              <w:t>98.24</w:t>
            </w:r>
          </w:p>
        </w:tc>
        <w:tc>
          <w:tcPr>
            <w:tcW w:w="686" w:type="pct"/>
            <w:tcBorders>
              <w:top w:val="nil"/>
            </w:tcBorders>
            <w:shd w:val="clear" w:color="auto" w:fill="FFFFFF"/>
            <w:vAlign w:val="center"/>
          </w:tcPr>
          <w:p w14:paraId="2463E3AD" w14:textId="77777777" w:rsidR="00CA4419" w:rsidRDefault="00CA4419" w:rsidP="00CA4419">
            <w:pPr>
              <w:jc w:val="center"/>
              <w:rPr>
                <w:rFonts w:cs="Arial"/>
                <w:color w:val="000000"/>
                <w:szCs w:val="18"/>
              </w:rPr>
            </w:pPr>
            <w:r>
              <w:rPr>
                <w:rFonts w:cs="Arial"/>
                <w:color w:val="000000"/>
                <w:szCs w:val="18"/>
              </w:rPr>
              <w:t>99.7</w:t>
            </w:r>
          </w:p>
        </w:tc>
        <w:tc>
          <w:tcPr>
            <w:tcW w:w="564" w:type="pct"/>
            <w:shd w:val="clear" w:color="auto" w:fill="FFFFFF"/>
            <w:vAlign w:val="center"/>
          </w:tcPr>
          <w:p w14:paraId="272217DA" w14:textId="77777777" w:rsidR="00CA4419" w:rsidRDefault="00CA4419" w:rsidP="00CA4419">
            <w:pPr>
              <w:tabs>
                <w:tab w:val="clear" w:pos="7100"/>
              </w:tabs>
              <w:spacing w:line="240" w:lineRule="auto"/>
              <w:jc w:val="center"/>
              <w:rPr>
                <w:rFonts w:cs="Arial"/>
                <w:color w:val="000000"/>
                <w:szCs w:val="18"/>
                <w:lang w:val="en-US"/>
              </w:rPr>
            </w:pPr>
            <w:r>
              <w:rPr>
                <w:rFonts w:cs="Arial"/>
                <w:color w:val="000000"/>
                <w:szCs w:val="18"/>
              </w:rPr>
              <w:t>-</w:t>
            </w:r>
          </w:p>
        </w:tc>
        <w:tc>
          <w:tcPr>
            <w:tcW w:w="564" w:type="pct"/>
            <w:shd w:val="clear" w:color="auto" w:fill="FFFFFF"/>
            <w:vAlign w:val="center"/>
          </w:tcPr>
          <w:p w14:paraId="61F9BBEB" w14:textId="77777777" w:rsidR="00CA4419" w:rsidRDefault="00CA4419" w:rsidP="00CA4419">
            <w:pPr>
              <w:jc w:val="center"/>
              <w:rPr>
                <w:rFonts w:cs="Arial"/>
                <w:color w:val="000000"/>
                <w:szCs w:val="18"/>
              </w:rPr>
            </w:pPr>
            <w:r>
              <w:rPr>
                <w:rFonts w:cs="Arial"/>
                <w:color w:val="000000"/>
                <w:szCs w:val="18"/>
              </w:rPr>
              <w:t>-</w:t>
            </w:r>
          </w:p>
        </w:tc>
        <w:tc>
          <w:tcPr>
            <w:tcW w:w="564" w:type="pct"/>
            <w:shd w:val="clear" w:color="auto" w:fill="FFFFFF"/>
            <w:vAlign w:val="center"/>
          </w:tcPr>
          <w:p w14:paraId="44AB0947" w14:textId="77777777" w:rsidR="00CA4419" w:rsidRDefault="00CA4419" w:rsidP="00CA4419">
            <w:pPr>
              <w:jc w:val="center"/>
              <w:rPr>
                <w:rFonts w:cs="Arial"/>
                <w:color w:val="000000"/>
                <w:szCs w:val="18"/>
              </w:rPr>
            </w:pPr>
            <w:r>
              <w:rPr>
                <w:rFonts w:cs="Arial"/>
                <w:color w:val="000000"/>
                <w:szCs w:val="18"/>
              </w:rPr>
              <w:t>-</w:t>
            </w:r>
          </w:p>
        </w:tc>
        <w:tc>
          <w:tcPr>
            <w:tcW w:w="565" w:type="pct"/>
            <w:shd w:val="clear" w:color="auto" w:fill="FFFFFF"/>
            <w:vAlign w:val="center"/>
          </w:tcPr>
          <w:p w14:paraId="708FB9A3" w14:textId="77777777" w:rsidR="00CA4419" w:rsidRDefault="00CA4419" w:rsidP="00CA4419">
            <w:pPr>
              <w:jc w:val="center"/>
              <w:rPr>
                <w:rFonts w:cs="Arial"/>
                <w:color w:val="000000"/>
                <w:szCs w:val="18"/>
              </w:rPr>
            </w:pPr>
            <w:r>
              <w:rPr>
                <w:rFonts w:cs="Arial"/>
                <w:color w:val="000000"/>
                <w:szCs w:val="18"/>
              </w:rPr>
              <w:t>-</w:t>
            </w:r>
          </w:p>
        </w:tc>
      </w:tr>
      <w:tr w:rsidR="00CA4419" w14:paraId="2F6E0E93" w14:textId="77777777" w:rsidTr="00184073">
        <w:tc>
          <w:tcPr>
            <w:tcW w:w="1371" w:type="pct"/>
            <w:tcBorders>
              <w:top w:val="nil"/>
              <w:bottom w:val="nil"/>
            </w:tcBorders>
            <w:shd w:val="clear" w:color="auto" w:fill="FFFFFF"/>
            <w:vAlign w:val="center"/>
          </w:tcPr>
          <w:p w14:paraId="09425558" w14:textId="77777777" w:rsidR="00CA4419" w:rsidRPr="00255CD5" w:rsidRDefault="00CA4419" w:rsidP="00CA4419">
            <w:pPr>
              <w:pStyle w:val="CETBodytext"/>
              <w:ind w:right="-1"/>
              <w:jc w:val="center"/>
              <w:rPr>
                <w:rFonts w:cs="Arial"/>
                <w:szCs w:val="18"/>
                <w:lang w:val="en-GB"/>
              </w:rPr>
            </w:pPr>
            <w:r w:rsidRPr="00255CD5">
              <w:rPr>
                <w:rFonts w:cs="Arial"/>
                <w:szCs w:val="18"/>
                <w:lang w:val="en-GB"/>
              </w:rPr>
              <w:t>F1 (Flash2)</w:t>
            </w:r>
          </w:p>
        </w:tc>
        <w:tc>
          <w:tcPr>
            <w:tcW w:w="686" w:type="pct"/>
            <w:shd w:val="clear" w:color="auto" w:fill="FFFFFF"/>
            <w:vAlign w:val="center"/>
          </w:tcPr>
          <w:p w14:paraId="50D0C02C" w14:textId="77777777" w:rsidR="00CA4419" w:rsidRDefault="00CA4419" w:rsidP="00CA4419">
            <w:pPr>
              <w:jc w:val="center"/>
              <w:rPr>
                <w:rFonts w:cs="Arial"/>
                <w:color w:val="000000"/>
                <w:szCs w:val="18"/>
              </w:rPr>
            </w:pPr>
            <w:r>
              <w:rPr>
                <w:rFonts w:cs="Arial"/>
                <w:color w:val="000000"/>
                <w:szCs w:val="18"/>
              </w:rPr>
              <w:t>-</w:t>
            </w:r>
          </w:p>
        </w:tc>
        <w:tc>
          <w:tcPr>
            <w:tcW w:w="686" w:type="pct"/>
            <w:shd w:val="clear" w:color="auto" w:fill="FFFFFF"/>
            <w:vAlign w:val="center"/>
          </w:tcPr>
          <w:p w14:paraId="73694274" w14:textId="77777777" w:rsidR="00CA4419" w:rsidRDefault="00CA4419" w:rsidP="00CA4419">
            <w:pPr>
              <w:jc w:val="center"/>
              <w:rPr>
                <w:rFonts w:cs="Arial"/>
                <w:color w:val="000000"/>
                <w:szCs w:val="18"/>
              </w:rPr>
            </w:pPr>
            <w:r>
              <w:rPr>
                <w:rFonts w:cs="Arial"/>
                <w:color w:val="000000"/>
                <w:szCs w:val="18"/>
              </w:rPr>
              <w:t>-</w:t>
            </w:r>
          </w:p>
        </w:tc>
        <w:tc>
          <w:tcPr>
            <w:tcW w:w="564" w:type="pct"/>
            <w:shd w:val="clear" w:color="auto" w:fill="FFFFFF"/>
            <w:vAlign w:val="center"/>
          </w:tcPr>
          <w:p w14:paraId="2827609E" w14:textId="77777777" w:rsidR="00CA4419" w:rsidRDefault="00CA4419" w:rsidP="00CA4419">
            <w:pPr>
              <w:jc w:val="center"/>
              <w:rPr>
                <w:rFonts w:cs="Arial"/>
                <w:color w:val="000000"/>
                <w:szCs w:val="18"/>
              </w:rPr>
            </w:pPr>
            <w:r>
              <w:rPr>
                <w:rFonts w:cs="Arial"/>
                <w:color w:val="000000"/>
                <w:szCs w:val="18"/>
              </w:rPr>
              <w:t>-</w:t>
            </w:r>
          </w:p>
        </w:tc>
        <w:tc>
          <w:tcPr>
            <w:tcW w:w="564" w:type="pct"/>
            <w:shd w:val="clear" w:color="auto" w:fill="FFFFFF"/>
            <w:vAlign w:val="center"/>
          </w:tcPr>
          <w:p w14:paraId="09B24646" w14:textId="77777777" w:rsidR="00CA4419" w:rsidRDefault="00CA4419" w:rsidP="00CA4419">
            <w:pPr>
              <w:jc w:val="center"/>
              <w:rPr>
                <w:rFonts w:cs="Arial"/>
                <w:color w:val="000000"/>
                <w:szCs w:val="18"/>
              </w:rPr>
            </w:pPr>
            <w:r>
              <w:rPr>
                <w:rFonts w:cs="Arial"/>
                <w:color w:val="000000"/>
                <w:szCs w:val="18"/>
              </w:rPr>
              <w:t>1.50</w:t>
            </w:r>
          </w:p>
        </w:tc>
        <w:tc>
          <w:tcPr>
            <w:tcW w:w="564" w:type="pct"/>
            <w:shd w:val="clear" w:color="auto" w:fill="FFFFFF"/>
            <w:vAlign w:val="center"/>
          </w:tcPr>
          <w:p w14:paraId="173E99BD" w14:textId="77777777" w:rsidR="00CA4419" w:rsidRDefault="00CA4419" w:rsidP="00CA4419">
            <w:pPr>
              <w:jc w:val="center"/>
              <w:rPr>
                <w:rFonts w:cs="Arial"/>
                <w:color w:val="000000"/>
                <w:szCs w:val="18"/>
              </w:rPr>
            </w:pPr>
            <w:r>
              <w:rPr>
                <w:rFonts w:cs="Arial"/>
                <w:color w:val="000000"/>
                <w:szCs w:val="18"/>
              </w:rPr>
              <w:t>-</w:t>
            </w:r>
          </w:p>
        </w:tc>
        <w:tc>
          <w:tcPr>
            <w:tcW w:w="565" w:type="pct"/>
            <w:shd w:val="clear" w:color="auto" w:fill="FFFFFF"/>
            <w:vAlign w:val="center"/>
          </w:tcPr>
          <w:p w14:paraId="579CA4E0" w14:textId="77777777" w:rsidR="00CA4419" w:rsidRDefault="00CA4419" w:rsidP="00CA4419">
            <w:pPr>
              <w:jc w:val="center"/>
              <w:rPr>
                <w:rFonts w:cs="Arial"/>
                <w:color w:val="000000"/>
                <w:szCs w:val="18"/>
              </w:rPr>
            </w:pPr>
            <w:r>
              <w:rPr>
                <w:rFonts w:cs="Arial"/>
                <w:color w:val="000000"/>
                <w:szCs w:val="18"/>
              </w:rPr>
              <w:t>1.16</w:t>
            </w:r>
          </w:p>
        </w:tc>
      </w:tr>
      <w:tr w:rsidR="00CA4419" w:rsidRPr="007A5F29" w14:paraId="7717724F" w14:textId="77777777" w:rsidTr="00184073">
        <w:tc>
          <w:tcPr>
            <w:tcW w:w="1371" w:type="pct"/>
            <w:tcBorders>
              <w:top w:val="nil"/>
            </w:tcBorders>
            <w:shd w:val="clear" w:color="auto" w:fill="FFFFFF"/>
          </w:tcPr>
          <w:p w14:paraId="2C31F824" w14:textId="77777777" w:rsidR="00CA4419" w:rsidRPr="00255CD5" w:rsidRDefault="00CA4419" w:rsidP="00CA4419">
            <w:pPr>
              <w:pStyle w:val="CETBodytext"/>
              <w:ind w:right="-1"/>
              <w:jc w:val="center"/>
              <w:rPr>
                <w:rFonts w:cs="Arial"/>
                <w:szCs w:val="18"/>
                <w:lang w:val="en-GB"/>
              </w:rPr>
            </w:pPr>
            <w:r w:rsidRPr="00255CD5">
              <w:rPr>
                <w:rFonts w:cs="Arial"/>
                <w:szCs w:val="18"/>
                <w:lang w:val="en-GB"/>
              </w:rPr>
              <w:t>ACET (</w:t>
            </w:r>
            <w:proofErr w:type="spellStart"/>
            <w:r w:rsidRPr="00255CD5">
              <w:rPr>
                <w:rFonts w:cs="Arial"/>
                <w:szCs w:val="18"/>
                <w:lang w:val="en-GB"/>
              </w:rPr>
              <w:t>RadFrac</w:t>
            </w:r>
            <w:proofErr w:type="spellEnd"/>
            <w:r w:rsidRPr="00255CD5">
              <w:rPr>
                <w:rFonts w:cs="Arial"/>
                <w:szCs w:val="18"/>
                <w:lang w:val="en-GB"/>
              </w:rPr>
              <w:t>)</w:t>
            </w:r>
          </w:p>
        </w:tc>
        <w:tc>
          <w:tcPr>
            <w:tcW w:w="686" w:type="pct"/>
            <w:shd w:val="clear" w:color="auto" w:fill="FFFFFF"/>
            <w:vAlign w:val="center"/>
          </w:tcPr>
          <w:p w14:paraId="140955A5" w14:textId="77777777" w:rsidR="00CA4419" w:rsidRDefault="00CA4419" w:rsidP="00CA4419">
            <w:pPr>
              <w:jc w:val="center"/>
              <w:rPr>
                <w:rFonts w:cs="Arial"/>
                <w:color w:val="000000"/>
                <w:szCs w:val="18"/>
              </w:rPr>
            </w:pPr>
            <w:r>
              <w:rPr>
                <w:rFonts w:cs="Arial"/>
                <w:color w:val="000000"/>
                <w:szCs w:val="18"/>
              </w:rPr>
              <w:t>99.7</w:t>
            </w:r>
          </w:p>
        </w:tc>
        <w:tc>
          <w:tcPr>
            <w:tcW w:w="686" w:type="pct"/>
            <w:shd w:val="clear" w:color="auto" w:fill="FFFFFF"/>
            <w:vAlign w:val="center"/>
          </w:tcPr>
          <w:p w14:paraId="4527693E" w14:textId="77777777" w:rsidR="00CA4419" w:rsidRDefault="00CA4419" w:rsidP="00CA4419">
            <w:pPr>
              <w:jc w:val="center"/>
              <w:rPr>
                <w:rFonts w:cs="Arial"/>
                <w:color w:val="000000"/>
                <w:szCs w:val="18"/>
              </w:rPr>
            </w:pPr>
            <w:r>
              <w:rPr>
                <w:rFonts w:cs="Arial"/>
                <w:color w:val="000000"/>
                <w:szCs w:val="18"/>
              </w:rPr>
              <w:t>98.6</w:t>
            </w:r>
          </w:p>
        </w:tc>
        <w:tc>
          <w:tcPr>
            <w:tcW w:w="564" w:type="pct"/>
            <w:shd w:val="clear" w:color="auto" w:fill="FFFFFF"/>
            <w:vAlign w:val="center"/>
          </w:tcPr>
          <w:p w14:paraId="13FD423F" w14:textId="77777777" w:rsidR="00CA4419" w:rsidRDefault="00CA4419" w:rsidP="00CA4419">
            <w:pPr>
              <w:jc w:val="center"/>
              <w:rPr>
                <w:rFonts w:cs="Arial"/>
                <w:color w:val="000000"/>
                <w:szCs w:val="18"/>
              </w:rPr>
            </w:pPr>
            <w:r>
              <w:rPr>
                <w:rFonts w:cs="Arial"/>
                <w:color w:val="000000"/>
                <w:szCs w:val="18"/>
              </w:rPr>
              <w:t>8.74</w:t>
            </w:r>
          </w:p>
        </w:tc>
        <w:tc>
          <w:tcPr>
            <w:tcW w:w="564" w:type="pct"/>
            <w:shd w:val="clear" w:color="auto" w:fill="FFFFFF"/>
            <w:vAlign w:val="center"/>
          </w:tcPr>
          <w:p w14:paraId="75E332BD" w14:textId="77777777" w:rsidR="00CA4419" w:rsidRDefault="00CA4419" w:rsidP="00CA4419">
            <w:pPr>
              <w:jc w:val="center"/>
              <w:rPr>
                <w:rFonts w:cs="Arial"/>
                <w:color w:val="000000"/>
                <w:szCs w:val="18"/>
              </w:rPr>
            </w:pPr>
            <w:r>
              <w:rPr>
                <w:rFonts w:cs="Arial"/>
                <w:color w:val="000000"/>
                <w:szCs w:val="18"/>
              </w:rPr>
              <w:t>4.18</w:t>
            </w:r>
          </w:p>
        </w:tc>
        <w:tc>
          <w:tcPr>
            <w:tcW w:w="564" w:type="pct"/>
            <w:shd w:val="clear" w:color="auto" w:fill="FFFFFF"/>
            <w:vAlign w:val="center"/>
          </w:tcPr>
          <w:p w14:paraId="281E8448" w14:textId="77777777" w:rsidR="00CA4419" w:rsidRDefault="00CA4419" w:rsidP="00CA4419">
            <w:pPr>
              <w:jc w:val="center"/>
              <w:rPr>
                <w:rFonts w:cs="Arial"/>
                <w:color w:val="000000"/>
                <w:szCs w:val="18"/>
              </w:rPr>
            </w:pPr>
            <w:r>
              <w:rPr>
                <w:rFonts w:cs="Arial"/>
                <w:color w:val="000000"/>
                <w:szCs w:val="18"/>
              </w:rPr>
              <w:t>7.53</w:t>
            </w:r>
          </w:p>
        </w:tc>
        <w:tc>
          <w:tcPr>
            <w:tcW w:w="565" w:type="pct"/>
            <w:shd w:val="clear" w:color="auto" w:fill="FFFFFF"/>
            <w:vAlign w:val="center"/>
          </w:tcPr>
          <w:p w14:paraId="35C58F4E" w14:textId="77777777" w:rsidR="00CA4419" w:rsidRDefault="00CA4419" w:rsidP="00CA4419">
            <w:pPr>
              <w:jc w:val="center"/>
              <w:rPr>
                <w:rFonts w:cs="Arial"/>
                <w:color w:val="000000"/>
                <w:szCs w:val="18"/>
              </w:rPr>
            </w:pPr>
            <w:r>
              <w:rPr>
                <w:rFonts w:cs="Arial"/>
                <w:color w:val="000000"/>
                <w:szCs w:val="18"/>
              </w:rPr>
              <w:t>4.12</w:t>
            </w:r>
          </w:p>
        </w:tc>
      </w:tr>
      <w:tr w:rsidR="00CA4419" w:rsidRPr="007A5F29" w14:paraId="3D1CC74A" w14:textId="77777777" w:rsidTr="00184073">
        <w:tc>
          <w:tcPr>
            <w:tcW w:w="1371" w:type="pct"/>
            <w:shd w:val="clear" w:color="auto" w:fill="FFFFFF"/>
          </w:tcPr>
          <w:p w14:paraId="59892BC5" w14:textId="77777777" w:rsidR="00CA4419" w:rsidRPr="007A5F29" w:rsidRDefault="00CA4419" w:rsidP="00CA4419">
            <w:pPr>
              <w:pStyle w:val="CETBodytext"/>
              <w:ind w:right="-1"/>
              <w:jc w:val="center"/>
              <w:rPr>
                <w:rFonts w:cs="Arial"/>
                <w:szCs w:val="18"/>
                <w:lang w:val="en-GB"/>
              </w:rPr>
            </w:pPr>
            <w:r>
              <w:rPr>
                <w:rFonts w:cs="Arial"/>
                <w:szCs w:val="18"/>
                <w:lang w:val="en-GB"/>
              </w:rPr>
              <w:t>AC-REC (</w:t>
            </w:r>
            <w:proofErr w:type="spellStart"/>
            <w:r>
              <w:rPr>
                <w:rFonts w:cs="Arial"/>
                <w:szCs w:val="18"/>
                <w:lang w:val="en-GB"/>
              </w:rPr>
              <w:t>RadFrac</w:t>
            </w:r>
            <w:proofErr w:type="spellEnd"/>
            <w:r>
              <w:rPr>
                <w:rFonts w:cs="Arial"/>
                <w:szCs w:val="18"/>
                <w:lang w:val="en-GB"/>
              </w:rPr>
              <w:t>)</w:t>
            </w:r>
          </w:p>
        </w:tc>
        <w:tc>
          <w:tcPr>
            <w:tcW w:w="686" w:type="pct"/>
            <w:shd w:val="clear" w:color="auto" w:fill="FFFFFF"/>
            <w:vAlign w:val="center"/>
          </w:tcPr>
          <w:p w14:paraId="7E611422" w14:textId="77777777" w:rsidR="00CA4419" w:rsidRDefault="00CA4419" w:rsidP="00CA4419">
            <w:pPr>
              <w:jc w:val="center"/>
              <w:rPr>
                <w:rFonts w:cs="Arial"/>
                <w:color w:val="000000"/>
                <w:szCs w:val="18"/>
              </w:rPr>
            </w:pPr>
            <w:r>
              <w:rPr>
                <w:rFonts w:cs="Arial"/>
                <w:color w:val="000000"/>
                <w:szCs w:val="18"/>
              </w:rPr>
              <w:t>-</w:t>
            </w:r>
          </w:p>
        </w:tc>
        <w:tc>
          <w:tcPr>
            <w:tcW w:w="686" w:type="pct"/>
            <w:shd w:val="clear" w:color="auto" w:fill="FFFFFF"/>
            <w:vAlign w:val="center"/>
          </w:tcPr>
          <w:p w14:paraId="6D4E47F2" w14:textId="77777777" w:rsidR="00CA4419" w:rsidRDefault="00CA4419" w:rsidP="00CA4419">
            <w:pPr>
              <w:jc w:val="center"/>
              <w:rPr>
                <w:rFonts w:cs="Arial"/>
                <w:color w:val="000000"/>
                <w:szCs w:val="18"/>
              </w:rPr>
            </w:pPr>
            <w:r>
              <w:rPr>
                <w:rFonts w:cs="Arial"/>
                <w:color w:val="000000"/>
                <w:szCs w:val="18"/>
              </w:rPr>
              <w:t>-</w:t>
            </w:r>
          </w:p>
        </w:tc>
        <w:tc>
          <w:tcPr>
            <w:tcW w:w="564" w:type="pct"/>
            <w:shd w:val="clear" w:color="auto" w:fill="FFFFFF"/>
            <w:vAlign w:val="center"/>
          </w:tcPr>
          <w:p w14:paraId="6F2B08D2" w14:textId="77777777" w:rsidR="00CA4419" w:rsidRDefault="00CA4419" w:rsidP="00CA4419">
            <w:pPr>
              <w:jc w:val="center"/>
              <w:rPr>
                <w:rFonts w:cs="Arial"/>
                <w:color w:val="000000"/>
                <w:szCs w:val="18"/>
              </w:rPr>
            </w:pPr>
            <w:r>
              <w:rPr>
                <w:rFonts w:cs="Arial"/>
                <w:color w:val="000000"/>
                <w:szCs w:val="18"/>
              </w:rPr>
              <w:t>2.49</w:t>
            </w:r>
          </w:p>
        </w:tc>
        <w:tc>
          <w:tcPr>
            <w:tcW w:w="564" w:type="pct"/>
            <w:shd w:val="clear" w:color="auto" w:fill="FFFFFF"/>
            <w:vAlign w:val="center"/>
          </w:tcPr>
          <w:p w14:paraId="60FE4E82" w14:textId="77777777" w:rsidR="00CA4419" w:rsidRDefault="00CA4419" w:rsidP="00CA4419">
            <w:pPr>
              <w:jc w:val="center"/>
              <w:rPr>
                <w:rFonts w:cs="Arial"/>
                <w:color w:val="000000"/>
                <w:szCs w:val="18"/>
              </w:rPr>
            </w:pPr>
            <w:r>
              <w:rPr>
                <w:rFonts w:cs="Arial"/>
                <w:color w:val="000000"/>
                <w:szCs w:val="18"/>
              </w:rPr>
              <w:t>2.31</w:t>
            </w:r>
          </w:p>
        </w:tc>
        <w:tc>
          <w:tcPr>
            <w:tcW w:w="564" w:type="pct"/>
            <w:shd w:val="clear" w:color="auto" w:fill="FFFFFF"/>
            <w:vAlign w:val="center"/>
          </w:tcPr>
          <w:p w14:paraId="1716B290" w14:textId="77777777" w:rsidR="00CA4419" w:rsidRDefault="00CA4419" w:rsidP="00CA4419">
            <w:pPr>
              <w:jc w:val="center"/>
              <w:rPr>
                <w:rFonts w:cs="Arial"/>
                <w:color w:val="000000"/>
                <w:szCs w:val="18"/>
              </w:rPr>
            </w:pPr>
            <w:r>
              <w:rPr>
                <w:rFonts w:cs="Arial"/>
                <w:color w:val="000000"/>
                <w:szCs w:val="18"/>
              </w:rPr>
              <w:t>2.64</w:t>
            </w:r>
          </w:p>
        </w:tc>
        <w:tc>
          <w:tcPr>
            <w:tcW w:w="565" w:type="pct"/>
            <w:shd w:val="clear" w:color="auto" w:fill="FFFFFF"/>
            <w:vAlign w:val="center"/>
          </w:tcPr>
          <w:p w14:paraId="5CCCEFEA" w14:textId="77777777" w:rsidR="00CA4419" w:rsidRDefault="00CA4419" w:rsidP="00CA4419">
            <w:pPr>
              <w:jc w:val="center"/>
              <w:rPr>
                <w:rFonts w:cs="Arial"/>
                <w:color w:val="000000"/>
                <w:szCs w:val="18"/>
              </w:rPr>
            </w:pPr>
            <w:r>
              <w:rPr>
                <w:rFonts w:cs="Arial"/>
                <w:color w:val="000000"/>
                <w:szCs w:val="18"/>
              </w:rPr>
              <w:t>2.13</w:t>
            </w:r>
          </w:p>
        </w:tc>
      </w:tr>
      <w:tr w:rsidR="00CA4419" w:rsidRPr="007A5F29" w14:paraId="62775C6C" w14:textId="77777777" w:rsidTr="00184073">
        <w:tc>
          <w:tcPr>
            <w:tcW w:w="1371" w:type="pct"/>
            <w:shd w:val="clear" w:color="auto" w:fill="FFFFFF"/>
          </w:tcPr>
          <w:p w14:paraId="14162F36" w14:textId="77777777" w:rsidR="00CA4419" w:rsidRDefault="00CA4419" w:rsidP="00CA4419">
            <w:pPr>
              <w:pStyle w:val="CETBodytext"/>
              <w:ind w:right="-1"/>
              <w:jc w:val="center"/>
              <w:rPr>
                <w:rFonts w:cs="Arial"/>
                <w:szCs w:val="18"/>
                <w:lang w:val="en-GB"/>
              </w:rPr>
            </w:pPr>
            <w:r>
              <w:rPr>
                <w:rFonts w:cs="Arial"/>
                <w:szCs w:val="18"/>
                <w:lang w:val="en-GB"/>
              </w:rPr>
              <w:t>HYDR (</w:t>
            </w:r>
            <w:proofErr w:type="spellStart"/>
            <w:r>
              <w:rPr>
                <w:rFonts w:cs="Arial"/>
                <w:szCs w:val="18"/>
                <w:lang w:val="en-GB"/>
              </w:rPr>
              <w:t>RadFrac</w:t>
            </w:r>
            <w:proofErr w:type="spellEnd"/>
            <w:r>
              <w:rPr>
                <w:rFonts w:cs="Arial"/>
                <w:szCs w:val="18"/>
                <w:lang w:val="en-GB"/>
              </w:rPr>
              <w:t>)</w:t>
            </w:r>
          </w:p>
        </w:tc>
        <w:tc>
          <w:tcPr>
            <w:tcW w:w="686" w:type="pct"/>
            <w:shd w:val="clear" w:color="auto" w:fill="FFFFFF"/>
            <w:vAlign w:val="center"/>
          </w:tcPr>
          <w:p w14:paraId="321DEF7A" w14:textId="77777777" w:rsidR="00CA4419" w:rsidRDefault="00CA4419" w:rsidP="00CA4419">
            <w:pPr>
              <w:jc w:val="center"/>
              <w:rPr>
                <w:rFonts w:cs="Arial"/>
                <w:color w:val="000000"/>
                <w:szCs w:val="18"/>
              </w:rPr>
            </w:pPr>
            <w:r>
              <w:rPr>
                <w:rFonts w:cs="Arial"/>
                <w:color w:val="000000"/>
                <w:szCs w:val="18"/>
              </w:rPr>
              <w:t>91.73</w:t>
            </w:r>
          </w:p>
        </w:tc>
        <w:tc>
          <w:tcPr>
            <w:tcW w:w="686" w:type="pct"/>
            <w:shd w:val="clear" w:color="auto" w:fill="FFFFFF"/>
            <w:vAlign w:val="center"/>
          </w:tcPr>
          <w:p w14:paraId="4178F263" w14:textId="77777777" w:rsidR="00CA4419" w:rsidRDefault="00CA4419" w:rsidP="00CA4419">
            <w:pPr>
              <w:jc w:val="center"/>
              <w:rPr>
                <w:rFonts w:cs="Arial"/>
                <w:color w:val="000000"/>
                <w:szCs w:val="18"/>
              </w:rPr>
            </w:pPr>
            <w:r>
              <w:rPr>
                <w:rFonts w:cs="Arial"/>
                <w:color w:val="000000"/>
                <w:szCs w:val="18"/>
              </w:rPr>
              <w:t>92.57</w:t>
            </w:r>
          </w:p>
        </w:tc>
        <w:tc>
          <w:tcPr>
            <w:tcW w:w="564" w:type="pct"/>
            <w:shd w:val="clear" w:color="auto" w:fill="FFFFFF"/>
            <w:vAlign w:val="center"/>
          </w:tcPr>
          <w:p w14:paraId="57F79C5A" w14:textId="77777777" w:rsidR="00CA4419" w:rsidRDefault="00CA4419" w:rsidP="00CA4419">
            <w:pPr>
              <w:jc w:val="center"/>
              <w:rPr>
                <w:rFonts w:cs="Arial"/>
                <w:color w:val="000000"/>
                <w:szCs w:val="18"/>
              </w:rPr>
            </w:pPr>
            <w:r>
              <w:rPr>
                <w:rFonts w:cs="Arial"/>
                <w:color w:val="000000"/>
                <w:szCs w:val="18"/>
              </w:rPr>
              <w:t>0.58</w:t>
            </w:r>
          </w:p>
        </w:tc>
        <w:tc>
          <w:tcPr>
            <w:tcW w:w="564" w:type="pct"/>
            <w:shd w:val="clear" w:color="auto" w:fill="FFFFFF"/>
            <w:vAlign w:val="center"/>
          </w:tcPr>
          <w:p w14:paraId="5136011C" w14:textId="77777777" w:rsidR="00CA4419" w:rsidRDefault="00CA4419" w:rsidP="00CA4419">
            <w:pPr>
              <w:jc w:val="center"/>
              <w:rPr>
                <w:rFonts w:cs="Arial"/>
                <w:color w:val="000000"/>
                <w:szCs w:val="18"/>
              </w:rPr>
            </w:pPr>
            <w:r>
              <w:rPr>
                <w:rFonts w:cs="Arial"/>
                <w:color w:val="000000"/>
                <w:szCs w:val="18"/>
              </w:rPr>
              <w:t>4.16</w:t>
            </w:r>
          </w:p>
        </w:tc>
        <w:tc>
          <w:tcPr>
            <w:tcW w:w="564" w:type="pct"/>
            <w:shd w:val="clear" w:color="auto" w:fill="FFFFFF"/>
            <w:vAlign w:val="center"/>
          </w:tcPr>
          <w:p w14:paraId="1FD575E7" w14:textId="77777777" w:rsidR="00CA4419" w:rsidRDefault="00CA4419" w:rsidP="00CA4419">
            <w:pPr>
              <w:jc w:val="center"/>
              <w:rPr>
                <w:rFonts w:cs="Arial"/>
                <w:color w:val="000000"/>
                <w:szCs w:val="18"/>
              </w:rPr>
            </w:pPr>
            <w:r>
              <w:rPr>
                <w:rFonts w:cs="Arial"/>
                <w:color w:val="000000"/>
                <w:szCs w:val="18"/>
              </w:rPr>
              <w:t>0.66</w:t>
            </w:r>
          </w:p>
        </w:tc>
        <w:tc>
          <w:tcPr>
            <w:tcW w:w="565" w:type="pct"/>
            <w:shd w:val="clear" w:color="auto" w:fill="FFFFFF"/>
            <w:vAlign w:val="center"/>
          </w:tcPr>
          <w:p w14:paraId="5B18D384" w14:textId="77777777" w:rsidR="00CA4419" w:rsidRDefault="00CA4419" w:rsidP="00CA4419">
            <w:pPr>
              <w:jc w:val="center"/>
              <w:rPr>
                <w:rFonts w:cs="Arial"/>
                <w:color w:val="000000"/>
                <w:szCs w:val="18"/>
              </w:rPr>
            </w:pPr>
            <w:r>
              <w:rPr>
                <w:rFonts w:cs="Arial"/>
                <w:color w:val="000000"/>
                <w:szCs w:val="18"/>
              </w:rPr>
              <w:t>4.19</w:t>
            </w:r>
          </w:p>
        </w:tc>
      </w:tr>
      <w:tr w:rsidR="00CA4419" w:rsidRPr="007A5F29" w14:paraId="5321031F" w14:textId="77777777" w:rsidTr="00184073">
        <w:tc>
          <w:tcPr>
            <w:tcW w:w="1371" w:type="pct"/>
            <w:shd w:val="clear" w:color="auto" w:fill="FFFFFF"/>
          </w:tcPr>
          <w:p w14:paraId="1821838A" w14:textId="77777777" w:rsidR="00CA4419" w:rsidRDefault="00CA4419" w:rsidP="00CA4419">
            <w:pPr>
              <w:pStyle w:val="CETBodytext"/>
              <w:ind w:right="-1"/>
              <w:jc w:val="center"/>
              <w:rPr>
                <w:rFonts w:cs="Arial"/>
                <w:szCs w:val="18"/>
                <w:lang w:val="en-GB"/>
              </w:rPr>
            </w:pPr>
            <w:r>
              <w:rPr>
                <w:rFonts w:cs="Arial"/>
                <w:szCs w:val="18"/>
                <w:lang w:val="en-GB"/>
              </w:rPr>
              <w:t>AC-REC-2 (</w:t>
            </w:r>
            <w:proofErr w:type="spellStart"/>
            <w:r>
              <w:rPr>
                <w:rFonts w:cs="Arial"/>
                <w:szCs w:val="18"/>
                <w:lang w:val="en-GB"/>
              </w:rPr>
              <w:t>RadFrac</w:t>
            </w:r>
            <w:proofErr w:type="spellEnd"/>
            <w:r>
              <w:rPr>
                <w:rFonts w:cs="Arial"/>
                <w:szCs w:val="18"/>
                <w:lang w:val="en-GB"/>
              </w:rPr>
              <w:t>)</w:t>
            </w:r>
          </w:p>
        </w:tc>
        <w:tc>
          <w:tcPr>
            <w:tcW w:w="686" w:type="pct"/>
            <w:shd w:val="clear" w:color="auto" w:fill="FFFFFF"/>
            <w:vAlign w:val="center"/>
          </w:tcPr>
          <w:p w14:paraId="58BFF29D" w14:textId="77777777" w:rsidR="00CA4419" w:rsidRDefault="00CA4419" w:rsidP="00CA4419">
            <w:pPr>
              <w:jc w:val="center"/>
              <w:rPr>
                <w:rFonts w:cs="Arial"/>
                <w:color w:val="000000"/>
                <w:szCs w:val="18"/>
              </w:rPr>
            </w:pPr>
            <w:r>
              <w:rPr>
                <w:rFonts w:cs="Arial"/>
                <w:color w:val="000000"/>
                <w:szCs w:val="18"/>
              </w:rPr>
              <w:t>-</w:t>
            </w:r>
          </w:p>
        </w:tc>
        <w:tc>
          <w:tcPr>
            <w:tcW w:w="686" w:type="pct"/>
            <w:shd w:val="clear" w:color="auto" w:fill="FFFFFF"/>
            <w:vAlign w:val="center"/>
          </w:tcPr>
          <w:p w14:paraId="56CB54B0" w14:textId="77777777" w:rsidR="00CA4419" w:rsidRDefault="00CA4419" w:rsidP="00CA4419">
            <w:pPr>
              <w:jc w:val="center"/>
              <w:rPr>
                <w:rFonts w:cs="Arial"/>
                <w:color w:val="000000"/>
                <w:szCs w:val="18"/>
              </w:rPr>
            </w:pPr>
            <w:r>
              <w:rPr>
                <w:rFonts w:cs="Arial"/>
                <w:color w:val="000000"/>
                <w:szCs w:val="18"/>
              </w:rPr>
              <w:t>-</w:t>
            </w:r>
          </w:p>
        </w:tc>
        <w:tc>
          <w:tcPr>
            <w:tcW w:w="564" w:type="pct"/>
            <w:shd w:val="clear" w:color="auto" w:fill="FFFFFF"/>
            <w:vAlign w:val="center"/>
          </w:tcPr>
          <w:p w14:paraId="517CD41B" w14:textId="77777777" w:rsidR="00CA4419" w:rsidRDefault="00CA4419" w:rsidP="00CA4419">
            <w:pPr>
              <w:jc w:val="center"/>
              <w:rPr>
                <w:rFonts w:cs="Arial"/>
                <w:color w:val="000000"/>
                <w:szCs w:val="18"/>
              </w:rPr>
            </w:pPr>
            <w:r>
              <w:rPr>
                <w:rFonts w:cs="Arial"/>
                <w:color w:val="000000"/>
                <w:szCs w:val="18"/>
              </w:rPr>
              <w:t>0.69</w:t>
            </w:r>
          </w:p>
        </w:tc>
        <w:tc>
          <w:tcPr>
            <w:tcW w:w="564" w:type="pct"/>
            <w:shd w:val="clear" w:color="auto" w:fill="FFFFFF"/>
            <w:vAlign w:val="center"/>
          </w:tcPr>
          <w:p w14:paraId="3CE1E66D" w14:textId="77777777" w:rsidR="00CA4419" w:rsidRDefault="00CA4419" w:rsidP="00CA4419">
            <w:pPr>
              <w:jc w:val="center"/>
              <w:rPr>
                <w:rFonts w:cs="Arial"/>
                <w:color w:val="000000"/>
                <w:szCs w:val="18"/>
              </w:rPr>
            </w:pPr>
            <w:r>
              <w:rPr>
                <w:rFonts w:cs="Arial"/>
                <w:color w:val="000000"/>
                <w:szCs w:val="18"/>
              </w:rPr>
              <w:t>0.49</w:t>
            </w:r>
          </w:p>
        </w:tc>
        <w:tc>
          <w:tcPr>
            <w:tcW w:w="564" w:type="pct"/>
            <w:shd w:val="clear" w:color="auto" w:fill="FFFFFF"/>
            <w:vAlign w:val="center"/>
          </w:tcPr>
          <w:p w14:paraId="4151BC8A" w14:textId="77777777" w:rsidR="00CA4419" w:rsidRDefault="00CA4419" w:rsidP="00CA4419">
            <w:pPr>
              <w:jc w:val="center"/>
              <w:rPr>
                <w:rFonts w:cs="Arial"/>
                <w:color w:val="000000"/>
                <w:szCs w:val="18"/>
              </w:rPr>
            </w:pPr>
            <w:r>
              <w:rPr>
                <w:rFonts w:cs="Arial"/>
                <w:color w:val="000000"/>
                <w:szCs w:val="18"/>
              </w:rPr>
              <w:t>0.72</w:t>
            </w:r>
          </w:p>
        </w:tc>
        <w:tc>
          <w:tcPr>
            <w:tcW w:w="565" w:type="pct"/>
            <w:shd w:val="clear" w:color="auto" w:fill="FFFFFF"/>
            <w:vAlign w:val="center"/>
          </w:tcPr>
          <w:p w14:paraId="77BAC4E8" w14:textId="77777777" w:rsidR="00CA4419" w:rsidRDefault="00CA4419" w:rsidP="00CA4419">
            <w:pPr>
              <w:jc w:val="center"/>
              <w:rPr>
                <w:rFonts w:cs="Arial"/>
                <w:color w:val="000000"/>
                <w:szCs w:val="18"/>
              </w:rPr>
            </w:pPr>
            <w:r>
              <w:rPr>
                <w:rFonts w:cs="Arial"/>
                <w:color w:val="000000"/>
                <w:szCs w:val="18"/>
              </w:rPr>
              <w:t>0.52</w:t>
            </w:r>
          </w:p>
        </w:tc>
      </w:tr>
      <w:tr w:rsidR="00CA4419" w:rsidRPr="007A5F29" w14:paraId="43C3A5FE" w14:textId="77777777" w:rsidTr="00184073">
        <w:tc>
          <w:tcPr>
            <w:tcW w:w="1371" w:type="pct"/>
            <w:shd w:val="clear" w:color="auto" w:fill="FFFFFF"/>
          </w:tcPr>
          <w:p w14:paraId="3481AC6E" w14:textId="77777777" w:rsidR="00CA4419" w:rsidRDefault="00CA4419" w:rsidP="00CA4419">
            <w:pPr>
              <w:pStyle w:val="CETBodytext"/>
              <w:ind w:right="-1"/>
              <w:jc w:val="center"/>
              <w:rPr>
                <w:rFonts w:cs="Arial"/>
                <w:szCs w:val="18"/>
                <w:lang w:val="en-GB"/>
              </w:rPr>
            </w:pPr>
            <w:r>
              <w:rPr>
                <w:rFonts w:cs="Arial"/>
                <w:szCs w:val="18"/>
                <w:lang w:val="en-GB"/>
              </w:rPr>
              <w:t>PDO-REC (</w:t>
            </w:r>
            <w:proofErr w:type="spellStart"/>
            <w:r>
              <w:rPr>
                <w:rFonts w:cs="Arial"/>
                <w:szCs w:val="18"/>
                <w:lang w:val="en-GB"/>
              </w:rPr>
              <w:t>RadFrac</w:t>
            </w:r>
            <w:proofErr w:type="spellEnd"/>
            <w:r>
              <w:rPr>
                <w:rFonts w:cs="Arial"/>
                <w:szCs w:val="18"/>
                <w:lang w:val="en-GB"/>
              </w:rPr>
              <w:t>)</w:t>
            </w:r>
          </w:p>
        </w:tc>
        <w:tc>
          <w:tcPr>
            <w:tcW w:w="686" w:type="pct"/>
            <w:shd w:val="clear" w:color="auto" w:fill="FFFFFF"/>
            <w:vAlign w:val="center"/>
          </w:tcPr>
          <w:p w14:paraId="6DC0CE93" w14:textId="77777777" w:rsidR="00CA4419" w:rsidRDefault="00CA4419" w:rsidP="00CA4419">
            <w:pPr>
              <w:jc w:val="center"/>
              <w:rPr>
                <w:rFonts w:cs="Arial"/>
                <w:color w:val="000000"/>
                <w:szCs w:val="18"/>
              </w:rPr>
            </w:pPr>
            <w:r>
              <w:rPr>
                <w:rFonts w:cs="Arial"/>
                <w:color w:val="000000"/>
                <w:szCs w:val="18"/>
              </w:rPr>
              <w:t>-</w:t>
            </w:r>
          </w:p>
        </w:tc>
        <w:tc>
          <w:tcPr>
            <w:tcW w:w="686" w:type="pct"/>
            <w:shd w:val="clear" w:color="auto" w:fill="FFFFFF"/>
            <w:vAlign w:val="center"/>
          </w:tcPr>
          <w:p w14:paraId="18C1DCB5" w14:textId="77777777" w:rsidR="00CA4419" w:rsidRDefault="00CA4419" w:rsidP="00CA4419">
            <w:pPr>
              <w:jc w:val="center"/>
              <w:rPr>
                <w:rFonts w:cs="Arial"/>
                <w:color w:val="000000"/>
                <w:szCs w:val="18"/>
              </w:rPr>
            </w:pPr>
            <w:r>
              <w:rPr>
                <w:rFonts w:cs="Arial"/>
                <w:color w:val="000000"/>
                <w:szCs w:val="18"/>
              </w:rPr>
              <w:t>-</w:t>
            </w:r>
          </w:p>
        </w:tc>
        <w:tc>
          <w:tcPr>
            <w:tcW w:w="564" w:type="pct"/>
            <w:shd w:val="clear" w:color="auto" w:fill="FFFFFF"/>
            <w:vAlign w:val="center"/>
          </w:tcPr>
          <w:p w14:paraId="603CD69B" w14:textId="77777777" w:rsidR="00CA4419" w:rsidRDefault="00CA4419" w:rsidP="00CA4419">
            <w:pPr>
              <w:jc w:val="center"/>
              <w:rPr>
                <w:rFonts w:cs="Arial"/>
                <w:color w:val="000000"/>
                <w:szCs w:val="18"/>
              </w:rPr>
            </w:pPr>
            <w:r>
              <w:rPr>
                <w:rFonts w:cs="Arial"/>
                <w:color w:val="000000"/>
                <w:szCs w:val="18"/>
              </w:rPr>
              <w:t>0.75</w:t>
            </w:r>
          </w:p>
        </w:tc>
        <w:tc>
          <w:tcPr>
            <w:tcW w:w="564" w:type="pct"/>
            <w:shd w:val="clear" w:color="auto" w:fill="FFFFFF"/>
            <w:vAlign w:val="center"/>
          </w:tcPr>
          <w:p w14:paraId="1901E3C2" w14:textId="77777777" w:rsidR="00CA4419" w:rsidRDefault="00CA4419" w:rsidP="00CA4419">
            <w:pPr>
              <w:jc w:val="center"/>
              <w:rPr>
                <w:rFonts w:cs="Arial"/>
                <w:color w:val="000000"/>
                <w:szCs w:val="18"/>
              </w:rPr>
            </w:pPr>
            <w:r>
              <w:rPr>
                <w:rFonts w:cs="Arial"/>
                <w:color w:val="000000"/>
                <w:szCs w:val="18"/>
              </w:rPr>
              <w:t>0.61</w:t>
            </w:r>
          </w:p>
        </w:tc>
        <w:tc>
          <w:tcPr>
            <w:tcW w:w="564" w:type="pct"/>
            <w:shd w:val="clear" w:color="auto" w:fill="FFFFFF"/>
            <w:vAlign w:val="center"/>
          </w:tcPr>
          <w:p w14:paraId="788B4F15" w14:textId="77777777" w:rsidR="00CA4419" w:rsidRDefault="00CA4419" w:rsidP="00CA4419">
            <w:pPr>
              <w:jc w:val="center"/>
              <w:rPr>
                <w:rFonts w:cs="Arial"/>
                <w:color w:val="000000"/>
                <w:szCs w:val="18"/>
              </w:rPr>
            </w:pPr>
            <w:r>
              <w:rPr>
                <w:rFonts w:cs="Arial"/>
                <w:color w:val="000000"/>
                <w:szCs w:val="18"/>
              </w:rPr>
              <w:t>0.71</w:t>
            </w:r>
          </w:p>
        </w:tc>
        <w:tc>
          <w:tcPr>
            <w:tcW w:w="565" w:type="pct"/>
            <w:shd w:val="clear" w:color="auto" w:fill="FFFFFF"/>
            <w:vAlign w:val="center"/>
          </w:tcPr>
          <w:p w14:paraId="1365CF05" w14:textId="77777777" w:rsidR="00CA4419" w:rsidRDefault="00CA4419" w:rsidP="00CA4419">
            <w:pPr>
              <w:jc w:val="center"/>
              <w:rPr>
                <w:rFonts w:cs="Arial"/>
                <w:color w:val="000000"/>
                <w:szCs w:val="18"/>
              </w:rPr>
            </w:pPr>
            <w:r>
              <w:rPr>
                <w:rFonts w:cs="Arial"/>
                <w:color w:val="000000"/>
                <w:szCs w:val="18"/>
              </w:rPr>
              <w:t>0.57</w:t>
            </w:r>
          </w:p>
        </w:tc>
      </w:tr>
    </w:tbl>
    <w:p w14:paraId="43C3DD6F" w14:textId="77777777" w:rsidR="003159FB" w:rsidRDefault="003159FB" w:rsidP="003159FB">
      <w:pPr>
        <w:pStyle w:val="CETBodytext"/>
      </w:pPr>
    </w:p>
    <w:p w14:paraId="4C12D533" w14:textId="77777777" w:rsidR="003159FB" w:rsidRDefault="003159FB" w:rsidP="003159FB">
      <w:pPr>
        <w:pStyle w:val="CETBodytext"/>
      </w:pPr>
      <w:r>
        <w:t xml:space="preserve">Table 4 presents a comparison of the mass and energy balances reported </w:t>
      </w:r>
      <w:r w:rsidR="00DA7D04">
        <w:rPr>
          <w:noProof/>
        </w:rPr>
        <w:t>i</w:t>
      </w:r>
      <w:r w:rsidRPr="00DA7D04">
        <w:rPr>
          <w:noProof/>
        </w:rPr>
        <w:t>n</w:t>
      </w:r>
      <w:r>
        <w:t xml:space="preserve"> the literature by Gonzalez-</w:t>
      </w:r>
      <w:proofErr w:type="spellStart"/>
      <w:r>
        <w:t>Garay</w:t>
      </w:r>
      <w:proofErr w:type="spellEnd"/>
      <w:r>
        <w:t xml:space="preserve"> </w:t>
      </w:r>
      <w:r w:rsidR="00F1507D" w:rsidRPr="00F1507D">
        <w:rPr>
          <w:i/>
        </w:rPr>
        <w:t>et al.</w:t>
      </w:r>
      <w:r>
        <w:t xml:space="preserve"> (2017) and those obtained in this work. From the results, there is a clear indication of the </w:t>
      </w:r>
      <w:r w:rsidRPr="00400922">
        <w:rPr>
          <w:noProof/>
        </w:rPr>
        <w:t>large</w:t>
      </w:r>
      <w:r>
        <w:t xml:space="preserve"> impact feedstock concentration has on the results. </w:t>
      </w:r>
      <w:r w:rsidR="00207E4F">
        <w:t xml:space="preserve">While scenario GLY-1 uses a 75 </w:t>
      </w:r>
      <w:proofErr w:type="spellStart"/>
      <w:r w:rsidR="00207E4F">
        <w:t>wt</w:t>
      </w:r>
      <w:proofErr w:type="spellEnd"/>
      <w:r w:rsidR="00207E4F">
        <w:t xml:space="preserve">% glycerol solution, scenario GLY-2 considers a high purity glycerol feed, </w:t>
      </w:r>
      <w:r w:rsidR="0094453A">
        <w:t>both with an</w:t>
      </w:r>
      <w:r w:rsidR="00207E4F">
        <w:t xml:space="preserve"> assumed H</w:t>
      </w:r>
      <w:r w:rsidR="00207E4F" w:rsidRPr="00207E4F">
        <w:rPr>
          <w:vertAlign w:val="subscript"/>
        </w:rPr>
        <w:t>2</w:t>
      </w:r>
      <w:r w:rsidR="00207E4F">
        <w:t>/GLY molar ratio of 5</w:t>
      </w:r>
      <w:r w:rsidR="0094453A">
        <w:t xml:space="preserve">, which </w:t>
      </w:r>
      <w:r w:rsidR="00207E4F">
        <w:t xml:space="preserve">is much lower than the one experimentally reported by </w:t>
      </w:r>
      <w:proofErr w:type="spellStart"/>
      <w:r w:rsidR="00207E4F">
        <w:t>Akiyiama</w:t>
      </w:r>
      <w:proofErr w:type="spellEnd"/>
      <w:r w:rsidR="0094453A">
        <w:t xml:space="preserve"> </w:t>
      </w:r>
      <w:r w:rsidR="00F1507D" w:rsidRPr="00F1507D">
        <w:rPr>
          <w:i/>
        </w:rPr>
        <w:t>et al.</w:t>
      </w:r>
      <w:r w:rsidR="0094453A">
        <w:t xml:space="preserve"> (2009), of 141 for scenario GLY-2. </w:t>
      </w:r>
    </w:p>
    <w:p w14:paraId="0989D242" w14:textId="77777777" w:rsidR="0094453A" w:rsidRDefault="003159FB" w:rsidP="003159FB">
      <w:pPr>
        <w:pStyle w:val="CETBodytext"/>
      </w:pPr>
      <w:r>
        <w:t>The results</w:t>
      </w:r>
      <w:r w:rsidR="0094453A">
        <w:t xml:space="preserve"> also</w:t>
      </w:r>
      <w:r>
        <w:t xml:space="preserve"> demonstrate that the reactive distillation steps have a </w:t>
      </w:r>
      <w:r w:rsidRPr="00400922">
        <w:rPr>
          <w:noProof/>
        </w:rPr>
        <w:t>large</w:t>
      </w:r>
      <w:r>
        <w:t xml:space="preserve"> energy consumption</w:t>
      </w:r>
      <w:r w:rsidR="008C7957">
        <w:t xml:space="preserve"> (&gt;</w:t>
      </w:r>
      <w:r w:rsidR="005042F0">
        <w:t>18</w:t>
      </w:r>
      <w:r w:rsidR="008C7957">
        <w:t xml:space="preserve"> MJ/kg)</w:t>
      </w:r>
      <w:r>
        <w:t xml:space="preserve">, driven by the high excess of acetaldehyde and water required. </w:t>
      </w:r>
      <w:r w:rsidR="0094453A">
        <w:t xml:space="preserve">These steps are necessary in order to separate the 1,2-PDO product from the unreacted lactic acid by converting it into a product </w:t>
      </w:r>
      <w:r w:rsidR="008C7957">
        <w:t>more volatile than water</w:t>
      </w:r>
      <w:r w:rsidR="0094453A">
        <w:t xml:space="preserve">, which results in a bottom stream of dilute lactic acid in water and a top product of excess acetaldehyde and DMD. </w:t>
      </w:r>
      <w:r w:rsidR="00CE46AC">
        <w:t>However, the results here presented were not optimized or heat-integrated, as in the case of Gonzalez-</w:t>
      </w:r>
      <w:proofErr w:type="spellStart"/>
      <w:r w:rsidR="00CE46AC">
        <w:lastRenderedPageBreak/>
        <w:t>Garay</w:t>
      </w:r>
      <w:proofErr w:type="spellEnd"/>
      <w:r w:rsidR="00CE46AC">
        <w:t xml:space="preserve"> </w:t>
      </w:r>
      <w:r w:rsidR="00F1507D" w:rsidRPr="00F1507D">
        <w:rPr>
          <w:i/>
        </w:rPr>
        <w:t>et al.</w:t>
      </w:r>
      <w:r w:rsidR="00CE46AC">
        <w:t xml:space="preserve"> (2017)</w:t>
      </w:r>
      <w:r w:rsidR="008C7957">
        <w:t xml:space="preserve"> </w:t>
      </w:r>
      <w:r w:rsidR="00CE46AC">
        <w:t>results</w:t>
      </w:r>
      <w:r w:rsidR="008C7957">
        <w:t xml:space="preserve"> (&gt;4 MJ/kg)</w:t>
      </w:r>
      <w:r w:rsidR="00CE46AC">
        <w:t>. Nonetheless, t</w:t>
      </w:r>
      <w:r w:rsidR="0094453A">
        <w:t xml:space="preserve">he need for </w:t>
      </w:r>
      <w:r w:rsidR="0094453A" w:rsidRPr="00400922">
        <w:rPr>
          <w:noProof/>
        </w:rPr>
        <w:t>complex</w:t>
      </w:r>
      <w:r w:rsidR="0094453A">
        <w:t xml:space="preserve"> separation steps </w:t>
      </w:r>
      <w:r w:rsidR="00CE46AC">
        <w:t>makes</w:t>
      </w:r>
      <w:r w:rsidR="005A6B46">
        <w:t xml:space="preserve"> the lactic acid-based biorefinery very challenging, both in terms of lactic acid production and its transformation to other materials (</w:t>
      </w:r>
      <w:proofErr w:type="spellStart"/>
      <w:r w:rsidR="005A6B46">
        <w:t>Dusselier</w:t>
      </w:r>
      <w:proofErr w:type="spellEnd"/>
      <w:r w:rsidR="005A6B46">
        <w:t xml:space="preserve"> </w:t>
      </w:r>
      <w:r w:rsidR="00F1507D" w:rsidRPr="00F1507D">
        <w:rPr>
          <w:i/>
        </w:rPr>
        <w:t>et al.</w:t>
      </w:r>
      <w:r w:rsidR="005A6B46">
        <w:t>, 2013).</w:t>
      </w:r>
    </w:p>
    <w:p w14:paraId="0753E175" w14:textId="588A17F4" w:rsidR="003159FB" w:rsidRDefault="003159FB" w:rsidP="003159FB">
      <w:pPr>
        <w:pStyle w:val="CETBodytext"/>
      </w:pPr>
      <w:r>
        <w:t xml:space="preserve">The production of high-purity lactic acid also requires reactive distillation and </w:t>
      </w:r>
      <w:r w:rsidR="008C7957">
        <w:t xml:space="preserve">removal of </w:t>
      </w:r>
      <w:r>
        <w:t xml:space="preserve">large </w:t>
      </w:r>
      <w:r w:rsidR="008C7957">
        <w:t xml:space="preserve">amounts of </w:t>
      </w:r>
      <w:r>
        <w:t>water, with an estimated heating demand of 16.54 MJ/kg</w:t>
      </w:r>
      <w:r w:rsidR="005A6B46">
        <w:t xml:space="preserve"> (</w:t>
      </w:r>
      <w:proofErr w:type="spellStart"/>
      <w:r w:rsidR="005A6B46">
        <w:t>Su</w:t>
      </w:r>
      <w:proofErr w:type="spellEnd"/>
      <w:r w:rsidR="005A6B46">
        <w:t xml:space="preserve"> </w:t>
      </w:r>
      <w:r w:rsidR="00F1507D" w:rsidRPr="00F1507D">
        <w:rPr>
          <w:i/>
        </w:rPr>
        <w:t>et al.</w:t>
      </w:r>
      <w:r w:rsidR="005A6B46">
        <w:t>, 2013)</w:t>
      </w:r>
      <w:r>
        <w:t xml:space="preserve">. Therefore, if 1,2-PDO were produced directly from </w:t>
      </w:r>
      <w:r w:rsidR="005A6B46">
        <w:t xml:space="preserve">dilute, </w:t>
      </w:r>
      <w:r>
        <w:t xml:space="preserve">lower purity lactic acid, as proposed by </w:t>
      </w:r>
      <w:proofErr w:type="spellStart"/>
      <w:r w:rsidR="005A6B46" w:rsidRPr="00952D44">
        <w:t>Binczarski</w:t>
      </w:r>
      <w:proofErr w:type="spellEnd"/>
      <w:r>
        <w:t xml:space="preserve"> </w:t>
      </w:r>
      <w:r w:rsidR="00F1507D" w:rsidRPr="00F1507D">
        <w:rPr>
          <w:i/>
        </w:rPr>
        <w:t>et al.</w:t>
      </w:r>
      <w:r>
        <w:t xml:space="preserve"> (</w:t>
      </w:r>
      <w:r w:rsidR="005A6B46">
        <w:t>2016</w:t>
      </w:r>
      <w:r>
        <w:t xml:space="preserve">), </w:t>
      </w:r>
      <w:r w:rsidR="005A6B46">
        <w:t xml:space="preserve">who </w:t>
      </w:r>
      <w:r w:rsidR="005A6B46" w:rsidRPr="005A6B46">
        <w:t xml:space="preserve">treated lactate from </w:t>
      </w:r>
      <w:r w:rsidR="005A6B46" w:rsidRPr="00400922">
        <w:rPr>
          <w:noProof/>
        </w:rPr>
        <w:t>sugar beet pulp fermentation broth</w:t>
      </w:r>
      <w:r w:rsidR="005A6B46">
        <w:t xml:space="preserve"> t</w:t>
      </w:r>
      <w:r w:rsidR="005A6B46" w:rsidRPr="005A6B46">
        <w:t>hrough adsorption on activat</w:t>
      </w:r>
      <w:r w:rsidR="005A6B46">
        <w:t xml:space="preserve">ed </w:t>
      </w:r>
      <w:r w:rsidR="005A6B46" w:rsidRPr="005A6B46">
        <w:t xml:space="preserve">carbon to </w:t>
      </w:r>
      <w:r w:rsidR="005A6B46" w:rsidRPr="00400922">
        <w:rPr>
          <w:noProof/>
        </w:rPr>
        <w:t>be converted</w:t>
      </w:r>
      <w:r w:rsidR="005A6B46" w:rsidRPr="005A6B46">
        <w:t xml:space="preserve"> into 1,2-PDO over</w:t>
      </w:r>
      <w:r w:rsidR="005A6B46" w:rsidRPr="005A6B46">
        <w:br/>
        <w:t>Ru catalyst, achieving high yield</w:t>
      </w:r>
      <w:r w:rsidR="005A6B46">
        <w:t xml:space="preserve"> (87.7 mol %)</w:t>
      </w:r>
      <w:r w:rsidR="005577C2">
        <w:t>.</w:t>
      </w:r>
      <w:r w:rsidR="005A6B46" w:rsidRPr="005A6B46">
        <w:t xml:space="preserve"> </w:t>
      </w:r>
      <w:r w:rsidR="005577C2">
        <w:t>T</w:t>
      </w:r>
      <w:bookmarkStart w:id="0" w:name="_GoBack"/>
      <w:bookmarkEnd w:id="0"/>
      <w:r w:rsidRPr="008C7957">
        <w:rPr>
          <w:noProof/>
        </w:rPr>
        <w:t>his could</w:t>
      </w:r>
      <w:r>
        <w:t xml:space="preserve"> represent a </w:t>
      </w:r>
      <w:r w:rsidRPr="00E96E23">
        <w:rPr>
          <w:noProof/>
        </w:rPr>
        <w:t>large</w:t>
      </w:r>
      <w:r>
        <w:t xml:space="preserve"> reduction in the feedstock cost.</w:t>
      </w:r>
    </w:p>
    <w:p w14:paraId="37FCF0D0" w14:textId="77777777" w:rsidR="00256FE1" w:rsidRDefault="002F5D8D" w:rsidP="00B116E9">
      <w:pPr>
        <w:pStyle w:val="CETCaption"/>
      </w:pPr>
      <w:r>
        <w:t xml:space="preserve">Table </w:t>
      </w:r>
      <w:r w:rsidR="00115794">
        <w:t>4</w:t>
      </w:r>
      <w:r>
        <w:t xml:space="preserve">: Comparison of material and energy balances required </w:t>
      </w:r>
      <w:r w:rsidR="00952D44">
        <w:t>to produce</w:t>
      </w:r>
      <w:r>
        <w:t xml:space="preserve"> 1 kg of 1,2-PDO</w:t>
      </w:r>
    </w:p>
    <w:tbl>
      <w:tblPr>
        <w:tblW w:w="5000" w:type="pct"/>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1869"/>
        <w:gridCol w:w="2561"/>
        <w:gridCol w:w="2561"/>
        <w:gridCol w:w="898"/>
        <w:gridCol w:w="898"/>
      </w:tblGrid>
      <w:tr w:rsidR="00D778B8" w:rsidRPr="007A5F29" w14:paraId="24647800" w14:textId="77777777" w:rsidTr="00D778B8">
        <w:tc>
          <w:tcPr>
            <w:tcW w:w="1064" w:type="pct"/>
            <w:tcBorders>
              <w:top w:val="single" w:sz="12" w:space="0" w:color="008000"/>
              <w:bottom w:val="single" w:sz="6" w:space="0" w:color="008000"/>
            </w:tcBorders>
            <w:shd w:val="clear" w:color="auto" w:fill="FFFFFF"/>
            <w:vAlign w:val="center"/>
          </w:tcPr>
          <w:p w14:paraId="7DAF34F3" w14:textId="77777777" w:rsidR="00D778B8" w:rsidRPr="007A5F29" w:rsidRDefault="00D778B8" w:rsidP="00914BF2">
            <w:pPr>
              <w:pStyle w:val="CETBodytext"/>
              <w:jc w:val="center"/>
              <w:rPr>
                <w:lang w:val="en-GB"/>
              </w:rPr>
            </w:pPr>
          </w:p>
        </w:tc>
        <w:tc>
          <w:tcPr>
            <w:tcW w:w="1457" w:type="pct"/>
            <w:tcBorders>
              <w:top w:val="single" w:sz="12" w:space="0" w:color="008000"/>
              <w:bottom w:val="single" w:sz="6" w:space="0" w:color="008000"/>
            </w:tcBorders>
            <w:shd w:val="clear" w:color="auto" w:fill="FFFFFF"/>
            <w:vAlign w:val="center"/>
          </w:tcPr>
          <w:p w14:paraId="458F42DE" w14:textId="77777777" w:rsidR="00D778B8" w:rsidRPr="007A5F29" w:rsidRDefault="00207E4F" w:rsidP="00914BF2">
            <w:pPr>
              <w:pStyle w:val="CETBodytext"/>
              <w:jc w:val="center"/>
              <w:rPr>
                <w:lang w:val="en-GB"/>
              </w:rPr>
            </w:pPr>
            <w:r>
              <w:rPr>
                <w:lang w:val="en-GB"/>
              </w:rPr>
              <w:t>GLY-1</w:t>
            </w:r>
            <w:r>
              <w:rPr>
                <w:lang w:val="en-GB"/>
              </w:rPr>
              <w:br/>
            </w:r>
            <w:r w:rsidR="00D778B8">
              <w:rPr>
                <w:lang w:val="en-GB"/>
              </w:rPr>
              <w:t>(Gonzalez-</w:t>
            </w:r>
            <w:proofErr w:type="spellStart"/>
            <w:r w:rsidR="00D778B8">
              <w:rPr>
                <w:lang w:val="en-GB"/>
              </w:rPr>
              <w:t>Garay</w:t>
            </w:r>
            <w:proofErr w:type="spellEnd"/>
            <w:r w:rsidR="00D778B8">
              <w:rPr>
                <w:lang w:val="en-GB"/>
              </w:rPr>
              <w:t xml:space="preserve"> </w:t>
            </w:r>
            <w:r w:rsidR="00F1507D" w:rsidRPr="00F1507D">
              <w:rPr>
                <w:i/>
                <w:lang w:val="en-GB"/>
              </w:rPr>
              <w:t>et al.</w:t>
            </w:r>
            <w:r w:rsidR="00D778B8">
              <w:rPr>
                <w:lang w:val="en-GB"/>
              </w:rPr>
              <w:t>, 2017)</w:t>
            </w:r>
          </w:p>
        </w:tc>
        <w:tc>
          <w:tcPr>
            <w:tcW w:w="1457" w:type="pct"/>
            <w:tcBorders>
              <w:top w:val="single" w:sz="12" w:space="0" w:color="008000"/>
              <w:bottom w:val="single" w:sz="6" w:space="0" w:color="008000"/>
            </w:tcBorders>
            <w:shd w:val="clear" w:color="auto" w:fill="FFFFFF"/>
            <w:vAlign w:val="center"/>
          </w:tcPr>
          <w:p w14:paraId="24050A67" w14:textId="77777777" w:rsidR="00D778B8" w:rsidRPr="007A5F29" w:rsidRDefault="00207E4F" w:rsidP="00914BF2">
            <w:pPr>
              <w:pStyle w:val="CETBodytext"/>
              <w:jc w:val="center"/>
              <w:rPr>
                <w:lang w:val="en-GB"/>
              </w:rPr>
            </w:pPr>
            <w:r>
              <w:rPr>
                <w:lang w:val="en-GB"/>
              </w:rPr>
              <w:t>GLY-2</w:t>
            </w:r>
            <w:r>
              <w:rPr>
                <w:lang w:val="en-GB"/>
              </w:rPr>
              <w:br/>
            </w:r>
            <w:r w:rsidR="00D778B8">
              <w:rPr>
                <w:lang w:val="en-GB"/>
              </w:rPr>
              <w:t>(Gonzalez-</w:t>
            </w:r>
            <w:proofErr w:type="spellStart"/>
            <w:r w:rsidR="00D778B8">
              <w:rPr>
                <w:lang w:val="en-GB"/>
              </w:rPr>
              <w:t>Garay</w:t>
            </w:r>
            <w:proofErr w:type="spellEnd"/>
            <w:r w:rsidR="00D778B8">
              <w:rPr>
                <w:lang w:val="en-GB"/>
              </w:rPr>
              <w:t xml:space="preserve"> </w:t>
            </w:r>
            <w:r w:rsidR="00F1507D" w:rsidRPr="00F1507D">
              <w:rPr>
                <w:i/>
                <w:lang w:val="en-GB"/>
              </w:rPr>
              <w:t>et al.</w:t>
            </w:r>
            <w:r w:rsidR="00D778B8">
              <w:rPr>
                <w:lang w:val="en-GB"/>
              </w:rPr>
              <w:t>, 2017)</w:t>
            </w:r>
          </w:p>
        </w:tc>
        <w:tc>
          <w:tcPr>
            <w:tcW w:w="511" w:type="pct"/>
            <w:tcBorders>
              <w:top w:val="single" w:sz="12" w:space="0" w:color="008000"/>
              <w:bottom w:val="single" w:sz="6" w:space="0" w:color="008000"/>
            </w:tcBorders>
            <w:shd w:val="clear" w:color="auto" w:fill="FFFFFF"/>
            <w:vAlign w:val="center"/>
          </w:tcPr>
          <w:p w14:paraId="706CDD65" w14:textId="77777777" w:rsidR="00D778B8" w:rsidRPr="007A5F29" w:rsidRDefault="00D778B8" w:rsidP="00914BF2">
            <w:pPr>
              <w:pStyle w:val="CETBodytext"/>
              <w:ind w:right="-1"/>
              <w:jc w:val="center"/>
              <w:rPr>
                <w:rFonts w:cs="Arial"/>
                <w:szCs w:val="18"/>
                <w:lang w:val="en-GB"/>
              </w:rPr>
            </w:pPr>
            <w:r>
              <w:rPr>
                <w:rFonts w:cs="Arial"/>
                <w:szCs w:val="18"/>
                <w:lang w:val="en-GB"/>
              </w:rPr>
              <w:t>LA-1</w:t>
            </w:r>
            <w:r>
              <w:rPr>
                <w:rFonts w:cs="Arial"/>
                <w:szCs w:val="18"/>
                <w:lang w:val="en-GB"/>
              </w:rPr>
              <w:br/>
              <w:t>(this work)</w:t>
            </w:r>
          </w:p>
        </w:tc>
        <w:tc>
          <w:tcPr>
            <w:tcW w:w="511" w:type="pct"/>
            <w:tcBorders>
              <w:top w:val="single" w:sz="12" w:space="0" w:color="008000"/>
              <w:bottom w:val="single" w:sz="6" w:space="0" w:color="008000"/>
            </w:tcBorders>
            <w:shd w:val="clear" w:color="auto" w:fill="FFFFFF"/>
          </w:tcPr>
          <w:p w14:paraId="1B764C94" w14:textId="77777777" w:rsidR="00D778B8" w:rsidRDefault="00D778B8" w:rsidP="00914BF2">
            <w:pPr>
              <w:pStyle w:val="CETBodytext"/>
              <w:ind w:right="-1"/>
              <w:jc w:val="center"/>
              <w:rPr>
                <w:rFonts w:cs="Arial"/>
                <w:szCs w:val="18"/>
                <w:lang w:val="en-GB"/>
              </w:rPr>
            </w:pPr>
            <w:r>
              <w:rPr>
                <w:rFonts w:cs="Arial"/>
                <w:szCs w:val="18"/>
                <w:lang w:val="en-GB"/>
              </w:rPr>
              <w:t>LA-2</w:t>
            </w:r>
            <w:r w:rsidR="0012382D">
              <w:rPr>
                <w:rFonts w:cs="Arial"/>
                <w:szCs w:val="18"/>
                <w:lang w:val="en-GB"/>
              </w:rPr>
              <w:br/>
              <w:t>(this work)</w:t>
            </w:r>
          </w:p>
        </w:tc>
      </w:tr>
      <w:tr w:rsidR="00D778B8" w:rsidRPr="007A5F29" w14:paraId="30EF187D" w14:textId="77777777" w:rsidTr="00D778B8">
        <w:tc>
          <w:tcPr>
            <w:tcW w:w="1064" w:type="pct"/>
            <w:shd w:val="clear" w:color="auto" w:fill="FFFFFF"/>
            <w:vAlign w:val="center"/>
          </w:tcPr>
          <w:p w14:paraId="3D5C4E40" w14:textId="77777777" w:rsidR="00D778B8" w:rsidRPr="007A5F29" w:rsidRDefault="00D778B8" w:rsidP="00914BF2">
            <w:pPr>
              <w:pStyle w:val="CETBodytext"/>
              <w:jc w:val="center"/>
              <w:rPr>
                <w:lang w:val="en-GB"/>
              </w:rPr>
            </w:pPr>
            <w:r>
              <w:rPr>
                <w:lang w:val="en-GB"/>
              </w:rPr>
              <w:t>Raw materials</w:t>
            </w:r>
          </w:p>
        </w:tc>
        <w:tc>
          <w:tcPr>
            <w:tcW w:w="1457" w:type="pct"/>
            <w:shd w:val="clear" w:color="auto" w:fill="FFFFFF"/>
            <w:vAlign w:val="center"/>
          </w:tcPr>
          <w:p w14:paraId="1932B436" w14:textId="77777777" w:rsidR="00D778B8" w:rsidRPr="007A5F29" w:rsidRDefault="00D778B8" w:rsidP="00914BF2">
            <w:pPr>
              <w:pStyle w:val="CETBodytext"/>
              <w:jc w:val="center"/>
              <w:rPr>
                <w:lang w:val="en-GB"/>
              </w:rPr>
            </w:pPr>
          </w:p>
        </w:tc>
        <w:tc>
          <w:tcPr>
            <w:tcW w:w="1457" w:type="pct"/>
            <w:shd w:val="clear" w:color="auto" w:fill="FFFFFF"/>
            <w:vAlign w:val="center"/>
          </w:tcPr>
          <w:p w14:paraId="49382F9E" w14:textId="77777777" w:rsidR="00D778B8" w:rsidRPr="007A5F29" w:rsidRDefault="00D778B8" w:rsidP="00914BF2">
            <w:pPr>
              <w:pStyle w:val="CETBodytext"/>
              <w:jc w:val="center"/>
              <w:rPr>
                <w:lang w:val="en-GB"/>
              </w:rPr>
            </w:pPr>
          </w:p>
        </w:tc>
        <w:tc>
          <w:tcPr>
            <w:tcW w:w="511" w:type="pct"/>
            <w:shd w:val="clear" w:color="auto" w:fill="FFFFFF"/>
            <w:vAlign w:val="center"/>
          </w:tcPr>
          <w:p w14:paraId="0B879C7D" w14:textId="77777777" w:rsidR="00D778B8" w:rsidRPr="007A5F29" w:rsidRDefault="00D778B8" w:rsidP="00914BF2">
            <w:pPr>
              <w:pStyle w:val="CETBodytext"/>
              <w:ind w:right="-1"/>
              <w:jc w:val="center"/>
              <w:rPr>
                <w:rFonts w:cs="Arial"/>
                <w:szCs w:val="18"/>
                <w:lang w:val="en-GB"/>
              </w:rPr>
            </w:pPr>
          </w:p>
        </w:tc>
        <w:tc>
          <w:tcPr>
            <w:tcW w:w="511" w:type="pct"/>
            <w:shd w:val="clear" w:color="auto" w:fill="FFFFFF"/>
          </w:tcPr>
          <w:p w14:paraId="6C8B23F3" w14:textId="77777777" w:rsidR="00D778B8" w:rsidRPr="007A5F29" w:rsidRDefault="00D778B8" w:rsidP="00914BF2">
            <w:pPr>
              <w:pStyle w:val="CETBodytext"/>
              <w:ind w:right="-1"/>
              <w:jc w:val="center"/>
              <w:rPr>
                <w:rFonts w:cs="Arial"/>
                <w:szCs w:val="18"/>
                <w:lang w:val="en-GB"/>
              </w:rPr>
            </w:pPr>
          </w:p>
        </w:tc>
      </w:tr>
      <w:tr w:rsidR="00CA4419" w:rsidRPr="007A5F29" w14:paraId="2C3AD785" w14:textId="77777777" w:rsidTr="00B831D9">
        <w:tc>
          <w:tcPr>
            <w:tcW w:w="1064" w:type="pct"/>
            <w:shd w:val="clear" w:color="auto" w:fill="FFFFFF"/>
            <w:vAlign w:val="center"/>
          </w:tcPr>
          <w:p w14:paraId="5F8B4CF3" w14:textId="77777777" w:rsidR="00CA4419" w:rsidRDefault="00CA4419" w:rsidP="00CA4419">
            <w:pPr>
              <w:pStyle w:val="CETBodytext"/>
              <w:jc w:val="center"/>
              <w:rPr>
                <w:lang w:val="en-GB"/>
              </w:rPr>
            </w:pPr>
            <w:r>
              <w:rPr>
                <w:lang w:val="en-GB"/>
              </w:rPr>
              <w:t xml:space="preserve">Glycerol sol. 90 </w:t>
            </w:r>
            <w:proofErr w:type="spellStart"/>
            <w:r>
              <w:rPr>
                <w:lang w:val="en-GB"/>
              </w:rPr>
              <w:t>wt</w:t>
            </w:r>
            <w:proofErr w:type="spellEnd"/>
            <w:r>
              <w:rPr>
                <w:lang w:val="en-GB"/>
              </w:rPr>
              <w:t>%</w:t>
            </w:r>
          </w:p>
        </w:tc>
        <w:tc>
          <w:tcPr>
            <w:tcW w:w="1457" w:type="pct"/>
            <w:shd w:val="clear" w:color="auto" w:fill="FFFFFF"/>
            <w:vAlign w:val="center"/>
          </w:tcPr>
          <w:p w14:paraId="7E13E270" w14:textId="77777777" w:rsidR="00CA4419" w:rsidRPr="007A5F29" w:rsidRDefault="00CA4419" w:rsidP="00CA4419">
            <w:pPr>
              <w:pStyle w:val="CETBodytext"/>
              <w:jc w:val="center"/>
              <w:rPr>
                <w:lang w:val="en-GB"/>
              </w:rPr>
            </w:pPr>
            <w:r>
              <w:rPr>
                <w:lang w:val="en-GB"/>
              </w:rPr>
              <w:t>1.4238</w:t>
            </w:r>
          </w:p>
        </w:tc>
        <w:tc>
          <w:tcPr>
            <w:tcW w:w="1457" w:type="pct"/>
            <w:shd w:val="clear" w:color="auto" w:fill="FFFFFF"/>
            <w:vAlign w:val="center"/>
          </w:tcPr>
          <w:p w14:paraId="5BE2CC8F" w14:textId="77777777" w:rsidR="00CA4419" w:rsidRPr="007A5F29" w:rsidRDefault="00CA4419" w:rsidP="00CA4419">
            <w:pPr>
              <w:pStyle w:val="CETBodytext"/>
              <w:jc w:val="center"/>
              <w:rPr>
                <w:lang w:val="en-GB"/>
              </w:rPr>
            </w:pPr>
            <w:r>
              <w:rPr>
                <w:lang w:val="en-GB"/>
              </w:rPr>
              <w:t>1.3707</w:t>
            </w:r>
          </w:p>
        </w:tc>
        <w:tc>
          <w:tcPr>
            <w:tcW w:w="511" w:type="pct"/>
            <w:shd w:val="clear" w:color="auto" w:fill="FFFFFF"/>
            <w:vAlign w:val="center"/>
          </w:tcPr>
          <w:p w14:paraId="26CE7D1E" w14:textId="77777777" w:rsidR="00CA4419" w:rsidRDefault="00CA4419" w:rsidP="00CA4419">
            <w:pPr>
              <w:tabs>
                <w:tab w:val="clear" w:pos="7100"/>
              </w:tabs>
              <w:spacing w:line="240" w:lineRule="auto"/>
              <w:jc w:val="center"/>
              <w:rPr>
                <w:rFonts w:cs="Arial"/>
                <w:color w:val="000000"/>
                <w:szCs w:val="18"/>
                <w:lang w:val="en-US"/>
              </w:rPr>
            </w:pPr>
            <w:r>
              <w:rPr>
                <w:rFonts w:cs="Arial"/>
                <w:color w:val="000000"/>
                <w:szCs w:val="18"/>
              </w:rPr>
              <w:t>-</w:t>
            </w:r>
          </w:p>
        </w:tc>
        <w:tc>
          <w:tcPr>
            <w:tcW w:w="511" w:type="pct"/>
            <w:shd w:val="clear" w:color="auto" w:fill="FFFFFF"/>
            <w:vAlign w:val="center"/>
          </w:tcPr>
          <w:p w14:paraId="5AA2A257" w14:textId="77777777" w:rsidR="00CA4419" w:rsidRDefault="00CA4419" w:rsidP="00CA4419">
            <w:pPr>
              <w:jc w:val="center"/>
              <w:rPr>
                <w:rFonts w:cs="Arial"/>
                <w:color w:val="000000"/>
                <w:szCs w:val="18"/>
              </w:rPr>
            </w:pPr>
            <w:r>
              <w:rPr>
                <w:rFonts w:cs="Arial"/>
                <w:color w:val="000000"/>
                <w:szCs w:val="18"/>
              </w:rPr>
              <w:t>-</w:t>
            </w:r>
          </w:p>
        </w:tc>
      </w:tr>
      <w:tr w:rsidR="00CA4419" w:rsidRPr="007A5F29" w14:paraId="4BEB5E47" w14:textId="77777777" w:rsidTr="00B831D9">
        <w:tc>
          <w:tcPr>
            <w:tcW w:w="1064" w:type="pct"/>
            <w:shd w:val="clear" w:color="auto" w:fill="FFFFFF"/>
            <w:vAlign w:val="center"/>
          </w:tcPr>
          <w:p w14:paraId="686AE314" w14:textId="77777777" w:rsidR="00CA4419" w:rsidRDefault="00CA4419" w:rsidP="00CA4419">
            <w:pPr>
              <w:pStyle w:val="CETBodytext"/>
              <w:jc w:val="center"/>
              <w:rPr>
                <w:lang w:val="en-GB"/>
              </w:rPr>
            </w:pPr>
            <w:r>
              <w:rPr>
                <w:lang w:val="en-GB"/>
              </w:rPr>
              <w:t xml:space="preserve">Lactic acid 88 </w:t>
            </w:r>
            <w:proofErr w:type="spellStart"/>
            <w:r>
              <w:rPr>
                <w:lang w:val="en-GB"/>
              </w:rPr>
              <w:t>wt</w:t>
            </w:r>
            <w:proofErr w:type="spellEnd"/>
            <w:r>
              <w:rPr>
                <w:lang w:val="en-GB"/>
              </w:rPr>
              <w:t>%</w:t>
            </w:r>
          </w:p>
        </w:tc>
        <w:tc>
          <w:tcPr>
            <w:tcW w:w="1457" w:type="pct"/>
            <w:shd w:val="clear" w:color="auto" w:fill="FFFFFF"/>
            <w:vAlign w:val="center"/>
          </w:tcPr>
          <w:p w14:paraId="67966755" w14:textId="77777777" w:rsidR="00CA4419" w:rsidRPr="007A5F29" w:rsidRDefault="00CA4419" w:rsidP="00CA4419">
            <w:pPr>
              <w:pStyle w:val="CETBodytext"/>
              <w:jc w:val="center"/>
              <w:rPr>
                <w:lang w:val="en-GB"/>
              </w:rPr>
            </w:pPr>
            <w:r>
              <w:rPr>
                <w:lang w:val="en-GB"/>
              </w:rPr>
              <w:t>-</w:t>
            </w:r>
          </w:p>
        </w:tc>
        <w:tc>
          <w:tcPr>
            <w:tcW w:w="1457" w:type="pct"/>
            <w:shd w:val="clear" w:color="auto" w:fill="FFFFFF"/>
            <w:vAlign w:val="center"/>
          </w:tcPr>
          <w:p w14:paraId="10070565" w14:textId="77777777" w:rsidR="00CA4419" w:rsidRPr="007A5F29" w:rsidRDefault="00CA4419" w:rsidP="00CA4419">
            <w:pPr>
              <w:pStyle w:val="CETBodytext"/>
              <w:jc w:val="center"/>
              <w:rPr>
                <w:lang w:val="en-GB"/>
              </w:rPr>
            </w:pPr>
            <w:r>
              <w:rPr>
                <w:lang w:val="en-GB"/>
              </w:rPr>
              <w:t>-</w:t>
            </w:r>
          </w:p>
        </w:tc>
        <w:tc>
          <w:tcPr>
            <w:tcW w:w="511" w:type="pct"/>
            <w:shd w:val="clear" w:color="auto" w:fill="FFFFFF"/>
            <w:vAlign w:val="center"/>
          </w:tcPr>
          <w:p w14:paraId="78669B2D" w14:textId="77777777" w:rsidR="00CA4419" w:rsidRDefault="00CA4419" w:rsidP="00CA4419">
            <w:pPr>
              <w:jc w:val="center"/>
              <w:rPr>
                <w:rFonts w:cs="Arial"/>
                <w:color w:val="000000"/>
                <w:szCs w:val="18"/>
              </w:rPr>
            </w:pPr>
            <w:r>
              <w:rPr>
                <w:rFonts w:cs="Arial"/>
                <w:color w:val="000000"/>
                <w:szCs w:val="18"/>
              </w:rPr>
              <w:t>1.691</w:t>
            </w:r>
          </w:p>
        </w:tc>
        <w:tc>
          <w:tcPr>
            <w:tcW w:w="511" w:type="pct"/>
            <w:shd w:val="clear" w:color="auto" w:fill="FFFFFF"/>
            <w:vAlign w:val="center"/>
          </w:tcPr>
          <w:p w14:paraId="135C02FD" w14:textId="77777777" w:rsidR="00CA4419" w:rsidRDefault="00CA4419" w:rsidP="00CA4419">
            <w:pPr>
              <w:jc w:val="center"/>
              <w:rPr>
                <w:rFonts w:cs="Arial"/>
                <w:color w:val="000000"/>
                <w:szCs w:val="18"/>
              </w:rPr>
            </w:pPr>
            <w:r>
              <w:rPr>
                <w:rFonts w:cs="Arial"/>
                <w:color w:val="000000"/>
                <w:szCs w:val="18"/>
              </w:rPr>
              <w:t>1.696</w:t>
            </w:r>
          </w:p>
        </w:tc>
      </w:tr>
      <w:tr w:rsidR="00CA4419" w:rsidRPr="007A5F29" w14:paraId="52B30F1F" w14:textId="77777777" w:rsidTr="00B831D9">
        <w:tc>
          <w:tcPr>
            <w:tcW w:w="1064" w:type="pct"/>
            <w:shd w:val="clear" w:color="auto" w:fill="FFFFFF"/>
            <w:vAlign w:val="center"/>
          </w:tcPr>
          <w:p w14:paraId="1F8CB6BE" w14:textId="77777777" w:rsidR="00CA4419" w:rsidRDefault="00CA4419" w:rsidP="00CA4419">
            <w:pPr>
              <w:pStyle w:val="CETBodytext"/>
              <w:jc w:val="center"/>
              <w:rPr>
                <w:lang w:val="en-GB"/>
              </w:rPr>
            </w:pPr>
            <w:r>
              <w:rPr>
                <w:lang w:val="en-GB"/>
              </w:rPr>
              <w:t>Molar yield (%)</w:t>
            </w:r>
          </w:p>
        </w:tc>
        <w:tc>
          <w:tcPr>
            <w:tcW w:w="1457" w:type="pct"/>
            <w:shd w:val="clear" w:color="auto" w:fill="FFFFFF"/>
            <w:vAlign w:val="center"/>
          </w:tcPr>
          <w:p w14:paraId="744B4E8B" w14:textId="77777777" w:rsidR="00CA4419" w:rsidRDefault="00CA4419" w:rsidP="00CA4419">
            <w:pPr>
              <w:pStyle w:val="CETBodytext"/>
              <w:jc w:val="center"/>
              <w:rPr>
                <w:lang w:val="en-GB"/>
              </w:rPr>
            </w:pPr>
            <w:r>
              <w:rPr>
                <w:lang w:val="en-GB"/>
              </w:rPr>
              <w:t>94.6</w:t>
            </w:r>
          </w:p>
        </w:tc>
        <w:tc>
          <w:tcPr>
            <w:tcW w:w="1457" w:type="pct"/>
            <w:shd w:val="clear" w:color="auto" w:fill="FFFFFF"/>
            <w:vAlign w:val="center"/>
          </w:tcPr>
          <w:p w14:paraId="08111B31" w14:textId="77777777" w:rsidR="00CA4419" w:rsidRDefault="00CA4419" w:rsidP="00CA4419">
            <w:pPr>
              <w:pStyle w:val="CETBodytext"/>
              <w:jc w:val="center"/>
              <w:rPr>
                <w:lang w:val="en-GB"/>
              </w:rPr>
            </w:pPr>
            <w:r>
              <w:rPr>
                <w:lang w:val="en-GB"/>
              </w:rPr>
              <w:t>98.09</w:t>
            </w:r>
          </w:p>
        </w:tc>
        <w:tc>
          <w:tcPr>
            <w:tcW w:w="511" w:type="pct"/>
            <w:shd w:val="clear" w:color="auto" w:fill="FFFFFF"/>
            <w:vAlign w:val="center"/>
          </w:tcPr>
          <w:p w14:paraId="134CE179" w14:textId="77777777" w:rsidR="00CA4419" w:rsidRDefault="00CA4419" w:rsidP="00CA4419">
            <w:pPr>
              <w:jc w:val="center"/>
              <w:rPr>
                <w:rFonts w:cs="Arial"/>
                <w:color w:val="000000"/>
                <w:szCs w:val="18"/>
              </w:rPr>
            </w:pPr>
            <w:r>
              <w:rPr>
                <w:rFonts w:cs="Arial"/>
                <w:color w:val="000000"/>
                <w:szCs w:val="18"/>
              </w:rPr>
              <w:t>0.912</w:t>
            </w:r>
          </w:p>
        </w:tc>
        <w:tc>
          <w:tcPr>
            <w:tcW w:w="511" w:type="pct"/>
            <w:shd w:val="clear" w:color="auto" w:fill="FFFFFF"/>
            <w:vAlign w:val="center"/>
          </w:tcPr>
          <w:p w14:paraId="07729B0E" w14:textId="77777777" w:rsidR="00CA4419" w:rsidRDefault="00CA4419" w:rsidP="00CA4419">
            <w:pPr>
              <w:jc w:val="center"/>
              <w:rPr>
                <w:rFonts w:cs="Arial"/>
                <w:color w:val="000000"/>
                <w:szCs w:val="18"/>
              </w:rPr>
            </w:pPr>
            <w:r>
              <w:rPr>
                <w:rFonts w:cs="Arial"/>
                <w:color w:val="000000"/>
                <w:szCs w:val="18"/>
              </w:rPr>
              <w:t>0.91</w:t>
            </w:r>
            <w:r w:rsidR="00B15B51">
              <w:rPr>
                <w:rFonts w:cs="Arial"/>
                <w:color w:val="000000"/>
                <w:szCs w:val="18"/>
              </w:rPr>
              <w:t>0</w:t>
            </w:r>
          </w:p>
        </w:tc>
      </w:tr>
      <w:tr w:rsidR="00CA4419" w:rsidRPr="007A5F29" w14:paraId="08111FAC" w14:textId="77777777" w:rsidTr="00B831D9">
        <w:tc>
          <w:tcPr>
            <w:tcW w:w="1064" w:type="pct"/>
            <w:shd w:val="clear" w:color="auto" w:fill="FFFFFF"/>
            <w:vAlign w:val="center"/>
          </w:tcPr>
          <w:p w14:paraId="3A580A74" w14:textId="77777777" w:rsidR="00CA4419" w:rsidRDefault="00CA4419" w:rsidP="00CA4419">
            <w:pPr>
              <w:pStyle w:val="CETBodytext"/>
              <w:jc w:val="center"/>
              <w:rPr>
                <w:lang w:val="en-GB"/>
              </w:rPr>
            </w:pPr>
            <w:r>
              <w:rPr>
                <w:lang w:val="en-GB"/>
              </w:rPr>
              <w:t>H</w:t>
            </w:r>
            <w:r w:rsidRPr="00000BB4">
              <w:rPr>
                <w:vertAlign w:val="subscript"/>
                <w:lang w:val="en-GB"/>
              </w:rPr>
              <w:t>2</w:t>
            </w:r>
          </w:p>
        </w:tc>
        <w:tc>
          <w:tcPr>
            <w:tcW w:w="1457" w:type="pct"/>
            <w:shd w:val="clear" w:color="auto" w:fill="FFFFFF"/>
            <w:vAlign w:val="center"/>
          </w:tcPr>
          <w:p w14:paraId="5E95D716" w14:textId="77777777" w:rsidR="00CA4419" w:rsidRPr="007A5F29" w:rsidRDefault="00CA4419" w:rsidP="00CA4419">
            <w:pPr>
              <w:pStyle w:val="CETBodytext"/>
              <w:jc w:val="center"/>
              <w:rPr>
                <w:lang w:val="en-GB"/>
              </w:rPr>
            </w:pPr>
            <w:r>
              <w:rPr>
                <w:lang w:val="en-GB"/>
              </w:rPr>
              <w:t>0.0297</w:t>
            </w:r>
          </w:p>
        </w:tc>
        <w:tc>
          <w:tcPr>
            <w:tcW w:w="1457" w:type="pct"/>
            <w:shd w:val="clear" w:color="auto" w:fill="FFFFFF"/>
            <w:vAlign w:val="center"/>
          </w:tcPr>
          <w:p w14:paraId="356943C1" w14:textId="77777777" w:rsidR="00CA4419" w:rsidRPr="007A5F29" w:rsidRDefault="00CA4419" w:rsidP="00CA4419">
            <w:pPr>
              <w:pStyle w:val="CETBodytext"/>
              <w:jc w:val="center"/>
              <w:rPr>
                <w:lang w:val="en-GB"/>
              </w:rPr>
            </w:pPr>
            <w:r>
              <w:rPr>
                <w:lang w:val="en-GB"/>
              </w:rPr>
              <w:t>0.0321</w:t>
            </w:r>
          </w:p>
        </w:tc>
        <w:tc>
          <w:tcPr>
            <w:tcW w:w="511" w:type="pct"/>
            <w:shd w:val="clear" w:color="auto" w:fill="FFFFFF"/>
            <w:vAlign w:val="center"/>
          </w:tcPr>
          <w:p w14:paraId="22591802" w14:textId="77777777" w:rsidR="00CA4419" w:rsidRDefault="00CA4419" w:rsidP="00CA4419">
            <w:pPr>
              <w:jc w:val="center"/>
              <w:rPr>
                <w:rFonts w:cs="Arial"/>
                <w:color w:val="000000"/>
                <w:szCs w:val="18"/>
              </w:rPr>
            </w:pPr>
            <w:r>
              <w:rPr>
                <w:rFonts w:cs="Arial"/>
                <w:color w:val="000000"/>
                <w:szCs w:val="18"/>
              </w:rPr>
              <w:t>0.058</w:t>
            </w:r>
          </w:p>
        </w:tc>
        <w:tc>
          <w:tcPr>
            <w:tcW w:w="511" w:type="pct"/>
            <w:shd w:val="clear" w:color="auto" w:fill="FFFFFF"/>
            <w:vAlign w:val="center"/>
          </w:tcPr>
          <w:p w14:paraId="4EFAD6D9" w14:textId="77777777" w:rsidR="00CA4419" w:rsidRDefault="00CA4419" w:rsidP="00CA4419">
            <w:pPr>
              <w:jc w:val="center"/>
              <w:rPr>
                <w:rFonts w:cs="Arial"/>
                <w:color w:val="000000"/>
                <w:szCs w:val="18"/>
              </w:rPr>
            </w:pPr>
            <w:r>
              <w:rPr>
                <w:rFonts w:cs="Arial"/>
                <w:color w:val="000000"/>
                <w:szCs w:val="18"/>
              </w:rPr>
              <w:t>0.058</w:t>
            </w:r>
          </w:p>
        </w:tc>
      </w:tr>
      <w:tr w:rsidR="00CA4419" w:rsidRPr="007A5F29" w14:paraId="0D649B39" w14:textId="77777777" w:rsidTr="00B831D9">
        <w:tc>
          <w:tcPr>
            <w:tcW w:w="1064" w:type="pct"/>
            <w:shd w:val="clear" w:color="auto" w:fill="FFFFFF"/>
            <w:vAlign w:val="center"/>
          </w:tcPr>
          <w:p w14:paraId="13F8BEFC" w14:textId="77777777" w:rsidR="00CA4419" w:rsidRDefault="00CA4419" w:rsidP="00CA4419">
            <w:pPr>
              <w:pStyle w:val="CETBodytext"/>
              <w:jc w:val="center"/>
              <w:rPr>
                <w:lang w:val="en-GB"/>
              </w:rPr>
            </w:pPr>
            <w:r>
              <w:rPr>
                <w:lang w:val="en-GB"/>
              </w:rPr>
              <w:t>Water</w:t>
            </w:r>
          </w:p>
        </w:tc>
        <w:tc>
          <w:tcPr>
            <w:tcW w:w="1457" w:type="pct"/>
            <w:shd w:val="clear" w:color="auto" w:fill="FFFFFF"/>
            <w:vAlign w:val="center"/>
          </w:tcPr>
          <w:p w14:paraId="48C3978C" w14:textId="77777777" w:rsidR="00CA4419" w:rsidRPr="007A5F29" w:rsidRDefault="00CA4419" w:rsidP="00CA4419">
            <w:pPr>
              <w:pStyle w:val="CETBodytext"/>
              <w:jc w:val="center"/>
              <w:rPr>
                <w:lang w:val="en-GB"/>
              </w:rPr>
            </w:pPr>
            <w:r>
              <w:rPr>
                <w:lang w:val="en-GB"/>
              </w:rPr>
              <w:t>0.0093</w:t>
            </w:r>
          </w:p>
        </w:tc>
        <w:tc>
          <w:tcPr>
            <w:tcW w:w="1457" w:type="pct"/>
            <w:shd w:val="clear" w:color="auto" w:fill="FFFFFF"/>
            <w:vAlign w:val="center"/>
          </w:tcPr>
          <w:p w14:paraId="1299B313" w14:textId="77777777" w:rsidR="00CA4419" w:rsidRPr="007A5F29" w:rsidRDefault="00CA4419" w:rsidP="00CA4419">
            <w:pPr>
              <w:pStyle w:val="CETBodytext"/>
              <w:jc w:val="center"/>
              <w:rPr>
                <w:lang w:val="en-GB"/>
              </w:rPr>
            </w:pPr>
            <w:r>
              <w:rPr>
                <w:lang w:val="en-GB"/>
              </w:rPr>
              <w:t>-</w:t>
            </w:r>
          </w:p>
        </w:tc>
        <w:tc>
          <w:tcPr>
            <w:tcW w:w="511" w:type="pct"/>
            <w:shd w:val="clear" w:color="auto" w:fill="FFFFFF"/>
            <w:vAlign w:val="center"/>
          </w:tcPr>
          <w:p w14:paraId="2D7791E2" w14:textId="77777777" w:rsidR="00CA4419" w:rsidRDefault="00CA4419" w:rsidP="00CA4419">
            <w:pPr>
              <w:jc w:val="center"/>
              <w:rPr>
                <w:rFonts w:cs="Arial"/>
                <w:color w:val="000000"/>
                <w:szCs w:val="18"/>
              </w:rPr>
            </w:pPr>
            <w:r>
              <w:rPr>
                <w:rFonts w:cs="Arial"/>
                <w:color w:val="000000"/>
                <w:szCs w:val="18"/>
              </w:rPr>
              <w:t>0.371</w:t>
            </w:r>
          </w:p>
        </w:tc>
        <w:tc>
          <w:tcPr>
            <w:tcW w:w="511" w:type="pct"/>
            <w:shd w:val="clear" w:color="auto" w:fill="FFFFFF"/>
            <w:vAlign w:val="center"/>
          </w:tcPr>
          <w:p w14:paraId="5F24447F" w14:textId="77777777" w:rsidR="00CA4419" w:rsidRDefault="00CA4419" w:rsidP="00CA4419">
            <w:pPr>
              <w:jc w:val="center"/>
              <w:rPr>
                <w:rFonts w:cs="Arial"/>
                <w:color w:val="000000"/>
                <w:szCs w:val="18"/>
              </w:rPr>
            </w:pPr>
            <w:r>
              <w:rPr>
                <w:rFonts w:cs="Arial"/>
                <w:color w:val="000000"/>
                <w:szCs w:val="18"/>
              </w:rPr>
              <w:t>0.480</w:t>
            </w:r>
          </w:p>
        </w:tc>
      </w:tr>
      <w:tr w:rsidR="00CA4419" w:rsidRPr="007A5F29" w14:paraId="7F0F5878" w14:textId="77777777" w:rsidTr="00B831D9">
        <w:tc>
          <w:tcPr>
            <w:tcW w:w="1064" w:type="pct"/>
            <w:shd w:val="clear" w:color="auto" w:fill="FFFFFF"/>
            <w:vAlign w:val="center"/>
          </w:tcPr>
          <w:p w14:paraId="67A3A070" w14:textId="77777777" w:rsidR="00CA4419" w:rsidRDefault="00CA4419" w:rsidP="00CA4419">
            <w:pPr>
              <w:pStyle w:val="CETBodytext"/>
              <w:jc w:val="center"/>
              <w:rPr>
                <w:lang w:val="en-GB"/>
              </w:rPr>
            </w:pPr>
            <w:r>
              <w:rPr>
                <w:lang w:val="en-GB"/>
              </w:rPr>
              <w:t>Acetaldehyde</w:t>
            </w:r>
          </w:p>
        </w:tc>
        <w:tc>
          <w:tcPr>
            <w:tcW w:w="1457" w:type="pct"/>
            <w:shd w:val="clear" w:color="auto" w:fill="FFFFFF"/>
            <w:vAlign w:val="center"/>
          </w:tcPr>
          <w:p w14:paraId="0B4ED483" w14:textId="77777777" w:rsidR="00CA4419" w:rsidRPr="007A5F29" w:rsidRDefault="00CA4419" w:rsidP="00CA4419">
            <w:pPr>
              <w:pStyle w:val="CETBodytext"/>
              <w:jc w:val="center"/>
              <w:rPr>
                <w:lang w:val="en-GB"/>
              </w:rPr>
            </w:pPr>
            <w:r>
              <w:rPr>
                <w:lang w:val="en-GB"/>
              </w:rPr>
              <w:t>-</w:t>
            </w:r>
          </w:p>
        </w:tc>
        <w:tc>
          <w:tcPr>
            <w:tcW w:w="1457" w:type="pct"/>
            <w:shd w:val="clear" w:color="auto" w:fill="FFFFFF"/>
            <w:vAlign w:val="center"/>
          </w:tcPr>
          <w:p w14:paraId="6A3B67AD" w14:textId="77777777" w:rsidR="00CA4419" w:rsidRPr="007A5F29" w:rsidRDefault="00CA4419" w:rsidP="00CA4419">
            <w:pPr>
              <w:pStyle w:val="CETBodytext"/>
              <w:jc w:val="center"/>
              <w:rPr>
                <w:lang w:val="en-GB"/>
              </w:rPr>
            </w:pPr>
            <w:r>
              <w:rPr>
                <w:lang w:val="en-GB"/>
              </w:rPr>
              <w:t>-</w:t>
            </w:r>
          </w:p>
        </w:tc>
        <w:tc>
          <w:tcPr>
            <w:tcW w:w="511" w:type="pct"/>
            <w:shd w:val="clear" w:color="auto" w:fill="FFFFFF"/>
            <w:vAlign w:val="center"/>
          </w:tcPr>
          <w:p w14:paraId="040539A2" w14:textId="77777777" w:rsidR="00CA4419" w:rsidRDefault="00CA4419" w:rsidP="00CA4419">
            <w:pPr>
              <w:jc w:val="center"/>
              <w:rPr>
                <w:rFonts w:cs="Arial"/>
                <w:color w:val="000000"/>
                <w:szCs w:val="18"/>
              </w:rPr>
            </w:pPr>
            <w:r>
              <w:rPr>
                <w:rFonts w:cs="Arial"/>
                <w:color w:val="000000"/>
                <w:szCs w:val="18"/>
              </w:rPr>
              <w:t>0.097</w:t>
            </w:r>
          </w:p>
        </w:tc>
        <w:tc>
          <w:tcPr>
            <w:tcW w:w="511" w:type="pct"/>
            <w:shd w:val="clear" w:color="auto" w:fill="FFFFFF"/>
            <w:vAlign w:val="center"/>
          </w:tcPr>
          <w:p w14:paraId="5780B0E6" w14:textId="77777777" w:rsidR="00CA4419" w:rsidRDefault="00CA4419" w:rsidP="00CA4419">
            <w:pPr>
              <w:jc w:val="center"/>
              <w:rPr>
                <w:rFonts w:cs="Arial"/>
                <w:color w:val="000000"/>
                <w:szCs w:val="18"/>
              </w:rPr>
            </w:pPr>
            <w:r>
              <w:rPr>
                <w:rFonts w:cs="Arial"/>
                <w:color w:val="000000"/>
                <w:szCs w:val="18"/>
              </w:rPr>
              <w:t>0.061</w:t>
            </w:r>
          </w:p>
        </w:tc>
      </w:tr>
      <w:tr w:rsidR="00CA4419" w:rsidRPr="007A5F29" w14:paraId="1124596C" w14:textId="77777777" w:rsidTr="00B831D9">
        <w:tc>
          <w:tcPr>
            <w:tcW w:w="1064" w:type="pct"/>
            <w:shd w:val="clear" w:color="auto" w:fill="FFFFFF"/>
            <w:vAlign w:val="center"/>
          </w:tcPr>
          <w:p w14:paraId="0AC1E989" w14:textId="77777777" w:rsidR="00CA4419" w:rsidRDefault="00CA4419" w:rsidP="00CA4419">
            <w:pPr>
              <w:pStyle w:val="CETBodytext"/>
              <w:jc w:val="center"/>
              <w:rPr>
                <w:lang w:val="en-GB"/>
              </w:rPr>
            </w:pPr>
          </w:p>
        </w:tc>
        <w:tc>
          <w:tcPr>
            <w:tcW w:w="1457" w:type="pct"/>
            <w:shd w:val="clear" w:color="auto" w:fill="FFFFFF"/>
            <w:vAlign w:val="center"/>
          </w:tcPr>
          <w:p w14:paraId="4C28DCA6" w14:textId="77777777" w:rsidR="00CA4419" w:rsidRPr="007A5F29" w:rsidRDefault="00CA4419" w:rsidP="00CA4419">
            <w:pPr>
              <w:pStyle w:val="CETBodytext"/>
              <w:jc w:val="center"/>
              <w:rPr>
                <w:lang w:val="en-GB"/>
              </w:rPr>
            </w:pPr>
          </w:p>
        </w:tc>
        <w:tc>
          <w:tcPr>
            <w:tcW w:w="1457" w:type="pct"/>
            <w:shd w:val="clear" w:color="auto" w:fill="FFFFFF"/>
            <w:vAlign w:val="center"/>
          </w:tcPr>
          <w:p w14:paraId="56A5A8C4" w14:textId="77777777" w:rsidR="00CA4419" w:rsidRPr="007A5F29" w:rsidRDefault="00CA4419" w:rsidP="00CA4419">
            <w:pPr>
              <w:pStyle w:val="CETBodytext"/>
              <w:jc w:val="center"/>
              <w:rPr>
                <w:lang w:val="en-GB"/>
              </w:rPr>
            </w:pPr>
          </w:p>
        </w:tc>
        <w:tc>
          <w:tcPr>
            <w:tcW w:w="511" w:type="pct"/>
            <w:shd w:val="clear" w:color="auto" w:fill="FFFFFF"/>
            <w:vAlign w:val="center"/>
          </w:tcPr>
          <w:p w14:paraId="2C484697" w14:textId="77777777" w:rsidR="00CA4419" w:rsidRDefault="00CA4419" w:rsidP="00CA4419">
            <w:pPr>
              <w:jc w:val="center"/>
              <w:rPr>
                <w:rFonts w:cs="Arial"/>
                <w:color w:val="000000"/>
                <w:szCs w:val="18"/>
              </w:rPr>
            </w:pPr>
            <w:r>
              <w:rPr>
                <w:rFonts w:cs="Arial"/>
                <w:color w:val="000000"/>
                <w:szCs w:val="18"/>
              </w:rPr>
              <w:t> </w:t>
            </w:r>
          </w:p>
        </w:tc>
        <w:tc>
          <w:tcPr>
            <w:tcW w:w="511" w:type="pct"/>
            <w:shd w:val="clear" w:color="auto" w:fill="FFFFFF"/>
            <w:vAlign w:val="bottom"/>
          </w:tcPr>
          <w:p w14:paraId="6BC8CB18" w14:textId="77777777" w:rsidR="00CA4419" w:rsidRDefault="00CA4419" w:rsidP="00CA4419">
            <w:pPr>
              <w:jc w:val="center"/>
              <w:rPr>
                <w:rFonts w:cs="Arial"/>
                <w:color w:val="000000"/>
                <w:szCs w:val="18"/>
              </w:rPr>
            </w:pPr>
          </w:p>
        </w:tc>
      </w:tr>
      <w:tr w:rsidR="00CA4419" w:rsidRPr="007A5F29" w14:paraId="71B70E2D" w14:textId="77777777" w:rsidTr="00B831D9">
        <w:tc>
          <w:tcPr>
            <w:tcW w:w="1064" w:type="pct"/>
            <w:shd w:val="clear" w:color="auto" w:fill="FFFFFF"/>
            <w:vAlign w:val="center"/>
          </w:tcPr>
          <w:p w14:paraId="3A8747E5" w14:textId="77777777" w:rsidR="00CA4419" w:rsidRDefault="00CA4419" w:rsidP="00CA4419">
            <w:pPr>
              <w:pStyle w:val="CETBodytext"/>
              <w:jc w:val="center"/>
              <w:rPr>
                <w:lang w:val="en-GB"/>
              </w:rPr>
            </w:pPr>
            <w:r>
              <w:rPr>
                <w:lang w:val="en-GB"/>
              </w:rPr>
              <w:t>Wastewater</w:t>
            </w:r>
          </w:p>
        </w:tc>
        <w:tc>
          <w:tcPr>
            <w:tcW w:w="1457" w:type="pct"/>
            <w:shd w:val="clear" w:color="auto" w:fill="FFFFFF"/>
            <w:vAlign w:val="center"/>
          </w:tcPr>
          <w:p w14:paraId="72DDF6DA" w14:textId="77777777" w:rsidR="00CA4419" w:rsidRPr="007A5F29" w:rsidRDefault="00CA4419" w:rsidP="00CA4419">
            <w:pPr>
              <w:pStyle w:val="CETBodytext"/>
              <w:jc w:val="center"/>
              <w:rPr>
                <w:lang w:val="en-GB"/>
              </w:rPr>
            </w:pPr>
            <w:r>
              <w:rPr>
                <w:lang w:val="en-GB"/>
              </w:rPr>
              <w:t>0.4305</w:t>
            </w:r>
          </w:p>
        </w:tc>
        <w:tc>
          <w:tcPr>
            <w:tcW w:w="1457" w:type="pct"/>
            <w:shd w:val="clear" w:color="auto" w:fill="FFFFFF"/>
            <w:vAlign w:val="center"/>
          </w:tcPr>
          <w:p w14:paraId="48540128" w14:textId="77777777" w:rsidR="00CA4419" w:rsidRPr="007A5F29" w:rsidRDefault="00CA4419" w:rsidP="00CA4419">
            <w:pPr>
              <w:pStyle w:val="CETBodytext"/>
              <w:jc w:val="center"/>
              <w:rPr>
                <w:lang w:val="en-GB"/>
              </w:rPr>
            </w:pPr>
            <w:r>
              <w:rPr>
                <w:lang w:val="en-GB"/>
              </w:rPr>
              <w:t>0.3798</w:t>
            </w:r>
          </w:p>
        </w:tc>
        <w:tc>
          <w:tcPr>
            <w:tcW w:w="511" w:type="pct"/>
            <w:shd w:val="clear" w:color="auto" w:fill="FFFFFF"/>
            <w:vAlign w:val="center"/>
          </w:tcPr>
          <w:p w14:paraId="59BD2E07" w14:textId="77777777" w:rsidR="00CA4419" w:rsidRDefault="00CA4419" w:rsidP="00CA4419">
            <w:pPr>
              <w:jc w:val="center"/>
              <w:rPr>
                <w:rFonts w:cs="Arial"/>
                <w:color w:val="000000"/>
                <w:szCs w:val="18"/>
              </w:rPr>
            </w:pPr>
            <w:r>
              <w:rPr>
                <w:rFonts w:cs="Arial"/>
                <w:color w:val="000000"/>
                <w:szCs w:val="18"/>
              </w:rPr>
              <w:t>1.218</w:t>
            </w:r>
          </w:p>
        </w:tc>
        <w:tc>
          <w:tcPr>
            <w:tcW w:w="511" w:type="pct"/>
            <w:shd w:val="clear" w:color="auto" w:fill="FFFFFF"/>
            <w:vAlign w:val="center"/>
          </w:tcPr>
          <w:p w14:paraId="499B9BDB" w14:textId="77777777" w:rsidR="00CA4419" w:rsidRDefault="00CA4419" w:rsidP="00CA4419">
            <w:pPr>
              <w:jc w:val="center"/>
              <w:rPr>
                <w:rFonts w:cs="Arial"/>
                <w:color w:val="000000"/>
                <w:szCs w:val="18"/>
              </w:rPr>
            </w:pPr>
            <w:r>
              <w:rPr>
                <w:rFonts w:cs="Arial"/>
                <w:color w:val="000000"/>
                <w:szCs w:val="18"/>
              </w:rPr>
              <w:t>0.648</w:t>
            </w:r>
          </w:p>
        </w:tc>
      </w:tr>
      <w:tr w:rsidR="00CA4419" w:rsidRPr="007A5F29" w14:paraId="4BCA33B9" w14:textId="77777777" w:rsidTr="00B831D9">
        <w:tc>
          <w:tcPr>
            <w:tcW w:w="1064" w:type="pct"/>
            <w:shd w:val="clear" w:color="auto" w:fill="FFFFFF"/>
            <w:vAlign w:val="center"/>
          </w:tcPr>
          <w:p w14:paraId="16A7CA96" w14:textId="77777777" w:rsidR="00CA4419" w:rsidRDefault="00CA4419" w:rsidP="00CA4419">
            <w:pPr>
              <w:pStyle w:val="CETBodytext"/>
              <w:jc w:val="center"/>
              <w:rPr>
                <w:lang w:val="en-GB"/>
              </w:rPr>
            </w:pPr>
          </w:p>
        </w:tc>
        <w:tc>
          <w:tcPr>
            <w:tcW w:w="1457" w:type="pct"/>
            <w:shd w:val="clear" w:color="auto" w:fill="FFFFFF"/>
            <w:vAlign w:val="center"/>
          </w:tcPr>
          <w:p w14:paraId="3E13A83F" w14:textId="77777777" w:rsidR="00CA4419" w:rsidRPr="007A5F29" w:rsidRDefault="00CA4419" w:rsidP="00CA4419">
            <w:pPr>
              <w:pStyle w:val="CETBodytext"/>
              <w:jc w:val="center"/>
              <w:rPr>
                <w:lang w:val="en-GB"/>
              </w:rPr>
            </w:pPr>
          </w:p>
        </w:tc>
        <w:tc>
          <w:tcPr>
            <w:tcW w:w="1457" w:type="pct"/>
            <w:shd w:val="clear" w:color="auto" w:fill="FFFFFF"/>
            <w:vAlign w:val="center"/>
          </w:tcPr>
          <w:p w14:paraId="132A44DE" w14:textId="77777777" w:rsidR="00CA4419" w:rsidRPr="007A5F29" w:rsidRDefault="00CA4419" w:rsidP="00CA4419">
            <w:pPr>
              <w:pStyle w:val="CETBodytext"/>
              <w:jc w:val="center"/>
              <w:rPr>
                <w:lang w:val="en-GB"/>
              </w:rPr>
            </w:pPr>
          </w:p>
        </w:tc>
        <w:tc>
          <w:tcPr>
            <w:tcW w:w="511" w:type="pct"/>
            <w:shd w:val="clear" w:color="auto" w:fill="FFFFFF"/>
            <w:vAlign w:val="center"/>
          </w:tcPr>
          <w:p w14:paraId="57A0B32B" w14:textId="77777777" w:rsidR="00CA4419" w:rsidRDefault="00CA4419" w:rsidP="00CA4419">
            <w:pPr>
              <w:jc w:val="center"/>
              <w:rPr>
                <w:rFonts w:cs="Arial"/>
                <w:color w:val="000000"/>
                <w:szCs w:val="18"/>
              </w:rPr>
            </w:pPr>
            <w:r>
              <w:rPr>
                <w:rFonts w:cs="Arial"/>
                <w:color w:val="000000"/>
                <w:szCs w:val="18"/>
              </w:rPr>
              <w:t> </w:t>
            </w:r>
          </w:p>
        </w:tc>
        <w:tc>
          <w:tcPr>
            <w:tcW w:w="511" w:type="pct"/>
            <w:shd w:val="clear" w:color="auto" w:fill="FFFFFF"/>
            <w:vAlign w:val="bottom"/>
          </w:tcPr>
          <w:p w14:paraId="4B064D24" w14:textId="77777777" w:rsidR="00CA4419" w:rsidRDefault="00CA4419" w:rsidP="00CA4419">
            <w:pPr>
              <w:jc w:val="center"/>
              <w:rPr>
                <w:rFonts w:cs="Arial"/>
                <w:color w:val="000000"/>
                <w:szCs w:val="18"/>
              </w:rPr>
            </w:pPr>
          </w:p>
        </w:tc>
      </w:tr>
      <w:tr w:rsidR="00CA4419" w:rsidRPr="007A5F29" w14:paraId="448E658C" w14:textId="77777777" w:rsidTr="00B831D9">
        <w:tc>
          <w:tcPr>
            <w:tcW w:w="1064" w:type="pct"/>
            <w:shd w:val="clear" w:color="auto" w:fill="FFFFFF"/>
            <w:vAlign w:val="center"/>
          </w:tcPr>
          <w:p w14:paraId="272F0B49" w14:textId="77777777" w:rsidR="00CA4419" w:rsidRDefault="00CA4419" w:rsidP="00CA4419">
            <w:pPr>
              <w:pStyle w:val="CETBodytext"/>
              <w:jc w:val="center"/>
              <w:rPr>
                <w:lang w:val="en-GB"/>
              </w:rPr>
            </w:pPr>
            <w:r>
              <w:rPr>
                <w:lang w:val="en-GB"/>
              </w:rPr>
              <w:t>Heating demand (MJ)</w:t>
            </w:r>
          </w:p>
        </w:tc>
        <w:tc>
          <w:tcPr>
            <w:tcW w:w="1457" w:type="pct"/>
            <w:shd w:val="clear" w:color="auto" w:fill="FFFFFF"/>
            <w:vAlign w:val="center"/>
          </w:tcPr>
          <w:p w14:paraId="52D0C982" w14:textId="77777777" w:rsidR="00CA4419" w:rsidRPr="007A5F29" w:rsidRDefault="00CA4419" w:rsidP="00CA4419">
            <w:pPr>
              <w:pStyle w:val="CETBodytext"/>
              <w:jc w:val="center"/>
              <w:rPr>
                <w:lang w:val="en-GB"/>
              </w:rPr>
            </w:pPr>
            <w:r>
              <w:rPr>
                <w:lang w:val="en-GB"/>
              </w:rPr>
              <w:t>4.635</w:t>
            </w:r>
          </w:p>
        </w:tc>
        <w:tc>
          <w:tcPr>
            <w:tcW w:w="1457" w:type="pct"/>
            <w:shd w:val="clear" w:color="auto" w:fill="FFFFFF"/>
            <w:vAlign w:val="center"/>
          </w:tcPr>
          <w:p w14:paraId="2ECF5FD6" w14:textId="77777777" w:rsidR="00CA4419" w:rsidRPr="007A5F29" w:rsidRDefault="00CA4419" w:rsidP="00CA4419">
            <w:pPr>
              <w:pStyle w:val="CETBodytext"/>
              <w:jc w:val="center"/>
              <w:rPr>
                <w:lang w:val="en-GB"/>
              </w:rPr>
            </w:pPr>
            <w:r>
              <w:rPr>
                <w:lang w:val="en-GB"/>
              </w:rPr>
              <w:t>4.819</w:t>
            </w:r>
          </w:p>
        </w:tc>
        <w:tc>
          <w:tcPr>
            <w:tcW w:w="511" w:type="pct"/>
            <w:shd w:val="clear" w:color="auto" w:fill="FFFFFF"/>
            <w:vAlign w:val="center"/>
          </w:tcPr>
          <w:p w14:paraId="649C65E3" w14:textId="77777777" w:rsidR="00CA4419" w:rsidRDefault="00CA4419" w:rsidP="00CA4419">
            <w:pPr>
              <w:jc w:val="center"/>
              <w:rPr>
                <w:rFonts w:cs="Arial"/>
                <w:color w:val="000000"/>
                <w:szCs w:val="18"/>
              </w:rPr>
            </w:pPr>
            <w:r>
              <w:rPr>
                <w:rFonts w:cs="Arial"/>
                <w:color w:val="000000"/>
                <w:szCs w:val="18"/>
              </w:rPr>
              <w:t>18.831</w:t>
            </w:r>
          </w:p>
        </w:tc>
        <w:tc>
          <w:tcPr>
            <w:tcW w:w="511" w:type="pct"/>
            <w:shd w:val="clear" w:color="auto" w:fill="FFFFFF"/>
            <w:vAlign w:val="center"/>
          </w:tcPr>
          <w:p w14:paraId="5EFDAACD" w14:textId="77777777" w:rsidR="00CA4419" w:rsidRDefault="00CA4419" w:rsidP="00CA4419">
            <w:pPr>
              <w:jc w:val="center"/>
              <w:rPr>
                <w:rFonts w:cs="Arial"/>
                <w:color w:val="000000"/>
                <w:szCs w:val="18"/>
              </w:rPr>
            </w:pPr>
            <w:r>
              <w:rPr>
                <w:rFonts w:cs="Arial"/>
                <w:color w:val="000000"/>
                <w:szCs w:val="18"/>
              </w:rPr>
              <w:t>17.965</w:t>
            </w:r>
          </w:p>
        </w:tc>
      </w:tr>
      <w:tr w:rsidR="00CA4419" w:rsidRPr="007A5F29" w14:paraId="246EE796" w14:textId="77777777" w:rsidTr="00B831D9">
        <w:tc>
          <w:tcPr>
            <w:tcW w:w="1064" w:type="pct"/>
            <w:shd w:val="clear" w:color="auto" w:fill="FFFFFF"/>
            <w:vAlign w:val="center"/>
          </w:tcPr>
          <w:p w14:paraId="25DA74FE" w14:textId="77777777" w:rsidR="00CA4419" w:rsidRDefault="00CA4419" w:rsidP="00CA4419">
            <w:pPr>
              <w:pStyle w:val="CETBodytext"/>
              <w:jc w:val="center"/>
              <w:rPr>
                <w:lang w:val="en-GB"/>
              </w:rPr>
            </w:pPr>
            <w:r>
              <w:rPr>
                <w:lang w:val="en-GB"/>
              </w:rPr>
              <w:t>Cooling demand (MJ)</w:t>
            </w:r>
          </w:p>
        </w:tc>
        <w:tc>
          <w:tcPr>
            <w:tcW w:w="1457" w:type="pct"/>
            <w:shd w:val="clear" w:color="auto" w:fill="FFFFFF"/>
            <w:vAlign w:val="center"/>
          </w:tcPr>
          <w:p w14:paraId="48C6F28A" w14:textId="77777777" w:rsidR="00CA4419" w:rsidRPr="007A5F29" w:rsidRDefault="00CA4419" w:rsidP="00CA4419">
            <w:pPr>
              <w:pStyle w:val="CETBodytext"/>
              <w:jc w:val="center"/>
              <w:rPr>
                <w:lang w:val="en-GB"/>
              </w:rPr>
            </w:pPr>
            <w:r>
              <w:rPr>
                <w:lang w:val="en-GB"/>
              </w:rPr>
              <w:t>5.970</w:t>
            </w:r>
          </w:p>
        </w:tc>
        <w:tc>
          <w:tcPr>
            <w:tcW w:w="1457" w:type="pct"/>
            <w:shd w:val="clear" w:color="auto" w:fill="FFFFFF"/>
            <w:vAlign w:val="center"/>
          </w:tcPr>
          <w:p w14:paraId="13536FCD" w14:textId="77777777" w:rsidR="00CA4419" w:rsidRPr="007A5F29" w:rsidRDefault="00CA4419" w:rsidP="00CA4419">
            <w:pPr>
              <w:pStyle w:val="CETBodytext"/>
              <w:jc w:val="center"/>
              <w:rPr>
                <w:lang w:val="en-GB"/>
              </w:rPr>
            </w:pPr>
            <w:r>
              <w:rPr>
                <w:lang w:val="en-GB"/>
              </w:rPr>
              <w:t>6.157</w:t>
            </w:r>
          </w:p>
        </w:tc>
        <w:tc>
          <w:tcPr>
            <w:tcW w:w="511" w:type="pct"/>
            <w:shd w:val="clear" w:color="auto" w:fill="FFFFFF"/>
            <w:vAlign w:val="center"/>
          </w:tcPr>
          <w:p w14:paraId="02F4D2E2" w14:textId="77777777" w:rsidR="00CA4419" w:rsidRDefault="00CA4419" w:rsidP="00CA4419">
            <w:pPr>
              <w:jc w:val="center"/>
              <w:rPr>
                <w:rFonts w:cs="Arial"/>
                <w:color w:val="000000"/>
                <w:szCs w:val="18"/>
              </w:rPr>
            </w:pPr>
            <w:r>
              <w:rPr>
                <w:rFonts w:cs="Arial"/>
                <w:color w:val="000000"/>
                <w:szCs w:val="18"/>
              </w:rPr>
              <w:t>18.833</w:t>
            </w:r>
          </w:p>
        </w:tc>
        <w:tc>
          <w:tcPr>
            <w:tcW w:w="511" w:type="pct"/>
            <w:shd w:val="clear" w:color="auto" w:fill="FFFFFF"/>
            <w:vAlign w:val="center"/>
          </w:tcPr>
          <w:p w14:paraId="054ADF8D" w14:textId="77777777" w:rsidR="00CA4419" w:rsidRDefault="00CA4419" w:rsidP="00CA4419">
            <w:pPr>
              <w:jc w:val="center"/>
              <w:rPr>
                <w:rFonts w:cs="Arial"/>
                <w:color w:val="000000"/>
                <w:szCs w:val="18"/>
              </w:rPr>
            </w:pPr>
            <w:r>
              <w:rPr>
                <w:rFonts w:cs="Arial"/>
                <w:color w:val="000000"/>
                <w:szCs w:val="18"/>
              </w:rPr>
              <w:t>18.085</w:t>
            </w:r>
          </w:p>
        </w:tc>
      </w:tr>
      <w:tr w:rsidR="00CA4419" w:rsidRPr="007A5F29" w14:paraId="37256069" w14:textId="77777777" w:rsidTr="00B831D9">
        <w:tc>
          <w:tcPr>
            <w:tcW w:w="1064" w:type="pct"/>
            <w:shd w:val="clear" w:color="auto" w:fill="FFFFFF"/>
            <w:vAlign w:val="center"/>
          </w:tcPr>
          <w:p w14:paraId="4DB73B46" w14:textId="77777777" w:rsidR="00CA4419" w:rsidRDefault="00CA4419" w:rsidP="00CA4419">
            <w:pPr>
              <w:pStyle w:val="CETBodytext"/>
              <w:jc w:val="center"/>
              <w:rPr>
                <w:lang w:val="en-GB"/>
              </w:rPr>
            </w:pPr>
            <w:r>
              <w:rPr>
                <w:lang w:val="en-GB"/>
              </w:rPr>
              <w:t>Electricity (kW)</w:t>
            </w:r>
          </w:p>
        </w:tc>
        <w:tc>
          <w:tcPr>
            <w:tcW w:w="1457" w:type="pct"/>
            <w:shd w:val="clear" w:color="auto" w:fill="FFFFFF"/>
            <w:vAlign w:val="center"/>
          </w:tcPr>
          <w:p w14:paraId="0969DC90" w14:textId="77777777" w:rsidR="00CA4419" w:rsidRPr="007A5F29" w:rsidRDefault="00CA4419" w:rsidP="00CA4419">
            <w:pPr>
              <w:pStyle w:val="CETBodytext"/>
              <w:jc w:val="center"/>
              <w:rPr>
                <w:lang w:val="en-GB"/>
              </w:rPr>
            </w:pPr>
            <w:r>
              <w:rPr>
                <w:lang w:val="en-GB"/>
              </w:rPr>
              <w:t>0.0578</w:t>
            </w:r>
          </w:p>
        </w:tc>
        <w:tc>
          <w:tcPr>
            <w:tcW w:w="1457" w:type="pct"/>
            <w:shd w:val="clear" w:color="auto" w:fill="FFFFFF"/>
            <w:vAlign w:val="center"/>
          </w:tcPr>
          <w:p w14:paraId="3D3F404D" w14:textId="77777777" w:rsidR="00CA4419" w:rsidRPr="007A5F29" w:rsidRDefault="00CA4419" w:rsidP="00CA4419">
            <w:pPr>
              <w:pStyle w:val="CETBodytext"/>
              <w:jc w:val="center"/>
              <w:rPr>
                <w:lang w:val="en-GB"/>
              </w:rPr>
            </w:pPr>
            <w:r>
              <w:rPr>
                <w:lang w:val="en-GB"/>
              </w:rPr>
              <w:t>0.0582</w:t>
            </w:r>
          </w:p>
        </w:tc>
        <w:tc>
          <w:tcPr>
            <w:tcW w:w="511" w:type="pct"/>
            <w:shd w:val="clear" w:color="auto" w:fill="FFFFFF"/>
            <w:vAlign w:val="center"/>
          </w:tcPr>
          <w:p w14:paraId="3E92A875" w14:textId="77777777" w:rsidR="00CA4419" w:rsidRDefault="00CA4419" w:rsidP="00CA4419">
            <w:pPr>
              <w:jc w:val="center"/>
              <w:rPr>
                <w:rFonts w:cs="Arial"/>
                <w:color w:val="000000"/>
                <w:szCs w:val="18"/>
              </w:rPr>
            </w:pPr>
            <w:r>
              <w:rPr>
                <w:rFonts w:cs="Arial"/>
                <w:color w:val="000000"/>
                <w:szCs w:val="18"/>
              </w:rPr>
              <w:t>0.020</w:t>
            </w:r>
          </w:p>
        </w:tc>
        <w:tc>
          <w:tcPr>
            <w:tcW w:w="511" w:type="pct"/>
            <w:shd w:val="clear" w:color="auto" w:fill="FFFFFF"/>
            <w:vAlign w:val="center"/>
          </w:tcPr>
          <w:p w14:paraId="1B556C38" w14:textId="77777777" w:rsidR="00CA4419" w:rsidRDefault="00CA4419" w:rsidP="00CA4419">
            <w:pPr>
              <w:jc w:val="center"/>
              <w:rPr>
                <w:rFonts w:cs="Arial"/>
                <w:color w:val="000000"/>
                <w:szCs w:val="18"/>
              </w:rPr>
            </w:pPr>
            <w:r>
              <w:rPr>
                <w:rFonts w:cs="Arial"/>
                <w:color w:val="000000"/>
                <w:szCs w:val="18"/>
              </w:rPr>
              <w:t>0.012</w:t>
            </w:r>
          </w:p>
        </w:tc>
      </w:tr>
    </w:tbl>
    <w:p w14:paraId="2FF05B3C" w14:textId="77777777" w:rsidR="00FF562E" w:rsidRDefault="00FF562E" w:rsidP="00811507">
      <w:pPr>
        <w:pStyle w:val="CETBodytext"/>
      </w:pPr>
    </w:p>
    <w:p w14:paraId="32E8E464" w14:textId="77777777" w:rsidR="00600535" w:rsidRPr="00B57B36" w:rsidRDefault="00600535" w:rsidP="00600535">
      <w:pPr>
        <w:pStyle w:val="CETHeading1"/>
        <w:rPr>
          <w:lang w:val="en-GB"/>
        </w:rPr>
      </w:pPr>
      <w:r w:rsidRPr="00B57B36">
        <w:rPr>
          <w:lang w:val="en-GB"/>
        </w:rPr>
        <w:t>Conclusions</w:t>
      </w:r>
    </w:p>
    <w:p w14:paraId="2B8E90C5" w14:textId="17F12BE3" w:rsidR="00B116E9" w:rsidRPr="005A6B46" w:rsidRDefault="005A6B46" w:rsidP="005A6B46">
      <w:pPr>
        <w:pStyle w:val="CETBodytext"/>
      </w:pPr>
      <w:r>
        <w:t xml:space="preserve">In this work, a conceptual design for the production of 1,2-propanediol from lactic acid and its simulation </w:t>
      </w:r>
      <w:r w:rsidR="008C7957" w:rsidRPr="00E96E23">
        <w:rPr>
          <w:noProof/>
        </w:rPr>
        <w:t>were</w:t>
      </w:r>
      <w:r w:rsidR="008C7957" w:rsidRPr="008C7957">
        <w:rPr>
          <w:noProof/>
        </w:rPr>
        <w:t xml:space="preserve"> </w:t>
      </w:r>
      <w:r w:rsidR="00DA7D04" w:rsidRPr="008C7957">
        <w:rPr>
          <w:noProof/>
        </w:rPr>
        <w:t>developed</w:t>
      </w:r>
      <w:r>
        <w:t xml:space="preserve"> in order to provide a preliminary assessment of its feasibility in terms of commercial application. Both experimental results published </w:t>
      </w:r>
      <w:r w:rsidR="00B35708">
        <w:t>i</w:t>
      </w:r>
      <w:r>
        <w:t xml:space="preserve">n the literature and the simulation indicate that 1,2-propanediol can </w:t>
      </w:r>
      <w:r w:rsidRPr="00E96E23">
        <w:rPr>
          <w:noProof/>
        </w:rPr>
        <w:t>be obtained</w:t>
      </w:r>
      <w:r>
        <w:t xml:space="preserve"> from this feedstock with high overall yield (&gt;9</w:t>
      </w:r>
      <w:r w:rsidR="0079768C">
        <w:t>1</w:t>
      </w:r>
      <w:r>
        <w:t xml:space="preserve"> mol%). </w:t>
      </w:r>
      <w:r w:rsidR="00CE46AC">
        <w:t>However, its high energy requirement (</w:t>
      </w:r>
      <w:r w:rsidR="0079768C">
        <w:t>18</w:t>
      </w:r>
      <w:r w:rsidR="00CE46AC">
        <w:t xml:space="preserve"> MJ/kg of heating demand versus 4.6 MJ/kg from glycerol) indicate that more thorough studies are necessary in order to obtain more competitive process configurations and determine optimal reaction conditions. Process optimization and heat-integration studies in addition to economic analyses can indicate promising pathways for this application.</w:t>
      </w:r>
    </w:p>
    <w:p w14:paraId="17549123" w14:textId="77777777" w:rsidR="00B116E9" w:rsidRDefault="00B116E9" w:rsidP="005A6B46">
      <w:pPr>
        <w:pStyle w:val="CETBodytext"/>
      </w:pPr>
    </w:p>
    <w:p w14:paraId="2250AEB4" w14:textId="77777777" w:rsidR="00600535" w:rsidRPr="00B57B36" w:rsidRDefault="00600535" w:rsidP="00600535">
      <w:pPr>
        <w:pStyle w:val="CETAcknowledgementstitle"/>
      </w:pPr>
      <w:r w:rsidRPr="00B57B36">
        <w:t>Acknowledgments</w:t>
      </w:r>
    </w:p>
    <w:p w14:paraId="0C4AF1B5" w14:textId="77777777" w:rsidR="00A13162" w:rsidRDefault="00EA2649" w:rsidP="00A13162">
      <w:pPr>
        <w:pStyle w:val="CETBodytext"/>
        <w:rPr>
          <w:lang w:val="en-GB"/>
        </w:rPr>
      </w:pPr>
      <w:r w:rsidRPr="00EA2649">
        <w:rPr>
          <w:lang w:val="en-GB"/>
        </w:rPr>
        <w:t xml:space="preserve">This work </w:t>
      </w:r>
      <w:r w:rsidRPr="008C7957">
        <w:rPr>
          <w:noProof/>
          <w:lang w:val="en-GB"/>
        </w:rPr>
        <w:t>was executed</w:t>
      </w:r>
      <w:r w:rsidRPr="00EA2649">
        <w:rPr>
          <w:lang w:val="en-GB"/>
        </w:rPr>
        <w:t xml:space="preserve"> with support from </w:t>
      </w:r>
      <w:proofErr w:type="spellStart"/>
      <w:r w:rsidRPr="00EA2649">
        <w:rPr>
          <w:lang w:val="en-GB"/>
        </w:rPr>
        <w:t>CNPq</w:t>
      </w:r>
      <w:proofErr w:type="spellEnd"/>
      <w:r w:rsidRPr="00EA2649">
        <w:rPr>
          <w:lang w:val="en-GB"/>
        </w:rPr>
        <w:t>, National Council for Scientific and Technological Development – Brazil and grant #2015/20630-4, São Paulo Research Foundation (FAPESP).</w:t>
      </w:r>
    </w:p>
    <w:p w14:paraId="322756B7" w14:textId="77777777" w:rsidR="00600535" w:rsidRDefault="00B116E9" w:rsidP="00A13162">
      <w:pPr>
        <w:pStyle w:val="CETReference"/>
      </w:pPr>
      <w:r>
        <w:t>R</w:t>
      </w:r>
      <w:r w:rsidR="00600535" w:rsidRPr="00B57B36">
        <w:t>eferences</w:t>
      </w:r>
    </w:p>
    <w:p w14:paraId="2A367988" w14:textId="77777777" w:rsidR="00207E4F" w:rsidRPr="00207E4F" w:rsidRDefault="00207E4F" w:rsidP="00207E4F">
      <w:pPr>
        <w:pStyle w:val="CETReferencetext"/>
        <w:rPr>
          <w:lang w:val="en-US"/>
        </w:rPr>
      </w:pPr>
      <w:r w:rsidRPr="00207E4F">
        <w:rPr>
          <w:lang w:val="en-US"/>
        </w:rPr>
        <w:t xml:space="preserve">Akiyama M., Sato S., Takahashi R., </w:t>
      </w:r>
      <w:proofErr w:type="spellStart"/>
      <w:r w:rsidRPr="00207E4F">
        <w:rPr>
          <w:lang w:val="en-US"/>
        </w:rPr>
        <w:t>Inui</w:t>
      </w:r>
      <w:r w:rsidRPr="008C7957">
        <w:rPr>
          <w:noProof/>
          <w:lang w:val="en-US"/>
        </w:rPr>
        <w:t>,K</w:t>
      </w:r>
      <w:proofErr w:type="spellEnd"/>
      <w:r w:rsidRPr="008C7957">
        <w:rPr>
          <w:noProof/>
          <w:lang w:val="en-US"/>
        </w:rPr>
        <w:t>.</w:t>
      </w:r>
      <w:r w:rsidRPr="00207E4F">
        <w:rPr>
          <w:lang w:val="en-US"/>
        </w:rPr>
        <w:t>, Yokota M., 2009, Dehydration-hydrogenation of glycerol into 1,2</w:t>
      </w:r>
      <w:r>
        <w:rPr>
          <w:lang w:val="en-US"/>
        </w:rPr>
        <w:t>-p</w:t>
      </w:r>
      <w:r w:rsidRPr="00207E4F">
        <w:rPr>
          <w:lang w:val="en-US"/>
        </w:rPr>
        <w:t xml:space="preserve">ropanediol at ambient hydrogen pressure, Applied Catalysis A: General, 371, 60–66. </w:t>
      </w:r>
    </w:p>
    <w:p w14:paraId="06E12216" w14:textId="77777777" w:rsidR="00952D44" w:rsidRPr="00A5647D" w:rsidRDefault="00952D44" w:rsidP="00207E4F">
      <w:pPr>
        <w:pStyle w:val="CETReferencetext"/>
        <w:rPr>
          <w:lang w:val="en-US"/>
        </w:rPr>
      </w:pPr>
      <w:r w:rsidRPr="008C7957">
        <w:rPr>
          <w:noProof/>
          <w:lang w:val="en-US"/>
        </w:rPr>
        <w:t>Binczarski</w:t>
      </w:r>
      <w:r w:rsidRPr="00952D44">
        <w:rPr>
          <w:lang w:val="en-US"/>
        </w:rPr>
        <w:t>, M.</w:t>
      </w:r>
      <w:r w:rsidRPr="00A5647D">
        <w:rPr>
          <w:lang w:val="en-US"/>
        </w:rPr>
        <w:t xml:space="preserve">, </w:t>
      </w:r>
      <w:r w:rsidRPr="008C7957">
        <w:rPr>
          <w:noProof/>
          <w:lang w:val="en-US"/>
        </w:rPr>
        <w:t>Berlowska</w:t>
      </w:r>
      <w:r w:rsidRPr="00952D44">
        <w:rPr>
          <w:lang w:val="en-US"/>
        </w:rPr>
        <w:t>, J.</w:t>
      </w:r>
      <w:r w:rsidRPr="00A5647D">
        <w:rPr>
          <w:lang w:val="en-US"/>
        </w:rPr>
        <w:t xml:space="preserve">, </w:t>
      </w:r>
      <w:proofErr w:type="spellStart"/>
      <w:r w:rsidRPr="00952D44">
        <w:rPr>
          <w:lang w:val="en-US"/>
        </w:rPr>
        <w:t>Stanishevsky</w:t>
      </w:r>
      <w:proofErr w:type="spellEnd"/>
      <w:r w:rsidRPr="00952D44">
        <w:rPr>
          <w:lang w:val="en-US"/>
        </w:rPr>
        <w:t>, A.</w:t>
      </w:r>
      <w:r w:rsidRPr="00A5647D">
        <w:rPr>
          <w:lang w:val="en-US"/>
        </w:rPr>
        <w:t xml:space="preserve">, </w:t>
      </w:r>
      <w:proofErr w:type="spellStart"/>
      <w:r w:rsidRPr="00A5647D">
        <w:rPr>
          <w:lang w:val="en-US"/>
        </w:rPr>
        <w:t>Witonska</w:t>
      </w:r>
      <w:proofErr w:type="spellEnd"/>
      <w:r w:rsidRPr="00A5647D">
        <w:rPr>
          <w:lang w:val="en-US"/>
        </w:rPr>
        <w:t>, I., 2016, Biologically synthesized crude calcium lactate as a substrate for propylene glycol production</w:t>
      </w:r>
      <w:r w:rsidR="00A5647D" w:rsidRPr="00A5647D">
        <w:rPr>
          <w:lang w:val="en-US"/>
        </w:rPr>
        <w:t>, RSC Advances, 6, 92420-92427.</w:t>
      </w:r>
    </w:p>
    <w:p w14:paraId="05E56B01" w14:textId="77777777" w:rsidR="00961FE3" w:rsidRDefault="00961FE3" w:rsidP="00207E4F">
      <w:pPr>
        <w:pStyle w:val="CETReferencetext"/>
        <w:rPr>
          <w:b/>
          <w:lang w:val="en-US"/>
        </w:rPr>
      </w:pPr>
      <w:proofErr w:type="spellStart"/>
      <w:r w:rsidRPr="00961FE3">
        <w:rPr>
          <w:lang w:val="en-US"/>
        </w:rPr>
        <w:t>Chopade</w:t>
      </w:r>
      <w:proofErr w:type="spellEnd"/>
      <w:r w:rsidRPr="00961FE3">
        <w:rPr>
          <w:lang w:val="en-US"/>
        </w:rPr>
        <w:t xml:space="preserve"> S. P., </w:t>
      </w:r>
      <w:proofErr w:type="spellStart"/>
      <w:r w:rsidRPr="00961FE3">
        <w:rPr>
          <w:lang w:val="en-US"/>
        </w:rPr>
        <w:t>Dhale</w:t>
      </w:r>
      <w:proofErr w:type="spellEnd"/>
      <w:r w:rsidRPr="00961FE3">
        <w:rPr>
          <w:lang w:val="en-US"/>
        </w:rPr>
        <w:t xml:space="preserve"> A. D., Clark A. M., </w:t>
      </w:r>
      <w:proofErr w:type="spellStart"/>
      <w:r w:rsidRPr="00961FE3">
        <w:rPr>
          <w:lang w:val="en-US"/>
        </w:rPr>
        <w:t>Kiesling</w:t>
      </w:r>
      <w:proofErr w:type="spellEnd"/>
      <w:r w:rsidRPr="00961FE3">
        <w:rPr>
          <w:lang w:val="en-US"/>
        </w:rPr>
        <w:t xml:space="preserve"> C. W., </w:t>
      </w:r>
      <w:proofErr w:type="spellStart"/>
      <w:r w:rsidRPr="00961FE3">
        <w:rPr>
          <w:lang w:val="en-US"/>
        </w:rPr>
        <w:t>Myriant</w:t>
      </w:r>
      <w:proofErr w:type="spellEnd"/>
      <w:r w:rsidRPr="00961FE3">
        <w:rPr>
          <w:lang w:val="en-US"/>
        </w:rPr>
        <w:t xml:space="preserve"> L. K., Jackson J. E., 2003, Vapor-liquid-liquid equilibrium (VLLE) and vapor pressure data for the systems 2-methyl-1,3-dioxolane (2MD) + water and 2,4-dimethyl-1,3-dioxolane (24DMD) + water, Journal of Chemical and Engineering Data, 48, 44-47.</w:t>
      </w:r>
    </w:p>
    <w:p w14:paraId="4D46C401" w14:textId="77777777" w:rsidR="00DE0795" w:rsidRPr="00DE0795" w:rsidRDefault="00DE0795" w:rsidP="00207E4F">
      <w:pPr>
        <w:pStyle w:val="CETReferencetext"/>
        <w:rPr>
          <w:b/>
          <w:lang w:val="en"/>
        </w:rPr>
      </w:pPr>
      <w:r w:rsidRPr="008C7957">
        <w:rPr>
          <w:noProof/>
          <w:lang w:val="en-US"/>
        </w:rPr>
        <w:t>Coker A. K., 2010, Ludwig's Applied Process Design for Chemical and Petrochemical Plants</w:t>
      </w:r>
      <w:r w:rsidR="00BC29B3" w:rsidRPr="008C7957">
        <w:rPr>
          <w:noProof/>
          <w:lang w:val="en-US"/>
        </w:rPr>
        <w:t xml:space="preserve"> (Fourth Edition)</w:t>
      </w:r>
      <w:r w:rsidRPr="008C7957">
        <w:rPr>
          <w:noProof/>
          <w:lang w:val="en-US"/>
        </w:rPr>
        <w:t>, Vol 2: Distillation, packed towers, petroleum fractionation, gas processing and dehydration</w:t>
      </w:r>
      <w:r w:rsidR="00BC29B3" w:rsidRPr="008C7957">
        <w:rPr>
          <w:noProof/>
          <w:lang w:val="en-US"/>
        </w:rPr>
        <w:t>, Gulf Professional Publishing.</w:t>
      </w:r>
    </w:p>
    <w:p w14:paraId="2EDA2E82" w14:textId="77777777" w:rsidR="00220F89" w:rsidRDefault="00220F89" w:rsidP="00207E4F">
      <w:pPr>
        <w:pStyle w:val="CETReferencetext"/>
        <w:rPr>
          <w:b/>
          <w:lang w:val="en-US"/>
        </w:rPr>
      </w:pPr>
      <w:proofErr w:type="spellStart"/>
      <w:r w:rsidRPr="00220F89">
        <w:rPr>
          <w:lang w:val="en-US"/>
        </w:rPr>
        <w:t>Cortright</w:t>
      </w:r>
      <w:proofErr w:type="spellEnd"/>
      <w:r w:rsidRPr="00220F89">
        <w:rPr>
          <w:lang w:val="en-US"/>
        </w:rPr>
        <w:t xml:space="preserve"> R. D., Sanchez-C</w:t>
      </w:r>
      <w:r>
        <w:rPr>
          <w:lang w:val="en-US"/>
        </w:rPr>
        <w:t xml:space="preserve">astillo M., </w:t>
      </w:r>
      <w:proofErr w:type="spellStart"/>
      <w:r>
        <w:rPr>
          <w:lang w:val="en-US"/>
        </w:rPr>
        <w:t>Dumesic</w:t>
      </w:r>
      <w:proofErr w:type="spellEnd"/>
      <w:r>
        <w:rPr>
          <w:lang w:val="en-US"/>
        </w:rPr>
        <w:t xml:space="preserve"> J. A</w:t>
      </w:r>
      <w:r w:rsidR="00406F85">
        <w:rPr>
          <w:lang w:val="en-US"/>
        </w:rPr>
        <w:t>.</w:t>
      </w:r>
      <w:r>
        <w:rPr>
          <w:lang w:val="en-US"/>
        </w:rPr>
        <w:t xml:space="preserve">, 2002, Conversion of biomass to 1,2-propanediol by selective catalytic hydrogenation of lactic acid over silica-supported copper. </w:t>
      </w:r>
      <w:r w:rsidR="00820852">
        <w:rPr>
          <w:lang w:val="en-US"/>
        </w:rPr>
        <w:t>Applied Catalysis B: Environmental, 39, 353-359.</w:t>
      </w:r>
    </w:p>
    <w:p w14:paraId="03370A65" w14:textId="77777777" w:rsidR="006D3C5B" w:rsidRDefault="006D3C5B" w:rsidP="00207E4F">
      <w:pPr>
        <w:pStyle w:val="CETReferencetext"/>
        <w:rPr>
          <w:b/>
          <w:lang w:val="en-US"/>
        </w:rPr>
      </w:pPr>
      <w:proofErr w:type="spellStart"/>
      <w:r>
        <w:rPr>
          <w:lang w:val="en-US"/>
        </w:rPr>
        <w:lastRenderedPageBreak/>
        <w:t>Dhale</w:t>
      </w:r>
      <w:proofErr w:type="spellEnd"/>
      <w:r>
        <w:rPr>
          <w:lang w:val="en-US"/>
        </w:rPr>
        <w:t xml:space="preserve"> A. D., </w:t>
      </w:r>
      <w:proofErr w:type="spellStart"/>
      <w:r>
        <w:rPr>
          <w:lang w:val="en-US"/>
        </w:rPr>
        <w:t>Myrant</w:t>
      </w:r>
      <w:proofErr w:type="spellEnd"/>
      <w:r>
        <w:rPr>
          <w:lang w:val="en-US"/>
        </w:rPr>
        <w:t xml:space="preserve"> L. K., </w:t>
      </w:r>
      <w:proofErr w:type="spellStart"/>
      <w:r>
        <w:rPr>
          <w:lang w:val="en-US"/>
        </w:rPr>
        <w:t>Chopade</w:t>
      </w:r>
      <w:proofErr w:type="spellEnd"/>
      <w:r>
        <w:rPr>
          <w:lang w:val="en-US"/>
        </w:rPr>
        <w:t xml:space="preserve"> S. P., Jackson J. E., Miller D. J., 2004. Propylene glycol and ethylene glycol recovery from aqueous solution via reactive distillation. Chemical Engineering Science, 59, 2881-2890.</w:t>
      </w:r>
    </w:p>
    <w:p w14:paraId="71967E02" w14:textId="77777777" w:rsidR="00BA43A2" w:rsidRDefault="00BA43A2" w:rsidP="00207E4F">
      <w:pPr>
        <w:pStyle w:val="CETReferencetext"/>
        <w:rPr>
          <w:b/>
          <w:lang w:val="en-US"/>
        </w:rPr>
      </w:pPr>
      <w:proofErr w:type="spellStart"/>
      <w:r w:rsidRPr="00BA43A2">
        <w:rPr>
          <w:lang w:val="en-US"/>
        </w:rPr>
        <w:t>Dusselier</w:t>
      </w:r>
      <w:proofErr w:type="spellEnd"/>
      <w:r w:rsidRPr="00BA43A2">
        <w:rPr>
          <w:lang w:val="en-US"/>
        </w:rPr>
        <w:t xml:space="preserve"> M., Van </w:t>
      </w:r>
      <w:proofErr w:type="spellStart"/>
      <w:r w:rsidRPr="00BA43A2">
        <w:rPr>
          <w:lang w:val="en-US"/>
        </w:rPr>
        <w:t>Wouwe</w:t>
      </w:r>
      <w:proofErr w:type="spellEnd"/>
      <w:r w:rsidRPr="00BA43A2">
        <w:rPr>
          <w:lang w:val="en-US"/>
        </w:rPr>
        <w:t xml:space="preserve"> P., </w:t>
      </w:r>
      <w:proofErr w:type="spellStart"/>
      <w:r w:rsidRPr="00BA43A2">
        <w:rPr>
          <w:lang w:val="en-US"/>
        </w:rPr>
        <w:t>Dewaele</w:t>
      </w:r>
      <w:proofErr w:type="spellEnd"/>
      <w:r w:rsidRPr="00BA43A2">
        <w:rPr>
          <w:lang w:val="en-US"/>
        </w:rPr>
        <w:t xml:space="preserve"> A., </w:t>
      </w:r>
      <w:proofErr w:type="spellStart"/>
      <w:r w:rsidRPr="00BA43A2">
        <w:rPr>
          <w:lang w:val="en-US"/>
        </w:rPr>
        <w:t>Makshina</w:t>
      </w:r>
      <w:proofErr w:type="spellEnd"/>
      <w:r w:rsidRPr="00BA43A2">
        <w:rPr>
          <w:lang w:val="en-US"/>
        </w:rPr>
        <w:t xml:space="preserve"> E., </w:t>
      </w:r>
      <w:r w:rsidRPr="008C7957">
        <w:rPr>
          <w:noProof/>
          <w:lang w:val="en-US"/>
        </w:rPr>
        <w:t>Sels</w:t>
      </w:r>
      <w:r w:rsidRPr="00BA43A2">
        <w:rPr>
          <w:lang w:val="en-US"/>
        </w:rPr>
        <w:t xml:space="preserve"> B. F., 2013, Lactic acid as a platform chemical in the </w:t>
      </w:r>
      <w:proofErr w:type="spellStart"/>
      <w:r w:rsidRPr="00BA43A2">
        <w:rPr>
          <w:lang w:val="en-US"/>
        </w:rPr>
        <w:t>biobased</w:t>
      </w:r>
      <w:proofErr w:type="spellEnd"/>
      <w:r w:rsidRPr="00BA43A2">
        <w:rPr>
          <w:lang w:val="en-US"/>
        </w:rPr>
        <w:t xml:space="preserve"> economy: the role of </w:t>
      </w:r>
      <w:proofErr w:type="spellStart"/>
      <w:r w:rsidRPr="00BA43A2">
        <w:rPr>
          <w:lang w:val="en-US"/>
        </w:rPr>
        <w:t>chemocatalysis</w:t>
      </w:r>
      <w:proofErr w:type="spellEnd"/>
      <w:r w:rsidRPr="00BA43A2">
        <w:rPr>
          <w:lang w:val="en-US"/>
        </w:rPr>
        <w:t>, Energy &amp; Environmental Science, 6, pp. 1415–1442.</w:t>
      </w:r>
    </w:p>
    <w:p w14:paraId="356D1135" w14:textId="77777777" w:rsidR="00AE7BFC" w:rsidRDefault="00AE7BFC" w:rsidP="00207E4F">
      <w:pPr>
        <w:pStyle w:val="CETReferencetext"/>
        <w:rPr>
          <w:b/>
          <w:lang w:val="en-US"/>
        </w:rPr>
      </w:pPr>
      <w:r w:rsidRPr="00AE7BFC">
        <w:rPr>
          <w:lang w:val="en-US"/>
        </w:rPr>
        <w:t>Gonzalez-</w:t>
      </w:r>
      <w:proofErr w:type="spellStart"/>
      <w:r w:rsidRPr="00AE7BFC">
        <w:rPr>
          <w:lang w:val="en-US"/>
        </w:rPr>
        <w:t>Garay</w:t>
      </w:r>
      <w:proofErr w:type="spellEnd"/>
      <w:r w:rsidRPr="00AE7BFC">
        <w:rPr>
          <w:lang w:val="en-US"/>
        </w:rPr>
        <w:t xml:space="preserve"> A., Gonzalez-Miquel M., Guillen-</w:t>
      </w:r>
      <w:proofErr w:type="spellStart"/>
      <w:r w:rsidRPr="00AE7BFC">
        <w:rPr>
          <w:lang w:val="en-US"/>
        </w:rPr>
        <w:t>Gosalbez</w:t>
      </w:r>
      <w:proofErr w:type="spellEnd"/>
      <w:r w:rsidRPr="00AE7BFC">
        <w:rPr>
          <w:lang w:val="en-US"/>
        </w:rPr>
        <w:t xml:space="preserve"> G., 2017, Hi</w:t>
      </w:r>
      <w:r>
        <w:rPr>
          <w:lang w:val="en-US"/>
        </w:rPr>
        <w:t>gh-Value Propylene Glycol from Low-Value Biodiesel Glycerol: A Techno-Economic and Environmental Assessment under Uncertainty, ACS Sustainable Chemistry &amp; Engineering</w:t>
      </w:r>
      <w:r w:rsidR="00F06D9B">
        <w:rPr>
          <w:lang w:val="en-US"/>
        </w:rPr>
        <w:t>, 5, 5723-5732.</w:t>
      </w:r>
    </w:p>
    <w:p w14:paraId="343A0030" w14:textId="77777777" w:rsidR="00D176BF" w:rsidRDefault="00D176BF" w:rsidP="00207E4F">
      <w:pPr>
        <w:pStyle w:val="CETReferencetext"/>
        <w:rPr>
          <w:b/>
          <w:lang w:val="en-US"/>
        </w:rPr>
      </w:pPr>
      <w:r w:rsidRPr="00D176BF">
        <w:rPr>
          <w:lang w:val="en-US"/>
        </w:rPr>
        <w:t>Jain R.; Sun X.; Yuan Q.; Yan Y.</w:t>
      </w:r>
      <w:r w:rsidR="00406F85">
        <w:rPr>
          <w:lang w:val="en-US"/>
        </w:rPr>
        <w:t xml:space="preserve">, 2015, </w:t>
      </w:r>
      <w:r w:rsidRPr="00D176BF">
        <w:rPr>
          <w:lang w:val="en-US"/>
        </w:rPr>
        <w:t>Systematically Engineering Escherichia Coli for Enhanced Production of 1,2-Propanediol and 1-Propanol. ACS Synth</w:t>
      </w:r>
      <w:r>
        <w:rPr>
          <w:lang w:val="en-US"/>
        </w:rPr>
        <w:t>etic</w:t>
      </w:r>
      <w:r w:rsidRPr="00D176BF">
        <w:rPr>
          <w:lang w:val="en-US"/>
        </w:rPr>
        <w:t xml:space="preserve"> Biol</w:t>
      </w:r>
      <w:r>
        <w:rPr>
          <w:lang w:val="en-US"/>
        </w:rPr>
        <w:t>ogy,</w:t>
      </w:r>
      <w:r w:rsidRPr="00D176BF">
        <w:rPr>
          <w:lang w:val="en-US"/>
        </w:rPr>
        <w:t xml:space="preserve"> 4, 746–756.</w:t>
      </w:r>
    </w:p>
    <w:p w14:paraId="3025F46D" w14:textId="77777777" w:rsidR="006E2332" w:rsidRPr="006E2332" w:rsidRDefault="006E2332" w:rsidP="00207E4F">
      <w:pPr>
        <w:pStyle w:val="CETReferencetext"/>
        <w:rPr>
          <w:b/>
          <w:lang w:val="en-US"/>
        </w:rPr>
      </w:pPr>
      <w:proofErr w:type="spellStart"/>
      <w:r w:rsidRPr="006E2332">
        <w:rPr>
          <w:lang w:val="en-US"/>
        </w:rPr>
        <w:t>Kołodziej</w:t>
      </w:r>
      <w:proofErr w:type="spellEnd"/>
      <w:r w:rsidRPr="006E2332">
        <w:rPr>
          <w:lang w:val="en-US"/>
        </w:rPr>
        <w:t xml:space="preserve"> A., </w:t>
      </w:r>
      <w:proofErr w:type="spellStart"/>
      <w:r w:rsidRPr="006E2332">
        <w:rPr>
          <w:lang w:val="en-US"/>
        </w:rPr>
        <w:t>Jaroszyński</w:t>
      </w:r>
      <w:proofErr w:type="spellEnd"/>
      <w:r w:rsidRPr="006E2332">
        <w:rPr>
          <w:lang w:val="en-US"/>
        </w:rPr>
        <w:t xml:space="preserve"> M., </w:t>
      </w:r>
      <w:proofErr w:type="spellStart"/>
      <w:r w:rsidRPr="006E2332">
        <w:rPr>
          <w:lang w:val="en-US"/>
        </w:rPr>
        <w:t>Bylica</w:t>
      </w:r>
      <w:proofErr w:type="spellEnd"/>
      <w:r w:rsidRPr="006E2332">
        <w:rPr>
          <w:lang w:val="en-US"/>
        </w:rPr>
        <w:t xml:space="preserve"> I.</w:t>
      </w:r>
      <w:r>
        <w:rPr>
          <w:lang w:val="en-US"/>
        </w:rPr>
        <w:t>, 2002, D</w:t>
      </w:r>
      <w:r w:rsidRPr="006E2332">
        <w:rPr>
          <w:lang w:val="en-US"/>
        </w:rPr>
        <w:t>iffusional and hydraulic characteristics of</w:t>
      </w:r>
      <w:r>
        <w:rPr>
          <w:lang w:val="en-US"/>
        </w:rPr>
        <w:t xml:space="preserve"> </w:t>
      </w:r>
      <w:proofErr w:type="spellStart"/>
      <w:r>
        <w:rPr>
          <w:lang w:val="en-US"/>
        </w:rPr>
        <w:t>K</w:t>
      </w:r>
      <w:r w:rsidRPr="006E2332">
        <w:rPr>
          <w:lang w:val="en-US"/>
        </w:rPr>
        <w:t>atapak</w:t>
      </w:r>
      <w:proofErr w:type="spellEnd"/>
      <w:r w:rsidRPr="006E2332">
        <w:rPr>
          <w:lang w:val="en-US"/>
        </w:rPr>
        <w:t>-</w:t>
      </w:r>
      <w:r>
        <w:rPr>
          <w:lang w:val="en-US"/>
        </w:rPr>
        <w:t xml:space="preserve">S, </w:t>
      </w:r>
      <w:r w:rsidR="00265D71">
        <w:rPr>
          <w:lang w:val="en-US"/>
        </w:rPr>
        <w:t>I</w:t>
      </w:r>
      <w:r w:rsidRPr="00265D71">
        <w:rPr>
          <w:lang w:val="en-US"/>
        </w:rPr>
        <w:t xml:space="preserve">nternational Conference on Distillation &amp; Absorption, </w:t>
      </w:r>
      <w:proofErr w:type="spellStart"/>
      <w:r w:rsidR="00265D71" w:rsidRPr="00265D71">
        <w:rPr>
          <w:lang w:val="en-US"/>
        </w:rPr>
        <w:t>Kongresshaus</w:t>
      </w:r>
      <w:proofErr w:type="spellEnd"/>
      <w:r w:rsidR="00265D71" w:rsidRPr="00265D71">
        <w:rPr>
          <w:lang w:val="en-US"/>
        </w:rPr>
        <w:t>, Baden-Baden, Germany, 30 September – 2 October</w:t>
      </w:r>
      <w:r w:rsidR="00265D71">
        <w:rPr>
          <w:lang w:val="en-US"/>
        </w:rPr>
        <w:t xml:space="preserve"> &lt;</w:t>
      </w:r>
      <w:r w:rsidR="00265D71" w:rsidRPr="00265D71">
        <w:rPr>
          <w:lang w:val="en-US"/>
        </w:rPr>
        <w:t>http://folk.ntnu.no/skoge/prost/proceedings/distillation02/dokument/6-7.pdf</w:t>
      </w:r>
      <w:r w:rsidR="00265D71">
        <w:rPr>
          <w:lang w:val="en-US"/>
        </w:rPr>
        <w:t xml:space="preserve">&gt; accessed 10.02.2019. </w:t>
      </w:r>
    </w:p>
    <w:p w14:paraId="3B1EBBE9" w14:textId="77777777" w:rsidR="001559C8" w:rsidRDefault="001559C8" w:rsidP="00207E4F">
      <w:pPr>
        <w:pStyle w:val="CETReferencetext"/>
        <w:rPr>
          <w:b/>
          <w:lang w:val="en-US"/>
        </w:rPr>
      </w:pPr>
      <w:proofErr w:type="spellStart"/>
      <w:r w:rsidRPr="006E2332">
        <w:rPr>
          <w:lang w:val="en-US"/>
        </w:rPr>
        <w:t>Komesu</w:t>
      </w:r>
      <w:proofErr w:type="spellEnd"/>
      <w:r w:rsidRPr="006E2332">
        <w:rPr>
          <w:lang w:val="en-US"/>
        </w:rPr>
        <w:t xml:space="preserve">, A., Oliveira J, Martins L. H. S., Filho, R. M., </w:t>
      </w:r>
      <w:proofErr w:type="spellStart"/>
      <w:r w:rsidRPr="006E2332">
        <w:rPr>
          <w:lang w:val="en-US"/>
        </w:rPr>
        <w:t>Maciel</w:t>
      </w:r>
      <w:proofErr w:type="spellEnd"/>
      <w:r w:rsidRPr="006E2332">
        <w:rPr>
          <w:lang w:val="en-US"/>
        </w:rPr>
        <w:t>, M. R. W., 2018</w:t>
      </w:r>
      <w:r w:rsidR="006E2332" w:rsidRPr="006E2332">
        <w:rPr>
          <w:lang w:val="en-US"/>
        </w:rPr>
        <w:t>,</w:t>
      </w:r>
      <w:r w:rsidRPr="006E2332">
        <w:rPr>
          <w:lang w:val="en-US"/>
        </w:rPr>
        <w:t xml:space="preserve"> </w:t>
      </w:r>
      <w:r w:rsidRPr="001559C8">
        <w:rPr>
          <w:lang w:val="en-US"/>
        </w:rPr>
        <w:t>Effect of operating conditions and split ratio for l</w:t>
      </w:r>
      <w:r>
        <w:rPr>
          <w:lang w:val="en-US"/>
        </w:rPr>
        <w:t>actic acid purification by short path evaporation system, Chemical Engineering Transactions, 69, 601-606.</w:t>
      </w:r>
    </w:p>
    <w:p w14:paraId="251BA9F8" w14:textId="77777777" w:rsidR="00B54B60" w:rsidRDefault="00B54B60" w:rsidP="00207E4F">
      <w:pPr>
        <w:pStyle w:val="CETReferencetext"/>
        <w:rPr>
          <w:b/>
          <w:lang w:val="en-US"/>
        </w:rPr>
      </w:pPr>
      <w:r>
        <w:rPr>
          <w:lang w:val="en-US"/>
        </w:rPr>
        <w:t xml:space="preserve">Kong P. S., </w:t>
      </w:r>
      <w:proofErr w:type="spellStart"/>
      <w:r>
        <w:rPr>
          <w:lang w:val="en-US"/>
        </w:rPr>
        <w:t>Aroua</w:t>
      </w:r>
      <w:proofErr w:type="spellEnd"/>
      <w:r>
        <w:rPr>
          <w:lang w:val="en-US"/>
        </w:rPr>
        <w:t xml:space="preserve"> M. K., </w:t>
      </w:r>
      <w:proofErr w:type="spellStart"/>
      <w:r>
        <w:rPr>
          <w:lang w:val="en-US"/>
        </w:rPr>
        <w:t>Daud</w:t>
      </w:r>
      <w:proofErr w:type="spellEnd"/>
      <w:r>
        <w:rPr>
          <w:lang w:val="en-US"/>
        </w:rPr>
        <w:t xml:space="preserve"> W. M. A. W, 2016, Conversion of crude and pure glycerol into derivatives: A feasibility evaluation, Renewable </w:t>
      </w:r>
      <w:r w:rsidRPr="008C7957">
        <w:rPr>
          <w:noProof/>
          <w:lang w:val="en-US"/>
        </w:rPr>
        <w:t>and</w:t>
      </w:r>
      <w:r>
        <w:rPr>
          <w:lang w:val="en-US"/>
        </w:rPr>
        <w:t xml:space="preserve"> Sustainable Energy Reviews, 63, 533-555.</w:t>
      </w:r>
    </w:p>
    <w:p w14:paraId="31545E25" w14:textId="77777777" w:rsidR="0008191F" w:rsidRDefault="0008191F" w:rsidP="00207E4F">
      <w:pPr>
        <w:pStyle w:val="CETReferencetext"/>
        <w:rPr>
          <w:b/>
          <w:lang w:val="en-US"/>
        </w:rPr>
      </w:pPr>
      <w:r w:rsidRPr="0008191F">
        <w:rPr>
          <w:lang w:val="en-US"/>
        </w:rPr>
        <w:t xml:space="preserve">Sabra W., </w:t>
      </w:r>
      <w:proofErr w:type="spellStart"/>
      <w:r w:rsidRPr="0008191F">
        <w:rPr>
          <w:lang w:val="en-US"/>
        </w:rPr>
        <w:t>Groeger</w:t>
      </w:r>
      <w:proofErr w:type="spellEnd"/>
      <w:r w:rsidRPr="0008191F">
        <w:rPr>
          <w:lang w:val="en-US"/>
        </w:rPr>
        <w:t xml:space="preserve"> C., Zeng, A.-P, </w:t>
      </w:r>
      <w:r w:rsidR="00406F85">
        <w:rPr>
          <w:lang w:val="en-US"/>
        </w:rPr>
        <w:t xml:space="preserve">2016, </w:t>
      </w:r>
      <w:r w:rsidRPr="0008191F">
        <w:rPr>
          <w:lang w:val="en-US"/>
        </w:rPr>
        <w:t>Microbial Cell Factories for Diol Production, In Bioreactor Engineering Research and Industrial Applications I: Cell Factories, Ye Q., Bao J., Zhong J.-J., Eds.; Springer Berlin Heidelberg</w:t>
      </w:r>
      <w:r w:rsidR="00406F85">
        <w:rPr>
          <w:lang w:val="en-US"/>
        </w:rPr>
        <w:t>,</w:t>
      </w:r>
      <w:r w:rsidRPr="0008191F">
        <w:rPr>
          <w:lang w:val="en-US"/>
        </w:rPr>
        <w:t xml:space="preserve"> Berlin, Heidelberg, pp 165–197.</w:t>
      </w:r>
    </w:p>
    <w:p w14:paraId="0CAC7D1F" w14:textId="77777777" w:rsidR="00FB5C27" w:rsidRDefault="00FB5C27" w:rsidP="00207E4F">
      <w:pPr>
        <w:pStyle w:val="CETReferencetext"/>
        <w:rPr>
          <w:b/>
          <w:lang w:val="en-US"/>
        </w:rPr>
      </w:pPr>
      <w:proofErr w:type="spellStart"/>
      <w:r w:rsidRPr="00FB5C27">
        <w:rPr>
          <w:lang w:val="en-US"/>
        </w:rPr>
        <w:t>Straathof</w:t>
      </w:r>
      <w:proofErr w:type="spellEnd"/>
      <w:r w:rsidRPr="00FB5C27">
        <w:rPr>
          <w:lang w:val="en-US"/>
        </w:rPr>
        <w:t xml:space="preserve"> A. J. J., </w:t>
      </w:r>
      <w:r w:rsidRPr="008C7957">
        <w:rPr>
          <w:noProof/>
          <w:lang w:val="en-US"/>
        </w:rPr>
        <w:t>Bampouli</w:t>
      </w:r>
      <w:r w:rsidRPr="00FB5C27">
        <w:rPr>
          <w:lang w:val="en-US"/>
        </w:rPr>
        <w:t xml:space="preserve"> A., 2017, Potential of Commodity Chemicals to Become Bio-Based According to Maximum Yields and Petrochemical Prices</w:t>
      </w:r>
      <w:r w:rsidR="00B54B60">
        <w:rPr>
          <w:lang w:val="en-US"/>
        </w:rPr>
        <w:t>,</w:t>
      </w:r>
      <w:r w:rsidRPr="00FB5C27">
        <w:rPr>
          <w:lang w:val="en-US"/>
        </w:rPr>
        <w:t xml:space="preserve"> Biofuels, Bioprod</w:t>
      </w:r>
      <w:r w:rsidR="0008191F">
        <w:rPr>
          <w:lang w:val="en-US"/>
        </w:rPr>
        <w:t>ucts and</w:t>
      </w:r>
      <w:r w:rsidRPr="00FB5C27">
        <w:rPr>
          <w:lang w:val="en-US"/>
        </w:rPr>
        <w:t xml:space="preserve"> Biorefining, 11, 798–810.</w:t>
      </w:r>
    </w:p>
    <w:p w14:paraId="5048D345" w14:textId="77777777" w:rsidR="00952D44" w:rsidRPr="00952D44" w:rsidRDefault="00952D44" w:rsidP="00207E4F">
      <w:pPr>
        <w:pStyle w:val="CETReferencetext"/>
        <w:rPr>
          <w:lang w:val="en-US"/>
        </w:rPr>
      </w:pPr>
      <w:r w:rsidRPr="008C7957">
        <w:rPr>
          <w:noProof/>
          <w:lang w:val="en-US"/>
        </w:rPr>
        <w:t>Su C.Y., Yu C.C., Chien I.L., Ward J.D., 2013, Plant-wide economic comparison of lactic acid recovery processes by reactive distillation with different alcohols, Industrial &amp; Engineering Chemistry Research, 52, 11070–11083.</w:t>
      </w:r>
    </w:p>
    <w:p w14:paraId="14DDE313" w14:textId="77777777" w:rsidR="006A0832" w:rsidRDefault="006A0832" w:rsidP="00207E4F">
      <w:pPr>
        <w:pStyle w:val="CETReferencetext"/>
        <w:rPr>
          <w:b/>
          <w:lang w:val="en-US"/>
        </w:rPr>
      </w:pPr>
      <w:r w:rsidRPr="006A0832">
        <w:rPr>
          <w:lang w:val="en-US"/>
        </w:rPr>
        <w:t>Torres A., Roy D., Subramaniam B., Chaudhari R. V., 2010, Kinetic Modeling of Aqueous-Phase Gl</w:t>
      </w:r>
      <w:r>
        <w:rPr>
          <w:lang w:val="en-US"/>
        </w:rPr>
        <w:t xml:space="preserve">ycerol Hydrogenolysis in a Batch Slurry Reactor, Industrial </w:t>
      </w:r>
      <w:r w:rsidR="00AE7BFC">
        <w:rPr>
          <w:lang w:val="en-US"/>
        </w:rPr>
        <w:t>&amp;</w:t>
      </w:r>
      <w:r>
        <w:rPr>
          <w:lang w:val="en-US"/>
        </w:rPr>
        <w:t xml:space="preserve"> Engineering Chemistry Research, 49, 10826-10835.</w:t>
      </w:r>
    </w:p>
    <w:p w14:paraId="1F5CFDB0" w14:textId="77777777" w:rsidR="006B4888" w:rsidRPr="00AE7BFC" w:rsidRDefault="00D07EDC" w:rsidP="00207E4F">
      <w:pPr>
        <w:pStyle w:val="CETReferencetext"/>
        <w:rPr>
          <w:b/>
          <w:lang w:val="en-US"/>
        </w:rPr>
      </w:pPr>
      <w:r>
        <w:rPr>
          <w:lang w:val="en-US"/>
        </w:rPr>
        <w:t>Xi Y</w:t>
      </w:r>
      <w:r w:rsidR="006A0C7E">
        <w:rPr>
          <w:lang w:val="en-US"/>
        </w:rPr>
        <w:t>.</w:t>
      </w:r>
      <w:r>
        <w:rPr>
          <w:lang w:val="en-US"/>
        </w:rPr>
        <w:t xml:space="preserve">, Jackson J. E., Miller D. J., 2011, Characterizing Lactic Acid </w:t>
      </w:r>
      <w:r w:rsidR="006A0C7E">
        <w:rPr>
          <w:lang w:val="en-US"/>
        </w:rPr>
        <w:t xml:space="preserve">Hydrogenolysis Rates in Laboratory Trickle Bed Reactors, Industrial </w:t>
      </w:r>
      <w:r w:rsidR="00AE7BFC">
        <w:rPr>
          <w:lang w:val="en-US"/>
        </w:rPr>
        <w:t>&amp;</w:t>
      </w:r>
      <w:r w:rsidR="006A0C7E">
        <w:rPr>
          <w:lang w:val="en-US"/>
        </w:rPr>
        <w:t xml:space="preserve"> Engineering Chemistry Research, 50, 5440-5447.</w:t>
      </w:r>
    </w:p>
    <w:p w14:paraId="4D7CFBBD" w14:textId="77777777" w:rsidR="004628D2" w:rsidRPr="00406F85" w:rsidRDefault="00351461" w:rsidP="00207E4F">
      <w:pPr>
        <w:pStyle w:val="CETReferencetext"/>
        <w:rPr>
          <w:b/>
          <w:lang w:val="en-US"/>
        </w:rPr>
      </w:pPr>
      <w:r w:rsidRPr="00406F85">
        <w:rPr>
          <w:lang w:val="en-US"/>
        </w:rPr>
        <w:t xml:space="preserve">Zheng M., Pang J., Sun R., Wang A., Zhang T., </w:t>
      </w:r>
      <w:r w:rsidR="00406F85" w:rsidRPr="00406F85">
        <w:rPr>
          <w:lang w:val="en-US"/>
        </w:rPr>
        <w:t xml:space="preserve">2017, </w:t>
      </w:r>
      <w:r w:rsidRPr="00406F85">
        <w:rPr>
          <w:lang w:val="en-US"/>
        </w:rPr>
        <w:t>Selectivity Control for Cellulose to Diols: Dancing on Eggs, ACS Catalysis, 7, pp. 1939–1954</w:t>
      </w:r>
      <w:r w:rsidR="00406F85" w:rsidRPr="00406F85">
        <w:rPr>
          <w:lang w:val="en-US"/>
        </w:rPr>
        <w:t>.</w:t>
      </w:r>
    </w:p>
    <w:sectPr w:rsidR="004628D2" w:rsidRPr="00406F85" w:rsidSect="0077098D">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163B22" w14:textId="77777777" w:rsidR="00F30654" w:rsidRDefault="00F30654" w:rsidP="004F5E36">
      <w:r>
        <w:separator/>
      </w:r>
    </w:p>
  </w:endnote>
  <w:endnote w:type="continuationSeparator" w:id="0">
    <w:p w14:paraId="111514A1" w14:textId="77777777" w:rsidR="00F30654" w:rsidRDefault="00F30654"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Times">
    <w:panose1 w:val="02020603050405020304"/>
    <w:charset w:val="00"/>
    <w:family w:val="roman"/>
    <w:pitch w:val="default"/>
  </w:font>
  <w:font w:name="AdvP6960">
    <w:altName w:val="Cambria"/>
    <w:panose1 w:val="00000000000000000000"/>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5DF7F8" w14:textId="77777777" w:rsidR="00F30654" w:rsidRDefault="00F30654" w:rsidP="004F5E36">
      <w:r>
        <w:separator/>
      </w:r>
    </w:p>
  </w:footnote>
  <w:footnote w:type="continuationSeparator" w:id="0">
    <w:p w14:paraId="55551D85" w14:textId="77777777" w:rsidR="00F30654" w:rsidRDefault="00F30654" w:rsidP="004F5E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58AF15E"/>
    <w:lvl w:ilvl="0">
      <w:start w:val="1"/>
      <w:numFmt w:val="decimal"/>
      <w:pStyle w:val="Numerada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Numerada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Numerada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Numerada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Commarcadore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Commarcadore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Commarcadore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Commarcadore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Numerada"/>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Commarcadores"/>
      <w:lvlText w:val=""/>
      <w:lvlJc w:val="left"/>
      <w:pPr>
        <w:tabs>
          <w:tab w:val="num" w:pos="360"/>
        </w:tabs>
        <w:ind w:left="360" w:hanging="360"/>
      </w:pPr>
      <w:rPr>
        <w:rFonts w:ascii="Symbol" w:hAnsi="Symbol" w:hint="default"/>
      </w:rPr>
    </w:lvl>
  </w:abstractNum>
  <w:abstractNum w:abstractNumId="10" w15:restartNumberingAfterBreak="0">
    <w:nsid w:val="2438217E"/>
    <w:multiLevelType w:val="multilevel"/>
    <w:tmpl w:val="F17228D6"/>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elasimples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1"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4"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7"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6"/>
  </w:num>
  <w:num w:numId="13">
    <w:abstractNumId w:val="12"/>
  </w:num>
  <w:num w:numId="14">
    <w:abstractNumId w:val="17"/>
  </w:num>
  <w:num w:numId="15">
    <w:abstractNumId w:val="19"/>
  </w:num>
  <w:num w:numId="16">
    <w:abstractNumId w:val="18"/>
  </w:num>
  <w:num w:numId="17">
    <w:abstractNumId w:val="11"/>
  </w:num>
  <w:num w:numId="18">
    <w:abstractNumId w:val="12"/>
    <w:lvlOverride w:ilvl="0">
      <w:startOverride w:val="1"/>
    </w:lvlOverride>
  </w:num>
  <w:num w:numId="19">
    <w:abstractNumId w:val="15"/>
  </w:num>
  <w:num w:numId="20">
    <w:abstractNumId w:val="14"/>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LockTheme/>
  <w:styleLockQFSet/>
  <w:defaultTabStop w:val="708"/>
  <w:hyphenationZone w:val="283"/>
  <w:clickAndTypeStyle w:val="CETBodytext"/>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I0NzezsDA3M7MwMTJW0lEKTi0uzszPAykwNK8FAK35pNMtAAAA"/>
  </w:docVars>
  <w:rsids>
    <w:rsidRoot w:val="000E414A"/>
    <w:rsid w:val="00000BB4"/>
    <w:rsid w:val="000027C0"/>
    <w:rsid w:val="000052FB"/>
    <w:rsid w:val="00010F40"/>
    <w:rsid w:val="000117CB"/>
    <w:rsid w:val="00017917"/>
    <w:rsid w:val="0003148D"/>
    <w:rsid w:val="00041972"/>
    <w:rsid w:val="0004339F"/>
    <w:rsid w:val="00047D7F"/>
    <w:rsid w:val="00051566"/>
    <w:rsid w:val="00062A9A"/>
    <w:rsid w:val="00065058"/>
    <w:rsid w:val="00073172"/>
    <w:rsid w:val="0008191F"/>
    <w:rsid w:val="00086C39"/>
    <w:rsid w:val="000A03B2"/>
    <w:rsid w:val="000A3B79"/>
    <w:rsid w:val="000A4256"/>
    <w:rsid w:val="000B0CEB"/>
    <w:rsid w:val="000D34BE"/>
    <w:rsid w:val="000E102F"/>
    <w:rsid w:val="000E36F1"/>
    <w:rsid w:val="000E3A73"/>
    <w:rsid w:val="000E414A"/>
    <w:rsid w:val="000F093C"/>
    <w:rsid w:val="000F16BD"/>
    <w:rsid w:val="000F4B88"/>
    <w:rsid w:val="000F787B"/>
    <w:rsid w:val="00115794"/>
    <w:rsid w:val="0012091F"/>
    <w:rsid w:val="0012382D"/>
    <w:rsid w:val="00125226"/>
    <w:rsid w:val="00125BE4"/>
    <w:rsid w:val="00125EAF"/>
    <w:rsid w:val="00126BC2"/>
    <w:rsid w:val="001308B6"/>
    <w:rsid w:val="00131041"/>
    <w:rsid w:val="0013121F"/>
    <w:rsid w:val="00131FAB"/>
    <w:rsid w:val="00131FE6"/>
    <w:rsid w:val="0013263F"/>
    <w:rsid w:val="00134DE4"/>
    <w:rsid w:val="0014034D"/>
    <w:rsid w:val="00150B31"/>
    <w:rsid w:val="00150E59"/>
    <w:rsid w:val="00152DE3"/>
    <w:rsid w:val="001559C8"/>
    <w:rsid w:val="00162642"/>
    <w:rsid w:val="00164CF9"/>
    <w:rsid w:val="001778AD"/>
    <w:rsid w:val="001822EC"/>
    <w:rsid w:val="00184AD6"/>
    <w:rsid w:val="00193DE9"/>
    <w:rsid w:val="001B0349"/>
    <w:rsid w:val="001B65C1"/>
    <w:rsid w:val="001C684B"/>
    <w:rsid w:val="001D4277"/>
    <w:rsid w:val="001D53FC"/>
    <w:rsid w:val="001F42A5"/>
    <w:rsid w:val="001F4350"/>
    <w:rsid w:val="001F7B9D"/>
    <w:rsid w:val="00207E4F"/>
    <w:rsid w:val="0021114B"/>
    <w:rsid w:val="00211308"/>
    <w:rsid w:val="002170C6"/>
    <w:rsid w:val="00220F89"/>
    <w:rsid w:val="002224B4"/>
    <w:rsid w:val="002447EF"/>
    <w:rsid w:val="00251550"/>
    <w:rsid w:val="00252C1A"/>
    <w:rsid w:val="00255CD5"/>
    <w:rsid w:val="00256FE1"/>
    <w:rsid w:val="00263B05"/>
    <w:rsid w:val="00265D71"/>
    <w:rsid w:val="002661E2"/>
    <w:rsid w:val="0027221A"/>
    <w:rsid w:val="00275B61"/>
    <w:rsid w:val="00282656"/>
    <w:rsid w:val="00296B83"/>
    <w:rsid w:val="002A19BB"/>
    <w:rsid w:val="002A637A"/>
    <w:rsid w:val="002B78CE"/>
    <w:rsid w:val="002C2FB6"/>
    <w:rsid w:val="002C2FF6"/>
    <w:rsid w:val="002C3352"/>
    <w:rsid w:val="002D0891"/>
    <w:rsid w:val="002D5BCD"/>
    <w:rsid w:val="002E2220"/>
    <w:rsid w:val="002F0656"/>
    <w:rsid w:val="002F5D8D"/>
    <w:rsid w:val="003009B7"/>
    <w:rsid w:val="00300E56"/>
    <w:rsid w:val="003028EC"/>
    <w:rsid w:val="0030469C"/>
    <w:rsid w:val="003159FB"/>
    <w:rsid w:val="00316806"/>
    <w:rsid w:val="00321CA6"/>
    <w:rsid w:val="00334C09"/>
    <w:rsid w:val="003365E3"/>
    <w:rsid w:val="00351461"/>
    <w:rsid w:val="003723D4"/>
    <w:rsid w:val="00384655"/>
    <w:rsid w:val="00384CC8"/>
    <w:rsid w:val="003871FD"/>
    <w:rsid w:val="00391EE6"/>
    <w:rsid w:val="003A1E30"/>
    <w:rsid w:val="003A7D1C"/>
    <w:rsid w:val="003B304B"/>
    <w:rsid w:val="003B3146"/>
    <w:rsid w:val="003B60F3"/>
    <w:rsid w:val="003D3144"/>
    <w:rsid w:val="003D435B"/>
    <w:rsid w:val="003D48AF"/>
    <w:rsid w:val="003E2865"/>
    <w:rsid w:val="003F015E"/>
    <w:rsid w:val="00400414"/>
    <w:rsid w:val="00400922"/>
    <w:rsid w:val="00401C20"/>
    <w:rsid w:val="004028C3"/>
    <w:rsid w:val="00406F85"/>
    <w:rsid w:val="00412345"/>
    <w:rsid w:val="0041446B"/>
    <w:rsid w:val="00426249"/>
    <w:rsid w:val="0044329C"/>
    <w:rsid w:val="00452B00"/>
    <w:rsid w:val="004577FE"/>
    <w:rsid w:val="00457B9C"/>
    <w:rsid w:val="0046164A"/>
    <w:rsid w:val="004628D2"/>
    <w:rsid w:val="00462DCD"/>
    <w:rsid w:val="0046357B"/>
    <w:rsid w:val="004648AD"/>
    <w:rsid w:val="004703A9"/>
    <w:rsid w:val="00472D98"/>
    <w:rsid w:val="004760DE"/>
    <w:rsid w:val="004A004E"/>
    <w:rsid w:val="004A24CF"/>
    <w:rsid w:val="004B6721"/>
    <w:rsid w:val="004C3D1D"/>
    <w:rsid w:val="004C7913"/>
    <w:rsid w:val="004D43C8"/>
    <w:rsid w:val="004E4DD6"/>
    <w:rsid w:val="004F369D"/>
    <w:rsid w:val="004F5E36"/>
    <w:rsid w:val="004F5FE8"/>
    <w:rsid w:val="00500F33"/>
    <w:rsid w:val="005042F0"/>
    <w:rsid w:val="00507B47"/>
    <w:rsid w:val="00507CC9"/>
    <w:rsid w:val="005119A5"/>
    <w:rsid w:val="00515938"/>
    <w:rsid w:val="005278B7"/>
    <w:rsid w:val="00532016"/>
    <w:rsid w:val="005346C8"/>
    <w:rsid w:val="005351DC"/>
    <w:rsid w:val="005429FC"/>
    <w:rsid w:val="00543E7D"/>
    <w:rsid w:val="0054573D"/>
    <w:rsid w:val="00546B05"/>
    <w:rsid w:val="00547A68"/>
    <w:rsid w:val="005531C9"/>
    <w:rsid w:val="005546C5"/>
    <w:rsid w:val="00555141"/>
    <w:rsid w:val="005577C2"/>
    <w:rsid w:val="005822A4"/>
    <w:rsid w:val="00584B14"/>
    <w:rsid w:val="005A6B46"/>
    <w:rsid w:val="005B2110"/>
    <w:rsid w:val="005B61E6"/>
    <w:rsid w:val="005C77E1"/>
    <w:rsid w:val="005D4740"/>
    <w:rsid w:val="005D6A2F"/>
    <w:rsid w:val="005E1082"/>
    <w:rsid w:val="005E1A82"/>
    <w:rsid w:val="005E794C"/>
    <w:rsid w:val="005F0A28"/>
    <w:rsid w:val="005F0E5E"/>
    <w:rsid w:val="005F3C79"/>
    <w:rsid w:val="00600535"/>
    <w:rsid w:val="00601652"/>
    <w:rsid w:val="0061097E"/>
    <w:rsid w:val="00610CD6"/>
    <w:rsid w:val="00620DEE"/>
    <w:rsid w:val="00621F92"/>
    <w:rsid w:val="00624E6E"/>
    <w:rsid w:val="00625639"/>
    <w:rsid w:val="00631B33"/>
    <w:rsid w:val="0064184D"/>
    <w:rsid w:val="006422CC"/>
    <w:rsid w:val="0066092B"/>
    <w:rsid w:val="00660E3E"/>
    <w:rsid w:val="00662E74"/>
    <w:rsid w:val="00680C23"/>
    <w:rsid w:val="00682992"/>
    <w:rsid w:val="00684C1B"/>
    <w:rsid w:val="00685E14"/>
    <w:rsid w:val="00693766"/>
    <w:rsid w:val="006A0832"/>
    <w:rsid w:val="006A0C7E"/>
    <w:rsid w:val="006A3281"/>
    <w:rsid w:val="006B4888"/>
    <w:rsid w:val="006C2E45"/>
    <w:rsid w:val="006C359C"/>
    <w:rsid w:val="006C5579"/>
    <w:rsid w:val="006C5B6B"/>
    <w:rsid w:val="006D3C5B"/>
    <w:rsid w:val="006E2332"/>
    <w:rsid w:val="006E737D"/>
    <w:rsid w:val="006E7692"/>
    <w:rsid w:val="006F3AE8"/>
    <w:rsid w:val="0070195D"/>
    <w:rsid w:val="00720A24"/>
    <w:rsid w:val="00720A74"/>
    <w:rsid w:val="00732386"/>
    <w:rsid w:val="007447F3"/>
    <w:rsid w:val="0075499F"/>
    <w:rsid w:val="00755287"/>
    <w:rsid w:val="007606FB"/>
    <w:rsid w:val="007661C8"/>
    <w:rsid w:val="00767AEF"/>
    <w:rsid w:val="00767F95"/>
    <w:rsid w:val="0077098D"/>
    <w:rsid w:val="007931FA"/>
    <w:rsid w:val="0079768C"/>
    <w:rsid w:val="007A1185"/>
    <w:rsid w:val="007A7BBA"/>
    <w:rsid w:val="007B0C50"/>
    <w:rsid w:val="007B4CA5"/>
    <w:rsid w:val="007B7073"/>
    <w:rsid w:val="007C006F"/>
    <w:rsid w:val="007C1A43"/>
    <w:rsid w:val="007E05A0"/>
    <w:rsid w:val="007E1DC6"/>
    <w:rsid w:val="007E7B37"/>
    <w:rsid w:val="007F3A4A"/>
    <w:rsid w:val="00807C63"/>
    <w:rsid w:val="00811507"/>
    <w:rsid w:val="0081184E"/>
    <w:rsid w:val="00813288"/>
    <w:rsid w:val="00813E4C"/>
    <w:rsid w:val="00815EEE"/>
    <w:rsid w:val="008168FC"/>
    <w:rsid w:val="00820852"/>
    <w:rsid w:val="00823AA7"/>
    <w:rsid w:val="00830996"/>
    <w:rsid w:val="008345F1"/>
    <w:rsid w:val="00851087"/>
    <w:rsid w:val="00865B07"/>
    <w:rsid w:val="008667EA"/>
    <w:rsid w:val="00867C9F"/>
    <w:rsid w:val="0087637F"/>
    <w:rsid w:val="008904B9"/>
    <w:rsid w:val="00892AD5"/>
    <w:rsid w:val="008A0DBB"/>
    <w:rsid w:val="008A0E9C"/>
    <w:rsid w:val="008A1512"/>
    <w:rsid w:val="008A713F"/>
    <w:rsid w:val="008B2D31"/>
    <w:rsid w:val="008C34BE"/>
    <w:rsid w:val="008C78C1"/>
    <w:rsid w:val="008C7957"/>
    <w:rsid w:val="008D32B9"/>
    <w:rsid w:val="008D433B"/>
    <w:rsid w:val="008E566E"/>
    <w:rsid w:val="008F47CF"/>
    <w:rsid w:val="0090161A"/>
    <w:rsid w:val="00901EB6"/>
    <w:rsid w:val="00904C62"/>
    <w:rsid w:val="0091322A"/>
    <w:rsid w:val="00914BF2"/>
    <w:rsid w:val="00922B68"/>
    <w:rsid w:val="00924DAC"/>
    <w:rsid w:val="00927058"/>
    <w:rsid w:val="00930DC0"/>
    <w:rsid w:val="0093451C"/>
    <w:rsid w:val="00936C8F"/>
    <w:rsid w:val="00942D7C"/>
    <w:rsid w:val="0094453A"/>
    <w:rsid w:val="009450CE"/>
    <w:rsid w:val="00947179"/>
    <w:rsid w:val="0095164B"/>
    <w:rsid w:val="00952D44"/>
    <w:rsid w:val="00954090"/>
    <w:rsid w:val="0095534F"/>
    <w:rsid w:val="009573E7"/>
    <w:rsid w:val="00961FE3"/>
    <w:rsid w:val="009635B9"/>
    <w:rsid w:val="00963E05"/>
    <w:rsid w:val="009647BF"/>
    <w:rsid w:val="00967D54"/>
    <w:rsid w:val="00981E6E"/>
    <w:rsid w:val="00996483"/>
    <w:rsid w:val="00996F5A"/>
    <w:rsid w:val="009A0A3E"/>
    <w:rsid w:val="009A1B6F"/>
    <w:rsid w:val="009B041A"/>
    <w:rsid w:val="009C0DF6"/>
    <w:rsid w:val="009C7C86"/>
    <w:rsid w:val="009D2FF7"/>
    <w:rsid w:val="009D42E1"/>
    <w:rsid w:val="009E0877"/>
    <w:rsid w:val="009E7884"/>
    <w:rsid w:val="009E788A"/>
    <w:rsid w:val="009F0E08"/>
    <w:rsid w:val="00A13162"/>
    <w:rsid w:val="00A1763D"/>
    <w:rsid w:val="00A17CEC"/>
    <w:rsid w:val="00A27EF0"/>
    <w:rsid w:val="00A40364"/>
    <w:rsid w:val="00A50B20"/>
    <w:rsid w:val="00A51390"/>
    <w:rsid w:val="00A551D0"/>
    <w:rsid w:val="00A5647D"/>
    <w:rsid w:val="00A60D13"/>
    <w:rsid w:val="00A63628"/>
    <w:rsid w:val="00A72745"/>
    <w:rsid w:val="00A76EFC"/>
    <w:rsid w:val="00A810A1"/>
    <w:rsid w:val="00A83C87"/>
    <w:rsid w:val="00A91010"/>
    <w:rsid w:val="00A97F29"/>
    <w:rsid w:val="00AA702E"/>
    <w:rsid w:val="00AB0964"/>
    <w:rsid w:val="00AB5011"/>
    <w:rsid w:val="00AC7368"/>
    <w:rsid w:val="00AD16B9"/>
    <w:rsid w:val="00AE377D"/>
    <w:rsid w:val="00AE7BFC"/>
    <w:rsid w:val="00AF5450"/>
    <w:rsid w:val="00B116E9"/>
    <w:rsid w:val="00B13D94"/>
    <w:rsid w:val="00B15B51"/>
    <w:rsid w:val="00B17FBD"/>
    <w:rsid w:val="00B23C35"/>
    <w:rsid w:val="00B315A6"/>
    <w:rsid w:val="00B31813"/>
    <w:rsid w:val="00B33365"/>
    <w:rsid w:val="00B35708"/>
    <w:rsid w:val="00B54B60"/>
    <w:rsid w:val="00B57504"/>
    <w:rsid w:val="00B57B36"/>
    <w:rsid w:val="00B85F78"/>
    <w:rsid w:val="00B8686D"/>
    <w:rsid w:val="00B95A2D"/>
    <w:rsid w:val="00BA3469"/>
    <w:rsid w:val="00BA41F0"/>
    <w:rsid w:val="00BA43A2"/>
    <w:rsid w:val="00BC29B3"/>
    <w:rsid w:val="00BC30C9"/>
    <w:rsid w:val="00BE3E58"/>
    <w:rsid w:val="00BE688D"/>
    <w:rsid w:val="00BF0B95"/>
    <w:rsid w:val="00C01616"/>
    <w:rsid w:val="00C0162B"/>
    <w:rsid w:val="00C345B1"/>
    <w:rsid w:val="00C40142"/>
    <w:rsid w:val="00C4318A"/>
    <w:rsid w:val="00C51DFC"/>
    <w:rsid w:val="00C57182"/>
    <w:rsid w:val="00C57863"/>
    <w:rsid w:val="00C655FD"/>
    <w:rsid w:val="00C67BAE"/>
    <w:rsid w:val="00C770B5"/>
    <w:rsid w:val="00C81DBC"/>
    <w:rsid w:val="00C83CF7"/>
    <w:rsid w:val="00C870A8"/>
    <w:rsid w:val="00C94434"/>
    <w:rsid w:val="00C96F16"/>
    <w:rsid w:val="00CA0D75"/>
    <w:rsid w:val="00CA0ED3"/>
    <w:rsid w:val="00CA1C95"/>
    <w:rsid w:val="00CA4419"/>
    <w:rsid w:val="00CA5A9C"/>
    <w:rsid w:val="00CA6535"/>
    <w:rsid w:val="00CB277E"/>
    <w:rsid w:val="00CC3E5E"/>
    <w:rsid w:val="00CC5260"/>
    <w:rsid w:val="00CD3517"/>
    <w:rsid w:val="00CD5A00"/>
    <w:rsid w:val="00CD5FE2"/>
    <w:rsid w:val="00CE46AC"/>
    <w:rsid w:val="00CE7C68"/>
    <w:rsid w:val="00D02B4C"/>
    <w:rsid w:val="00D040C4"/>
    <w:rsid w:val="00D07EDC"/>
    <w:rsid w:val="00D11CD5"/>
    <w:rsid w:val="00D176BF"/>
    <w:rsid w:val="00D27E50"/>
    <w:rsid w:val="00D33E79"/>
    <w:rsid w:val="00D56932"/>
    <w:rsid w:val="00D57C84"/>
    <w:rsid w:val="00D6057D"/>
    <w:rsid w:val="00D7552D"/>
    <w:rsid w:val="00D778B8"/>
    <w:rsid w:val="00D84576"/>
    <w:rsid w:val="00D85812"/>
    <w:rsid w:val="00D85910"/>
    <w:rsid w:val="00DA1399"/>
    <w:rsid w:val="00DA24C6"/>
    <w:rsid w:val="00DA4D7B"/>
    <w:rsid w:val="00DA6521"/>
    <w:rsid w:val="00DA7D04"/>
    <w:rsid w:val="00DB5254"/>
    <w:rsid w:val="00DC43BB"/>
    <w:rsid w:val="00DE0795"/>
    <w:rsid w:val="00DE264A"/>
    <w:rsid w:val="00DF29C7"/>
    <w:rsid w:val="00E02D18"/>
    <w:rsid w:val="00E041E7"/>
    <w:rsid w:val="00E129A0"/>
    <w:rsid w:val="00E204B5"/>
    <w:rsid w:val="00E21C84"/>
    <w:rsid w:val="00E23CA1"/>
    <w:rsid w:val="00E26995"/>
    <w:rsid w:val="00E34FEB"/>
    <w:rsid w:val="00E359AD"/>
    <w:rsid w:val="00E409A8"/>
    <w:rsid w:val="00E50C12"/>
    <w:rsid w:val="00E62757"/>
    <w:rsid w:val="00E65B91"/>
    <w:rsid w:val="00E67165"/>
    <w:rsid w:val="00E7149E"/>
    <w:rsid w:val="00E7209D"/>
    <w:rsid w:val="00E77223"/>
    <w:rsid w:val="00E8528B"/>
    <w:rsid w:val="00E85B94"/>
    <w:rsid w:val="00E93520"/>
    <w:rsid w:val="00E93B99"/>
    <w:rsid w:val="00E93D68"/>
    <w:rsid w:val="00E96E23"/>
    <w:rsid w:val="00E978D0"/>
    <w:rsid w:val="00EA2649"/>
    <w:rsid w:val="00EA4613"/>
    <w:rsid w:val="00EA7F91"/>
    <w:rsid w:val="00EB1523"/>
    <w:rsid w:val="00EB29CE"/>
    <w:rsid w:val="00EC0E49"/>
    <w:rsid w:val="00EC24ED"/>
    <w:rsid w:val="00ED01A6"/>
    <w:rsid w:val="00EE0131"/>
    <w:rsid w:val="00EF3BD2"/>
    <w:rsid w:val="00F06D9B"/>
    <w:rsid w:val="00F1507D"/>
    <w:rsid w:val="00F155B2"/>
    <w:rsid w:val="00F26DFF"/>
    <w:rsid w:val="00F30654"/>
    <w:rsid w:val="00F30C64"/>
    <w:rsid w:val="00F32CDB"/>
    <w:rsid w:val="00F6359B"/>
    <w:rsid w:val="00F63A70"/>
    <w:rsid w:val="00F65A3F"/>
    <w:rsid w:val="00F907C2"/>
    <w:rsid w:val="00FA21D0"/>
    <w:rsid w:val="00FA5F5F"/>
    <w:rsid w:val="00FA6D05"/>
    <w:rsid w:val="00FB2A6B"/>
    <w:rsid w:val="00FB2F3D"/>
    <w:rsid w:val="00FB5C27"/>
    <w:rsid w:val="00FB730C"/>
    <w:rsid w:val="00FC2695"/>
    <w:rsid w:val="00FC3E03"/>
    <w:rsid w:val="00FC3FC1"/>
    <w:rsid w:val="00FE216A"/>
    <w:rsid w:val="00FF562E"/>
  </w:rsids>
  <m:mathPr>
    <m:mathFont m:val="Cambria Math"/>
    <m:brkBin m:val="before"/>
    <m:brkBinSub m:val="--"/>
    <m:smallFrac/>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A6F28C"/>
  <w15:docId w15:val="{D8833855-4738-4A7F-A6F2-7DBDE782F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locked="1"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tulo1">
    <w:name w:val="heading 1"/>
    <w:basedOn w:val="CETHeading1"/>
    <w:next w:val="Normal"/>
    <w:link w:val="Ttulo1Char"/>
    <w:uiPriority w:val="9"/>
    <w:rsid w:val="004F5E36"/>
    <w:pPr>
      <w:tabs>
        <w:tab w:val="clear" w:pos="360"/>
        <w:tab w:val="right" w:pos="7100"/>
      </w:tabs>
      <w:jc w:val="both"/>
      <w:outlineLvl w:val="0"/>
    </w:pPr>
    <w:rPr>
      <w:lang w:val="en-GB"/>
    </w:rPr>
  </w:style>
  <w:style w:type="paragraph" w:styleId="Ttulo2">
    <w:name w:val="heading 2"/>
    <w:basedOn w:val="Normal"/>
    <w:next w:val="Normal"/>
    <w:link w:val="Ttulo2Char"/>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har"/>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har"/>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har"/>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har"/>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tulo9">
    <w:name w:val="heading 9"/>
    <w:basedOn w:val="Normal"/>
    <w:next w:val="Normal"/>
    <w:link w:val="Ttulo9Char"/>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FA5F5F"/>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elasimples1">
    <w:name w:val="Table Simple 1"/>
    <w:basedOn w:val="Tabelanormal"/>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9E788A"/>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FA5F5F"/>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Refdecomentrio">
    <w:name w:val="annotation reference"/>
    <w:basedOn w:val="Fontepargpadro"/>
    <w:uiPriority w:val="99"/>
    <w:semiHidden/>
    <w:unhideWhenUsed/>
    <w:rsid w:val="004577FE"/>
    <w:rPr>
      <w:sz w:val="16"/>
      <w:szCs w:val="16"/>
    </w:rPr>
  </w:style>
  <w:style w:type="paragraph" w:styleId="Textodebalo">
    <w:name w:val="Balloon Text"/>
    <w:basedOn w:val="Normal"/>
    <w:link w:val="TextodebaloChar"/>
    <w:uiPriority w:val="99"/>
    <w:semiHidden/>
    <w:unhideWhenUsed/>
    <w:rsid w:val="000D34BE"/>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0D34BE"/>
    <w:rPr>
      <w:rFonts w:ascii="Tahoma" w:hAnsi="Tahoma" w:cs="Tahoma"/>
      <w:sz w:val="16"/>
      <w:szCs w:val="16"/>
    </w:rPr>
  </w:style>
  <w:style w:type="paragraph" w:styleId="Bibliografia">
    <w:name w:val="Bibliography"/>
    <w:basedOn w:val="CETReferencetext"/>
    <w:uiPriority w:val="37"/>
    <w:unhideWhenUsed/>
    <w:rsid w:val="00631B33"/>
    <w:pPr>
      <w:spacing w:line="240" w:lineRule="auto"/>
      <w:ind w:left="720" w:hanging="720"/>
    </w:pPr>
  </w:style>
  <w:style w:type="paragraph" w:styleId="Corpodetexto2">
    <w:name w:val="Body Text 2"/>
    <w:basedOn w:val="Normal"/>
    <w:link w:val="Corpodetexto2Char"/>
    <w:uiPriority w:val="99"/>
    <w:semiHidden/>
    <w:unhideWhenUsed/>
    <w:rsid w:val="0003148D"/>
    <w:pPr>
      <w:spacing w:after="120" w:line="480" w:lineRule="auto"/>
    </w:pPr>
  </w:style>
  <w:style w:type="character" w:customStyle="1" w:styleId="Corpodetexto2Char">
    <w:name w:val="Corpo de texto 2 Char"/>
    <w:basedOn w:val="Fontepargpadro"/>
    <w:link w:val="Corpodetexto2"/>
    <w:uiPriority w:val="99"/>
    <w:semiHidden/>
    <w:rsid w:val="0003148D"/>
  </w:style>
  <w:style w:type="paragraph" w:styleId="Corpodetexto3">
    <w:name w:val="Body Text 3"/>
    <w:basedOn w:val="Normal"/>
    <w:link w:val="Corpodetexto3Char"/>
    <w:uiPriority w:val="99"/>
    <w:semiHidden/>
    <w:unhideWhenUsed/>
    <w:rsid w:val="0003148D"/>
    <w:pPr>
      <w:spacing w:after="120"/>
    </w:pPr>
    <w:rPr>
      <w:sz w:val="16"/>
      <w:szCs w:val="16"/>
    </w:rPr>
  </w:style>
  <w:style w:type="character" w:customStyle="1" w:styleId="Corpodetexto3Char">
    <w:name w:val="Corpo de texto 3 Char"/>
    <w:basedOn w:val="Fontepargpadro"/>
    <w:link w:val="Corpodetexto3"/>
    <w:uiPriority w:val="99"/>
    <w:semiHidden/>
    <w:rsid w:val="0003148D"/>
    <w:rPr>
      <w:sz w:val="16"/>
      <w:szCs w:val="16"/>
    </w:rPr>
  </w:style>
  <w:style w:type="paragraph" w:styleId="Corpodetexto">
    <w:name w:val="Body Text"/>
    <w:basedOn w:val="Normal"/>
    <w:link w:val="CorpodetextoChar"/>
    <w:uiPriority w:val="99"/>
    <w:semiHidden/>
    <w:unhideWhenUsed/>
    <w:rsid w:val="0003148D"/>
    <w:pPr>
      <w:spacing w:after="120"/>
    </w:pPr>
  </w:style>
  <w:style w:type="character" w:customStyle="1" w:styleId="CorpodetextoChar">
    <w:name w:val="Corpo de texto Char"/>
    <w:basedOn w:val="Fontepargpadro"/>
    <w:link w:val="Corpodetexto"/>
    <w:uiPriority w:val="99"/>
    <w:semiHidden/>
    <w:rsid w:val="0003148D"/>
  </w:style>
  <w:style w:type="paragraph" w:styleId="Data">
    <w:name w:val="Date"/>
    <w:basedOn w:val="Normal"/>
    <w:next w:val="Normal"/>
    <w:link w:val="DataChar"/>
    <w:uiPriority w:val="99"/>
    <w:semiHidden/>
    <w:unhideWhenUsed/>
    <w:rsid w:val="0003148D"/>
  </w:style>
  <w:style w:type="character" w:customStyle="1" w:styleId="DataChar">
    <w:name w:val="Data Char"/>
    <w:basedOn w:val="Fontepargpadro"/>
    <w:link w:val="Data"/>
    <w:uiPriority w:val="99"/>
    <w:semiHidden/>
    <w:rsid w:val="0003148D"/>
  </w:style>
  <w:style w:type="paragraph" w:styleId="Legenda">
    <w:name w:val="caption"/>
    <w:basedOn w:val="Normal"/>
    <w:next w:val="Normal"/>
    <w:uiPriority w:val="35"/>
    <w:semiHidden/>
    <w:unhideWhenUsed/>
    <w:qFormat/>
    <w:rsid w:val="0003148D"/>
    <w:pPr>
      <w:spacing w:line="240" w:lineRule="auto"/>
    </w:pPr>
    <w:rPr>
      <w:b/>
      <w:bCs/>
      <w:color w:val="4F81BD" w:themeColor="accent1"/>
      <w:szCs w:val="18"/>
    </w:rPr>
  </w:style>
  <w:style w:type="paragraph" w:styleId="Lista">
    <w:name w:val="List"/>
    <w:basedOn w:val="Normal"/>
    <w:uiPriority w:val="99"/>
    <w:semiHidden/>
    <w:unhideWhenUsed/>
    <w:rsid w:val="0003148D"/>
    <w:pPr>
      <w:ind w:left="283" w:hanging="283"/>
      <w:contextualSpacing/>
    </w:pPr>
  </w:style>
  <w:style w:type="paragraph" w:styleId="Lista2">
    <w:name w:val="List 2"/>
    <w:basedOn w:val="Normal"/>
    <w:uiPriority w:val="99"/>
    <w:semiHidden/>
    <w:unhideWhenUsed/>
    <w:rsid w:val="0003148D"/>
    <w:pPr>
      <w:ind w:left="566" w:hanging="283"/>
      <w:contextualSpacing/>
    </w:pPr>
  </w:style>
  <w:style w:type="paragraph" w:styleId="Lista3">
    <w:name w:val="List 3"/>
    <w:basedOn w:val="Normal"/>
    <w:uiPriority w:val="99"/>
    <w:semiHidden/>
    <w:unhideWhenUsed/>
    <w:rsid w:val="0003148D"/>
    <w:pPr>
      <w:ind w:left="849" w:hanging="283"/>
      <w:contextualSpacing/>
    </w:pPr>
  </w:style>
  <w:style w:type="paragraph" w:styleId="Lista4">
    <w:name w:val="List 4"/>
    <w:basedOn w:val="Normal"/>
    <w:uiPriority w:val="99"/>
    <w:semiHidden/>
    <w:unhideWhenUsed/>
    <w:rsid w:val="0003148D"/>
    <w:pPr>
      <w:ind w:left="1132" w:hanging="283"/>
      <w:contextualSpacing/>
    </w:pPr>
  </w:style>
  <w:style w:type="paragraph" w:styleId="Lista5">
    <w:name w:val="List 5"/>
    <w:basedOn w:val="Normal"/>
    <w:uiPriority w:val="99"/>
    <w:semiHidden/>
    <w:unhideWhenUsed/>
    <w:rsid w:val="0003148D"/>
    <w:pPr>
      <w:ind w:left="1415" w:hanging="283"/>
      <w:contextualSpacing/>
    </w:pPr>
  </w:style>
  <w:style w:type="paragraph" w:styleId="Listadecontinuao">
    <w:name w:val="List Continue"/>
    <w:basedOn w:val="Normal"/>
    <w:uiPriority w:val="99"/>
    <w:semiHidden/>
    <w:unhideWhenUsed/>
    <w:rsid w:val="0003148D"/>
    <w:pPr>
      <w:spacing w:after="120"/>
      <w:ind w:left="283"/>
      <w:contextualSpacing/>
    </w:pPr>
  </w:style>
  <w:style w:type="paragraph" w:styleId="Listadecontinuao2">
    <w:name w:val="List Continue 2"/>
    <w:basedOn w:val="Normal"/>
    <w:uiPriority w:val="99"/>
    <w:semiHidden/>
    <w:unhideWhenUsed/>
    <w:rsid w:val="0003148D"/>
    <w:pPr>
      <w:spacing w:after="120"/>
      <w:ind w:left="566"/>
      <w:contextualSpacing/>
    </w:pPr>
  </w:style>
  <w:style w:type="paragraph" w:styleId="Listadecontinuao3">
    <w:name w:val="List Continue 3"/>
    <w:basedOn w:val="Normal"/>
    <w:uiPriority w:val="99"/>
    <w:semiHidden/>
    <w:unhideWhenUsed/>
    <w:rsid w:val="0003148D"/>
    <w:pPr>
      <w:spacing w:after="120"/>
      <w:ind w:left="849"/>
      <w:contextualSpacing/>
    </w:pPr>
  </w:style>
  <w:style w:type="paragraph" w:styleId="Listadecontinuao4">
    <w:name w:val="List Continue 4"/>
    <w:basedOn w:val="Normal"/>
    <w:uiPriority w:val="99"/>
    <w:semiHidden/>
    <w:unhideWhenUsed/>
    <w:rsid w:val="0003148D"/>
    <w:pPr>
      <w:spacing w:after="120"/>
      <w:ind w:left="1132"/>
      <w:contextualSpacing/>
    </w:pPr>
  </w:style>
  <w:style w:type="paragraph" w:styleId="Listadecontinuao5">
    <w:name w:val="List Continue 5"/>
    <w:basedOn w:val="Normal"/>
    <w:uiPriority w:val="99"/>
    <w:semiHidden/>
    <w:unhideWhenUsed/>
    <w:rsid w:val="0003148D"/>
    <w:pPr>
      <w:spacing w:after="120"/>
      <w:ind w:left="1415"/>
      <w:contextualSpacing/>
    </w:pPr>
  </w:style>
  <w:style w:type="paragraph" w:styleId="Assinatura">
    <w:name w:val="Signature"/>
    <w:basedOn w:val="Normal"/>
    <w:link w:val="AssinaturaChar"/>
    <w:uiPriority w:val="99"/>
    <w:semiHidden/>
    <w:unhideWhenUsed/>
    <w:rsid w:val="0003148D"/>
    <w:pPr>
      <w:spacing w:line="240" w:lineRule="auto"/>
      <w:ind w:left="4252"/>
    </w:pPr>
  </w:style>
  <w:style w:type="character" w:customStyle="1" w:styleId="AssinaturaChar">
    <w:name w:val="Assinatura Char"/>
    <w:basedOn w:val="Fontepargpadro"/>
    <w:link w:val="Assinatura"/>
    <w:uiPriority w:val="99"/>
    <w:semiHidden/>
    <w:rsid w:val="0003148D"/>
  </w:style>
  <w:style w:type="paragraph" w:styleId="AssinaturadeEmail">
    <w:name w:val="E-mail Signature"/>
    <w:basedOn w:val="Normal"/>
    <w:link w:val="AssinaturadeEmailChar"/>
    <w:uiPriority w:val="99"/>
    <w:semiHidden/>
    <w:unhideWhenUsed/>
    <w:rsid w:val="0003148D"/>
    <w:pPr>
      <w:spacing w:line="240" w:lineRule="auto"/>
    </w:pPr>
  </w:style>
  <w:style w:type="character" w:customStyle="1" w:styleId="AssinaturadeEmailChar">
    <w:name w:val="Assinatura de Email Char"/>
    <w:basedOn w:val="Fontepargpadro"/>
    <w:link w:val="AssinaturadeEmail"/>
    <w:uiPriority w:val="99"/>
    <w:semiHidden/>
    <w:rsid w:val="0003148D"/>
  </w:style>
  <w:style w:type="paragraph" w:styleId="Saudao">
    <w:name w:val="Salutation"/>
    <w:basedOn w:val="Normal"/>
    <w:next w:val="Normal"/>
    <w:link w:val="SaudaoChar"/>
    <w:uiPriority w:val="99"/>
    <w:semiHidden/>
    <w:unhideWhenUsed/>
    <w:rsid w:val="0003148D"/>
  </w:style>
  <w:style w:type="character" w:customStyle="1" w:styleId="SaudaoChar">
    <w:name w:val="Saudação Char"/>
    <w:basedOn w:val="Fontepargpadro"/>
    <w:link w:val="Saudao"/>
    <w:uiPriority w:val="99"/>
    <w:semiHidden/>
    <w:rsid w:val="0003148D"/>
  </w:style>
  <w:style w:type="paragraph" w:styleId="Encerramento">
    <w:name w:val="Closing"/>
    <w:basedOn w:val="Normal"/>
    <w:link w:val="EncerramentoChar"/>
    <w:uiPriority w:val="99"/>
    <w:semiHidden/>
    <w:unhideWhenUsed/>
    <w:rsid w:val="0003148D"/>
    <w:pPr>
      <w:spacing w:line="240" w:lineRule="auto"/>
      <w:ind w:left="4252"/>
    </w:pPr>
  </w:style>
  <w:style w:type="character" w:customStyle="1" w:styleId="EncerramentoChar">
    <w:name w:val="Encerramento Char"/>
    <w:basedOn w:val="Fontepargpadro"/>
    <w:link w:val="Encerramento"/>
    <w:uiPriority w:val="99"/>
    <w:semiHidden/>
    <w:rsid w:val="0003148D"/>
  </w:style>
  <w:style w:type="paragraph" w:styleId="Remissivo1">
    <w:name w:val="index 1"/>
    <w:basedOn w:val="Normal"/>
    <w:next w:val="Normal"/>
    <w:autoRedefine/>
    <w:uiPriority w:val="99"/>
    <w:semiHidden/>
    <w:unhideWhenUsed/>
    <w:rsid w:val="0003148D"/>
    <w:pPr>
      <w:spacing w:line="240" w:lineRule="auto"/>
      <w:ind w:left="220" w:hanging="220"/>
    </w:pPr>
  </w:style>
  <w:style w:type="paragraph" w:styleId="Remissivo2">
    <w:name w:val="index 2"/>
    <w:basedOn w:val="Normal"/>
    <w:next w:val="Normal"/>
    <w:autoRedefine/>
    <w:uiPriority w:val="99"/>
    <w:semiHidden/>
    <w:unhideWhenUsed/>
    <w:rsid w:val="0003148D"/>
    <w:pPr>
      <w:spacing w:line="240" w:lineRule="auto"/>
      <w:ind w:left="440" w:hanging="220"/>
    </w:pPr>
  </w:style>
  <w:style w:type="paragraph" w:styleId="Remissivo3">
    <w:name w:val="index 3"/>
    <w:basedOn w:val="Normal"/>
    <w:next w:val="Normal"/>
    <w:autoRedefine/>
    <w:uiPriority w:val="99"/>
    <w:semiHidden/>
    <w:unhideWhenUsed/>
    <w:rsid w:val="0003148D"/>
    <w:pPr>
      <w:spacing w:line="240" w:lineRule="auto"/>
      <w:ind w:left="660" w:hanging="220"/>
    </w:pPr>
  </w:style>
  <w:style w:type="paragraph" w:styleId="Remissivo4">
    <w:name w:val="index 4"/>
    <w:basedOn w:val="Normal"/>
    <w:next w:val="Normal"/>
    <w:autoRedefine/>
    <w:uiPriority w:val="99"/>
    <w:semiHidden/>
    <w:unhideWhenUsed/>
    <w:rsid w:val="0003148D"/>
    <w:pPr>
      <w:spacing w:line="240" w:lineRule="auto"/>
      <w:ind w:left="880" w:hanging="220"/>
    </w:pPr>
  </w:style>
  <w:style w:type="paragraph" w:styleId="Remissivo5">
    <w:name w:val="index 5"/>
    <w:basedOn w:val="Normal"/>
    <w:next w:val="Normal"/>
    <w:autoRedefine/>
    <w:uiPriority w:val="99"/>
    <w:semiHidden/>
    <w:unhideWhenUsed/>
    <w:rsid w:val="0003148D"/>
    <w:pPr>
      <w:spacing w:line="240" w:lineRule="auto"/>
      <w:ind w:left="1100" w:hanging="220"/>
    </w:pPr>
  </w:style>
  <w:style w:type="paragraph" w:styleId="Remissivo6">
    <w:name w:val="index 6"/>
    <w:basedOn w:val="Normal"/>
    <w:next w:val="Normal"/>
    <w:autoRedefine/>
    <w:uiPriority w:val="99"/>
    <w:semiHidden/>
    <w:unhideWhenUsed/>
    <w:rsid w:val="0003148D"/>
    <w:pPr>
      <w:spacing w:line="240" w:lineRule="auto"/>
      <w:ind w:left="1320" w:hanging="220"/>
    </w:pPr>
  </w:style>
  <w:style w:type="paragraph" w:styleId="Remissivo7">
    <w:name w:val="index 7"/>
    <w:basedOn w:val="Normal"/>
    <w:next w:val="Normal"/>
    <w:autoRedefine/>
    <w:uiPriority w:val="99"/>
    <w:semiHidden/>
    <w:unhideWhenUsed/>
    <w:rsid w:val="0003148D"/>
    <w:pPr>
      <w:spacing w:line="240" w:lineRule="auto"/>
      <w:ind w:left="1540" w:hanging="220"/>
    </w:pPr>
  </w:style>
  <w:style w:type="paragraph" w:styleId="Remissivo8">
    <w:name w:val="index 8"/>
    <w:basedOn w:val="Normal"/>
    <w:next w:val="Normal"/>
    <w:autoRedefine/>
    <w:uiPriority w:val="99"/>
    <w:semiHidden/>
    <w:unhideWhenUsed/>
    <w:rsid w:val="0003148D"/>
    <w:pPr>
      <w:spacing w:line="240" w:lineRule="auto"/>
      <w:ind w:left="1760" w:hanging="220"/>
    </w:pPr>
  </w:style>
  <w:style w:type="paragraph" w:styleId="Remissivo9">
    <w:name w:val="index 9"/>
    <w:basedOn w:val="Normal"/>
    <w:next w:val="Normal"/>
    <w:autoRedefine/>
    <w:uiPriority w:val="99"/>
    <w:semiHidden/>
    <w:unhideWhenUsed/>
    <w:rsid w:val="0003148D"/>
    <w:pPr>
      <w:spacing w:line="240" w:lineRule="auto"/>
      <w:ind w:left="1980" w:hanging="220"/>
    </w:pPr>
  </w:style>
  <w:style w:type="paragraph" w:styleId="ndicedeilustraes">
    <w:name w:val="table of figures"/>
    <w:basedOn w:val="Normal"/>
    <w:next w:val="Normal"/>
    <w:uiPriority w:val="99"/>
    <w:semiHidden/>
    <w:unhideWhenUsed/>
    <w:rsid w:val="0003148D"/>
  </w:style>
  <w:style w:type="paragraph" w:styleId="ndicedeautoridades">
    <w:name w:val="table of authorities"/>
    <w:basedOn w:val="Normal"/>
    <w:next w:val="Normal"/>
    <w:uiPriority w:val="99"/>
    <w:semiHidden/>
    <w:unhideWhenUsed/>
    <w:rsid w:val="0003148D"/>
    <w:pPr>
      <w:ind w:left="220" w:hanging="220"/>
    </w:pPr>
  </w:style>
  <w:style w:type="paragraph" w:styleId="Destinatrio">
    <w:name w:val="envelope address"/>
    <w:basedOn w:val="Normal"/>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dereoHTML">
    <w:name w:val="HTML Address"/>
    <w:basedOn w:val="Normal"/>
    <w:link w:val="EndereoHTMLChar"/>
    <w:uiPriority w:val="99"/>
    <w:semiHidden/>
    <w:unhideWhenUsed/>
    <w:rsid w:val="0003148D"/>
    <w:pPr>
      <w:spacing w:line="240" w:lineRule="auto"/>
    </w:pPr>
    <w:rPr>
      <w:i/>
      <w:iCs/>
    </w:rPr>
  </w:style>
  <w:style w:type="character" w:customStyle="1" w:styleId="EndereoHTMLChar">
    <w:name w:val="Endereço HTML Char"/>
    <w:basedOn w:val="Fontepargpadro"/>
    <w:link w:val="EndereoHTML"/>
    <w:uiPriority w:val="99"/>
    <w:semiHidden/>
    <w:rsid w:val="0003148D"/>
    <w:rPr>
      <w:i/>
      <w:iCs/>
    </w:rPr>
  </w:style>
  <w:style w:type="paragraph" w:styleId="Remetente">
    <w:name w:val="envelope return"/>
    <w:basedOn w:val="Normal"/>
    <w:uiPriority w:val="99"/>
    <w:semiHidden/>
    <w:unhideWhenUsed/>
    <w:rsid w:val="0003148D"/>
    <w:pPr>
      <w:spacing w:line="240" w:lineRule="auto"/>
    </w:pPr>
    <w:rPr>
      <w:rFonts w:asciiTheme="majorHAnsi" w:eastAsiaTheme="majorEastAsia" w:hAnsiTheme="majorHAnsi" w:cstheme="majorBidi"/>
    </w:rPr>
  </w:style>
  <w:style w:type="paragraph" w:styleId="Cabealhodamensagem">
    <w:name w:val="Message Header"/>
    <w:basedOn w:val="Normal"/>
    <w:link w:val="CabealhodamensagemChar"/>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CabealhodamensagemChar">
    <w:name w:val="Cabeçalho da mensagem Char"/>
    <w:basedOn w:val="Fontepargpadro"/>
    <w:link w:val="Cabealhodamensagem"/>
    <w:uiPriority w:val="99"/>
    <w:semiHidden/>
    <w:rsid w:val="0003148D"/>
    <w:rPr>
      <w:rFonts w:asciiTheme="majorHAnsi" w:eastAsiaTheme="majorEastAsia" w:hAnsiTheme="majorHAnsi" w:cstheme="majorBidi"/>
      <w:sz w:val="24"/>
      <w:szCs w:val="24"/>
      <w:shd w:val="pct20" w:color="auto" w:fill="auto"/>
    </w:rPr>
  </w:style>
  <w:style w:type="paragraph" w:styleId="Ttulodanota">
    <w:name w:val="Note Heading"/>
    <w:basedOn w:val="Normal"/>
    <w:next w:val="Normal"/>
    <w:link w:val="TtulodanotaChar"/>
    <w:uiPriority w:val="99"/>
    <w:semiHidden/>
    <w:unhideWhenUsed/>
    <w:rsid w:val="0003148D"/>
    <w:pPr>
      <w:spacing w:line="240" w:lineRule="auto"/>
    </w:pPr>
  </w:style>
  <w:style w:type="character" w:customStyle="1" w:styleId="TtulodanotaChar">
    <w:name w:val="Título da nota Char"/>
    <w:basedOn w:val="Fontepargpadro"/>
    <w:link w:val="Ttulodanota"/>
    <w:uiPriority w:val="99"/>
    <w:semiHidden/>
    <w:rsid w:val="0003148D"/>
  </w:style>
  <w:style w:type="paragraph" w:styleId="MapadoDocumento">
    <w:name w:val="Document Map"/>
    <w:basedOn w:val="Normal"/>
    <w:link w:val="MapadoDocumentoChar"/>
    <w:uiPriority w:val="99"/>
    <w:semiHidden/>
    <w:unhideWhenUsed/>
    <w:rsid w:val="0003148D"/>
    <w:pPr>
      <w:spacing w:line="240" w:lineRule="auto"/>
    </w:pPr>
    <w:rPr>
      <w:rFonts w:ascii="Tahoma" w:hAnsi="Tahoma" w:cs="Tahoma"/>
      <w:sz w:val="16"/>
      <w:szCs w:val="16"/>
    </w:rPr>
  </w:style>
  <w:style w:type="character" w:customStyle="1" w:styleId="MapadoDocumentoChar">
    <w:name w:val="Mapa do Documento Char"/>
    <w:basedOn w:val="Fontepargpadro"/>
    <w:link w:val="MapadoDocumento"/>
    <w:uiPriority w:val="99"/>
    <w:semiHidden/>
    <w:rsid w:val="0003148D"/>
    <w:rPr>
      <w:rFonts w:ascii="Tahoma" w:hAnsi="Tahoma" w:cs="Tahoma"/>
      <w:sz w:val="16"/>
      <w:szCs w:val="16"/>
    </w:rPr>
  </w:style>
  <w:style w:type="paragraph" w:styleId="NormalWeb">
    <w:name w:val="Normal (Web)"/>
    <w:basedOn w:val="Normal"/>
    <w:uiPriority w:val="99"/>
    <w:semiHidden/>
    <w:unhideWhenUsed/>
    <w:rsid w:val="0003148D"/>
    <w:rPr>
      <w:sz w:val="24"/>
      <w:szCs w:val="24"/>
    </w:rPr>
  </w:style>
  <w:style w:type="paragraph" w:styleId="Numerada">
    <w:name w:val="List Number"/>
    <w:basedOn w:val="Normal"/>
    <w:uiPriority w:val="99"/>
    <w:semiHidden/>
    <w:unhideWhenUsed/>
    <w:rsid w:val="0003148D"/>
    <w:pPr>
      <w:numPr>
        <w:numId w:val="2"/>
      </w:numPr>
      <w:contextualSpacing/>
    </w:pPr>
  </w:style>
  <w:style w:type="paragraph" w:styleId="Numerada2">
    <w:name w:val="List Number 2"/>
    <w:basedOn w:val="Normal"/>
    <w:uiPriority w:val="99"/>
    <w:semiHidden/>
    <w:unhideWhenUsed/>
    <w:rsid w:val="0003148D"/>
    <w:pPr>
      <w:numPr>
        <w:numId w:val="3"/>
      </w:numPr>
      <w:contextualSpacing/>
    </w:pPr>
  </w:style>
  <w:style w:type="paragraph" w:styleId="Numerada3">
    <w:name w:val="List Number 3"/>
    <w:basedOn w:val="Normal"/>
    <w:uiPriority w:val="99"/>
    <w:semiHidden/>
    <w:unhideWhenUsed/>
    <w:rsid w:val="0003148D"/>
    <w:pPr>
      <w:numPr>
        <w:numId w:val="4"/>
      </w:numPr>
      <w:contextualSpacing/>
    </w:pPr>
  </w:style>
  <w:style w:type="paragraph" w:styleId="Numerada4">
    <w:name w:val="List Number 4"/>
    <w:basedOn w:val="Normal"/>
    <w:uiPriority w:val="99"/>
    <w:semiHidden/>
    <w:unhideWhenUsed/>
    <w:rsid w:val="0003148D"/>
    <w:pPr>
      <w:numPr>
        <w:numId w:val="5"/>
      </w:numPr>
      <w:contextualSpacing/>
    </w:pPr>
  </w:style>
  <w:style w:type="paragraph" w:styleId="Numerada5">
    <w:name w:val="List Number 5"/>
    <w:basedOn w:val="Normal"/>
    <w:uiPriority w:val="99"/>
    <w:semiHidden/>
    <w:unhideWhenUsed/>
    <w:rsid w:val="0003148D"/>
    <w:pPr>
      <w:numPr>
        <w:numId w:val="6"/>
      </w:numPr>
      <w:contextualSpacing/>
    </w:pPr>
  </w:style>
  <w:style w:type="paragraph" w:styleId="Pr-formataoHTML">
    <w:name w:val="HTML Preformatted"/>
    <w:basedOn w:val="Normal"/>
    <w:link w:val="Pr-formataoHTMLChar"/>
    <w:uiPriority w:val="99"/>
    <w:semiHidden/>
    <w:unhideWhenUsed/>
    <w:rsid w:val="0003148D"/>
    <w:pPr>
      <w:spacing w:line="240" w:lineRule="auto"/>
    </w:pPr>
    <w:rPr>
      <w:rFonts w:ascii="Consolas" w:hAnsi="Consolas" w:cs="Consolas"/>
    </w:rPr>
  </w:style>
  <w:style w:type="character" w:customStyle="1" w:styleId="Pr-formataoHTMLChar">
    <w:name w:val="Pré-formatação HTML Char"/>
    <w:basedOn w:val="Fontepargpadro"/>
    <w:link w:val="Pr-formataoHTML"/>
    <w:uiPriority w:val="99"/>
    <w:semiHidden/>
    <w:rsid w:val="0003148D"/>
    <w:rPr>
      <w:rFonts w:ascii="Consolas" w:hAnsi="Consolas" w:cs="Consolas"/>
      <w:sz w:val="20"/>
      <w:szCs w:val="20"/>
    </w:rPr>
  </w:style>
  <w:style w:type="paragraph" w:styleId="Primeirorecuodecorpodetexto">
    <w:name w:val="Body Text First Indent"/>
    <w:basedOn w:val="Corpodetexto"/>
    <w:link w:val="PrimeirorecuodecorpodetextoChar"/>
    <w:uiPriority w:val="99"/>
    <w:semiHidden/>
    <w:unhideWhenUsed/>
    <w:rsid w:val="0003148D"/>
    <w:pPr>
      <w:spacing w:after="200"/>
      <w:ind w:firstLine="360"/>
    </w:pPr>
  </w:style>
  <w:style w:type="character" w:customStyle="1" w:styleId="PrimeirorecuodecorpodetextoChar">
    <w:name w:val="Primeiro recuo de corpo de texto Char"/>
    <w:basedOn w:val="CorpodetextoChar"/>
    <w:link w:val="Primeirorecuodecorpodetexto"/>
    <w:uiPriority w:val="99"/>
    <w:semiHidden/>
    <w:rsid w:val="0003148D"/>
  </w:style>
  <w:style w:type="paragraph" w:styleId="Recuodecorpodetexto">
    <w:name w:val="Body Text Indent"/>
    <w:basedOn w:val="Normal"/>
    <w:link w:val="RecuodecorpodetextoChar"/>
    <w:uiPriority w:val="99"/>
    <w:semiHidden/>
    <w:unhideWhenUsed/>
    <w:rsid w:val="0003148D"/>
    <w:pPr>
      <w:spacing w:after="120"/>
      <w:ind w:left="283"/>
    </w:pPr>
  </w:style>
  <w:style w:type="character" w:customStyle="1" w:styleId="RecuodecorpodetextoChar">
    <w:name w:val="Recuo de corpo de texto Char"/>
    <w:basedOn w:val="Fontepargpadro"/>
    <w:link w:val="Recuodecorpodetexto"/>
    <w:uiPriority w:val="99"/>
    <w:semiHidden/>
    <w:rsid w:val="0003148D"/>
  </w:style>
  <w:style w:type="paragraph" w:styleId="Primeirorecuodecorpodetexto2">
    <w:name w:val="Body Text First Indent 2"/>
    <w:basedOn w:val="Recuodecorpodetexto"/>
    <w:link w:val="Primeirorecuodecorpodetexto2Char"/>
    <w:uiPriority w:val="99"/>
    <w:semiHidden/>
    <w:unhideWhenUsed/>
    <w:rsid w:val="0003148D"/>
    <w:pPr>
      <w:spacing w:after="200"/>
      <w:ind w:left="360" w:firstLine="360"/>
    </w:pPr>
  </w:style>
  <w:style w:type="character" w:customStyle="1" w:styleId="Primeirorecuodecorpodetexto2Char">
    <w:name w:val="Primeiro recuo de corpo de texto 2 Char"/>
    <w:basedOn w:val="RecuodecorpodetextoChar"/>
    <w:link w:val="Primeirorecuodecorpodetexto2"/>
    <w:uiPriority w:val="99"/>
    <w:semiHidden/>
    <w:rsid w:val="0003148D"/>
  </w:style>
  <w:style w:type="paragraph" w:styleId="Commarcadores">
    <w:name w:val="List Bullet"/>
    <w:basedOn w:val="Normal"/>
    <w:uiPriority w:val="99"/>
    <w:semiHidden/>
    <w:unhideWhenUsed/>
    <w:rsid w:val="0003148D"/>
    <w:pPr>
      <w:numPr>
        <w:numId w:val="7"/>
      </w:numPr>
      <w:contextualSpacing/>
    </w:pPr>
  </w:style>
  <w:style w:type="paragraph" w:styleId="Commarcadores2">
    <w:name w:val="List Bullet 2"/>
    <w:basedOn w:val="Normal"/>
    <w:uiPriority w:val="99"/>
    <w:semiHidden/>
    <w:unhideWhenUsed/>
    <w:rsid w:val="0003148D"/>
    <w:pPr>
      <w:numPr>
        <w:numId w:val="8"/>
      </w:numPr>
      <w:contextualSpacing/>
    </w:pPr>
  </w:style>
  <w:style w:type="paragraph" w:styleId="Commarcadores3">
    <w:name w:val="List Bullet 3"/>
    <w:basedOn w:val="Normal"/>
    <w:uiPriority w:val="99"/>
    <w:semiHidden/>
    <w:unhideWhenUsed/>
    <w:rsid w:val="0003148D"/>
    <w:pPr>
      <w:numPr>
        <w:numId w:val="9"/>
      </w:numPr>
      <w:contextualSpacing/>
    </w:pPr>
  </w:style>
  <w:style w:type="paragraph" w:styleId="Commarcadores4">
    <w:name w:val="List Bullet 4"/>
    <w:basedOn w:val="Normal"/>
    <w:uiPriority w:val="99"/>
    <w:semiHidden/>
    <w:unhideWhenUsed/>
    <w:rsid w:val="0003148D"/>
    <w:pPr>
      <w:numPr>
        <w:numId w:val="10"/>
      </w:numPr>
      <w:contextualSpacing/>
    </w:pPr>
  </w:style>
  <w:style w:type="paragraph" w:styleId="Commarcadores5">
    <w:name w:val="List Bullet 5"/>
    <w:basedOn w:val="Normal"/>
    <w:uiPriority w:val="99"/>
    <w:semiHidden/>
    <w:unhideWhenUsed/>
    <w:rsid w:val="0003148D"/>
    <w:pPr>
      <w:numPr>
        <w:numId w:val="11"/>
      </w:numPr>
      <w:contextualSpacing/>
    </w:pPr>
  </w:style>
  <w:style w:type="paragraph" w:styleId="Recuodecorpodetexto2">
    <w:name w:val="Body Text Indent 2"/>
    <w:basedOn w:val="Normal"/>
    <w:link w:val="Recuodecorpodetexto2Char"/>
    <w:uiPriority w:val="99"/>
    <w:semiHidden/>
    <w:unhideWhenUsed/>
    <w:rsid w:val="0003148D"/>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03148D"/>
  </w:style>
  <w:style w:type="paragraph" w:styleId="Recuodecorpodetexto3">
    <w:name w:val="Body Text Indent 3"/>
    <w:basedOn w:val="Normal"/>
    <w:link w:val="Recuodecorpodetexto3Char"/>
    <w:uiPriority w:val="99"/>
    <w:semiHidden/>
    <w:unhideWhenUsed/>
    <w:rsid w:val="0003148D"/>
    <w:pPr>
      <w:spacing w:after="120"/>
      <w:ind w:left="283"/>
    </w:pPr>
    <w:rPr>
      <w:sz w:val="16"/>
      <w:szCs w:val="16"/>
    </w:rPr>
  </w:style>
  <w:style w:type="character" w:customStyle="1" w:styleId="Recuodecorpodetexto3Char">
    <w:name w:val="Recuo de corpo de texto 3 Char"/>
    <w:basedOn w:val="Fontepargpadro"/>
    <w:link w:val="Recuodecorpodetexto3"/>
    <w:uiPriority w:val="99"/>
    <w:semiHidden/>
    <w:rsid w:val="0003148D"/>
    <w:rPr>
      <w:sz w:val="16"/>
      <w:szCs w:val="16"/>
    </w:rPr>
  </w:style>
  <w:style w:type="paragraph" w:styleId="Recuonormal">
    <w:name w:val="Normal Indent"/>
    <w:basedOn w:val="Normal"/>
    <w:uiPriority w:val="99"/>
    <w:semiHidden/>
    <w:unhideWhenUsed/>
    <w:rsid w:val="0003148D"/>
    <w:pPr>
      <w:ind w:left="720"/>
    </w:pPr>
  </w:style>
  <w:style w:type="paragraph" w:styleId="Textodecomentrio">
    <w:name w:val="annotation text"/>
    <w:basedOn w:val="Normal"/>
    <w:link w:val="TextodecomentrioChar"/>
    <w:uiPriority w:val="99"/>
    <w:unhideWhenUsed/>
    <w:rsid w:val="0003148D"/>
    <w:pPr>
      <w:spacing w:line="240" w:lineRule="auto"/>
    </w:pPr>
  </w:style>
  <w:style w:type="character" w:customStyle="1" w:styleId="TextodecomentrioChar">
    <w:name w:val="Texto de comentário Char"/>
    <w:basedOn w:val="Fontepargpadro"/>
    <w:link w:val="Textodecomentrio"/>
    <w:uiPriority w:val="99"/>
    <w:rsid w:val="0003148D"/>
    <w:rPr>
      <w:sz w:val="20"/>
      <w:szCs w:val="20"/>
    </w:rPr>
  </w:style>
  <w:style w:type="paragraph" w:styleId="Assuntodocomentrio">
    <w:name w:val="annotation subject"/>
    <w:basedOn w:val="Textodecomentrio"/>
    <w:next w:val="Textodecomentrio"/>
    <w:link w:val="AssuntodocomentrioChar"/>
    <w:uiPriority w:val="99"/>
    <w:semiHidden/>
    <w:unhideWhenUsed/>
    <w:rsid w:val="0003148D"/>
    <w:rPr>
      <w:b/>
      <w:bCs/>
    </w:rPr>
  </w:style>
  <w:style w:type="character" w:customStyle="1" w:styleId="AssuntodocomentrioChar">
    <w:name w:val="Assunto do comentário Char"/>
    <w:basedOn w:val="TextodecomentrioChar"/>
    <w:link w:val="Assuntodocomentrio"/>
    <w:uiPriority w:val="99"/>
    <w:semiHidden/>
    <w:rsid w:val="0003148D"/>
    <w:rPr>
      <w:b/>
      <w:bCs/>
      <w:sz w:val="20"/>
      <w:szCs w:val="20"/>
    </w:rPr>
  </w:style>
  <w:style w:type="paragraph" w:styleId="Sumrio1">
    <w:name w:val="toc 1"/>
    <w:basedOn w:val="Normal"/>
    <w:next w:val="Normal"/>
    <w:autoRedefine/>
    <w:uiPriority w:val="39"/>
    <w:semiHidden/>
    <w:unhideWhenUsed/>
    <w:rsid w:val="0003148D"/>
    <w:pPr>
      <w:spacing w:after="100"/>
    </w:pPr>
  </w:style>
  <w:style w:type="paragraph" w:styleId="Sumrio2">
    <w:name w:val="toc 2"/>
    <w:basedOn w:val="Normal"/>
    <w:next w:val="Normal"/>
    <w:autoRedefine/>
    <w:uiPriority w:val="39"/>
    <w:semiHidden/>
    <w:unhideWhenUsed/>
    <w:rsid w:val="0003148D"/>
    <w:pPr>
      <w:spacing w:after="100"/>
      <w:ind w:left="220"/>
    </w:pPr>
  </w:style>
  <w:style w:type="paragraph" w:styleId="Sumrio3">
    <w:name w:val="toc 3"/>
    <w:basedOn w:val="Normal"/>
    <w:next w:val="Normal"/>
    <w:autoRedefine/>
    <w:uiPriority w:val="39"/>
    <w:semiHidden/>
    <w:unhideWhenUsed/>
    <w:rsid w:val="0003148D"/>
    <w:pPr>
      <w:spacing w:after="100"/>
      <w:ind w:left="440"/>
    </w:pPr>
  </w:style>
  <w:style w:type="paragraph" w:styleId="Sumrio4">
    <w:name w:val="toc 4"/>
    <w:basedOn w:val="Normal"/>
    <w:next w:val="Normal"/>
    <w:autoRedefine/>
    <w:uiPriority w:val="39"/>
    <w:semiHidden/>
    <w:unhideWhenUsed/>
    <w:rsid w:val="0003148D"/>
    <w:pPr>
      <w:spacing w:after="100"/>
      <w:ind w:left="660"/>
    </w:pPr>
  </w:style>
  <w:style w:type="paragraph" w:styleId="Sumrio5">
    <w:name w:val="toc 5"/>
    <w:basedOn w:val="Normal"/>
    <w:next w:val="Normal"/>
    <w:autoRedefine/>
    <w:uiPriority w:val="39"/>
    <w:semiHidden/>
    <w:unhideWhenUsed/>
    <w:rsid w:val="0003148D"/>
    <w:pPr>
      <w:spacing w:after="100"/>
      <w:ind w:left="880"/>
    </w:pPr>
  </w:style>
  <w:style w:type="paragraph" w:styleId="Sumrio6">
    <w:name w:val="toc 6"/>
    <w:basedOn w:val="Normal"/>
    <w:next w:val="Normal"/>
    <w:autoRedefine/>
    <w:uiPriority w:val="39"/>
    <w:semiHidden/>
    <w:unhideWhenUsed/>
    <w:rsid w:val="0003148D"/>
    <w:pPr>
      <w:spacing w:after="100"/>
      <w:ind w:left="1100"/>
    </w:pPr>
  </w:style>
  <w:style w:type="paragraph" w:styleId="Sumrio7">
    <w:name w:val="toc 7"/>
    <w:basedOn w:val="Normal"/>
    <w:next w:val="Normal"/>
    <w:autoRedefine/>
    <w:uiPriority w:val="39"/>
    <w:semiHidden/>
    <w:unhideWhenUsed/>
    <w:rsid w:val="0003148D"/>
    <w:pPr>
      <w:spacing w:after="100"/>
      <w:ind w:left="1320"/>
    </w:pPr>
  </w:style>
  <w:style w:type="paragraph" w:styleId="Sumrio8">
    <w:name w:val="toc 8"/>
    <w:basedOn w:val="Normal"/>
    <w:next w:val="Normal"/>
    <w:autoRedefine/>
    <w:uiPriority w:val="39"/>
    <w:semiHidden/>
    <w:unhideWhenUsed/>
    <w:rsid w:val="0003148D"/>
    <w:pPr>
      <w:spacing w:after="100"/>
      <w:ind w:left="1540"/>
    </w:pPr>
  </w:style>
  <w:style w:type="paragraph" w:styleId="Sumrio9">
    <w:name w:val="toc 9"/>
    <w:basedOn w:val="Normal"/>
    <w:next w:val="Normal"/>
    <w:autoRedefine/>
    <w:uiPriority w:val="39"/>
    <w:semiHidden/>
    <w:unhideWhenUsed/>
    <w:rsid w:val="0003148D"/>
    <w:pPr>
      <w:spacing w:after="100"/>
      <w:ind w:left="1760"/>
    </w:pPr>
  </w:style>
  <w:style w:type="paragraph" w:styleId="Textoembloco">
    <w:name w:val="Block Text"/>
    <w:basedOn w:val="Normal"/>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xtodemacro">
    <w:name w:val="macro"/>
    <w:link w:val="TextodemacroChar"/>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xtodemacroChar">
    <w:name w:val="Texto de macro Char"/>
    <w:basedOn w:val="Fontepargpadro"/>
    <w:link w:val="Textodemacro"/>
    <w:uiPriority w:val="99"/>
    <w:semiHidden/>
    <w:rsid w:val="0003148D"/>
    <w:rPr>
      <w:rFonts w:ascii="Consolas" w:hAnsi="Consolas" w:cs="Consolas"/>
      <w:sz w:val="20"/>
      <w:szCs w:val="20"/>
    </w:rPr>
  </w:style>
  <w:style w:type="paragraph" w:styleId="TextosemFormatao">
    <w:name w:val="Plain Text"/>
    <w:basedOn w:val="Normal"/>
    <w:link w:val="TextosemFormataoChar"/>
    <w:uiPriority w:val="99"/>
    <w:semiHidden/>
    <w:unhideWhenUsed/>
    <w:rsid w:val="0003148D"/>
    <w:pPr>
      <w:spacing w:line="240" w:lineRule="auto"/>
    </w:pPr>
    <w:rPr>
      <w:rFonts w:ascii="Consolas" w:hAnsi="Consolas" w:cs="Consolas"/>
      <w:sz w:val="21"/>
      <w:szCs w:val="21"/>
    </w:rPr>
  </w:style>
  <w:style w:type="character" w:customStyle="1" w:styleId="TextosemFormataoChar">
    <w:name w:val="Texto sem Formatação Char"/>
    <w:basedOn w:val="Fontepargpadro"/>
    <w:link w:val="TextosemFormatao"/>
    <w:uiPriority w:val="99"/>
    <w:semiHidden/>
    <w:rsid w:val="0003148D"/>
    <w:rPr>
      <w:rFonts w:ascii="Consolas" w:hAnsi="Consolas" w:cs="Consolas"/>
      <w:sz w:val="21"/>
      <w:szCs w:val="21"/>
    </w:rPr>
  </w:style>
  <w:style w:type="paragraph" w:styleId="Textodenotaderodap">
    <w:name w:val="footnote text"/>
    <w:basedOn w:val="Normal"/>
    <w:link w:val="TextodenotaderodapChar"/>
    <w:uiPriority w:val="99"/>
    <w:semiHidden/>
    <w:unhideWhenUsed/>
    <w:rsid w:val="0003148D"/>
    <w:pPr>
      <w:spacing w:line="240" w:lineRule="auto"/>
    </w:pPr>
  </w:style>
  <w:style w:type="character" w:customStyle="1" w:styleId="TextodenotaderodapChar">
    <w:name w:val="Texto de nota de rodapé Char"/>
    <w:basedOn w:val="Fontepargpadro"/>
    <w:link w:val="Textodenotaderodap"/>
    <w:uiPriority w:val="99"/>
    <w:semiHidden/>
    <w:rsid w:val="0003148D"/>
    <w:rPr>
      <w:sz w:val="20"/>
      <w:szCs w:val="20"/>
    </w:rPr>
  </w:style>
  <w:style w:type="paragraph" w:styleId="Textodenotadefim">
    <w:name w:val="endnote text"/>
    <w:basedOn w:val="Normal"/>
    <w:link w:val="TextodenotadefimChar"/>
    <w:uiPriority w:val="99"/>
    <w:semiHidden/>
    <w:unhideWhenUsed/>
    <w:rsid w:val="0003148D"/>
    <w:pPr>
      <w:spacing w:line="240" w:lineRule="auto"/>
    </w:pPr>
  </w:style>
  <w:style w:type="character" w:customStyle="1" w:styleId="TextodenotadefimChar">
    <w:name w:val="Texto de nota de fim Char"/>
    <w:basedOn w:val="Fontepargpadro"/>
    <w:link w:val="Textodenotadefim"/>
    <w:uiPriority w:val="99"/>
    <w:semiHidden/>
    <w:rsid w:val="0003148D"/>
    <w:rPr>
      <w:sz w:val="20"/>
      <w:szCs w:val="20"/>
    </w:rPr>
  </w:style>
  <w:style w:type="character" w:customStyle="1" w:styleId="Ttulo1Char">
    <w:name w:val="Título 1 Char"/>
    <w:basedOn w:val="Fontepargpadro"/>
    <w:link w:val="Ttulo1"/>
    <w:uiPriority w:val="9"/>
    <w:rsid w:val="004F5E36"/>
    <w:rPr>
      <w:rFonts w:ascii="Arial" w:eastAsia="Times New Roman" w:hAnsi="Arial" w:cs="Times New Roman"/>
      <w:b/>
      <w:sz w:val="20"/>
      <w:szCs w:val="20"/>
      <w:lang w:val="en-GB"/>
    </w:rPr>
  </w:style>
  <w:style w:type="character" w:customStyle="1" w:styleId="Ttulo2Char">
    <w:name w:val="Título 2 Char"/>
    <w:basedOn w:val="Fontepargpadro"/>
    <w:link w:val="Ttu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tulo3Char">
    <w:name w:val="Título 3 Char"/>
    <w:basedOn w:val="Fontepargpadro"/>
    <w:link w:val="Ttulo3"/>
    <w:uiPriority w:val="9"/>
    <w:semiHidden/>
    <w:rsid w:val="0003148D"/>
    <w:rPr>
      <w:rFonts w:asciiTheme="majorHAnsi" w:eastAsiaTheme="majorEastAsia" w:hAnsiTheme="majorHAnsi" w:cstheme="majorBidi"/>
      <w:b/>
      <w:bCs/>
      <w:color w:val="4F81BD" w:themeColor="accent1"/>
    </w:rPr>
  </w:style>
  <w:style w:type="character" w:customStyle="1" w:styleId="Ttulo4Char">
    <w:name w:val="Título 4 Char"/>
    <w:basedOn w:val="Fontepargpadro"/>
    <w:link w:val="Ttulo4"/>
    <w:uiPriority w:val="9"/>
    <w:semiHidden/>
    <w:rsid w:val="0003148D"/>
    <w:rPr>
      <w:rFonts w:asciiTheme="majorHAnsi" w:eastAsiaTheme="majorEastAsia" w:hAnsiTheme="majorHAnsi" w:cstheme="majorBidi"/>
      <w:b/>
      <w:bCs/>
      <w:i/>
      <w:iCs/>
      <w:color w:val="4F81BD" w:themeColor="accent1"/>
    </w:rPr>
  </w:style>
  <w:style w:type="character" w:customStyle="1" w:styleId="Ttulo5Char">
    <w:name w:val="Título 5 Char"/>
    <w:basedOn w:val="Fontepargpadro"/>
    <w:link w:val="Ttulo5"/>
    <w:uiPriority w:val="9"/>
    <w:semiHidden/>
    <w:rsid w:val="0003148D"/>
    <w:rPr>
      <w:rFonts w:asciiTheme="majorHAnsi" w:eastAsiaTheme="majorEastAsia" w:hAnsiTheme="majorHAnsi" w:cstheme="majorBidi"/>
      <w:color w:val="243F60" w:themeColor="accent1" w:themeShade="7F"/>
    </w:rPr>
  </w:style>
  <w:style w:type="character" w:customStyle="1" w:styleId="Ttulo6Char">
    <w:name w:val="Título 6 Char"/>
    <w:basedOn w:val="Fontepargpadro"/>
    <w:link w:val="Ttulo6"/>
    <w:uiPriority w:val="9"/>
    <w:semiHidden/>
    <w:rsid w:val="0003148D"/>
    <w:rPr>
      <w:rFonts w:asciiTheme="majorHAnsi" w:eastAsiaTheme="majorEastAsia" w:hAnsiTheme="majorHAnsi" w:cstheme="majorBidi"/>
      <w:i/>
      <w:iCs/>
      <w:color w:val="243F60" w:themeColor="accent1" w:themeShade="7F"/>
    </w:rPr>
  </w:style>
  <w:style w:type="character" w:customStyle="1" w:styleId="Ttulo7Char">
    <w:name w:val="Título 7 Char"/>
    <w:basedOn w:val="Fontepargpadro"/>
    <w:link w:val="Ttulo7"/>
    <w:uiPriority w:val="9"/>
    <w:semiHidden/>
    <w:rsid w:val="0003148D"/>
    <w:rPr>
      <w:rFonts w:asciiTheme="majorHAnsi" w:eastAsiaTheme="majorEastAsia" w:hAnsiTheme="majorHAnsi" w:cstheme="majorBidi"/>
      <w:i/>
      <w:iCs/>
      <w:color w:val="404040" w:themeColor="text1" w:themeTint="BF"/>
    </w:rPr>
  </w:style>
  <w:style w:type="character" w:customStyle="1" w:styleId="Ttulo8Char">
    <w:name w:val="Título 8 Char"/>
    <w:basedOn w:val="Fontepargpadro"/>
    <w:link w:val="Ttu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tulo9Char">
    <w:name w:val="Título 9 Char"/>
    <w:basedOn w:val="Fontepargpadro"/>
    <w:link w:val="Ttulo9"/>
    <w:uiPriority w:val="9"/>
    <w:semiHidden/>
    <w:rsid w:val="0003148D"/>
    <w:rPr>
      <w:rFonts w:asciiTheme="majorHAnsi" w:eastAsiaTheme="majorEastAsia" w:hAnsiTheme="majorHAnsi" w:cstheme="majorBidi"/>
      <w:i/>
      <w:iCs/>
      <w:color w:val="404040" w:themeColor="text1" w:themeTint="BF"/>
      <w:sz w:val="20"/>
      <w:szCs w:val="20"/>
    </w:rPr>
  </w:style>
  <w:style w:type="paragraph" w:styleId="Ttulodendiceremissivo">
    <w:name w:val="index heading"/>
    <w:basedOn w:val="Normal"/>
    <w:next w:val="Remissivo1"/>
    <w:uiPriority w:val="99"/>
    <w:semiHidden/>
    <w:unhideWhenUsed/>
    <w:rsid w:val="0003148D"/>
    <w:rPr>
      <w:rFonts w:asciiTheme="majorHAnsi" w:eastAsiaTheme="majorEastAsia" w:hAnsiTheme="majorHAnsi" w:cstheme="majorBidi"/>
      <w:b/>
      <w:bCs/>
    </w:rPr>
  </w:style>
  <w:style w:type="paragraph" w:styleId="Ttulodendicedeautoridades">
    <w:name w:val="toa heading"/>
    <w:basedOn w:val="Normal"/>
    <w:next w:val="Normal"/>
    <w:uiPriority w:val="99"/>
    <w:semiHidden/>
    <w:unhideWhenUsed/>
    <w:rsid w:val="0003148D"/>
    <w:pPr>
      <w:spacing w:before="120"/>
    </w:pPr>
    <w:rPr>
      <w:rFonts w:asciiTheme="majorHAnsi" w:eastAsiaTheme="majorEastAsia" w:hAnsiTheme="majorHAnsi" w:cstheme="majorBidi"/>
      <w:b/>
      <w:bCs/>
      <w:sz w:val="24"/>
      <w:szCs w:val="24"/>
    </w:rPr>
  </w:style>
  <w:style w:type="paragraph" w:styleId="CabealhodoSumrio">
    <w:name w:val="TOC Heading"/>
    <w:basedOn w:val="Ttulo1"/>
    <w:next w:val="Normal"/>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Fontepargpadro"/>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Cabealho">
    <w:name w:val="header"/>
    <w:basedOn w:val="Normal"/>
    <w:link w:val="CabealhoChar"/>
    <w:uiPriority w:val="99"/>
    <w:unhideWhenUsed/>
    <w:rsid w:val="005278B7"/>
    <w:pPr>
      <w:tabs>
        <w:tab w:val="clear" w:pos="7100"/>
        <w:tab w:val="center" w:pos="4819"/>
        <w:tab w:val="right" w:pos="9638"/>
      </w:tabs>
      <w:spacing w:line="240" w:lineRule="auto"/>
    </w:pPr>
  </w:style>
  <w:style w:type="character" w:customStyle="1" w:styleId="CabealhoChar">
    <w:name w:val="Cabeçalho Char"/>
    <w:basedOn w:val="Fontepargpadro"/>
    <w:link w:val="Cabealho"/>
    <w:uiPriority w:val="99"/>
    <w:rsid w:val="005278B7"/>
    <w:rPr>
      <w:rFonts w:ascii="Arial" w:eastAsia="Times New Roman" w:hAnsi="Arial" w:cs="Times New Roman"/>
      <w:sz w:val="18"/>
      <w:szCs w:val="20"/>
      <w:lang w:val="en-GB"/>
    </w:rPr>
  </w:style>
  <w:style w:type="paragraph" w:styleId="Rodap">
    <w:name w:val="footer"/>
    <w:basedOn w:val="Normal"/>
    <w:link w:val="RodapChar"/>
    <w:uiPriority w:val="99"/>
    <w:unhideWhenUsed/>
    <w:rsid w:val="005278B7"/>
    <w:pPr>
      <w:tabs>
        <w:tab w:val="clear" w:pos="7100"/>
        <w:tab w:val="center" w:pos="4819"/>
        <w:tab w:val="right" w:pos="9638"/>
      </w:tabs>
      <w:spacing w:line="240" w:lineRule="auto"/>
    </w:pPr>
  </w:style>
  <w:style w:type="character" w:customStyle="1" w:styleId="RodapChar">
    <w:name w:val="Rodapé Char"/>
    <w:basedOn w:val="Fontepargpadro"/>
    <w:link w:val="Rodap"/>
    <w:uiPriority w:val="99"/>
    <w:rsid w:val="005278B7"/>
    <w:rPr>
      <w:rFonts w:ascii="Arial" w:eastAsia="Times New Roman" w:hAnsi="Arial" w:cs="Times New Roman"/>
      <w:sz w:val="18"/>
      <w:szCs w:val="20"/>
      <w:lang w:val="en-GB"/>
    </w:rPr>
  </w:style>
  <w:style w:type="table" w:styleId="Tabelacomgrade">
    <w:name w:val="Table Grid"/>
    <w:basedOn w:val="Tabelanormal"/>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iPriority w:val="99"/>
    <w:unhideWhenUsed/>
    <w:rsid w:val="00904C62"/>
    <w:rPr>
      <w:color w:val="0000FF" w:themeColor="hyperlink"/>
      <w:u w:val="single"/>
    </w:rPr>
  </w:style>
  <w:style w:type="character" w:customStyle="1" w:styleId="eudoraheader">
    <w:name w:val="eudoraheader"/>
    <w:basedOn w:val="Fontepargpadro"/>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252C1A"/>
    <w:pPr>
      <w:numPr>
        <w:ilvl w:val="0"/>
        <w:numId w:val="0"/>
      </w:numPr>
      <w:spacing w:after="0"/>
    </w:pPr>
  </w:style>
  <w:style w:type="character" w:customStyle="1" w:styleId="CETHeadingxxChar">
    <w:name w:val="CET Headingxx Char"/>
    <w:basedOn w:val="CETheadingxCarattere"/>
    <w:link w:val="CETHeadingxx"/>
    <w:rsid w:val="00252C1A"/>
    <w:rPr>
      <w:rFonts w:ascii="Arial" w:eastAsia="Times New Roman" w:hAnsi="Arial" w:cs="Times New Roman"/>
      <w:b/>
      <w:sz w:val="18"/>
      <w:szCs w:val="20"/>
      <w:lang w:val="en-US"/>
    </w:rPr>
  </w:style>
  <w:style w:type="character" w:styleId="MenoPendente">
    <w:name w:val="Unresolved Mention"/>
    <w:basedOn w:val="Fontepargpadro"/>
    <w:uiPriority w:val="99"/>
    <w:semiHidden/>
    <w:unhideWhenUsed/>
    <w:rsid w:val="00C770B5"/>
    <w:rPr>
      <w:color w:val="605E5C"/>
      <w:shd w:val="clear" w:color="auto" w:fill="E1DFDD"/>
    </w:rPr>
  </w:style>
  <w:style w:type="character" w:styleId="TextodoEspaoReservado">
    <w:name w:val="Placeholder Text"/>
    <w:basedOn w:val="Fontepargpadro"/>
    <w:uiPriority w:val="99"/>
    <w:semiHidden/>
    <w:rsid w:val="00A810A1"/>
    <w:rPr>
      <w:color w:val="808080"/>
    </w:rPr>
  </w:style>
  <w:style w:type="character" w:customStyle="1" w:styleId="fontstyle01">
    <w:name w:val="fontstyle01"/>
    <w:basedOn w:val="Fontepargpadro"/>
    <w:rsid w:val="005A6B46"/>
    <w:rPr>
      <w:rFonts w:ascii="Times" w:hAnsi="Times"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974578">
      <w:bodyDiv w:val="1"/>
      <w:marLeft w:val="0"/>
      <w:marRight w:val="0"/>
      <w:marTop w:val="0"/>
      <w:marBottom w:val="0"/>
      <w:divBdr>
        <w:top w:val="none" w:sz="0" w:space="0" w:color="auto"/>
        <w:left w:val="none" w:sz="0" w:space="0" w:color="auto"/>
        <w:bottom w:val="none" w:sz="0" w:space="0" w:color="auto"/>
        <w:right w:val="none" w:sz="0" w:space="0" w:color="auto"/>
      </w:divBdr>
    </w:div>
    <w:div w:id="215623498">
      <w:bodyDiv w:val="1"/>
      <w:marLeft w:val="0"/>
      <w:marRight w:val="0"/>
      <w:marTop w:val="0"/>
      <w:marBottom w:val="0"/>
      <w:divBdr>
        <w:top w:val="none" w:sz="0" w:space="0" w:color="auto"/>
        <w:left w:val="none" w:sz="0" w:space="0" w:color="auto"/>
        <w:bottom w:val="none" w:sz="0" w:space="0" w:color="auto"/>
        <w:right w:val="none" w:sz="0" w:space="0" w:color="auto"/>
      </w:divBdr>
    </w:div>
    <w:div w:id="263926556">
      <w:bodyDiv w:val="1"/>
      <w:marLeft w:val="0"/>
      <w:marRight w:val="0"/>
      <w:marTop w:val="0"/>
      <w:marBottom w:val="0"/>
      <w:divBdr>
        <w:top w:val="none" w:sz="0" w:space="0" w:color="auto"/>
        <w:left w:val="none" w:sz="0" w:space="0" w:color="auto"/>
        <w:bottom w:val="none" w:sz="0" w:space="0" w:color="auto"/>
        <w:right w:val="none" w:sz="0" w:space="0" w:color="auto"/>
      </w:divBdr>
    </w:div>
    <w:div w:id="295374458">
      <w:bodyDiv w:val="1"/>
      <w:marLeft w:val="0"/>
      <w:marRight w:val="0"/>
      <w:marTop w:val="0"/>
      <w:marBottom w:val="0"/>
      <w:divBdr>
        <w:top w:val="none" w:sz="0" w:space="0" w:color="auto"/>
        <w:left w:val="none" w:sz="0" w:space="0" w:color="auto"/>
        <w:bottom w:val="none" w:sz="0" w:space="0" w:color="auto"/>
        <w:right w:val="none" w:sz="0" w:space="0" w:color="auto"/>
      </w:divBdr>
    </w:div>
    <w:div w:id="543296220">
      <w:bodyDiv w:val="1"/>
      <w:marLeft w:val="0"/>
      <w:marRight w:val="0"/>
      <w:marTop w:val="0"/>
      <w:marBottom w:val="0"/>
      <w:divBdr>
        <w:top w:val="none" w:sz="0" w:space="0" w:color="auto"/>
        <w:left w:val="none" w:sz="0" w:space="0" w:color="auto"/>
        <w:bottom w:val="none" w:sz="0" w:space="0" w:color="auto"/>
        <w:right w:val="none" w:sz="0" w:space="0" w:color="auto"/>
      </w:divBdr>
    </w:div>
    <w:div w:id="554203546">
      <w:bodyDiv w:val="1"/>
      <w:marLeft w:val="0"/>
      <w:marRight w:val="0"/>
      <w:marTop w:val="0"/>
      <w:marBottom w:val="0"/>
      <w:divBdr>
        <w:top w:val="none" w:sz="0" w:space="0" w:color="auto"/>
        <w:left w:val="none" w:sz="0" w:space="0" w:color="auto"/>
        <w:bottom w:val="none" w:sz="0" w:space="0" w:color="auto"/>
        <w:right w:val="none" w:sz="0" w:space="0" w:color="auto"/>
      </w:divBdr>
    </w:div>
    <w:div w:id="631592189">
      <w:bodyDiv w:val="1"/>
      <w:marLeft w:val="0"/>
      <w:marRight w:val="0"/>
      <w:marTop w:val="0"/>
      <w:marBottom w:val="0"/>
      <w:divBdr>
        <w:top w:val="none" w:sz="0" w:space="0" w:color="auto"/>
        <w:left w:val="none" w:sz="0" w:space="0" w:color="auto"/>
        <w:bottom w:val="none" w:sz="0" w:space="0" w:color="auto"/>
        <w:right w:val="none" w:sz="0" w:space="0" w:color="auto"/>
      </w:divBdr>
    </w:div>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691439">
      <w:bodyDiv w:val="1"/>
      <w:marLeft w:val="0"/>
      <w:marRight w:val="0"/>
      <w:marTop w:val="0"/>
      <w:marBottom w:val="0"/>
      <w:divBdr>
        <w:top w:val="none" w:sz="0" w:space="0" w:color="auto"/>
        <w:left w:val="none" w:sz="0" w:space="0" w:color="auto"/>
        <w:bottom w:val="none" w:sz="0" w:space="0" w:color="auto"/>
        <w:right w:val="none" w:sz="0" w:space="0" w:color="auto"/>
      </w:divBdr>
    </w:div>
    <w:div w:id="1560170148">
      <w:bodyDiv w:val="1"/>
      <w:marLeft w:val="0"/>
      <w:marRight w:val="0"/>
      <w:marTop w:val="0"/>
      <w:marBottom w:val="0"/>
      <w:divBdr>
        <w:top w:val="none" w:sz="0" w:space="0" w:color="auto"/>
        <w:left w:val="none" w:sz="0" w:space="0" w:color="auto"/>
        <w:bottom w:val="none" w:sz="0" w:space="0" w:color="auto"/>
        <w:right w:val="none" w:sz="0" w:space="0" w:color="auto"/>
      </w:divBdr>
    </w:div>
    <w:div w:id="1668172848">
      <w:bodyDiv w:val="1"/>
      <w:marLeft w:val="0"/>
      <w:marRight w:val="0"/>
      <w:marTop w:val="0"/>
      <w:marBottom w:val="0"/>
      <w:divBdr>
        <w:top w:val="none" w:sz="0" w:space="0" w:color="auto"/>
        <w:left w:val="none" w:sz="0" w:space="0" w:color="auto"/>
        <w:bottom w:val="none" w:sz="0" w:space="0" w:color="auto"/>
        <w:right w:val="none" w:sz="0" w:space="0" w:color="auto"/>
      </w:divBdr>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310181">
      <w:bodyDiv w:val="1"/>
      <w:marLeft w:val="0"/>
      <w:marRight w:val="0"/>
      <w:marTop w:val="0"/>
      <w:marBottom w:val="0"/>
      <w:divBdr>
        <w:top w:val="none" w:sz="0" w:space="0" w:color="auto"/>
        <w:left w:val="none" w:sz="0" w:space="0" w:color="auto"/>
        <w:bottom w:val="none" w:sz="0" w:space="0" w:color="auto"/>
        <w:right w:val="none" w:sz="0" w:space="0" w:color="auto"/>
      </w:divBdr>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F69AE5-4D36-43FF-8F70-95A7C2F159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1562</TotalTime>
  <Pages>6</Pages>
  <Words>3048</Words>
  <Characters>17380</Characters>
  <Application>Microsoft Office Word</Application>
  <DocSecurity>0</DocSecurity>
  <Lines>144</Lines>
  <Paragraphs>40</Paragraphs>
  <ScaleCrop>false</ScaleCrop>
  <HeadingPairs>
    <vt:vector size="6" baseType="variant">
      <vt:variant>
        <vt:lpstr>Título</vt:lpstr>
      </vt:variant>
      <vt:variant>
        <vt:i4>1</vt:i4>
      </vt:variant>
      <vt:variant>
        <vt:lpstr>Titolo</vt:lpstr>
      </vt:variant>
      <vt:variant>
        <vt:i4>1</vt:i4>
      </vt:variant>
      <vt:variant>
        <vt:lpstr>Title</vt:lpstr>
      </vt:variant>
      <vt:variant>
        <vt:i4>1</vt:i4>
      </vt:variant>
    </vt:vector>
  </HeadingPairs>
  <TitlesOfParts>
    <vt:vector size="3" baseType="lpstr">
      <vt:lpstr/>
      <vt:lpstr/>
      <vt:lpstr/>
    </vt:vector>
  </TitlesOfParts>
  <Company>Dipartimento CMIC - Politecnico di Milano</Company>
  <LinksUpToDate>false</LinksUpToDate>
  <CharactersWithSpaces>20388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Andressa Marchesan</cp:lastModifiedBy>
  <cp:revision>80</cp:revision>
  <cp:lastPrinted>2019-04-16T05:20:00Z</cp:lastPrinted>
  <dcterms:created xsi:type="dcterms:W3CDTF">2019-02-14T14:05:00Z</dcterms:created>
  <dcterms:modified xsi:type="dcterms:W3CDTF">2019-04-16T05:27:00Z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ies>
</file>