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C5D95">
        <w:trPr>
          <w:trHeight w:val="852"/>
          <w:jc w:val="center"/>
        </w:trPr>
        <w:tc>
          <w:tcPr>
            <w:tcW w:w="6946" w:type="dxa"/>
            <w:vMerge w:val="restart"/>
            <w:tcBorders>
              <w:right w:val="single" w:sz="4" w:space="0" w:color="auto"/>
            </w:tcBorders>
          </w:tcPr>
          <w:p w:rsidR="000A03B2" w:rsidRPr="00FC5D95" w:rsidRDefault="000A03B2" w:rsidP="00DE264A">
            <w:pPr>
              <w:tabs>
                <w:tab w:val="left" w:pos="-108"/>
              </w:tabs>
              <w:ind w:left="-108"/>
              <w:jc w:val="left"/>
              <w:rPr>
                <w:rFonts w:cs="Arial"/>
                <w:b/>
                <w:bCs/>
                <w:i/>
                <w:iCs/>
                <w:color w:val="000066"/>
                <w:sz w:val="12"/>
                <w:szCs w:val="12"/>
                <w:lang w:eastAsia="it-IT"/>
              </w:rPr>
            </w:pPr>
            <w:r w:rsidRPr="00FC5D95">
              <w:rPr>
                <w:rFonts w:ascii="AdvP6960" w:hAnsi="AdvP6960" w:cs="AdvP6960"/>
                <w:noProof/>
                <w:color w:val="241F20"/>
                <w:szCs w:val="18"/>
                <w:lang w:val="fr-FR" w:eastAsia="fr-F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C5D95">
              <w:rPr>
                <w:rFonts w:ascii="AdvP6960" w:hAnsi="AdvP6960" w:cs="AdvP6960"/>
                <w:color w:val="241F20"/>
                <w:szCs w:val="18"/>
                <w:lang w:eastAsia="it-IT"/>
              </w:rPr>
              <w:t xml:space="preserve"> </w:t>
            </w:r>
            <w:r w:rsidRPr="00FC5D95">
              <w:rPr>
                <w:rFonts w:cs="Arial"/>
                <w:b/>
                <w:bCs/>
                <w:i/>
                <w:iCs/>
                <w:color w:val="000066"/>
                <w:sz w:val="24"/>
                <w:szCs w:val="24"/>
                <w:lang w:eastAsia="it-IT"/>
              </w:rPr>
              <w:t>CHEMICAL ENGINEERING</w:t>
            </w:r>
            <w:r w:rsidRPr="00FC5D95">
              <w:rPr>
                <w:rFonts w:cs="Arial"/>
                <w:b/>
                <w:bCs/>
                <w:i/>
                <w:iCs/>
                <w:color w:val="0033FF"/>
                <w:sz w:val="24"/>
                <w:szCs w:val="24"/>
                <w:lang w:eastAsia="it-IT"/>
              </w:rPr>
              <w:t xml:space="preserve"> </w:t>
            </w:r>
            <w:r w:rsidRPr="00FC5D95">
              <w:rPr>
                <w:rFonts w:cs="Arial"/>
                <w:b/>
                <w:bCs/>
                <w:i/>
                <w:iCs/>
                <w:color w:val="666666"/>
                <w:sz w:val="24"/>
                <w:szCs w:val="24"/>
                <w:lang w:eastAsia="it-IT"/>
              </w:rPr>
              <w:t>TRANSACTIONS</w:t>
            </w:r>
            <w:r w:rsidRPr="00FC5D95">
              <w:rPr>
                <w:color w:val="333333"/>
                <w:sz w:val="24"/>
                <w:szCs w:val="24"/>
                <w:lang w:eastAsia="it-IT"/>
              </w:rPr>
              <w:t xml:space="preserve"> </w:t>
            </w:r>
            <w:r w:rsidRPr="00FC5D95">
              <w:rPr>
                <w:rFonts w:cs="Arial"/>
                <w:b/>
                <w:bCs/>
                <w:i/>
                <w:iCs/>
                <w:color w:val="000066"/>
                <w:sz w:val="27"/>
                <w:szCs w:val="27"/>
                <w:lang w:eastAsia="it-IT"/>
              </w:rPr>
              <w:br/>
            </w:r>
          </w:p>
          <w:p w:rsidR="000A03B2" w:rsidRPr="00FC5D95" w:rsidRDefault="00A76EFC" w:rsidP="009635B9">
            <w:pPr>
              <w:tabs>
                <w:tab w:val="left" w:pos="-108"/>
              </w:tabs>
              <w:ind w:left="-108"/>
              <w:rPr>
                <w:rFonts w:cs="Arial"/>
                <w:b/>
                <w:bCs/>
                <w:i/>
                <w:iCs/>
                <w:color w:val="000066"/>
                <w:sz w:val="22"/>
                <w:szCs w:val="22"/>
                <w:lang w:eastAsia="it-IT"/>
              </w:rPr>
            </w:pPr>
            <w:r w:rsidRPr="00FC5D95">
              <w:rPr>
                <w:rFonts w:cs="Arial"/>
                <w:b/>
                <w:bCs/>
                <w:i/>
                <w:iCs/>
                <w:color w:val="000066"/>
                <w:sz w:val="22"/>
                <w:szCs w:val="22"/>
                <w:lang w:eastAsia="it-IT"/>
              </w:rPr>
              <w:t xml:space="preserve">VOL. </w:t>
            </w:r>
            <w:r w:rsidR="007931FA" w:rsidRPr="00FC5D95">
              <w:rPr>
                <w:rFonts w:cs="Arial"/>
                <w:b/>
                <w:bCs/>
                <w:i/>
                <w:iCs/>
                <w:color w:val="000066"/>
                <w:sz w:val="22"/>
                <w:szCs w:val="22"/>
                <w:lang w:eastAsia="it-IT"/>
              </w:rPr>
              <w:t>7</w:t>
            </w:r>
            <w:r w:rsidR="009635B9" w:rsidRPr="00FC5D95">
              <w:rPr>
                <w:rFonts w:cs="Arial"/>
                <w:b/>
                <w:bCs/>
                <w:i/>
                <w:iCs/>
                <w:color w:val="000066"/>
                <w:sz w:val="22"/>
                <w:szCs w:val="22"/>
                <w:lang w:eastAsia="it-IT"/>
              </w:rPr>
              <w:t>6</w:t>
            </w:r>
            <w:r w:rsidR="00FA5F5F" w:rsidRPr="00FC5D95">
              <w:rPr>
                <w:rFonts w:cs="Arial"/>
                <w:b/>
                <w:bCs/>
                <w:i/>
                <w:iCs/>
                <w:color w:val="000066"/>
                <w:sz w:val="22"/>
                <w:szCs w:val="22"/>
                <w:lang w:eastAsia="it-IT"/>
              </w:rPr>
              <w:t>, 201</w:t>
            </w:r>
            <w:r w:rsidR="007931FA" w:rsidRPr="00FC5D95">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FC5D95" w:rsidRDefault="000A03B2" w:rsidP="00CD5FE2">
            <w:pPr>
              <w:spacing w:line="140" w:lineRule="atLeast"/>
              <w:jc w:val="right"/>
              <w:rPr>
                <w:rFonts w:cs="Arial"/>
                <w:sz w:val="14"/>
                <w:szCs w:val="14"/>
              </w:rPr>
            </w:pPr>
            <w:r w:rsidRPr="00FC5D95">
              <w:rPr>
                <w:rFonts w:cs="Arial"/>
                <w:sz w:val="14"/>
                <w:szCs w:val="14"/>
              </w:rPr>
              <w:t>A publication of</w:t>
            </w:r>
          </w:p>
          <w:p w:rsidR="000A03B2" w:rsidRPr="00FC5D95" w:rsidRDefault="000A03B2" w:rsidP="00CD5FE2">
            <w:pPr>
              <w:jc w:val="right"/>
            </w:pPr>
            <w:r w:rsidRPr="00FC5D95">
              <w:rPr>
                <w:noProof/>
                <w:lang w:val="fr-FR" w:eastAsia="fr-F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C5D95">
        <w:trPr>
          <w:trHeight w:val="567"/>
          <w:jc w:val="center"/>
        </w:trPr>
        <w:tc>
          <w:tcPr>
            <w:tcW w:w="6946" w:type="dxa"/>
            <w:vMerge/>
            <w:tcBorders>
              <w:right w:val="single" w:sz="4" w:space="0" w:color="auto"/>
            </w:tcBorders>
          </w:tcPr>
          <w:p w:rsidR="000A03B2" w:rsidRPr="00FC5D95" w:rsidRDefault="000A03B2" w:rsidP="00CD5FE2">
            <w:pPr>
              <w:tabs>
                <w:tab w:val="left" w:pos="-108"/>
              </w:tabs>
            </w:pPr>
          </w:p>
        </w:tc>
        <w:tc>
          <w:tcPr>
            <w:tcW w:w="1843" w:type="dxa"/>
            <w:tcBorders>
              <w:left w:val="single" w:sz="4" w:space="0" w:color="auto"/>
              <w:bottom w:val="nil"/>
              <w:right w:val="single" w:sz="4" w:space="0" w:color="auto"/>
            </w:tcBorders>
          </w:tcPr>
          <w:p w:rsidR="000A03B2" w:rsidRPr="00FC5D95" w:rsidRDefault="000A03B2" w:rsidP="00CD5FE2">
            <w:pPr>
              <w:spacing w:line="140" w:lineRule="atLeast"/>
              <w:jc w:val="right"/>
              <w:rPr>
                <w:rFonts w:cs="Arial"/>
                <w:sz w:val="14"/>
                <w:szCs w:val="14"/>
              </w:rPr>
            </w:pPr>
            <w:r w:rsidRPr="00FC5D95">
              <w:rPr>
                <w:rFonts w:cs="Arial"/>
                <w:sz w:val="14"/>
                <w:szCs w:val="14"/>
              </w:rPr>
              <w:t>The Italian Association</w:t>
            </w:r>
          </w:p>
          <w:p w:rsidR="000A03B2" w:rsidRPr="00FC5D95" w:rsidRDefault="000A03B2" w:rsidP="00CD5FE2">
            <w:pPr>
              <w:spacing w:line="140" w:lineRule="atLeast"/>
              <w:jc w:val="right"/>
              <w:rPr>
                <w:rFonts w:cs="Arial"/>
                <w:sz w:val="14"/>
                <w:szCs w:val="14"/>
              </w:rPr>
            </w:pPr>
            <w:r w:rsidRPr="00FC5D95">
              <w:rPr>
                <w:rFonts w:cs="Arial"/>
                <w:sz w:val="14"/>
                <w:szCs w:val="14"/>
              </w:rPr>
              <w:t>of Chemical Engineering</w:t>
            </w:r>
          </w:p>
          <w:p w:rsidR="000A03B2" w:rsidRPr="00FC5D95" w:rsidRDefault="000A03B2" w:rsidP="00162642">
            <w:pPr>
              <w:spacing w:line="140" w:lineRule="atLeast"/>
              <w:jc w:val="right"/>
              <w:rPr>
                <w:rFonts w:cs="Arial"/>
                <w:sz w:val="14"/>
                <w:szCs w:val="14"/>
              </w:rPr>
            </w:pPr>
            <w:r w:rsidRPr="00FC5D95">
              <w:rPr>
                <w:rFonts w:cs="Arial"/>
                <w:sz w:val="14"/>
                <w:szCs w:val="14"/>
              </w:rPr>
              <w:t xml:space="preserve">Online at </w:t>
            </w:r>
            <w:r w:rsidR="00162642" w:rsidRPr="00FC5D95">
              <w:rPr>
                <w:rFonts w:cs="Arial"/>
                <w:sz w:val="14"/>
                <w:szCs w:val="14"/>
              </w:rPr>
              <w:t>www.cetjournal.it</w:t>
            </w:r>
          </w:p>
        </w:tc>
      </w:tr>
      <w:tr w:rsidR="000A03B2" w:rsidRPr="00FC5D95">
        <w:trPr>
          <w:trHeight w:val="68"/>
          <w:jc w:val="center"/>
        </w:trPr>
        <w:tc>
          <w:tcPr>
            <w:tcW w:w="8789" w:type="dxa"/>
            <w:gridSpan w:val="2"/>
          </w:tcPr>
          <w:p w:rsidR="00300E56" w:rsidRPr="00FC5D95" w:rsidRDefault="00300E56" w:rsidP="003365E3">
            <w:pPr>
              <w:ind w:left="-107"/>
            </w:pPr>
            <w:r w:rsidRPr="00FC5D95">
              <w:rPr>
                <w:rFonts w:ascii="Tahoma" w:hAnsi="Tahoma" w:cs="Tahoma"/>
                <w:iCs/>
                <w:color w:val="333333"/>
                <w:sz w:val="14"/>
                <w:szCs w:val="14"/>
                <w:lang w:eastAsia="it-IT"/>
              </w:rPr>
              <w:t>Guest Editors:</w:t>
            </w:r>
            <w:r w:rsidR="00904C62" w:rsidRPr="00FC5D95">
              <w:rPr>
                <w:rFonts w:ascii="Tahoma" w:hAnsi="Tahoma" w:cs="Tahoma"/>
                <w:iCs/>
                <w:color w:val="333333"/>
                <w:sz w:val="14"/>
                <w:szCs w:val="14"/>
                <w:lang w:eastAsia="it-IT"/>
              </w:rPr>
              <w:t xml:space="preserve"> </w:t>
            </w:r>
            <w:r w:rsidR="009635B9" w:rsidRPr="00FC5D95">
              <w:rPr>
                <w:rFonts w:ascii="Tahoma" w:hAnsi="Tahoma" w:cs="Tahoma"/>
                <w:sz w:val="14"/>
                <w:szCs w:val="14"/>
              </w:rPr>
              <w:t>Sauro Pierucci,</w:t>
            </w:r>
            <w:r w:rsidR="003B60F3" w:rsidRPr="00FC5D95">
              <w:rPr>
                <w:rFonts w:ascii="Tahoma" w:hAnsi="Tahoma" w:cs="Tahoma"/>
                <w:sz w:val="14"/>
                <w:szCs w:val="14"/>
              </w:rPr>
              <w:t xml:space="preserve"> </w:t>
            </w:r>
            <w:r w:rsidR="00047D7F" w:rsidRPr="00FC5D95">
              <w:rPr>
                <w:rFonts w:ascii="Tahoma" w:hAnsi="Tahoma" w:cs="Tahoma"/>
                <w:sz w:val="14"/>
                <w:szCs w:val="14"/>
                <w:shd w:val="clear" w:color="auto" w:fill="FFFFFF"/>
              </w:rPr>
              <w:t>Jiří Jaromír Klemeš</w:t>
            </w:r>
            <w:r w:rsidR="00252C1A" w:rsidRPr="00FC5D95">
              <w:rPr>
                <w:rFonts w:ascii="Tahoma" w:hAnsi="Tahoma" w:cs="Tahoma"/>
                <w:sz w:val="14"/>
                <w:szCs w:val="14"/>
                <w:shd w:val="clear" w:color="auto" w:fill="FFFFFF"/>
              </w:rPr>
              <w:t>, Laura Piazza</w:t>
            </w:r>
          </w:p>
          <w:p w:rsidR="000A03B2" w:rsidRPr="00FC5D95" w:rsidRDefault="00FA5F5F" w:rsidP="00131FAB">
            <w:pPr>
              <w:tabs>
                <w:tab w:val="left" w:pos="-108"/>
              </w:tabs>
              <w:spacing w:line="140" w:lineRule="atLeast"/>
              <w:ind w:left="-107"/>
              <w:jc w:val="left"/>
            </w:pPr>
            <w:r w:rsidRPr="00FC5D95">
              <w:rPr>
                <w:rFonts w:ascii="Tahoma" w:hAnsi="Tahoma" w:cs="Tahoma"/>
                <w:iCs/>
                <w:color w:val="333333"/>
                <w:sz w:val="14"/>
                <w:szCs w:val="14"/>
                <w:lang w:eastAsia="it-IT"/>
              </w:rPr>
              <w:t>Copyright © 201</w:t>
            </w:r>
            <w:r w:rsidR="007931FA" w:rsidRPr="00FC5D95">
              <w:rPr>
                <w:rFonts w:ascii="Tahoma" w:hAnsi="Tahoma" w:cs="Tahoma"/>
                <w:iCs/>
                <w:color w:val="333333"/>
                <w:sz w:val="14"/>
                <w:szCs w:val="14"/>
                <w:lang w:eastAsia="it-IT"/>
              </w:rPr>
              <w:t>9</w:t>
            </w:r>
            <w:r w:rsidR="00904C62" w:rsidRPr="00FC5D95">
              <w:rPr>
                <w:rFonts w:ascii="Tahoma" w:hAnsi="Tahoma" w:cs="Tahoma"/>
                <w:iCs/>
                <w:color w:val="333333"/>
                <w:sz w:val="14"/>
                <w:szCs w:val="14"/>
                <w:lang w:eastAsia="it-IT"/>
              </w:rPr>
              <w:t>, AIDIC Servizi S.r.l.</w:t>
            </w:r>
            <w:r w:rsidR="00300E56" w:rsidRPr="00FC5D95">
              <w:rPr>
                <w:rFonts w:ascii="Tahoma" w:hAnsi="Tahoma" w:cs="Tahoma"/>
                <w:iCs/>
                <w:color w:val="333333"/>
                <w:sz w:val="14"/>
                <w:szCs w:val="14"/>
                <w:lang w:eastAsia="it-IT"/>
              </w:rPr>
              <w:br/>
            </w:r>
            <w:r w:rsidR="00300E56" w:rsidRPr="00FC5D95">
              <w:rPr>
                <w:rFonts w:ascii="Tahoma" w:hAnsi="Tahoma" w:cs="Tahoma"/>
                <w:b/>
                <w:iCs/>
                <w:color w:val="000000"/>
                <w:sz w:val="14"/>
                <w:szCs w:val="14"/>
                <w:lang w:eastAsia="it-IT"/>
              </w:rPr>
              <w:t>ISBN</w:t>
            </w:r>
            <w:r w:rsidR="00300E56" w:rsidRPr="00FC5D95">
              <w:rPr>
                <w:rFonts w:ascii="Tahoma" w:hAnsi="Tahoma" w:cs="Tahoma"/>
                <w:iCs/>
                <w:color w:val="000000"/>
                <w:sz w:val="14"/>
                <w:szCs w:val="14"/>
                <w:lang w:eastAsia="it-IT"/>
              </w:rPr>
              <w:t xml:space="preserve"> </w:t>
            </w:r>
            <w:r w:rsidR="008D32B9" w:rsidRPr="00FC5D95">
              <w:rPr>
                <w:rFonts w:ascii="Tahoma" w:hAnsi="Tahoma" w:cs="Tahoma"/>
                <w:sz w:val="14"/>
                <w:szCs w:val="14"/>
              </w:rPr>
              <w:t>978-88-95608-</w:t>
            </w:r>
            <w:r w:rsidR="009635B9" w:rsidRPr="00FC5D95">
              <w:rPr>
                <w:rFonts w:ascii="Tahoma" w:hAnsi="Tahoma" w:cs="Tahoma"/>
                <w:sz w:val="14"/>
                <w:szCs w:val="14"/>
              </w:rPr>
              <w:t>73</w:t>
            </w:r>
            <w:r w:rsidR="008D32B9" w:rsidRPr="00FC5D95">
              <w:rPr>
                <w:rFonts w:ascii="Tahoma" w:hAnsi="Tahoma" w:cs="Tahoma"/>
                <w:sz w:val="14"/>
                <w:szCs w:val="14"/>
              </w:rPr>
              <w:t>-</w:t>
            </w:r>
            <w:r w:rsidR="009635B9" w:rsidRPr="00FC5D95">
              <w:rPr>
                <w:rFonts w:ascii="Tahoma" w:hAnsi="Tahoma" w:cs="Tahoma"/>
                <w:sz w:val="14"/>
                <w:szCs w:val="14"/>
              </w:rPr>
              <w:t>0</w:t>
            </w:r>
            <w:r w:rsidR="00300E56" w:rsidRPr="00FC5D95">
              <w:rPr>
                <w:rFonts w:ascii="Tahoma" w:hAnsi="Tahoma" w:cs="Tahoma"/>
                <w:iCs/>
                <w:color w:val="333333"/>
                <w:sz w:val="14"/>
                <w:szCs w:val="14"/>
                <w:lang w:eastAsia="it-IT"/>
              </w:rPr>
              <w:t xml:space="preserve">; </w:t>
            </w:r>
            <w:r w:rsidR="00300E56" w:rsidRPr="00FC5D95">
              <w:rPr>
                <w:rFonts w:ascii="Tahoma" w:hAnsi="Tahoma" w:cs="Tahoma"/>
                <w:b/>
                <w:iCs/>
                <w:color w:val="333333"/>
                <w:sz w:val="14"/>
                <w:szCs w:val="14"/>
                <w:lang w:eastAsia="it-IT"/>
              </w:rPr>
              <w:t>ISSN</w:t>
            </w:r>
            <w:r w:rsidR="00300E56" w:rsidRPr="00FC5D95">
              <w:rPr>
                <w:rFonts w:ascii="Tahoma" w:hAnsi="Tahoma" w:cs="Tahoma"/>
                <w:iCs/>
                <w:color w:val="333333"/>
                <w:sz w:val="14"/>
                <w:szCs w:val="14"/>
                <w:lang w:eastAsia="it-IT"/>
              </w:rPr>
              <w:t xml:space="preserve"> 2283-9216</w:t>
            </w:r>
          </w:p>
        </w:tc>
      </w:tr>
    </w:tbl>
    <w:p w:rsidR="000A03B2" w:rsidRPr="00FC5D95" w:rsidRDefault="000A03B2" w:rsidP="000A03B2">
      <w:pPr>
        <w:pStyle w:val="CETAuthors"/>
        <w:sectPr w:rsidR="000A03B2" w:rsidRPr="00FC5D95">
          <w:type w:val="continuous"/>
          <w:pgSz w:w="11906" w:h="16838" w:code="9"/>
          <w:pgMar w:top="1701" w:right="1418" w:bottom="1701" w:left="1701" w:header="1701" w:footer="0" w:gutter="0"/>
          <w:cols w:space="708"/>
          <w:titlePg/>
          <w:docGrid w:linePitch="360"/>
        </w:sectPr>
      </w:pPr>
    </w:p>
    <w:p w:rsidR="00E978D0" w:rsidRPr="00316592" w:rsidRDefault="00982AA3" w:rsidP="00E978D0">
      <w:pPr>
        <w:pStyle w:val="CETTitle"/>
        <w:rPr>
          <w:lang w:val="fr-FR"/>
        </w:rPr>
      </w:pPr>
      <w:r w:rsidRPr="00FC5D95">
        <w:t xml:space="preserve">MODELLING OF AUTOCATALYTIC HETEROGENEOUS DISSOLUTION REACTIONS. </w:t>
      </w:r>
      <w:r w:rsidRPr="00316592">
        <w:rPr>
          <w:lang w:val="fr-FR"/>
        </w:rPr>
        <w:t>APPLICATION TO URANIUM DIOXIDE DISSOLUTION</w:t>
      </w:r>
    </w:p>
    <w:p w:rsidR="00E978D0" w:rsidRPr="00534B5B" w:rsidRDefault="00982AA3" w:rsidP="00AB5011">
      <w:pPr>
        <w:pStyle w:val="CETAuthors"/>
        <w:rPr>
          <w:lang w:val="fr-FR"/>
        </w:rPr>
      </w:pPr>
      <w:r w:rsidRPr="00534B5B">
        <w:rPr>
          <w:lang w:val="fr-FR"/>
        </w:rPr>
        <w:t>Sophie Lalleman</w:t>
      </w:r>
      <w:r w:rsidRPr="00534B5B">
        <w:rPr>
          <w:vertAlign w:val="superscript"/>
          <w:lang w:val="fr-FR"/>
        </w:rPr>
        <w:t>a*</w:t>
      </w:r>
      <w:r w:rsidRPr="00534B5B">
        <w:rPr>
          <w:lang w:val="fr-FR"/>
        </w:rPr>
        <w:t>, Florence Charlier</w:t>
      </w:r>
      <w:r w:rsidRPr="00534B5B">
        <w:rPr>
          <w:vertAlign w:val="superscript"/>
          <w:lang w:val="fr-FR"/>
        </w:rPr>
        <w:t>a</w:t>
      </w:r>
      <w:r w:rsidR="00600535" w:rsidRPr="00534B5B">
        <w:rPr>
          <w:lang w:val="fr-FR"/>
        </w:rPr>
        <w:t xml:space="preserve">, </w:t>
      </w:r>
      <w:r w:rsidRPr="00534B5B">
        <w:rPr>
          <w:lang w:val="fr-FR"/>
        </w:rPr>
        <w:t>Philippe Marc</w:t>
      </w:r>
      <w:r w:rsidRPr="00534B5B">
        <w:rPr>
          <w:vertAlign w:val="superscript"/>
          <w:lang w:val="fr-FR"/>
        </w:rPr>
        <w:t>a</w:t>
      </w:r>
      <w:r w:rsidRPr="00534B5B">
        <w:rPr>
          <w:lang w:val="fr-FR"/>
        </w:rPr>
        <w:t>, Alastair Magnaldo</w:t>
      </w:r>
      <w:r w:rsidRPr="00534B5B">
        <w:rPr>
          <w:vertAlign w:val="superscript"/>
          <w:lang w:val="fr-FR"/>
        </w:rPr>
        <w:t>a</w:t>
      </w:r>
      <w:r w:rsidR="00534B5B">
        <w:rPr>
          <w:lang w:val="fr-FR"/>
        </w:rPr>
        <w:t xml:space="preserve">, </w:t>
      </w:r>
      <w:r w:rsidR="00715329">
        <w:rPr>
          <w:lang w:val="fr-FR"/>
        </w:rPr>
        <w:t xml:space="preserve">Gilles </w:t>
      </w:r>
      <w:r w:rsidR="00715329" w:rsidRPr="00316592">
        <w:rPr>
          <w:lang w:val="fr-FR"/>
        </w:rPr>
        <w:t>Borda</w:t>
      </w:r>
      <w:r w:rsidR="00715329" w:rsidRPr="00316592">
        <w:rPr>
          <w:vertAlign w:val="superscript"/>
          <w:lang w:val="fr-FR"/>
        </w:rPr>
        <w:t>a</w:t>
      </w:r>
      <w:r w:rsidR="00316592">
        <w:rPr>
          <w:lang w:val="fr-FR"/>
        </w:rPr>
        <w:t xml:space="preserve">, </w:t>
      </w:r>
      <w:r w:rsidRPr="00316592">
        <w:rPr>
          <w:lang w:val="fr-FR"/>
        </w:rPr>
        <w:t>Eric</w:t>
      </w:r>
      <w:r w:rsidRPr="00534B5B">
        <w:rPr>
          <w:lang w:val="fr-FR"/>
        </w:rPr>
        <w:t xml:space="preserve"> Schaer</w:t>
      </w:r>
      <w:r w:rsidRPr="00534B5B">
        <w:rPr>
          <w:vertAlign w:val="superscript"/>
          <w:lang w:val="fr-FR"/>
        </w:rPr>
        <w:t>b</w:t>
      </w:r>
    </w:p>
    <w:p w:rsidR="00E978D0" w:rsidRPr="00FC5D95" w:rsidRDefault="00E978D0" w:rsidP="00E978D0">
      <w:pPr>
        <w:pStyle w:val="CETAddress"/>
      </w:pPr>
      <w:r w:rsidRPr="00FC5D95">
        <w:rPr>
          <w:vertAlign w:val="superscript"/>
        </w:rPr>
        <w:t>a</w:t>
      </w:r>
      <w:r w:rsidR="00982AA3" w:rsidRPr="00FC5D95">
        <w:t>CEA, Nuclear Energy Division, Research Department of Mining and Fuel Recycling Processes, 30207 Bagnols sur Cèze, France</w:t>
      </w:r>
      <w:r w:rsidRPr="00FC5D95">
        <w:t xml:space="preserve"> </w:t>
      </w:r>
    </w:p>
    <w:p w:rsidR="00E978D0" w:rsidRPr="00316592" w:rsidRDefault="00E978D0" w:rsidP="00E978D0">
      <w:pPr>
        <w:pStyle w:val="CETAddress"/>
        <w:rPr>
          <w:lang w:val="fr-FR"/>
        </w:rPr>
      </w:pPr>
      <w:r w:rsidRPr="00316592">
        <w:rPr>
          <w:vertAlign w:val="superscript"/>
          <w:lang w:val="fr-FR"/>
        </w:rPr>
        <w:t>b</w:t>
      </w:r>
      <w:r w:rsidR="00982AA3" w:rsidRPr="00316592">
        <w:rPr>
          <w:lang w:val="fr-FR"/>
        </w:rPr>
        <w:t>Laboratoire Réaction et Génie des Procédés, UMR 7274, CNRS – Université de Lorraine, 1 rue Grandville, BP 20451, 54001 NANCY Cedex, France</w:t>
      </w:r>
      <w:r w:rsidRPr="00316592">
        <w:rPr>
          <w:lang w:val="fr-FR"/>
        </w:rPr>
        <w:t xml:space="preserve"> </w:t>
      </w:r>
    </w:p>
    <w:p w:rsidR="00E978D0" w:rsidRPr="00FC5D95" w:rsidRDefault="00982AA3" w:rsidP="00E978D0">
      <w:pPr>
        <w:pStyle w:val="CETemail"/>
      </w:pPr>
      <w:r w:rsidRPr="00FC5D95">
        <w:t>*sophie.lalleman@cea.fr</w:t>
      </w:r>
    </w:p>
    <w:p w:rsidR="00DA24C6" w:rsidRPr="00FC5D95" w:rsidRDefault="00902650" w:rsidP="00902650">
      <w:pPr>
        <w:pStyle w:val="CETBodytext"/>
        <w:rPr>
          <w:lang w:val="en-GB"/>
        </w:rPr>
      </w:pPr>
      <w:r w:rsidRPr="00FC5D95">
        <w:rPr>
          <w:lang w:val="en-GB"/>
        </w:rPr>
        <w:t>This study deals with the modelling of uranium dioxide dissolution in nitric medium, which is a key step at the head-end of nuclear fuel reprocessing. This particular dissolution is triphasic (involving solid uranium dioxide, liquid nitric acid and gaseous nitrogen oxide products), and autocatalytic (accelerated by an unidentified reaction product), so that numerous coupled phenomena must be taken into account for a better understanding, modelling and optimization of dissolution reactors. The kinetic parameters were determined for both the catalyzed and non-catalyzed reactions. The kinetic study was realized thanks to a single particle approach and the reaction rates were measured by optical microscopy, thanks to a specific lab-scale device which ensures the absence of any external limitation. Gas–liquid exchanges were shown to have a great impact on the catalyst concentration in the reactor, and evidence of a volume reaction between the dissolution gases (nitrogen oxides) and the catalyst were found. The kinetics of this reaction was estimated from the experimental results. A model was then developed to describe and simulate these phenomena: it takes into account species transpor</w:t>
      </w:r>
      <w:r w:rsidR="000953C5">
        <w:rPr>
          <w:lang w:val="en-GB"/>
        </w:rPr>
        <w:t>t</w:t>
      </w:r>
      <w:r w:rsidRPr="00FC5D95">
        <w:rPr>
          <w:lang w:val="en-GB"/>
        </w:rPr>
        <w:t xml:space="preserve"> between the particles surface and the bulk media, UO</w:t>
      </w:r>
      <w:r w:rsidRPr="00FC5D95">
        <w:rPr>
          <w:vertAlign w:val="subscript"/>
          <w:lang w:val="en-GB"/>
        </w:rPr>
        <w:t>2</w:t>
      </w:r>
      <w:r w:rsidRPr="00FC5D95">
        <w:rPr>
          <w:lang w:val="en-GB"/>
        </w:rPr>
        <w:t xml:space="preserve"> dissolution kinetics, the reaction between the dissolution gases and the c</w:t>
      </w:r>
      <w:r w:rsidR="00316592">
        <w:rPr>
          <w:lang w:val="en-GB"/>
        </w:rPr>
        <w:t>atalyst, as well as the transport</w:t>
      </w:r>
      <w:r w:rsidRPr="00FC5D95">
        <w:rPr>
          <w:lang w:val="en-GB"/>
        </w:rPr>
        <w:t xml:space="preserve"> of these gases to the liquid-gas interface. It was shown to be in good agreement with experimental results, at both microscopic and macroscopic scales. </w:t>
      </w:r>
      <w:r w:rsidR="00262A2E">
        <w:rPr>
          <w:lang w:val="en-GB"/>
        </w:rPr>
        <w:t>Dissolution modelling has</w:t>
      </w:r>
      <w:r w:rsidR="00E45E97" w:rsidRPr="00FC5D95">
        <w:rPr>
          <w:lang w:val="en-GB"/>
        </w:rPr>
        <w:t xml:space="preserve"> now to be upgraded by integrating fragmentation and bubbling models.</w:t>
      </w:r>
    </w:p>
    <w:p w:rsidR="00600535" w:rsidRPr="00FC5D95" w:rsidRDefault="00600535" w:rsidP="00600535">
      <w:pPr>
        <w:pStyle w:val="CETHeading1"/>
        <w:rPr>
          <w:lang w:val="en-GB"/>
        </w:rPr>
      </w:pPr>
      <w:r w:rsidRPr="00FC5D95">
        <w:rPr>
          <w:lang w:val="en-GB"/>
        </w:rPr>
        <w:t>Introduction</w:t>
      </w:r>
    </w:p>
    <w:p w:rsidR="00913A8E" w:rsidRPr="00FC5D95" w:rsidRDefault="00913A8E" w:rsidP="00913A8E">
      <w:pPr>
        <w:pStyle w:val="CETBodytext"/>
        <w:rPr>
          <w:lang w:val="en-GB"/>
        </w:rPr>
      </w:pPr>
      <w:r w:rsidRPr="00FC5D95">
        <w:rPr>
          <w:lang w:val="en-GB"/>
        </w:rPr>
        <w:t xml:space="preserve">In France, the reprocessing of spent nuclear fuel is based on the liquid-liquid extraction of recoverable elements (uranium and plutonium) after its dissolution in nitric acid media. Dissolution is hence the key step of the </w:t>
      </w:r>
      <w:r w:rsidR="00272004" w:rsidRPr="00FC5D95">
        <w:rPr>
          <w:lang w:val="en-GB"/>
        </w:rPr>
        <w:t xml:space="preserve">head-end of the </w:t>
      </w:r>
      <w:r w:rsidRPr="00FC5D95">
        <w:rPr>
          <w:lang w:val="en-GB"/>
        </w:rPr>
        <w:t>recycling process as it impacts the design of all the equipment of the industrial process. This study focuses on uranium dioxide as it accounts for about 96% of the spent fuel mass.</w:t>
      </w:r>
    </w:p>
    <w:p w:rsidR="00314C13" w:rsidRPr="00FC5D95" w:rsidRDefault="00314C13" w:rsidP="00314C13">
      <w:pPr>
        <w:pStyle w:val="CETheadingx"/>
        <w:rPr>
          <w:lang w:val="en-GB"/>
        </w:rPr>
      </w:pPr>
      <w:r w:rsidRPr="00FC5D95">
        <w:rPr>
          <w:lang w:val="en-GB"/>
        </w:rPr>
        <w:t>Description of uranium dioxide dissolution</w:t>
      </w:r>
    </w:p>
    <w:p w:rsidR="00DF120C" w:rsidRPr="00FC5D95" w:rsidRDefault="00272004" w:rsidP="001D3D34">
      <w:pPr>
        <w:pStyle w:val="CETBodytext"/>
        <w:rPr>
          <w:b/>
          <w:lang w:val="en-GB"/>
        </w:rPr>
      </w:pPr>
      <w:r w:rsidRPr="00FC5D95">
        <w:rPr>
          <w:lang w:val="en-GB"/>
        </w:rPr>
        <w:t>N</w:t>
      </w:r>
      <w:r w:rsidR="00FC06E5" w:rsidRPr="00FC5D95">
        <w:rPr>
          <w:lang w:val="en-GB"/>
        </w:rPr>
        <w:t xml:space="preserve">itric dissolution of </w:t>
      </w:r>
      <w:r w:rsidR="00913A8E" w:rsidRPr="00FC5D95">
        <w:rPr>
          <w:lang w:val="en-GB"/>
        </w:rPr>
        <w:t xml:space="preserve">uranium is a complex reaction as it occurs </w:t>
      </w:r>
      <w:r w:rsidR="00FC06E5" w:rsidRPr="00FC5D95">
        <w:rPr>
          <w:lang w:val="en-GB"/>
        </w:rPr>
        <w:t xml:space="preserve">in </w:t>
      </w:r>
      <w:r w:rsidR="001D3D34" w:rsidRPr="00FC5D95">
        <w:rPr>
          <w:lang w:val="en-GB"/>
        </w:rPr>
        <w:t>a</w:t>
      </w:r>
      <w:r w:rsidR="00913A8E" w:rsidRPr="00FC5D95">
        <w:rPr>
          <w:lang w:val="en-GB"/>
        </w:rPr>
        <w:t xml:space="preserve"> </w:t>
      </w:r>
      <w:r w:rsidR="00FC06E5" w:rsidRPr="00FC5D95">
        <w:rPr>
          <w:lang w:val="en-GB"/>
        </w:rPr>
        <w:t>heterogeneous liquid-solid medium, and couples chemical and hydrodynamic phenomen</w:t>
      </w:r>
      <w:r w:rsidR="00B70D6C" w:rsidRPr="00FC5D95">
        <w:rPr>
          <w:lang w:val="en-GB"/>
        </w:rPr>
        <w:t>a at different scales</w:t>
      </w:r>
      <w:r w:rsidR="00FC06E5" w:rsidRPr="00FC5D95">
        <w:rPr>
          <w:lang w:val="en-GB"/>
        </w:rPr>
        <w:t>.</w:t>
      </w:r>
      <w:r w:rsidR="00B70D6C" w:rsidRPr="00FC5D95">
        <w:rPr>
          <w:lang w:val="en-GB"/>
        </w:rPr>
        <w:t xml:space="preserve"> The</w:t>
      </w:r>
      <w:r w:rsidR="00FC06E5" w:rsidRPr="00FC5D95">
        <w:rPr>
          <w:lang w:val="en-GB"/>
        </w:rPr>
        <w:t xml:space="preserve"> phenomena involved</w:t>
      </w:r>
      <w:r w:rsidR="00B70D6C" w:rsidRPr="00FC5D95">
        <w:rPr>
          <w:lang w:val="en-GB"/>
        </w:rPr>
        <w:t xml:space="preserve"> </w:t>
      </w:r>
      <w:r w:rsidRPr="00FC5D95">
        <w:rPr>
          <w:lang w:val="en-GB"/>
        </w:rPr>
        <w:t xml:space="preserve">during this operation </w:t>
      </w:r>
      <w:r w:rsidR="00B70D6C" w:rsidRPr="00FC5D95">
        <w:rPr>
          <w:lang w:val="en-GB"/>
        </w:rPr>
        <w:t>are illustrated in Figure 1</w:t>
      </w:r>
      <w:r w:rsidR="00FC06E5" w:rsidRPr="00FC5D95">
        <w:rPr>
          <w:lang w:val="en-GB"/>
        </w:rPr>
        <w:t xml:space="preserve">. On the one hand, the reaction seems </w:t>
      </w:r>
      <w:r w:rsidR="00B70D6C" w:rsidRPr="00FC5D95">
        <w:rPr>
          <w:lang w:val="en-GB"/>
        </w:rPr>
        <w:t xml:space="preserve">to be </w:t>
      </w:r>
      <w:r w:rsidRPr="00FC5D95">
        <w:rPr>
          <w:lang w:val="en-GB"/>
        </w:rPr>
        <w:t>autocatalysed which means</w:t>
      </w:r>
      <w:r w:rsidR="00FC06E5" w:rsidRPr="00FC5D95">
        <w:rPr>
          <w:lang w:val="en-GB"/>
        </w:rPr>
        <w:t xml:space="preserve"> that the accumulation of the catalyst on the</w:t>
      </w:r>
      <w:r w:rsidRPr="00FC5D95">
        <w:rPr>
          <w:lang w:val="en-GB"/>
        </w:rPr>
        <w:t xml:space="preserve"> particles </w:t>
      </w:r>
      <w:r w:rsidR="00FC06E5" w:rsidRPr="00FC5D95">
        <w:rPr>
          <w:lang w:val="en-GB"/>
        </w:rPr>
        <w:t xml:space="preserve">surface </w:t>
      </w:r>
      <w:r w:rsidR="00913A8E" w:rsidRPr="00FC5D95">
        <w:rPr>
          <w:lang w:val="en-GB"/>
        </w:rPr>
        <w:t>enhance</w:t>
      </w:r>
      <w:r w:rsidRPr="00FC5D95">
        <w:rPr>
          <w:lang w:val="en-GB"/>
        </w:rPr>
        <w:t>s</w:t>
      </w:r>
      <w:r w:rsidR="00FC06E5" w:rsidRPr="00FC5D95">
        <w:rPr>
          <w:lang w:val="en-GB"/>
        </w:rPr>
        <w:t xml:space="preserve"> dissolution</w:t>
      </w:r>
      <w:r w:rsidR="00100ED3">
        <w:rPr>
          <w:lang w:val="en-GB"/>
        </w:rPr>
        <w:t xml:space="preserve"> (Marc (2014), Marc </w:t>
      </w:r>
      <w:r w:rsidR="00100ED3" w:rsidRPr="00100ED3">
        <w:rPr>
          <w:i/>
          <w:lang w:val="en-GB"/>
        </w:rPr>
        <w:t>et al.</w:t>
      </w:r>
      <w:r w:rsidR="00100ED3">
        <w:rPr>
          <w:lang w:val="en-GB"/>
        </w:rPr>
        <w:t xml:space="preserve"> (2018))</w:t>
      </w:r>
      <w:r w:rsidR="00FC06E5" w:rsidRPr="00FC5D95">
        <w:rPr>
          <w:lang w:val="en-GB"/>
        </w:rPr>
        <w:t xml:space="preserve">. On the other hand, </w:t>
      </w:r>
      <w:r w:rsidRPr="00FC5D95">
        <w:rPr>
          <w:lang w:val="en-GB"/>
        </w:rPr>
        <w:t xml:space="preserve">many parallel and/or consecutive reactions occur in the nitric medium and </w:t>
      </w:r>
      <w:r w:rsidR="0099228D" w:rsidRPr="00FC5D95">
        <w:rPr>
          <w:lang w:val="en-GB"/>
        </w:rPr>
        <w:t xml:space="preserve">the dissolution reaction </w:t>
      </w:r>
      <w:r w:rsidRPr="00FC5D95">
        <w:rPr>
          <w:lang w:val="en-GB"/>
        </w:rPr>
        <w:t xml:space="preserve">products </w:t>
      </w:r>
      <w:r w:rsidR="0099228D" w:rsidRPr="00FC5D95">
        <w:rPr>
          <w:lang w:val="en-GB"/>
        </w:rPr>
        <w:t>are not all clearly identified</w:t>
      </w:r>
      <w:r w:rsidR="00100ED3">
        <w:rPr>
          <w:lang w:val="en-GB"/>
        </w:rPr>
        <w:t xml:space="preserve"> (Sicsic </w:t>
      </w:r>
      <w:r w:rsidR="00100ED3" w:rsidRPr="00100ED3">
        <w:rPr>
          <w:i/>
          <w:lang w:val="en-GB"/>
        </w:rPr>
        <w:t>et al.</w:t>
      </w:r>
      <w:r w:rsidR="00100ED3">
        <w:rPr>
          <w:lang w:val="en-GB"/>
        </w:rPr>
        <w:t xml:space="preserve"> (2014), Schwartz and White (1983))</w:t>
      </w:r>
      <w:r w:rsidR="00FC06E5" w:rsidRPr="00FC5D95">
        <w:rPr>
          <w:lang w:val="en-GB"/>
        </w:rPr>
        <w:t>. Thus, the nature of the catalyst</w:t>
      </w:r>
      <w:r w:rsidR="0099228D" w:rsidRPr="00FC5D95">
        <w:rPr>
          <w:lang w:val="en-GB"/>
        </w:rPr>
        <w:t xml:space="preserve"> (called Z in this study)</w:t>
      </w:r>
      <w:r w:rsidR="00FC06E5" w:rsidRPr="00FC5D95">
        <w:rPr>
          <w:lang w:val="en-GB"/>
        </w:rPr>
        <w:t xml:space="preserve"> itself is undefined. </w:t>
      </w:r>
      <w:r w:rsidRPr="00FC5D95">
        <w:rPr>
          <w:lang w:val="en-GB"/>
        </w:rPr>
        <w:t xml:space="preserve">Moreover some </w:t>
      </w:r>
      <w:r w:rsidR="0099228D" w:rsidRPr="00FC5D95">
        <w:rPr>
          <w:lang w:val="en-GB"/>
        </w:rPr>
        <w:t xml:space="preserve">reaction </w:t>
      </w:r>
      <w:r w:rsidRPr="00FC5D95">
        <w:rPr>
          <w:lang w:val="en-GB"/>
        </w:rPr>
        <w:t xml:space="preserve">products </w:t>
      </w:r>
      <w:r w:rsidR="0099228D" w:rsidRPr="00FC5D95">
        <w:rPr>
          <w:lang w:val="en-GB"/>
        </w:rPr>
        <w:t>are gaseous</w:t>
      </w:r>
      <w:r w:rsidR="001D3D34" w:rsidRPr="00FC5D95">
        <w:rPr>
          <w:lang w:val="en-GB"/>
        </w:rPr>
        <w:t xml:space="preserve"> (NO and NO</w:t>
      </w:r>
      <w:r w:rsidR="001D3D34" w:rsidRPr="00FC5D95">
        <w:rPr>
          <w:vertAlign w:val="subscript"/>
          <w:lang w:val="en-GB"/>
        </w:rPr>
        <w:t>2</w:t>
      </w:r>
      <w:r w:rsidR="001D3D34" w:rsidRPr="00FC5D95">
        <w:rPr>
          <w:lang w:val="en-GB"/>
        </w:rPr>
        <w:t>)</w:t>
      </w:r>
      <w:r w:rsidR="00FC06E5" w:rsidRPr="00FC5D95">
        <w:rPr>
          <w:lang w:val="en-GB"/>
        </w:rPr>
        <w:t xml:space="preserve"> which mak</w:t>
      </w:r>
      <w:r w:rsidRPr="00FC5D95">
        <w:rPr>
          <w:lang w:val="en-GB"/>
        </w:rPr>
        <w:t xml:space="preserve">es uranium </w:t>
      </w:r>
      <w:r w:rsidR="00FC06E5" w:rsidRPr="00FC5D95">
        <w:rPr>
          <w:lang w:val="en-GB"/>
        </w:rPr>
        <w:t>dissolution a triphasic reaction, with a</w:t>
      </w:r>
      <w:r w:rsidR="001D3D34" w:rsidRPr="00FC5D95">
        <w:rPr>
          <w:lang w:val="en-GB"/>
        </w:rPr>
        <w:t xml:space="preserve"> phenomenon of bubbling which can</w:t>
      </w:r>
      <w:r w:rsidR="00FC06E5" w:rsidRPr="00FC5D95">
        <w:rPr>
          <w:lang w:val="en-GB"/>
        </w:rPr>
        <w:t xml:space="preserve"> </w:t>
      </w:r>
      <w:r w:rsidR="00FC06E5" w:rsidRPr="00FC5D95">
        <w:rPr>
          <w:lang w:val="en-GB"/>
        </w:rPr>
        <w:lastRenderedPageBreak/>
        <w:t>sometimes</w:t>
      </w:r>
      <w:r w:rsidR="001D3D34" w:rsidRPr="00FC5D95">
        <w:rPr>
          <w:lang w:val="en-GB"/>
        </w:rPr>
        <w:t xml:space="preserve"> be</w:t>
      </w:r>
      <w:r w:rsidR="00FC06E5" w:rsidRPr="00FC5D95">
        <w:rPr>
          <w:lang w:val="en-GB"/>
        </w:rPr>
        <w:t xml:space="preserve"> observed on the </w:t>
      </w:r>
      <w:r w:rsidR="001D3D34" w:rsidRPr="00FC5D95">
        <w:rPr>
          <w:lang w:val="en-GB"/>
        </w:rPr>
        <w:t xml:space="preserve">solid </w:t>
      </w:r>
      <w:r w:rsidR="00FC06E5" w:rsidRPr="00FC5D95">
        <w:rPr>
          <w:lang w:val="en-GB"/>
        </w:rPr>
        <w:t xml:space="preserve">surface. </w:t>
      </w:r>
      <w:r w:rsidR="00775DA8">
        <w:rPr>
          <w:lang w:val="en-GB"/>
        </w:rPr>
        <w:t xml:space="preserve">Finally, previous </w:t>
      </w:r>
      <w:r w:rsidR="00775DA8" w:rsidRPr="00775DA8">
        <w:rPr>
          <w:lang w:val="en-GB"/>
        </w:rPr>
        <w:t>studies have also shown the existence of preferential sites of attack</w:t>
      </w:r>
      <w:r w:rsidR="00775DA8">
        <w:rPr>
          <w:lang w:val="en-GB"/>
        </w:rPr>
        <w:t>,</w:t>
      </w:r>
      <w:r w:rsidR="00775DA8" w:rsidRPr="00775DA8">
        <w:rPr>
          <w:lang w:val="en-GB"/>
        </w:rPr>
        <w:t xml:space="preserve"> such</w:t>
      </w:r>
      <w:r w:rsidR="00775DA8">
        <w:rPr>
          <w:lang w:val="en-GB"/>
        </w:rPr>
        <w:t xml:space="preserve"> as faults or grain boundaries, which also highlights the great impact of the microstructure of the solid</w:t>
      </w:r>
      <w:r w:rsidR="00775DA8" w:rsidRPr="00775DA8">
        <w:rPr>
          <w:lang w:val="en-GB"/>
        </w:rPr>
        <w:t xml:space="preserve"> </w:t>
      </w:r>
      <w:r w:rsidR="00775DA8">
        <w:rPr>
          <w:lang w:val="en-GB"/>
        </w:rPr>
        <w:t xml:space="preserve">on dissolution </w:t>
      </w:r>
      <w:r w:rsidR="00775DA8" w:rsidRPr="00775DA8">
        <w:rPr>
          <w:lang w:val="en-GB"/>
        </w:rPr>
        <w:t>kinetics.</w:t>
      </w:r>
      <w:r w:rsidR="00775DA8">
        <w:rPr>
          <w:lang w:val="en-GB"/>
        </w:rPr>
        <w:t xml:space="preserve"> </w:t>
      </w:r>
      <w:r w:rsidR="0099228D" w:rsidRPr="00FC5D95">
        <w:rPr>
          <w:lang w:val="en-GB"/>
        </w:rPr>
        <w:t>Thus, the complexity of dissolution relies both on the variety o</w:t>
      </w:r>
      <w:r w:rsidR="00DF120C" w:rsidRPr="00FC5D95">
        <w:rPr>
          <w:lang w:val="en-GB"/>
        </w:rPr>
        <w:t>f phenomena</w:t>
      </w:r>
      <w:r w:rsidR="0099228D" w:rsidRPr="00FC5D95">
        <w:rPr>
          <w:lang w:val="en-GB"/>
        </w:rPr>
        <w:t xml:space="preserve"> and mechanisms</w:t>
      </w:r>
      <w:r w:rsidR="00FC5D95" w:rsidRPr="00FC5D95">
        <w:rPr>
          <w:lang w:val="en-GB"/>
        </w:rPr>
        <w:t>,</w:t>
      </w:r>
      <w:r w:rsidR="0099228D" w:rsidRPr="00FC5D95">
        <w:rPr>
          <w:lang w:val="en-GB"/>
        </w:rPr>
        <w:t xml:space="preserve"> and their strong coupling</w:t>
      </w:r>
      <w:r w:rsidR="00775DA8">
        <w:rPr>
          <w:lang w:val="en-GB"/>
        </w:rPr>
        <w:t xml:space="preserve"> illustrated in Figure 1.</w:t>
      </w:r>
      <w:r w:rsidR="0099228D" w:rsidRPr="00FC5D95">
        <w:rPr>
          <w:lang w:val="en-GB"/>
        </w:rPr>
        <w:t xml:space="preserve"> </w:t>
      </w:r>
      <w:r w:rsidR="00DF120C" w:rsidRPr="00FC5D95">
        <w:rPr>
          <w:lang w:val="en-GB"/>
        </w:rPr>
        <w:t xml:space="preserve"> </w:t>
      </w:r>
    </w:p>
    <w:p w:rsidR="001E7D15" w:rsidRPr="00FC5D95" w:rsidRDefault="00775DA8" w:rsidP="007A5AA6">
      <w:pPr>
        <w:pStyle w:val="CETheadingx"/>
        <w:numPr>
          <w:ilvl w:val="0"/>
          <w:numId w:val="0"/>
        </w:numPr>
        <w:rPr>
          <w:b w:val="0"/>
          <w:lang w:val="en-GB"/>
        </w:rPr>
      </w:pPr>
      <w:r>
        <w:rPr>
          <w:b w:val="0"/>
          <w:noProof/>
          <w:lang w:val="fr-FR" w:eastAsia="fr-FR"/>
        </w:rPr>
        <w:drawing>
          <wp:inline distT="0" distB="0" distL="0" distR="0" wp14:anchorId="7977A31E">
            <wp:extent cx="2831726" cy="2940988"/>
            <wp:effectExtent l="0" t="0" r="698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3846" cy="2963961"/>
                    </a:xfrm>
                    <a:prstGeom prst="rect">
                      <a:avLst/>
                    </a:prstGeom>
                    <a:noFill/>
                  </pic:spPr>
                </pic:pic>
              </a:graphicData>
            </a:graphic>
          </wp:inline>
        </w:drawing>
      </w:r>
    </w:p>
    <w:p w:rsidR="00743690" w:rsidRPr="00FC5D95" w:rsidRDefault="00743690" w:rsidP="00743690">
      <w:pPr>
        <w:pStyle w:val="CETCaption"/>
      </w:pPr>
      <w:r w:rsidRPr="00FC5D95">
        <w:t xml:space="preserve">Figure 1: </w:t>
      </w:r>
      <w:r w:rsidR="0099228D" w:rsidRPr="00FC5D95">
        <w:t>Description of mechanisms involved in the dissolution of nuclear fuel pellets</w:t>
      </w:r>
    </w:p>
    <w:p w:rsidR="00FC06E5" w:rsidRPr="00FC5D95" w:rsidRDefault="00262A2E" w:rsidP="00FC06E5">
      <w:pPr>
        <w:pStyle w:val="CETheadingx"/>
        <w:rPr>
          <w:lang w:val="en-GB"/>
        </w:rPr>
      </w:pPr>
      <w:r>
        <w:rPr>
          <w:lang w:val="en-GB"/>
        </w:rPr>
        <w:t>Aim of modelling</w:t>
      </w:r>
    </w:p>
    <w:p w:rsidR="00692D4B" w:rsidRPr="00FC5D95" w:rsidRDefault="00316592" w:rsidP="00692D4B">
      <w:pPr>
        <w:pStyle w:val="CETBodytext"/>
        <w:rPr>
          <w:lang w:val="en-GB"/>
        </w:rPr>
      </w:pPr>
      <w:r>
        <w:rPr>
          <w:lang w:val="en-GB"/>
        </w:rPr>
        <w:t>Eventually</w:t>
      </w:r>
      <w:r w:rsidR="00FC06E5" w:rsidRPr="00FC5D95">
        <w:rPr>
          <w:lang w:val="en-GB"/>
        </w:rPr>
        <w:t xml:space="preserve"> the objective i</w:t>
      </w:r>
      <w:r w:rsidR="001D3D34" w:rsidRPr="00FC5D95">
        <w:rPr>
          <w:lang w:val="en-GB"/>
        </w:rPr>
        <w:t>s to have a dissolution model for various applications</w:t>
      </w:r>
      <w:r w:rsidR="00FC06E5" w:rsidRPr="00FC5D95">
        <w:rPr>
          <w:lang w:val="en-GB"/>
        </w:rPr>
        <w:t xml:space="preserve"> </w:t>
      </w:r>
      <w:r w:rsidR="0099228D" w:rsidRPr="00FC5D95">
        <w:rPr>
          <w:lang w:val="en-GB"/>
        </w:rPr>
        <w:t xml:space="preserve">such </w:t>
      </w:r>
      <w:r w:rsidR="00FC5D95" w:rsidRPr="00FC5D95">
        <w:rPr>
          <w:lang w:val="en-GB"/>
        </w:rPr>
        <w:t xml:space="preserve">as </w:t>
      </w:r>
      <w:r w:rsidR="0099228D" w:rsidRPr="00FC5D95">
        <w:rPr>
          <w:lang w:val="en-GB"/>
        </w:rPr>
        <w:t xml:space="preserve">making </w:t>
      </w:r>
      <w:r w:rsidR="00FC5D95" w:rsidRPr="00FC5D95">
        <w:rPr>
          <w:lang w:val="en-GB"/>
        </w:rPr>
        <w:t>optimis</w:t>
      </w:r>
      <w:r w:rsidR="0099228D" w:rsidRPr="00FC5D95">
        <w:rPr>
          <w:lang w:val="en-GB"/>
        </w:rPr>
        <w:t>ation</w:t>
      </w:r>
      <w:r w:rsidR="00FC06E5" w:rsidRPr="00FC5D95">
        <w:rPr>
          <w:lang w:val="en-GB"/>
        </w:rPr>
        <w:t xml:space="preserve"> solutions </w:t>
      </w:r>
      <w:r w:rsidR="0099228D" w:rsidRPr="00FC5D95">
        <w:rPr>
          <w:lang w:val="en-GB"/>
        </w:rPr>
        <w:t xml:space="preserve">arising </w:t>
      </w:r>
      <w:r w:rsidR="00FC06E5" w:rsidRPr="00FC5D95">
        <w:rPr>
          <w:lang w:val="en-GB"/>
        </w:rPr>
        <w:t xml:space="preserve">for the existing </w:t>
      </w:r>
      <w:r w:rsidR="0099228D" w:rsidRPr="00FC5D95">
        <w:rPr>
          <w:lang w:val="en-GB"/>
        </w:rPr>
        <w:t>nuclear fuel</w:t>
      </w:r>
      <w:r w:rsidR="00FC06E5" w:rsidRPr="00FC5D95">
        <w:rPr>
          <w:lang w:val="en-GB"/>
        </w:rPr>
        <w:t xml:space="preserve"> dissolution reactors, but also for other processes involving autocatalysed</w:t>
      </w:r>
      <w:r w:rsidR="00DF120C" w:rsidRPr="00FC5D95">
        <w:rPr>
          <w:lang w:val="en-GB"/>
        </w:rPr>
        <w:t xml:space="preserve"> and heterogeneous reactions. </w:t>
      </w:r>
      <w:r w:rsidR="00FC06E5" w:rsidRPr="00FC5D95">
        <w:rPr>
          <w:lang w:val="en-GB"/>
        </w:rPr>
        <w:t xml:space="preserve">In addition, </w:t>
      </w:r>
      <w:r w:rsidR="00692D4B" w:rsidRPr="00FC5D95">
        <w:rPr>
          <w:lang w:val="en-GB"/>
        </w:rPr>
        <w:t>it would be a tool</w:t>
      </w:r>
      <w:r w:rsidR="00FC06E5" w:rsidRPr="00FC5D95">
        <w:rPr>
          <w:lang w:val="en-GB"/>
        </w:rPr>
        <w:t xml:space="preserve"> to test innovative configurat</w:t>
      </w:r>
      <w:r w:rsidR="00FC5D95">
        <w:rPr>
          <w:lang w:val="en-GB"/>
        </w:rPr>
        <w:t xml:space="preserve">ions for the development of </w:t>
      </w:r>
      <w:r w:rsidR="00FC06E5" w:rsidRPr="00FC5D95">
        <w:rPr>
          <w:lang w:val="en-GB"/>
        </w:rPr>
        <w:t>reac</w:t>
      </w:r>
      <w:r w:rsidR="00692D4B" w:rsidRPr="00FC5D95">
        <w:rPr>
          <w:lang w:val="en-GB"/>
        </w:rPr>
        <w:t>tors f</w:t>
      </w:r>
      <w:r w:rsidR="00FC5D95">
        <w:rPr>
          <w:lang w:val="en-GB"/>
        </w:rPr>
        <w:t>or</w:t>
      </w:r>
      <w:r w:rsidR="00262A2E">
        <w:rPr>
          <w:lang w:val="en-GB"/>
        </w:rPr>
        <w:t xml:space="preserve"> future reprocessing</w:t>
      </w:r>
      <w:r w:rsidR="00692D4B" w:rsidRPr="00FC5D95">
        <w:rPr>
          <w:lang w:val="en-GB"/>
        </w:rPr>
        <w:t xml:space="preserve"> plants</w:t>
      </w:r>
      <w:r w:rsidR="00FC06E5" w:rsidRPr="00FC5D95">
        <w:rPr>
          <w:lang w:val="en-GB"/>
        </w:rPr>
        <w:t xml:space="preserve">. Nevertheless, the construction of such a model requires a thorough understanding of the phenomena </w:t>
      </w:r>
      <w:r w:rsidR="00692D4B" w:rsidRPr="00FC5D95">
        <w:rPr>
          <w:lang w:val="en-GB"/>
        </w:rPr>
        <w:t xml:space="preserve">involved </w:t>
      </w:r>
      <w:r w:rsidR="00FC06E5" w:rsidRPr="00FC5D95">
        <w:rPr>
          <w:lang w:val="en-GB"/>
        </w:rPr>
        <w:t xml:space="preserve">at different scales </w:t>
      </w:r>
      <w:r w:rsidR="0099228D" w:rsidRPr="00FC5D95">
        <w:rPr>
          <w:lang w:val="en-GB"/>
        </w:rPr>
        <w:t>and the formalization of the dissolution kinetic rates.</w:t>
      </w:r>
    </w:p>
    <w:p w:rsidR="00314C13" w:rsidRPr="00FC5D95" w:rsidRDefault="00262A2E" w:rsidP="00314C13">
      <w:pPr>
        <w:pStyle w:val="CETHeading1"/>
        <w:tabs>
          <w:tab w:val="num" w:pos="360"/>
        </w:tabs>
        <w:rPr>
          <w:lang w:val="en-GB"/>
        </w:rPr>
      </w:pPr>
      <w:r>
        <w:rPr>
          <w:lang w:val="en-GB"/>
        </w:rPr>
        <w:t>Microscopic modelling</w:t>
      </w:r>
      <w:r w:rsidR="00A00E8F">
        <w:rPr>
          <w:lang w:val="en-GB"/>
        </w:rPr>
        <w:t xml:space="preserve"> of UO</w:t>
      </w:r>
      <w:r w:rsidR="00A00E8F" w:rsidRPr="00A00E8F">
        <w:rPr>
          <w:vertAlign w:val="subscript"/>
          <w:lang w:val="en-GB"/>
        </w:rPr>
        <w:t>2</w:t>
      </w:r>
      <w:r w:rsidR="00A00E8F">
        <w:rPr>
          <w:lang w:val="en-GB"/>
        </w:rPr>
        <w:t xml:space="preserve"> particles</w:t>
      </w:r>
      <w:r w:rsidR="00A00E8F" w:rsidRPr="00A00E8F">
        <w:rPr>
          <w:lang w:val="en-GB"/>
        </w:rPr>
        <w:t xml:space="preserve"> </w:t>
      </w:r>
      <w:r w:rsidR="00A00E8F">
        <w:rPr>
          <w:lang w:val="en-GB"/>
        </w:rPr>
        <w:t>dissolution</w:t>
      </w:r>
    </w:p>
    <w:p w:rsidR="001B4A4F" w:rsidRPr="00FC5D95" w:rsidRDefault="00316592" w:rsidP="001B4A4F">
      <w:pPr>
        <w:pStyle w:val="CETheadingx"/>
        <w:rPr>
          <w:lang w:val="en-GB"/>
        </w:rPr>
      </w:pPr>
      <w:r>
        <w:rPr>
          <w:lang w:val="en-GB"/>
        </w:rPr>
        <w:t>A microscopic model</w:t>
      </w:r>
    </w:p>
    <w:p w:rsidR="001B4A4F" w:rsidRPr="00FC5D95" w:rsidRDefault="001B4A4F" w:rsidP="001B4A4F">
      <w:pPr>
        <w:pStyle w:val="CETBodytext"/>
        <w:rPr>
          <w:lang w:val="en-GB"/>
        </w:rPr>
      </w:pPr>
      <w:r>
        <w:t>A</w:t>
      </w:r>
      <w:r w:rsidRPr="00534B5B">
        <w:t xml:space="preserve"> </w:t>
      </w:r>
      <w:r>
        <w:t>dissolution model was elaborated for single particles</w:t>
      </w:r>
      <w:r w:rsidRPr="00534B5B">
        <w:t xml:space="preserve"> on the basis of a chemical-engineering approach by integrating the influence of hy</w:t>
      </w:r>
      <w:r w:rsidR="000953C5">
        <w:t>drodynamics on heat and mass</w:t>
      </w:r>
      <w:r w:rsidRPr="00534B5B">
        <w:t xml:space="preserve"> transfers, </w:t>
      </w:r>
      <w:r>
        <w:t>to determine</w:t>
      </w:r>
      <w:r w:rsidRPr="00534B5B">
        <w:t xml:space="preserve"> the dissolution kinetic rate</w:t>
      </w:r>
      <w:r>
        <w:t>s</w:t>
      </w:r>
      <w:r w:rsidRPr="00534B5B">
        <w:t xml:space="preserve"> </w:t>
      </w:r>
      <w:r>
        <w:t xml:space="preserve">from the experiments described in </w:t>
      </w:r>
      <w:r w:rsidR="00A00E8F">
        <w:t>section 2.2</w:t>
      </w:r>
      <w:r>
        <w:t xml:space="preserve"> </w:t>
      </w:r>
      <w:r w:rsidRPr="00534B5B">
        <w:t>at microscopic scale.</w:t>
      </w:r>
      <w:r>
        <w:t xml:space="preserve"> T</w:t>
      </w:r>
      <w:r w:rsidR="000953C5">
        <w:t>he influence of mass</w:t>
      </w:r>
      <w:r w:rsidRPr="00534B5B">
        <w:t xml:space="preserve"> transfer has a large impact on solid-liquid reactions, especially for autocatalysed reactions as the accumulation of the catalyst in the boundary layer considerably </w:t>
      </w:r>
      <w:r>
        <w:t xml:space="preserve">enhances </w:t>
      </w:r>
      <w:r w:rsidRPr="00534B5B">
        <w:t xml:space="preserve">kinetics. A model, taking into account the diffusion of the species and the peculiarities of the autocatalytic reaction, has been </w:t>
      </w:r>
      <w:r>
        <w:t xml:space="preserve">then </w:t>
      </w:r>
      <w:r w:rsidRPr="00534B5B">
        <w:t>elaborated.</w:t>
      </w:r>
      <w:r>
        <w:t xml:space="preserve"> It includes </w:t>
      </w:r>
      <w:r w:rsidRPr="00FC5D95">
        <w:rPr>
          <w:lang w:val="en-GB"/>
        </w:rPr>
        <w:t>the following elements</w:t>
      </w:r>
      <w:r w:rsidR="00775DA8">
        <w:rPr>
          <w:lang w:val="en-GB"/>
        </w:rPr>
        <w:t xml:space="preserve"> (see Figure 2)</w:t>
      </w:r>
      <w:r w:rsidRPr="00FC5D95">
        <w:rPr>
          <w:lang w:val="en-GB"/>
        </w:rPr>
        <w:t>:</w:t>
      </w:r>
    </w:p>
    <w:p w:rsidR="001B4A4F" w:rsidRPr="00FC5D95" w:rsidRDefault="001B4A4F" w:rsidP="001B4A4F">
      <w:pPr>
        <w:pStyle w:val="CETBodytext"/>
        <w:numPr>
          <w:ilvl w:val="0"/>
          <w:numId w:val="30"/>
        </w:numPr>
        <w:rPr>
          <w:lang w:val="en-GB"/>
        </w:rPr>
      </w:pPr>
      <w:r w:rsidRPr="00FC5D95">
        <w:rPr>
          <w:lang w:val="en-GB"/>
        </w:rPr>
        <w:t>the autocatalytic aspect of the reaction,</w:t>
      </w:r>
    </w:p>
    <w:p w:rsidR="001B4A4F" w:rsidRPr="00FC5D95" w:rsidRDefault="001B4A4F" w:rsidP="001B4A4F">
      <w:pPr>
        <w:pStyle w:val="CETBodytext"/>
        <w:numPr>
          <w:ilvl w:val="0"/>
          <w:numId w:val="30"/>
        </w:numPr>
        <w:rPr>
          <w:lang w:val="en-GB"/>
        </w:rPr>
      </w:pPr>
      <w:r w:rsidRPr="00FC5D95">
        <w:rPr>
          <w:lang w:val="en-GB"/>
        </w:rPr>
        <w:t>the diffusion of species at both solid/liquid and liquid/gas interfaces,</w:t>
      </w:r>
    </w:p>
    <w:p w:rsidR="001B4A4F" w:rsidRPr="00FC5D95" w:rsidRDefault="001B4A4F" w:rsidP="001B4A4F">
      <w:pPr>
        <w:pStyle w:val="CETBodytext"/>
        <w:numPr>
          <w:ilvl w:val="0"/>
          <w:numId w:val="30"/>
        </w:numPr>
        <w:rPr>
          <w:lang w:val="en-GB"/>
        </w:rPr>
      </w:pPr>
      <w:r w:rsidRPr="00FC5D95">
        <w:rPr>
          <w:lang w:val="en-GB"/>
        </w:rPr>
        <w:t>a volume reaction between catalyst and gas (in a first step, it was considered a reaction of the first order with respect to the reagents, reversible and independent from the concentration of nitric acid).</w:t>
      </w:r>
    </w:p>
    <w:p w:rsidR="00A00E8F" w:rsidRPr="00FC5D95" w:rsidRDefault="00262A2E" w:rsidP="00A00E8F">
      <w:pPr>
        <w:pStyle w:val="CETBodytext"/>
        <w:rPr>
          <w:lang w:val="en-GB"/>
        </w:rPr>
      </w:pPr>
      <w:r>
        <w:t>Modelling</w:t>
      </w:r>
      <w:r w:rsidR="001B4A4F" w:rsidRPr="00FC5D95">
        <w:t xml:space="preserve"> of bubbling is on progress and has not been implemented yet.</w:t>
      </w:r>
      <w:r w:rsidR="00A00E8F" w:rsidRPr="00A00E8F">
        <w:t xml:space="preserve"> </w:t>
      </w:r>
      <w:r w:rsidR="00A00E8F" w:rsidRPr="00FC5D95">
        <w:rPr>
          <w:lang w:val="en-GB"/>
        </w:rPr>
        <w:t xml:space="preserve">The overall dissolution rate is represented in Eq(1) to Eq(3) as the sum of two </w:t>
      </w:r>
      <w:r w:rsidR="00A00E8F">
        <w:rPr>
          <w:lang w:val="en-GB"/>
        </w:rPr>
        <w:t xml:space="preserve">parallel </w:t>
      </w:r>
      <w:r w:rsidR="00A00E8F" w:rsidRPr="00FC5D95">
        <w:rPr>
          <w:lang w:val="en-GB"/>
        </w:rPr>
        <w:t>rea</w:t>
      </w:r>
      <w:r w:rsidR="00A00E8F">
        <w:rPr>
          <w:lang w:val="en-GB"/>
        </w:rPr>
        <w:t>ctions</w:t>
      </w:r>
      <w:r w:rsidR="00A00E8F" w:rsidRPr="00FC5D95">
        <w:rPr>
          <w:lang w:val="en-GB"/>
        </w:rPr>
        <w:t>: an uncatalysed reaction (</w:t>
      </w:r>
      <w:r w:rsidR="00A00E8F">
        <w:rPr>
          <w:lang w:val="en-GB"/>
        </w:rPr>
        <w:t>subscripted</w:t>
      </w:r>
      <w:r w:rsidR="00A00E8F" w:rsidRPr="00FC5D95">
        <w:rPr>
          <w:lang w:val="en-GB"/>
        </w:rPr>
        <w:t xml:space="preserve"> nc) </w:t>
      </w:r>
      <w:r w:rsidR="00A00E8F">
        <w:rPr>
          <w:lang w:val="en-GB"/>
        </w:rPr>
        <w:t>in which</w:t>
      </w:r>
      <w:r w:rsidR="00A00E8F" w:rsidRPr="00FC5D95">
        <w:rPr>
          <w:lang w:val="en-GB"/>
        </w:rPr>
        <w:t xml:space="preserve"> the catalyst Z has no influence, and a catalysed reaction (</w:t>
      </w:r>
      <w:r w:rsidR="00A00E8F">
        <w:rPr>
          <w:lang w:val="en-GB"/>
        </w:rPr>
        <w:t>subscripted</w:t>
      </w:r>
      <w:r w:rsidR="00A00E8F" w:rsidRPr="00FC5D95">
        <w:rPr>
          <w:lang w:val="en-GB"/>
        </w:rPr>
        <w:t xml:space="preserve"> c).</w:t>
      </w:r>
    </w:p>
    <w:tbl>
      <w:tblPr>
        <w:tblW w:w="5000" w:type="pct"/>
        <w:tblLook w:val="04A0" w:firstRow="1" w:lastRow="0" w:firstColumn="1" w:lastColumn="0" w:noHBand="0" w:noVBand="1"/>
      </w:tblPr>
      <w:tblGrid>
        <w:gridCol w:w="7986"/>
        <w:gridCol w:w="801"/>
      </w:tblGrid>
      <w:tr w:rsidR="00A00E8F" w:rsidRPr="00FC5D95" w:rsidTr="007E5A03">
        <w:tc>
          <w:tcPr>
            <w:tcW w:w="7986" w:type="dxa"/>
            <w:shd w:val="clear" w:color="auto" w:fill="auto"/>
            <w:vAlign w:val="center"/>
          </w:tcPr>
          <w:p w:rsidR="00A00E8F" w:rsidRPr="00FC5D95" w:rsidRDefault="00B06B1E" w:rsidP="00950507">
            <w:pPr>
              <w:pStyle w:val="CETEquation"/>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disso</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nc</m:t>
                    </m: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HNO</m:t>
                            </m:r>
                          </m:e>
                          <m:sub>
                            <m:r>
                              <w:rPr>
                                <w:rFonts w:ascii="Cambria Math" w:hAnsi="Cambria Math"/>
                              </w:rPr>
                              <m:t>3</m:t>
                            </m:r>
                          </m:sub>
                        </m:sSub>
                      </m:e>
                    </m:d>
                  </m:e>
                  <m:sup>
                    <m:sSub>
                      <m:sSubPr>
                        <m:ctrlPr>
                          <w:rPr>
                            <w:rFonts w:ascii="Cambria Math" w:hAnsi="Cambria Math"/>
                            <w:i/>
                          </w:rPr>
                        </m:ctrlPr>
                      </m:sSubPr>
                      <m:e>
                        <m:r>
                          <w:rPr>
                            <w:rFonts w:ascii="Cambria Math" w:hAnsi="Cambria Math"/>
                          </w:rPr>
                          <m:t>n</m:t>
                        </m:r>
                      </m:e>
                      <m:sub>
                        <m:r>
                          <w:rPr>
                            <w:rFonts w:ascii="Cambria Math" w:hAnsi="Cambria Math"/>
                          </w:rPr>
                          <m:t>1</m:t>
                        </m:r>
                      </m:sub>
                    </m:sSub>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c</m:t>
                    </m: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HNO</m:t>
                            </m:r>
                          </m:e>
                          <m:sub>
                            <m:r>
                              <w:rPr>
                                <w:rFonts w:ascii="Cambria Math" w:hAnsi="Cambria Math"/>
                              </w:rPr>
                              <m:t>3</m:t>
                            </m:r>
                          </m:sub>
                        </m:sSub>
                      </m:e>
                    </m:d>
                  </m:e>
                  <m:sup>
                    <m:sSub>
                      <m:sSubPr>
                        <m:ctrlPr>
                          <w:rPr>
                            <w:rFonts w:ascii="Cambria Math" w:hAnsi="Cambria Math"/>
                            <w:i/>
                          </w:rPr>
                        </m:ctrlPr>
                      </m:sSubPr>
                      <m:e>
                        <m:r>
                          <w:rPr>
                            <w:rFonts w:ascii="Cambria Math" w:hAnsi="Cambria Math"/>
                          </w:rPr>
                          <m:t>n</m:t>
                        </m:r>
                      </m:e>
                      <m:sub>
                        <m:r>
                          <w:rPr>
                            <w:rFonts w:ascii="Cambria Math" w:hAnsi="Cambria Math"/>
                          </w:rPr>
                          <m:t>2</m:t>
                        </m:r>
                      </m:sub>
                    </m:sSub>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Z</m:t>
                        </m:r>
                      </m:e>
                    </m:d>
                  </m:e>
                  <m:sup>
                    <m:r>
                      <w:rPr>
                        <w:rFonts w:ascii="Cambria Math" w:hAnsi="Cambria Math"/>
                      </w:rPr>
                      <m:t>p</m:t>
                    </m:r>
                  </m:sup>
                </m:sSup>
              </m:oMath>
            </m:oMathPara>
          </w:p>
        </w:tc>
        <w:tc>
          <w:tcPr>
            <w:tcW w:w="801" w:type="dxa"/>
            <w:shd w:val="clear" w:color="auto" w:fill="auto"/>
            <w:vAlign w:val="center"/>
          </w:tcPr>
          <w:p w:rsidR="00A00E8F" w:rsidRPr="00FC5D95" w:rsidRDefault="00A00E8F" w:rsidP="007E5A03">
            <w:pPr>
              <w:pStyle w:val="CETEquation"/>
              <w:jc w:val="right"/>
            </w:pPr>
            <w:r w:rsidRPr="00FC5D95">
              <w:t>(1)</w:t>
            </w:r>
          </w:p>
        </w:tc>
      </w:tr>
      <w:tr w:rsidR="00A00E8F" w:rsidRPr="00FC5D95" w:rsidTr="007E5A03">
        <w:tc>
          <w:tcPr>
            <w:tcW w:w="7986" w:type="dxa"/>
            <w:shd w:val="clear" w:color="auto" w:fill="auto"/>
            <w:vAlign w:val="center"/>
          </w:tcPr>
          <w:p w:rsidR="00A00E8F" w:rsidRPr="00FC5D95" w:rsidRDefault="00B06B1E" w:rsidP="007E5A03">
            <w:pPr>
              <w:pStyle w:val="CETEquation"/>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nc</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nc</m:t>
                    </m:r>
                  </m:sub>
                </m:sSub>
                <m:r>
                  <w:rPr>
                    <w:rFonts w:ascii="Cambria Math" w:hAnsi="Cambria Math"/>
                  </w:rPr>
                  <m:t>exp</m:t>
                </m:r>
                <m:d>
                  <m:dPr>
                    <m:ctrlPr>
                      <w:rPr>
                        <w:rFonts w:ascii="Cambria Math" w:hAnsi="Cambria Math"/>
                        <w:i/>
                      </w:rPr>
                    </m:ctrlPr>
                  </m:dPr>
                  <m:e>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Ea</m:t>
                            </m:r>
                          </m:e>
                          <m:sub>
                            <m:r>
                              <w:rPr>
                                <w:rFonts w:ascii="Cambria Math" w:hAnsi="Cambria Math"/>
                              </w:rPr>
                              <m:t>nc</m:t>
                            </m:r>
                          </m:sub>
                        </m:sSub>
                      </m:num>
                      <m:den>
                        <m:r>
                          <w:rPr>
                            <w:rFonts w:ascii="Cambria Math" w:hAnsi="Cambria Math"/>
                          </w:rPr>
                          <m:t>RT</m:t>
                        </m:r>
                      </m:den>
                    </m:f>
                  </m:e>
                </m:d>
              </m:oMath>
            </m:oMathPara>
          </w:p>
        </w:tc>
        <w:tc>
          <w:tcPr>
            <w:tcW w:w="801" w:type="dxa"/>
            <w:shd w:val="clear" w:color="auto" w:fill="auto"/>
            <w:vAlign w:val="center"/>
          </w:tcPr>
          <w:p w:rsidR="00A00E8F" w:rsidRPr="00FC5D95" w:rsidRDefault="00A00E8F" w:rsidP="007E5A03">
            <w:pPr>
              <w:pStyle w:val="CETEquation"/>
              <w:jc w:val="right"/>
            </w:pPr>
            <w:r w:rsidRPr="00FC5D95">
              <w:t>(2)</w:t>
            </w:r>
          </w:p>
        </w:tc>
      </w:tr>
      <w:tr w:rsidR="00A00E8F" w:rsidRPr="00FC5D95" w:rsidTr="007E5A03">
        <w:tc>
          <w:tcPr>
            <w:tcW w:w="7986" w:type="dxa"/>
            <w:shd w:val="clear" w:color="auto" w:fill="auto"/>
            <w:vAlign w:val="center"/>
          </w:tcPr>
          <w:p w:rsidR="00A00E8F" w:rsidRPr="00FC5D95" w:rsidRDefault="00B06B1E" w:rsidP="007E5A03">
            <w:pPr>
              <w:pStyle w:val="CETEquation"/>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exp</m:t>
                </m:r>
                <m:d>
                  <m:dPr>
                    <m:ctrlPr>
                      <w:rPr>
                        <w:rFonts w:ascii="Cambria Math" w:hAnsi="Cambria Math"/>
                        <w:i/>
                      </w:rPr>
                    </m:ctrlPr>
                  </m:dPr>
                  <m:e>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Ea</m:t>
                            </m:r>
                          </m:e>
                          <m:sub>
                            <m:r>
                              <w:rPr>
                                <w:rFonts w:ascii="Cambria Math" w:hAnsi="Cambria Math"/>
                              </w:rPr>
                              <m:t>c</m:t>
                            </m:r>
                          </m:sub>
                        </m:sSub>
                      </m:num>
                      <m:den>
                        <m:r>
                          <w:rPr>
                            <w:rFonts w:ascii="Cambria Math" w:hAnsi="Cambria Math"/>
                          </w:rPr>
                          <m:t>RT</m:t>
                        </m:r>
                      </m:den>
                    </m:f>
                  </m:e>
                </m:d>
              </m:oMath>
            </m:oMathPara>
          </w:p>
        </w:tc>
        <w:tc>
          <w:tcPr>
            <w:tcW w:w="801" w:type="dxa"/>
            <w:shd w:val="clear" w:color="auto" w:fill="auto"/>
            <w:vAlign w:val="center"/>
          </w:tcPr>
          <w:p w:rsidR="00A00E8F" w:rsidRPr="00FC5D95" w:rsidRDefault="00A00E8F" w:rsidP="007E5A03">
            <w:pPr>
              <w:pStyle w:val="CETEquation"/>
              <w:jc w:val="right"/>
            </w:pPr>
            <w:r w:rsidRPr="00FC5D95">
              <w:t>(3)</w:t>
            </w:r>
          </w:p>
        </w:tc>
      </w:tr>
    </w:tbl>
    <w:p w:rsidR="009215B1" w:rsidRPr="00FC5D95" w:rsidRDefault="008801C3" w:rsidP="009215B1">
      <w:pPr>
        <w:pStyle w:val="CETBodytext"/>
        <w:rPr>
          <w:lang w:val="en-GB"/>
        </w:rPr>
      </w:pPr>
      <w:r>
        <w:rPr>
          <w:noProof/>
          <w:lang w:val="fr-FR" w:eastAsia="fr-FR"/>
        </w:rPr>
        <w:drawing>
          <wp:inline distT="0" distB="0" distL="0" distR="0" wp14:anchorId="4D373562">
            <wp:extent cx="2396532" cy="2230902"/>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770" cy="2250672"/>
                    </a:xfrm>
                    <a:prstGeom prst="rect">
                      <a:avLst/>
                    </a:prstGeom>
                    <a:noFill/>
                  </pic:spPr>
                </pic:pic>
              </a:graphicData>
            </a:graphic>
          </wp:inline>
        </w:drawing>
      </w:r>
    </w:p>
    <w:p w:rsidR="009215B1" w:rsidRPr="00FC5D95" w:rsidRDefault="009215B1" w:rsidP="009215B1">
      <w:pPr>
        <w:pStyle w:val="CETCaption"/>
      </w:pPr>
      <w:r w:rsidRPr="00FC5D95">
        <w:t>Figure 2: Description of the dissolution model</w:t>
      </w:r>
      <w:r w:rsidR="008801C3">
        <w:t xml:space="preserve"> – C</w:t>
      </w:r>
      <w:r w:rsidR="008801C3" w:rsidRPr="008801C3">
        <w:rPr>
          <w:vertAlign w:val="subscript"/>
        </w:rPr>
        <w:t>i,bulk</w:t>
      </w:r>
      <w:r w:rsidR="008801C3">
        <w:t xml:space="preserve"> = concentration of species i in the bulk – </w:t>
      </w:r>
      <w:r w:rsidR="008801C3" w:rsidRPr="00B06B1E">
        <w:t>r</w:t>
      </w:r>
      <w:r w:rsidR="008801C3" w:rsidRPr="00B06B1E">
        <w:rPr>
          <w:vertAlign w:val="subscript"/>
        </w:rPr>
        <w:t>GS</w:t>
      </w:r>
      <w:r w:rsidR="008801C3">
        <w:t xml:space="preserve"> = volumi</w:t>
      </w:r>
      <w:r w:rsidR="002E142C">
        <w:t>c reaction between the catalyst</w:t>
      </w:r>
      <w:r w:rsidR="008801C3">
        <w:t xml:space="preserve"> Z and the gas products</w:t>
      </w:r>
      <w:bookmarkStart w:id="0" w:name="_GoBack"/>
      <w:bookmarkEnd w:id="0"/>
    </w:p>
    <w:p w:rsidR="00A00E8F" w:rsidRPr="00FC5D95" w:rsidRDefault="00A00E8F" w:rsidP="00A00E8F">
      <w:pPr>
        <w:pStyle w:val="CETheadingx"/>
        <w:rPr>
          <w:lang w:val="en-GB"/>
        </w:rPr>
      </w:pPr>
      <w:r w:rsidRPr="00FC5D95">
        <w:rPr>
          <w:lang w:val="en-GB"/>
        </w:rPr>
        <w:t>Experimental setup</w:t>
      </w:r>
    </w:p>
    <w:p w:rsidR="00A00E8F" w:rsidRDefault="00A00E8F" w:rsidP="00A00E8F">
      <w:pPr>
        <w:pStyle w:val="CETBodytext"/>
        <w:rPr>
          <w:lang w:val="en-GB"/>
        </w:rPr>
      </w:pPr>
      <w:r w:rsidRPr="00FC5D95">
        <w:rPr>
          <w:lang w:val="en-GB"/>
        </w:rPr>
        <w:t xml:space="preserve">Dissolution rates are measured </w:t>
      </w:r>
      <w:r>
        <w:rPr>
          <w:lang w:val="en-GB"/>
        </w:rPr>
        <w:t xml:space="preserve">following the dissolution of </w:t>
      </w:r>
      <w:r w:rsidRPr="00FC5D95">
        <w:rPr>
          <w:lang w:val="en-GB"/>
        </w:rPr>
        <w:t>oxide particle</w:t>
      </w:r>
      <w:r>
        <w:rPr>
          <w:lang w:val="en-GB"/>
        </w:rPr>
        <w:t>s by observing their</w:t>
      </w:r>
      <w:r w:rsidRPr="00FC5D95">
        <w:rPr>
          <w:lang w:val="en-GB"/>
        </w:rPr>
        <w:t xml:space="preserve"> </w:t>
      </w:r>
      <w:r w:rsidR="00641A5F">
        <w:rPr>
          <w:lang w:val="en-GB"/>
        </w:rPr>
        <w:t xml:space="preserve">projected </w:t>
      </w:r>
      <w:r w:rsidRPr="00FC5D95">
        <w:rPr>
          <w:lang w:val="en-GB"/>
        </w:rPr>
        <w:t>area</w:t>
      </w:r>
      <w:r>
        <w:rPr>
          <w:lang w:val="en-GB"/>
        </w:rPr>
        <w:t>s</w:t>
      </w:r>
      <w:r w:rsidRPr="00FC5D95">
        <w:rPr>
          <w:lang w:val="en-GB"/>
        </w:rPr>
        <w:t xml:space="preserve"> by optical microscopy </w:t>
      </w:r>
      <w:r w:rsidR="00875545">
        <w:rPr>
          <w:lang w:val="en-GB"/>
        </w:rPr>
        <w:t>(</w:t>
      </w:r>
      <w:r w:rsidR="00875545" w:rsidRPr="00875545">
        <w:rPr>
          <w:lang w:val="en-GB"/>
        </w:rPr>
        <w:t>ZEISS Axio Vert.A1 Inverted Microscope</w:t>
      </w:r>
      <w:r w:rsidR="00875545">
        <w:rPr>
          <w:lang w:val="en-GB"/>
        </w:rPr>
        <w:t>)</w:t>
      </w:r>
      <w:r w:rsidR="00641A5F">
        <w:rPr>
          <w:lang w:val="en-GB"/>
        </w:rPr>
        <w:t xml:space="preserve">. Image processing </w:t>
      </w:r>
      <w:r w:rsidR="001A038C">
        <w:rPr>
          <w:lang w:val="en-GB"/>
        </w:rPr>
        <w:t>is done</w:t>
      </w:r>
      <w:r w:rsidR="00641A5F">
        <w:rPr>
          <w:lang w:val="en-GB"/>
        </w:rPr>
        <w:t xml:space="preserve"> thanks to a homemade software developed on Scilab to extract areas </w:t>
      </w:r>
      <w:r w:rsidR="00641A5F" w:rsidRPr="00FC5D95">
        <w:rPr>
          <w:lang w:val="en-GB"/>
        </w:rPr>
        <w:t>and perimeter</w:t>
      </w:r>
      <w:r w:rsidR="00641A5F">
        <w:rPr>
          <w:lang w:val="en-GB"/>
        </w:rPr>
        <w:t>s</w:t>
      </w:r>
      <w:r w:rsidR="00641A5F" w:rsidRPr="00FC5D95">
        <w:rPr>
          <w:lang w:val="en-GB"/>
        </w:rPr>
        <w:t xml:space="preserve"> over time </w:t>
      </w:r>
      <w:r w:rsidR="00775DA8">
        <w:rPr>
          <w:lang w:val="en-GB"/>
        </w:rPr>
        <w:t>(see Figure 3</w:t>
      </w:r>
      <w:r w:rsidRPr="00FC5D95">
        <w:rPr>
          <w:lang w:val="en-GB"/>
        </w:rPr>
        <w:t>). Indeed this method makes it possible to work with small particles, which improve</w:t>
      </w:r>
      <w:r>
        <w:rPr>
          <w:lang w:val="en-GB"/>
        </w:rPr>
        <w:t>s liquid-</w:t>
      </w:r>
      <w:r w:rsidR="000953C5">
        <w:rPr>
          <w:lang w:val="en-GB"/>
        </w:rPr>
        <w:t>solid mass</w:t>
      </w:r>
      <w:r w:rsidRPr="00FC5D95">
        <w:rPr>
          <w:lang w:val="en-GB"/>
        </w:rPr>
        <w:t xml:space="preserve"> transfer</w:t>
      </w:r>
      <w:r>
        <w:rPr>
          <w:lang w:val="en-GB"/>
        </w:rPr>
        <w:t xml:space="preserve">. In addition, a high </w:t>
      </w:r>
      <w:r w:rsidRPr="00FC5D95">
        <w:rPr>
          <w:lang w:val="en-GB"/>
        </w:rPr>
        <w:t>liquid</w:t>
      </w:r>
      <w:r>
        <w:rPr>
          <w:lang w:val="en-GB"/>
        </w:rPr>
        <w:t>/solid</w:t>
      </w:r>
      <w:r w:rsidRPr="00FC5D95">
        <w:rPr>
          <w:lang w:val="en-GB"/>
        </w:rPr>
        <w:t xml:space="preserve"> ratio can be reached while limiting the production of effluents. Eventually, this </w:t>
      </w:r>
      <w:r>
        <w:rPr>
          <w:lang w:val="en-GB"/>
        </w:rPr>
        <w:t>enables working</w:t>
      </w:r>
      <w:r w:rsidRPr="00FC5D95">
        <w:rPr>
          <w:lang w:val="en-GB"/>
        </w:rPr>
        <w:t xml:space="preserve"> in situ without interfering with the reaction medium. The dissolving cell of 5 mL is equipped with a quartz base </w:t>
      </w:r>
      <w:r w:rsidR="00875545">
        <w:rPr>
          <w:lang w:val="en-GB"/>
        </w:rPr>
        <w:t xml:space="preserve">(Anacrismat) </w:t>
      </w:r>
      <w:r w:rsidRPr="00FC5D95">
        <w:rPr>
          <w:lang w:val="en-GB"/>
        </w:rPr>
        <w:t>to observe</w:t>
      </w:r>
      <w:r>
        <w:rPr>
          <w:lang w:val="en-GB"/>
        </w:rPr>
        <w:t xml:space="preserve"> </w:t>
      </w:r>
      <w:r w:rsidRPr="00FC5D95">
        <w:rPr>
          <w:lang w:val="en-GB"/>
        </w:rPr>
        <w:t>particle</w:t>
      </w:r>
      <w:r>
        <w:rPr>
          <w:lang w:val="en-GB"/>
        </w:rPr>
        <w:t>s</w:t>
      </w:r>
      <w:r w:rsidRPr="00FC5D95">
        <w:rPr>
          <w:lang w:val="en-GB"/>
        </w:rPr>
        <w:t xml:space="preserve"> without deformation</w:t>
      </w:r>
      <w:r>
        <w:rPr>
          <w:lang w:val="en-GB"/>
        </w:rPr>
        <w:t>,</w:t>
      </w:r>
      <w:r w:rsidRPr="00FC5D95">
        <w:rPr>
          <w:lang w:val="en-GB"/>
        </w:rPr>
        <w:t xml:space="preserve"> and a specific plug allowing the circulation of nitric acid. The method to extract kinetic rates from experimental data is </w:t>
      </w:r>
      <w:r w:rsidRPr="00950507">
        <w:rPr>
          <w:lang w:val="en-GB"/>
        </w:rPr>
        <w:t xml:space="preserve">detailed in </w:t>
      </w:r>
      <w:r w:rsidR="00950507" w:rsidRPr="00950507">
        <w:rPr>
          <w:lang w:val="en-GB"/>
        </w:rPr>
        <w:t xml:space="preserve">the work of Charlier </w:t>
      </w:r>
      <w:r w:rsidR="00950507" w:rsidRPr="00950507">
        <w:rPr>
          <w:i/>
          <w:lang w:val="en-GB"/>
        </w:rPr>
        <w:t xml:space="preserve">et al. </w:t>
      </w:r>
      <w:r w:rsidR="00950507" w:rsidRPr="00950507">
        <w:rPr>
          <w:lang w:val="en-GB"/>
        </w:rPr>
        <w:t>(2017)</w:t>
      </w:r>
      <w:r w:rsidRPr="00950507">
        <w:rPr>
          <w:lang w:val="en-GB"/>
        </w:rPr>
        <w:t>. Experiments</w:t>
      </w:r>
      <w:r w:rsidRPr="00FC5D95">
        <w:rPr>
          <w:lang w:val="en-GB"/>
        </w:rPr>
        <w:t xml:space="preserve"> were carried out both in catalysed and non-catalysed conditions to identify the two terms of the kinetic dissolution rate </w:t>
      </w:r>
      <w:r>
        <w:rPr>
          <w:lang w:val="en-GB"/>
        </w:rPr>
        <w:t>detailed in section 2.3</w:t>
      </w:r>
      <w:r w:rsidRPr="00FC5D95">
        <w:rPr>
          <w:lang w:val="en-GB"/>
        </w:rPr>
        <w:t>.</w:t>
      </w:r>
      <w:r>
        <w:rPr>
          <w:lang w:val="en-GB"/>
        </w:rPr>
        <w:t xml:space="preserve"> </w:t>
      </w:r>
    </w:p>
    <w:p w:rsidR="00B400AA" w:rsidRDefault="00B400AA" w:rsidP="00A00E8F">
      <w:pPr>
        <w:pStyle w:val="CETBodytext"/>
        <w:rPr>
          <w:lang w:val="en-GB"/>
        </w:rPr>
      </w:pPr>
    </w:p>
    <w:p w:rsidR="00314C13" w:rsidRPr="00FC5D95" w:rsidRDefault="00A40371" w:rsidP="009038DB">
      <w:pPr>
        <w:pStyle w:val="CETBodytext"/>
        <w:rPr>
          <w:lang w:val="en-GB"/>
        </w:rPr>
      </w:pPr>
      <w:r w:rsidRPr="00A40371">
        <w:rPr>
          <w:noProof/>
          <w:lang w:val="fr-FR" w:eastAsia="fr-FR"/>
        </w:rPr>
        <w:drawing>
          <wp:inline distT="0" distB="0" distL="0" distR="0">
            <wp:extent cx="2545689" cy="1909266"/>
            <wp:effectExtent l="0" t="0" r="7620" b="0"/>
            <wp:docPr id="11" name="Image 11" descr="T:\SPDS\LED\Theses Labo\Florence Charlier\Données de thèse Florence CHARLIER\Etude cinetique - stage Delphine CANION\photos de la manip\DSCF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PDS\LED\Theses Labo\Florence Charlier\Données de thèse Florence CHARLIER\Etude cinetique - stage Delphine CANION\photos de la manip\DSCF009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759" cy="1919819"/>
                    </a:xfrm>
                    <a:prstGeom prst="rect">
                      <a:avLst/>
                    </a:prstGeom>
                    <a:noFill/>
                    <a:ln>
                      <a:noFill/>
                    </a:ln>
                  </pic:spPr>
                </pic:pic>
              </a:graphicData>
            </a:graphic>
          </wp:inline>
        </w:drawing>
      </w:r>
      <w:r w:rsidR="00740D34" w:rsidRPr="00FC5D95">
        <w:rPr>
          <w:noProof/>
          <w:lang w:val="en-GB" w:eastAsia="fr-FR"/>
        </w:rPr>
        <w:t xml:space="preserve"> </w:t>
      </w:r>
      <w:r w:rsidR="00C26AD8">
        <w:rPr>
          <w:noProof/>
          <w:lang w:val="fr-FR" w:eastAsia="fr-FR"/>
        </w:rPr>
        <w:drawing>
          <wp:inline distT="0" distB="0" distL="0" distR="0" wp14:anchorId="1C05F393">
            <wp:extent cx="1927601" cy="132565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3003" cy="1343126"/>
                    </a:xfrm>
                    <a:prstGeom prst="rect">
                      <a:avLst/>
                    </a:prstGeom>
                    <a:noFill/>
                  </pic:spPr>
                </pic:pic>
              </a:graphicData>
            </a:graphic>
          </wp:inline>
        </w:drawing>
      </w:r>
    </w:p>
    <w:p w:rsidR="00314C13" w:rsidRPr="00FC5D95" w:rsidRDefault="00152DC3" w:rsidP="00314C13">
      <w:pPr>
        <w:pStyle w:val="CETCaption"/>
      </w:pPr>
      <w:r>
        <w:t>Figure 3</w:t>
      </w:r>
      <w:r w:rsidR="00314C13" w:rsidRPr="00FC5D95">
        <w:t>: Experimental setup</w:t>
      </w:r>
      <w:r w:rsidR="00B92A2E" w:rsidRPr="00FC5D95">
        <w:t xml:space="preserve"> </w:t>
      </w:r>
      <w:r w:rsidR="009038DB" w:rsidRPr="00FC5D95">
        <w:t xml:space="preserve">(left) and </w:t>
      </w:r>
      <w:r w:rsidR="00616623" w:rsidRPr="00FC5D95">
        <w:t>example of image processing of a dissolving particle</w:t>
      </w:r>
      <w:r w:rsidR="00B92A2E" w:rsidRPr="00FC5D95">
        <w:t xml:space="preserve"> (right)</w:t>
      </w:r>
    </w:p>
    <w:p w:rsidR="00B92A2E" w:rsidRPr="00FC5D95" w:rsidRDefault="00152CB6" w:rsidP="00B92A2E">
      <w:pPr>
        <w:pStyle w:val="CETheadingx"/>
        <w:rPr>
          <w:lang w:val="en-GB"/>
        </w:rPr>
      </w:pPr>
      <w:r>
        <w:rPr>
          <w:lang w:val="en-GB"/>
        </w:rPr>
        <w:t xml:space="preserve">Experimental </w:t>
      </w:r>
      <w:r w:rsidR="00A00E8F">
        <w:rPr>
          <w:lang w:val="en-GB"/>
        </w:rPr>
        <w:t>results</w:t>
      </w:r>
    </w:p>
    <w:p w:rsidR="0055634B" w:rsidRPr="0055634B" w:rsidRDefault="0055634B" w:rsidP="0055634B">
      <w:pPr>
        <w:pStyle w:val="CETBodytext"/>
      </w:pPr>
      <w:r w:rsidRPr="0055634B">
        <w:t>The kinetic orders of the reaction relative to nitric acid and catalyst (n</w:t>
      </w:r>
      <w:r w:rsidRPr="0061525B">
        <w:rPr>
          <w:vertAlign w:val="subscript"/>
        </w:rPr>
        <w:t>1</w:t>
      </w:r>
      <w:r w:rsidRPr="0055634B">
        <w:t>, n</w:t>
      </w:r>
      <w:r w:rsidRPr="0061525B">
        <w:rPr>
          <w:vertAlign w:val="subscript"/>
        </w:rPr>
        <w:t>2</w:t>
      </w:r>
      <w:r w:rsidRPr="0055634B">
        <w:t>, p) and activation energies parameters (A</w:t>
      </w:r>
      <w:r w:rsidRPr="0055634B">
        <w:rPr>
          <w:vertAlign w:val="subscript"/>
        </w:rPr>
        <w:t>nc</w:t>
      </w:r>
      <w:r w:rsidRPr="0055634B">
        <w:t>, Ea</w:t>
      </w:r>
      <w:r w:rsidRPr="0055634B">
        <w:rPr>
          <w:vertAlign w:val="subscript"/>
        </w:rPr>
        <w:t>nc</w:t>
      </w:r>
      <w:r w:rsidRPr="0055634B">
        <w:t>, A</w:t>
      </w:r>
      <w:r w:rsidRPr="0055634B">
        <w:rPr>
          <w:vertAlign w:val="subscript"/>
        </w:rPr>
        <w:t>c</w:t>
      </w:r>
      <w:r w:rsidRPr="0055634B">
        <w:t xml:space="preserve"> and Ea</w:t>
      </w:r>
      <w:r w:rsidRPr="0055634B">
        <w:rPr>
          <w:vertAlign w:val="subscript"/>
        </w:rPr>
        <w:t>c</w:t>
      </w:r>
      <w:r w:rsidRPr="0055634B">
        <w:t xml:space="preserve">) were determined from </w:t>
      </w:r>
      <w:r w:rsidR="00862058">
        <w:t xml:space="preserve">the comparison between the microscopic model described in section 2.1 and dissolution </w:t>
      </w:r>
      <w:r w:rsidRPr="0055634B">
        <w:t xml:space="preserve">experiments carried out in different concentrations conditions and in the temperature </w:t>
      </w:r>
      <w:r w:rsidRPr="00950507">
        <w:t>range [30°C-70°C]. Values</w:t>
      </w:r>
      <w:r>
        <w:t xml:space="preserve"> are detailed in Table 1.</w:t>
      </w:r>
    </w:p>
    <w:p w:rsidR="00B92A2E" w:rsidRDefault="00B92A2E" w:rsidP="008425FA">
      <w:pPr>
        <w:pStyle w:val="CETBodytext"/>
        <w:rPr>
          <w:lang w:val="en-GB"/>
        </w:rPr>
      </w:pPr>
      <w:r w:rsidRPr="00FC5D95">
        <w:rPr>
          <w:lang w:val="en-GB"/>
        </w:rPr>
        <w:t xml:space="preserve">Experimental results showed that catalyst loaded solutions tended to lose responsiveness over time. The influence of the gaseous products has therefore been suspected and their impact on the dissolution kinetics </w:t>
      </w:r>
      <w:r w:rsidRPr="00FC5D95">
        <w:rPr>
          <w:lang w:val="en-GB"/>
        </w:rPr>
        <w:lastRenderedPageBreak/>
        <w:t xml:space="preserve">studied: the greater the liquid-gas exchanges, the faster the </w:t>
      </w:r>
      <w:r w:rsidR="00152CB6">
        <w:rPr>
          <w:lang w:val="en-GB"/>
        </w:rPr>
        <w:t xml:space="preserve">dissolution </w:t>
      </w:r>
      <w:r w:rsidRPr="00FC5D95">
        <w:rPr>
          <w:lang w:val="en-GB"/>
        </w:rPr>
        <w:t xml:space="preserve">kinetics dissolution decrease over time. In addition, the reaction is accelerated when </w:t>
      </w:r>
      <w:r w:rsidR="0061525B">
        <w:rPr>
          <w:lang w:val="en-GB"/>
        </w:rPr>
        <w:t xml:space="preserve">additional </w:t>
      </w:r>
      <w:r w:rsidRPr="00FC5D95">
        <w:rPr>
          <w:lang w:val="en-GB"/>
        </w:rPr>
        <w:t xml:space="preserve">NOX </w:t>
      </w:r>
      <w:r w:rsidR="00152CB6">
        <w:rPr>
          <w:lang w:val="en-GB"/>
        </w:rPr>
        <w:t>gas</w:t>
      </w:r>
      <w:r w:rsidR="0061525B">
        <w:rPr>
          <w:lang w:val="en-GB"/>
        </w:rPr>
        <w:t>es</w:t>
      </w:r>
      <w:r w:rsidR="00152CB6">
        <w:rPr>
          <w:lang w:val="en-GB"/>
        </w:rPr>
        <w:t xml:space="preserve"> </w:t>
      </w:r>
      <w:r w:rsidR="0061525B">
        <w:rPr>
          <w:lang w:val="en-GB"/>
        </w:rPr>
        <w:t>are circulated</w:t>
      </w:r>
      <w:r w:rsidR="00152CB6">
        <w:rPr>
          <w:lang w:val="en-GB"/>
        </w:rPr>
        <w:t xml:space="preserve"> </w:t>
      </w:r>
      <w:r w:rsidRPr="00FC5D95">
        <w:rPr>
          <w:lang w:val="en-GB"/>
        </w:rPr>
        <w:t xml:space="preserve">in </w:t>
      </w:r>
      <w:r w:rsidR="00152CB6">
        <w:rPr>
          <w:lang w:val="en-GB"/>
        </w:rPr>
        <w:t xml:space="preserve">the dissolution </w:t>
      </w:r>
      <w:r w:rsidRPr="00FC5D95">
        <w:rPr>
          <w:lang w:val="en-GB"/>
        </w:rPr>
        <w:t xml:space="preserve">solution. It </w:t>
      </w:r>
      <w:r w:rsidR="00F55F6C">
        <w:rPr>
          <w:lang w:val="en-GB"/>
        </w:rPr>
        <w:t xml:space="preserve">confirms </w:t>
      </w:r>
      <w:r w:rsidR="00745631">
        <w:rPr>
          <w:lang w:val="en-GB"/>
        </w:rPr>
        <w:t xml:space="preserve">the results of Nishimura </w:t>
      </w:r>
      <w:r w:rsidR="00D037AD" w:rsidRPr="00D037AD">
        <w:rPr>
          <w:i/>
          <w:lang w:val="en-GB"/>
        </w:rPr>
        <w:t xml:space="preserve">et al. </w:t>
      </w:r>
      <w:r w:rsidR="00D037AD">
        <w:rPr>
          <w:lang w:val="en-GB"/>
        </w:rPr>
        <w:t xml:space="preserve">(1995) </w:t>
      </w:r>
      <w:r w:rsidR="00745631">
        <w:rPr>
          <w:lang w:val="en-GB"/>
        </w:rPr>
        <w:t>and Fukasawa</w:t>
      </w:r>
      <w:r w:rsidR="00D037AD">
        <w:rPr>
          <w:lang w:val="en-GB"/>
        </w:rPr>
        <w:t xml:space="preserve"> </w:t>
      </w:r>
      <w:r w:rsidR="00D037AD" w:rsidRPr="00D037AD">
        <w:rPr>
          <w:i/>
          <w:lang w:val="en-GB"/>
        </w:rPr>
        <w:t>et al.</w:t>
      </w:r>
      <w:r w:rsidR="00D037AD">
        <w:rPr>
          <w:lang w:val="en-GB"/>
        </w:rPr>
        <w:t xml:space="preserve"> (1991)</w:t>
      </w:r>
      <w:r w:rsidR="00745631">
        <w:rPr>
          <w:lang w:val="en-GB"/>
        </w:rPr>
        <w:t xml:space="preserve"> about a relationship </w:t>
      </w:r>
      <w:r w:rsidRPr="00FC5D95">
        <w:rPr>
          <w:lang w:val="en-GB"/>
        </w:rPr>
        <w:t xml:space="preserve">between the catalyst of this dissolution </w:t>
      </w:r>
      <w:r w:rsidR="00152CB6">
        <w:rPr>
          <w:lang w:val="en-GB"/>
        </w:rPr>
        <w:t>and nitrogen oxides</w:t>
      </w:r>
      <w:r w:rsidRPr="00FC5D95">
        <w:rPr>
          <w:lang w:val="en-GB"/>
        </w:rPr>
        <w:t xml:space="preserve">. </w:t>
      </w:r>
    </w:p>
    <w:p w:rsidR="00A00E8F" w:rsidRPr="00FC5D95" w:rsidRDefault="00A00E8F" w:rsidP="00A00E8F">
      <w:pPr>
        <w:pStyle w:val="CETTabletitle"/>
      </w:pPr>
      <w:r w:rsidRPr="00FC5D95">
        <w:t xml:space="preserve">Table 1: </w:t>
      </w:r>
      <w:r>
        <w:t>dissolution kinetic parameters for uranium dioxide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480"/>
        <w:gridCol w:w="2773"/>
        <w:gridCol w:w="2205"/>
      </w:tblGrid>
      <w:tr w:rsidR="00A00E8F" w:rsidRPr="00FC5D95" w:rsidTr="00B14EE0">
        <w:trPr>
          <w:trHeight w:val="421"/>
        </w:trPr>
        <w:tc>
          <w:tcPr>
            <w:tcW w:w="1843" w:type="dxa"/>
            <w:tcBorders>
              <w:top w:val="single" w:sz="12" w:space="0" w:color="008000"/>
              <w:bottom w:val="single" w:sz="6" w:space="0" w:color="008000"/>
            </w:tcBorders>
            <w:shd w:val="clear" w:color="auto" w:fill="FFFFFF"/>
          </w:tcPr>
          <w:p w:rsidR="00A00E8F" w:rsidRPr="00FC5D95" w:rsidRDefault="00A00E8F" w:rsidP="00B14EE0">
            <w:pPr>
              <w:pStyle w:val="CETBodytext"/>
              <w:rPr>
                <w:lang w:val="en-GB"/>
              </w:rPr>
            </w:pPr>
          </w:p>
        </w:tc>
        <w:tc>
          <w:tcPr>
            <w:tcW w:w="1480" w:type="dxa"/>
            <w:tcBorders>
              <w:top w:val="single" w:sz="12" w:space="0" w:color="008000"/>
              <w:bottom w:val="single" w:sz="6" w:space="0" w:color="008000"/>
            </w:tcBorders>
            <w:shd w:val="clear" w:color="auto" w:fill="FFFFFF"/>
          </w:tcPr>
          <w:p w:rsidR="00A00E8F" w:rsidRPr="00FC5D95" w:rsidRDefault="00A00E8F" w:rsidP="00B14EE0">
            <w:pPr>
              <w:pStyle w:val="CETBodytext"/>
              <w:rPr>
                <w:lang w:val="en-GB"/>
              </w:rPr>
            </w:pPr>
            <w:r>
              <w:rPr>
                <w:lang w:val="en-GB"/>
              </w:rPr>
              <w:t>Units</w:t>
            </w:r>
          </w:p>
        </w:tc>
        <w:tc>
          <w:tcPr>
            <w:tcW w:w="2773" w:type="dxa"/>
            <w:tcBorders>
              <w:top w:val="single" w:sz="12" w:space="0" w:color="008000"/>
              <w:bottom w:val="single" w:sz="6" w:space="0" w:color="008000"/>
            </w:tcBorders>
            <w:shd w:val="clear" w:color="auto" w:fill="FFFFFF"/>
          </w:tcPr>
          <w:p w:rsidR="00A00E8F" w:rsidRPr="00FC5D95" w:rsidRDefault="00A00E8F" w:rsidP="00B14EE0">
            <w:pPr>
              <w:pStyle w:val="CETBodytext"/>
              <w:rPr>
                <w:lang w:val="en-GB"/>
              </w:rPr>
            </w:pPr>
            <w:r w:rsidRPr="00FC5D95">
              <w:rPr>
                <w:lang w:val="en-GB"/>
              </w:rPr>
              <w:t>Uncatalysed reaction</w:t>
            </w:r>
          </w:p>
        </w:tc>
        <w:tc>
          <w:tcPr>
            <w:tcW w:w="2205" w:type="dxa"/>
            <w:tcBorders>
              <w:top w:val="single" w:sz="12" w:space="0" w:color="008000"/>
              <w:bottom w:val="single" w:sz="6" w:space="0" w:color="008000"/>
            </w:tcBorders>
            <w:shd w:val="clear" w:color="auto" w:fill="FFFFFF"/>
          </w:tcPr>
          <w:p w:rsidR="00A00E8F" w:rsidRPr="00FC5D95" w:rsidRDefault="00A00E8F" w:rsidP="00B14EE0">
            <w:pPr>
              <w:pStyle w:val="CETBodytext"/>
              <w:rPr>
                <w:lang w:val="en-GB"/>
              </w:rPr>
            </w:pPr>
            <w:r w:rsidRPr="00FC5D95">
              <w:rPr>
                <w:lang w:val="en-GB"/>
              </w:rPr>
              <w:t>Catalysed</w:t>
            </w:r>
          </w:p>
        </w:tc>
      </w:tr>
      <w:tr w:rsidR="00A00E8F" w:rsidRPr="00FC5D95" w:rsidTr="00B14EE0">
        <w:trPr>
          <w:trHeight w:val="220"/>
        </w:trPr>
        <w:tc>
          <w:tcPr>
            <w:tcW w:w="1843" w:type="dxa"/>
            <w:shd w:val="clear" w:color="auto" w:fill="FFFFFF"/>
          </w:tcPr>
          <w:p w:rsidR="00A00E8F" w:rsidRPr="00FC5D95" w:rsidRDefault="00A00E8F" w:rsidP="00B14EE0">
            <w:pPr>
              <w:pStyle w:val="CETBodytext"/>
              <w:rPr>
                <w:lang w:val="en-GB"/>
              </w:rPr>
            </w:pPr>
            <w:r w:rsidRPr="00FC5D95">
              <w:rPr>
                <w:lang w:val="en-GB"/>
              </w:rPr>
              <w:t>Reaction orders</w:t>
            </w:r>
          </w:p>
        </w:tc>
        <w:tc>
          <w:tcPr>
            <w:tcW w:w="1480" w:type="dxa"/>
            <w:shd w:val="clear" w:color="auto" w:fill="FFFFFF"/>
          </w:tcPr>
          <w:p w:rsidR="00A00E8F" w:rsidRPr="00FC5D95" w:rsidRDefault="00A00E8F" w:rsidP="00B14EE0">
            <w:pPr>
              <w:pStyle w:val="CETBodytext"/>
              <w:rPr>
                <w:lang w:val="en-GB"/>
              </w:rPr>
            </w:pPr>
            <w:r w:rsidRPr="00FC5D95">
              <w:rPr>
                <w:lang w:val="en-GB"/>
              </w:rPr>
              <w:t>-</w:t>
            </w:r>
          </w:p>
        </w:tc>
        <w:tc>
          <w:tcPr>
            <w:tcW w:w="2773" w:type="dxa"/>
            <w:shd w:val="clear" w:color="auto" w:fill="FFFFFF"/>
          </w:tcPr>
          <w:p w:rsidR="00A00E8F" w:rsidRPr="00FC5D95" w:rsidRDefault="00A00E8F" w:rsidP="00B14EE0">
            <w:pPr>
              <w:pStyle w:val="CETBodytext"/>
              <w:rPr>
                <w:lang w:val="en-GB"/>
              </w:rPr>
            </w:pPr>
            <w:r w:rsidRPr="00FC5D95">
              <w:rPr>
                <w:lang w:val="en-GB"/>
              </w:rPr>
              <w:t>n</w:t>
            </w:r>
            <w:r w:rsidRPr="00FC5D95">
              <w:rPr>
                <w:vertAlign w:val="subscript"/>
                <w:lang w:val="en-GB"/>
              </w:rPr>
              <w:t>1</w:t>
            </w:r>
            <w:r w:rsidRPr="00FC5D95">
              <w:rPr>
                <w:lang w:val="en-GB"/>
              </w:rPr>
              <w:t xml:space="preserve"> = 3.5</w:t>
            </w:r>
          </w:p>
        </w:tc>
        <w:tc>
          <w:tcPr>
            <w:tcW w:w="2205" w:type="dxa"/>
            <w:shd w:val="clear" w:color="auto" w:fill="FFFFFF"/>
          </w:tcPr>
          <w:p w:rsidR="00A00E8F" w:rsidRPr="00FC5D95" w:rsidRDefault="00A00E8F" w:rsidP="00B14EE0">
            <w:pPr>
              <w:pStyle w:val="CETBodytext"/>
              <w:rPr>
                <w:lang w:val="en-GB"/>
              </w:rPr>
            </w:pPr>
            <w:r w:rsidRPr="00FC5D95">
              <w:rPr>
                <w:lang w:val="en-GB"/>
              </w:rPr>
              <w:t>n</w:t>
            </w:r>
            <w:r w:rsidRPr="00FC5D95">
              <w:rPr>
                <w:vertAlign w:val="subscript"/>
                <w:lang w:val="en-GB"/>
              </w:rPr>
              <w:t>2</w:t>
            </w:r>
            <w:r w:rsidRPr="00FC5D95">
              <w:rPr>
                <w:lang w:val="en-GB"/>
              </w:rPr>
              <w:t xml:space="preserve"> = 3.1 </w:t>
            </w:r>
            <w:r w:rsidRPr="00FC5D95">
              <w:rPr>
                <w:rFonts w:cs="Arial"/>
                <w:lang w:val="en-GB"/>
              </w:rPr>
              <w:t>±</w:t>
            </w:r>
            <w:r w:rsidRPr="00FC5D95">
              <w:rPr>
                <w:lang w:val="en-GB"/>
              </w:rPr>
              <w:t xml:space="preserve"> 0.32</w:t>
            </w:r>
          </w:p>
          <w:p w:rsidR="00A00E8F" w:rsidRPr="00FC5D95" w:rsidRDefault="00745631" w:rsidP="00745631">
            <w:pPr>
              <w:pStyle w:val="CETBodytext"/>
              <w:rPr>
                <w:lang w:val="en-GB"/>
              </w:rPr>
            </w:pPr>
            <w:r>
              <w:rPr>
                <w:lang w:val="en-GB"/>
              </w:rPr>
              <w:t>p = 0.75</w:t>
            </w:r>
            <w:r w:rsidR="00A00E8F" w:rsidRPr="00FC5D95">
              <w:rPr>
                <w:lang w:val="en-GB"/>
              </w:rPr>
              <w:t xml:space="preserve"> </w:t>
            </w:r>
            <w:r w:rsidR="00A00E8F" w:rsidRPr="00FC5D95">
              <w:rPr>
                <w:rFonts w:cs="Arial"/>
                <w:lang w:val="en-GB"/>
              </w:rPr>
              <w:t>± 0.</w:t>
            </w:r>
            <w:r>
              <w:rPr>
                <w:rFonts w:cs="Arial"/>
                <w:lang w:val="en-GB"/>
              </w:rPr>
              <w:t>15</w:t>
            </w:r>
          </w:p>
        </w:tc>
      </w:tr>
      <w:tr w:rsidR="00A00E8F" w:rsidRPr="00FC5D95" w:rsidTr="00B14EE0">
        <w:trPr>
          <w:trHeight w:val="210"/>
        </w:trPr>
        <w:tc>
          <w:tcPr>
            <w:tcW w:w="1843" w:type="dxa"/>
            <w:shd w:val="clear" w:color="auto" w:fill="FFFFFF"/>
          </w:tcPr>
          <w:p w:rsidR="00A00E8F" w:rsidRPr="00FC5D95" w:rsidRDefault="00A00E8F" w:rsidP="00B14EE0">
            <w:pPr>
              <w:pStyle w:val="CETBodytext"/>
              <w:ind w:right="-1"/>
              <w:rPr>
                <w:rFonts w:cs="Arial"/>
                <w:szCs w:val="18"/>
                <w:lang w:val="en-GB"/>
              </w:rPr>
            </w:pPr>
            <w:r w:rsidRPr="00FC5D95">
              <w:rPr>
                <w:rFonts w:cs="Arial"/>
                <w:szCs w:val="18"/>
                <w:lang w:val="en-GB"/>
              </w:rPr>
              <w:t>Activation energy</w:t>
            </w:r>
          </w:p>
        </w:tc>
        <w:tc>
          <w:tcPr>
            <w:tcW w:w="1480" w:type="dxa"/>
            <w:shd w:val="clear" w:color="auto" w:fill="FFFFFF"/>
          </w:tcPr>
          <w:p w:rsidR="00A00E8F" w:rsidRPr="00FC5D95" w:rsidRDefault="00A00E8F" w:rsidP="00B14EE0">
            <w:pPr>
              <w:pStyle w:val="CETBodytext"/>
              <w:ind w:right="-1"/>
              <w:rPr>
                <w:rFonts w:cs="Arial"/>
                <w:szCs w:val="18"/>
                <w:lang w:val="en-GB"/>
              </w:rPr>
            </w:pPr>
            <w:r w:rsidRPr="00FC5D95">
              <w:rPr>
                <w:rFonts w:cs="Arial"/>
                <w:szCs w:val="18"/>
                <w:lang w:val="en-GB"/>
              </w:rPr>
              <w:t>kJ.mol</w:t>
            </w:r>
            <w:r w:rsidRPr="00FC5D95">
              <w:rPr>
                <w:rFonts w:cs="Arial"/>
                <w:szCs w:val="18"/>
                <w:vertAlign w:val="superscript"/>
                <w:lang w:val="en-GB"/>
              </w:rPr>
              <w:t>-1</w:t>
            </w:r>
          </w:p>
        </w:tc>
        <w:tc>
          <w:tcPr>
            <w:tcW w:w="2773" w:type="dxa"/>
            <w:shd w:val="clear" w:color="auto" w:fill="FFFFFF"/>
          </w:tcPr>
          <w:p w:rsidR="00A00E8F" w:rsidRPr="00FC5D95" w:rsidRDefault="00A00E8F" w:rsidP="00B14EE0">
            <w:pPr>
              <w:pStyle w:val="CETBodytext"/>
              <w:ind w:right="-1"/>
              <w:rPr>
                <w:rFonts w:cs="Arial"/>
                <w:szCs w:val="18"/>
                <w:lang w:val="en-GB"/>
              </w:rPr>
            </w:pPr>
            <w:r w:rsidRPr="00FC5D95">
              <w:rPr>
                <w:rFonts w:cs="Arial"/>
                <w:szCs w:val="18"/>
                <w:lang w:val="en-GB"/>
              </w:rPr>
              <w:t>Ea</w:t>
            </w:r>
            <w:r w:rsidRPr="00FC5D95">
              <w:rPr>
                <w:rFonts w:cs="Arial"/>
                <w:szCs w:val="18"/>
                <w:vertAlign w:val="subscript"/>
                <w:lang w:val="en-GB"/>
              </w:rPr>
              <w:t>nc</w:t>
            </w:r>
            <w:r w:rsidR="00950507">
              <w:rPr>
                <w:rFonts w:cs="Arial"/>
                <w:szCs w:val="18"/>
                <w:lang w:val="en-GB"/>
              </w:rPr>
              <w:t xml:space="preserve"> = </w:t>
            </w:r>
            <w:r w:rsidR="00B246B1">
              <w:rPr>
                <w:rFonts w:cs="Arial"/>
                <w:szCs w:val="18"/>
                <w:lang w:val="en-GB"/>
              </w:rPr>
              <w:t>62.7</w:t>
            </w:r>
            <w:r w:rsidRPr="00FC5D95">
              <w:rPr>
                <w:rFonts w:cs="Arial"/>
                <w:szCs w:val="18"/>
                <w:lang w:val="en-GB"/>
              </w:rPr>
              <w:t xml:space="preserve"> </w:t>
            </w:r>
            <w:r w:rsidR="00B246B1">
              <w:rPr>
                <w:rFonts w:cs="Arial"/>
                <w:lang w:val="en-GB"/>
              </w:rPr>
              <w:t>± 3.7</w:t>
            </w:r>
          </w:p>
        </w:tc>
        <w:tc>
          <w:tcPr>
            <w:tcW w:w="2205" w:type="dxa"/>
            <w:shd w:val="clear" w:color="auto" w:fill="FFFFFF"/>
          </w:tcPr>
          <w:p w:rsidR="00A00E8F" w:rsidRPr="00FC5D95" w:rsidRDefault="00A00E8F" w:rsidP="00B246B1">
            <w:pPr>
              <w:pStyle w:val="CETBodytext"/>
              <w:ind w:right="-1"/>
              <w:rPr>
                <w:rFonts w:cs="Arial"/>
                <w:szCs w:val="18"/>
                <w:lang w:val="en-GB"/>
              </w:rPr>
            </w:pPr>
            <w:r w:rsidRPr="00FC5D95">
              <w:rPr>
                <w:rFonts w:cs="Arial"/>
                <w:szCs w:val="18"/>
                <w:lang w:val="en-GB"/>
              </w:rPr>
              <w:t>Ea</w:t>
            </w:r>
            <w:r w:rsidRPr="00FC5D95">
              <w:rPr>
                <w:rFonts w:cs="Arial"/>
                <w:szCs w:val="18"/>
                <w:vertAlign w:val="subscript"/>
                <w:lang w:val="en-GB"/>
              </w:rPr>
              <w:t>c</w:t>
            </w:r>
            <w:r w:rsidR="00B246B1">
              <w:rPr>
                <w:rFonts w:cs="Arial"/>
                <w:szCs w:val="18"/>
                <w:lang w:val="en-GB"/>
              </w:rPr>
              <w:t xml:space="preserve"> = 70.8</w:t>
            </w:r>
            <w:r w:rsidRPr="00FC5D95">
              <w:rPr>
                <w:rFonts w:cs="Arial"/>
                <w:szCs w:val="18"/>
                <w:lang w:val="en-GB"/>
              </w:rPr>
              <w:t xml:space="preserve"> </w:t>
            </w:r>
            <w:r w:rsidR="00950507">
              <w:rPr>
                <w:rFonts w:cs="Arial"/>
                <w:lang w:val="en-GB"/>
              </w:rPr>
              <w:t xml:space="preserve">± </w:t>
            </w:r>
            <w:r w:rsidR="00B246B1">
              <w:rPr>
                <w:rFonts w:cs="Arial"/>
                <w:lang w:val="en-GB"/>
              </w:rPr>
              <w:t>4.4</w:t>
            </w:r>
          </w:p>
        </w:tc>
      </w:tr>
      <w:tr w:rsidR="00A00E8F" w:rsidRPr="00FC5D95" w:rsidTr="00B14EE0">
        <w:trPr>
          <w:trHeight w:val="210"/>
        </w:trPr>
        <w:tc>
          <w:tcPr>
            <w:tcW w:w="1843" w:type="dxa"/>
            <w:shd w:val="clear" w:color="auto" w:fill="FFFFFF"/>
          </w:tcPr>
          <w:p w:rsidR="00A00E8F" w:rsidRPr="00FC5D95" w:rsidRDefault="00A00E8F" w:rsidP="00B14EE0">
            <w:pPr>
              <w:pStyle w:val="CETBodytext"/>
              <w:ind w:right="-1"/>
              <w:rPr>
                <w:rFonts w:cs="Arial"/>
                <w:szCs w:val="18"/>
                <w:lang w:val="en-GB"/>
              </w:rPr>
            </w:pPr>
            <w:r w:rsidRPr="00FC5D95">
              <w:rPr>
                <w:rFonts w:cs="Arial"/>
                <w:szCs w:val="18"/>
                <w:lang w:val="en-GB"/>
              </w:rPr>
              <w:t>Frequency factors</w:t>
            </w:r>
          </w:p>
        </w:tc>
        <w:tc>
          <w:tcPr>
            <w:tcW w:w="1480" w:type="dxa"/>
            <w:shd w:val="clear" w:color="auto" w:fill="FFFFFF"/>
          </w:tcPr>
          <w:p w:rsidR="00A00E8F" w:rsidRPr="00FC5D95" w:rsidRDefault="00A00E8F" w:rsidP="00B14EE0">
            <w:pPr>
              <w:pStyle w:val="CETBodytext"/>
              <w:ind w:right="-1"/>
              <w:rPr>
                <w:rFonts w:cs="Arial"/>
                <w:szCs w:val="18"/>
                <w:lang w:val="en-GB"/>
              </w:rPr>
            </w:pPr>
            <w:r w:rsidRPr="00FC5D95">
              <w:rPr>
                <w:rFonts w:cs="Arial"/>
                <w:szCs w:val="18"/>
                <w:lang w:val="en-GB"/>
              </w:rPr>
              <w:t>mol</w:t>
            </w:r>
            <w:r w:rsidRPr="00FC5D95">
              <w:rPr>
                <w:rFonts w:cs="Arial"/>
                <w:szCs w:val="18"/>
                <w:vertAlign w:val="superscript"/>
                <w:lang w:val="en-GB"/>
              </w:rPr>
              <w:t>1-x</w:t>
            </w:r>
            <w:r w:rsidRPr="00FC5D95">
              <w:rPr>
                <w:rFonts w:cs="Arial"/>
                <w:szCs w:val="18"/>
                <w:lang w:val="en-GB"/>
              </w:rPr>
              <w:t>.m</w:t>
            </w:r>
            <w:r w:rsidRPr="00FC5D95">
              <w:rPr>
                <w:rFonts w:cs="Arial"/>
                <w:szCs w:val="18"/>
                <w:vertAlign w:val="superscript"/>
                <w:lang w:val="en-GB"/>
              </w:rPr>
              <w:t>3y-2</w:t>
            </w:r>
            <w:r w:rsidRPr="00FC5D95">
              <w:rPr>
                <w:rFonts w:cs="Arial"/>
                <w:szCs w:val="18"/>
                <w:lang w:val="en-GB"/>
              </w:rPr>
              <w:t>.s</w:t>
            </w:r>
            <w:r w:rsidRPr="00FC5D95">
              <w:rPr>
                <w:rFonts w:cs="Arial"/>
                <w:szCs w:val="18"/>
                <w:vertAlign w:val="superscript"/>
                <w:lang w:val="en-GB"/>
              </w:rPr>
              <w:t>-1</w:t>
            </w:r>
          </w:p>
        </w:tc>
        <w:tc>
          <w:tcPr>
            <w:tcW w:w="2773" w:type="dxa"/>
            <w:shd w:val="clear" w:color="auto" w:fill="FFFFFF"/>
          </w:tcPr>
          <w:p w:rsidR="00A00E8F" w:rsidRPr="00FC5D95" w:rsidRDefault="00A00E8F" w:rsidP="00B14EE0">
            <w:pPr>
              <w:pStyle w:val="CETBodytext"/>
              <w:ind w:right="-1"/>
              <w:rPr>
                <w:rFonts w:cs="Arial"/>
                <w:szCs w:val="18"/>
                <w:lang w:val="en-GB"/>
              </w:rPr>
            </w:pPr>
            <w:r w:rsidRPr="00FC5D95">
              <w:rPr>
                <w:rFonts w:cs="Arial"/>
                <w:szCs w:val="18"/>
                <w:lang w:val="en-GB"/>
              </w:rPr>
              <w:t>A</w:t>
            </w:r>
            <w:r w:rsidRPr="00FC5D95">
              <w:rPr>
                <w:rFonts w:cs="Arial"/>
                <w:szCs w:val="18"/>
                <w:vertAlign w:val="subscript"/>
                <w:lang w:val="en-GB"/>
              </w:rPr>
              <w:t>nc</w:t>
            </w:r>
            <w:r w:rsidR="00B246B1">
              <w:rPr>
                <w:rFonts w:cs="Arial"/>
                <w:szCs w:val="18"/>
                <w:lang w:val="en-GB"/>
              </w:rPr>
              <w:t xml:space="preserve"> = 1.2</w:t>
            </w:r>
            <w:r w:rsidRPr="00FC5D95">
              <w:rPr>
                <w:rFonts w:cs="Arial"/>
                <w:szCs w:val="18"/>
                <w:lang w:val="en-GB"/>
              </w:rPr>
              <w:t>x10</w:t>
            </w:r>
            <w:r w:rsidRPr="00FC5D95">
              <w:rPr>
                <w:rFonts w:cs="Arial"/>
                <w:szCs w:val="18"/>
                <w:vertAlign w:val="superscript"/>
                <w:lang w:val="en-GB"/>
              </w:rPr>
              <w:t>-8</w:t>
            </w:r>
            <w:r w:rsidR="00B246B1">
              <w:rPr>
                <w:rFonts w:cs="Arial"/>
                <w:szCs w:val="18"/>
                <w:vertAlign w:val="superscript"/>
                <w:lang w:val="en-GB"/>
              </w:rPr>
              <w:t xml:space="preserve"> </w:t>
            </w:r>
            <w:r w:rsidR="00B246B1">
              <w:rPr>
                <w:rFonts w:cs="Arial"/>
                <w:lang w:val="en-GB"/>
              </w:rPr>
              <w:t>± 0.15x10</w:t>
            </w:r>
            <w:r w:rsidR="00B246B1" w:rsidRPr="00B246B1">
              <w:rPr>
                <w:rFonts w:cs="Arial"/>
                <w:vertAlign w:val="superscript"/>
                <w:lang w:val="en-GB"/>
              </w:rPr>
              <w:t>-8</w:t>
            </w:r>
          </w:p>
        </w:tc>
        <w:tc>
          <w:tcPr>
            <w:tcW w:w="2205" w:type="dxa"/>
            <w:shd w:val="clear" w:color="auto" w:fill="FFFFFF"/>
          </w:tcPr>
          <w:p w:rsidR="00A00E8F" w:rsidRPr="00FC5D95" w:rsidRDefault="00A00E8F" w:rsidP="00B14EE0">
            <w:pPr>
              <w:pStyle w:val="CETBodytext"/>
              <w:ind w:right="-1"/>
              <w:rPr>
                <w:rFonts w:cs="Arial"/>
                <w:szCs w:val="18"/>
                <w:lang w:val="en-GB"/>
              </w:rPr>
            </w:pPr>
            <w:r w:rsidRPr="00152CB6">
              <w:rPr>
                <w:rFonts w:cs="Arial"/>
                <w:szCs w:val="18"/>
                <w:lang w:val="en-GB"/>
              </w:rPr>
              <w:t>A</w:t>
            </w:r>
            <w:r w:rsidRPr="00FC5D95">
              <w:rPr>
                <w:rFonts w:cs="Arial"/>
                <w:szCs w:val="18"/>
                <w:vertAlign w:val="subscript"/>
                <w:lang w:val="en-GB"/>
              </w:rPr>
              <w:t>c</w:t>
            </w:r>
            <w:r w:rsidRPr="00FC5D95">
              <w:rPr>
                <w:rFonts w:cs="Arial"/>
                <w:szCs w:val="18"/>
                <w:lang w:val="en-GB"/>
              </w:rPr>
              <w:t xml:space="preserve"> = 2.5x10</w:t>
            </w:r>
            <w:r w:rsidRPr="00FC5D95">
              <w:rPr>
                <w:rFonts w:cs="Arial"/>
                <w:szCs w:val="18"/>
                <w:vertAlign w:val="superscript"/>
                <w:lang w:val="en-GB"/>
              </w:rPr>
              <w:t>-4</w:t>
            </w:r>
            <w:r w:rsidRPr="00FC5D95">
              <w:rPr>
                <w:rFonts w:cs="Arial"/>
                <w:szCs w:val="18"/>
                <w:lang w:val="en-GB"/>
              </w:rPr>
              <w:t xml:space="preserve"> </w:t>
            </w:r>
            <w:r w:rsidRPr="00FC5D95">
              <w:rPr>
                <w:rFonts w:cs="Arial"/>
                <w:lang w:val="en-GB"/>
              </w:rPr>
              <w:t>± 1.0x10</w:t>
            </w:r>
            <w:r w:rsidRPr="00FC5D95">
              <w:rPr>
                <w:rFonts w:cs="Arial"/>
                <w:vertAlign w:val="superscript"/>
                <w:lang w:val="en-GB"/>
              </w:rPr>
              <w:t>-4</w:t>
            </w:r>
          </w:p>
        </w:tc>
      </w:tr>
    </w:tbl>
    <w:p w:rsidR="009215B1" w:rsidRDefault="009215B1" w:rsidP="009215B1">
      <w:pPr>
        <w:pStyle w:val="CETBodytext"/>
        <w:rPr>
          <w:lang w:val="en-GB"/>
        </w:rPr>
      </w:pPr>
    </w:p>
    <w:p w:rsidR="009215B1" w:rsidRPr="00FC5D95" w:rsidRDefault="009215B1" w:rsidP="009215B1">
      <w:pPr>
        <w:pStyle w:val="CETBodytext"/>
        <w:rPr>
          <w:lang w:val="en-GB"/>
        </w:rPr>
      </w:pPr>
      <w:r w:rsidRPr="00FC5D95">
        <w:rPr>
          <w:lang w:val="en-GB"/>
        </w:rPr>
        <w:t xml:space="preserve">Application of the model shows that, with the assumptions applied, a scenario where the catalyst is produced from the gaseous dissolution products (and not the opposite) leads to a good description of experimental data: Figure </w:t>
      </w:r>
      <w:r w:rsidR="00775DA8">
        <w:rPr>
          <w:lang w:val="en-GB"/>
        </w:rPr>
        <w:t>4</w:t>
      </w:r>
      <w:r w:rsidRPr="00FC5D95">
        <w:rPr>
          <w:lang w:val="en-GB"/>
        </w:rPr>
        <w:t xml:space="preserve"> illustrates the evolution of the concentrations and the radius of three particles (initial radius: 8.3, 9.4 and 15 microns) dissolving in the same acidity and temperature conditions. In the first beginning of the experiment (red area), gaseous products accumulate in the boundary layer, which enhances the kinetics of the catalyst/gas reaction: accumulation of catalyst Z in the boundary layer is then promoted. </w:t>
      </w:r>
      <w:r w:rsidR="00CE0BF1">
        <w:rPr>
          <w:lang w:val="en-GB"/>
        </w:rPr>
        <w:t>As soon as the catalyst concentration is locally high enough,</w:t>
      </w:r>
      <w:r w:rsidR="0061525B">
        <w:rPr>
          <w:lang w:val="en-GB"/>
        </w:rPr>
        <w:t xml:space="preserve"> the size of the particles </w:t>
      </w:r>
      <w:r w:rsidR="00CE0BF1">
        <w:rPr>
          <w:lang w:val="en-GB"/>
        </w:rPr>
        <w:t>starts to decrease</w:t>
      </w:r>
      <w:r w:rsidR="0061525B">
        <w:rPr>
          <w:lang w:val="en-GB"/>
        </w:rPr>
        <w:t xml:space="preserve"> and</w:t>
      </w:r>
      <w:r w:rsidR="000953C5">
        <w:rPr>
          <w:lang w:val="en-GB"/>
        </w:rPr>
        <w:t xml:space="preserve"> mass</w:t>
      </w:r>
      <w:r w:rsidRPr="00FC5D95">
        <w:rPr>
          <w:lang w:val="en-GB"/>
        </w:rPr>
        <w:t xml:space="preserve"> transfer becomes faster</w:t>
      </w:r>
      <w:r w:rsidR="0061525B">
        <w:rPr>
          <w:lang w:val="en-GB"/>
        </w:rPr>
        <w:t>,</w:t>
      </w:r>
      <w:r w:rsidRPr="00FC5D95">
        <w:rPr>
          <w:lang w:val="en-GB"/>
        </w:rPr>
        <w:t xml:space="preserve"> which, in a second step, lead</w:t>
      </w:r>
      <w:r w:rsidR="0061525B">
        <w:rPr>
          <w:lang w:val="en-GB"/>
        </w:rPr>
        <w:t>s</w:t>
      </w:r>
      <w:r w:rsidRPr="00FC5D95">
        <w:rPr>
          <w:lang w:val="en-GB"/>
        </w:rPr>
        <w:t xml:space="preserve"> to a slump in the Z accumulation and slowdown the catalysed dissolution reaction (blue area). At the end of the experiment (green area), dissolution is thus controlled by chemistry. The catalyst Z is not generated anymore and only the uncatalysed reaction, which is much slower than the catalysed one, takes place.</w:t>
      </w:r>
    </w:p>
    <w:p w:rsidR="009215B1" w:rsidRDefault="009215B1" w:rsidP="009215B1">
      <w:pPr>
        <w:pStyle w:val="CETBodytext"/>
        <w:rPr>
          <w:lang w:val="en-GB"/>
        </w:rPr>
      </w:pPr>
      <w:r w:rsidRPr="00FC5D95">
        <w:rPr>
          <w:lang w:val="en-GB"/>
        </w:rPr>
        <w:t>Eventually, the model and the associated assumptions describe successfully experimental data for the three sizes of particles. However they cannot describe the latency time which is experimentally observed at the first beginning of the dissolution</w:t>
      </w:r>
      <w:r w:rsidR="00745631">
        <w:rPr>
          <w:lang w:val="en-GB"/>
        </w:rPr>
        <w:t xml:space="preserve"> (before red area)</w:t>
      </w:r>
      <w:r w:rsidRPr="00FC5D95">
        <w:rPr>
          <w:lang w:val="en-GB"/>
        </w:rPr>
        <w:t>. Investigatio</w:t>
      </w:r>
      <w:r w:rsidR="00262A2E">
        <w:rPr>
          <w:lang w:val="en-GB"/>
        </w:rPr>
        <w:t>n on gas solubility modelling</w:t>
      </w:r>
      <w:r w:rsidRPr="00FC5D95">
        <w:rPr>
          <w:lang w:val="en-GB"/>
        </w:rPr>
        <w:t xml:space="preserve"> is ongoing.</w:t>
      </w:r>
    </w:p>
    <w:p w:rsidR="009215B1" w:rsidRPr="00FC5D95" w:rsidRDefault="009215B1" w:rsidP="009215B1">
      <w:pPr>
        <w:pStyle w:val="CETBodytext"/>
        <w:rPr>
          <w:lang w:val="en-GB"/>
        </w:rPr>
      </w:pPr>
    </w:p>
    <w:p w:rsidR="009215B1" w:rsidRPr="00FC5D95" w:rsidRDefault="005E2275" w:rsidP="009215B1">
      <w:pPr>
        <w:pStyle w:val="CETBodytext"/>
        <w:rPr>
          <w:lang w:val="en-GB"/>
        </w:rPr>
      </w:pPr>
      <w:r>
        <w:rPr>
          <w:noProof/>
          <w:lang w:val="fr-FR" w:eastAsia="fr-FR"/>
        </w:rPr>
        <w:drawing>
          <wp:inline distT="0" distB="0" distL="0" distR="0" wp14:anchorId="7106487B">
            <wp:extent cx="3664915" cy="2601145"/>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353" t="8727"/>
                    <a:stretch/>
                  </pic:blipFill>
                  <pic:spPr bwMode="auto">
                    <a:xfrm>
                      <a:off x="0" y="0"/>
                      <a:ext cx="3702825" cy="2628052"/>
                    </a:xfrm>
                    <a:prstGeom prst="rect">
                      <a:avLst/>
                    </a:prstGeom>
                    <a:noFill/>
                    <a:ln>
                      <a:noFill/>
                    </a:ln>
                    <a:extLst>
                      <a:ext uri="{53640926-AAD7-44D8-BBD7-CCE9431645EC}">
                        <a14:shadowObscured xmlns:a14="http://schemas.microsoft.com/office/drawing/2010/main"/>
                      </a:ext>
                    </a:extLst>
                  </pic:spPr>
                </pic:pic>
              </a:graphicData>
            </a:graphic>
          </wp:inline>
        </w:drawing>
      </w:r>
    </w:p>
    <w:p w:rsidR="009215B1" w:rsidRPr="00FC5D95" w:rsidRDefault="009215B1" w:rsidP="009215B1">
      <w:pPr>
        <w:pStyle w:val="CETCaption"/>
      </w:pPr>
      <w:r w:rsidRPr="00FC5D95">
        <w:t xml:space="preserve">Figure </w:t>
      </w:r>
      <w:r w:rsidR="00152DC3">
        <w:t>4</w:t>
      </w:r>
      <w:r w:rsidRPr="00FC5D95">
        <w:t>: Comparison between experimental and simulated data</w:t>
      </w:r>
    </w:p>
    <w:p w:rsidR="00A00E8F" w:rsidRPr="00FC5D95" w:rsidRDefault="00A00E8F" w:rsidP="00A00E8F">
      <w:pPr>
        <w:pStyle w:val="CETHeading1"/>
        <w:tabs>
          <w:tab w:val="right" w:pos="7100"/>
        </w:tabs>
        <w:jc w:val="both"/>
        <w:rPr>
          <w:lang w:val="en-GB"/>
        </w:rPr>
      </w:pPr>
      <w:r>
        <w:rPr>
          <w:lang w:val="en-GB"/>
        </w:rPr>
        <w:t xml:space="preserve">Macroscopic </w:t>
      </w:r>
      <w:r w:rsidRPr="00FC5D95">
        <w:rPr>
          <w:lang w:val="en-GB"/>
        </w:rPr>
        <w:t xml:space="preserve">models for </w:t>
      </w:r>
      <w:r>
        <w:rPr>
          <w:lang w:val="en-GB"/>
        </w:rPr>
        <w:t>UO</w:t>
      </w:r>
      <w:r w:rsidRPr="00A00E8F">
        <w:rPr>
          <w:vertAlign w:val="subscript"/>
          <w:lang w:val="en-GB"/>
        </w:rPr>
        <w:t>2</w:t>
      </w:r>
      <w:r>
        <w:rPr>
          <w:lang w:val="en-GB"/>
        </w:rPr>
        <w:t xml:space="preserve"> </w:t>
      </w:r>
      <w:r w:rsidRPr="00FC5D95">
        <w:rPr>
          <w:lang w:val="en-GB"/>
        </w:rPr>
        <w:t>powders</w:t>
      </w:r>
    </w:p>
    <w:p w:rsidR="00715329" w:rsidRDefault="00715329" w:rsidP="00715329">
      <w:pPr>
        <w:pStyle w:val="CETheadingx"/>
      </w:pPr>
      <w:r>
        <w:t>Definition of the macroscopic model</w:t>
      </w:r>
    </w:p>
    <w:p w:rsidR="00715329" w:rsidRDefault="009215B1" w:rsidP="00715329">
      <w:pPr>
        <w:pStyle w:val="CETBodytext"/>
      </w:pPr>
      <w:r w:rsidRPr="00FC5D95">
        <w:rPr>
          <w:lang w:val="en-GB"/>
        </w:rPr>
        <w:t>A macroscopic model has been simultaneously developed to simulate UO</w:t>
      </w:r>
      <w:r w:rsidRPr="00FC5D95">
        <w:rPr>
          <w:vertAlign w:val="subscript"/>
          <w:lang w:val="en-GB"/>
        </w:rPr>
        <w:t>2</w:t>
      </w:r>
      <w:r w:rsidRPr="00FC5D95">
        <w:rPr>
          <w:lang w:val="en-GB"/>
        </w:rPr>
        <w:t xml:space="preserve"> powder dissolutions at higher scale</w:t>
      </w:r>
      <w:r>
        <w:t xml:space="preserve"> (250 mL</w:t>
      </w:r>
      <w:r w:rsidR="0055634B">
        <w:t>).</w:t>
      </w:r>
      <w:r w:rsidRPr="00FC5D95">
        <w:rPr>
          <w:lang w:val="en-GB"/>
        </w:rPr>
        <w:t xml:space="preserve"> It takes into account the dissolution reaction through the catalysed and uncatalysed terms determined at microscopic scale and evolution of particles size is described thanks to a population balance. Influence of hydrodynamics on the boundary layer surr</w:t>
      </w:r>
      <w:r w:rsidR="000953C5">
        <w:rPr>
          <w:lang w:val="en-GB"/>
        </w:rPr>
        <w:t>ounding particles and on mass</w:t>
      </w:r>
      <w:r w:rsidRPr="00FC5D95">
        <w:rPr>
          <w:lang w:val="en-GB"/>
        </w:rPr>
        <w:t xml:space="preserve"> transfer is defined through classical adimensional numbers (Reynolds, Schmidt and Sherwood) to allow a future scale up</w:t>
      </w:r>
      <w:r w:rsidR="00715329">
        <w:rPr>
          <w:lang w:val="en-GB"/>
        </w:rPr>
        <w:t xml:space="preserve"> (</w:t>
      </w:r>
      <w:r w:rsidR="000953C5">
        <w:rPr>
          <w:lang w:val="en-GB"/>
        </w:rPr>
        <w:t xml:space="preserve">to </w:t>
      </w:r>
      <w:r w:rsidR="00715329">
        <w:rPr>
          <w:lang w:val="en-GB"/>
        </w:rPr>
        <w:t>pilot or industrial scale)</w:t>
      </w:r>
      <w:r w:rsidRPr="00FC5D95">
        <w:rPr>
          <w:lang w:val="en-GB"/>
        </w:rPr>
        <w:t xml:space="preserve">. </w:t>
      </w:r>
      <w:r w:rsidR="00715329">
        <w:t>The final macroscopic model was</w:t>
      </w:r>
      <w:r w:rsidR="000953C5">
        <w:t xml:space="preserve"> compared with</w:t>
      </w:r>
      <w:r w:rsidR="00262A2E">
        <w:t xml:space="preserve"> </w:t>
      </w:r>
      <w:r w:rsidR="00715329" w:rsidRPr="00534B5B">
        <w:t xml:space="preserve">dissolution experiments </w:t>
      </w:r>
      <w:r w:rsidR="00262A2E">
        <w:t xml:space="preserve">carried out </w:t>
      </w:r>
      <w:r w:rsidR="00715329" w:rsidRPr="00534B5B">
        <w:t>firstly in batch and semi-</w:t>
      </w:r>
      <w:r w:rsidR="00715329" w:rsidRPr="00534B5B">
        <w:lastRenderedPageBreak/>
        <w:t xml:space="preserve">continuous </w:t>
      </w:r>
      <w:r w:rsidR="00262A2E">
        <w:t>perfectly mixed reactors</w:t>
      </w:r>
      <w:r w:rsidR="00715329" w:rsidRPr="00534B5B">
        <w:t xml:space="preserve"> to converge progressively towards a continuous type reactor.</w:t>
      </w:r>
      <w:r w:rsidR="00715329">
        <w:t xml:space="preserve"> An example of a semi-batch dissolution is described in the following section.</w:t>
      </w:r>
    </w:p>
    <w:p w:rsidR="00715329" w:rsidRPr="00715329" w:rsidRDefault="00715329" w:rsidP="009215B1">
      <w:pPr>
        <w:pStyle w:val="CETBodytext"/>
      </w:pPr>
    </w:p>
    <w:p w:rsidR="00715329" w:rsidRPr="00715329" w:rsidRDefault="00715329" w:rsidP="00715329">
      <w:pPr>
        <w:pStyle w:val="CETheadingx"/>
      </w:pPr>
      <w:r>
        <w:t>Macroscopic dissolution set-up</w:t>
      </w:r>
    </w:p>
    <w:p w:rsidR="00A40371" w:rsidRDefault="009215B1" w:rsidP="009215B1">
      <w:pPr>
        <w:pStyle w:val="CETBodytext"/>
        <w:rPr>
          <w:lang w:val="en-GB"/>
        </w:rPr>
      </w:pPr>
      <w:r w:rsidRPr="00FC5D95">
        <w:rPr>
          <w:lang w:val="en-GB"/>
        </w:rPr>
        <w:t>Experiments were carried out with a UO</w:t>
      </w:r>
      <w:r w:rsidRPr="00FC5D95">
        <w:rPr>
          <w:vertAlign w:val="subscript"/>
          <w:lang w:val="en-GB"/>
        </w:rPr>
        <w:t>2</w:t>
      </w:r>
      <w:r w:rsidRPr="00FC5D95">
        <w:rPr>
          <w:lang w:val="en-GB"/>
        </w:rPr>
        <w:t xml:space="preserve"> powder initially characterized to qualify the model. They consist in </w:t>
      </w:r>
      <w:r w:rsidR="005D68BE">
        <w:t>initially introducing the powder in the dissolution reactor</w:t>
      </w:r>
      <w:r w:rsidR="00775DA8">
        <w:t xml:space="preserve"> (see Figure 5)</w:t>
      </w:r>
      <w:r w:rsidR="005D68BE">
        <w:t xml:space="preserve"> and to apply a continuous nitric acid feed. T</w:t>
      </w:r>
      <w:r w:rsidRPr="00FC5D95">
        <w:rPr>
          <w:lang w:val="en-GB"/>
        </w:rPr>
        <w:t xml:space="preserve">he dissolution </w:t>
      </w:r>
      <w:r w:rsidR="005D68BE">
        <w:rPr>
          <w:lang w:val="en-GB"/>
        </w:rPr>
        <w:t xml:space="preserve">state of advancement is followed </w:t>
      </w:r>
      <w:r w:rsidRPr="00FC5D95">
        <w:rPr>
          <w:lang w:val="en-GB"/>
        </w:rPr>
        <w:t>by continuously monitoring the uranium concentration by spectrophotometry</w:t>
      </w:r>
      <w:r w:rsidR="000953C5">
        <w:rPr>
          <w:lang w:val="en-GB"/>
        </w:rPr>
        <w:t>,</w:t>
      </w:r>
      <w:r w:rsidRPr="00FC5D95">
        <w:rPr>
          <w:lang w:val="en-GB"/>
        </w:rPr>
        <w:t xml:space="preserve"> and the acidity by taking regular samples. </w:t>
      </w:r>
    </w:p>
    <w:p w:rsidR="00152DC3" w:rsidRDefault="00152DC3" w:rsidP="009215B1">
      <w:pPr>
        <w:pStyle w:val="CETBodytext"/>
        <w:rPr>
          <w:lang w:val="en-GB"/>
        </w:rPr>
      </w:pPr>
    </w:p>
    <w:p w:rsidR="00A40371" w:rsidRDefault="00A40371" w:rsidP="009215B1">
      <w:pPr>
        <w:pStyle w:val="CETBodytext"/>
        <w:rPr>
          <w:lang w:val="en-GB"/>
        </w:rPr>
      </w:pPr>
      <w:r w:rsidRPr="00A40371">
        <w:rPr>
          <w:noProof/>
          <w:lang w:val="fr-FR" w:eastAsia="fr-FR"/>
        </w:rPr>
        <w:drawing>
          <wp:inline distT="0" distB="0" distL="0" distR="0">
            <wp:extent cx="2767203" cy="2075402"/>
            <wp:effectExtent l="0" t="0" r="0" b="1270"/>
            <wp:docPr id="10" name="Image 10" descr="T:\SPDS\LED\Theses Labo\Florence Charlier\Données de thèse Florence CHARLIER\Etude macroscopique - Stage Ikrame Belghiti\Stage Ikrame Belghiti\PHOTO\réacteur\IMG_6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PDS\LED\Theses Labo\Florence Charlier\Données de thèse Florence CHARLIER\Etude macroscopique - Stage Ikrame Belghiti\Stage Ikrame Belghiti\PHOTO\réacteur\IMG_601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6879" cy="2090159"/>
                    </a:xfrm>
                    <a:prstGeom prst="rect">
                      <a:avLst/>
                    </a:prstGeom>
                    <a:noFill/>
                    <a:ln>
                      <a:noFill/>
                    </a:ln>
                  </pic:spPr>
                </pic:pic>
              </a:graphicData>
            </a:graphic>
          </wp:inline>
        </w:drawing>
      </w:r>
    </w:p>
    <w:p w:rsidR="00A40371" w:rsidRDefault="00A40371" w:rsidP="00152DC3">
      <w:pPr>
        <w:pStyle w:val="CETCaption"/>
      </w:pPr>
      <w:r>
        <w:t>Figure</w:t>
      </w:r>
      <w:r w:rsidR="00152DC3">
        <w:t xml:space="preserve"> 5: Experimental set-up to validate the macroscopic model</w:t>
      </w:r>
    </w:p>
    <w:p w:rsidR="009215B1" w:rsidRPr="00715329" w:rsidRDefault="009215B1" w:rsidP="009215B1">
      <w:pPr>
        <w:pStyle w:val="CETBodytext"/>
      </w:pPr>
      <w:r w:rsidRPr="00FC5D95">
        <w:rPr>
          <w:lang w:val="en-GB"/>
        </w:rPr>
        <w:t xml:space="preserve">Experimental </w:t>
      </w:r>
      <w:r w:rsidR="00775DA8">
        <w:rPr>
          <w:lang w:val="en-GB"/>
        </w:rPr>
        <w:t>data are illustrated in Figure 6</w:t>
      </w:r>
      <w:r w:rsidRPr="00FC5D95">
        <w:rPr>
          <w:lang w:val="en-GB"/>
        </w:rPr>
        <w:t xml:space="preserve"> </w:t>
      </w:r>
      <w:r w:rsidR="00152DC3">
        <w:rPr>
          <w:lang w:val="en-GB"/>
        </w:rPr>
        <w:t xml:space="preserve">for a dissolution </w:t>
      </w:r>
      <w:r w:rsidR="000953C5">
        <w:rPr>
          <w:lang w:val="en-GB"/>
        </w:rPr>
        <w:t>of UO</w:t>
      </w:r>
      <w:r w:rsidR="000953C5" w:rsidRPr="000953C5">
        <w:rPr>
          <w:vertAlign w:val="subscript"/>
          <w:lang w:val="en-GB"/>
        </w:rPr>
        <w:t>2</w:t>
      </w:r>
      <w:r w:rsidR="000953C5">
        <w:rPr>
          <w:lang w:val="en-GB"/>
        </w:rPr>
        <w:t xml:space="preserve"> </w:t>
      </w:r>
      <w:r w:rsidR="00152DC3">
        <w:rPr>
          <w:lang w:val="en-GB"/>
        </w:rPr>
        <w:t xml:space="preserve">carried out </w:t>
      </w:r>
      <w:r w:rsidR="000953C5">
        <w:rPr>
          <w:lang w:val="en-GB"/>
        </w:rPr>
        <w:t>at an initial acidity of 2N and an initial temperature of</w:t>
      </w:r>
      <w:r w:rsidR="00775DA8">
        <w:rPr>
          <w:lang w:val="en-GB"/>
        </w:rPr>
        <w:t xml:space="preserve"> 43°C. Figure 6</w:t>
      </w:r>
      <w:r w:rsidR="00DB5132">
        <w:rPr>
          <w:lang w:val="en-GB"/>
        </w:rPr>
        <w:t xml:space="preserve"> </w:t>
      </w:r>
      <w:r w:rsidRPr="00FC5D95">
        <w:rPr>
          <w:lang w:val="en-GB"/>
        </w:rPr>
        <w:t>shows the evoluti</w:t>
      </w:r>
      <w:r w:rsidR="00715329">
        <w:rPr>
          <w:lang w:val="en-GB"/>
        </w:rPr>
        <w:t xml:space="preserve">on of </w:t>
      </w:r>
      <w:r w:rsidR="00DB5132">
        <w:rPr>
          <w:lang w:val="en-GB"/>
        </w:rPr>
        <w:t xml:space="preserve">both </w:t>
      </w:r>
      <w:r w:rsidR="005D68BE">
        <w:rPr>
          <w:lang w:val="en-GB"/>
        </w:rPr>
        <w:t>uranium concentration</w:t>
      </w:r>
      <w:r w:rsidR="00262A2E">
        <w:rPr>
          <w:lang w:val="en-GB"/>
        </w:rPr>
        <w:t xml:space="preserve"> (red dots</w:t>
      </w:r>
      <w:r w:rsidRPr="00FC5D95">
        <w:rPr>
          <w:lang w:val="en-GB"/>
        </w:rPr>
        <w:t>)</w:t>
      </w:r>
      <w:r w:rsidR="00DB5132">
        <w:rPr>
          <w:lang w:val="en-GB"/>
        </w:rPr>
        <w:t xml:space="preserve"> and </w:t>
      </w:r>
      <w:r w:rsidRPr="00FC5D95">
        <w:rPr>
          <w:lang w:val="en-GB"/>
        </w:rPr>
        <w:t xml:space="preserve">acidity (blue </w:t>
      </w:r>
      <w:r w:rsidR="00262A2E">
        <w:rPr>
          <w:lang w:val="en-GB"/>
        </w:rPr>
        <w:t>dots</w:t>
      </w:r>
      <w:r w:rsidRPr="00FC5D95">
        <w:rPr>
          <w:lang w:val="en-GB"/>
        </w:rPr>
        <w:t xml:space="preserve">). </w:t>
      </w:r>
      <w:r w:rsidR="00DB5132">
        <w:rPr>
          <w:lang w:val="en-GB"/>
        </w:rPr>
        <w:t xml:space="preserve">Direct application of the </w:t>
      </w:r>
      <w:r w:rsidR="005D68BE">
        <w:rPr>
          <w:lang w:val="en-GB"/>
        </w:rPr>
        <w:t xml:space="preserve">macroscopic model </w:t>
      </w:r>
      <w:r w:rsidR="00D037AD">
        <w:rPr>
          <w:lang w:val="en-GB"/>
        </w:rPr>
        <w:t>has pointed</w:t>
      </w:r>
      <w:r w:rsidR="005D68BE">
        <w:rPr>
          <w:lang w:val="en-GB"/>
        </w:rPr>
        <w:t xml:space="preserve"> </w:t>
      </w:r>
      <w:r w:rsidR="00D037AD">
        <w:rPr>
          <w:lang w:val="en-GB"/>
        </w:rPr>
        <w:t xml:space="preserve">out </w:t>
      </w:r>
      <w:r w:rsidR="005D68BE">
        <w:rPr>
          <w:lang w:val="en-GB"/>
        </w:rPr>
        <w:t>that the kinetic parameters determine</w:t>
      </w:r>
      <w:r w:rsidR="00DB5132">
        <w:rPr>
          <w:lang w:val="en-GB"/>
        </w:rPr>
        <w:t>d</w:t>
      </w:r>
      <w:r w:rsidR="005D68BE">
        <w:rPr>
          <w:lang w:val="en-GB"/>
        </w:rPr>
        <w:t xml:space="preserve"> at microscopic</w:t>
      </w:r>
      <w:r w:rsidR="00DB5132">
        <w:rPr>
          <w:lang w:val="en-GB"/>
        </w:rPr>
        <w:t xml:space="preserve"> scale do</w:t>
      </w:r>
      <w:r w:rsidR="005D68BE">
        <w:rPr>
          <w:lang w:val="en-GB"/>
        </w:rPr>
        <w:t xml:space="preserve"> not lead to a</w:t>
      </w:r>
      <w:r w:rsidR="00F534C0">
        <w:rPr>
          <w:lang w:val="en-GB"/>
        </w:rPr>
        <w:t xml:space="preserve"> good</w:t>
      </w:r>
      <w:r w:rsidR="00DB5132">
        <w:rPr>
          <w:lang w:val="en-GB"/>
        </w:rPr>
        <w:t xml:space="preserve"> fit with</w:t>
      </w:r>
      <w:r w:rsidR="00F534C0">
        <w:rPr>
          <w:lang w:val="en-GB"/>
        </w:rPr>
        <w:t xml:space="preserve"> experimental data</w:t>
      </w:r>
      <w:r w:rsidR="00D037AD">
        <w:rPr>
          <w:lang w:val="en-GB"/>
        </w:rPr>
        <w:t xml:space="preserve"> (these results are not illustrated in the present work)</w:t>
      </w:r>
      <w:r w:rsidR="00F534C0">
        <w:rPr>
          <w:lang w:val="en-GB"/>
        </w:rPr>
        <w:t xml:space="preserve">. </w:t>
      </w:r>
      <w:r w:rsidR="00D037AD">
        <w:rPr>
          <w:lang w:val="en-GB"/>
        </w:rPr>
        <w:t>However, a</w:t>
      </w:r>
      <w:r w:rsidR="00400B95">
        <w:rPr>
          <w:lang w:val="en-GB"/>
        </w:rPr>
        <w:t>fte</w:t>
      </w:r>
      <w:r w:rsidR="00D037AD">
        <w:rPr>
          <w:lang w:val="en-GB"/>
        </w:rPr>
        <w:t>r optimizing parameters, the model is</w:t>
      </w:r>
      <w:r w:rsidR="00400B95">
        <w:rPr>
          <w:lang w:val="en-GB"/>
        </w:rPr>
        <w:t xml:space="preserve"> in a </w:t>
      </w:r>
      <w:r w:rsidRPr="00FC5D95">
        <w:rPr>
          <w:lang w:val="en-GB"/>
        </w:rPr>
        <w:t>good agreement with experimental data</w:t>
      </w:r>
      <w:r w:rsidR="00DB5132">
        <w:rPr>
          <w:lang w:val="en-GB"/>
        </w:rPr>
        <w:t xml:space="preserve">. </w:t>
      </w:r>
      <w:r w:rsidR="00B400AA">
        <w:rPr>
          <w:lang w:val="en-GB"/>
        </w:rPr>
        <w:t>Relative orders</w:t>
      </w:r>
      <w:r w:rsidR="00DB5132">
        <w:rPr>
          <w:lang w:val="en-GB"/>
        </w:rPr>
        <w:t xml:space="preserve"> to nitric acid (n</w:t>
      </w:r>
      <w:r w:rsidR="00DB5132" w:rsidRPr="00DB5132">
        <w:rPr>
          <w:vertAlign w:val="subscript"/>
          <w:lang w:val="en-GB"/>
        </w:rPr>
        <w:t>1</w:t>
      </w:r>
      <w:r w:rsidR="00DB5132">
        <w:rPr>
          <w:lang w:val="en-GB"/>
        </w:rPr>
        <w:t xml:space="preserve"> and n</w:t>
      </w:r>
      <w:r w:rsidR="00DB5132" w:rsidRPr="00DB5132">
        <w:rPr>
          <w:vertAlign w:val="subscript"/>
          <w:lang w:val="en-GB"/>
        </w:rPr>
        <w:t>2</w:t>
      </w:r>
      <w:r w:rsidR="00DB5132">
        <w:rPr>
          <w:lang w:val="en-GB"/>
        </w:rPr>
        <w:t>)</w:t>
      </w:r>
      <w:r w:rsidR="00B400AA">
        <w:rPr>
          <w:lang w:val="en-GB"/>
        </w:rPr>
        <w:t xml:space="preserve"> </w:t>
      </w:r>
      <w:r w:rsidR="00DB5132">
        <w:rPr>
          <w:lang w:val="en-GB"/>
        </w:rPr>
        <w:t>and catalyst Z (p)</w:t>
      </w:r>
      <w:r w:rsidRPr="00FC5D95">
        <w:rPr>
          <w:lang w:val="en-GB"/>
        </w:rPr>
        <w:t xml:space="preserve"> </w:t>
      </w:r>
      <w:r w:rsidR="00DB5132">
        <w:rPr>
          <w:lang w:val="en-GB"/>
        </w:rPr>
        <w:t xml:space="preserve">were readjusted from macroscopic experiments and now give </w:t>
      </w:r>
      <w:r w:rsidR="00B400AA">
        <w:rPr>
          <w:lang w:val="en-GB"/>
        </w:rPr>
        <w:t>satisfactory</w:t>
      </w:r>
      <w:r w:rsidR="00DB5132">
        <w:rPr>
          <w:lang w:val="en-GB"/>
        </w:rPr>
        <w:t xml:space="preserve"> results</w:t>
      </w:r>
      <w:r w:rsidR="004F204A">
        <w:rPr>
          <w:lang w:val="en-GB"/>
        </w:rPr>
        <w:t xml:space="preserve"> as illustrated in Figure 6</w:t>
      </w:r>
      <w:r w:rsidR="00B400AA">
        <w:rPr>
          <w:lang w:val="en-GB"/>
        </w:rPr>
        <w:t xml:space="preserve"> (red continuous line representing the simulated concentration of dissolved uranium)</w:t>
      </w:r>
      <w:r w:rsidR="00DB5132">
        <w:rPr>
          <w:lang w:val="en-GB"/>
        </w:rPr>
        <w:t>. Indeed,</w:t>
      </w:r>
      <w:r w:rsidRPr="00FC5D95">
        <w:rPr>
          <w:lang w:val="en-GB"/>
        </w:rPr>
        <w:t xml:space="preserve"> not only</w:t>
      </w:r>
      <w:r w:rsidR="00DB5132">
        <w:rPr>
          <w:lang w:val="en-GB"/>
        </w:rPr>
        <w:t xml:space="preserve"> is the model</w:t>
      </w:r>
      <w:r w:rsidRPr="00FC5D95">
        <w:rPr>
          <w:lang w:val="en-GB"/>
        </w:rPr>
        <w:t xml:space="preserve"> able to describe the concentration profiles but it is also able to follow the dynamics of the experiment as it simulates the impa</w:t>
      </w:r>
      <w:r w:rsidR="00400B95">
        <w:rPr>
          <w:lang w:val="en-GB"/>
        </w:rPr>
        <w:t>ct of process perturbations (mal</w:t>
      </w:r>
      <w:r w:rsidRPr="00FC5D95">
        <w:rPr>
          <w:lang w:val="en-GB"/>
        </w:rPr>
        <w:t xml:space="preserve">function of the nitric </w:t>
      </w:r>
      <w:r w:rsidR="00DB5132">
        <w:rPr>
          <w:lang w:val="en-GB"/>
        </w:rPr>
        <w:t xml:space="preserve">acid </w:t>
      </w:r>
      <w:r w:rsidRPr="00FC5D95">
        <w:rPr>
          <w:lang w:val="en-GB"/>
        </w:rPr>
        <w:t xml:space="preserve">feed) on the concentration profiles. </w:t>
      </w:r>
      <w:r w:rsidR="00DB5132">
        <w:rPr>
          <w:lang w:val="en-GB"/>
        </w:rPr>
        <w:t>However, a</w:t>
      </w:r>
      <w:r w:rsidRPr="00FC5D95">
        <w:rPr>
          <w:lang w:val="en-GB"/>
        </w:rPr>
        <w:t xml:space="preserve">s previously </w:t>
      </w:r>
      <w:r w:rsidR="00862058">
        <w:rPr>
          <w:lang w:val="en-GB"/>
        </w:rPr>
        <w:t>pointed out</w:t>
      </w:r>
      <w:r w:rsidRPr="00FC5D95">
        <w:rPr>
          <w:lang w:val="en-GB"/>
        </w:rPr>
        <w:t xml:space="preserve"> at microscopic scale, a latency time is </w:t>
      </w:r>
      <w:r w:rsidR="00DB5132">
        <w:rPr>
          <w:lang w:val="en-GB"/>
        </w:rPr>
        <w:t xml:space="preserve">still </w:t>
      </w:r>
      <w:r w:rsidRPr="00FC5D95">
        <w:rPr>
          <w:lang w:val="en-GB"/>
        </w:rPr>
        <w:t>observed at the very first beginning of the experiment</w:t>
      </w:r>
      <w:r w:rsidR="00DB5132">
        <w:rPr>
          <w:lang w:val="en-GB"/>
        </w:rPr>
        <w:t xml:space="preserve"> and</w:t>
      </w:r>
      <w:r w:rsidR="00DB5132" w:rsidRPr="00FC5D95">
        <w:rPr>
          <w:lang w:val="en-GB"/>
        </w:rPr>
        <w:t xml:space="preserve"> cannot be simulated by the model</w:t>
      </w:r>
      <w:r w:rsidRPr="00FC5D95">
        <w:rPr>
          <w:lang w:val="en-GB"/>
        </w:rPr>
        <w:t xml:space="preserve">. </w:t>
      </w:r>
      <w:r w:rsidR="00262A2E">
        <w:rPr>
          <w:lang w:val="en-GB"/>
        </w:rPr>
        <w:t>Thus, the initial modelling</w:t>
      </w:r>
      <w:r w:rsidR="000953C5">
        <w:rPr>
          <w:lang w:val="en-GB"/>
        </w:rPr>
        <w:t xml:space="preserve"> results are very encouraging but a</w:t>
      </w:r>
      <w:r w:rsidRPr="00FC5D95">
        <w:rPr>
          <w:lang w:val="en-GB"/>
        </w:rPr>
        <w:t xml:space="preserve"> better description of liquid-gas equilibria in boundary layers is </w:t>
      </w:r>
      <w:r w:rsidR="000953C5">
        <w:rPr>
          <w:lang w:val="en-GB"/>
        </w:rPr>
        <w:t xml:space="preserve">still </w:t>
      </w:r>
      <w:r w:rsidRPr="00FC5D95">
        <w:rPr>
          <w:lang w:val="en-GB"/>
        </w:rPr>
        <w:t>inv</w:t>
      </w:r>
      <w:r w:rsidR="00B400AA">
        <w:rPr>
          <w:lang w:val="en-GB"/>
        </w:rPr>
        <w:t>estig</w:t>
      </w:r>
      <w:r w:rsidR="000953C5">
        <w:rPr>
          <w:lang w:val="en-GB"/>
        </w:rPr>
        <w:t xml:space="preserve">ated to solve this problem. Optimised </w:t>
      </w:r>
      <w:r w:rsidR="00B400AA">
        <w:rPr>
          <w:lang w:val="en-GB"/>
        </w:rPr>
        <w:t xml:space="preserve">kinetic parameters </w:t>
      </w:r>
      <w:r w:rsidR="000953C5">
        <w:rPr>
          <w:lang w:val="en-GB"/>
        </w:rPr>
        <w:t>are not given in this study as they will most likely b</w:t>
      </w:r>
      <w:r w:rsidR="00B400AA">
        <w:rPr>
          <w:lang w:val="en-GB"/>
        </w:rPr>
        <w:t>e</w:t>
      </w:r>
      <w:r w:rsidR="000953C5">
        <w:rPr>
          <w:lang w:val="en-GB"/>
        </w:rPr>
        <w:t xml:space="preserve"> re-</w:t>
      </w:r>
      <w:r w:rsidR="00BB5E09">
        <w:rPr>
          <w:lang w:val="en-GB"/>
        </w:rPr>
        <w:t>e</w:t>
      </w:r>
      <w:r w:rsidR="00B400AA">
        <w:rPr>
          <w:lang w:val="en-GB"/>
        </w:rPr>
        <w:t>valuated</w:t>
      </w:r>
      <w:r w:rsidR="000953C5">
        <w:rPr>
          <w:lang w:val="en-GB"/>
        </w:rPr>
        <w:t xml:space="preserve"> </w:t>
      </w:r>
      <w:r w:rsidR="00862058">
        <w:rPr>
          <w:lang w:val="en-GB"/>
        </w:rPr>
        <w:t>on that occasion.</w:t>
      </w:r>
      <w:r w:rsidR="000953C5">
        <w:rPr>
          <w:lang w:val="en-GB"/>
        </w:rPr>
        <w:t xml:space="preserve"> </w:t>
      </w:r>
    </w:p>
    <w:p w:rsidR="00775DA8" w:rsidRPr="00FC5D95" w:rsidRDefault="00775DA8" w:rsidP="00775DA8">
      <w:pPr>
        <w:pStyle w:val="CETHeading1"/>
        <w:rPr>
          <w:lang w:val="en-GB"/>
        </w:rPr>
      </w:pPr>
      <w:r w:rsidRPr="00FC5D95">
        <w:rPr>
          <w:lang w:val="en-GB"/>
        </w:rPr>
        <w:t>What about pellets dissolution?</w:t>
      </w:r>
    </w:p>
    <w:p w:rsidR="00775DA8" w:rsidRPr="00FC5D95" w:rsidRDefault="00775DA8" w:rsidP="00775DA8">
      <w:pPr>
        <w:pStyle w:val="CETBodytext"/>
        <w:rPr>
          <w:lang w:val="en-GB"/>
        </w:rPr>
      </w:pPr>
      <w:r w:rsidRPr="00FC5D95">
        <w:rPr>
          <w:lang w:val="en-GB"/>
        </w:rPr>
        <w:t>As illustrated in the previous section, the model developed initially for powders gives encouraging results. It has now to be upgraded to be applied to pellets and to take into account their fragmentation during dissolution. One of the currently developed model</w:t>
      </w:r>
      <w:r>
        <w:rPr>
          <w:lang w:val="en-GB"/>
        </w:rPr>
        <w:t>s</w:t>
      </w:r>
      <w:r w:rsidRPr="00FC5D95">
        <w:rPr>
          <w:lang w:val="en-GB"/>
        </w:rPr>
        <w:t xml:space="preserve"> is based on the description of the solid as a staking of UO</w:t>
      </w:r>
      <w:r w:rsidRPr="00FC5D95">
        <w:rPr>
          <w:vertAlign w:val="subscript"/>
          <w:lang w:val="en-GB"/>
        </w:rPr>
        <w:t>2</w:t>
      </w:r>
      <w:r w:rsidRPr="00FC5D95">
        <w:rPr>
          <w:lang w:val="en-GB"/>
        </w:rPr>
        <w:t xml:space="preserve"> grains bonded together by a "cement" material which dissolves faster than grains and gradually releases them in the liqui</w:t>
      </w:r>
      <w:r w:rsidR="00760F26">
        <w:rPr>
          <w:lang w:val="en-GB"/>
        </w:rPr>
        <w:t>d (see Figure 7</w:t>
      </w:r>
      <w:r w:rsidRPr="00FC5D95">
        <w:rPr>
          <w:lang w:val="en-GB"/>
        </w:rPr>
        <w:t>). This implies to consider different dissolution rates and a population balance reflecting the evolution of the grains sizes during their dissolution. Moreover, despite its great complexity, bubbling in the solid faults must be considered as it locally strongl</w:t>
      </w:r>
      <w:r>
        <w:rPr>
          <w:lang w:val="en-GB"/>
        </w:rPr>
        <w:t>y impacts the mass transfer</w:t>
      </w:r>
      <w:r w:rsidRPr="00FC5D95">
        <w:rPr>
          <w:lang w:val="en-GB"/>
        </w:rPr>
        <w:t xml:space="preserve"> and thus the dissolution kinetics. Models are investigated to include this mechanism.</w:t>
      </w:r>
    </w:p>
    <w:p w:rsidR="00775DA8" w:rsidRPr="00FC5D95" w:rsidRDefault="00775DA8" w:rsidP="00775DA8">
      <w:pPr>
        <w:pStyle w:val="CETHeading1"/>
        <w:rPr>
          <w:lang w:val="en-GB"/>
        </w:rPr>
      </w:pPr>
      <w:r w:rsidRPr="00FC5D95">
        <w:rPr>
          <w:lang w:val="en-GB"/>
        </w:rPr>
        <w:t>Conclusions</w:t>
      </w:r>
    </w:p>
    <w:p w:rsidR="00F55F6C" w:rsidRPr="00FC5D95" w:rsidRDefault="00F55F6C" w:rsidP="00775DA8">
      <w:pPr>
        <w:pStyle w:val="CETBodytext"/>
        <w:rPr>
          <w:lang w:val="en-GB"/>
        </w:rPr>
      </w:pPr>
      <w:r>
        <w:rPr>
          <w:lang w:val="en-GB"/>
        </w:rPr>
        <w:t xml:space="preserve">Experiments have pointed out that mass transfers </w:t>
      </w:r>
      <w:r w:rsidRPr="00FC5D95">
        <w:rPr>
          <w:lang w:val="en-GB"/>
        </w:rPr>
        <w:t>are decisive</w:t>
      </w:r>
      <w:r>
        <w:rPr>
          <w:lang w:val="en-GB"/>
        </w:rPr>
        <w:t xml:space="preserve"> at</w:t>
      </w:r>
      <w:r w:rsidRPr="00FC5D95">
        <w:rPr>
          <w:lang w:val="en-GB"/>
        </w:rPr>
        <w:t xml:space="preserve"> both liquid-solid and solid-gas </w:t>
      </w:r>
      <w:r>
        <w:rPr>
          <w:lang w:val="en-GB"/>
        </w:rPr>
        <w:t>interfaces and control</w:t>
      </w:r>
      <w:r w:rsidRPr="00FC5D95">
        <w:rPr>
          <w:lang w:val="en-GB"/>
        </w:rPr>
        <w:t xml:space="preserve"> the concentration of catalyst</w:t>
      </w:r>
      <w:r>
        <w:rPr>
          <w:lang w:val="en-GB"/>
        </w:rPr>
        <w:t xml:space="preserve"> around the solid. G</w:t>
      </w:r>
      <w:r w:rsidR="00775DA8" w:rsidRPr="00FC5D95">
        <w:rPr>
          <w:lang w:val="en-GB"/>
        </w:rPr>
        <w:t xml:space="preserve">as-liquid exchanges </w:t>
      </w:r>
      <w:r>
        <w:rPr>
          <w:lang w:val="en-GB"/>
        </w:rPr>
        <w:t xml:space="preserve">may then be </w:t>
      </w:r>
      <w:r w:rsidR="00775DA8" w:rsidRPr="00FC5D95">
        <w:rPr>
          <w:lang w:val="en-GB"/>
        </w:rPr>
        <w:t xml:space="preserve">a lever to control </w:t>
      </w:r>
      <w:r>
        <w:rPr>
          <w:lang w:val="en-GB"/>
        </w:rPr>
        <w:t xml:space="preserve">and optimise the catalyst accumulation </w:t>
      </w:r>
      <w:r w:rsidR="0027557C">
        <w:rPr>
          <w:lang w:val="en-GB"/>
        </w:rPr>
        <w:t xml:space="preserve">to </w:t>
      </w:r>
      <w:r>
        <w:rPr>
          <w:lang w:val="en-GB"/>
        </w:rPr>
        <w:t>reduce the residence time of soli</w:t>
      </w:r>
      <w:r w:rsidR="0027557C">
        <w:rPr>
          <w:lang w:val="en-GB"/>
        </w:rPr>
        <w:t>d</w:t>
      </w:r>
      <w:r>
        <w:rPr>
          <w:lang w:val="en-GB"/>
        </w:rPr>
        <w:t xml:space="preserve"> in dissolvers. Providing a slight correction of kinetic parameters from micro- to</w:t>
      </w:r>
      <w:r w:rsidR="00262A2E">
        <w:rPr>
          <w:lang w:val="en-GB"/>
        </w:rPr>
        <w:t xml:space="preserve"> macroscopic scale, modelling</w:t>
      </w:r>
      <w:r>
        <w:rPr>
          <w:lang w:val="en-GB"/>
        </w:rPr>
        <w:t xml:space="preserve"> gives encouraging results for both </w:t>
      </w:r>
      <w:r>
        <w:rPr>
          <w:lang w:val="en-GB"/>
        </w:rPr>
        <w:lastRenderedPageBreak/>
        <w:t xml:space="preserve">experimental scale. </w:t>
      </w:r>
      <w:r w:rsidR="002E142C">
        <w:rPr>
          <w:lang w:val="en-GB"/>
        </w:rPr>
        <w:t xml:space="preserve">Efforts are now focused on modelling experimental latency times, </w:t>
      </w:r>
      <w:r>
        <w:rPr>
          <w:lang w:val="en-GB"/>
        </w:rPr>
        <w:t>bubbling and solid fragmentation.</w:t>
      </w:r>
    </w:p>
    <w:p w:rsidR="00715329" w:rsidRDefault="00715329" w:rsidP="009215B1">
      <w:pPr>
        <w:pStyle w:val="CETBodytext"/>
        <w:rPr>
          <w:lang w:val="en-GB"/>
        </w:rPr>
      </w:pPr>
    </w:p>
    <w:p w:rsidR="00DB5132" w:rsidRDefault="00DB5132" w:rsidP="00DB5132">
      <w:pPr>
        <w:pStyle w:val="CETBodytext"/>
        <w:rPr>
          <w:lang w:val="en-GB"/>
        </w:rPr>
      </w:pPr>
      <w:r>
        <w:rPr>
          <w:noProof/>
          <w:lang w:val="fr-FR" w:eastAsia="fr-FR"/>
        </w:rPr>
        <w:drawing>
          <wp:inline distT="0" distB="0" distL="0" distR="0">
            <wp:extent cx="3249440" cy="2100834"/>
            <wp:effectExtent l="0" t="0" r="825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4004" cy="2116715"/>
                    </a:xfrm>
                    <a:prstGeom prst="rect">
                      <a:avLst/>
                    </a:prstGeom>
                    <a:noFill/>
                    <a:ln>
                      <a:noFill/>
                    </a:ln>
                  </pic:spPr>
                </pic:pic>
              </a:graphicData>
            </a:graphic>
          </wp:inline>
        </w:drawing>
      </w:r>
    </w:p>
    <w:p w:rsidR="00715329" w:rsidRPr="00DB5132" w:rsidRDefault="00715329" w:rsidP="00DB5132">
      <w:pPr>
        <w:pStyle w:val="CETCaption"/>
      </w:pPr>
      <w:r w:rsidRPr="00DB5132">
        <w:t xml:space="preserve">Figure </w:t>
      </w:r>
      <w:r w:rsidR="00152DC3" w:rsidRPr="00DB5132">
        <w:t>6</w:t>
      </w:r>
      <w:r w:rsidRPr="00DB5132">
        <w:t xml:space="preserve">: </w:t>
      </w:r>
      <w:r w:rsidR="00DB5132">
        <w:t>Evolution of uranium and acid concentrations during a semi-batch dissolution of UO</w:t>
      </w:r>
      <w:r w:rsidR="00DB5132" w:rsidRPr="00DB5132">
        <w:rPr>
          <w:vertAlign w:val="subscript"/>
        </w:rPr>
        <w:t>2</w:t>
      </w:r>
      <w:r w:rsidR="00DB5132">
        <w:t xml:space="preserve"> powder – [HNO</w:t>
      </w:r>
      <w:r w:rsidR="00DB5132" w:rsidRPr="00DB5132">
        <w:rPr>
          <w:vertAlign w:val="subscript"/>
        </w:rPr>
        <w:t>3</w:t>
      </w:r>
      <w:r w:rsidR="00DB5132">
        <w:t>]</w:t>
      </w:r>
      <w:r w:rsidR="00DB5132" w:rsidRPr="00DB5132">
        <w:rPr>
          <w:vertAlign w:val="subscript"/>
        </w:rPr>
        <w:t>feed</w:t>
      </w:r>
      <w:r w:rsidR="000953C5">
        <w:rPr>
          <w:vertAlign w:val="subscript"/>
        </w:rPr>
        <w:t>,ini</w:t>
      </w:r>
      <w:r w:rsidR="00DB5132">
        <w:t xml:space="preserve"> = 2N – T</w:t>
      </w:r>
      <w:r w:rsidR="000953C5" w:rsidRPr="000953C5">
        <w:rPr>
          <w:vertAlign w:val="subscript"/>
        </w:rPr>
        <w:t>ini</w:t>
      </w:r>
      <w:r w:rsidR="00DB5132">
        <w:t xml:space="preserve"> = 43°C</w:t>
      </w:r>
    </w:p>
    <w:p w:rsidR="00B70D6C" w:rsidRPr="00FC5D95" w:rsidRDefault="00FB519B" w:rsidP="004C6EB6">
      <w:pPr>
        <w:pStyle w:val="CETBodytext"/>
        <w:rPr>
          <w:lang w:val="en-GB"/>
        </w:rPr>
      </w:pPr>
      <w:r>
        <w:rPr>
          <w:noProof/>
          <w:lang w:val="fr-FR" w:eastAsia="fr-FR"/>
        </w:rPr>
        <w:drawing>
          <wp:inline distT="0" distB="0" distL="0" distR="0" wp14:anchorId="69920604">
            <wp:extent cx="2529444" cy="1383303"/>
            <wp:effectExtent l="0" t="0" r="0" b="762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0714" cy="1411342"/>
                    </a:xfrm>
                    <a:prstGeom prst="rect">
                      <a:avLst/>
                    </a:prstGeom>
                    <a:noFill/>
                  </pic:spPr>
                </pic:pic>
              </a:graphicData>
            </a:graphic>
          </wp:inline>
        </w:drawing>
      </w:r>
    </w:p>
    <w:p w:rsidR="00B70D6C" w:rsidRPr="00FC5D95" w:rsidRDefault="00760F26" w:rsidP="00B70D6C">
      <w:pPr>
        <w:pStyle w:val="CETCaption"/>
      </w:pPr>
      <w:r>
        <w:t>Figure 7</w:t>
      </w:r>
      <w:r w:rsidR="005609BE" w:rsidRPr="00FC5D95">
        <w:t xml:space="preserve">: </w:t>
      </w:r>
      <w:r w:rsidR="00081A6A" w:rsidRPr="00FC5D95">
        <w:t>Illustration of the fragmentation model</w:t>
      </w:r>
    </w:p>
    <w:p w:rsidR="00600535" w:rsidRPr="00FC5D95" w:rsidRDefault="00600535" w:rsidP="00600535">
      <w:pPr>
        <w:pStyle w:val="CETAcknowledgementstitle"/>
      </w:pPr>
      <w:r w:rsidRPr="00FC5D95">
        <w:t>Acknowledgments</w:t>
      </w:r>
    </w:p>
    <w:p w:rsidR="00600535" w:rsidRPr="00FC5D95" w:rsidRDefault="00B400AA" w:rsidP="00600535">
      <w:pPr>
        <w:pStyle w:val="CETBodytext"/>
        <w:rPr>
          <w:lang w:val="en-GB"/>
        </w:rPr>
      </w:pPr>
      <w:r>
        <w:rPr>
          <w:lang w:val="en-GB"/>
        </w:rPr>
        <w:t>Authors want to thank O</w:t>
      </w:r>
      <w:r w:rsidR="00400B95">
        <w:rPr>
          <w:lang w:val="en-GB"/>
        </w:rPr>
        <w:t>rano and EDF</w:t>
      </w:r>
      <w:r>
        <w:rPr>
          <w:lang w:val="en-GB"/>
        </w:rPr>
        <w:t xml:space="preserve"> </w:t>
      </w:r>
      <w:r w:rsidR="00400B95">
        <w:rPr>
          <w:lang w:val="en-GB"/>
        </w:rPr>
        <w:t>for their</w:t>
      </w:r>
      <w:r w:rsidR="00743690" w:rsidRPr="00FC5D95">
        <w:rPr>
          <w:lang w:val="en-GB"/>
        </w:rPr>
        <w:t xml:space="preserve"> financial support.</w:t>
      </w:r>
    </w:p>
    <w:p w:rsidR="00600535" w:rsidRPr="00316592" w:rsidRDefault="00600535" w:rsidP="00600535">
      <w:pPr>
        <w:pStyle w:val="CETReference"/>
        <w:rPr>
          <w:lang w:val="fr-FR"/>
        </w:rPr>
      </w:pPr>
      <w:r w:rsidRPr="00316592">
        <w:rPr>
          <w:lang w:val="fr-FR"/>
        </w:rPr>
        <w:t>References</w:t>
      </w:r>
    </w:p>
    <w:p w:rsidR="00E65B91" w:rsidRPr="00316592" w:rsidRDefault="00E65B91" w:rsidP="00600535">
      <w:pPr>
        <w:pStyle w:val="CETReferencetext"/>
        <w:rPr>
          <w:lang w:val="fr-FR"/>
        </w:rPr>
      </w:pPr>
    </w:p>
    <w:p w:rsidR="007B6A73" w:rsidRPr="007B6A73" w:rsidRDefault="007B6A73" w:rsidP="001D4AF9">
      <w:pPr>
        <w:pStyle w:val="CETReferencetext"/>
        <w:rPr>
          <w:lang w:val="fr-FR"/>
        </w:rPr>
      </w:pPr>
      <w:r w:rsidRPr="007B6A73">
        <w:rPr>
          <w:lang w:val="fr-FR"/>
        </w:rPr>
        <w:t xml:space="preserve">Charlier F., </w:t>
      </w:r>
      <w:r>
        <w:rPr>
          <w:lang w:val="fr-FR"/>
        </w:rPr>
        <w:t xml:space="preserve">2017, </w:t>
      </w:r>
      <w:r w:rsidRPr="007B6A73">
        <w:rPr>
          <w:lang w:val="fr-FR"/>
        </w:rPr>
        <w:t xml:space="preserve">Réactions autocatalytiques hétérogènes. </w:t>
      </w:r>
      <w:r>
        <w:rPr>
          <w:lang w:val="fr-FR"/>
        </w:rPr>
        <w:t xml:space="preserve">Vers le dimensionnement de </w:t>
      </w:r>
      <w:r w:rsidR="000953C5">
        <w:rPr>
          <w:lang w:val="fr-FR"/>
        </w:rPr>
        <w:t xml:space="preserve">réacteurs de </w:t>
      </w:r>
      <w:r>
        <w:rPr>
          <w:lang w:val="fr-FR"/>
        </w:rPr>
        <w:t>dissolution du dioxyde d’uranium, PhD thesis, Université de Lorraine</w:t>
      </w:r>
    </w:p>
    <w:p w:rsidR="001D4AF9" w:rsidRDefault="005609BE" w:rsidP="001D4AF9">
      <w:pPr>
        <w:pStyle w:val="CETReferencetext"/>
      </w:pPr>
      <w:r w:rsidRPr="00FC5D95">
        <w:t>Charlier</w:t>
      </w:r>
      <w:r w:rsidR="00B400AA">
        <w:t xml:space="preserve"> F, Canion D., Gravinese A., Mag</w:t>
      </w:r>
      <w:r w:rsidR="00BB5E09">
        <w:t>naldo A., Lalleman S., Borda G. and</w:t>
      </w:r>
      <w:r w:rsidR="00B400AA">
        <w:t xml:space="preserve"> Schaer E.</w:t>
      </w:r>
      <w:r w:rsidR="001D4AF9">
        <w:t>,  2017, Formalization of the kinetics for autocatalytic dissolution. Focus on the dissolution of uranium dioxide in nitric acid, EPJ Nuclear Sci. Technol. 3, 26</w:t>
      </w:r>
    </w:p>
    <w:p w:rsidR="00475623" w:rsidRDefault="00BB5E09" w:rsidP="001D4AF9">
      <w:pPr>
        <w:pStyle w:val="CETReferencetext"/>
      </w:pPr>
      <w:r>
        <w:t>Fukasawa T., Ozawa Y. and</w:t>
      </w:r>
      <w:r w:rsidR="00475623">
        <w:t xml:space="preserve"> Kawamura F., 1991, Generation and decomposition behaviour of nitrous acid during dissolution of UO</w:t>
      </w:r>
      <w:r w:rsidR="00475623" w:rsidRPr="007B6A73">
        <w:rPr>
          <w:vertAlign w:val="subscript"/>
        </w:rPr>
        <w:t>2</w:t>
      </w:r>
      <w:r w:rsidR="007B6A73">
        <w:t xml:space="preserve"> </w:t>
      </w:r>
      <w:r w:rsidR="00475623">
        <w:t>pellets by nitric acid, J. Nucl. Technol. 91</w:t>
      </w:r>
    </w:p>
    <w:p w:rsidR="001D4AF9" w:rsidRPr="000953C5" w:rsidRDefault="00BB5E09" w:rsidP="001D4AF9">
      <w:pPr>
        <w:pStyle w:val="CETReferencetext"/>
        <w:rPr>
          <w:lang w:val="fr-FR"/>
        </w:rPr>
      </w:pPr>
      <w:r>
        <w:t>Marc P., Magnaldo A., Godard J. and</w:t>
      </w:r>
      <w:r w:rsidR="001D4AF9">
        <w:t xml:space="preserve"> Schaer E., 2018, A method for phenomenological and chemical kinetics study of autocatalytic reactive dissolution by optical microscopy. The case of uranium dioxide dissolution in nitric acid media, EPJ Nuclear Sci. </w:t>
      </w:r>
      <w:r w:rsidR="001D4AF9" w:rsidRPr="000953C5">
        <w:rPr>
          <w:lang w:val="fr-FR"/>
        </w:rPr>
        <w:t>Technol. 4, 2</w:t>
      </w:r>
    </w:p>
    <w:p w:rsidR="007B6A73" w:rsidRPr="007B6A73" w:rsidRDefault="007B6A73" w:rsidP="001D4AF9">
      <w:pPr>
        <w:pStyle w:val="CETReferencetext"/>
        <w:rPr>
          <w:lang w:val="fr-FR"/>
        </w:rPr>
      </w:pPr>
      <w:r w:rsidRPr="007B6A73">
        <w:rPr>
          <w:lang w:val="fr-FR"/>
        </w:rPr>
        <w:t>Marc P</w:t>
      </w:r>
      <w:r w:rsidR="000953C5">
        <w:rPr>
          <w:lang w:val="fr-FR"/>
        </w:rPr>
        <w:t>.</w:t>
      </w:r>
      <w:r w:rsidRPr="007B6A73">
        <w:rPr>
          <w:lang w:val="fr-FR"/>
        </w:rPr>
        <w:t xml:space="preserve">, 2014, Etude de réactions hétérogènes autocatalytiques. </w:t>
      </w:r>
      <w:r>
        <w:rPr>
          <w:lang w:val="fr-FR"/>
        </w:rPr>
        <w:t>Application à la dissolution du dioxyde d’uranium, PhD thesis, Université de Lorraine</w:t>
      </w:r>
    </w:p>
    <w:p w:rsidR="00475623" w:rsidRDefault="00475623" w:rsidP="001D4AF9">
      <w:pPr>
        <w:pStyle w:val="CETReferencetext"/>
      </w:pPr>
      <w:r w:rsidRPr="00F55F6C">
        <w:t>Nishimur</w:t>
      </w:r>
      <w:r w:rsidR="00BB5E09">
        <w:t>a K., Chikasawa T., Hasegawa S. and</w:t>
      </w:r>
      <w:r w:rsidRPr="00F55F6C">
        <w:t xml:space="preserve"> </w:t>
      </w:r>
      <w:r>
        <w:t>Tanaka H., 1995, Effect of nitrous acid on dissolution of UO</w:t>
      </w:r>
      <w:r w:rsidRPr="00475623">
        <w:rPr>
          <w:vertAlign w:val="subscript"/>
        </w:rPr>
        <w:t>2</w:t>
      </w:r>
      <w:r>
        <w:t xml:space="preserve"> powders in nitric acid. Optimal conditions for dissolving UO</w:t>
      </w:r>
      <w:r w:rsidRPr="00475623">
        <w:rPr>
          <w:vertAlign w:val="subscript"/>
        </w:rPr>
        <w:t>2</w:t>
      </w:r>
      <w:r>
        <w:t>, J. Nuclear Sci. Technol. 32,157</w:t>
      </w:r>
    </w:p>
    <w:p w:rsidR="001D4AF9" w:rsidRDefault="00BB5E09" w:rsidP="001D4AF9">
      <w:pPr>
        <w:pStyle w:val="CETReferencetext"/>
      </w:pPr>
      <w:r>
        <w:t>Sicsic D., Balbaud-Celerier F. and</w:t>
      </w:r>
      <w:r w:rsidR="001D4AF9">
        <w:t xml:space="preserve"> Tribollet B., 2014, Mechanism of nitric acid reduction and kinetic modelling, Eur. J. Inorg. Chem. 2014, 6174-6184</w:t>
      </w:r>
    </w:p>
    <w:p w:rsidR="00715925" w:rsidRPr="00FC5D95" w:rsidRDefault="001D4AF9" w:rsidP="00775DA8">
      <w:pPr>
        <w:pStyle w:val="CETReferencetext"/>
      </w:pPr>
      <w:r>
        <w:t>Schwartz S.</w:t>
      </w:r>
      <w:r w:rsidR="00BB5E09">
        <w:t>E. and</w:t>
      </w:r>
      <w:r>
        <w:t xml:space="preserve"> White, W.H., 1983, Kinetic of reactive dissolution of nitrogen into aqueous solution, Adv. Environ. Sci. Technol. 12</w:t>
      </w:r>
    </w:p>
    <w:sectPr w:rsidR="00715925" w:rsidRPr="00FC5D9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95" w:rsidRDefault="00E26995" w:rsidP="004F5E36">
      <w:r>
        <w:separator/>
      </w:r>
    </w:p>
  </w:endnote>
  <w:endnote w:type="continuationSeparator" w:id="0">
    <w:p w:rsidR="00E26995" w:rsidRDefault="00E269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95" w:rsidRDefault="00E26995" w:rsidP="004F5E36">
      <w:r>
        <w:separator/>
      </w:r>
    </w:p>
  </w:footnote>
  <w:footnote w:type="continuationSeparator" w:id="0">
    <w:p w:rsidR="00E26995" w:rsidRDefault="00E2699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4B8A567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CB7066E"/>
    <w:multiLevelType w:val="multilevel"/>
    <w:tmpl w:val="CE7C25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250A51"/>
    <w:multiLevelType w:val="multilevel"/>
    <w:tmpl w:val="8E94681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0D5173"/>
    <w:multiLevelType w:val="hybridMultilevel"/>
    <w:tmpl w:val="F6640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515772"/>
    <w:multiLevelType w:val="hybridMultilevel"/>
    <w:tmpl w:val="188C33C2"/>
    <w:lvl w:ilvl="0" w:tplc="46547F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2"/>
  </w:num>
  <w:num w:numId="14">
    <w:abstractNumId w:val="20"/>
  </w:num>
  <w:num w:numId="15">
    <w:abstractNumId w:val="22"/>
  </w:num>
  <w:num w:numId="16">
    <w:abstractNumId w:val="21"/>
  </w:num>
  <w:num w:numId="17">
    <w:abstractNumId w:val="11"/>
  </w:num>
  <w:num w:numId="18">
    <w:abstractNumId w:val="12"/>
    <w:lvlOverride w:ilvl="0">
      <w:startOverride w:val="1"/>
    </w:lvlOverride>
  </w:num>
  <w:num w:numId="19">
    <w:abstractNumId w:val="17"/>
  </w:num>
  <w:num w:numId="20">
    <w:abstractNumId w:val="16"/>
  </w:num>
  <w:num w:numId="21">
    <w:abstractNumId w:val="13"/>
  </w:num>
  <w:num w:numId="22">
    <w:abstractNumId w:val="10"/>
  </w:num>
  <w:num w:numId="23">
    <w:abstractNumId w:val="14"/>
  </w:num>
  <w:num w:numId="24">
    <w:abstractNumId w:val="10"/>
  </w:num>
  <w:num w:numId="25">
    <w:abstractNumId w:val="10"/>
  </w:num>
  <w:num w:numId="26">
    <w:abstractNumId w:val="10"/>
  </w:num>
  <w:num w:numId="27">
    <w:abstractNumId w:val="15"/>
  </w:num>
  <w:num w:numId="28">
    <w:abstractNumId w:val="15"/>
  </w:num>
  <w:num w:numId="29">
    <w:abstractNumId w:val="1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6A14"/>
    <w:rsid w:val="0003148D"/>
    <w:rsid w:val="00047D7F"/>
    <w:rsid w:val="00051566"/>
    <w:rsid w:val="00062A9A"/>
    <w:rsid w:val="00065058"/>
    <w:rsid w:val="00081A6A"/>
    <w:rsid w:val="00086C39"/>
    <w:rsid w:val="000953C5"/>
    <w:rsid w:val="000A03B2"/>
    <w:rsid w:val="000A3B79"/>
    <w:rsid w:val="000C692C"/>
    <w:rsid w:val="000D34BE"/>
    <w:rsid w:val="000E102F"/>
    <w:rsid w:val="000E36F1"/>
    <w:rsid w:val="000E3A73"/>
    <w:rsid w:val="000E414A"/>
    <w:rsid w:val="000F093C"/>
    <w:rsid w:val="000F16BD"/>
    <w:rsid w:val="000F787B"/>
    <w:rsid w:val="00100ED3"/>
    <w:rsid w:val="00112E7C"/>
    <w:rsid w:val="0012091F"/>
    <w:rsid w:val="00126BC2"/>
    <w:rsid w:val="001308B6"/>
    <w:rsid w:val="0013121F"/>
    <w:rsid w:val="00131FAB"/>
    <w:rsid w:val="00131FE6"/>
    <w:rsid w:val="0013263F"/>
    <w:rsid w:val="00134DE4"/>
    <w:rsid w:val="0014034D"/>
    <w:rsid w:val="00150E59"/>
    <w:rsid w:val="00152CB6"/>
    <w:rsid w:val="00152DC3"/>
    <w:rsid w:val="00152DE3"/>
    <w:rsid w:val="00162642"/>
    <w:rsid w:val="00164CF9"/>
    <w:rsid w:val="00184AD6"/>
    <w:rsid w:val="001851FD"/>
    <w:rsid w:val="00195D69"/>
    <w:rsid w:val="001A038C"/>
    <w:rsid w:val="001B0349"/>
    <w:rsid w:val="001B4A4F"/>
    <w:rsid w:val="001B65C1"/>
    <w:rsid w:val="001B6C33"/>
    <w:rsid w:val="001C684B"/>
    <w:rsid w:val="001D3D34"/>
    <w:rsid w:val="001D4AF9"/>
    <w:rsid w:val="001D53FC"/>
    <w:rsid w:val="001E7D15"/>
    <w:rsid w:val="001F42A5"/>
    <w:rsid w:val="001F7B9D"/>
    <w:rsid w:val="002224B4"/>
    <w:rsid w:val="00224D69"/>
    <w:rsid w:val="002447EF"/>
    <w:rsid w:val="00251550"/>
    <w:rsid w:val="00252C1A"/>
    <w:rsid w:val="00262A2E"/>
    <w:rsid w:val="00263B05"/>
    <w:rsid w:val="00272004"/>
    <w:rsid w:val="0027221A"/>
    <w:rsid w:val="0027557C"/>
    <w:rsid w:val="00275B61"/>
    <w:rsid w:val="00282656"/>
    <w:rsid w:val="00296B83"/>
    <w:rsid w:val="002A5D5C"/>
    <w:rsid w:val="002B78CE"/>
    <w:rsid w:val="002C2FB6"/>
    <w:rsid w:val="002D5BCD"/>
    <w:rsid w:val="002E142C"/>
    <w:rsid w:val="003009B7"/>
    <w:rsid w:val="00300E56"/>
    <w:rsid w:val="0030469C"/>
    <w:rsid w:val="00314C13"/>
    <w:rsid w:val="00316592"/>
    <w:rsid w:val="00321CA6"/>
    <w:rsid w:val="00334C09"/>
    <w:rsid w:val="003365E3"/>
    <w:rsid w:val="00362A58"/>
    <w:rsid w:val="003723D4"/>
    <w:rsid w:val="00384CC8"/>
    <w:rsid w:val="003871FD"/>
    <w:rsid w:val="003A1E30"/>
    <w:rsid w:val="003A7D1C"/>
    <w:rsid w:val="003B304B"/>
    <w:rsid w:val="003B3146"/>
    <w:rsid w:val="003B60F3"/>
    <w:rsid w:val="003E1FAB"/>
    <w:rsid w:val="003F015E"/>
    <w:rsid w:val="00400414"/>
    <w:rsid w:val="00400B95"/>
    <w:rsid w:val="0041446B"/>
    <w:rsid w:val="00416DE1"/>
    <w:rsid w:val="00435EB2"/>
    <w:rsid w:val="0044329C"/>
    <w:rsid w:val="004577FE"/>
    <w:rsid w:val="00457B9C"/>
    <w:rsid w:val="0046164A"/>
    <w:rsid w:val="004628D2"/>
    <w:rsid w:val="00462DCD"/>
    <w:rsid w:val="004648AD"/>
    <w:rsid w:val="004703A9"/>
    <w:rsid w:val="00475623"/>
    <w:rsid w:val="004760DE"/>
    <w:rsid w:val="004A004E"/>
    <w:rsid w:val="004A24CF"/>
    <w:rsid w:val="004B6721"/>
    <w:rsid w:val="004C3D1D"/>
    <w:rsid w:val="004C6EB6"/>
    <w:rsid w:val="004C7913"/>
    <w:rsid w:val="004E4DD6"/>
    <w:rsid w:val="004F204A"/>
    <w:rsid w:val="004F5E36"/>
    <w:rsid w:val="00507B47"/>
    <w:rsid w:val="00507CC9"/>
    <w:rsid w:val="005119A5"/>
    <w:rsid w:val="005278B7"/>
    <w:rsid w:val="00532016"/>
    <w:rsid w:val="005346C8"/>
    <w:rsid w:val="00534B5B"/>
    <w:rsid w:val="00543E7D"/>
    <w:rsid w:val="00546B05"/>
    <w:rsid w:val="00547A68"/>
    <w:rsid w:val="005531C9"/>
    <w:rsid w:val="0055634B"/>
    <w:rsid w:val="005609BE"/>
    <w:rsid w:val="005A4621"/>
    <w:rsid w:val="005B2110"/>
    <w:rsid w:val="005B61E6"/>
    <w:rsid w:val="005C77E1"/>
    <w:rsid w:val="005D153F"/>
    <w:rsid w:val="005D68BE"/>
    <w:rsid w:val="005D6A2F"/>
    <w:rsid w:val="005E1A82"/>
    <w:rsid w:val="005E2275"/>
    <w:rsid w:val="005E794C"/>
    <w:rsid w:val="005F0A28"/>
    <w:rsid w:val="005F0E5E"/>
    <w:rsid w:val="00600535"/>
    <w:rsid w:val="00610CD6"/>
    <w:rsid w:val="0061525B"/>
    <w:rsid w:val="00616623"/>
    <w:rsid w:val="00620DEE"/>
    <w:rsid w:val="00621F92"/>
    <w:rsid w:val="00625639"/>
    <w:rsid w:val="00631B33"/>
    <w:rsid w:val="0064184D"/>
    <w:rsid w:val="00641A5F"/>
    <w:rsid w:val="006422CC"/>
    <w:rsid w:val="0065682E"/>
    <w:rsid w:val="00660E3E"/>
    <w:rsid w:val="00662E74"/>
    <w:rsid w:val="00680C23"/>
    <w:rsid w:val="00691E5D"/>
    <w:rsid w:val="00692D4B"/>
    <w:rsid w:val="00693766"/>
    <w:rsid w:val="006A1099"/>
    <w:rsid w:val="006A3281"/>
    <w:rsid w:val="006B4888"/>
    <w:rsid w:val="006C2E45"/>
    <w:rsid w:val="006C359C"/>
    <w:rsid w:val="006C5579"/>
    <w:rsid w:val="006E737D"/>
    <w:rsid w:val="0070195D"/>
    <w:rsid w:val="00715329"/>
    <w:rsid w:val="00715925"/>
    <w:rsid w:val="00720A24"/>
    <w:rsid w:val="00732386"/>
    <w:rsid w:val="00740D34"/>
    <w:rsid w:val="00743690"/>
    <w:rsid w:val="007447F3"/>
    <w:rsid w:val="00745631"/>
    <w:rsid w:val="0075499F"/>
    <w:rsid w:val="00760F26"/>
    <w:rsid w:val="007661C8"/>
    <w:rsid w:val="0077098D"/>
    <w:rsid w:val="00775DA8"/>
    <w:rsid w:val="007931FA"/>
    <w:rsid w:val="007A7BBA"/>
    <w:rsid w:val="007B0C50"/>
    <w:rsid w:val="007B6A73"/>
    <w:rsid w:val="007C1A43"/>
    <w:rsid w:val="007E1DC6"/>
    <w:rsid w:val="00813288"/>
    <w:rsid w:val="008168FC"/>
    <w:rsid w:val="00830996"/>
    <w:rsid w:val="008345F1"/>
    <w:rsid w:val="008425FA"/>
    <w:rsid w:val="00845BEA"/>
    <w:rsid w:val="00852289"/>
    <w:rsid w:val="00862058"/>
    <w:rsid w:val="00865B07"/>
    <w:rsid w:val="008667EA"/>
    <w:rsid w:val="00875545"/>
    <w:rsid w:val="0087637F"/>
    <w:rsid w:val="008801C3"/>
    <w:rsid w:val="008904B9"/>
    <w:rsid w:val="00892AD5"/>
    <w:rsid w:val="008A1512"/>
    <w:rsid w:val="008C78C1"/>
    <w:rsid w:val="008D32B9"/>
    <w:rsid w:val="008D433B"/>
    <w:rsid w:val="008E566E"/>
    <w:rsid w:val="0090161A"/>
    <w:rsid w:val="00901EB6"/>
    <w:rsid w:val="00902650"/>
    <w:rsid w:val="009038DB"/>
    <w:rsid w:val="00904C62"/>
    <w:rsid w:val="00913A8E"/>
    <w:rsid w:val="009215B1"/>
    <w:rsid w:val="00924DAC"/>
    <w:rsid w:val="00927058"/>
    <w:rsid w:val="009450CE"/>
    <w:rsid w:val="00945C83"/>
    <w:rsid w:val="00947147"/>
    <w:rsid w:val="00947179"/>
    <w:rsid w:val="00950507"/>
    <w:rsid w:val="0095164B"/>
    <w:rsid w:val="00954090"/>
    <w:rsid w:val="009573E7"/>
    <w:rsid w:val="009635B9"/>
    <w:rsid w:val="00963E05"/>
    <w:rsid w:val="00967D54"/>
    <w:rsid w:val="00982AA3"/>
    <w:rsid w:val="0099228D"/>
    <w:rsid w:val="00996483"/>
    <w:rsid w:val="00996F5A"/>
    <w:rsid w:val="009A0A3E"/>
    <w:rsid w:val="009B041A"/>
    <w:rsid w:val="009C7C86"/>
    <w:rsid w:val="009D2FF7"/>
    <w:rsid w:val="009E7884"/>
    <w:rsid w:val="009E788A"/>
    <w:rsid w:val="009F0E08"/>
    <w:rsid w:val="00A00E8F"/>
    <w:rsid w:val="00A1763D"/>
    <w:rsid w:val="00A17CEC"/>
    <w:rsid w:val="00A27EF0"/>
    <w:rsid w:val="00A40371"/>
    <w:rsid w:val="00A50B20"/>
    <w:rsid w:val="00A51390"/>
    <w:rsid w:val="00A60D13"/>
    <w:rsid w:val="00A72745"/>
    <w:rsid w:val="00A76EFC"/>
    <w:rsid w:val="00A91010"/>
    <w:rsid w:val="00A97F29"/>
    <w:rsid w:val="00AA702E"/>
    <w:rsid w:val="00AB0964"/>
    <w:rsid w:val="00AB5011"/>
    <w:rsid w:val="00AC7368"/>
    <w:rsid w:val="00AD16B9"/>
    <w:rsid w:val="00AE377D"/>
    <w:rsid w:val="00B06B1E"/>
    <w:rsid w:val="00B15966"/>
    <w:rsid w:val="00B17FBD"/>
    <w:rsid w:val="00B246B1"/>
    <w:rsid w:val="00B315A6"/>
    <w:rsid w:val="00B31813"/>
    <w:rsid w:val="00B33365"/>
    <w:rsid w:val="00B400AA"/>
    <w:rsid w:val="00B57B36"/>
    <w:rsid w:val="00B70D6C"/>
    <w:rsid w:val="00B72B39"/>
    <w:rsid w:val="00B754CC"/>
    <w:rsid w:val="00B76ED5"/>
    <w:rsid w:val="00B85030"/>
    <w:rsid w:val="00B8686D"/>
    <w:rsid w:val="00B92A2E"/>
    <w:rsid w:val="00BA5FCB"/>
    <w:rsid w:val="00BB191C"/>
    <w:rsid w:val="00BB5E09"/>
    <w:rsid w:val="00BC30C9"/>
    <w:rsid w:val="00BE3E58"/>
    <w:rsid w:val="00C01616"/>
    <w:rsid w:val="00C0162B"/>
    <w:rsid w:val="00C26AD8"/>
    <w:rsid w:val="00C345B1"/>
    <w:rsid w:val="00C40142"/>
    <w:rsid w:val="00C57182"/>
    <w:rsid w:val="00C57863"/>
    <w:rsid w:val="00C655FD"/>
    <w:rsid w:val="00C8061E"/>
    <w:rsid w:val="00C870A8"/>
    <w:rsid w:val="00C91CF2"/>
    <w:rsid w:val="00C94434"/>
    <w:rsid w:val="00CA0D75"/>
    <w:rsid w:val="00CA1C95"/>
    <w:rsid w:val="00CA5A9C"/>
    <w:rsid w:val="00CD3517"/>
    <w:rsid w:val="00CD5A00"/>
    <w:rsid w:val="00CD5FE2"/>
    <w:rsid w:val="00CE0BF1"/>
    <w:rsid w:val="00CE7C68"/>
    <w:rsid w:val="00D02B4C"/>
    <w:rsid w:val="00D037AD"/>
    <w:rsid w:val="00D040C4"/>
    <w:rsid w:val="00D12D98"/>
    <w:rsid w:val="00D21727"/>
    <w:rsid w:val="00D24922"/>
    <w:rsid w:val="00D57C84"/>
    <w:rsid w:val="00D6057D"/>
    <w:rsid w:val="00D84576"/>
    <w:rsid w:val="00DA1399"/>
    <w:rsid w:val="00DA24C6"/>
    <w:rsid w:val="00DA4D7B"/>
    <w:rsid w:val="00DB5132"/>
    <w:rsid w:val="00DE264A"/>
    <w:rsid w:val="00DF120C"/>
    <w:rsid w:val="00E02D18"/>
    <w:rsid w:val="00E041E7"/>
    <w:rsid w:val="00E23CA1"/>
    <w:rsid w:val="00E248E0"/>
    <w:rsid w:val="00E26995"/>
    <w:rsid w:val="00E409A8"/>
    <w:rsid w:val="00E45E97"/>
    <w:rsid w:val="00E50C12"/>
    <w:rsid w:val="00E65B91"/>
    <w:rsid w:val="00E7209D"/>
    <w:rsid w:val="00E77223"/>
    <w:rsid w:val="00E8528B"/>
    <w:rsid w:val="00E85B94"/>
    <w:rsid w:val="00E978D0"/>
    <w:rsid w:val="00EA4613"/>
    <w:rsid w:val="00EA7F91"/>
    <w:rsid w:val="00EB1523"/>
    <w:rsid w:val="00EC0E49"/>
    <w:rsid w:val="00EE0131"/>
    <w:rsid w:val="00F155B2"/>
    <w:rsid w:val="00F30C64"/>
    <w:rsid w:val="00F32CDB"/>
    <w:rsid w:val="00F534C0"/>
    <w:rsid w:val="00F55F6C"/>
    <w:rsid w:val="00F63A70"/>
    <w:rsid w:val="00FA21D0"/>
    <w:rsid w:val="00FA5F5F"/>
    <w:rsid w:val="00FB519B"/>
    <w:rsid w:val="00FB730C"/>
    <w:rsid w:val="00FC06E5"/>
    <w:rsid w:val="00FC2695"/>
    <w:rsid w:val="00FC3E03"/>
    <w:rsid w:val="00FC3FC1"/>
    <w:rsid w:val="00FC5D9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7"/>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C06E5"/>
    <w:pPr>
      <w:keepNext/>
      <w:numPr>
        <w:ilvl w:val="2"/>
        <w:numId w:val="27"/>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27"/>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C06E5"/>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edelespacerserv">
    <w:name w:val="Placeholder Text"/>
    <w:basedOn w:val="Policepardfaut"/>
    <w:uiPriority w:val="99"/>
    <w:semiHidden/>
    <w:rsid w:val="008522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7740">
      <w:bodyDiv w:val="1"/>
      <w:marLeft w:val="0"/>
      <w:marRight w:val="0"/>
      <w:marTop w:val="0"/>
      <w:marBottom w:val="0"/>
      <w:divBdr>
        <w:top w:val="none" w:sz="0" w:space="0" w:color="auto"/>
        <w:left w:val="none" w:sz="0" w:space="0" w:color="auto"/>
        <w:bottom w:val="none" w:sz="0" w:space="0" w:color="auto"/>
        <w:right w:val="none" w:sz="0" w:space="0" w:color="auto"/>
      </w:divBdr>
    </w:div>
    <w:div w:id="305622523">
      <w:bodyDiv w:val="1"/>
      <w:marLeft w:val="0"/>
      <w:marRight w:val="0"/>
      <w:marTop w:val="0"/>
      <w:marBottom w:val="0"/>
      <w:divBdr>
        <w:top w:val="none" w:sz="0" w:space="0" w:color="auto"/>
        <w:left w:val="none" w:sz="0" w:space="0" w:color="auto"/>
        <w:bottom w:val="none" w:sz="0" w:space="0" w:color="auto"/>
        <w:right w:val="none" w:sz="0" w:space="0" w:color="auto"/>
      </w:divBdr>
    </w:div>
    <w:div w:id="53176779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951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97A2-788E-4346-B7A5-98B86614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2573</Words>
  <Characters>14155</Characters>
  <Application>Microsoft Office Word</Application>
  <DocSecurity>0</DocSecurity>
  <Lines>117</Lines>
  <Paragraphs>33</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LALLEMAN Sophie</cp:lastModifiedBy>
  <cp:revision>11</cp:revision>
  <cp:lastPrinted>2019-01-22T09:11:00Z</cp:lastPrinted>
  <dcterms:created xsi:type="dcterms:W3CDTF">2019-04-11T11:59:00Z</dcterms:created>
  <dcterms:modified xsi:type="dcterms:W3CDTF">2019-04-12T11:54:00Z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