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8C09BD9" w14:textId="77777777">
        <w:trPr>
          <w:trHeight w:val="852"/>
          <w:jc w:val="center"/>
        </w:trPr>
        <w:tc>
          <w:tcPr>
            <w:tcW w:w="6946" w:type="dxa"/>
            <w:vMerge w:val="restart"/>
            <w:tcBorders>
              <w:right w:val="single" w:sz="4" w:space="0" w:color="auto"/>
            </w:tcBorders>
          </w:tcPr>
          <w:p w14:paraId="6B8B8A4D"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1B9E5B19" wp14:editId="25198C8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3458F1A"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E8FBE45"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6B83577F" w14:textId="77777777" w:rsidR="000A03B2" w:rsidRPr="00B57B36" w:rsidRDefault="000A03B2" w:rsidP="00CD5FE2">
            <w:pPr>
              <w:jc w:val="right"/>
            </w:pPr>
            <w:r w:rsidRPr="00B57B36">
              <w:rPr>
                <w:noProof/>
                <w:lang w:val="pt-BR" w:eastAsia="pt-BR"/>
              </w:rPr>
              <w:drawing>
                <wp:inline distT="0" distB="0" distL="0" distR="0" wp14:anchorId="602FC9BD" wp14:editId="245B3D31">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C9F5094" w14:textId="77777777">
        <w:trPr>
          <w:trHeight w:val="567"/>
          <w:jc w:val="center"/>
        </w:trPr>
        <w:tc>
          <w:tcPr>
            <w:tcW w:w="6946" w:type="dxa"/>
            <w:vMerge/>
            <w:tcBorders>
              <w:right w:val="single" w:sz="4" w:space="0" w:color="auto"/>
            </w:tcBorders>
          </w:tcPr>
          <w:p w14:paraId="00279F4A"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B1689FE"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AB879E9"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1229E769"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5F313D89" w14:textId="77777777">
        <w:trPr>
          <w:trHeight w:val="68"/>
          <w:jc w:val="center"/>
        </w:trPr>
        <w:tc>
          <w:tcPr>
            <w:tcW w:w="8789" w:type="dxa"/>
            <w:gridSpan w:val="2"/>
          </w:tcPr>
          <w:p w14:paraId="36E328C4"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39FA95D"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F12880F"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4FA98BF" w14:textId="77777777" w:rsidR="00E978D0" w:rsidRPr="00B57B36" w:rsidRDefault="00BA023D" w:rsidP="00E978D0">
      <w:pPr>
        <w:pStyle w:val="CETTitle"/>
      </w:pPr>
      <w:r>
        <w:lastRenderedPageBreak/>
        <w:t>Sugarcane bagasse fast pyrolysis simulation: a t</w:t>
      </w:r>
      <w:r w:rsidR="007F085F">
        <w:t>hermodynamic equilibrium approach</w:t>
      </w:r>
    </w:p>
    <w:p w14:paraId="1CC27D14" w14:textId="77777777" w:rsidR="00E978D0" w:rsidRPr="00B57B36" w:rsidRDefault="007E0C24" w:rsidP="00AB5011">
      <w:pPr>
        <w:pStyle w:val="CETAuthors"/>
      </w:pPr>
      <w:r>
        <w:t>Nahieh T.</w:t>
      </w:r>
      <w:r w:rsidR="007F085F">
        <w:t xml:space="preserve"> Miranda*, Rubens Maciel </w:t>
      </w:r>
      <w:r>
        <w:t>Filho, Maria Regina W.</w:t>
      </w:r>
      <w:r w:rsidR="007F085F">
        <w:t xml:space="preserve"> Maciel</w:t>
      </w:r>
    </w:p>
    <w:p w14:paraId="6C4529C0" w14:textId="7F7D25C0" w:rsidR="00E978D0" w:rsidRPr="00B57B36" w:rsidRDefault="007F085F" w:rsidP="00E978D0">
      <w:pPr>
        <w:pStyle w:val="CETAddress"/>
      </w:pPr>
      <w:r>
        <w:t>Laboratory of Optimization, Design</w:t>
      </w:r>
      <w:r w:rsidR="00E40E55">
        <w:t>,</w:t>
      </w:r>
      <w:r>
        <w:t xml:space="preserve"> and Advanced Control (LOPCA)</w:t>
      </w:r>
      <w:r w:rsidR="002E7FD8">
        <w:t>/Laboratory of Development of Separation Processes (LDPS)</w:t>
      </w:r>
      <w:r>
        <w:t>, School of Chemical Engineering, University of Campinas, Av.</w:t>
      </w:r>
      <w:r w:rsidR="00F31FE7">
        <w:t xml:space="preserve"> Albert Einstein 500, Campinas,</w:t>
      </w:r>
      <w:r w:rsidR="00E40497">
        <w:t xml:space="preserve"> 13083-852, Brazil.</w:t>
      </w:r>
      <w:r w:rsidR="00E978D0" w:rsidRPr="00B57B36">
        <w:t xml:space="preserve"> </w:t>
      </w:r>
    </w:p>
    <w:p w14:paraId="345FA183" w14:textId="3D5D3E18" w:rsidR="00E978D0" w:rsidRPr="00B57B36" w:rsidRDefault="00E40497" w:rsidP="00E978D0">
      <w:pPr>
        <w:pStyle w:val="CETemail"/>
      </w:pPr>
      <w:r>
        <w:t>nahieh.tmiranda@gmail.com</w:t>
      </w:r>
    </w:p>
    <w:p w14:paraId="543A2527" w14:textId="60247B90" w:rsidR="0070085F" w:rsidRDefault="00E40497" w:rsidP="00B25D44">
      <w:pPr>
        <w:pStyle w:val="CETBodytext"/>
      </w:pPr>
      <w:r w:rsidRPr="004F0409">
        <w:t xml:space="preserve">This paper </w:t>
      </w:r>
      <w:r w:rsidR="002E7FD8">
        <w:t>investigates the capability</w:t>
      </w:r>
      <w:r w:rsidRPr="004F0409">
        <w:t xml:space="preserve"> of thermodynamic equilibrium approach </w:t>
      </w:r>
      <w:r w:rsidR="001A58C6">
        <w:t xml:space="preserve">to simulate </w:t>
      </w:r>
      <w:r w:rsidR="002E7FD8">
        <w:t>fast pyrolysis of</w:t>
      </w:r>
      <w:r w:rsidRPr="004F0409">
        <w:t xml:space="preserve"> sugarcane bagasse </w:t>
      </w:r>
      <w:r>
        <w:t xml:space="preserve">in </w:t>
      </w:r>
      <w:r w:rsidRPr="004F0409">
        <w:t xml:space="preserve">Aspen </w:t>
      </w:r>
      <w:proofErr w:type="spellStart"/>
      <w:r w:rsidRPr="004F0409">
        <w:t>Plus</w:t>
      </w:r>
      <w:r w:rsidRPr="004F0409">
        <w:rPr>
          <w:vertAlign w:val="superscript"/>
        </w:rPr>
        <w:t>TM</w:t>
      </w:r>
      <w:proofErr w:type="spellEnd"/>
      <w:r w:rsidRPr="004F0409">
        <w:t xml:space="preserve">. </w:t>
      </w:r>
      <w:r w:rsidR="002E7FD8">
        <w:t xml:space="preserve">The </w:t>
      </w:r>
      <w:r w:rsidRPr="004F0409">
        <w:t>Gibbs</w:t>
      </w:r>
      <w:r>
        <w:t xml:space="preserve"> energy minimiz</w:t>
      </w:r>
      <w:r w:rsidRPr="00B81667">
        <w:t>ation</w:t>
      </w:r>
      <w:r w:rsidRPr="004F0409">
        <w:t xml:space="preserve"> reactor </w:t>
      </w:r>
      <w:r w:rsidR="002E7FD8">
        <w:t xml:space="preserve">was used </w:t>
      </w:r>
      <w:r w:rsidRPr="004F0409">
        <w:t>to evaluate the effect of temperature (52</w:t>
      </w:r>
      <w:r>
        <w:t>3–</w:t>
      </w:r>
      <w:r w:rsidRPr="004F0409">
        <w:t>773 K), pressure</w:t>
      </w:r>
      <w:r>
        <w:t xml:space="preserve"> (1–</w:t>
      </w:r>
      <w:r w:rsidR="00242F3E">
        <w:t xml:space="preserve">5 </w:t>
      </w:r>
      <w:proofErr w:type="spellStart"/>
      <w:r w:rsidR="00242F3E">
        <w:t>atm</w:t>
      </w:r>
      <w:proofErr w:type="spellEnd"/>
      <w:r w:rsidRPr="004F0409">
        <w:t>), and moisture content</w:t>
      </w:r>
      <w:r>
        <w:t xml:space="preserve"> (10–25 </w:t>
      </w:r>
      <w:proofErr w:type="spellStart"/>
      <w:proofErr w:type="gramStart"/>
      <w:r>
        <w:t>wt</w:t>
      </w:r>
      <w:proofErr w:type="spellEnd"/>
      <w:r>
        <w:t>%</w:t>
      </w:r>
      <w:proofErr w:type="gramEnd"/>
      <w:r>
        <w:t>)</w:t>
      </w:r>
      <w:r w:rsidR="001A58C6">
        <w:t xml:space="preserve"> on pyrolysis products distribution</w:t>
      </w:r>
      <w:r>
        <w:t>, using</w:t>
      </w:r>
      <w:r w:rsidRPr="004F0409">
        <w:t xml:space="preserve"> a 2</w:t>
      </w:r>
      <w:r w:rsidRPr="004F0409">
        <w:rPr>
          <w:vertAlign w:val="superscript"/>
        </w:rPr>
        <w:t>3</w:t>
      </w:r>
      <w:r w:rsidRPr="004F0409">
        <w:t xml:space="preserve"> central composite </w:t>
      </w:r>
      <w:r w:rsidR="002E7FD8">
        <w:t>design (sensitivity analysi</w:t>
      </w:r>
      <w:r>
        <w:t>s)</w:t>
      </w:r>
      <w:r w:rsidR="002E7FD8">
        <w:t>. H</w:t>
      </w:r>
      <w:r w:rsidR="003D5326">
        <w:t>igh</w:t>
      </w:r>
      <w:r w:rsidRPr="004F0409">
        <w:t xml:space="preserve"> temperature</w:t>
      </w:r>
      <w:r w:rsidR="00D64EF4">
        <w:t xml:space="preserve"> (500 °C) </w:t>
      </w:r>
      <w:r w:rsidR="00C77EBE">
        <w:t xml:space="preserve">and low </w:t>
      </w:r>
      <w:proofErr w:type="gramStart"/>
      <w:r w:rsidR="00C77EBE">
        <w:t>pressure</w:t>
      </w:r>
      <w:proofErr w:type="gramEnd"/>
      <w:r w:rsidR="00C77EBE">
        <w:t xml:space="preserve"> (1 </w:t>
      </w:r>
      <w:proofErr w:type="spellStart"/>
      <w:r w:rsidR="00C77EBE">
        <w:t>atm</w:t>
      </w:r>
      <w:proofErr w:type="spellEnd"/>
      <w:r w:rsidR="003D5326">
        <w:t xml:space="preserve">) </w:t>
      </w:r>
      <w:r w:rsidR="00D64EF4">
        <w:t>produced</w:t>
      </w:r>
      <w:r w:rsidR="00560063">
        <w:t xml:space="preserve"> the highest yield of gases</w:t>
      </w:r>
      <w:r w:rsidR="00D64EF4">
        <w:t xml:space="preserve"> </w:t>
      </w:r>
      <w:r w:rsidR="00560063">
        <w:t>(~</w:t>
      </w:r>
      <w:r w:rsidR="00D64EF4">
        <w:t>70 %</w:t>
      </w:r>
      <w:r w:rsidR="00560063">
        <w:t>)</w:t>
      </w:r>
      <w:r w:rsidR="00D64EF4">
        <w:t xml:space="preserve"> while </w:t>
      </w:r>
      <w:r w:rsidR="003D5326">
        <w:t>low temperature (250 °C) and high</w:t>
      </w:r>
      <w:r w:rsidR="00C77EBE">
        <w:t xml:space="preserve"> pressure (5 </w:t>
      </w:r>
      <w:proofErr w:type="spellStart"/>
      <w:r w:rsidR="00C77EBE">
        <w:t>atm</w:t>
      </w:r>
      <w:proofErr w:type="spellEnd"/>
      <w:r w:rsidR="00D64EF4">
        <w:t xml:space="preserve">) </w:t>
      </w:r>
      <w:r w:rsidR="00560063">
        <w:t xml:space="preserve">achieved the highest liquid </w:t>
      </w:r>
      <w:r w:rsidR="00560063" w:rsidRPr="00804FD8">
        <w:rPr>
          <w:noProof/>
        </w:rPr>
        <w:t>yields</w:t>
      </w:r>
      <w:r w:rsidR="00C015C5">
        <w:t xml:space="preserve"> (~53 %), and m</w:t>
      </w:r>
      <w:r w:rsidR="00D64EF4">
        <w:t>oisture content demonstrated</w:t>
      </w:r>
      <w:r w:rsidRPr="004F0409">
        <w:t xml:space="preserve"> </w:t>
      </w:r>
      <w:r w:rsidR="00D64EF4">
        <w:t>little influence for both products</w:t>
      </w:r>
      <w:r w:rsidR="00B25D44">
        <w:t xml:space="preserve"> because the reactor was held isothermal.</w:t>
      </w:r>
      <w:r>
        <w:t xml:space="preserve"> </w:t>
      </w:r>
      <w:r w:rsidR="009442CE">
        <w:t>However, f</w:t>
      </w:r>
      <w:r>
        <w:t>or</w:t>
      </w:r>
      <w:r w:rsidRPr="004F0409">
        <w:t xml:space="preserve"> gases </w:t>
      </w:r>
      <w:r>
        <w:t>production</w:t>
      </w:r>
      <w:r w:rsidR="002E7FD8">
        <w:t xml:space="preserve">, </w:t>
      </w:r>
      <w:r w:rsidR="009442CE">
        <w:t>high</w:t>
      </w:r>
      <w:r>
        <w:t xml:space="preserve"> </w:t>
      </w:r>
      <w:r w:rsidRPr="004F0409">
        <w:t xml:space="preserve">moisture content </w:t>
      </w:r>
      <w:r w:rsidR="009442CE">
        <w:t>(25 %) can</w:t>
      </w:r>
      <w:r w:rsidR="002E7FD8">
        <w:t xml:space="preserve"> be combined </w:t>
      </w:r>
      <w:r w:rsidRPr="004F0409">
        <w:t>either with higher temperature</w:t>
      </w:r>
      <w:r w:rsidR="009442CE">
        <w:t>s to promote CO</w:t>
      </w:r>
      <w:r w:rsidR="00B25D44">
        <w:t xml:space="preserve"> production</w:t>
      </w:r>
      <w:r w:rsidRPr="004F0409">
        <w:t xml:space="preserve"> or higher pressure</w:t>
      </w:r>
      <w:r w:rsidR="009442CE">
        <w:t xml:space="preserve"> </w:t>
      </w:r>
      <w:r w:rsidR="000772DB">
        <w:t>for</w:t>
      </w:r>
      <w:r>
        <w:t xml:space="preserve"> </w:t>
      </w:r>
      <w:r w:rsidRPr="004F0409">
        <w:t>CO</w:t>
      </w:r>
      <w:r w:rsidRPr="004F0409">
        <w:rPr>
          <w:vertAlign w:val="subscript"/>
        </w:rPr>
        <w:t>2</w:t>
      </w:r>
      <w:r w:rsidR="00B25D44">
        <w:t xml:space="preserve"> </w:t>
      </w:r>
      <w:r w:rsidR="00B25D44" w:rsidRPr="00804FD8">
        <w:rPr>
          <w:noProof/>
        </w:rPr>
        <w:t>production</w:t>
      </w:r>
      <w:r>
        <w:t>.</w:t>
      </w:r>
      <w:r w:rsidRPr="004F0409">
        <w:t xml:space="preserve"> </w:t>
      </w:r>
      <w:r>
        <w:t>The results suggested that</w:t>
      </w:r>
      <w:r w:rsidRPr="005A4E7A">
        <w:t xml:space="preserve"> </w:t>
      </w:r>
      <w:r>
        <w:t xml:space="preserve">the </w:t>
      </w:r>
      <w:r w:rsidR="000E57FE">
        <w:t>temperature was the only</w:t>
      </w:r>
      <w:r w:rsidRPr="009B5689">
        <w:t xml:space="preserve"> significant</w:t>
      </w:r>
      <w:r>
        <w:t xml:space="preserve"> parameter</w:t>
      </w:r>
      <w:r w:rsidR="00C73CFC">
        <w:t xml:space="preserve"> for</w:t>
      </w:r>
      <w:r w:rsidR="00BB4ABD">
        <w:t xml:space="preserve"> pyro</w:t>
      </w:r>
      <w:r w:rsidR="00AB12C7">
        <w:t>lysis products distribution for</w:t>
      </w:r>
      <w:r w:rsidR="00C73CFC">
        <w:t xml:space="preserve"> 95 % confidence level</w:t>
      </w:r>
      <w:r w:rsidR="000E57FE">
        <w:t>, and th</w:t>
      </w:r>
      <w:r w:rsidR="008F2114">
        <w:t>e equilibrium approach predic</w:t>
      </w:r>
      <w:r w:rsidR="000E57FE">
        <w:t xml:space="preserve">ted </w:t>
      </w:r>
      <w:r w:rsidR="00C73CFC">
        <w:t>gas yields more efficiently</w:t>
      </w:r>
      <w:r w:rsidR="000E57FE">
        <w:t xml:space="preserve"> </w:t>
      </w:r>
      <w:r w:rsidR="000772DB">
        <w:t xml:space="preserve">than </w:t>
      </w:r>
      <w:r w:rsidR="000772DB" w:rsidRPr="000772DB">
        <w:rPr>
          <w:noProof/>
        </w:rPr>
        <w:t xml:space="preserve">liquid </w:t>
      </w:r>
      <w:r w:rsidR="000772DB" w:rsidRPr="00804FD8">
        <w:rPr>
          <w:noProof/>
        </w:rPr>
        <w:t>yields</w:t>
      </w:r>
      <w:r w:rsidRPr="009B5689">
        <w:t>.</w:t>
      </w:r>
    </w:p>
    <w:p w14:paraId="1F8EAC1A" w14:textId="77777777" w:rsidR="00600535" w:rsidRPr="00B57B36" w:rsidRDefault="00600535" w:rsidP="00600535">
      <w:pPr>
        <w:pStyle w:val="CETHeading1"/>
        <w:rPr>
          <w:lang w:val="en-GB"/>
        </w:rPr>
      </w:pPr>
      <w:r w:rsidRPr="00B57B36">
        <w:rPr>
          <w:lang w:val="en-GB"/>
        </w:rPr>
        <w:t>Introduction</w:t>
      </w:r>
    </w:p>
    <w:p w14:paraId="3F6D22B5" w14:textId="73D19A5F" w:rsidR="00BD3C74" w:rsidRPr="00BD3C74" w:rsidRDefault="00BD3C74" w:rsidP="00BF27EA">
      <w:pPr>
        <w:pStyle w:val="CETBodytext"/>
      </w:pPr>
      <w:r w:rsidRPr="00BD3C74">
        <w:t>Sugarcane bagasse, the main by-product of the sugar-alcohol industry, has the potential to be a source of biomass for biofuel production in several countries</w:t>
      </w:r>
      <w:r w:rsidR="00881434">
        <w:t xml:space="preserve"> </w:t>
      </w:r>
      <w:r w:rsidR="00881434" w:rsidRPr="00881434">
        <w:t xml:space="preserve">that are </w:t>
      </w:r>
      <w:r w:rsidR="004833E5">
        <w:rPr>
          <w:noProof/>
        </w:rPr>
        <w:t>significant</w:t>
      </w:r>
      <w:r w:rsidR="00881434" w:rsidRPr="004833E5">
        <w:rPr>
          <w:noProof/>
        </w:rPr>
        <w:t xml:space="preserve"> producers of sugarcane</w:t>
      </w:r>
      <w:r w:rsidRPr="00BD3C74">
        <w:t>, such as Brazil (t</w:t>
      </w:r>
      <w:r w:rsidR="00881434">
        <w:t>he largest producer</w:t>
      </w:r>
      <w:r w:rsidRPr="00BD3C74">
        <w:t>), India, Chin</w:t>
      </w:r>
      <w:r w:rsidR="00903458">
        <w:t xml:space="preserve">a, Thailand, and Pakistan </w:t>
      </w:r>
      <w:r w:rsidR="00BF27EA">
        <w:t>(Food and Agriculture Organiza</w:t>
      </w:r>
      <w:r w:rsidR="00A30F5D">
        <w:t>tion of the United Nations, 2018</w:t>
      </w:r>
      <w:r w:rsidR="00123578">
        <w:t>)</w:t>
      </w:r>
      <w:r w:rsidR="00C03847">
        <w:t>; (Motta et al., 2018)</w:t>
      </w:r>
      <w:r w:rsidR="00BA023D">
        <w:t xml:space="preserve">. </w:t>
      </w:r>
      <w:r w:rsidRPr="00BD3C74">
        <w:t xml:space="preserve">Its properties and abundance favor its application. </w:t>
      </w:r>
      <w:r w:rsidR="00A35414">
        <w:t>E</w:t>
      </w:r>
      <w:r w:rsidR="00A35414" w:rsidRPr="00BD3C74">
        <w:t xml:space="preserve">nergy cogeneration </w:t>
      </w:r>
      <w:r w:rsidR="00A35414">
        <w:t>generally uses</w:t>
      </w:r>
      <w:r w:rsidR="00A35414" w:rsidRPr="00BD3C74">
        <w:t xml:space="preserve"> </w:t>
      </w:r>
      <w:r w:rsidR="00A35414">
        <w:t>this by-product by</w:t>
      </w:r>
      <w:r w:rsidRPr="00BD3C74">
        <w:t xml:space="preserve"> burning </w:t>
      </w:r>
      <w:r w:rsidR="00A35414">
        <w:t xml:space="preserve">it </w:t>
      </w:r>
      <w:r w:rsidRPr="00BD3C74">
        <w:t xml:space="preserve">in boilers, contributing </w:t>
      </w:r>
      <w:r w:rsidR="004833E5">
        <w:rPr>
          <w:noProof/>
        </w:rPr>
        <w:t>to</w:t>
      </w:r>
      <w:r w:rsidRPr="00BD3C74">
        <w:t xml:space="preserve"> the energy integra</w:t>
      </w:r>
      <w:r w:rsidR="00453089">
        <w:t>tion in sugar-alcohol plants (Sun et al., 2003)</w:t>
      </w:r>
      <w:r w:rsidRPr="00BD3C74">
        <w:t xml:space="preserve">. In </w:t>
      </w:r>
      <w:r w:rsidR="004833E5">
        <w:rPr>
          <w:noProof/>
        </w:rPr>
        <w:t>an</w:t>
      </w:r>
      <w:r w:rsidRPr="004833E5">
        <w:rPr>
          <w:noProof/>
        </w:rPr>
        <w:t xml:space="preserve"> attempt</w:t>
      </w:r>
      <w:r w:rsidRPr="00BD3C74">
        <w:t xml:space="preserve"> to bring other alternatives to process this residue, some innovative technologies </w:t>
      </w:r>
      <w:proofErr w:type="gramStart"/>
      <w:r w:rsidRPr="00BD3C74">
        <w:t>have been developed</w:t>
      </w:r>
      <w:proofErr w:type="gramEnd"/>
      <w:r w:rsidRPr="00BD3C74">
        <w:t xml:space="preserve"> to improve the efficiency of biofuel production processes: thermochemical, biochemical, chemical, and physical pathways. Among these biomass conversion routes, pyrolysis has been widely studied after the </w:t>
      </w:r>
      <w:proofErr w:type="gramStart"/>
      <w:r w:rsidRPr="00BD3C74">
        <w:t>two oil</w:t>
      </w:r>
      <w:proofErr w:type="gramEnd"/>
      <w:r w:rsidRPr="00BD3C74">
        <w:t xml:space="preserve"> crisis in the </w:t>
      </w:r>
      <w:r w:rsidRPr="004833E5">
        <w:rPr>
          <w:noProof/>
        </w:rPr>
        <w:t>1980s</w:t>
      </w:r>
      <w:r w:rsidRPr="00BD3C74">
        <w:t xml:space="preserve"> </w:t>
      </w:r>
      <w:r w:rsidR="00A35414">
        <w:t>(Islam et al., 2010)</w:t>
      </w:r>
      <w:r w:rsidR="002A052E">
        <w:t>.</w:t>
      </w:r>
      <w:r w:rsidRPr="00BD3C74">
        <w:t xml:space="preserve"> </w:t>
      </w:r>
      <w:r w:rsidR="002A052E">
        <w:t>This thermochemical process</w:t>
      </w:r>
      <w:r w:rsidRPr="00BD3C74">
        <w:t xml:space="preserve"> is an attractive alternative for biofuels p</w:t>
      </w:r>
      <w:r w:rsidR="00467824">
        <w:t>roduction because it uses</w:t>
      </w:r>
      <w:r w:rsidRPr="00BD3C74">
        <w:t xml:space="preserve"> several biomass types for feedstock (mostly agricultural wastes),</w:t>
      </w:r>
      <w:r w:rsidR="00A35414">
        <w:t xml:space="preserve"> reducing competition with food</w:t>
      </w:r>
      <w:r w:rsidR="00453089">
        <w:t xml:space="preserve"> (</w:t>
      </w:r>
      <w:proofErr w:type="spellStart"/>
      <w:r w:rsidR="00453089">
        <w:t>Gollakota</w:t>
      </w:r>
      <w:proofErr w:type="spellEnd"/>
      <w:r w:rsidR="00453089">
        <w:t xml:space="preserve"> et al., 2016)</w:t>
      </w:r>
      <w:r w:rsidRPr="00BD3C74">
        <w:t xml:space="preserve">, and providing a better </w:t>
      </w:r>
      <w:r w:rsidR="008149D1">
        <w:t>use</w:t>
      </w:r>
      <w:r w:rsidRPr="00BD3C74">
        <w:t xml:space="preserve"> for such </w:t>
      </w:r>
      <w:r w:rsidR="000772DB">
        <w:rPr>
          <w:noProof/>
        </w:rPr>
        <w:t>residues</w:t>
      </w:r>
      <w:r w:rsidRPr="00BD3C74">
        <w:t xml:space="preserve">. </w:t>
      </w:r>
    </w:p>
    <w:p w14:paraId="58D95B9C" w14:textId="2CA7A6D7" w:rsidR="00BD3C74" w:rsidRPr="00BD3C74" w:rsidRDefault="00BD3C74" w:rsidP="00BD3C74">
      <w:pPr>
        <w:pStyle w:val="CETBodytext"/>
      </w:pPr>
      <w:r w:rsidRPr="00BD3C74">
        <w:t xml:space="preserve">Recent studies have improved the efficiency of pyrolysis in processing low-cost raw materials and wastes. However, there is a necessity to verify the feasibility of this process before introducing it in a </w:t>
      </w:r>
      <w:proofErr w:type="spellStart"/>
      <w:r w:rsidRPr="00BD3C74">
        <w:t>biorefinery</w:t>
      </w:r>
      <w:proofErr w:type="spellEnd"/>
      <w:r w:rsidRPr="00BD3C74">
        <w:t xml:space="preserve">. Computer simulations aid in this implementation study, which not only provide a better understanding of how </w:t>
      </w:r>
      <w:r w:rsidR="004833E5">
        <w:t xml:space="preserve">to perform </w:t>
      </w:r>
      <w:r w:rsidRPr="003E5A9A">
        <w:rPr>
          <w:noProof/>
        </w:rPr>
        <w:t>pyrolysis</w:t>
      </w:r>
      <w:r w:rsidR="00400429">
        <w:t xml:space="preserve"> but also allow a</w:t>
      </w:r>
      <w:r w:rsidRPr="00BD3C74">
        <w:t xml:space="preserve"> variati</w:t>
      </w:r>
      <w:r w:rsidR="00400429">
        <w:t>on in</w:t>
      </w:r>
      <w:r w:rsidRPr="00BD3C74">
        <w:t xml:space="preserve"> operating parameters with</w:t>
      </w:r>
      <w:r w:rsidR="00400429">
        <w:t>out</w:t>
      </w:r>
      <w:r w:rsidRPr="00BD3C74">
        <w:t xml:space="preserve"> expense</w:t>
      </w:r>
      <w:r w:rsidR="00400429">
        <w:t>s</w:t>
      </w:r>
      <w:r w:rsidRPr="00BD3C74">
        <w:t xml:space="preserve">, resulting in a better understanding of how some operational variables may affect the products yields. Sugarcane bagasse properties along with pyrolysis operating conditions may directly </w:t>
      </w:r>
      <w:r w:rsidR="003E5A9A">
        <w:rPr>
          <w:noProof/>
        </w:rPr>
        <w:t>change</w:t>
      </w:r>
      <w:r w:rsidRPr="00BD3C74">
        <w:t xml:space="preserve"> </w:t>
      </w:r>
      <w:r w:rsidR="00400429">
        <w:t>pyrolysis</w:t>
      </w:r>
      <w:r w:rsidRPr="00BD3C74">
        <w:t xml:space="preserve"> products properties, distribution, and further application as fuels and chemicals, which require a thorough study on these topics. </w:t>
      </w:r>
    </w:p>
    <w:p w14:paraId="259C520E" w14:textId="0B04E35C" w:rsidR="00BD3C74" w:rsidRPr="00BD3C74" w:rsidRDefault="00BD3C74" w:rsidP="00BD3C74">
      <w:pPr>
        <w:pStyle w:val="CETBodytext"/>
      </w:pPr>
      <w:r w:rsidRPr="00BD3C74">
        <w:t xml:space="preserve">Consequently, </w:t>
      </w:r>
      <w:r w:rsidR="00F1014C" w:rsidRPr="00BD3C74">
        <w:t>the use of computational tools</w:t>
      </w:r>
      <w:r w:rsidR="00F1014C">
        <w:t>,</w:t>
      </w:r>
      <w:r w:rsidR="00F1014C" w:rsidRPr="00BD3C74">
        <w:t xml:space="preserve"> such as commercial proc</w:t>
      </w:r>
      <w:r w:rsidR="00F1014C">
        <w:t>ess simulators (</w:t>
      </w:r>
      <w:r w:rsidR="00F1014C" w:rsidRPr="003E5A9A">
        <w:rPr>
          <w:noProof/>
        </w:rPr>
        <w:t>e.g.</w:t>
      </w:r>
      <w:r w:rsidR="003E5A9A">
        <w:rPr>
          <w:noProof/>
        </w:rPr>
        <w:t>,</w:t>
      </w:r>
      <w:r w:rsidR="00F1014C">
        <w:t xml:space="preserve"> Aspen Plus™, Aspen HYSYS™, and </w:t>
      </w:r>
      <w:proofErr w:type="spellStart"/>
      <w:r w:rsidR="00F1014C">
        <w:t>Unisim</w:t>
      </w:r>
      <w:proofErr w:type="spellEnd"/>
      <w:r w:rsidR="00F1014C">
        <w:t>™</w:t>
      </w:r>
      <w:r w:rsidR="00F1014C" w:rsidRPr="00BD3C74">
        <w:t>)</w:t>
      </w:r>
      <w:proofErr w:type="gramStart"/>
      <w:r w:rsidR="00F1014C">
        <w:t>,</w:t>
      </w:r>
      <w:proofErr w:type="gramEnd"/>
      <w:r w:rsidR="00F1014C">
        <w:t xml:space="preserve"> can achieve</w:t>
      </w:r>
      <w:r w:rsidR="00F1014C" w:rsidRPr="00BD3C74">
        <w:t xml:space="preserve"> </w:t>
      </w:r>
      <w:r w:rsidRPr="00BD3C74">
        <w:t>a more detail</w:t>
      </w:r>
      <w:r w:rsidR="00F1014C">
        <w:t>ed study of pyrolysis processes</w:t>
      </w:r>
      <w:r w:rsidRPr="00BD3C74">
        <w:t>. The use of computational</w:t>
      </w:r>
      <w:r w:rsidR="006447A6">
        <w:t xml:space="preserve"> tools presents many advantages:</w:t>
      </w:r>
      <w:r w:rsidRPr="00BD3C74">
        <w:t xml:space="preserve"> the definition of optimum operational conditions to obtain products of interest; a better comprehension of how thermochemical rea</w:t>
      </w:r>
      <w:r w:rsidR="00E5460E">
        <w:t xml:space="preserve">ctions take place; less </w:t>
      </w:r>
      <w:r w:rsidR="00400429">
        <w:t>costly</w:t>
      </w:r>
      <w:r w:rsidRPr="00BD3C74">
        <w:t xml:space="preserve"> since experimental tests are </w:t>
      </w:r>
      <w:r w:rsidR="003E5A9A">
        <w:rPr>
          <w:noProof/>
        </w:rPr>
        <w:t>expensive</w:t>
      </w:r>
      <w:r w:rsidRPr="00BD3C74">
        <w:t xml:space="preserve"> </w:t>
      </w:r>
      <w:r w:rsidR="00453089">
        <w:t>(</w:t>
      </w:r>
      <w:proofErr w:type="spellStart"/>
      <w:r w:rsidR="00453089">
        <w:t>Mabrouki</w:t>
      </w:r>
      <w:proofErr w:type="spellEnd"/>
      <w:r w:rsidR="00453089">
        <w:t xml:space="preserve"> et al., 2018);</w:t>
      </w:r>
      <w:r w:rsidRPr="00BD3C74">
        <w:t xml:space="preserve"> simultaneous tests of diff</w:t>
      </w:r>
      <w:r w:rsidR="00E5460E">
        <w:t>erent variables in a faster way;</w:t>
      </w:r>
      <w:r w:rsidRPr="00BD3C74">
        <w:t xml:space="preserve"> and</w:t>
      </w:r>
      <w:r w:rsidR="00E5460E">
        <w:t>,</w:t>
      </w:r>
      <w:r w:rsidRPr="00BD3C74">
        <w:t xml:space="preserve"> the assessment of the scaling-up of a process under study. Therefore, simulation investigation of </w:t>
      </w:r>
      <w:r w:rsidRPr="00BD3C74">
        <w:lastRenderedPageBreak/>
        <w:t xml:space="preserve">this process is </w:t>
      </w:r>
      <w:r w:rsidR="003E5A9A">
        <w:rPr>
          <w:noProof/>
        </w:rPr>
        <w:t>essential</w:t>
      </w:r>
      <w:r w:rsidRPr="00BD3C74">
        <w:t xml:space="preserve"> to avoid additional costs when </w:t>
      </w:r>
      <w:r w:rsidR="003E5A9A">
        <w:t xml:space="preserve">industries have to test </w:t>
      </w:r>
      <w:r w:rsidRPr="00BD3C74">
        <w:t xml:space="preserve">new operating conditions. </w:t>
      </w:r>
      <w:r w:rsidR="003E5A9A">
        <w:rPr>
          <w:noProof/>
        </w:rPr>
        <w:t>Several authors have used</w:t>
      </w:r>
      <w:r w:rsidRPr="00BD3C74">
        <w:t xml:space="preserve"> simulation tools on pyrolysis processes </w:t>
      </w:r>
      <w:r w:rsidR="00E5460E">
        <w:t>(</w:t>
      </w:r>
      <w:proofErr w:type="spellStart"/>
      <w:r w:rsidR="00E5460E">
        <w:t>Nikoo</w:t>
      </w:r>
      <w:proofErr w:type="spellEnd"/>
      <w:r w:rsidR="00E5460E">
        <w:t xml:space="preserve"> et al., 2008); (</w:t>
      </w:r>
      <w:proofErr w:type="spellStart"/>
      <w:r w:rsidR="00E5460E">
        <w:t>Ramzan</w:t>
      </w:r>
      <w:proofErr w:type="spellEnd"/>
      <w:r w:rsidR="00E5460E">
        <w:t xml:space="preserve"> et al., 2011); </w:t>
      </w:r>
      <w:r w:rsidR="00453089">
        <w:t>(</w:t>
      </w:r>
      <w:proofErr w:type="spellStart"/>
      <w:r w:rsidR="00453089">
        <w:t>Ardila</w:t>
      </w:r>
      <w:proofErr w:type="spellEnd"/>
      <w:r w:rsidR="00453089">
        <w:t xml:space="preserve"> et a</w:t>
      </w:r>
      <w:r w:rsidR="00E5460E">
        <w:t>l., 2014); (</w:t>
      </w:r>
      <w:proofErr w:type="spellStart"/>
      <w:r w:rsidR="00E5460E">
        <w:t>Kabir</w:t>
      </w:r>
      <w:proofErr w:type="spellEnd"/>
      <w:r w:rsidR="00E5460E">
        <w:t xml:space="preserve"> et al., 2014)</w:t>
      </w:r>
      <w:r w:rsidRPr="00BD3C74">
        <w:t>. However, most of the previous simulation studies on thermochemical processes have tended to focus on gasification rather than on pyrolysis due to pyrolysis reactions complexity and few data available about products distribution and composition.</w:t>
      </w:r>
    </w:p>
    <w:p w14:paraId="7904A984" w14:textId="1ECD1D62" w:rsidR="00BD3C74" w:rsidRDefault="00BD3C74" w:rsidP="00BD3C74">
      <w:pPr>
        <w:pStyle w:val="CETBodytext"/>
        <w:rPr>
          <w:lang w:val="en-GB"/>
        </w:rPr>
      </w:pPr>
      <w:r w:rsidRPr="00F43FC7">
        <w:rPr>
          <w:noProof/>
        </w:rPr>
        <w:t>The purpose of the present study is, therefore, to</w:t>
      </w:r>
      <w:r w:rsidRPr="00BD3C74">
        <w:t xml:space="preserve"> investigate the </w:t>
      </w:r>
      <w:r w:rsidR="00133B43">
        <w:t>capability</w:t>
      </w:r>
      <w:r w:rsidRPr="00BD3C74">
        <w:t xml:space="preserve"> of thermodynam</w:t>
      </w:r>
      <w:r w:rsidR="008A30E7">
        <w:t xml:space="preserve">ic equilibrium approach </w:t>
      </w:r>
      <w:r w:rsidR="00133B43" w:rsidRPr="00BD3C74">
        <w:t>to simulate the fast pyrolysis process of sugarcane bagasse</w:t>
      </w:r>
      <w:r w:rsidR="00133B43">
        <w:t xml:space="preserve"> and the effects of pyrolysis temperature, pressure, and sugarcane bagasse moisture content on</w:t>
      </w:r>
      <w:r w:rsidRPr="00BD3C74">
        <w:t xml:space="preserve"> products distribution when using the Gibbs energy minimization reactor </w:t>
      </w:r>
      <w:r w:rsidR="00BF27EA">
        <w:t>and 2³ factorial design</w:t>
      </w:r>
      <w:r w:rsidRPr="00BD3C74">
        <w:t>.</w:t>
      </w:r>
    </w:p>
    <w:p w14:paraId="42E82344" w14:textId="77777777" w:rsidR="00600535" w:rsidRPr="00B57B36" w:rsidRDefault="00BD3C74" w:rsidP="00600535">
      <w:pPr>
        <w:pStyle w:val="CETHeading1"/>
        <w:tabs>
          <w:tab w:val="clear" w:pos="360"/>
          <w:tab w:val="right" w:pos="7100"/>
        </w:tabs>
        <w:jc w:val="both"/>
        <w:rPr>
          <w:lang w:val="en-GB"/>
        </w:rPr>
      </w:pPr>
      <w:r>
        <w:rPr>
          <w:lang w:val="en-GB"/>
        </w:rPr>
        <w:t>Simulation methodology</w:t>
      </w:r>
    </w:p>
    <w:p w14:paraId="0DC92FAB" w14:textId="6E8C274E" w:rsidR="00582038" w:rsidRDefault="00CA1F0E" w:rsidP="00582038">
      <w:pPr>
        <w:pStyle w:val="CETheadingx"/>
        <w:spacing w:line="264" w:lineRule="auto"/>
      </w:pPr>
      <w:r>
        <w:t>Pyrolysis simulation methodology usi</w:t>
      </w:r>
      <w:r w:rsidR="003E15EA">
        <w:t>ng proximate and ultimate analyse</w:t>
      </w:r>
      <w:r>
        <w:t>s</w:t>
      </w:r>
    </w:p>
    <w:p w14:paraId="7A366C23" w14:textId="55ED02BB" w:rsidR="00582038" w:rsidRDefault="001D7FEC" w:rsidP="00582038">
      <w:pPr>
        <w:pStyle w:val="CETBodytext"/>
      </w:pPr>
      <w:r>
        <w:t xml:space="preserve">The simulation </w:t>
      </w:r>
      <w:r w:rsidRPr="00854EB1">
        <w:rPr>
          <w:noProof/>
        </w:rPr>
        <w:t>was performed</w:t>
      </w:r>
      <w:r w:rsidR="001D7963">
        <w:t xml:space="preserve"> in Aspen Plus™ V8.6. Once sugarcane bagasse is a nonconventional component in the software,</w:t>
      </w:r>
      <w:r w:rsidR="001D7963" w:rsidRPr="001D7963">
        <w:rPr>
          <w:noProof/>
        </w:rPr>
        <w:t xml:space="preserve"> </w:t>
      </w:r>
      <w:r w:rsidRPr="001D7963">
        <w:rPr>
          <w:noProof/>
        </w:rPr>
        <w:t>it</w:t>
      </w:r>
      <w:r>
        <w:t xml:space="preserve"> is necessary to follow some steps (</w:t>
      </w:r>
      <w:r w:rsidR="00CA1F0E">
        <w:t>Figure 1)</w:t>
      </w:r>
      <w:r w:rsidR="001D7963" w:rsidRPr="001D7963">
        <w:t xml:space="preserve"> </w:t>
      </w:r>
      <w:r w:rsidR="001D7963">
        <w:t>to</w:t>
      </w:r>
      <w:r w:rsidR="001D7963">
        <w:rPr>
          <w:noProof/>
        </w:rPr>
        <w:t xml:space="preserve"> </w:t>
      </w:r>
      <w:r w:rsidR="001D7963" w:rsidRPr="003E5A9A">
        <w:rPr>
          <w:noProof/>
        </w:rPr>
        <w:t>simulate the pyrolysis of sugarcane bagasse</w:t>
      </w:r>
      <w:r w:rsidR="001D7963">
        <w:rPr>
          <w:noProof/>
        </w:rPr>
        <w:t>.</w:t>
      </w:r>
    </w:p>
    <w:p w14:paraId="14DF83B0" w14:textId="77777777" w:rsidR="00582038" w:rsidRDefault="00582038" w:rsidP="00582038">
      <w:pPr>
        <w:pStyle w:val="CETBodytext"/>
      </w:pPr>
    </w:p>
    <w:p w14:paraId="698EF397" w14:textId="77777777" w:rsidR="00582038" w:rsidRDefault="00582038" w:rsidP="00582038">
      <w:pPr>
        <w:pStyle w:val="CETBodytext"/>
      </w:pPr>
      <w:r>
        <w:rPr>
          <w:noProof/>
          <w:lang w:val="pt-BR" w:eastAsia="pt-BR"/>
        </w:rPr>
        <w:drawing>
          <wp:inline distT="0" distB="0" distL="0" distR="0" wp14:anchorId="2A17CB58" wp14:editId="0C2BDB6A">
            <wp:extent cx="5084466" cy="2259056"/>
            <wp:effectExtent l="0" t="0" r="1905" b="8255"/>
            <wp:docPr id="12" name="Imagem 8" descr="C:\Users\Nahieh\Downloads\Pyrolysis simulation process - Page 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hieh\Downloads\Pyrolysis simulation process - Page 1 (4).png"/>
                    <pic:cNvPicPr>
                      <a:picLocks noChangeAspect="1" noChangeArrowheads="1"/>
                    </pic:cNvPicPr>
                  </pic:nvPicPr>
                  <pic:blipFill>
                    <a:blip r:embed="rId11" cstate="print"/>
                    <a:srcRect/>
                    <a:stretch>
                      <a:fillRect/>
                    </a:stretch>
                  </pic:blipFill>
                  <pic:spPr bwMode="auto">
                    <a:xfrm>
                      <a:off x="0" y="0"/>
                      <a:ext cx="5084909" cy="2259253"/>
                    </a:xfrm>
                    <a:prstGeom prst="rect">
                      <a:avLst/>
                    </a:prstGeom>
                    <a:noFill/>
                    <a:ln w="9525">
                      <a:noFill/>
                      <a:miter lim="800000"/>
                      <a:headEnd/>
                      <a:tailEnd/>
                    </a:ln>
                  </pic:spPr>
                </pic:pic>
              </a:graphicData>
            </a:graphic>
          </wp:inline>
        </w:drawing>
      </w:r>
    </w:p>
    <w:p w14:paraId="2002D240" w14:textId="1AFD73F8" w:rsidR="005C5079" w:rsidRDefault="005C5079" w:rsidP="005C5079">
      <w:pPr>
        <w:pStyle w:val="CETCaption"/>
      </w:pPr>
      <w:r w:rsidRPr="00D730EF">
        <w:t>Figure 1</w:t>
      </w:r>
      <w:r>
        <w:t>:</w:t>
      </w:r>
      <w:r w:rsidR="00882181">
        <w:t xml:space="preserve"> F</w:t>
      </w:r>
      <w:r w:rsidRPr="00D730EF">
        <w:t>low</w:t>
      </w:r>
      <w:r w:rsidR="00882181">
        <w:t>chart of simulation methodology</w:t>
      </w:r>
      <w:r w:rsidR="003E556A">
        <w:t xml:space="preserve"> (Miranda, 2018)</w:t>
      </w:r>
    </w:p>
    <w:p w14:paraId="2C23E1EA" w14:textId="1C15A3EE" w:rsidR="00582038" w:rsidRDefault="00582038" w:rsidP="00582038">
      <w:pPr>
        <w:pStyle w:val="CETBodytext"/>
      </w:pPr>
      <w:r>
        <w:t xml:space="preserve">In Aspen </w:t>
      </w:r>
      <w:proofErr w:type="spellStart"/>
      <w:r>
        <w:t>Plus</w:t>
      </w:r>
      <w:r>
        <w:rPr>
          <w:vertAlign w:val="superscript"/>
        </w:rPr>
        <w:t>TM</w:t>
      </w:r>
      <w:proofErr w:type="spellEnd"/>
      <w:r>
        <w:t>, to initiate the simulation of the pyrolysis process, the conventional</w:t>
      </w:r>
      <w:r w:rsidR="002A51D0">
        <w:t xml:space="preserve"> (N</w:t>
      </w:r>
      <w:r w:rsidR="002A51D0">
        <w:rPr>
          <w:vertAlign w:val="subscript"/>
        </w:rPr>
        <w:t>2</w:t>
      </w:r>
      <w:r w:rsidR="002A51D0">
        <w:t>, O</w:t>
      </w:r>
      <w:r w:rsidR="002A51D0">
        <w:rPr>
          <w:vertAlign w:val="subscript"/>
        </w:rPr>
        <w:t>2</w:t>
      </w:r>
      <w:r w:rsidR="002A51D0">
        <w:t>, H</w:t>
      </w:r>
      <w:r w:rsidR="002A51D0">
        <w:rPr>
          <w:vertAlign w:val="subscript"/>
        </w:rPr>
        <w:t>2</w:t>
      </w:r>
      <w:r w:rsidR="002A51D0">
        <w:t>O</w:t>
      </w:r>
      <w:r w:rsidR="00392427">
        <w:t>, H</w:t>
      </w:r>
      <w:r w:rsidR="00392427">
        <w:rPr>
          <w:vertAlign w:val="subscript"/>
        </w:rPr>
        <w:t>2</w:t>
      </w:r>
      <w:r w:rsidR="00392427">
        <w:t>, Cl</w:t>
      </w:r>
      <w:r w:rsidR="00392427">
        <w:rPr>
          <w:vertAlign w:val="subscript"/>
        </w:rPr>
        <w:t>2</w:t>
      </w:r>
      <w:r w:rsidR="00392427">
        <w:t xml:space="preserve">, S, </w:t>
      </w:r>
      <w:r w:rsidR="00A40661">
        <w:t>benzene, naphthalene, toluene, H</w:t>
      </w:r>
      <w:r w:rsidR="00A40661">
        <w:rPr>
          <w:vertAlign w:val="subscript"/>
        </w:rPr>
        <w:t>2</w:t>
      </w:r>
      <w:r w:rsidR="00A40661">
        <w:t>S, CO, CO</w:t>
      </w:r>
      <w:r w:rsidR="00A40661">
        <w:rPr>
          <w:vertAlign w:val="subscript"/>
        </w:rPr>
        <w:t>2</w:t>
      </w:r>
      <w:r w:rsidR="00A40661">
        <w:t xml:space="preserve">, </w:t>
      </w:r>
      <w:r w:rsidR="00392427">
        <w:t xml:space="preserve">and </w:t>
      </w:r>
      <w:r w:rsidR="00392427" w:rsidRPr="00F43FC7">
        <w:rPr>
          <w:noProof/>
        </w:rPr>
        <w:t>solid</w:t>
      </w:r>
      <w:r w:rsidR="00392427">
        <w:t xml:space="preserve"> carbon</w:t>
      </w:r>
      <w:r w:rsidR="002A51D0">
        <w:t>)</w:t>
      </w:r>
      <w:r>
        <w:t xml:space="preserve"> and nonconventional component</w:t>
      </w:r>
      <w:r w:rsidR="00E97D18">
        <w:t>s (</w:t>
      </w:r>
      <w:r w:rsidR="006A0F99">
        <w:t>sugarcane bagasse</w:t>
      </w:r>
      <w:r w:rsidR="00392427">
        <w:t xml:space="preserve"> and ash</w:t>
      </w:r>
      <w:r>
        <w:t xml:space="preserve">) and their properties </w:t>
      </w:r>
      <w:r w:rsidR="00F1014C">
        <w:t>are</w:t>
      </w:r>
      <w:r>
        <w:t xml:space="preserve"> inserted in the </w:t>
      </w:r>
      <w:r w:rsidRPr="00106D56">
        <w:rPr>
          <w:i/>
        </w:rPr>
        <w:t>Properties</w:t>
      </w:r>
      <w:r>
        <w:t xml:space="preserve"> tab. Second, the next step is the thermodynamic method selection in the </w:t>
      </w:r>
      <w:r w:rsidRPr="005639D5">
        <w:rPr>
          <w:i/>
        </w:rPr>
        <w:t>Methods</w:t>
      </w:r>
      <w:r w:rsidR="00F1014C">
        <w:t xml:space="preserve"> tab</w:t>
      </w:r>
      <w:r>
        <w:t xml:space="preserve"> to perform the simulation</w:t>
      </w:r>
      <w:r w:rsidR="00636930">
        <w:t xml:space="preserve"> (see section 2.2)</w:t>
      </w:r>
      <w:r>
        <w:t>. The presence of nonconventional components in the simulation requires the definition of their properties in an advanced propert</w:t>
      </w:r>
      <w:r w:rsidR="00F1014C">
        <w:t>ies method</w:t>
      </w:r>
      <w:r>
        <w:t xml:space="preserve"> </w:t>
      </w:r>
      <w:r w:rsidR="00F1014C">
        <w:t>(</w:t>
      </w:r>
      <w:r w:rsidRPr="006F7A36">
        <w:rPr>
          <w:i/>
        </w:rPr>
        <w:t>NC Props</w:t>
      </w:r>
      <w:r w:rsidR="00F1014C">
        <w:t>)</w:t>
      </w:r>
      <w:r>
        <w:t>. Thus, physical properties</w:t>
      </w:r>
      <w:r w:rsidR="00E97D18">
        <w:t>,</w:t>
      </w:r>
      <w:r>
        <w:t xml:space="preserve"> such as enthalpy and density of the nonconventional components </w:t>
      </w:r>
      <w:proofErr w:type="gramStart"/>
      <w:r>
        <w:t xml:space="preserve">must </w:t>
      </w:r>
      <w:r w:rsidRPr="00F43FC7">
        <w:rPr>
          <w:noProof/>
        </w:rPr>
        <w:t>be considered</w:t>
      </w:r>
      <w:proofErr w:type="gramEnd"/>
      <w:r>
        <w:t>, which do not enter in</w:t>
      </w:r>
      <w:r w:rsidR="00100446">
        <w:t>to chemical or phase equilibrium</w:t>
      </w:r>
      <w:r>
        <w:t xml:space="preserve">. Aspen </w:t>
      </w:r>
      <w:proofErr w:type="spellStart"/>
      <w:r>
        <w:t>Plus</w:t>
      </w:r>
      <w:r>
        <w:rPr>
          <w:vertAlign w:val="superscript"/>
        </w:rPr>
        <w:t>TM</w:t>
      </w:r>
      <w:proofErr w:type="spellEnd"/>
      <w:r>
        <w:t xml:space="preserve"> use</w:t>
      </w:r>
      <w:r w:rsidR="00E847A3">
        <w:t>s</w:t>
      </w:r>
      <w:r>
        <w:t xml:space="preserve"> component attributes to represent nonconventional components and calculate their physical properties. In this part of the simulation, the </w:t>
      </w:r>
      <w:r w:rsidRPr="00354E4D">
        <w:rPr>
          <w:i/>
        </w:rPr>
        <w:t>NC Props</w:t>
      </w:r>
      <w:r>
        <w:t xml:space="preserve"> tab requires the appropriate model type for enthalpy and density calculations of each nonconvent</w:t>
      </w:r>
      <w:r w:rsidR="00E847A3">
        <w:t>ional compound</w:t>
      </w:r>
      <w:r>
        <w:t>. Depending on t</w:t>
      </w:r>
      <w:r w:rsidR="00E847A3">
        <w:t xml:space="preserve">he </w:t>
      </w:r>
      <w:r w:rsidR="00E847A3" w:rsidRPr="00F43FC7">
        <w:rPr>
          <w:noProof/>
        </w:rPr>
        <w:t>method type</w:t>
      </w:r>
      <w:r w:rsidR="00E847A3">
        <w:t xml:space="preserve"> chosen, it </w:t>
      </w:r>
      <w:r>
        <w:t>require</w:t>
      </w:r>
      <w:r w:rsidR="00E847A3">
        <w:t>s</w:t>
      </w:r>
      <w:r>
        <w:t xml:space="preserve"> proximate analysis (</w:t>
      </w:r>
      <w:r w:rsidRPr="00F43FC7">
        <w:rPr>
          <w:i/>
          <w:noProof/>
        </w:rPr>
        <w:t>PROXANAL</w:t>
      </w:r>
      <w:r>
        <w:t xml:space="preserve">), </w:t>
      </w:r>
      <w:r w:rsidRPr="00F43FC7">
        <w:rPr>
          <w:noProof/>
        </w:rPr>
        <w:t>ultimate</w:t>
      </w:r>
      <w:r>
        <w:t xml:space="preserve"> analysis (</w:t>
      </w:r>
      <w:r w:rsidRPr="007E278C">
        <w:rPr>
          <w:i/>
        </w:rPr>
        <w:t>ULTANAL</w:t>
      </w:r>
      <w:r>
        <w:t>), and sulfur analysis (</w:t>
      </w:r>
      <w:r w:rsidRPr="007E278C">
        <w:rPr>
          <w:i/>
        </w:rPr>
        <w:t>SULFANAL</w:t>
      </w:r>
      <w:r>
        <w:t>) for enthalpy calculations. In the same tab, there is a box in which “</w:t>
      </w:r>
      <w:r w:rsidRPr="000E7F48">
        <w:rPr>
          <w:i/>
        </w:rPr>
        <w:t>Option codes</w:t>
      </w:r>
      <w:r>
        <w:t xml:space="preserve">” can be inserted, which serves to define how the method chosen calculates some parameters (heat of combustion, </w:t>
      </w:r>
      <w:r w:rsidR="00B54CDB">
        <w:t xml:space="preserve">heat capacity, </w:t>
      </w:r>
      <w:r>
        <w:t>standard heat of formation, and enthalpy basis) for the nonconventional component.</w:t>
      </w:r>
      <w:r w:rsidR="00A23D32">
        <w:t xml:space="preserve"> For sugarcane bagasse, the enthalpy model chosen was “coal enthalpy model” (</w:t>
      </w:r>
      <w:r w:rsidR="00A23D32" w:rsidRPr="00F43FC7">
        <w:rPr>
          <w:i/>
          <w:noProof/>
        </w:rPr>
        <w:t>HCOALGEN</w:t>
      </w:r>
      <w:r w:rsidR="00A23D32">
        <w:t>) and density model was “general density model for a nonconventional component” (</w:t>
      </w:r>
      <w:r w:rsidR="00A23D32" w:rsidRPr="00A23D32">
        <w:rPr>
          <w:i/>
        </w:rPr>
        <w:t>DNSTYGEN</w:t>
      </w:r>
      <w:r w:rsidR="00A23D32">
        <w:t>).</w:t>
      </w:r>
      <w:r w:rsidR="00AA0128">
        <w:t xml:space="preserve"> For ash, the enthalpy model was the same </w:t>
      </w:r>
      <w:r w:rsidR="001D7963">
        <w:rPr>
          <w:noProof/>
        </w:rPr>
        <w:t>as</w:t>
      </w:r>
      <w:r w:rsidR="00AA0128">
        <w:t xml:space="preserve"> sugarcane bagasse</w:t>
      </w:r>
      <w:r w:rsidR="001D7963">
        <w:t>,</w:t>
      </w:r>
      <w:r w:rsidR="00AA0128">
        <w:t xml:space="preserve"> </w:t>
      </w:r>
      <w:r w:rsidR="00AA0128" w:rsidRPr="001D7963">
        <w:rPr>
          <w:noProof/>
        </w:rPr>
        <w:t>and</w:t>
      </w:r>
      <w:r w:rsidR="00AA0128">
        <w:t xml:space="preserve"> the density model was “coal density model, based on the IGT correlation” (</w:t>
      </w:r>
      <w:r w:rsidR="00EA1421">
        <w:rPr>
          <w:i/>
        </w:rPr>
        <w:t>D</w:t>
      </w:r>
      <w:r w:rsidR="00AA0128" w:rsidRPr="00AA0128">
        <w:rPr>
          <w:i/>
        </w:rPr>
        <w:t>COALIGT</w:t>
      </w:r>
      <w:r w:rsidR="00AA0128">
        <w:t>).</w:t>
      </w:r>
      <w:r>
        <w:t xml:space="preserve"> After filling all the parameters required in the </w:t>
      </w:r>
      <w:r w:rsidRPr="00C877EC">
        <w:rPr>
          <w:i/>
        </w:rPr>
        <w:t>Properties</w:t>
      </w:r>
      <w:r>
        <w:t xml:space="preserve"> tab, the simulator allows the user to go to the simulation environment (</w:t>
      </w:r>
      <w:r w:rsidRPr="00C877EC">
        <w:rPr>
          <w:i/>
        </w:rPr>
        <w:t>Simulation</w:t>
      </w:r>
      <w:r w:rsidR="00AA0128">
        <w:t xml:space="preserve"> tab)</w:t>
      </w:r>
      <w:r>
        <w:t>.</w:t>
      </w:r>
    </w:p>
    <w:p w14:paraId="779EA3B9" w14:textId="7EC31C71" w:rsidR="00582038" w:rsidRDefault="00582038" w:rsidP="00582038">
      <w:pPr>
        <w:pStyle w:val="CETBodytext"/>
      </w:pPr>
      <w:r>
        <w:t xml:space="preserve">In the </w:t>
      </w:r>
      <w:r w:rsidRPr="0028052E">
        <w:rPr>
          <w:i/>
        </w:rPr>
        <w:t>Simulation</w:t>
      </w:r>
      <w:r>
        <w:t xml:space="preserve"> tab, after designing the process, the simulator asks for the inlet streams specifications. </w:t>
      </w:r>
      <w:r w:rsidR="00AA0128">
        <w:t xml:space="preserve">Since </w:t>
      </w:r>
      <w:r>
        <w:t xml:space="preserve">both conventional and nonconventional components with </w:t>
      </w:r>
      <w:r w:rsidRPr="005639D5">
        <w:rPr>
          <w:i/>
        </w:rPr>
        <w:t>Particle Size Distributions</w:t>
      </w:r>
      <w:r>
        <w:t xml:space="preserve"> (</w:t>
      </w:r>
      <w:r w:rsidRPr="005639D5">
        <w:rPr>
          <w:i/>
        </w:rPr>
        <w:t>PSD</w:t>
      </w:r>
      <w:r>
        <w:t>) are present, a stream class denominated “</w:t>
      </w:r>
      <w:r w:rsidRPr="00D67F62">
        <w:rPr>
          <w:i/>
        </w:rPr>
        <w:t>MIXNCPSD</w:t>
      </w:r>
      <w:r w:rsidR="00AA0128">
        <w:t xml:space="preserve">” </w:t>
      </w:r>
      <w:proofErr w:type="gramStart"/>
      <w:r w:rsidR="00AA0128">
        <w:t>was</w:t>
      </w:r>
      <w:r>
        <w:t xml:space="preserve"> </w:t>
      </w:r>
      <w:r w:rsidR="00AA0128">
        <w:t>chosen</w:t>
      </w:r>
      <w:proofErr w:type="gramEnd"/>
      <w:r w:rsidRPr="00985103">
        <w:t>.</w:t>
      </w:r>
      <w:r>
        <w:t xml:space="preserve"> </w:t>
      </w:r>
      <w:r w:rsidR="001D7963">
        <w:t xml:space="preserve">The </w:t>
      </w:r>
      <w:r w:rsidR="001D7963" w:rsidRPr="003F51F6">
        <w:rPr>
          <w:i/>
        </w:rPr>
        <w:t>Mixed</w:t>
      </w:r>
      <w:r w:rsidR="001D7963">
        <w:t xml:space="preserve"> tab set t</w:t>
      </w:r>
      <w:r>
        <w:t xml:space="preserve">he biomass stream temperature, pressure, and mass flow </w:t>
      </w:r>
      <w:r w:rsidR="001D7963">
        <w:t>rate</w:t>
      </w:r>
      <w:r>
        <w:t xml:space="preserve">. Since the simulation contains solids, there is a space to fill with the </w:t>
      </w:r>
      <w:r w:rsidRPr="0028052E">
        <w:rPr>
          <w:i/>
        </w:rPr>
        <w:t>PSD</w:t>
      </w:r>
      <w:r w:rsidR="00AA0128">
        <w:rPr>
          <w:i/>
        </w:rPr>
        <w:t xml:space="preserve"> </w:t>
      </w:r>
      <w:r w:rsidR="00AA0128" w:rsidRPr="00AA0128">
        <w:t xml:space="preserve">(Table </w:t>
      </w:r>
      <w:r w:rsidR="00AA0128" w:rsidRPr="00AA0128">
        <w:lastRenderedPageBreak/>
        <w:t>1)</w:t>
      </w:r>
      <w:r>
        <w:t xml:space="preserve"> of the solid raw material on the </w:t>
      </w:r>
      <w:r w:rsidRPr="003F51F6">
        <w:rPr>
          <w:i/>
        </w:rPr>
        <w:t>NC Solid</w:t>
      </w:r>
      <w:r>
        <w:t xml:space="preserve"> tab. </w:t>
      </w:r>
      <w:r w:rsidR="007E40E0">
        <w:t xml:space="preserve">The </w:t>
      </w:r>
      <w:r w:rsidR="007E40E0" w:rsidRPr="003F51F6">
        <w:rPr>
          <w:i/>
        </w:rPr>
        <w:t>Biomass inlet stream input</w:t>
      </w:r>
      <w:r w:rsidR="007E40E0">
        <w:rPr>
          <w:i/>
        </w:rPr>
        <w:t xml:space="preserve"> </w:t>
      </w:r>
      <w:r w:rsidR="007E40E0">
        <w:t xml:space="preserve">tab </w:t>
      </w:r>
      <w:r w:rsidR="007E40E0" w:rsidRPr="007E40E0">
        <w:rPr>
          <w:noProof/>
        </w:rPr>
        <w:t>set</w:t>
      </w:r>
      <w:r w:rsidR="007E40E0">
        <w:t xml:space="preserve"> all of this information</w:t>
      </w:r>
      <w:r>
        <w:t xml:space="preserve">. In the same </w:t>
      </w:r>
      <w:r w:rsidRPr="007E278C">
        <w:rPr>
          <w:i/>
        </w:rPr>
        <w:t>NC solid</w:t>
      </w:r>
      <w:r>
        <w:t xml:space="preserve"> tab, there is also a possibility of inserting the component attributes </w:t>
      </w:r>
      <w:r w:rsidRPr="00F43FC7">
        <w:rPr>
          <w:i/>
          <w:noProof/>
        </w:rPr>
        <w:t>PROXANAL</w:t>
      </w:r>
      <w:r>
        <w:t xml:space="preserve">, </w:t>
      </w:r>
      <w:r w:rsidRPr="007E278C">
        <w:rPr>
          <w:i/>
        </w:rPr>
        <w:t>ULTANAL</w:t>
      </w:r>
      <w:r>
        <w:t xml:space="preserve">, and </w:t>
      </w:r>
      <w:r w:rsidRPr="007E278C">
        <w:rPr>
          <w:i/>
        </w:rPr>
        <w:t>SULFANAL</w:t>
      </w:r>
      <w:r>
        <w:t xml:space="preserve">. Firstly, the </w:t>
      </w:r>
      <w:r w:rsidRPr="00F43FC7">
        <w:rPr>
          <w:i/>
          <w:noProof/>
        </w:rPr>
        <w:t>PROXANAL</w:t>
      </w:r>
      <w:r>
        <w:t xml:space="preserve"> asks to include the values (as weight </w:t>
      </w:r>
      <w:proofErr w:type="gramStart"/>
      <w:r>
        <w:t>%</w:t>
      </w:r>
      <w:proofErr w:type="gramEnd"/>
      <w:r>
        <w:t xml:space="preserve"> on a dry basis) of moisture</w:t>
      </w:r>
      <w:r w:rsidR="00DC1451">
        <w:t>, fixed carbon, volatile matter</w:t>
      </w:r>
      <w:r>
        <w:t>, and ash</w:t>
      </w:r>
      <w:r w:rsidR="00AA0128">
        <w:t xml:space="preserve"> (Table 1)</w:t>
      </w:r>
      <w:r>
        <w:t xml:space="preserve">. Secondly, </w:t>
      </w:r>
      <w:r>
        <w:rPr>
          <w:i/>
        </w:rPr>
        <w:t>ULTANAL</w:t>
      </w:r>
      <w:r>
        <w:t xml:space="preserve"> establishes the va</w:t>
      </w:r>
      <w:r w:rsidR="00DC1451">
        <w:t>lues of</w:t>
      </w:r>
      <w:r>
        <w:t xml:space="preserve"> </w:t>
      </w:r>
      <w:r w:rsidR="00DD54CE">
        <w:t xml:space="preserve">ash, </w:t>
      </w:r>
      <w:r>
        <w:t xml:space="preserve">carbon, hydrogen, </w:t>
      </w:r>
      <w:r w:rsidR="00DC1451">
        <w:t>oxygen, nitrogen, and sulfur</w:t>
      </w:r>
      <w:r>
        <w:t xml:space="preserve"> of the raw material</w:t>
      </w:r>
      <w:r w:rsidR="00AA0128">
        <w:t xml:space="preserve"> (Table 1)</w:t>
      </w:r>
      <w:r>
        <w:t xml:space="preserve">. Lastly, </w:t>
      </w:r>
      <w:r>
        <w:rPr>
          <w:i/>
        </w:rPr>
        <w:t>SULFANAL</w:t>
      </w:r>
      <w:r>
        <w:t xml:space="preserve"> fills the spaces for pyritic, sulfate, and organic values</w:t>
      </w:r>
      <w:r w:rsidR="00AA0128">
        <w:t xml:space="preserve">, but it is possible to </w:t>
      </w:r>
      <w:r w:rsidR="007E40E0" w:rsidRPr="007E40E0">
        <w:rPr>
          <w:noProof/>
        </w:rPr>
        <w:t>com</w:t>
      </w:r>
      <w:r w:rsidR="007E40E0">
        <w:rPr>
          <w:noProof/>
        </w:rPr>
        <w:t>plete only</w:t>
      </w:r>
      <w:r w:rsidR="00AA0128">
        <w:t xml:space="preserve"> the general sulfur content (Table 1)</w:t>
      </w:r>
      <w:r>
        <w:t>.</w:t>
      </w:r>
    </w:p>
    <w:p w14:paraId="1BFBE89F" w14:textId="0B56E8B0" w:rsidR="00582038" w:rsidRPr="00CA6323" w:rsidRDefault="00582038" w:rsidP="00582038">
      <w:pPr>
        <w:pStyle w:val="CETBodytext"/>
      </w:pPr>
      <w:r>
        <w:t>The next s</w:t>
      </w:r>
      <w:r w:rsidR="00AA0128">
        <w:t>tep is the blocks specification (see section 2.2)</w:t>
      </w:r>
      <w:r>
        <w:t xml:space="preserve">. The last thing </w:t>
      </w:r>
      <w:r w:rsidR="00AA0128">
        <w:t>is the</w:t>
      </w:r>
      <w:r>
        <w:t xml:space="preserve"> calculator block to control the </w:t>
      </w:r>
      <w:r w:rsidR="00AA0128">
        <w:t xml:space="preserve">variation of </w:t>
      </w:r>
      <w:r>
        <w:t xml:space="preserve">parameters. In this regard, </w:t>
      </w:r>
      <w:proofErr w:type="gramStart"/>
      <w:r>
        <w:t>Fortran</w:t>
      </w:r>
      <w:proofErr w:type="gramEnd"/>
      <w:r>
        <w:t xml:space="preserve"> statements are necessary to introduce </w:t>
      </w:r>
      <w:r w:rsidRPr="001D7963">
        <w:rPr>
          <w:noProof/>
        </w:rPr>
        <w:t>co</w:t>
      </w:r>
      <w:r w:rsidR="0060349E" w:rsidRPr="001D7963">
        <w:rPr>
          <w:noProof/>
        </w:rPr>
        <w:t>rrelations</w:t>
      </w:r>
      <w:r>
        <w:t>.</w:t>
      </w:r>
    </w:p>
    <w:p w14:paraId="70587D3B" w14:textId="4255DC47" w:rsidR="00582038" w:rsidRDefault="00582038" w:rsidP="00582038">
      <w:pPr>
        <w:pStyle w:val="CETheadingx"/>
      </w:pPr>
      <w:r>
        <w:t>Simulation description</w:t>
      </w:r>
    </w:p>
    <w:p w14:paraId="5E9DBA59" w14:textId="28101DC4" w:rsidR="00BD3C74" w:rsidRDefault="00BD3C74" w:rsidP="00582038">
      <w:pPr>
        <w:pStyle w:val="CETBodytext"/>
      </w:pPr>
      <w:r w:rsidRPr="00BD3C74">
        <w:t xml:space="preserve">The thermodynamic model was the Peng-Robinson with Boston-Mathias (PR-BM) </w:t>
      </w:r>
      <w:r w:rsidR="00390081" w:rsidRPr="00390081">
        <w:t>because it is the most used method for thermochemical processes in the literature.</w:t>
      </w:r>
      <w:r w:rsidR="0043767D">
        <w:t xml:space="preserve"> The </w:t>
      </w:r>
      <w:proofErr w:type="spellStart"/>
      <w:r w:rsidR="0043767D">
        <w:t>pyrolyzer</w:t>
      </w:r>
      <w:proofErr w:type="spellEnd"/>
      <w:r w:rsidRPr="00BD3C74">
        <w:t xml:space="preserve"> is isothermal and operates at steady state. Biochar is composed of ash and fixed carbon</w:t>
      </w:r>
      <w:r w:rsidR="0043767D">
        <w:t xml:space="preserve"> of sugarcane bagasse </w:t>
      </w:r>
      <w:r w:rsidR="00433AAD">
        <w:t>(Table 1)</w:t>
      </w:r>
      <w:r w:rsidR="00433AAD" w:rsidRPr="00433AAD">
        <w:t xml:space="preserve">. </w:t>
      </w:r>
      <w:proofErr w:type="gramStart"/>
      <w:r w:rsidR="001D7963">
        <w:t>Fortran</w:t>
      </w:r>
      <w:proofErr w:type="gramEnd"/>
      <w:r w:rsidR="001D7963">
        <w:t xml:space="preserve"> statements through calculator </w:t>
      </w:r>
      <w:r w:rsidR="001D7963" w:rsidRPr="001D7963">
        <w:rPr>
          <w:noProof/>
        </w:rPr>
        <w:t>blocks</w:t>
      </w:r>
      <w:r w:rsidR="001D7963">
        <w:t xml:space="preserve"> defined t</w:t>
      </w:r>
      <w:r w:rsidR="00C015C5">
        <w:t>he biom</w:t>
      </w:r>
      <w:r w:rsidR="001D7963">
        <w:t>ass drying and decomposition</w:t>
      </w:r>
      <w:r w:rsidR="00433AAD" w:rsidRPr="00433AAD">
        <w:t xml:space="preserve">. The decomposition process is the conversion of </w:t>
      </w:r>
      <w:r w:rsidR="0043767D">
        <w:t>a non</w:t>
      </w:r>
      <w:r w:rsidR="00582038">
        <w:t>conventional component in</w:t>
      </w:r>
      <w:r w:rsidR="00433AAD" w:rsidRPr="00433AAD">
        <w:t xml:space="preserve"> the simulator </w:t>
      </w:r>
      <w:r w:rsidR="00582038">
        <w:t>(</w:t>
      </w:r>
      <w:r w:rsidR="00433AAD" w:rsidRPr="00433AAD">
        <w:t>sugarcane bagasse</w:t>
      </w:r>
      <w:r w:rsidR="00582038">
        <w:t>)</w:t>
      </w:r>
      <w:r w:rsidR="00433AAD" w:rsidRPr="00433AAD">
        <w:t xml:space="preserve"> into conventional components, taking into </w:t>
      </w:r>
      <w:r w:rsidR="002B6EFB">
        <w:t xml:space="preserve">account all data from </w:t>
      </w:r>
      <w:r w:rsidR="001D7963">
        <w:t xml:space="preserve">the </w:t>
      </w:r>
      <w:r w:rsidR="002B6EFB" w:rsidRPr="001D7963">
        <w:rPr>
          <w:noProof/>
        </w:rPr>
        <w:t>proximate</w:t>
      </w:r>
      <w:r w:rsidR="002B6EFB">
        <w:t xml:space="preserve"> and</w:t>
      </w:r>
      <w:r w:rsidR="00433AAD" w:rsidRPr="00433AAD">
        <w:t xml:space="preserve"> ultimate</w:t>
      </w:r>
      <w:r w:rsidR="00433AAD">
        <w:t xml:space="preserve"> analysis</w:t>
      </w:r>
      <w:r w:rsidR="008B726A">
        <w:t xml:space="preserve"> (Table 1</w:t>
      </w:r>
      <w:r w:rsidR="007A4AD4">
        <w:t>)</w:t>
      </w:r>
      <w:r w:rsidR="008B726A">
        <w:t>.</w:t>
      </w:r>
      <w:r w:rsidR="00582038">
        <w:t xml:space="preserve"> This decomposition process is necessary since the reactor blocks cannot perfo</w:t>
      </w:r>
      <w:r w:rsidR="003E15EA">
        <w:t>rm phase and chemical equilibrium</w:t>
      </w:r>
      <w:r w:rsidR="00582038">
        <w:t xml:space="preserve"> calculations with </w:t>
      </w:r>
      <w:r w:rsidR="00386F46">
        <w:t>non</w:t>
      </w:r>
      <w:r w:rsidR="00582038">
        <w:t>conventional components.</w:t>
      </w:r>
      <w:r w:rsidRPr="00BD3C74">
        <w:t xml:space="preserve"> </w:t>
      </w:r>
      <w:r w:rsidR="008B726A">
        <w:t>The simulation (Figure 2</w:t>
      </w:r>
      <w:r w:rsidRPr="00BD3C74">
        <w:t xml:space="preserve">) </w:t>
      </w:r>
      <w:r w:rsidR="001D7963">
        <w:rPr>
          <w:noProof/>
        </w:rPr>
        <w:t>used</w:t>
      </w:r>
      <w:r w:rsidRPr="00BD3C74">
        <w:t xml:space="preserve"> characterization data </w:t>
      </w:r>
      <w:r w:rsidR="00AB4999">
        <w:t xml:space="preserve">of </w:t>
      </w:r>
      <w:r w:rsidR="00337FD8" w:rsidRPr="00BD3C74">
        <w:t>sugarcane bagasse</w:t>
      </w:r>
      <w:r w:rsidR="005402AD">
        <w:t xml:space="preserve"> </w:t>
      </w:r>
      <w:r w:rsidR="005402AD" w:rsidRPr="00BD3C74">
        <w:t>(Table 1)</w:t>
      </w:r>
      <w:r w:rsidR="00DD54CE">
        <w:t>, which is present in the previous work of authors (Miranda, 2018)</w:t>
      </w:r>
      <w:r w:rsidR="00DD54CE" w:rsidRPr="00BD3C74">
        <w:t>.</w:t>
      </w:r>
    </w:p>
    <w:p w14:paraId="1FB7DE02" w14:textId="0B1F4ACC" w:rsidR="00600535" w:rsidRPr="0031131E" w:rsidRDefault="00600535" w:rsidP="008B726A">
      <w:pPr>
        <w:pStyle w:val="CETTabletitle"/>
      </w:pPr>
      <w:r w:rsidRPr="00F43FC7">
        <w:rPr>
          <w:noProof/>
        </w:rPr>
        <w:t xml:space="preserve">Table 1: </w:t>
      </w:r>
      <w:r w:rsidR="001D5A50" w:rsidRPr="00F43FC7">
        <w:rPr>
          <w:noProof/>
        </w:rPr>
        <w:t xml:space="preserve">Proximate </w:t>
      </w:r>
      <w:r w:rsidR="008B726A" w:rsidRPr="00F43FC7">
        <w:rPr>
          <w:noProof/>
        </w:rPr>
        <w:t xml:space="preserve">and ultimate </w:t>
      </w:r>
      <w:r w:rsidR="001D5A50" w:rsidRPr="00F43FC7">
        <w:rPr>
          <w:noProof/>
        </w:rPr>
        <w:t>analysis of sugarcane bagasse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6"/>
        <w:gridCol w:w="1558"/>
        <w:gridCol w:w="1562"/>
        <w:gridCol w:w="1555"/>
        <w:gridCol w:w="1561"/>
        <w:gridCol w:w="705"/>
      </w:tblGrid>
      <w:tr w:rsidR="009A1840" w:rsidRPr="00B57B36" w14:paraId="6734037D" w14:textId="3E946448" w:rsidTr="00D56BA8">
        <w:tc>
          <w:tcPr>
            <w:tcW w:w="1050" w:type="pct"/>
            <w:tcBorders>
              <w:top w:val="single" w:sz="12" w:space="0" w:color="008000"/>
              <w:bottom w:val="single" w:sz="6" w:space="0" w:color="008000"/>
            </w:tcBorders>
            <w:shd w:val="clear" w:color="auto" w:fill="FFFFFF"/>
          </w:tcPr>
          <w:p w14:paraId="2E1BE1EA" w14:textId="77777777" w:rsidR="00451A38" w:rsidRDefault="00451A38" w:rsidP="00507B47">
            <w:pPr>
              <w:pStyle w:val="CETBodytext"/>
              <w:rPr>
                <w:lang w:val="en-GB"/>
              </w:rPr>
            </w:pPr>
            <w:r>
              <w:rPr>
                <w:lang w:val="en-GB"/>
              </w:rPr>
              <w:t xml:space="preserve">Proximate analysis </w:t>
            </w:r>
          </w:p>
          <w:p w14:paraId="6BCCBAF5" w14:textId="7EB6A526" w:rsidR="00451A38" w:rsidRPr="00B57B36" w:rsidRDefault="00451A38" w:rsidP="00507B47">
            <w:pPr>
              <w:pStyle w:val="CETBodytext"/>
              <w:rPr>
                <w:lang w:val="en-GB"/>
              </w:rPr>
            </w:pPr>
            <w:r>
              <w:rPr>
                <w:lang w:val="en-GB"/>
              </w:rPr>
              <w:t>(dry basis)</w:t>
            </w:r>
            <w:r w:rsidRPr="00B57B36">
              <w:rPr>
                <w:lang w:val="en-GB"/>
              </w:rPr>
              <w:t xml:space="preserve"> </w:t>
            </w:r>
          </w:p>
        </w:tc>
        <w:tc>
          <w:tcPr>
            <w:tcW w:w="886" w:type="pct"/>
            <w:tcBorders>
              <w:top w:val="single" w:sz="12" w:space="0" w:color="008000"/>
              <w:bottom w:val="single" w:sz="6" w:space="0" w:color="008000"/>
            </w:tcBorders>
            <w:shd w:val="clear" w:color="auto" w:fill="FFFFFF"/>
          </w:tcPr>
          <w:p w14:paraId="282D26BE" w14:textId="736A375F" w:rsidR="00451A38" w:rsidRPr="008B726A" w:rsidRDefault="00451A38" w:rsidP="007F6E4F">
            <w:pPr>
              <w:pStyle w:val="CETBodytext"/>
              <w:rPr>
                <w:vertAlign w:val="superscript"/>
                <w:lang w:val="en-GB"/>
              </w:rPr>
            </w:pPr>
            <w:r>
              <w:rPr>
                <w:lang w:val="en-GB"/>
              </w:rPr>
              <w:t>Sugarcane bagasse</w:t>
            </w:r>
          </w:p>
        </w:tc>
        <w:tc>
          <w:tcPr>
            <w:tcW w:w="889" w:type="pct"/>
            <w:tcBorders>
              <w:top w:val="single" w:sz="12" w:space="0" w:color="008000"/>
              <w:bottom w:val="single" w:sz="6" w:space="0" w:color="008000"/>
            </w:tcBorders>
            <w:shd w:val="clear" w:color="auto" w:fill="FFFFFF"/>
          </w:tcPr>
          <w:p w14:paraId="3FEA93FC" w14:textId="77777777" w:rsidR="00451A38" w:rsidRDefault="00451A38" w:rsidP="00507B47">
            <w:pPr>
              <w:pStyle w:val="CETBodytext"/>
              <w:rPr>
                <w:lang w:val="en-GB"/>
              </w:rPr>
            </w:pPr>
            <w:r>
              <w:rPr>
                <w:lang w:val="en-GB"/>
              </w:rPr>
              <w:t xml:space="preserve">Ultimate analysis </w:t>
            </w:r>
          </w:p>
          <w:p w14:paraId="221EA498" w14:textId="253BFF4B" w:rsidR="00451A38" w:rsidRDefault="00451A38" w:rsidP="00507B47">
            <w:pPr>
              <w:pStyle w:val="CETBodytext"/>
              <w:rPr>
                <w:lang w:val="en-GB"/>
              </w:rPr>
            </w:pPr>
            <w:r>
              <w:rPr>
                <w:lang w:val="en-GB"/>
              </w:rPr>
              <w:t>(dry basis)</w:t>
            </w:r>
          </w:p>
        </w:tc>
        <w:tc>
          <w:tcPr>
            <w:tcW w:w="885" w:type="pct"/>
            <w:tcBorders>
              <w:top w:val="single" w:sz="12" w:space="0" w:color="008000"/>
              <w:bottom w:val="single" w:sz="6" w:space="0" w:color="008000"/>
            </w:tcBorders>
            <w:shd w:val="clear" w:color="auto" w:fill="FFFFFF"/>
          </w:tcPr>
          <w:p w14:paraId="4499EFC1" w14:textId="4CDB2505" w:rsidR="00451A38" w:rsidRPr="008B726A" w:rsidRDefault="00451A38" w:rsidP="00507B47">
            <w:pPr>
              <w:pStyle w:val="CETBodytext"/>
              <w:rPr>
                <w:vertAlign w:val="superscript"/>
                <w:lang w:val="en-GB"/>
              </w:rPr>
            </w:pPr>
            <w:r>
              <w:rPr>
                <w:lang w:val="en-GB"/>
              </w:rPr>
              <w:t>Sugarcane bagasse</w:t>
            </w:r>
          </w:p>
        </w:tc>
        <w:tc>
          <w:tcPr>
            <w:tcW w:w="888" w:type="pct"/>
            <w:tcBorders>
              <w:top w:val="single" w:sz="12" w:space="0" w:color="008000"/>
              <w:bottom w:val="single" w:sz="6" w:space="0" w:color="008000"/>
            </w:tcBorders>
            <w:shd w:val="clear" w:color="auto" w:fill="FFFFFF"/>
          </w:tcPr>
          <w:p w14:paraId="03A107F1" w14:textId="77777777" w:rsidR="00451A38" w:rsidRDefault="00451A38" w:rsidP="00507B47">
            <w:pPr>
              <w:pStyle w:val="CETBodytext"/>
              <w:rPr>
                <w:lang w:val="en-GB"/>
              </w:rPr>
            </w:pPr>
            <w:r>
              <w:rPr>
                <w:lang w:val="en-GB"/>
              </w:rPr>
              <w:t xml:space="preserve">Particle medium </w:t>
            </w:r>
          </w:p>
          <w:p w14:paraId="0B3177D8" w14:textId="2D91DF6D" w:rsidR="00451A38" w:rsidRDefault="00451A38" w:rsidP="00451A38">
            <w:pPr>
              <w:pStyle w:val="CETBodytext"/>
              <w:rPr>
                <w:lang w:val="en-GB"/>
              </w:rPr>
            </w:pPr>
            <w:r>
              <w:rPr>
                <w:lang w:val="en-GB"/>
              </w:rPr>
              <w:t>diameter (mm)</w:t>
            </w:r>
          </w:p>
        </w:tc>
        <w:tc>
          <w:tcPr>
            <w:tcW w:w="401" w:type="pct"/>
            <w:tcBorders>
              <w:top w:val="single" w:sz="12" w:space="0" w:color="008000"/>
              <w:bottom w:val="single" w:sz="6" w:space="0" w:color="008000"/>
            </w:tcBorders>
            <w:shd w:val="clear" w:color="auto" w:fill="FFFFFF"/>
          </w:tcPr>
          <w:p w14:paraId="5DD7F1ED" w14:textId="47151B97" w:rsidR="00451A38" w:rsidRPr="009A1840" w:rsidRDefault="00451A38" w:rsidP="009A1840">
            <w:pPr>
              <w:pStyle w:val="CETBodytext"/>
              <w:jc w:val="left"/>
            </w:pPr>
            <w:r w:rsidRPr="009A1840">
              <w:t>Weight fraction</w:t>
            </w:r>
          </w:p>
        </w:tc>
      </w:tr>
      <w:tr w:rsidR="009A1840" w:rsidRPr="00B57B36" w14:paraId="792AB86E" w14:textId="4068EDC9" w:rsidTr="00D56BA8">
        <w:tc>
          <w:tcPr>
            <w:tcW w:w="1050" w:type="pct"/>
            <w:tcBorders>
              <w:bottom w:val="nil"/>
            </w:tcBorders>
            <w:shd w:val="clear" w:color="auto" w:fill="FFFFFF"/>
          </w:tcPr>
          <w:p w14:paraId="5176C2A7" w14:textId="77777777" w:rsidR="00451A38" w:rsidRPr="00B57B36" w:rsidRDefault="00451A38" w:rsidP="00BD3C74">
            <w:pPr>
              <w:pStyle w:val="CETBodytext"/>
              <w:rPr>
                <w:lang w:val="en-GB"/>
              </w:rPr>
            </w:pPr>
            <w:r>
              <w:rPr>
                <w:lang w:val="en-GB"/>
              </w:rPr>
              <w:t>Volatile matter (%)</w:t>
            </w:r>
          </w:p>
        </w:tc>
        <w:tc>
          <w:tcPr>
            <w:tcW w:w="886" w:type="pct"/>
            <w:tcBorders>
              <w:bottom w:val="nil"/>
            </w:tcBorders>
            <w:shd w:val="clear" w:color="auto" w:fill="FFFFFF"/>
          </w:tcPr>
          <w:p w14:paraId="54165E41" w14:textId="7545EE21" w:rsidR="00451A38" w:rsidRPr="00FE21DD" w:rsidRDefault="00451A38" w:rsidP="00FE21DD">
            <w:pPr>
              <w:pStyle w:val="CETBodytext"/>
            </w:pPr>
            <w:r w:rsidRPr="00FE21DD">
              <w:t>88.87 ±</w:t>
            </w:r>
            <w:r>
              <w:t xml:space="preserve"> 0.91</w:t>
            </w:r>
          </w:p>
        </w:tc>
        <w:tc>
          <w:tcPr>
            <w:tcW w:w="889" w:type="pct"/>
            <w:tcBorders>
              <w:bottom w:val="nil"/>
            </w:tcBorders>
            <w:shd w:val="clear" w:color="auto" w:fill="FFFFFF"/>
          </w:tcPr>
          <w:p w14:paraId="00215627" w14:textId="2E42DE6B" w:rsidR="00451A38" w:rsidRDefault="00451A38" w:rsidP="00507B47">
            <w:pPr>
              <w:pStyle w:val="CETBodytext"/>
              <w:rPr>
                <w:lang w:val="en-GB"/>
              </w:rPr>
            </w:pPr>
            <w:r>
              <w:rPr>
                <w:lang w:val="en-GB"/>
              </w:rPr>
              <w:t>Carbon (%)</w:t>
            </w:r>
          </w:p>
        </w:tc>
        <w:tc>
          <w:tcPr>
            <w:tcW w:w="885" w:type="pct"/>
            <w:tcBorders>
              <w:bottom w:val="nil"/>
            </w:tcBorders>
            <w:shd w:val="clear" w:color="auto" w:fill="FFFFFF"/>
          </w:tcPr>
          <w:p w14:paraId="0269BD9B" w14:textId="51F3093C" w:rsidR="00451A38" w:rsidRDefault="00451A38" w:rsidP="00507B47">
            <w:pPr>
              <w:pStyle w:val="CETBodytext"/>
              <w:rPr>
                <w:lang w:val="en-GB"/>
              </w:rPr>
            </w:pPr>
            <w:r>
              <w:rPr>
                <w:lang w:val="en-GB"/>
              </w:rPr>
              <w:t xml:space="preserve">37.01 </w:t>
            </w:r>
            <w:r w:rsidRPr="00FE21DD">
              <w:t>±</w:t>
            </w:r>
            <w:r>
              <w:t xml:space="preserve"> 2.08</w:t>
            </w:r>
          </w:p>
        </w:tc>
        <w:tc>
          <w:tcPr>
            <w:tcW w:w="888" w:type="pct"/>
            <w:tcBorders>
              <w:bottom w:val="nil"/>
            </w:tcBorders>
            <w:shd w:val="clear" w:color="auto" w:fill="FFFFFF"/>
          </w:tcPr>
          <w:p w14:paraId="4334ECAC" w14:textId="5EDA76AB" w:rsidR="00451A38" w:rsidRPr="00D56BA8" w:rsidRDefault="001C550D" w:rsidP="00451A38">
            <w:pPr>
              <w:pStyle w:val="CETBodytext"/>
            </w:pPr>
            <w:r>
              <w:t>0.</w:t>
            </w:r>
            <w:r w:rsidR="00451A38">
              <w:t>00</w:t>
            </w:r>
            <w:r w:rsidR="00D56BA8">
              <w:t xml:space="preserve"> – </w:t>
            </w:r>
            <w:r>
              <w:t>0.</w:t>
            </w:r>
            <w:r w:rsidR="00451A38" w:rsidRPr="00224E69">
              <w:t>22</w:t>
            </w:r>
          </w:p>
        </w:tc>
        <w:tc>
          <w:tcPr>
            <w:tcW w:w="401" w:type="pct"/>
            <w:tcBorders>
              <w:bottom w:val="nil"/>
            </w:tcBorders>
            <w:shd w:val="clear" w:color="auto" w:fill="FFFFFF"/>
          </w:tcPr>
          <w:p w14:paraId="147705F3" w14:textId="6268815F" w:rsidR="00451A38" w:rsidRDefault="00451A38" w:rsidP="00451A38">
            <w:pPr>
              <w:pStyle w:val="CETBodytext"/>
              <w:jc w:val="left"/>
              <w:rPr>
                <w:lang w:val="en-GB"/>
              </w:rPr>
            </w:pPr>
            <w:r w:rsidRPr="007A36F8">
              <w:t>1</w:t>
            </w:r>
            <w:r w:rsidR="001C550D">
              <w:t>.</w:t>
            </w:r>
            <w:r w:rsidRPr="007A36F8">
              <w:t>12</w:t>
            </w:r>
          </w:p>
        </w:tc>
      </w:tr>
      <w:tr w:rsidR="009A1840" w:rsidRPr="00B57B36" w14:paraId="51AB713A" w14:textId="352BEB28" w:rsidTr="00D56BA8">
        <w:tc>
          <w:tcPr>
            <w:tcW w:w="1050" w:type="pct"/>
            <w:tcBorders>
              <w:top w:val="nil"/>
              <w:left w:val="nil"/>
              <w:bottom w:val="nil"/>
              <w:right w:val="nil"/>
            </w:tcBorders>
            <w:shd w:val="clear" w:color="auto" w:fill="FFFFFF"/>
          </w:tcPr>
          <w:p w14:paraId="76F24579" w14:textId="77777777" w:rsidR="00451A38" w:rsidRPr="00B57B36" w:rsidRDefault="00451A38" w:rsidP="00507B47">
            <w:pPr>
              <w:pStyle w:val="CETBodytext"/>
              <w:ind w:right="-1"/>
              <w:rPr>
                <w:rFonts w:cs="Arial"/>
                <w:szCs w:val="18"/>
                <w:lang w:val="en-GB"/>
              </w:rPr>
            </w:pPr>
            <w:r>
              <w:rPr>
                <w:rFonts w:cs="Arial"/>
                <w:szCs w:val="18"/>
                <w:lang w:val="en-GB"/>
              </w:rPr>
              <w:t>Fixed carbon (%)</w:t>
            </w:r>
          </w:p>
        </w:tc>
        <w:tc>
          <w:tcPr>
            <w:tcW w:w="886" w:type="pct"/>
            <w:tcBorders>
              <w:top w:val="nil"/>
              <w:left w:val="nil"/>
              <w:bottom w:val="nil"/>
              <w:right w:val="nil"/>
            </w:tcBorders>
            <w:shd w:val="clear" w:color="auto" w:fill="FFFFFF"/>
          </w:tcPr>
          <w:p w14:paraId="47603A5A" w14:textId="77777777" w:rsidR="00451A38" w:rsidRPr="00B57B36" w:rsidRDefault="00451A38" w:rsidP="00507B47">
            <w:pPr>
              <w:pStyle w:val="CETBodytext"/>
              <w:ind w:right="-1"/>
              <w:rPr>
                <w:rFonts w:cs="Arial"/>
                <w:szCs w:val="18"/>
                <w:lang w:val="en-GB"/>
              </w:rPr>
            </w:pPr>
            <w:r>
              <w:rPr>
                <w:rFonts w:cs="Arial"/>
                <w:szCs w:val="18"/>
                <w:lang w:val="en-GB"/>
              </w:rPr>
              <w:t>1.14</w:t>
            </w:r>
          </w:p>
        </w:tc>
        <w:tc>
          <w:tcPr>
            <w:tcW w:w="889" w:type="pct"/>
            <w:tcBorders>
              <w:top w:val="nil"/>
              <w:left w:val="nil"/>
              <w:bottom w:val="nil"/>
              <w:right w:val="nil"/>
            </w:tcBorders>
            <w:shd w:val="clear" w:color="auto" w:fill="FFFFFF"/>
          </w:tcPr>
          <w:p w14:paraId="0F43323E" w14:textId="0F289059" w:rsidR="00451A38" w:rsidRDefault="00451A38" w:rsidP="00507B47">
            <w:pPr>
              <w:pStyle w:val="CETBodytext"/>
              <w:ind w:right="-1"/>
              <w:rPr>
                <w:rFonts w:cs="Arial"/>
                <w:szCs w:val="18"/>
                <w:lang w:val="en-GB"/>
              </w:rPr>
            </w:pPr>
            <w:r>
              <w:rPr>
                <w:rFonts w:cs="Arial"/>
                <w:szCs w:val="18"/>
                <w:lang w:val="en-GB"/>
              </w:rPr>
              <w:t>Hydrogen (%)</w:t>
            </w:r>
          </w:p>
        </w:tc>
        <w:tc>
          <w:tcPr>
            <w:tcW w:w="885" w:type="pct"/>
            <w:tcBorders>
              <w:top w:val="nil"/>
              <w:left w:val="nil"/>
              <w:bottom w:val="nil"/>
              <w:right w:val="nil"/>
            </w:tcBorders>
            <w:shd w:val="clear" w:color="auto" w:fill="FFFFFF"/>
          </w:tcPr>
          <w:p w14:paraId="45C36562" w14:textId="3C4DF7BF" w:rsidR="00451A38" w:rsidRDefault="00451A38" w:rsidP="00507B47">
            <w:pPr>
              <w:pStyle w:val="CETBodytext"/>
              <w:ind w:right="-1"/>
              <w:rPr>
                <w:rFonts w:cs="Arial"/>
                <w:szCs w:val="18"/>
                <w:lang w:val="en-GB"/>
              </w:rPr>
            </w:pPr>
            <w:r>
              <w:rPr>
                <w:rFonts w:cs="Arial"/>
                <w:szCs w:val="18"/>
                <w:lang w:val="en-GB"/>
              </w:rPr>
              <w:t xml:space="preserve">5.32 </w:t>
            </w:r>
            <w:r w:rsidRPr="00FE21DD">
              <w:t>±</w:t>
            </w:r>
            <w:r>
              <w:t xml:space="preserve"> 0.41</w:t>
            </w:r>
          </w:p>
        </w:tc>
        <w:tc>
          <w:tcPr>
            <w:tcW w:w="888" w:type="pct"/>
            <w:tcBorders>
              <w:top w:val="nil"/>
              <w:left w:val="nil"/>
              <w:bottom w:val="nil"/>
              <w:right w:val="nil"/>
            </w:tcBorders>
            <w:shd w:val="clear" w:color="auto" w:fill="FFFFFF"/>
          </w:tcPr>
          <w:p w14:paraId="1E20B409" w14:textId="3224F31E" w:rsidR="00451A38" w:rsidRDefault="00451A38" w:rsidP="00451A38">
            <w:pPr>
              <w:pStyle w:val="CETBodytext"/>
              <w:ind w:right="-1"/>
              <w:rPr>
                <w:rFonts w:cs="Arial"/>
                <w:szCs w:val="18"/>
                <w:lang w:val="en-GB"/>
              </w:rPr>
            </w:pPr>
            <w:r w:rsidRPr="00224E69">
              <w:t>0</w:t>
            </w:r>
            <w:r w:rsidR="001C550D">
              <w:t>.</w:t>
            </w:r>
            <w:r w:rsidR="00D56BA8">
              <w:t xml:space="preserve">22 – </w:t>
            </w:r>
            <w:r w:rsidRPr="00224E69">
              <w:t>0</w:t>
            </w:r>
            <w:r w:rsidR="001C550D">
              <w:t>.</w:t>
            </w:r>
            <w:r w:rsidRPr="00224E69">
              <w:t>28</w:t>
            </w:r>
          </w:p>
        </w:tc>
        <w:tc>
          <w:tcPr>
            <w:tcW w:w="401" w:type="pct"/>
            <w:tcBorders>
              <w:top w:val="nil"/>
              <w:left w:val="nil"/>
              <w:bottom w:val="nil"/>
              <w:right w:val="nil"/>
            </w:tcBorders>
            <w:shd w:val="clear" w:color="auto" w:fill="FFFFFF"/>
          </w:tcPr>
          <w:p w14:paraId="70E939FD" w14:textId="25A1BCCC" w:rsidR="00451A38" w:rsidRDefault="00451A38" w:rsidP="00507B47">
            <w:pPr>
              <w:pStyle w:val="CETBodytext"/>
              <w:ind w:right="-1"/>
              <w:rPr>
                <w:rFonts w:cs="Arial"/>
                <w:szCs w:val="18"/>
                <w:lang w:val="en-GB"/>
              </w:rPr>
            </w:pPr>
            <w:r w:rsidRPr="007A36F8">
              <w:t>1</w:t>
            </w:r>
            <w:r w:rsidR="001C550D">
              <w:t>.</w:t>
            </w:r>
            <w:r w:rsidRPr="007A36F8">
              <w:t>21</w:t>
            </w:r>
          </w:p>
        </w:tc>
      </w:tr>
      <w:tr w:rsidR="009A1840" w:rsidRPr="00B57B36" w14:paraId="6BB0A5CB" w14:textId="3E62A4A8" w:rsidTr="00D56BA8">
        <w:tc>
          <w:tcPr>
            <w:tcW w:w="1050" w:type="pct"/>
            <w:tcBorders>
              <w:top w:val="nil"/>
              <w:left w:val="nil"/>
              <w:bottom w:val="nil"/>
              <w:right w:val="nil"/>
            </w:tcBorders>
            <w:shd w:val="clear" w:color="auto" w:fill="FFFFFF"/>
          </w:tcPr>
          <w:p w14:paraId="39239271" w14:textId="77777777" w:rsidR="00451A38" w:rsidRDefault="00451A38" w:rsidP="00507B47">
            <w:pPr>
              <w:pStyle w:val="CETBodytext"/>
              <w:ind w:right="-1"/>
              <w:rPr>
                <w:rFonts w:cs="Arial"/>
                <w:szCs w:val="18"/>
                <w:lang w:val="en-GB"/>
              </w:rPr>
            </w:pPr>
            <w:r>
              <w:rPr>
                <w:rFonts w:cs="Arial"/>
                <w:szCs w:val="18"/>
                <w:lang w:val="en-GB"/>
              </w:rPr>
              <w:t>Ash (%)</w:t>
            </w:r>
          </w:p>
        </w:tc>
        <w:tc>
          <w:tcPr>
            <w:tcW w:w="886" w:type="pct"/>
            <w:tcBorders>
              <w:top w:val="nil"/>
              <w:left w:val="nil"/>
              <w:bottom w:val="nil"/>
              <w:right w:val="nil"/>
            </w:tcBorders>
            <w:shd w:val="clear" w:color="auto" w:fill="FFFFFF"/>
          </w:tcPr>
          <w:p w14:paraId="24B5C0C2" w14:textId="5B45BEF8" w:rsidR="00451A38" w:rsidRDefault="00451A38" w:rsidP="00507B47">
            <w:pPr>
              <w:pStyle w:val="CETBodytext"/>
              <w:ind w:right="-1"/>
              <w:rPr>
                <w:rFonts w:cs="Arial"/>
                <w:szCs w:val="18"/>
                <w:lang w:val="en-GB"/>
              </w:rPr>
            </w:pPr>
            <w:r>
              <w:rPr>
                <w:rFonts w:cs="Arial"/>
                <w:szCs w:val="18"/>
                <w:lang w:val="en-GB"/>
              </w:rPr>
              <w:t xml:space="preserve">10.00 </w:t>
            </w:r>
            <w:r w:rsidRPr="00FE21DD">
              <w:t>±</w:t>
            </w:r>
            <w:r>
              <w:t xml:space="preserve"> 2.80</w:t>
            </w:r>
          </w:p>
        </w:tc>
        <w:tc>
          <w:tcPr>
            <w:tcW w:w="889" w:type="pct"/>
            <w:tcBorders>
              <w:top w:val="nil"/>
              <w:left w:val="nil"/>
              <w:bottom w:val="nil"/>
              <w:right w:val="nil"/>
            </w:tcBorders>
            <w:shd w:val="clear" w:color="auto" w:fill="FFFFFF"/>
          </w:tcPr>
          <w:p w14:paraId="1D18CE4F" w14:textId="189EFD34" w:rsidR="00451A38" w:rsidRDefault="00451A38" w:rsidP="00507B47">
            <w:pPr>
              <w:pStyle w:val="CETBodytext"/>
              <w:ind w:right="-1"/>
              <w:rPr>
                <w:rFonts w:cs="Arial"/>
                <w:szCs w:val="18"/>
                <w:lang w:val="en-GB"/>
              </w:rPr>
            </w:pPr>
            <w:r>
              <w:rPr>
                <w:rFonts w:cs="Arial"/>
                <w:szCs w:val="18"/>
                <w:lang w:val="en-GB"/>
              </w:rPr>
              <w:t>Oxygen (%)</w:t>
            </w:r>
          </w:p>
        </w:tc>
        <w:tc>
          <w:tcPr>
            <w:tcW w:w="885" w:type="pct"/>
            <w:tcBorders>
              <w:top w:val="nil"/>
              <w:left w:val="nil"/>
              <w:bottom w:val="nil"/>
              <w:right w:val="nil"/>
            </w:tcBorders>
            <w:shd w:val="clear" w:color="auto" w:fill="FFFFFF"/>
          </w:tcPr>
          <w:p w14:paraId="6C983C6B" w14:textId="46E33ADA" w:rsidR="00451A38" w:rsidRDefault="00451A38" w:rsidP="00507B47">
            <w:pPr>
              <w:pStyle w:val="CETBodytext"/>
              <w:ind w:right="-1"/>
              <w:rPr>
                <w:rFonts w:cs="Arial"/>
                <w:szCs w:val="18"/>
                <w:lang w:val="en-GB"/>
              </w:rPr>
            </w:pPr>
            <w:r>
              <w:rPr>
                <w:rFonts w:cs="Arial"/>
                <w:szCs w:val="18"/>
                <w:lang w:val="en-GB"/>
              </w:rPr>
              <w:t xml:space="preserve">43.25 </w:t>
            </w:r>
            <w:r w:rsidRPr="00FE21DD">
              <w:t>±</w:t>
            </w:r>
            <w:r>
              <w:t xml:space="preserve"> 2.28</w:t>
            </w:r>
          </w:p>
        </w:tc>
        <w:tc>
          <w:tcPr>
            <w:tcW w:w="888" w:type="pct"/>
            <w:tcBorders>
              <w:top w:val="nil"/>
              <w:left w:val="nil"/>
              <w:bottom w:val="nil"/>
              <w:right w:val="nil"/>
            </w:tcBorders>
            <w:shd w:val="clear" w:color="auto" w:fill="FFFFFF"/>
          </w:tcPr>
          <w:p w14:paraId="1E71D77E" w14:textId="2D40F064" w:rsidR="00451A38" w:rsidRDefault="00451A38" w:rsidP="00451A38">
            <w:pPr>
              <w:pStyle w:val="CETBodytext"/>
              <w:ind w:right="-1"/>
              <w:rPr>
                <w:rFonts w:cs="Arial"/>
                <w:szCs w:val="18"/>
                <w:lang w:val="en-GB"/>
              </w:rPr>
            </w:pPr>
            <w:r w:rsidRPr="00224E69">
              <w:t>0</w:t>
            </w:r>
            <w:r w:rsidR="001C550D">
              <w:t>.</w:t>
            </w:r>
            <w:r w:rsidR="00D56BA8">
              <w:t xml:space="preserve">28 – </w:t>
            </w:r>
            <w:r w:rsidRPr="00224E69">
              <w:t>0</w:t>
            </w:r>
            <w:r w:rsidR="001C550D">
              <w:t>.</w:t>
            </w:r>
            <w:r w:rsidRPr="00224E69">
              <w:t>36</w:t>
            </w:r>
          </w:p>
        </w:tc>
        <w:tc>
          <w:tcPr>
            <w:tcW w:w="401" w:type="pct"/>
            <w:tcBorders>
              <w:top w:val="nil"/>
              <w:left w:val="nil"/>
              <w:bottom w:val="nil"/>
              <w:right w:val="nil"/>
            </w:tcBorders>
            <w:shd w:val="clear" w:color="auto" w:fill="FFFFFF"/>
          </w:tcPr>
          <w:p w14:paraId="6953A3B6" w14:textId="2134D2E3" w:rsidR="00451A38" w:rsidRDefault="00451A38" w:rsidP="00507B47">
            <w:pPr>
              <w:pStyle w:val="CETBodytext"/>
              <w:ind w:right="-1"/>
              <w:rPr>
                <w:rFonts w:cs="Arial"/>
                <w:szCs w:val="18"/>
                <w:lang w:val="en-GB"/>
              </w:rPr>
            </w:pPr>
            <w:r w:rsidRPr="007A36F8">
              <w:t>3</w:t>
            </w:r>
            <w:r w:rsidR="001C550D">
              <w:t>.</w:t>
            </w:r>
            <w:r w:rsidRPr="007A36F8">
              <w:t>04</w:t>
            </w:r>
          </w:p>
        </w:tc>
      </w:tr>
      <w:tr w:rsidR="009A1840" w:rsidRPr="00B57B36" w14:paraId="2B167F7D" w14:textId="48BC5F6C" w:rsidTr="00D56BA8">
        <w:tc>
          <w:tcPr>
            <w:tcW w:w="1050" w:type="pct"/>
            <w:tcBorders>
              <w:top w:val="nil"/>
            </w:tcBorders>
            <w:shd w:val="clear" w:color="auto" w:fill="FFFFFF"/>
          </w:tcPr>
          <w:p w14:paraId="72D55C59" w14:textId="77777777" w:rsidR="00451A38" w:rsidRDefault="00451A38" w:rsidP="001D5A50">
            <w:pPr>
              <w:pStyle w:val="CETBodytext"/>
              <w:ind w:right="-1"/>
              <w:rPr>
                <w:rFonts w:cs="Arial"/>
                <w:szCs w:val="18"/>
                <w:lang w:val="en-GB"/>
              </w:rPr>
            </w:pPr>
            <w:r>
              <w:rPr>
                <w:rFonts w:cs="Arial"/>
                <w:szCs w:val="18"/>
                <w:lang w:val="en-GB"/>
              </w:rPr>
              <w:t>Moisture content (%)</w:t>
            </w:r>
          </w:p>
        </w:tc>
        <w:tc>
          <w:tcPr>
            <w:tcW w:w="886" w:type="pct"/>
            <w:tcBorders>
              <w:top w:val="nil"/>
            </w:tcBorders>
            <w:shd w:val="clear" w:color="auto" w:fill="FFFFFF"/>
          </w:tcPr>
          <w:p w14:paraId="7E44A90E" w14:textId="77777777" w:rsidR="00451A38" w:rsidRDefault="00451A38" w:rsidP="00507B47">
            <w:pPr>
              <w:pStyle w:val="CETBodytext"/>
              <w:ind w:right="-1"/>
              <w:rPr>
                <w:rFonts w:cs="Arial"/>
                <w:szCs w:val="18"/>
                <w:lang w:val="en-GB"/>
              </w:rPr>
            </w:pPr>
            <w:r>
              <w:rPr>
                <w:rFonts w:cs="Arial"/>
                <w:szCs w:val="18"/>
                <w:lang w:val="en-GB"/>
              </w:rPr>
              <w:t>10.00</w:t>
            </w:r>
          </w:p>
        </w:tc>
        <w:tc>
          <w:tcPr>
            <w:tcW w:w="889" w:type="pct"/>
            <w:tcBorders>
              <w:top w:val="nil"/>
            </w:tcBorders>
            <w:shd w:val="clear" w:color="auto" w:fill="FFFFFF"/>
          </w:tcPr>
          <w:p w14:paraId="72E9A5EE" w14:textId="7711B978" w:rsidR="00451A38" w:rsidRDefault="00451A38" w:rsidP="00507B47">
            <w:pPr>
              <w:pStyle w:val="CETBodytext"/>
              <w:ind w:right="-1"/>
              <w:rPr>
                <w:rFonts w:cs="Arial"/>
                <w:szCs w:val="18"/>
                <w:lang w:val="en-GB"/>
              </w:rPr>
            </w:pPr>
            <w:r>
              <w:rPr>
                <w:rFonts w:cs="Arial"/>
                <w:szCs w:val="18"/>
                <w:lang w:val="en-GB"/>
              </w:rPr>
              <w:t>Nitrogen (%)</w:t>
            </w:r>
          </w:p>
        </w:tc>
        <w:tc>
          <w:tcPr>
            <w:tcW w:w="885" w:type="pct"/>
            <w:tcBorders>
              <w:top w:val="nil"/>
            </w:tcBorders>
            <w:shd w:val="clear" w:color="auto" w:fill="FFFFFF"/>
          </w:tcPr>
          <w:p w14:paraId="300A088C" w14:textId="18A1C1AC" w:rsidR="00451A38" w:rsidRDefault="00451A38" w:rsidP="00507B47">
            <w:pPr>
              <w:pStyle w:val="CETBodytext"/>
              <w:ind w:right="-1"/>
              <w:rPr>
                <w:rFonts w:cs="Arial"/>
                <w:szCs w:val="18"/>
                <w:lang w:val="en-GB"/>
              </w:rPr>
            </w:pPr>
            <w:r>
              <w:rPr>
                <w:rFonts w:cs="Arial"/>
                <w:szCs w:val="18"/>
                <w:lang w:val="en-GB"/>
              </w:rPr>
              <w:t xml:space="preserve">0.44 </w:t>
            </w:r>
            <w:r w:rsidRPr="00FE21DD">
              <w:t>±</w:t>
            </w:r>
            <w:r>
              <w:t xml:space="preserve"> 0.06</w:t>
            </w:r>
          </w:p>
        </w:tc>
        <w:tc>
          <w:tcPr>
            <w:tcW w:w="888" w:type="pct"/>
            <w:tcBorders>
              <w:top w:val="nil"/>
            </w:tcBorders>
            <w:shd w:val="clear" w:color="auto" w:fill="FFFFFF"/>
          </w:tcPr>
          <w:p w14:paraId="0203D657" w14:textId="5648C505" w:rsidR="00451A38" w:rsidRDefault="00451A38" w:rsidP="00451A38">
            <w:pPr>
              <w:pStyle w:val="CETBodytext"/>
              <w:ind w:right="-1"/>
              <w:rPr>
                <w:rFonts w:cs="Arial"/>
                <w:szCs w:val="18"/>
                <w:lang w:val="en-GB"/>
              </w:rPr>
            </w:pPr>
            <w:r w:rsidRPr="00224E69">
              <w:t>0</w:t>
            </w:r>
            <w:r w:rsidR="001C550D">
              <w:t>.</w:t>
            </w:r>
            <w:r w:rsidR="00D56BA8">
              <w:t>36 –</w:t>
            </w:r>
            <w:r w:rsidRPr="00224E69">
              <w:t>0</w:t>
            </w:r>
            <w:r w:rsidR="001C550D">
              <w:t>.</w:t>
            </w:r>
            <w:r w:rsidRPr="00224E69">
              <w:t>46</w:t>
            </w:r>
          </w:p>
        </w:tc>
        <w:tc>
          <w:tcPr>
            <w:tcW w:w="401" w:type="pct"/>
            <w:tcBorders>
              <w:top w:val="nil"/>
            </w:tcBorders>
            <w:shd w:val="clear" w:color="auto" w:fill="FFFFFF"/>
          </w:tcPr>
          <w:p w14:paraId="7DA5980F" w14:textId="2AEFFF8D" w:rsidR="00451A38" w:rsidRDefault="00451A38" w:rsidP="00507B47">
            <w:pPr>
              <w:pStyle w:val="CETBodytext"/>
              <w:ind w:right="-1"/>
              <w:rPr>
                <w:rFonts w:cs="Arial"/>
                <w:szCs w:val="18"/>
                <w:lang w:val="en-GB"/>
              </w:rPr>
            </w:pPr>
            <w:r w:rsidRPr="007A36F8">
              <w:t>1</w:t>
            </w:r>
            <w:r w:rsidR="001C550D">
              <w:t>.</w:t>
            </w:r>
            <w:r w:rsidRPr="007A36F8">
              <w:t>91</w:t>
            </w:r>
          </w:p>
        </w:tc>
      </w:tr>
      <w:tr w:rsidR="009A1840" w:rsidRPr="00B57B36" w14:paraId="099FB2D9" w14:textId="54C771E2" w:rsidTr="00D56BA8">
        <w:tc>
          <w:tcPr>
            <w:tcW w:w="1050" w:type="pct"/>
            <w:tcBorders>
              <w:top w:val="nil"/>
              <w:bottom w:val="nil"/>
            </w:tcBorders>
            <w:shd w:val="clear" w:color="auto" w:fill="FFFFFF"/>
          </w:tcPr>
          <w:p w14:paraId="3B00369E" w14:textId="77777777" w:rsidR="00451A38" w:rsidRDefault="00451A38" w:rsidP="001D5A50">
            <w:pPr>
              <w:pStyle w:val="CETBodytext"/>
              <w:ind w:right="-1"/>
              <w:rPr>
                <w:rFonts w:cs="Arial"/>
                <w:szCs w:val="18"/>
                <w:lang w:val="en-GB"/>
              </w:rPr>
            </w:pPr>
          </w:p>
        </w:tc>
        <w:tc>
          <w:tcPr>
            <w:tcW w:w="886" w:type="pct"/>
            <w:tcBorders>
              <w:top w:val="nil"/>
              <w:bottom w:val="nil"/>
            </w:tcBorders>
            <w:shd w:val="clear" w:color="auto" w:fill="FFFFFF"/>
          </w:tcPr>
          <w:p w14:paraId="123C2132" w14:textId="5DB3EDBD" w:rsidR="00451A38" w:rsidRDefault="00451A38" w:rsidP="00507B47">
            <w:pPr>
              <w:pStyle w:val="CETBodytext"/>
              <w:ind w:right="-1"/>
              <w:rPr>
                <w:rFonts w:cs="Arial"/>
                <w:szCs w:val="18"/>
                <w:lang w:val="en-GB"/>
              </w:rPr>
            </w:pPr>
          </w:p>
        </w:tc>
        <w:tc>
          <w:tcPr>
            <w:tcW w:w="889" w:type="pct"/>
            <w:tcBorders>
              <w:top w:val="nil"/>
              <w:bottom w:val="nil"/>
            </w:tcBorders>
            <w:shd w:val="clear" w:color="auto" w:fill="FFFFFF"/>
          </w:tcPr>
          <w:p w14:paraId="27D22DD1" w14:textId="4E9CD293" w:rsidR="00451A38" w:rsidRDefault="00451A38" w:rsidP="00507B47">
            <w:pPr>
              <w:pStyle w:val="CETBodytext"/>
              <w:ind w:right="-1"/>
              <w:rPr>
                <w:rFonts w:cs="Arial"/>
                <w:szCs w:val="18"/>
                <w:lang w:val="en-GB"/>
              </w:rPr>
            </w:pPr>
            <w:proofErr w:type="spellStart"/>
            <w:r>
              <w:rPr>
                <w:rFonts w:cs="Arial"/>
                <w:szCs w:val="18"/>
                <w:lang w:val="en-GB"/>
              </w:rPr>
              <w:t>Sulfur</w:t>
            </w:r>
            <w:proofErr w:type="spellEnd"/>
            <w:r>
              <w:rPr>
                <w:rFonts w:cs="Arial"/>
                <w:szCs w:val="18"/>
                <w:lang w:val="en-GB"/>
              </w:rPr>
              <w:t xml:space="preserve"> (%)</w:t>
            </w:r>
          </w:p>
        </w:tc>
        <w:tc>
          <w:tcPr>
            <w:tcW w:w="885" w:type="pct"/>
            <w:tcBorders>
              <w:top w:val="nil"/>
              <w:bottom w:val="nil"/>
            </w:tcBorders>
            <w:shd w:val="clear" w:color="auto" w:fill="FFFFFF"/>
          </w:tcPr>
          <w:p w14:paraId="45347CAC" w14:textId="28D75140" w:rsidR="00451A38" w:rsidRDefault="00451A38" w:rsidP="00507B47">
            <w:pPr>
              <w:pStyle w:val="CETBodytext"/>
              <w:ind w:right="-1"/>
              <w:rPr>
                <w:rFonts w:cs="Arial"/>
                <w:szCs w:val="18"/>
                <w:lang w:val="en-GB"/>
              </w:rPr>
            </w:pPr>
            <w:r>
              <w:rPr>
                <w:rFonts w:cs="Arial"/>
                <w:szCs w:val="18"/>
                <w:lang w:val="en-GB"/>
              </w:rPr>
              <w:t xml:space="preserve">0.47 </w:t>
            </w:r>
            <w:r w:rsidRPr="00FE21DD">
              <w:t>±</w:t>
            </w:r>
            <w:r>
              <w:t xml:space="preserve"> 0.37</w:t>
            </w:r>
          </w:p>
        </w:tc>
        <w:tc>
          <w:tcPr>
            <w:tcW w:w="888" w:type="pct"/>
            <w:tcBorders>
              <w:top w:val="nil"/>
              <w:bottom w:val="nil"/>
            </w:tcBorders>
            <w:shd w:val="clear" w:color="auto" w:fill="FFFFFF"/>
          </w:tcPr>
          <w:p w14:paraId="588CF0E8" w14:textId="471FDAC1" w:rsidR="00451A38" w:rsidRDefault="00451A38" w:rsidP="00451A38">
            <w:pPr>
              <w:pStyle w:val="CETBodytext"/>
              <w:ind w:right="-1"/>
              <w:rPr>
                <w:rFonts w:cs="Arial"/>
                <w:szCs w:val="18"/>
                <w:lang w:val="en-GB"/>
              </w:rPr>
            </w:pPr>
            <w:r w:rsidRPr="00224E69">
              <w:t>0</w:t>
            </w:r>
            <w:r w:rsidR="001C550D">
              <w:t>.</w:t>
            </w:r>
            <w:r w:rsidR="00D56BA8">
              <w:t xml:space="preserve">46 – </w:t>
            </w:r>
            <w:r w:rsidRPr="00224E69">
              <w:t>0</w:t>
            </w:r>
            <w:r w:rsidR="001C550D">
              <w:t>.</w:t>
            </w:r>
            <w:r w:rsidRPr="00224E69">
              <w:t>55</w:t>
            </w:r>
          </w:p>
        </w:tc>
        <w:tc>
          <w:tcPr>
            <w:tcW w:w="401" w:type="pct"/>
            <w:tcBorders>
              <w:top w:val="nil"/>
              <w:bottom w:val="nil"/>
            </w:tcBorders>
            <w:shd w:val="clear" w:color="auto" w:fill="FFFFFF"/>
          </w:tcPr>
          <w:p w14:paraId="0268BD4D" w14:textId="2542582F" w:rsidR="00451A38" w:rsidRDefault="00451A38" w:rsidP="00507B47">
            <w:pPr>
              <w:pStyle w:val="CETBodytext"/>
              <w:ind w:right="-1"/>
              <w:rPr>
                <w:rFonts w:cs="Arial"/>
                <w:szCs w:val="18"/>
                <w:lang w:val="en-GB"/>
              </w:rPr>
            </w:pPr>
            <w:r w:rsidRPr="007A36F8">
              <w:t>1</w:t>
            </w:r>
            <w:r w:rsidR="001C550D">
              <w:t>.</w:t>
            </w:r>
            <w:r w:rsidRPr="007A36F8">
              <w:t>59</w:t>
            </w:r>
          </w:p>
        </w:tc>
      </w:tr>
      <w:tr w:rsidR="009A1840" w:rsidRPr="00B57B36" w14:paraId="76543869" w14:textId="0732F06B" w:rsidTr="00D56BA8">
        <w:tc>
          <w:tcPr>
            <w:tcW w:w="1050" w:type="pct"/>
            <w:tcBorders>
              <w:top w:val="nil"/>
              <w:bottom w:val="nil"/>
            </w:tcBorders>
            <w:shd w:val="clear" w:color="auto" w:fill="FFFFFF"/>
          </w:tcPr>
          <w:p w14:paraId="186C87F9" w14:textId="77777777" w:rsidR="00451A38" w:rsidRDefault="00451A38" w:rsidP="001D5A50">
            <w:pPr>
              <w:pStyle w:val="CETBodytext"/>
              <w:ind w:right="-1"/>
              <w:rPr>
                <w:rFonts w:cs="Arial"/>
                <w:szCs w:val="18"/>
                <w:lang w:val="en-GB"/>
              </w:rPr>
            </w:pPr>
          </w:p>
        </w:tc>
        <w:tc>
          <w:tcPr>
            <w:tcW w:w="886" w:type="pct"/>
            <w:tcBorders>
              <w:top w:val="nil"/>
              <w:bottom w:val="nil"/>
            </w:tcBorders>
            <w:shd w:val="clear" w:color="auto" w:fill="FFFFFF"/>
          </w:tcPr>
          <w:p w14:paraId="16A921F8" w14:textId="77777777" w:rsidR="00451A38" w:rsidRDefault="00451A38" w:rsidP="00507B47">
            <w:pPr>
              <w:pStyle w:val="CETBodytext"/>
              <w:ind w:right="-1"/>
              <w:rPr>
                <w:rFonts w:cs="Arial"/>
                <w:szCs w:val="18"/>
                <w:lang w:val="en-GB"/>
              </w:rPr>
            </w:pPr>
          </w:p>
        </w:tc>
        <w:tc>
          <w:tcPr>
            <w:tcW w:w="889" w:type="pct"/>
            <w:tcBorders>
              <w:top w:val="nil"/>
              <w:bottom w:val="nil"/>
            </w:tcBorders>
            <w:shd w:val="clear" w:color="auto" w:fill="FFFFFF"/>
          </w:tcPr>
          <w:p w14:paraId="7188D7A5" w14:textId="77777777" w:rsidR="00451A38" w:rsidRDefault="00451A38" w:rsidP="00507B47">
            <w:pPr>
              <w:pStyle w:val="CETBodytext"/>
              <w:ind w:right="-1"/>
              <w:rPr>
                <w:rFonts w:cs="Arial"/>
                <w:szCs w:val="18"/>
                <w:lang w:val="en-GB"/>
              </w:rPr>
            </w:pPr>
          </w:p>
        </w:tc>
        <w:tc>
          <w:tcPr>
            <w:tcW w:w="885" w:type="pct"/>
            <w:tcBorders>
              <w:top w:val="nil"/>
              <w:bottom w:val="nil"/>
            </w:tcBorders>
            <w:shd w:val="clear" w:color="auto" w:fill="FFFFFF"/>
          </w:tcPr>
          <w:p w14:paraId="29C5C9C2" w14:textId="77777777" w:rsidR="00451A38" w:rsidRDefault="00451A38" w:rsidP="00507B47">
            <w:pPr>
              <w:pStyle w:val="CETBodytext"/>
              <w:ind w:right="-1"/>
              <w:rPr>
                <w:rFonts w:cs="Arial"/>
                <w:szCs w:val="18"/>
                <w:lang w:val="en-GB"/>
              </w:rPr>
            </w:pPr>
          </w:p>
        </w:tc>
        <w:tc>
          <w:tcPr>
            <w:tcW w:w="888" w:type="pct"/>
            <w:tcBorders>
              <w:top w:val="nil"/>
              <w:bottom w:val="nil"/>
            </w:tcBorders>
            <w:shd w:val="clear" w:color="auto" w:fill="FFFFFF"/>
          </w:tcPr>
          <w:p w14:paraId="23D9D1D9" w14:textId="27E9C853" w:rsidR="00451A38" w:rsidRDefault="00451A38" w:rsidP="00451A38">
            <w:pPr>
              <w:pStyle w:val="CETBodytext"/>
              <w:ind w:right="-1"/>
              <w:rPr>
                <w:rFonts w:cs="Arial"/>
                <w:szCs w:val="18"/>
                <w:lang w:val="en-GB"/>
              </w:rPr>
            </w:pPr>
            <w:r w:rsidRPr="00224E69">
              <w:t>0</w:t>
            </w:r>
            <w:r w:rsidR="001C550D">
              <w:t>.</w:t>
            </w:r>
            <w:r w:rsidR="00D56BA8">
              <w:t xml:space="preserve">55 – </w:t>
            </w:r>
            <w:r w:rsidRPr="00224E69">
              <w:t>0</w:t>
            </w:r>
            <w:r w:rsidR="001C550D">
              <w:t>.</w:t>
            </w:r>
            <w:r w:rsidRPr="00224E69">
              <w:t>66</w:t>
            </w:r>
          </w:p>
        </w:tc>
        <w:tc>
          <w:tcPr>
            <w:tcW w:w="401" w:type="pct"/>
            <w:tcBorders>
              <w:top w:val="nil"/>
              <w:bottom w:val="nil"/>
            </w:tcBorders>
            <w:shd w:val="clear" w:color="auto" w:fill="FFFFFF"/>
          </w:tcPr>
          <w:p w14:paraId="483DEA40" w14:textId="45DE5662" w:rsidR="00451A38" w:rsidRDefault="00451A38" w:rsidP="00507B47">
            <w:pPr>
              <w:pStyle w:val="CETBodytext"/>
              <w:ind w:right="-1"/>
              <w:rPr>
                <w:rFonts w:cs="Arial"/>
                <w:szCs w:val="18"/>
                <w:lang w:val="en-GB"/>
              </w:rPr>
            </w:pPr>
            <w:r w:rsidRPr="007A36F8">
              <w:t>1</w:t>
            </w:r>
            <w:r w:rsidR="001C550D">
              <w:t>.</w:t>
            </w:r>
            <w:r w:rsidRPr="007A36F8">
              <w:t>66</w:t>
            </w:r>
          </w:p>
        </w:tc>
      </w:tr>
      <w:tr w:rsidR="009A1840" w:rsidRPr="00B57B36" w14:paraId="389D2CFC" w14:textId="0A507E9F" w:rsidTr="00D56BA8">
        <w:tc>
          <w:tcPr>
            <w:tcW w:w="1050" w:type="pct"/>
            <w:tcBorders>
              <w:top w:val="nil"/>
              <w:bottom w:val="nil"/>
            </w:tcBorders>
            <w:shd w:val="clear" w:color="auto" w:fill="FFFFFF"/>
          </w:tcPr>
          <w:p w14:paraId="1B00CE68" w14:textId="77777777" w:rsidR="00451A38" w:rsidRDefault="00451A38" w:rsidP="001D5A50">
            <w:pPr>
              <w:pStyle w:val="CETBodytext"/>
              <w:ind w:right="-1"/>
              <w:rPr>
                <w:rFonts w:cs="Arial"/>
                <w:szCs w:val="18"/>
                <w:lang w:val="en-GB"/>
              </w:rPr>
            </w:pPr>
          </w:p>
        </w:tc>
        <w:tc>
          <w:tcPr>
            <w:tcW w:w="886" w:type="pct"/>
            <w:tcBorders>
              <w:top w:val="nil"/>
              <w:bottom w:val="nil"/>
            </w:tcBorders>
            <w:shd w:val="clear" w:color="auto" w:fill="FFFFFF"/>
          </w:tcPr>
          <w:p w14:paraId="08FB239B" w14:textId="77777777" w:rsidR="00451A38" w:rsidRDefault="00451A38" w:rsidP="00507B47">
            <w:pPr>
              <w:pStyle w:val="CETBodytext"/>
              <w:ind w:right="-1"/>
              <w:rPr>
                <w:rFonts w:cs="Arial"/>
                <w:szCs w:val="18"/>
                <w:lang w:val="en-GB"/>
              </w:rPr>
            </w:pPr>
          </w:p>
        </w:tc>
        <w:tc>
          <w:tcPr>
            <w:tcW w:w="889" w:type="pct"/>
            <w:tcBorders>
              <w:top w:val="nil"/>
              <w:bottom w:val="nil"/>
            </w:tcBorders>
            <w:shd w:val="clear" w:color="auto" w:fill="FFFFFF"/>
          </w:tcPr>
          <w:p w14:paraId="2591B126" w14:textId="77777777" w:rsidR="00451A38" w:rsidRDefault="00451A38" w:rsidP="00507B47">
            <w:pPr>
              <w:pStyle w:val="CETBodytext"/>
              <w:ind w:right="-1"/>
              <w:rPr>
                <w:rFonts w:cs="Arial"/>
                <w:szCs w:val="18"/>
                <w:lang w:val="en-GB"/>
              </w:rPr>
            </w:pPr>
          </w:p>
        </w:tc>
        <w:tc>
          <w:tcPr>
            <w:tcW w:w="885" w:type="pct"/>
            <w:tcBorders>
              <w:top w:val="nil"/>
              <w:bottom w:val="nil"/>
            </w:tcBorders>
            <w:shd w:val="clear" w:color="auto" w:fill="FFFFFF"/>
          </w:tcPr>
          <w:p w14:paraId="6145CF5A" w14:textId="77777777" w:rsidR="00451A38" w:rsidRDefault="00451A38" w:rsidP="00507B47">
            <w:pPr>
              <w:pStyle w:val="CETBodytext"/>
              <w:ind w:right="-1"/>
              <w:rPr>
                <w:rFonts w:cs="Arial"/>
                <w:szCs w:val="18"/>
                <w:lang w:val="en-GB"/>
              </w:rPr>
            </w:pPr>
          </w:p>
        </w:tc>
        <w:tc>
          <w:tcPr>
            <w:tcW w:w="888" w:type="pct"/>
            <w:tcBorders>
              <w:top w:val="nil"/>
              <w:bottom w:val="nil"/>
            </w:tcBorders>
            <w:shd w:val="clear" w:color="auto" w:fill="FFFFFF"/>
          </w:tcPr>
          <w:p w14:paraId="4E3093A6" w14:textId="7D28FC21" w:rsidR="00451A38" w:rsidRDefault="00451A38" w:rsidP="00451A38">
            <w:pPr>
              <w:pStyle w:val="CETBodytext"/>
              <w:ind w:right="-1"/>
              <w:rPr>
                <w:rFonts w:cs="Arial"/>
                <w:szCs w:val="18"/>
                <w:lang w:val="en-GB"/>
              </w:rPr>
            </w:pPr>
            <w:r w:rsidRPr="00224E69">
              <w:t>0</w:t>
            </w:r>
            <w:r w:rsidR="001C550D">
              <w:t>.</w:t>
            </w:r>
            <w:r w:rsidR="00D56BA8">
              <w:t xml:space="preserve">66 – </w:t>
            </w:r>
            <w:r w:rsidRPr="00224E69">
              <w:t>0</w:t>
            </w:r>
            <w:r w:rsidR="001C550D">
              <w:t>.</w:t>
            </w:r>
            <w:r w:rsidRPr="00224E69">
              <w:t>78</w:t>
            </w:r>
          </w:p>
        </w:tc>
        <w:tc>
          <w:tcPr>
            <w:tcW w:w="401" w:type="pct"/>
            <w:tcBorders>
              <w:top w:val="nil"/>
              <w:bottom w:val="nil"/>
            </w:tcBorders>
            <w:shd w:val="clear" w:color="auto" w:fill="FFFFFF"/>
          </w:tcPr>
          <w:p w14:paraId="4D165B19" w14:textId="35560DCB" w:rsidR="00451A38" w:rsidRDefault="00451A38" w:rsidP="00507B47">
            <w:pPr>
              <w:pStyle w:val="CETBodytext"/>
              <w:ind w:right="-1"/>
              <w:rPr>
                <w:rFonts w:cs="Arial"/>
                <w:szCs w:val="18"/>
                <w:lang w:val="en-GB"/>
              </w:rPr>
            </w:pPr>
            <w:r w:rsidRPr="007A36F8">
              <w:t>0</w:t>
            </w:r>
            <w:r w:rsidR="001C550D">
              <w:t>.</w:t>
            </w:r>
            <w:r w:rsidRPr="007A36F8">
              <w:t>81</w:t>
            </w:r>
          </w:p>
        </w:tc>
      </w:tr>
      <w:tr w:rsidR="009A1840" w:rsidRPr="00B57B36" w14:paraId="60380BA7" w14:textId="6DB1B6E7" w:rsidTr="00D56BA8">
        <w:tc>
          <w:tcPr>
            <w:tcW w:w="1050" w:type="pct"/>
            <w:tcBorders>
              <w:top w:val="nil"/>
            </w:tcBorders>
            <w:shd w:val="clear" w:color="auto" w:fill="FFFFFF"/>
          </w:tcPr>
          <w:p w14:paraId="47D6F950" w14:textId="77777777" w:rsidR="00451A38" w:rsidRDefault="00451A38" w:rsidP="001D5A50">
            <w:pPr>
              <w:pStyle w:val="CETBodytext"/>
              <w:ind w:right="-1"/>
              <w:rPr>
                <w:rFonts w:cs="Arial"/>
                <w:szCs w:val="18"/>
                <w:lang w:val="en-GB"/>
              </w:rPr>
            </w:pPr>
          </w:p>
        </w:tc>
        <w:tc>
          <w:tcPr>
            <w:tcW w:w="886" w:type="pct"/>
            <w:tcBorders>
              <w:top w:val="nil"/>
            </w:tcBorders>
            <w:shd w:val="clear" w:color="auto" w:fill="FFFFFF"/>
          </w:tcPr>
          <w:p w14:paraId="1D276049" w14:textId="77777777" w:rsidR="00451A38" w:rsidRDefault="00451A38" w:rsidP="00507B47">
            <w:pPr>
              <w:pStyle w:val="CETBodytext"/>
              <w:ind w:right="-1"/>
              <w:rPr>
                <w:rFonts w:cs="Arial"/>
                <w:szCs w:val="18"/>
                <w:lang w:val="en-GB"/>
              </w:rPr>
            </w:pPr>
          </w:p>
        </w:tc>
        <w:tc>
          <w:tcPr>
            <w:tcW w:w="889" w:type="pct"/>
            <w:tcBorders>
              <w:top w:val="nil"/>
            </w:tcBorders>
            <w:shd w:val="clear" w:color="auto" w:fill="FFFFFF"/>
          </w:tcPr>
          <w:p w14:paraId="0AA58B6B" w14:textId="77777777" w:rsidR="00451A38" w:rsidRDefault="00451A38" w:rsidP="00507B47">
            <w:pPr>
              <w:pStyle w:val="CETBodytext"/>
              <w:ind w:right="-1"/>
              <w:rPr>
                <w:rFonts w:cs="Arial"/>
                <w:szCs w:val="18"/>
                <w:lang w:val="en-GB"/>
              </w:rPr>
            </w:pPr>
          </w:p>
        </w:tc>
        <w:tc>
          <w:tcPr>
            <w:tcW w:w="885" w:type="pct"/>
            <w:tcBorders>
              <w:top w:val="nil"/>
            </w:tcBorders>
            <w:shd w:val="clear" w:color="auto" w:fill="FFFFFF"/>
          </w:tcPr>
          <w:p w14:paraId="0BE23282" w14:textId="77777777" w:rsidR="00451A38" w:rsidRDefault="00451A38" w:rsidP="00507B47">
            <w:pPr>
              <w:pStyle w:val="CETBodytext"/>
              <w:ind w:right="-1"/>
              <w:rPr>
                <w:rFonts w:cs="Arial"/>
                <w:szCs w:val="18"/>
                <w:lang w:val="en-GB"/>
              </w:rPr>
            </w:pPr>
          </w:p>
        </w:tc>
        <w:tc>
          <w:tcPr>
            <w:tcW w:w="888" w:type="pct"/>
            <w:tcBorders>
              <w:top w:val="nil"/>
            </w:tcBorders>
            <w:shd w:val="clear" w:color="auto" w:fill="FFFFFF"/>
          </w:tcPr>
          <w:p w14:paraId="7FB86643" w14:textId="350B3743" w:rsidR="00451A38" w:rsidRDefault="00451A38" w:rsidP="00451A38">
            <w:pPr>
              <w:pStyle w:val="CETBodytext"/>
              <w:ind w:right="-1"/>
              <w:rPr>
                <w:rFonts w:cs="Arial"/>
                <w:szCs w:val="18"/>
                <w:lang w:val="en-GB"/>
              </w:rPr>
            </w:pPr>
            <w:r w:rsidRPr="00224E69">
              <w:t>0</w:t>
            </w:r>
            <w:r w:rsidR="001C550D">
              <w:t>.</w:t>
            </w:r>
            <w:r w:rsidR="00D56BA8">
              <w:t xml:space="preserve">78 – </w:t>
            </w:r>
            <w:r w:rsidRPr="00224E69">
              <w:t>1</w:t>
            </w:r>
            <w:r w:rsidR="001C550D">
              <w:t>.</w:t>
            </w:r>
            <w:r w:rsidRPr="00224E69">
              <w:t>02</w:t>
            </w:r>
          </w:p>
        </w:tc>
        <w:tc>
          <w:tcPr>
            <w:tcW w:w="401" w:type="pct"/>
            <w:tcBorders>
              <w:top w:val="nil"/>
            </w:tcBorders>
            <w:shd w:val="clear" w:color="auto" w:fill="FFFFFF"/>
          </w:tcPr>
          <w:p w14:paraId="55C2C08A" w14:textId="7F93658F" w:rsidR="00451A38" w:rsidRDefault="00451A38" w:rsidP="00507B47">
            <w:pPr>
              <w:pStyle w:val="CETBodytext"/>
              <w:ind w:right="-1"/>
              <w:rPr>
                <w:rFonts w:cs="Arial"/>
                <w:szCs w:val="18"/>
                <w:lang w:val="en-GB"/>
              </w:rPr>
            </w:pPr>
            <w:r w:rsidRPr="007A36F8">
              <w:t>2</w:t>
            </w:r>
            <w:r w:rsidR="001C550D">
              <w:t>.</w:t>
            </w:r>
            <w:r w:rsidRPr="007A36F8">
              <w:t>05</w:t>
            </w:r>
          </w:p>
        </w:tc>
      </w:tr>
    </w:tbl>
    <w:p w14:paraId="572C3209" w14:textId="77777777" w:rsidR="00711255" w:rsidRDefault="00711255" w:rsidP="00386C0B">
      <w:pPr>
        <w:pStyle w:val="CETBodytext"/>
      </w:pPr>
    </w:p>
    <w:p w14:paraId="737C9C00" w14:textId="77777777" w:rsidR="00711255" w:rsidRDefault="00711255" w:rsidP="00711255">
      <w:pPr>
        <w:pStyle w:val="CETBodytext"/>
      </w:pPr>
      <w:r>
        <w:rPr>
          <w:noProof/>
          <w:lang w:val="pt-BR" w:eastAsia="pt-BR"/>
        </w:rPr>
        <w:drawing>
          <wp:inline distT="0" distB="0" distL="0" distR="0" wp14:anchorId="6D5CF239" wp14:editId="09487F12">
            <wp:extent cx="4319517" cy="2988142"/>
            <wp:effectExtent l="0" t="0" r="0" b="0"/>
            <wp:docPr id="1484" name="Imagem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9517" cy="2988142"/>
                    </a:xfrm>
                    <a:prstGeom prst="rect">
                      <a:avLst/>
                    </a:prstGeom>
                    <a:noFill/>
                  </pic:spPr>
                </pic:pic>
              </a:graphicData>
            </a:graphic>
          </wp:inline>
        </w:drawing>
      </w:r>
    </w:p>
    <w:p w14:paraId="0E79AFE1" w14:textId="15CA57E6" w:rsidR="00711255" w:rsidRPr="00B57B36" w:rsidRDefault="00711255" w:rsidP="00711255">
      <w:pPr>
        <w:pStyle w:val="CETCaption"/>
      </w:pPr>
      <w:r>
        <w:t>Figure 2</w:t>
      </w:r>
      <w:r w:rsidRPr="00B57B36">
        <w:t xml:space="preserve">: </w:t>
      </w:r>
      <w:r w:rsidRPr="00BD3C74">
        <w:t>Py</w:t>
      </w:r>
      <w:r>
        <w:t>rolysis simulation flow diagram</w:t>
      </w:r>
    </w:p>
    <w:p w14:paraId="774C337A" w14:textId="257F1F98" w:rsidR="00386C0B" w:rsidRDefault="009947AA" w:rsidP="00386C0B">
      <w:pPr>
        <w:pStyle w:val="CETBodytext"/>
      </w:pPr>
      <w:proofErr w:type="gramStart"/>
      <w:r w:rsidRPr="00386C0B">
        <w:lastRenderedPageBreak/>
        <w:t>2</w:t>
      </w:r>
      <w:r w:rsidRPr="00453089">
        <w:rPr>
          <w:vertAlign w:val="superscript"/>
        </w:rPr>
        <w:t>3</w:t>
      </w:r>
      <w:proofErr w:type="gramEnd"/>
      <w:r>
        <w:t xml:space="preserve"> factorial design (sensitivity analysi</w:t>
      </w:r>
      <w:r w:rsidR="00386C0B" w:rsidRPr="00386C0B">
        <w:t xml:space="preserve">s </w:t>
      </w:r>
      <w:r w:rsidR="00386C0B">
        <w:t>–</w:t>
      </w:r>
      <w:r w:rsidR="00386C0B" w:rsidRPr="00386C0B">
        <w:t xml:space="preserve"> </w:t>
      </w:r>
      <w:r w:rsidR="00453089">
        <w:t xml:space="preserve">95.0 % </w:t>
      </w:r>
      <w:r w:rsidR="00386C0B" w:rsidRPr="00386C0B">
        <w:t>conf</w:t>
      </w:r>
      <w:r w:rsidR="00386C0B">
        <w:t>idence level</w:t>
      </w:r>
      <w:r w:rsidR="00D7760D">
        <w:t xml:space="preserve"> – </w:t>
      </w:r>
      <w:proofErr w:type="spellStart"/>
      <w:r w:rsidR="00D7760D" w:rsidRPr="00D7760D">
        <w:rPr>
          <w:i/>
        </w:rPr>
        <w:t>Statistica</w:t>
      </w:r>
      <w:proofErr w:type="spellEnd"/>
      <w:r w:rsidR="00D7760D" w:rsidRPr="00D7760D">
        <w:rPr>
          <w:i/>
        </w:rPr>
        <w:t xml:space="preserve"> 7.0</w:t>
      </w:r>
      <w:r w:rsidR="00453089">
        <w:t>)</w:t>
      </w:r>
      <w:r w:rsidR="008B726A">
        <w:t xml:space="preserve"> (Table 2</w:t>
      </w:r>
      <w:r w:rsidR="00386C0B" w:rsidRPr="00386C0B">
        <w:t>) was applied to evaluate the influence of temperature (T), pressure (P), and mois</w:t>
      </w:r>
      <w:r>
        <w:t xml:space="preserve">ture content (MC) on </w:t>
      </w:r>
      <w:r w:rsidR="00711255">
        <w:t>yield</w:t>
      </w:r>
      <w:r w:rsidR="001D3310" w:rsidRPr="001D3310">
        <w:t xml:space="preserve"> and product compositions</w:t>
      </w:r>
      <w:r w:rsidR="00386C0B" w:rsidRPr="00386C0B">
        <w:t>.</w:t>
      </w:r>
    </w:p>
    <w:p w14:paraId="415FC974" w14:textId="4904C43B" w:rsidR="00386C0B" w:rsidRPr="00B57B36" w:rsidRDefault="00E40E55" w:rsidP="00386C0B">
      <w:pPr>
        <w:pStyle w:val="CETTabletitle"/>
      </w:pPr>
      <w:r>
        <w:t>Table 2</w:t>
      </w:r>
      <w:r w:rsidR="00386C0B" w:rsidRPr="00B57B36">
        <w:t xml:space="preserve">: </w:t>
      </w:r>
      <w:r w:rsidR="00386C0B">
        <w:t>Operating conditions for sensitivity analysis and 2³ factor</w:t>
      </w:r>
      <w:r w:rsidR="008B726A">
        <w:t xml:space="preserve">ial </w:t>
      </w:r>
      <w:proofErr w:type="gramStart"/>
      <w:r w:rsidR="008B726A">
        <w:t>design</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851"/>
        <w:gridCol w:w="708"/>
      </w:tblGrid>
      <w:tr w:rsidR="00386C0B" w:rsidRPr="00B57B36" w14:paraId="3D8020B0" w14:textId="77777777" w:rsidTr="00905404">
        <w:tc>
          <w:tcPr>
            <w:tcW w:w="1843" w:type="dxa"/>
            <w:tcBorders>
              <w:top w:val="single" w:sz="12" w:space="0" w:color="008000"/>
              <w:bottom w:val="single" w:sz="6" w:space="0" w:color="008000"/>
            </w:tcBorders>
            <w:shd w:val="clear" w:color="auto" w:fill="FFFFFF"/>
          </w:tcPr>
          <w:p w14:paraId="12C043FB" w14:textId="77777777" w:rsidR="00386C0B" w:rsidRPr="00B57B36" w:rsidRDefault="00386C0B" w:rsidP="00AD4FF6">
            <w:pPr>
              <w:pStyle w:val="CETBodytext"/>
              <w:rPr>
                <w:lang w:val="en-GB"/>
              </w:rPr>
            </w:pPr>
            <w:r>
              <w:rPr>
                <w:lang w:val="en-GB"/>
              </w:rPr>
              <w:t>Parameter</w:t>
            </w:r>
            <w:r w:rsidRPr="00B57B36">
              <w:rPr>
                <w:lang w:val="en-GB"/>
              </w:rPr>
              <w:t xml:space="preserve"> </w:t>
            </w:r>
          </w:p>
        </w:tc>
        <w:tc>
          <w:tcPr>
            <w:tcW w:w="851" w:type="dxa"/>
            <w:tcBorders>
              <w:top w:val="single" w:sz="12" w:space="0" w:color="008000"/>
              <w:bottom w:val="single" w:sz="6" w:space="0" w:color="008000"/>
            </w:tcBorders>
            <w:shd w:val="clear" w:color="auto" w:fill="FFFFFF"/>
          </w:tcPr>
          <w:p w14:paraId="74FCA9AE" w14:textId="77777777" w:rsidR="00386C0B" w:rsidRPr="00B57B36" w:rsidRDefault="00386C0B" w:rsidP="00AD4FF6">
            <w:pPr>
              <w:pStyle w:val="CETBodytext"/>
              <w:rPr>
                <w:lang w:val="en-GB"/>
              </w:rPr>
            </w:pPr>
            <w:r>
              <w:rPr>
                <w:lang w:val="en-GB"/>
              </w:rPr>
              <w:t>Level -1</w:t>
            </w:r>
          </w:p>
        </w:tc>
        <w:tc>
          <w:tcPr>
            <w:tcW w:w="708" w:type="dxa"/>
            <w:tcBorders>
              <w:top w:val="single" w:sz="12" w:space="0" w:color="008000"/>
              <w:bottom w:val="single" w:sz="6" w:space="0" w:color="008000"/>
            </w:tcBorders>
            <w:shd w:val="clear" w:color="auto" w:fill="FFFFFF"/>
          </w:tcPr>
          <w:p w14:paraId="1C066C94" w14:textId="0EC76052" w:rsidR="00386C0B" w:rsidRDefault="00386C0B" w:rsidP="00AD4FF6">
            <w:pPr>
              <w:pStyle w:val="CETBodytext"/>
              <w:rPr>
                <w:lang w:val="en-GB"/>
              </w:rPr>
            </w:pPr>
            <w:r>
              <w:rPr>
                <w:lang w:val="en-GB"/>
              </w:rPr>
              <w:t>Level +1</w:t>
            </w:r>
          </w:p>
        </w:tc>
      </w:tr>
      <w:tr w:rsidR="00386C0B" w:rsidRPr="00B57B36" w14:paraId="2959B329" w14:textId="77777777" w:rsidTr="00905404">
        <w:tc>
          <w:tcPr>
            <w:tcW w:w="1843" w:type="dxa"/>
            <w:tcBorders>
              <w:bottom w:val="nil"/>
            </w:tcBorders>
            <w:shd w:val="clear" w:color="auto" w:fill="FFFFFF"/>
          </w:tcPr>
          <w:p w14:paraId="7772DF3E" w14:textId="77777777" w:rsidR="00386C0B" w:rsidRPr="00B57B36" w:rsidRDefault="00386C0B" w:rsidP="00AD4FF6">
            <w:pPr>
              <w:pStyle w:val="CETBodytext"/>
              <w:rPr>
                <w:lang w:val="en-GB"/>
              </w:rPr>
            </w:pPr>
            <w:r>
              <w:rPr>
                <w:lang w:val="en-GB"/>
              </w:rPr>
              <w:t>Temperature (°C)</w:t>
            </w:r>
          </w:p>
        </w:tc>
        <w:tc>
          <w:tcPr>
            <w:tcW w:w="851" w:type="dxa"/>
            <w:tcBorders>
              <w:bottom w:val="nil"/>
            </w:tcBorders>
            <w:shd w:val="clear" w:color="auto" w:fill="FFFFFF"/>
          </w:tcPr>
          <w:p w14:paraId="0CEB4F87" w14:textId="77777777" w:rsidR="00386C0B" w:rsidRPr="00B57B36" w:rsidRDefault="00386C0B" w:rsidP="00AD4FF6">
            <w:pPr>
              <w:pStyle w:val="CETBodytext"/>
              <w:rPr>
                <w:lang w:val="en-GB"/>
              </w:rPr>
            </w:pPr>
            <w:r>
              <w:rPr>
                <w:lang w:val="en-GB"/>
              </w:rPr>
              <w:t>250</w:t>
            </w:r>
          </w:p>
        </w:tc>
        <w:tc>
          <w:tcPr>
            <w:tcW w:w="708" w:type="dxa"/>
            <w:tcBorders>
              <w:bottom w:val="nil"/>
            </w:tcBorders>
            <w:shd w:val="clear" w:color="auto" w:fill="FFFFFF"/>
          </w:tcPr>
          <w:p w14:paraId="3A56A737" w14:textId="77777777" w:rsidR="00386C0B" w:rsidRDefault="00386C0B" w:rsidP="00AD4FF6">
            <w:pPr>
              <w:pStyle w:val="CETBodytext"/>
              <w:rPr>
                <w:lang w:val="en-GB"/>
              </w:rPr>
            </w:pPr>
            <w:r>
              <w:rPr>
                <w:lang w:val="en-GB"/>
              </w:rPr>
              <w:t>500</w:t>
            </w:r>
          </w:p>
        </w:tc>
      </w:tr>
      <w:tr w:rsidR="00386C0B" w:rsidRPr="00B57B36" w14:paraId="09EF061A" w14:textId="77777777" w:rsidTr="00905404">
        <w:tc>
          <w:tcPr>
            <w:tcW w:w="1843" w:type="dxa"/>
            <w:tcBorders>
              <w:top w:val="nil"/>
              <w:left w:val="nil"/>
              <w:bottom w:val="nil"/>
              <w:right w:val="nil"/>
            </w:tcBorders>
            <w:shd w:val="clear" w:color="auto" w:fill="FFFFFF"/>
          </w:tcPr>
          <w:p w14:paraId="713AFEFD" w14:textId="77777777" w:rsidR="00386C0B" w:rsidRPr="00B57B36" w:rsidRDefault="00386C0B" w:rsidP="00AD4FF6">
            <w:pPr>
              <w:pStyle w:val="CETBodytext"/>
              <w:ind w:right="-1"/>
              <w:rPr>
                <w:rFonts w:cs="Arial"/>
                <w:szCs w:val="18"/>
                <w:lang w:val="en-GB"/>
              </w:rPr>
            </w:pPr>
            <w:r>
              <w:rPr>
                <w:rFonts w:cs="Arial"/>
                <w:szCs w:val="18"/>
                <w:lang w:val="en-GB"/>
              </w:rPr>
              <w:t>Pressure (</w:t>
            </w:r>
            <w:proofErr w:type="spellStart"/>
            <w:r>
              <w:rPr>
                <w:rFonts w:cs="Arial"/>
                <w:szCs w:val="18"/>
                <w:lang w:val="en-GB"/>
              </w:rPr>
              <w:t>atm</w:t>
            </w:r>
            <w:proofErr w:type="spellEnd"/>
            <w:r>
              <w:rPr>
                <w:rFonts w:cs="Arial"/>
                <w:szCs w:val="18"/>
                <w:lang w:val="en-GB"/>
              </w:rPr>
              <w:t>)</w:t>
            </w:r>
          </w:p>
        </w:tc>
        <w:tc>
          <w:tcPr>
            <w:tcW w:w="851" w:type="dxa"/>
            <w:tcBorders>
              <w:top w:val="nil"/>
              <w:left w:val="nil"/>
              <w:bottom w:val="nil"/>
              <w:right w:val="nil"/>
            </w:tcBorders>
            <w:shd w:val="clear" w:color="auto" w:fill="FFFFFF"/>
          </w:tcPr>
          <w:p w14:paraId="7F551A9B" w14:textId="77777777" w:rsidR="00386C0B" w:rsidRPr="00B57B36" w:rsidRDefault="00386C0B" w:rsidP="00AD4FF6">
            <w:pPr>
              <w:pStyle w:val="CETBodytext"/>
              <w:ind w:right="-1"/>
              <w:rPr>
                <w:rFonts w:cs="Arial"/>
                <w:szCs w:val="18"/>
                <w:lang w:val="en-GB"/>
              </w:rPr>
            </w:pPr>
            <w:r>
              <w:rPr>
                <w:rFonts w:cs="Arial"/>
                <w:szCs w:val="18"/>
                <w:lang w:val="en-GB"/>
              </w:rPr>
              <w:t>1</w:t>
            </w:r>
          </w:p>
        </w:tc>
        <w:tc>
          <w:tcPr>
            <w:tcW w:w="708" w:type="dxa"/>
            <w:tcBorders>
              <w:top w:val="nil"/>
              <w:left w:val="nil"/>
              <w:bottom w:val="nil"/>
              <w:right w:val="nil"/>
            </w:tcBorders>
            <w:shd w:val="clear" w:color="auto" w:fill="FFFFFF"/>
          </w:tcPr>
          <w:p w14:paraId="7EEA9F52" w14:textId="77777777" w:rsidR="00386C0B" w:rsidRDefault="00386C0B" w:rsidP="00AD4FF6">
            <w:pPr>
              <w:pStyle w:val="CETBodytext"/>
              <w:ind w:right="-1"/>
              <w:rPr>
                <w:rFonts w:cs="Arial"/>
                <w:szCs w:val="18"/>
                <w:lang w:val="en-GB"/>
              </w:rPr>
            </w:pPr>
            <w:r>
              <w:rPr>
                <w:rFonts w:cs="Arial"/>
                <w:szCs w:val="18"/>
                <w:lang w:val="en-GB"/>
              </w:rPr>
              <w:t>5</w:t>
            </w:r>
          </w:p>
        </w:tc>
      </w:tr>
      <w:tr w:rsidR="00386C0B" w:rsidRPr="00B57B36" w14:paraId="7AF70651" w14:textId="77777777" w:rsidTr="00905404">
        <w:tc>
          <w:tcPr>
            <w:tcW w:w="1843" w:type="dxa"/>
            <w:tcBorders>
              <w:top w:val="nil"/>
            </w:tcBorders>
            <w:shd w:val="clear" w:color="auto" w:fill="FFFFFF"/>
          </w:tcPr>
          <w:p w14:paraId="31C9C9EB" w14:textId="77777777" w:rsidR="00386C0B" w:rsidRDefault="00386C0B" w:rsidP="00AD4FF6">
            <w:pPr>
              <w:pStyle w:val="CETBodytext"/>
              <w:ind w:right="-1"/>
              <w:rPr>
                <w:rFonts w:cs="Arial"/>
                <w:szCs w:val="18"/>
                <w:lang w:val="en-GB"/>
              </w:rPr>
            </w:pPr>
            <w:r>
              <w:rPr>
                <w:rFonts w:cs="Arial"/>
                <w:szCs w:val="18"/>
                <w:lang w:val="en-GB"/>
              </w:rPr>
              <w:t>Moisture content (%)</w:t>
            </w:r>
          </w:p>
        </w:tc>
        <w:tc>
          <w:tcPr>
            <w:tcW w:w="851" w:type="dxa"/>
            <w:tcBorders>
              <w:top w:val="nil"/>
            </w:tcBorders>
            <w:shd w:val="clear" w:color="auto" w:fill="FFFFFF"/>
          </w:tcPr>
          <w:p w14:paraId="2554183C" w14:textId="77777777" w:rsidR="00386C0B" w:rsidRDefault="00386C0B" w:rsidP="00AD4FF6">
            <w:pPr>
              <w:pStyle w:val="CETBodytext"/>
              <w:ind w:right="-1"/>
              <w:rPr>
                <w:rFonts w:cs="Arial"/>
                <w:szCs w:val="18"/>
                <w:lang w:val="en-GB"/>
              </w:rPr>
            </w:pPr>
            <w:r>
              <w:rPr>
                <w:rFonts w:cs="Arial"/>
                <w:szCs w:val="18"/>
                <w:lang w:val="en-GB"/>
              </w:rPr>
              <w:t>10</w:t>
            </w:r>
          </w:p>
        </w:tc>
        <w:tc>
          <w:tcPr>
            <w:tcW w:w="708" w:type="dxa"/>
            <w:tcBorders>
              <w:top w:val="nil"/>
            </w:tcBorders>
            <w:shd w:val="clear" w:color="auto" w:fill="FFFFFF"/>
          </w:tcPr>
          <w:p w14:paraId="263283CD" w14:textId="77777777" w:rsidR="00386C0B" w:rsidRDefault="00386C0B" w:rsidP="00AD4FF6">
            <w:pPr>
              <w:pStyle w:val="CETBodytext"/>
              <w:ind w:right="-1"/>
              <w:rPr>
                <w:rFonts w:cs="Arial"/>
                <w:szCs w:val="18"/>
                <w:lang w:val="en-GB"/>
              </w:rPr>
            </w:pPr>
            <w:r>
              <w:rPr>
                <w:rFonts w:cs="Arial"/>
                <w:szCs w:val="18"/>
                <w:lang w:val="en-GB"/>
              </w:rPr>
              <w:t>25</w:t>
            </w:r>
          </w:p>
        </w:tc>
      </w:tr>
    </w:tbl>
    <w:p w14:paraId="71BA5020" w14:textId="77777777" w:rsidR="00905404" w:rsidRDefault="00905404" w:rsidP="00905404">
      <w:pPr>
        <w:pStyle w:val="CETBodytext"/>
      </w:pPr>
    </w:p>
    <w:p w14:paraId="6470AFD6" w14:textId="4BD33C68" w:rsidR="00CB2EB0" w:rsidRDefault="00CB2EB0" w:rsidP="00CB2EB0">
      <w:pPr>
        <w:pStyle w:val="CETBodytext"/>
      </w:pPr>
      <w:r w:rsidRPr="00CB2EB0">
        <w:t xml:space="preserve">The products yield </w:t>
      </w:r>
      <w:r w:rsidRPr="00B54CDB">
        <w:rPr>
          <w:noProof/>
        </w:rPr>
        <w:t>was calculated</w:t>
      </w:r>
      <w:r w:rsidRPr="00CB2EB0">
        <w:t xml:space="preserve"> according to </w:t>
      </w:r>
      <w:proofErr w:type="gramStart"/>
      <w:r w:rsidR="00582038" w:rsidRPr="001D7963">
        <w:rPr>
          <w:noProof/>
        </w:rPr>
        <w:t>Eq</w:t>
      </w:r>
      <w:r>
        <w:t>(</w:t>
      </w:r>
      <w:proofErr w:type="gramEnd"/>
      <w:r>
        <w:t>1).</w:t>
      </w:r>
    </w:p>
    <w:tbl>
      <w:tblPr>
        <w:tblW w:w="5000" w:type="pct"/>
        <w:tblLook w:val="04A0" w:firstRow="1" w:lastRow="0" w:firstColumn="1" w:lastColumn="0" w:noHBand="0" w:noVBand="1"/>
      </w:tblPr>
      <w:tblGrid>
        <w:gridCol w:w="8188"/>
        <w:gridCol w:w="815"/>
      </w:tblGrid>
      <w:tr w:rsidR="00582038" w:rsidRPr="00B57B36" w14:paraId="18310C35" w14:textId="77777777" w:rsidTr="003B5D0A">
        <w:tc>
          <w:tcPr>
            <w:tcW w:w="8188" w:type="dxa"/>
            <w:shd w:val="clear" w:color="auto" w:fill="auto"/>
            <w:vAlign w:val="center"/>
          </w:tcPr>
          <w:p w14:paraId="1BDA089A" w14:textId="24C5A77D" w:rsidR="00582038" w:rsidRPr="00582038" w:rsidRDefault="00582038" w:rsidP="00582038">
            <w:pPr>
              <w:pStyle w:val="CETEquation"/>
            </w:pPr>
            <m:oMathPara>
              <m:oMathParaPr>
                <m:jc m:val="left"/>
              </m:oMathParaPr>
              <m:oMath>
                <m:r>
                  <w:rPr>
                    <w:rFonts w:ascii="Cambria Math" w:hAnsi="Cambria Math"/>
                  </w:rPr>
                  <m:t>Products</m:t>
                </m:r>
                <m:r>
                  <m:rPr>
                    <m:sty m:val="p"/>
                  </m:rPr>
                  <w:rPr>
                    <w:rFonts w:ascii="Cambria Math" w:hAnsi="Cambria Math"/>
                  </w:rPr>
                  <m:t xml:space="preserve"> </m:t>
                </m:r>
                <m:r>
                  <w:rPr>
                    <w:rFonts w:ascii="Cambria Math" w:hAnsi="Cambria Math"/>
                  </w:rPr>
                  <m:t>Yield (%)</m:t>
                </m:r>
                <m:r>
                  <m:rPr>
                    <m:sty m:val="p"/>
                  </m:rPr>
                  <w:rPr>
                    <w:rFonts w:ascii="Cambria Math" w:hAnsi="Cambria Math"/>
                  </w:rPr>
                  <m:t>=</m:t>
                </m:r>
                <m:f>
                  <m:fPr>
                    <m:ctrlPr>
                      <w:rPr>
                        <w:rFonts w:ascii="Cambria Math" w:hAnsi="Cambria Math"/>
                      </w:rPr>
                    </m:ctrlPr>
                  </m:fPr>
                  <m:num>
                    <m:r>
                      <w:rPr>
                        <w:rFonts w:ascii="Cambria Math" w:hAnsi="Cambria Math"/>
                      </w:rPr>
                      <m:t>kg</m:t>
                    </m:r>
                    <m:r>
                      <m:rPr>
                        <m:sty m:val="p"/>
                      </m:rPr>
                      <w:rPr>
                        <w:rFonts w:ascii="Cambria Math" w:hAnsi="Cambria Math"/>
                      </w:rPr>
                      <m:t xml:space="preserve"> </m:t>
                    </m:r>
                    <m:r>
                      <w:rPr>
                        <w:rFonts w:ascii="Cambria Math" w:hAnsi="Cambria Math"/>
                      </w:rPr>
                      <m:t>product</m:t>
                    </m:r>
                  </m:num>
                  <m:den>
                    <m:r>
                      <w:rPr>
                        <w:rFonts w:ascii="Cambria Math" w:hAnsi="Cambria Math"/>
                      </w:rPr>
                      <m:t>kg</m:t>
                    </m:r>
                    <m:r>
                      <m:rPr>
                        <m:sty m:val="p"/>
                      </m:rPr>
                      <w:rPr>
                        <w:rFonts w:ascii="Cambria Math" w:hAnsi="Cambria Math"/>
                      </w:rPr>
                      <m:t xml:space="preserve"> </m:t>
                    </m:r>
                    <m:r>
                      <w:rPr>
                        <w:rFonts w:ascii="Cambria Math" w:hAnsi="Cambria Math"/>
                      </w:rPr>
                      <m:t>biomass</m:t>
                    </m:r>
                    <m:r>
                      <m:rPr>
                        <m:sty m:val="p"/>
                      </m:rPr>
                      <w:rPr>
                        <w:rFonts w:ascii="Cambria Math" w:hAnsi="Cambria Math"/>
                      </w:rPr>
                      <m:t>-</m:t>
                    </m:r>
                    <m:r>
                      <w:rPr>
                        <w:rFonts w:ascii="Cambria Math" w:hAnsi="Cambria Math"/>
                      </w:rPr>
                      <m:t>dry</m:t>
                    </m:r>
                    <m:r>
                      <m:rPr>
                        <m:sty m:val="p"/>
                      </m:rPr>
                      <w:rPr>
                        <w:rFonts w:ascii="Cambria Math" w:hAnsi="Cambria Math"/>
                      </w:rPr>
                      <m:t xml:space="preserve"> (10 %</m:t>
                    </m:r>
                    <m:r>
                      <w:rPr>
                        <w:rFonts w:ascii="Cambria Math" w:hAnsi="Cambria Math"/>
                      </w:rPr>
                      <m:t>wt</m:t>
                    </m:r>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r>
                      <m:rPr>
                        <m:sty m:val="p"/>
                      </m:rPr>
                      <w:rPr>
                        <w:rFonts w:ascii="Cambria Math" w:hAnsi="Cambria Math"/>
                      </w:rPr>
                      <m:t>)</m:t>
                    </m:r>
                  </m:den>
                </m:f>
              </m:oMath>
            </m:oMathPara>
          </w:p>
        </w:tc>
        <w:tc>
          <w:tcPr>
            <w:tcW w:w="815" w:type="dxa"/>
            <w:shd w:val="clear" w:color="auto" w:fill="auto"/>
            <w:vAlign w:val="center"/>
          </w:tcPr>
          <w:p w14:paraId="1688C66D" w14:textId="77777777" w:rsidR="00582038" w:rsidRPr="00B57B36" w:rsidRDefault="00582038" w:rsidP="003B5D0A">
            <w:pPr>
              <w:pStyle w:val="CETEquation"/>
              <w:jc w:val="right"/>
            </w:pPr>
            <w:r w:rsidRPr="00B57B36">
              <w:t>(1)</w:t>
            </w:r>
          </w:p>
        </w:tc>
      </w:tr>
    </w:tbl>
    <w:p w14:paraId="13A0E1D3" w14:textId="3487CB03" w:rsidR="00905404" w:rsidRDefault="000043BC" w:rsidP="004962FD">
      <w:pPr>
        <w:pStyle w:val="CETBodytext"/>
      </w:pPr>
      <w:r>
        <w:t xml:space="preserve">The </w:t>
      </w:r>
      <w:r w:rsidR="00905404" w:rsidRPr="00905404">
        <w:t>SEC (</w:t>
      </w:r>
      <w:proofErr w:type="spellStart"/>
      <w:r w:rsidR="00905404" w:rsidRPr="007D5171">
        <w:rPr>
          <w:i/>
        </w:rPr>
        <w:t>RStoic</w:t>
      </w:r>
      <w:proofErr w:type="spellEnd"/>
      <w:r w:rsidR="00905404" w:rsidRPr="00905404">
        <w:t>) and DRY-FLAS (</w:t>
      </w:r>
      <w:r w:rsidR="00905404" w:rsidRPr="007D5171">
        <w:rPr>
          <w:i/>
        </w:rPr>
        <w:t>FLASH2</w:t>
      </w:r>
      <w:r w:rsidR="00905404" w:rsidRPr="00905404">
        <w:t>) blocks</w:t>
      </w:r>
      <w:r>
        <w:t xml:space="preserve"> perform t</w:t>
      </w:r>
      <w:r w:rsidRPr="00905404">
        <w:t xml:space="preserve">he </w:t>
      </w:r>
      <w:r>
        <w:t>sugarcane bagasse drying</w:t>
      </w:r>
      <w:r w:rsidR="00905404" w:rsidRPr="00905404">
        <w:t xml:space="preserve">. </w:t>
      </w:r>
      <w:r w:rsidR="00711255">
        <w:t>SEC (</w:t>
      </w:r>
      <w:proofErr w:type="spellStart"/>
      <w:r w:rsidR="004962FD" w:rsidRPr="007D5171">
        <w:rPr>
          <w:i/>
        </w:rPr>
        <w:t>RStoic</w:t>
      </w:r>
      <w:proofErr w:type="spellEnd"/>
      <w:r w:rsidR="004962FD">
        <w:t xml:space="preserve"> block</w:t>
      </w:r>
      <w:r w:rsidR="00711255">
        <w:t xml:space="preserve">) </w:t>
      </w:r>
      <w:r w:rsidR="0078525A">
        <w:t xml:space="preserve">converts </w:t>
      </w:r>
      <w:r w:rsidR="007D5171">
        <w:t>part of bagasse</w:t>
      </w:r>
      <w:r w:rsidR="004962FD">
        <w:t xml:space="preserve"> in</w:t>
      </w:r>
      <w:r w:rsidR="0078525A">
        <w:t>to</w:t>
      </w:r>
      <w:r w:rsidR="004962FD">
        <w:t xml:space="preserve"> </w:t>
      </w:r>
      <w:r w:rsidR="004962FD" w:rsidRPr="00B54CDB">
        <w:rPr>
          <w:noProof/>
        </w:rPr>
        <w:t>water</w:t>
      </w:r>
      <w:r w:rsidR="004962FD">
        <w:t xml:space="preserve"> with a nitrogen stream (NITROGEN). </w:t>
      </w:r>
      <w:r w:rsidR="00FD2BAD">
        <w:t>T</w:t>
      </w:r>
      <w:r w:rsidR="00FD2BAD" w:rsidRPr="004962FD">
        <w:t>he</w:t>
      </w:r>
      <w:r w:rsidR="00FD2BAD">
        <w:t>n, DRY-FLAS removes the bagasse</w:t>
      </w:r>
      <w:r w:rsidR="00FD2BAD" w:rsidRPr="004962FD">
        <w:t xml:space="preserve"> moisture content and nitrogen (EXHAUST)</w:t>
      </w:r>
      <w:r w:rsidR="00FD2BAD">
        <w:t xml:space="preserve"> from IN-DRIER, producing</w:t>
      </w:r>
      <w:r w:rsidR="004962FD" w:rsidRPr="004962FD">
        <w:t xml:space="preserve"> dry b</w:t>
      </w:r>
      <w:r w:rsidR="00C40E31">
        <w:t>agasse (DRY-BIOM</w:t>
      </w:r>
      <w:r w:rsidR="004962FD" w:rsidRPr="004962FD">
        <w:t xml:space="preserve">). </w:t>
      </w:r>
      <w:r w:rsidR="004962FD">
        <w:t>W</w:t>
      </w:r>
      <w:r w:rsidR="00C40E31">
        <w:t>ET-BIOM</w:t>
      </w:r>
      <w:r w:rsidR="00711255">
        <w:t xml:space="preserve"> stream is 2 kg/h and</w:t>
      </w:r>
      <w:r w:rsidR="004962FD">
        <w:t xml:space="preserve"> NITROGEN is 10 kg/</w:t>
      </w:r>
      <w:r w:rsidR="004962FD" w:rsidRPr="004962FD">
        <w:t>h. The SEC block requires a Calculator block to remove the moisture present in the bagasse</w:t>
      </w:r>
      <w:r w:rsidR="007E40E0">
        <w:rPr>
          <w:noProof/>
        </w:rPr>
        <w:t xml:space="preserve">, </w:t>
      </w:r>
      <w:r w:rsidR="00801E65" w:rsidRPr="007E40E0">
        <w:rPr>
          <w:noProof/>
        </w:rPr>
        <w:t>described</w:t>
      </w:r>
      <w:r w:rsidR="00801E65">
        <w:t xml:space="preserve"> elsewhere (Aspen Tech, 2013)</w:t>
      </w:r>
      <w:r w:rsidR="004962FD" w:rsidRPr="004962FD">
        <w:t xml:space="preserve">. </w:t>
      </w:r>
      <w:r w:rsidR="004962FD">
        <w:t xml:space="preserve">Therefore, </w:t>
      </w:r>
      <w:r w:rsidR="001D7963">
        <w:t>the WATER calculator block</w:t>
      </w:r>
      <w:r w:rsidR="001D7963" w:rsidRPr="004962FD">
        <w:t xml:space="preserve"> </w:t>
      </w:r>
      <w:r w:rsidR="001D7963" w:rsidRPr="001D7963">
        <w:rPr>
          <w:noProof/>
        </w:rPr>
        <w:t>defined</w:t>
      </w:r>
      <w:r w:rsidR="001D7963" w:rsidRPr="004962FD">
        <w:t xml:space="preserve"> </w:t>
      </w:r>
      <w:r w:rsidR="001D7963">
        <w:t>the variables</w:t>
      </w:r>
      <w:r w:rsidR="004962FD" w:rsidRPr="004962FD">
        <w:t>.</w:t>
      </w:r>
      <w:r w:rsidR="004962FD">
        <w:t xml:space="preserve"> </w:t>
      </w:r>
      <w:r w:rsidR="00801E65">
        <w:t>The pyrolysis process us</w:t>
      </w:r>
      <w:r w:rsidR="00905404" w:rsidRPr="00905404">
        <w:t xml:space="preserve">es </w:t>
      </w:r>
      <w:r w:rsidR="00905404" w:rsidRPr="000772DB">
        <w:rPr>
          <w:noProof/>
        </w:rPr>
        <w:t>DECOMP</w:t>
      </w:r>
      <w:r w:rsidR="00905404" w:rsidRPr="00905404">
        <w:t xml:space="preserve">, CYCLONE, and BURN </w:t>
      </w:r>
      <w:r w:rsidR="00905404" w:rsidRPr="00B54CDB">
        <w:rPr>
          <w:noProof/>
        </w:rPr>
        <w:t>blocks</w:t>
      </w:r>
      <w:r w:rsidR="00905404" w:rsidRPr="00905404">
        <w:t xml:space="preserve">. </w:t>
      </w:r>
      <w:proofErr w:type="gramStart"/>
      <w:r w:rsidR="00AC0722">
        <w:t>DECOMP</w:t>
      </w:r>
      <w:proofErr w:type="gramEnd"/>
      <w:r w:rsidR="00AC0722">
        <w:t xml:space="preserve"> (</w:t>
      </w:r>
      <w:proofErr w:type="spellStart"/>
      <w:r w:rsidR="00AC0722" w:rsidRPr="00801E65">
        <w:rPr>
          <w:i/>
        </w:rPr>
        <w:t>RYield</w:t>
      </w:r>
      <w:proofErr w:type="spellEnd"/>
      <w:r w:rsidR="00AC0722" w:rsidRPr="00801E65">
        <w:rPr>
          <w:i/>
        </w:rPr>
        <w:t xml:space="preserve"> </w:t>
      </w:r>
      <w:r w:rsidR="00AC0722" w:rsidRPr="00801E65">
        <w:t>block</w:t>
      </w:r>
      <w:r w:rsidR="00AC0722">
        <w:t>) converts</w:t>
      </w:r>
      <w:r w:rsidR="00AC0722" w:rsidRPr="00AC0722">
        <w:t xml:space="preserve"> n</w:t>
      </w:r>
      <w:r w:rsidR="00711255">
        <w:t>on</w:t>
      </w:r>
      <w:r w:rsidR="00C40E31">
        <w:t>conventional DRY-BIOM</w:t>
      </w:r>
      <w:r w:rsidR="00801E65">
        <w:t xml:space="preserve"> stream</w:t>
      </w:r>
      <w:r w:rsidR="00AC0722" w:rsidRPr="00AC0722">
        <w:t xml:space="preserve"> into conventional comp</w:t>
      </w:r>
      <w:r w:rsidR="00801E65">
        <w:t>onents (FEED). The</w:t>
      </w:r>
      <w:r w:rsidR="00AC0722" w:rsidRPr="00AC0722">
        <w:t xml:space="preserve"> </w:t>
      </w:r>
      <w:r w:rsidR="00AC0722" w:rsidRPr="00B54CDB">
        <w:rPr>
          <w:noProof/>
        </w:rPr>
        <w:t>DECOMP</w:t>
      </w:r>
      <w:r w:rsidR="00AC0722" w:rsidRPr="00AC0722">
        <w:t xml:space="preserve"> block con</w:t>
      </w:r>
      <w:r w:rsidR="00AC0722">
        <w:t>figured</w:t>
      </w:r>
      <w:r w:rsidR="00801E65">
        <w:t xml:space="preserve"> the yields</w:t>
      </w:r>
      <w:r w:rsidR="00AC0722">
        <w:t xml:space="preserve"> by a COMBUST calculator</w:t>
      </w:r>
      <w:r w:rsidR="00AC0722" w:rsidRPr="00AC0722">
        <w:t xml:space="preserve"> block, which u</w:t>
      </w:r>
      <w:r w:rsidR="00AC0722">
        <w:t xml:space="preserve">ses the results of the ultimate analysis </w:t>
      </w:r>
      <w:r w:rsidR="00AC0722" w:rsidRPr="00AC0722">
        <w:t>of</w:t>
      </w:r>
      <w:r w:rsidR="00AC0722">
        <w:t xml:space="preserve"> sugarcane bagasse (Table 1</w:t>
      </w:r>
      <w:r w:rsidR="00AC0722" w:rsidRPr="00AC0722">
        <w:t>). The next block, CYCLONE, separates the biochar from</w:t>
      </w:r>
      <w:r w:rsidR="00AC0722">
        <w:t xml:space="preserve"> the gases. The BURN block (</w:t>
      </w:r>
      <w:proofErr w:type="spellStart"/>
      <w:r w:rsidR="00AC0722" w:rsidRPr="00B54CDB">
        <w:rPr>
          <w:i/>
          <w:noProof/>
        </w:rPr>
        <w:t>RGibbs</w:t>
      </w:r>
      <w:proofErr w:type="spellEnd"/>
      <w:r w:rsidR="00AC0722" w:rsidRPr="00AC0722">
        <w:t xml:space="preserve"> block</w:t>
      </w:r>
      <w:r w:rsidR="00AC0722">
        <w:t>)</w:t>
      </w:r>
      <w:r w:rsidR="00AC0722" w:rsidRPr="00AC0722">
        <w:t xml:space="preserve"> performs the</w:t>
      </w:r>
      <w:r w:rsidR="00AC0722">
        <w:t xml:space="preserve"> pyrolysis of the BURN-IN</w:t>
      </w:r>
      <w:r w:rsidR="00AC0722" w:rsidRPr="00AC0722">
        <w:t>. The BURN bloc</w:t>
      </w:r>
      <w:r w:rsidR="00AC0722">
        <w:t xml:space="preserve">k produces the </w:t>
      </w:r>
      <w:proofErr w:type="gramStart"/>
      <w:r w:rsidR="00AC0722">
        <w:t>BURN-OUT</w:t>
      </w:r>
      <w:proofErr w:type="gramEnd"/>
      <w:r w:rsidR="00AC0722">
        <w:t xml:space="preserve"> stream</w:t>
      </w:r>
      <w:r w:rsidR="00AC0722" w:rsidRPr="00AC0722">
        <w:t xml:space="preserve">, which must enter </w:t>
      </w:r>
      <w:r w:rsidR="00711255" w:rsidRPr="00905404">
        <w:t>into the COOLER to recover liquids</w:t>
      </w:r>
      <w:r w:rsidR="00711255" w:rsidRPr="00AC0722">
        <w:t xml:space="preserve"> </w:t>
      </w:r>
      <w:r w:rsidR="00AC0722" w:rsidRPr="00AC0722">
        <w:t>by the condensation process. After cooling, the SEP b</w:t>
      </w:r>
      <w:r w:rsidR="00AC0722">
        <w:t>lock (</w:t>
      </w:r>
      <w:r w:rsidR="00AC0722" w:rsidRPr="00801E65">
        <w:rPr>
          <w:i/>
        </w:rPr>
        <w:t>FLASH2</w:t>
      </w:r>
      <w:r w:rsidR="00AC0722">
        <w:t xml:space="preserve">) separates </w:t>
      </w:r>
      <w:r w:rsidR="00AC0722" w:rsidRPr="00AC0722">
        <w:t>liquids (bio-oil) and gases.</w:t>
      </w:r>
    </w:p>
    <w:p w14:paraId="1E041B6B" w14:textId="77777777" w:rsidR="00905404" w:rsidRDefault="00905404" w:rsidP="00905404">
      <w:pPr>
        <w:pStyle w:val="CETHeading1"/>
      </w:pPr>
      <w:r>
        <w:t>Results and Discussion</w:t>
      </w:r>
    </w:p>
    <w:p w14:paraId="1E9CA174" w14:textId="43E436AF" w:rsidR="00905404" w:rsidRDefault="00905404" w:rsidP="00905404">
      <w:pPr>
        <w:pStyle w:val="CETBodytext"/>
      </w:pPr>
      <w:r w:rsidRPr="00905404">
        <w:t xml:space="preserve">Only the temperature was </w:t>
      </w:r>
      <w:r w:rsidR="000772DB">
        <w:t xml:space="preserve">a </w:t>
      </w:r>
      <w:r w:rsidRPr="000772DB">
        <w:rPr>
          <w:noProof/>
        </w:rPr>
        <w:t>significant</w:t>
      </w:r>
      <w:r w:rsidR="00E40E55">
        <w:t xml:space="preserve"> parameter</w:t>
      </w:r>
      <w:r w:rsidRPr="00905404">
        <w:t xml:space="preserve"> for</w:t>
      </w:r>
      <w:r w:rsidR="009947AA">
        <w:t xml:space="preserve"> </w:t>
      </w:r>
      <w:r w:rsidR="00E40E55">
        <w:t>products</w:t>
      </w:r>
      <w:r w:rsidR="009947AA">
        <w:t xml:space="preserve"> distribution for</w:t>
      </w:r>
      <w:r w:rsidRPr="00905404">
        <w:t xml:space="preserve"> the 95</w:t>
      </w:r>
      <w:r w:rsidR="00BB4137">
        <w:t xml:space="preserve"> % confidence interval (Figure 3</w:t>
      </w:r>
      <w:r w:rsidRPr="00905404">
        <w:t xml:space="preserve">). </w:t>
      </w:r>
      <w:r w:rsidR="0026068A">
        <w:t>Hi</w:t>
      </w:r>
      <w:r w:rsidR="00D404E9">
        <w:t xml:space="preserve">gh temperature (500 °C) </w:t>
      </w:r>
      <w:r w:rsidR="0026068A">
        <w:t>promote</w:t>
      </w:r>
      <w:r w:rsidR="00D404E9">
        <w:t>d gases over</w:t>
      </w:r>
      <w:r w:rsidR="0026068A">
        <w:t xml:space="preserve"> liquid</w:t>
      </w:r>
      <w:r w:rsidR="00D404E9">
        <w:t xml:space="preserve">s due to the reactions </w:t>
      </w:r>
      <w:r w:rsidR="0026068A">
        <w:t>affected by temperature</w:t>
      </w:r>
      <w:r w:rsidR="00AA5F97">
        <w:rPr>
          <w:lang w:val="pt-BR"/>
        </w:rPr>
        <w:t xml:space="preserve">: </w:t>
      </w:r>
      <w:r w:rsidR="00AA5F97" w:rsidRPr="00905404">
        <w:t>second</w:t>
      </w:r>
      <w:r w:rsidR="00AA5F97">
        <w:t xml:space="preserve">ary reactions of decomposition, </w:t>
      </w:r>
      <w:r w:rsidR="00AA5F97" w:rsidRPr="00905404">
        <w:t>reducing</w:t>
      </w:r>
      <w:r w:rsidR="00AA5F97">
        <w:t xml:space="preserve"> bio-oil and biochar yields (Akhtar and Amin, 2012)</w:t>
      </w:r>
      <w:r w:rsidR="0026068A">
        <w:t xml:space="preserve">. </w:t>
      </w:r>
      <w:r w:rsidR="000772DB" w:rsidRPr="000772DB">
        <w:rPr>
          <w:noProof/>
        </w:rPr>
        <w:t xml:space="preserve">However, if </w:t>
      </w:r>
      <w:r w:rsidR="0066787C" w:rsidRPr="000772DB">
        <w:rPr>
          <w:noProof/>
        </w:rPr>
        <w:t>combined</w:t>
      </w:r>
      <w:r w:rsidR="0066787C">
        <w:t xml:space="preserve"> with high pressure</w:t>
      </w:r>
      <w:r w:rsidR="00D404E9">
        <w:t xml:space="preserve"> (</w:t>
      </w:r>
      <w:proofErr w:type="gramStart"/>
      <w:r w:rsidR="00D404E9">
        <w:t>5</w:t>
      </w:r>
      <w:proofErr w:type="gramEnd"/>
      <w:r w:rsidR="00D404E9">
        <w:t xml:space="preserve"> </w:t>
      </w:r>
      <w:proofErr w:type="spellStart"/>
      <w:r w:rsidR="00D404E9">
        <w:t>atm</w:t>
      </w:r>
      <w:proofErr w:type="spellEnd"/>
      <w:r w:rsidR="00D404E9">
        <w:t>)</w:t>
      </w:r>
      <w:r w:rsidR="0066787C">
        <w:t xml:space="preserve">, it </w:t>
      </w:r>
      <w:r w:rsidR="00D404E9">
        <w:t>promotes</w:t>
      </w:r>
      <w:r w:rsidR="0066787C" w:rsidRPr="0066787C">
        <w:t xml:space="preserve"> liquid </w:t>
      </w:r>
      <w:r w:rsidR="00D404E9">
        <w:t>production</w:t>
      </w:r>
      <w:r w:rsidR="00AA5F97">
        <w:t xml:space="preserve"> while </w:t>
      </w:r>
      <w:r w:rsidR="0066787C">
        <w:t xml:space="preserve">combined with high moisture content </w:t>
      </w:r>
      <w:r w:rsidR="0066787C" w:rsidRPr="0066787C">
        <w:t>decrease</w:t>
      </w:r>
      <w:r w:rsidR="00AA5F97">
        <w:t xml:space="preserve">s </w:t>
      </w:r>
      <w:r w:rsidR="0066787C" w:rsidRPr="0066787C">
        <w:t>liquid yields.</w:t>
      </w:r>
      <w:r w:rsidRPr="00905404">
        <w:t xml:space="preserve"> </w:t>
      </w:r>
      <w:r w:rsidR="00AA5F97">
        <w:t>The last also happens for the combination of h</w:t>
      </w:r>
      <w:r w:rsidR="006601A8">
        <w:t>igh pressure with high moisture content.</w:t>
      </w:r>
    </w:p>
    <w:p w14:paraId="79EAA0D9" w14:textId="0471471D" w:rsidR="00905404" w:rsidRDefault="00AA5F97" w:rsidP="00905404">
      <w:pPr>
        <w:pStyle w:val="CETBodytext"/>
      </w:pPr>
      <w:r w:rsidRPr="00640711">
        <w:rPr>
          <w:rFonts w:cs="Arial"/>
          <w:b/>
          <w:noProof/>
          <w:lang w:val="pt-BR" w:eastAsia="pt-BR"/>
        </w:rPr>
        <mc:AlternateContent>
          <mc:Choice Requires="wps">
            <w:drawing>
              <wp:anchor distT="0" distB="0" distL="114300" distR="114300" simplePos="0" relativeHeight="251671552" behindDoc="0" locked="0" layoutInCell="1" allowOverlap="1" wp14:anchorId="344C046C" wp14:editId="15CEE921">
                <wp:simplePos x="0" y="0"/>
                <wp:positionH relativeFrom="column">
                  <wp:posOffset>-66675</wp:posOffset>
                </wp:positionH>
                <wp:positionV relativeFrom="paragraph">
                  <wp:posOffset>-3119</wp:posOffset>
                </wp:positionV>
                <wp:extent cx="374015" cy="284480"/>
                <wp:effectExtent l="0" t="0" r="0" b="127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4480"/>
                        </a:xfrm>
                        <a:prstGeom prst="rect">
                          <a:avLst/>
                        </a:prstGeom>
                        <a:noFill/>
                        <a:ln w="9525">
                          <a:noFill/>
                          <a:miter lim="800000"/>
                          <a:headEnd/>
                          <a:tailEnd/>
                        </a:ln>
                      </wps:spPr>
                      <wps:txbx>
                        <w:txbxContent>
                          <w:p w14:paraId="7744AC97" w14:textId="77777777" w:rsidR="00BA58A2" w:rsidRDefault="00BA58A2" w:rsidP="00BA58A2">
                            <w:pPr>
                              <w:pStyle w:val="CETBodytext"/>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5.25pt;margin-top:-.25pt;width:29.45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" filled="f" stroked="f">
                <v:textbox>
                  <w:txbxContent>
                    <w:p w14:paraId="7744AC97" w14:textId="77777777" w:rsidR="00BA58A2" w:rsidRDefault="00BA58A2" w:rsidP="00BA58A2">
                      <w:pPr>
                        <w:pStyle w:val="CETBodytext"/>
                      </w:pPr>
                      <w:r>
                        <w:t>(a)</w:t>
                      </w:r>
                    </w:p>
                  </w:txbxContent>
                </v:textbox>
              </v:shape>
            </w:pict>
          </mc:Fallback>
        </mc:AlternateContent>
      </w:r>
      <w:r w:rsidRPr="00640711">
        <w:rPr>
          <w:rFonts w:cs="Arial"/>
          <w:b/>
          <w:noProof/>
          <w:lang w:val="pt-BR" w:eastAsia="pt-BR"/>
        </w:rPr>
        <mc:AlternateContent>
          <mc:Choice Requires="wps">
            <w:drawing>
              <wp:anchor distT="0" distB="0" distL="114300" distR="114300" simplePos="0" relativeHeight="251673600" behindDoc="0" locked="0" layoutInCell="1" allowOverlap="1" wp14:anchorId="6A2D712F" wp14:editId="08C1DDE8">
                <wp:simplePos x="0" y="0"/>
                <wp:positionH relativeFrom="column">
                  <wp:posOffset>2732405</wp:posOffset>
                </wp:positionH>
                <wp:positionV relativeFrom="paragraph">
                  <wp:posOffset>691</wp:posOffset>
                </wp:positionV>
                <wp:extent cx="374015" cy="284480"/>
                <wp:effectExtent l="0" t="0" r="0" b="127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4480"/>
                        </a:xfrm>
                        <a:prstGeom prst="rect">
                          <a:avLst/>
                        </a:prstGeom>
                        <a:noFill/>
                        <a:ln w="9525">
                          <a:noFill/>
                          <a:miter lim="800000"/>
                          <a:headEnd/>
                          <a:tailEnd/>
                        </a:ln>
                      </wps:spPr>
                      <wps:txbx>
                        <w:txbxContent>
                          <w:p w14:paraId="31B18DE5" w14:textId="7909E604" w:rsidR="00BA58A2" w:rsidRDefault="00BA58A2" w:rsidP="00BA58A2">
                            <w:pPr>
                              <w:pStyle w:val="CETBodytext"/>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5.15pt;margin-top:.05pt;width:29.45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" filled="f" stroked="f">
                <v:textbox>
                  <w:txbxContent>
                    <w:p w14:paraId="31B18DE5" w14:textId="7909E604" w:rsidR="00BA58A2" w:rsidRDefault="00BA58A2" w:rsidP="00BA58A2">
                      <w:pPr>
                        <w:pStyle w:val="CETBodytext"/>
                      </w:pPr>
                      <w:r>
                        <w:t>(b)</w:t>
                      </w:r>
                    </w:p>
                  </w:txbxContent>
                </v:textbox>
              </v:shape>
            </w:pict>
          </mc:Fallback>
        </mc:AlternateContent>
      </w:r>
    </w:p>
    <w:p w14:paraId="3929B080" w14:textId="50FF87FD" w:rsidR="00905404" w:rsidRDefault="00905404" w:rsidP="007F6E4F">
      <w:pPr>
        <w:pStyle w:val="CETBodytext"/>
        <w:jc w:val="left"/>
      </w:pPr>
      <w:r>
        <w:rPr>
          <w:noProof/>
          <w:lang w:val="pt-BR" w:eastAsia="pt-BR"/>
        </w:rPr>
        <w:drawing>
          <wp:inline distT="0" distB="0" distL="0" distR="0" wp14:anchorId="41738DE9" wp14:editId="0917F5FF">
            <wp:extent cx="2766950" cy="1935677"/>
            <wp:effectExtent l="0" t="0" r="0" b="7620"/>
            <wp:docPr id="70" name="Imagem 7"/>
            <wp:cNvGraphicFramePr/>
            <a:graphic xmlns:a="http://schemas.openxmlformats.org/drawingml/2006/main">
              <a:graphicData uri="http://schemas.openxmlformats.org/drawingml/2006/picture">
                <pic:pic xmlns:pic="http://schemas.openxmlformats.org/drawingml/2006/picture">
                  <pic:nvPicPr>
                    <pic:cNvPr id="70" name="Imagem 7"/>
                    <pic:cNvPicPr/>
                  </pic:nvPicPr>
                  <pic:blipFill>
                    <a:blip r:embed="rId13" cstate="print"/>
                    <a:srcRect/>
                    <a:stretch>
                      <a:fillRect/>
                    </a:stretch>
                  </pic:blipFill>
                  <pic:spPr bwMode="auto">
                    <a:xfrm>
                      <a:off x="0" y="0"/>
                      <a:ext cx="2768638" cy="1936858"/>
                    </a:xfrm>
                    <a:prstGeom prst="rect">
                      <a:avLst/>
                    </a:prstGeom>
                    <a:noFill/>
                    <a:ln w="9525">
                      <a:noFill/>
                      <a:miter lim="800000"/>
                      <a:headEnd/>
                      <a:tailEnd/>
                    </a:ln>
                  </pic:spPr>
                </pic:pic>
              </a:graphicData>
            </a:graphic>
          </wp:inline>
        </w:drawing>
      </w:r>
      <w:r w:rsidR="00BA58A2">
        <w:rPr>
          <w:noProof/>
          <w:lang w:val="pt-BR" w:eastAsia="pt-BR"/>
        </w:rPr>
        <w:drawing>
          <wp:inline distT="0" distB="0" distL="0" distR="0" wp14:anchorId="79A671DE" wp14:editId="4CB9FDB8">
            <wp:extent cx="2768400" cy="1944952"/>
            <wp:effectExtent l="0" t="0" r="0" b="0"/>
            <wp:docPr id="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m 1"/>
                    <pic:cNvPicPr/>
                  </pic:nvPicPr>
                  <pic:blipFill>
                    <a:blip r:embed="rId14" cstate="print"/>
                    <a:srcRect/>
                    <a:stretch>
                      <a:fillRect/>
                    </a:stretch>
                  </pic:blipFill>
                  <pic:spPr bwMode="auto">
                    <a:xfrm>
                      <a:off x="0" y="0"/>
                      <a:ext cx="2768400" cy="1944952"/>
                    </a:xfrm>
                    <a:prstGeom prst="rect">
                      <a:avLst/>
                    </a:prstGeom>
                    <a:noFill/>
                    <a:ln w="9525">
                      <a:noFill/>
                      <a:miter lim="800000"/>
                      <a:headEnd/>
                      <a:tailEnd/>
                    </a:ln>
                  </pic:spPr>
                </pic:pic>
              </a:graphicData>
            </a:graphic>
          </wp:inline>
        </w:drawing>
      </w:r>
    </w:p>
    <w:p w14:paraId="0F64E828" w14:textId="29634F84" w:rsidR="00905404" w:rsidRDefault="00BB4137" w:rsidP="00905404">
      <w:pPr>
        <w:pStyle w:val="CETCaption"/>
      </w:pPr>
      <w:r>
        <w:t>Figure 3</w:t>
      </w:r>
      <w:r w:rsidR="00905404" w:rsidRPr="00B57B36">
        <w:t xml:space="preserve">: </w:t>
      </w:r>
      <w:r w:rsidR="00E40E55">
        <w:t>Pareto chart</w:t>
      </w:r>
      <w:r w:rsidR="00905404">
        <w:t xml:space="preserve"> of effects of 2³ factorial design </w:t>
      </w:r>
      <w:r w:rsidR="00BA58A2">
        <w:t>analyses</w:t>
      </w:r>
      <w:r w:rsidR="00BA023D">
        <w:t xml:space="preserve"> on</w:t>
      </w:r>
      <w:r w:rsidR="00BA58A2">
        <w:t xml:space="preserve"> (a)</w:t>
      </w:r>
      <w:r w:rsidR="00BA023D">
        <w:t xml:space="preserve"> liquids</w:t>
      </w:r>
      <w:r w:rsidR="00E40E55">
        <w:t xml:space="preserve"> </w:t>
      </w:r>
      <w:r w:rsidR="00BA58A2">
        <w:t xml:space="preserve">and (b) gas </w:t>
      </w:r>
      <w:r w:rsidR="00E40E55">
        <w:t>production</w:t>
      </w:r>
    </w:p>
    <w:p w14:paraId="2D2B0F37" w14:textId="51C0792E" w:rsidR="00905404" w:rsidRDefault="00AF28C5" w:rsidP="00905404">
      <w:pPr>
        <w:pStyle w:val="CETBodytext"/>
      </w:pPr>
      <w:r>
        <w:t xml:space="preserve">Since the simulation used an isothermal reactor, </w:t>
      </w:r>
      <w:r w:rsidRPr="00AF28C5">
        <w:t>the moisture content present in the biomass does not affect</w:t>
      </w:r>
      <w:r>
        <w:t xml:space="preserve"> the temperature of the reactor.</w:t>
      </w:r>
      <w:r w:rsidRPr="00AF28C5">
        <w:t xml:space="preserve"> </w:t>
      </w:r>
      <w:r w:rsidRPr="00B54CDB">
        <w:rPr>
          <w:noProof/>
        </w:rPr>
        <w:t>Consequently, there is a slight variation in the</w:t>
      </w:r>
      <w:r w:rsidRPr="00AF28C5">
        <w:t xml:space="preserve"> products yields.</w:t>
      </w:r>
      <w:r>
        <w:t xml:space="preserve"> </w:t>
      </w:r>
      <w:r w:rsidR="009A568D">
        <w:t>Therefore, temperature and pressure were the most influenced parameters to evaluate products distribution (liquid and gases). Then, the results demonstrated that h</w:t>
      </w:r>
      <w:r w:rsidR="009A568D" w:rsidRPr="00905404">
        <w:t>i</w:t>
      </w:r>
      <w:r w:rsidR="009A568D">
        <w:t xml:space="preserve">gh pressure by itself </w:t>
      </w:r>
      <w:r w:rsidR="00BB4137">
        <w:t>(Figure 3</w:t>
      </w:r>
      <w:r w:rsidR="009A568D">
        <w:t xml:space="preserve">) and its combination with </w:t>
      </w:r>
      <w:r w:rsidR="009A568D">
        <w:lastRenderedPageBreak/>
        <w:t>moderate temperature</w:t>
      </w:r>
      <w:r w:rsidR="009A568D" w:rsidRPr="00905404">
        <w:t xml:space="preserve"> </w:t>
      </w:r>
      <w:r w:rsidR="009A568D">
        <w:t xml:space="preserve">are the best options when liquids are desired </w:t>
      </w:r>
      <w:r w:rsidR="00BB4137">
        <w:t>(Figure 4</w:t>
      </w:r>
      <w:r w:rsidR="009A568D" w:rsidRPr="00905404">
        <w:t>a)</w:t>
      </w:r>
      <w:r w:rsidR="00905404" w:rsidRPr="00905404">
        <w:t xml:space="preserve">. </w:t>
      </w:r>
      <w:r w:rsidR="0099738D">
        <w:t xml:space="preserve">Consequently, the opposite </w:t>
      </w:r>
      <w:r w:rsidR="000772DB">
        <w:rPr>
          <w:noProof/>
        </w:rPr>
        <w:t>of</w:t>
      </w:r>
      <w:r w:rsidR="0099738D">
        <w:t xml:space="preserve"> both parameters promotes gases production </w:t>
      </w:r>
      <w:r w:rsidR="00BB4137">
        <w:t>(Figure 4</w:t>
      </w:r>
      <w:r w:rsidR="00905404" w:rsidRPr="00905404">
        <w:t>b).</w:t>
      </w:r>
    </w:p>
    <w:p w14:paraId="67F36BCC" w14:textId="77777777" w:rsidR="00905404" w:rsidRDefault="00905404" w:rsidP="00905404">
      <w:pPr>
        <w:pStyle w:val="CETBodytext"/>
      </w:pPr>
    </w:p>
    <w:p w14:paraId="007B6182" w14:textId="51697A92" w:rsidR="00905404" w:rsidRDefault="000A3F24" w:rsidP="00905404">
      <w:pPr>
        <w:pStyle w:val="CETBodytext"/>
      </w:pPr>
      <w:r w:rsidRPr="00640711">
        <w:rPr>
          <w:rFonts w:cs="Arial"/>
          <w:b/>
          <w:noProof/>
          <w:lang w:val="pt-BR" w:eastAsia="pt-BR"/>
        </w:rPr>
        <mc:AlternateContent>
          <mc:Choice Requires="wps">
            <w:drawing>
              <wp:anchor distT="0" distB="0" distL="114300" distR="114300" simplePos="0" relativeHeight="251667456" behindDoc="0" locked="0" layoutInCell="1" allowOverlap="1" wp14:anchorId="56EA19B9" wp14:editId="6DE9C03F">
                <wp:simplePos x="0" y="0"/>
                <wp:positionH relativeFrom="column">
                  <wp:posOffset>-1883</wp:posOffset>
                </wp:positionH>
                <wp:positionV relativeFrom="paragraph">
                  <wp:posOffset>-1883</wp:posOffset>
                </wp:positionV>
                <wp:extent cx="374015" cy="284480"/>
                <wp:effectExtent l="0" t="0" r="0" b="127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4480"/>
                        </a:xfrm>
                        <a:prstGeom prst="rect">
                          <a:avLst/>
                        </a:prstGeom>
                        <a:noFill/>
                        <a:ln w="9525">
                          <a:noFill/>
                          <a:miter lim="800000"/>
                          <a:headEnd/>
                          <a:tailEnd/>
                        </a:ln>
                      </wps:spPr>
                      <wps:txbx>
                        <w:txbxContent>
                          <w:p w14:paraId="19803EBE" w14:textId="77777777" w:rsidR="000A3F24" w:rsidRDefault="000A3F24" w:rsidP="000A3F24">
                            <w:pPr>
                              <w:pStyle w:val="CETBodytext"/>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15pt;width:29.4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" filled="f" stroked="f">
                <v:textbox>
                  <w:txbxContent>
                    <w:p w14:paraId="19803EBE" w14:textId="77777777" w:rsidR="000A3F24" w:rsidRDefault="000A3F24" w:rsidP="000A3F24">
                      <w:pPr>
                        <w:pStyle w:val="CETBodytext"/>
                      </w:pPr>
                      <w:r>
                        <w:t>(a)</w:t>
                      </w:r>
                    </w:p>
                  </w:txbxContent>
                </v:textbox>
              </v:shape>
            </w:pict>
          </mc:Fallback>
        </mc:AlternateContent>
      </w:r>
      <w:r w:rsidR="008D6220">
        <w:rPr>
          <w:noProof/>
          <w:lang w:val="pt-BR" w:eastAsia="pt-BR"/>
        </w:rPr>
        <w:drawing>
          <wp:inline distT="0" distB="0" distL="0" distR="0" wp14:anchorId="7744DCA6" wp14:editId="27D1C22B">
            <wp:extent cx="2515975" cy="2018806"/>
            <wp:effectExtent l="0" t="0" r="0" b="635"/>
            <wp:docPr id="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m 1"/>
                    <pic:cNvPicPr/>
                  </pic:nvPicPr>
                  <pic:blipFill>
                    <a:blip r:embed="rId15" cstate="print"/>
                    <a:srcRect/>
                    <a:stretch>
                      <a:fillRect/>
                    </a:stretch>
                  </pic:blipFill>
                  <pic:spPr bwMode="auto">
                    <a:xfrm>
                      <a:off x="0" y="0"/>
                      <a:ext cx="2515975" cy="2018806"/>
                    </a:xfrm>
                    <a:prstGeom prst="rect">
                      <a:avLst/>
                    </a:prstGeom>
                    <a:noFill/>
                    <a:ln w="9525">
                      <a:noFill/>
                      <a:miter lim="800000"/>
                      <a:headEnd/>
                      <a:tailEnd/>
                    </a:ln>
                  </pic:spPr>
                </pic:pic>
              </a:graphicData>
            </a:graphic>
          </wp:inline>
        </w:drawing>
      </w:r>
      <w:r w:rsidRPr="00640711">
        <w:rPr>
          <w:rFonts w:cs="Arial"/>
          <w:b/>
          <w:noProof/>
          <w:lang w:val="pt-BR" w:eastAsia="pt-BR"/>
        </w:rPr>
        <mc:AlternateContent>
          <mc:Choice Requires="wps">
            <w:drawing>
              <wp:anchor distT="0" distB="0" distL="114300" distR="114300" simplePos="0" relativeHeight="251669504" behindDoc="0" locked="0" layoutInCell="1" allowOverlap="1" wp14:anchorId="56901319" wp14:editId="70397AAC">
                <wp:simplePos x="0" y="0"/>
                <wp:positionH relativeFrom="column">
                  <wp:posOffset>2514038</wp:posOffset>
                </wp:positionH>
                <wp:positionV relativeFrom="paragraph">
                  <wp:posOffset>-1883</wp:posOffset>
                </wp:positionV>
                <wp:extent cx="374015" cy="284480"/>
                <wp:effectExtent l="0" t="0" r="0" b="127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4480"/>
                        </a:xfrm>
                        <a:prstGeom prst="rect">
                          <a:avLst/>
                        </a:prstGeom>
                        <a:noFill/>
                        <a:ln w="9525">
                          <a:noFill/>
                          <a:miter lim="800000"/>
                          <a:headEnd/>
                          <a:tailEnd/>
                        </a:ln>
                      </wps:spPr>
                      <wps:txbx>
                        <w:txbxContent>
                          <w:p w14:paraId="6325F50E" w14:textId="4C3E44D3" w:rsidR="000A3F24" w:rsidRDefault="000A3F24" w:rsidP="000A3F24">
                            <w:pPr>
                              <w:pStyle w:val="CETBodytext"/>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7.95pt;margin-top:-.15pt;width:29.4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" filled="f" stroked="f">
                <v:textbox>
                  <w:txbxContent>
                    <w:p w14:paraId="6325F50E" w14:textId="4C3E44D3" w:rsidR="000A3F24" w:rsidRDefault="000A3F24" w:rsidP="000A3F24">
                      <w:pPr>
                        <w:pStyle w:val="CETBodytext"/>
                      </w:pPr>
                      <w:r>
                        <w:t>(b)</w:t>
                      </w:r>
                    </w:p>
                  </w:txbxContent>
                </v:textbox>
              </v:shape>
            </w:pict>
          </mc:Fallback>
        </mc:AlternateContent>
      </w:r>
      <w:r w:rsidR="008D6220">
        <w:rPr>
          <w:noProof/>
          <w:lang w:val="pt-BR" w:eastAsia="pt-BR"/>
        </w:rPr>
        <w:drawing>
          <wp:inline distT="0" distB="0" distL="0" distR="0" wp14:anchorId="3512BAD2" wp14:editId="2A95E3E8">
            <wp:extent cx="2619126" cy="2019600"/>
            <wp:effectExtent l="0" t="0" r="0" b="0"/>
            <wp:docPr id="6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m 4"/>
                    <pic:cNvPicPr/>
                  </pic:nvPicPr>
                  <pic:blipFill rotWithShape="1">
                    <a:blip r:embed="rId16" cstate="print"/>
                    <a:srcRect l="8139"/>
                    <a:stretch/>
                  </pic:blipFill>
                  <pic:spPr bwMode="auto">
                    <a:xfrm>
                      <a:off x="0" y="0"/>
                      <a:ext cx="2619126"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18585706" w14:textId="1BAB95FD" w:rsidR="008D6220" w:rsidRDefault="00BB4137" w:rsidP="008D6220">
      <w:pPr>
        <w:pStyle w:val="CETCaption"/>
      </w:pPr>
      <w:r>
        <w:t>Figure 4</w:t>
      </w:r>
      <w:r w:rsidR="008D6220" w:rsidRPr="00B57B36">
        <w:t xml:space="preserve">: </w:t>
      </w:r>
      <w:r w:rsidR="008D6220" w:rsidRPr="008D6220">
        <w:t>Sur</w:t>
      </w:r>
      <w:r w:rsidR="0035469F">
        <w:t>face graphs of (a) liquid and (b) gas</w:t>
      </w:r>
      <w:r w:rsidR="00853152">
        <w:t xml:space="preserve"> yields</w:t>
      </w:r>
    </w:p>
    <w:p w14:paraId="100F4DC3" w14:textId="2592C54B" w:rsidR="008D6220" w:rsidRDefault="000772DB" w:rsidP="008D6220">
      <w:pPr>
        <w:pStyle w:val="CETBodytext"/>
      </w:pPr>
      <w:r>
        <w:rPr>
          <w:noProof/>
        </w:rPr>
        <w:t>The g</w:t>
      </w:r>
      <w:r w:rsidR="0035469F" w:rsidRPr="000772DB">
        <w:rPr>
          <w:noProof/>
        </w:rPr>
        <w:t>as</w:t>
      </w:r>
      <w:r w:rsidR="0035469F">
        <w:t xml:space="preserve"> yield</w:t>
      </w:r>
      <w:r w:rsidR="008D6220" w:rsidRPr="008D6220">
        <w:t xml:space="preserve"> was mo</w:t>
      </w:r>
      <w:r w:rsidR="00BB4137">
        <w:t>re than 70 % at 500 °C (Figure 5</w:t>
      </w:r>
      <w:r w:rsidR="008D6220" w:rsidRPr="008D6220">
        <w:t xml:space="preserve">a). The best </w:t>
      </w:r>
      <w:r w:rsidR="0035469F">
        <w:t>temperature</w:t>
      </w:r>
      <w:r w:rsidR="008D6220" w:rsidRPr="008D6220">
        <w:t xml:space="preserve"> for liquids</w:t>
      </w:r>
      <w:r w:rsidR="0035469F">
        <w:t xml:space="preserve"> production</w:t>
      </w:r>
      <w:r w:rsidR="008D6220" w:rsidRPr="008D6220">
        <w:t xml:space="preserve"> was 250 °C (</w:t>
      </w:r>
      <w:r w:rsidR="00C669FC">
        <w:t xml:space="preserve">more than </w:t>
      </w:r>
      <w:r w:rsidR="008D6220" w:rsidRPr="008D6220">
        <w:t xml:space="preserve">50 %). </w:t>
      </w:r>
      <w:r>
        <w:t>S</w:t>
      </w:r>
      <w:r w:rsidRPr="008D6220">
        <w:t xml:space="preserve">everal authors </w:t>
      </w:r>
      <w:r w:rsidRPr="000772DB">
        <w:rPr>
          <w:noProof/>
        </w:rPr>
        <w:t>also demonstrated</w:t>
      </w:r>
      <w:r w:rsidRPr="008D6220">
        <w:t xml:space="preserve"> </w:t>
      </w:r>
      <w:r>
        <w:t>the same behavior</w:t>
      </w:r>
      <w:r w:rsidR="008D6220" w:rsidRPr="008D6220">
        <w:t xml:space="preserve"> </w:t>
      </w:r>
      <w:r w:rsidR="00792BFC">
        <w:t>(Doherty et al., 2009); (</w:t>
      </w:r>
      <w:proofErr w:type="spellStart"/>
      <w:r w:rsidR="00792BFC">
        <w:t>Kan</w:t>
      </w:r>
      <w:proofErr w:type="spellEnd"/>
      <w:r w:rsidR="00792BFC">
        <w:t xml:space="preserve"> et al., 2016); (Li et al., 2007)</w:t>
      </w:r>
      <w:r w:rsidR="008D6220" w:rsidRPr="008D6220">
        <w:t>.</w:t>
      </w:r>
    </w:p>
    <w:p w14:paraId="3626E2E2" w14:textId="77777777" w:rsidR="008D6220" w:rsidRDefault="008D6220" w:rsidP="008D6220">
      <w:pPr>
        <w:pStyle w:val="CETBodytext"/>
      </w:pPr>
      <w:r w:rsidRPr="00640711">
        <w:rPr>
          <w:rFonts w:cs="Arial"/>
          <w:b/>
          <w:noProof/>
          <w:lang w:val="pt-BR" w:eastAsia="pt-BR"/>
        </w:rPr>
        <mc:AlternateContent>
          <mc:Choice Requires="wps">
            <w:drawing>
              <wp:anchor distT="0" distB="0" distL="114300" distR="114300" simplePos="0" relativeHeight="251659264" behindDoc="0" locked="0" layoutInCell="1" allowOverlap="1" wp14:anchorId="5354F80C" wp14:editId="7DBCCA1C">
                <wp:simplePos x="0" y="0"/>
                <wp:positionH relativeFrom="column">
                  <wp:posOffset>114688</wp:posOffset>
                </wp:positionH>
                <wp:positionV relativeFrom="paragraph">
                  <wp:posOffset>42545</wp:posOffset>
                </wp:positionV>
                <wp:extent cx="374015" cy="284480"/>
                <wp:effectExtent l="0" t="0" r="0" b="127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4480"/>
                        </a:xfrm>
                        <a:prstGeom prst="rect">
                          <a:avLst/>
                        </a:prstGeom>
                        <a:noFill/>
                        <a:ln w="9525">
                          <a:noFill/>
                          <a:miter lim="800000"/>
                          <a:headEnd/>
                          <a:tailEnd/>
                        </a:ln>
                      </wps:spPr>
                      <wps:txbx>
                        <w:txbxContent>
                          <w:p w14:paraId="17CFAA3D" w14:textId="77777777" w:rsidR="008D6220" w:rsidRDefault="008D6220" w:rsidP="008D6220">
                            <w:pPr>
                              <w:pStyle w:val="CETBodytext"/>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05pt;margin-top:3.35pt;width:29.4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" filled="f" stroked="f">
                <v:textbox>
                  <w:txbxContent>
                    <w:p w14:paraId="17CFAA3D" w14:textId="77777777" w:rsidR="008D6220" w:rsidRDefault="008D6220" w:rsidP="008D6220">
                      <w:pPr>
                        <w:pStyle w:val="CETBodytext"/>
                      </w:pPr>
                      <w:r>
                        <w:t>(a)</w:t>
                      </w:r>
                    </w:p>
                  </w:txbxContent>
                </v:textbox>
              </v:shape>
            </w:pict>
          </mc:Fallback>
        </mc:AlternateContent>
      </w:r>
      <w:r w:rsidRPr="00640711">
        <w:rPr>
          <w:rFonts w:cs="Arial"/>
          <w:b/>
          <w:noProof/>
          <w:lang w:val="pt-BR" w:eastAsia="pt-BR"/>
        </w:rPr>
        <mc:AlternateContent>
          <mc:Choice Requires="wps">
            <w:drawing>
              <wp:anchor distT="0" distB="0" distL="114300" distR="114300" simplePos="0" relativeHeight="251661312" behindDoc="0" locked="0" layoutInCell="1" allowOverlap="1" wp14:anchorId="4EA287A3" wp14:editId="4C3A4E9B">
                <wp:simplePos x="0" y="0"/>
                <wp:positionH relativeFrom="column">
                  <wp:posOffset>2860428</wp:posOffset>
                </wp:positionH>
                <wp:positionV relativeFrom="paragraph">
                  <wp:posOffset>41910</wp:posOffset>
                </wp:positionV>
                <wp:extent cx="374015" cy="284480"/>
                <wp:effectExtent l="0" t="0" r="0" b="127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4480"/>
                        </a:xfrm>
                        <a:prstGeom prst="rect">
                          <a:avLst/>
                        </a:prstGeom>
                        <a:noFill/>
                        <a:ln w="9525">
                          <a:noFill/>
                          <a:miter lim="800000"/>
                          <a:headEnd/>
                          <a:tailEnd/>
                        </a:ln>
                      </wps:spPr>
                      <wps:txbx>
                        <w:txbxContent>
                          <w:p w14:paraId="08FA0EFA" w14:textId="77777777" w:rsidR="008D6220" w:rsidRDefault="008D6220" w:rsidP="008D6220">
                            <w:pPr>
                              <w:pStyle w:val="CETBodytext"/>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5.25pt;margin-top:3.3pt;width:29.4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" filled="f" stroked="f">
                <v:textbox>
                  <w:txbxContent>
                    <w:p w14:paraId="08FA0EFA" w14:textId="77777777" w:rsidR="008D6220" w:rsidRDefault="008D6220" w:rsidP="008D6220">
                      <w:pPr>
                        <w:pStyle w:val="CETBodytext"/>
                      </w:pPr>
                      <w:r>
                        <w:t>(b)</w:t>
                      </w:r>
                    </w:p>
                  </w:txbxContent>
                </v:textbox>
              </v:shape>
            </w:pict>
          </mc:Fallback>
        </mc:AlternateContent>
      </w:r>
    </w:p>
    <w:p w14:paraId="0CDABA4E" w14:textId="77777777" w:rsidR="008D6220" w:rsidRDefault="008D6220" w:rsidP="008D6220">
      <w:pPr>
        <w:pStyle w:val="CETBodytext"/>
      </w:pPr>
      <w:r w:rsidRPr="00640711">
        <w:rPr>
          <w:rFonts w:cs="Arial"/>
          <w:b/>
          <w:noProof/>
          <w:lang w:val="pt-BR" w:eastAsia="pt-BR"/>
        </w:rPr>
        <mc:AlternateContent>
          <mc:Choice Requires="wps">
            <w:drawing>
              <wp:anchor distT="0" distB="0" distL="114300" distR="114300" simplePos="0" relativeHeight="251665408" behindDoc="0" locked="0" layoutInCell="1" allowOverlap="1" wp14:anchorId="73E67AB4" wp14:editId="6BFE48E5">
                <wp:simplePos x="0" y="0"/>
                <wp:positionH relativeFrom="column">
                  <wp:posOffset>2858770</wp:posOffset>
                </wp:positionH>
                <wp:positionV relativeFrom="paragraph">
                  <wp:posOffset>1616710</wp:posOffset>
                </wp:positionV>
                <wp:extent cx="374015" cy="284480"/>
                <wp:effectExtent l="0" t="0" r="0" b="127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4480"/>
                        </a:xfrm>
                        <a:prstGeom prst="rect">
                          <a:avLst/>
                        </a:prstGeom>
                        <a:noFill/>
                        <a:ln w="9525">
                          <a:noFill/>
                          <a:miter lim="800000"/>
                          <a:headEnd/>
                          <a:tailEnd/>
                        </a:ln>
                      </wps:spPr>
                      <wps:txbx>
                        <w:txbxContent>
                          <w:p w14:paraId="08AE7B7E" w14:textId="77777777" w:rsidR="008D6220" w:rsidRDefault="008D6220" w:rsidP="008D6220">
                            <w:pPr>
                              <w:pStyle w:val="CETBodytext"/>
                            </w:pPr>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5.1pt;margin-top:127.3pt;width:29.4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" filled="f" stroked="f">
                <v:textbox>
                  <w:txbxContent>
                    <w:p w14:paraId="08AE7B7E" w14:textId="77777777" w:rsidR="008D6220" w:rsidRDefault="008D6220" w:rsidP="008D6220">
                      <w:pPr>
                        <w:pStyle w:val="CETBodytext"/>
                      </w:pPr>
                      <w:r>
                        <w:t>(d)</w:t>
                      </w:r>
                    </w:p>
                  </w:txbxContent>
                </v:textbox>
              </v:shape>
            </w:pict>
          </mc:Fallback>
        </mc:AlternateContent>
      </w:r>
      <w:r w:rsidRPr="00640711">
        <w:rPr>
          <w:rFonts w:cs="Arial"/>
          <w:b/>
          <w:noProof/>
          <w:lang w:val="pt-BR" w:eastAsia="pt-BR"/>
        </w:rPr>
        <mc:AlternateContent>
          <mc:Choice Requires="wps">
            <w:drawing>
              <wp:anchor distT="0" distB="0" distL="114300" distR="114300" simplePos="0" relativeHeight="251663360" behindDoc="0" locked="0" layoutInCell="1" allowOverlap="1" wp14:anchorId="153F5CA0" wp14:editId="3AD11B1A">
                <wp:simplePos x="0" y="0"/>
                <wp:positionH relativeFrom="column">
                  <wp:posOffset>115570</wp:posOffset>
                </wp:positionH>
                <wp:positionV relativeFrom="paragraph">
                  <wp:posOffset>1615028</wp:posOffset>
                </wp:positionV>
                <wp:extent cx="374015" cy="284480"/>
                <wp:effectExtent l="0" t="0" r="0" b="127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4480"/>
                        </a:xfrm>
                        <a:prstGeom prst="rect">
                          <a:avLst/>
                        </a:prstGeom>
                        <a:noFill/>
                        <a:ln w="9525">
                          <a:noFill/>
                          <a:miter lim="800000"/>
                          <a:headEnd/>
                          <a:tailEnd/>
                        </a:ln>
                      </wps:spPr>
                      <wps:txbx>
                        <w:txbxContent>
                          <w:p w14:paraId="0D559319" w14:textId="77777777" w:rsidR="008D6220" w:rsidRDefault="008D6220" w:rsidP="008D6220">
                            <w:pPr>
                              <w:pStyle w:val="CETBodytext"/>
                            </w:pP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1pt;margin-top:127.15pt;width:29.4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" filled="f" stroked="f">
                <v:textbox>
                  <w:txbxContent>
                    <w:p w14:paraId="0D559319" w14:textId="77777777" w:rsidR="008D6220" w:rsidRDefault="008D6220" w:rsidP="008D6220">
                      <w:pPr>
                        <w:pStyle w:val="CETBodytext"/>
                      </w:pPr>
                      <w:r>
                        <w:t>(c)</w:t>
                      </w:r>
                    </w:p>
                  </w:txbxContent>
                </v:textbox>
              </v:shape>
            </w:pict>
          </mc:Fallback>
        </mc:AlternateContent>
      </w:r>
      <w:r>
        <w:rPr>
          <w:noProof/>
          <w:lang w:val="pt-BR" w:eastAsia="pt-BR"/>
        </w:rPr>
        <w:drawing>
          <wp:inline distT="0" distB="0" distL="0" distR="0" wp14:anchorId="03097809" wp14:editId="1D4E9E9B">
            <wp:extent cx="2730659" cy="1698171"/>
            <wp:effectExtent l="0" t="0" r="0" b="0"/>
            <wp:docPr id="2"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4"/>
                    <pic:cNvPicPr/>
                  </pic:nvPicPr>
                  <pic:blipFill>
                    <a:blip r:embed="rId17" cstate="print"/>
                    <a:stretch>
                      <a:fillRect/>
                    </a:stretch>
                  </pic:blipFill>
                  <pic:spPr>
                    <a:xfrm>
                      <a:off x="0" y="0"/>
                      <a:ext cx="2735016" cy="1700881"/>
                    </a:xfrm>
                    <a:prstGeom prst="rect">
                      <a:avLst/>
                    </a:prstGeom>
                  </pic:spPr>
                </pic:pic>
              </a:graphicData>
            </a:graphic>
          </wp:inline>
        </w:drawing>
      </w:r>
      <w:r>
        <w:rPr>
          <w:noProof/>
          <w:lang w:val="pt-BR" w:eastAsia="pt-BR"/>
        </w:rPr>
        <w:drawing>
          <wp:inline distT="0" distB="0" distL="0" distR="0" wp14:anchorId="6C274FAA" wp14:editId="3B2815CF">
            <wp:extent cx="2732400" cy="1699200"/>
            <wp:effectExtent l="0" t="0" r="0" b="0"/>
            <wp:docPr id="35" name="Image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m 35"/>
                    <pic:cNvPicPr/>
                  </pic:nvPicPr>
                  <pic:blipFill>
                    <a:blip r:embed="rId18" cstate="print"/>
                    <a:stretch>
                      <a:fillRect/>
                    </a:stretch>
                  </pic:blipFill>
                  <pic:spPr>
                    <a:xfrm>
                      <a:off x="0" y="0"/>
                      <a:ext cx="2732400" cy="1699200"/>
                    </a:xfrm>
                    <a:prstGeom prst="rect">
                      <a:avLst/>
                    </a:prstGeom>
                  </pic:spPr>
                </pic:pic>
              </a:graphicData>
            </a:graphic>
          </wp:inline>
        </w:drawing>
      </w:r>
    </w:p>
    <w:p w14:paraId="3E29F4FD" w14:textId="77777777" w:rsidR="008D6220" w:rsidRDefault="008D6220" w:rsidP="008D6220">
      <w:pPr>
        <w:pStyle w:val="CETBodytext"/>
      </w:pPr>
      <w:r>
        <w:rPr>
          <w:noProof/>
          <w:lang w:val="pt-BR" w:eastAsia="pt-BR"/>
        </w:rPr>
        <w:drawing>
          <wp:inline distT="0" distB="0" distL="0" distR="0" wp14:anchorId="0BD97327" wp14:editId="3023678D">
            <wp:extent cx="2732400" cy="1699200"/>
            <wp:effectExtent l="0" t="0" r="0" b="0"/>
            <wp:docPr id="52" name="Imagem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m 52"/>
                    <pic:cNvPicPr/>
                  </pic:nvPicPr>
                  <pic:blipFill>
                    <a:blip r:embed="rId19" cstate="print"/>
                    <a:stretch>
                      <a:fillRect/>
                    </a:stretch>
                  </pic:blipFill>
                  <pic:spPr>
                    <a:xfrm>
                      <a:off x="0" y="0"/>
                      <a:ext cx="2732400" cy="1699200"/>
                    </a:xfrm>
                    <a:prstGeom prst="rect">
                      <a:avLst/>
                    </a:prstGeom>
                  </pic:spPr>
                </pic:pic>
              </a:graphicData>
            </a:graphic>
          </wp:inline>
        </w:drawing>
      </w:r>
      <w:r>
        <w:rPr>
          <w:noProof/>
          <w:lang w:val="pt-BR" w:eastAsia="pt-BR"/>
        </w:rPr>
        <w:drawing>
          <wp:inline distT="0" distB="0" distL="0" distR="0" wp14:anchorId="59485188" wp14:editId="466CA8EB">
            <wp:extent cx="2732400" cy="1699200"/>
            <wp:effectExtent l="0" t="0" r="0" b="0"/>
            <wp:docPr id="53" name="Imagem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m 53"/>
                    <pic:cNvPicPr/>
                  </pic:nvPicPr>
                  <pic:blipFill>
                    <a:blip r:embed="rId20" cstate="print"/>
                    <a:stretch>
                      <a:fillRect/>
                    </a:stretch>
                  </pic:blipFill>
                  <pic:spPr>
                    <a:xfrm>
                      <a:off x="0" y="0"/>
                      <a:ext cx="2732400" cy="1699200"/>
                    </a:xfrm>
                    <a:prstGeom prst="rect">
                      <a:avLst/>
                    </a:prstGeom>
                  </pic:spPr>
                </pic:pic>
              </a:graphicData>
            </a:graphic>
          </wp:inline>
        </w:drawing>
      </w:r>
    </w:p>
    <w:p w14:paraId="6AA85FA8" w14:textId="4204C202" w:rsidR="008D6220" w:rsidRDefault="00BB4137" w:rsidP="00BA023D">
      <w:pPr>
        <w:pStyle w:val="CETCaption"/>
      </w:pPr>
      <w:r>
        <w:t>Figure 5</w:t>
      </w:r>
      <w:r w:rsidR="00BA023D" w:rsidRPr="00B57B36">
        <w:t xml:space="preserve">: </w:t>
      </w:r>
      <w:r w:rsidR="00BA023D" w:rsidRPr="00BA023D">
        <w:t>Sensitivity analyses – Influence of (a) temperature on products, (b) temperature on gases, (c) pressure on prod</w:t>
      </w:r>
      <w:r w:rsidR="00BA58A2">
        <w:t>ucts, and (d) p</w:t>
      </w:r>
      <w:r w:rsidR="00853152">
        <w:t>ressure on gases</w:t>
      </w:r>
    </w:p>
    <w:p w14:paraId="586A9063" w14:textId="0400C58B" w:rsidR="00BA023D" w:rsidRPr="00905404" w:rsidRDefault="00BA023D" w:rsidP="00BA023D">
      <w:pPr>
        <w:pStyle w:val="CETBodytext"/>
      </w:pPr>
      <w:r w:rsidRPr="00BA023D">
        <w:t>The production of CO increased as temperature increased, and the CO</w:t>
      </w:r>
      <w:r w:rsidRPr="00792BFC">
        <w:rPr>
          <w:vertAlign w:val="subscript"/>
        </w:rPr>
        <w:t>2</w:t>
      </w:r>
      <w:r w:rsidRPr="00BA023D">
        <w:t xml:space="preserve"> yield </w:t>
      </w:r>
      <w:r w:rsidR="00BB4137">
        <w:t>increased up to 400 °C (Figure 5</w:t>
      </w:r>
      <w:r w:rsidRPr="00BA023D">
        <w:t xml:space="preserve">b). </w:t>
      </w:r>
      <w:r w:rsidR="00BB4137">
        <w:t>Doherty et al.</w:t>
      </w:r>
      <w:r w:rsidR="00BB4137" w:rsidRPr="00BA023D">
        <w:t xml:space="preserve"> </w:t>
      </w:r>
      <w:r w:rsidR="00BB4137">
        <w:t>(</w:t>
      </w:r>
      <w:r w:rsidR="00BB4137" w:rsidRPr="00BA023D">
        <w:t>2009) verified similar behavior for gases</w:t>
      </w:r>
      <w:r w:rsidRPr="00BA023D">
        <w:t xml:space="preserve">. Gases achieved almost 80 % of yield at </w:t>
      </w:r>
      <w:proofErr w:type="gramStart"/>
      <w:r w:rsidRPr="00BA023D">
        <w:t>1</w:t>
      </w:r>
      <w:proofErr w:type="gramEnd"/>
      <w:r w:rsidRPr="00BA023D">
        <w:t xml:space="preserve"> </w:t>
      </w:r>
      <w:proofErr w:type="spellStart"/>
      <w:r w:rsidRPr="00BA023D">
        <w:t>atm</w:t>
      </w:r>
      <w:proofErr w:type="spellEnd"/>
      <w:r w:rsidRPr="00BA023D">
        <w:t>, but gases yie</w:t>
      </w:r>
      <w:r w:rsidR="00BB4137">
        <w:t>lds decrease at higher pressure</w:t>
      </w:r>
      <w:r w:rsidRPr="00BA023D">
        <w:t xml:space="preserve">. </w:t>
      </w:r>
      <w:r w:rsidR="000772DB">
        <w:rPr>
          <w:noProof/>
        </w:rPr>
        <w:t>Concerning</w:t>
      </w:r>
      <w:r w:rsidRPr="00BA023D">
        <w:t xml:space="preserve"> liquids: the best option was at </w:t>
      </w:r>
      <w:proofErr w:type="gramStart"/>
      <w:r w:rsidRPr="00BA023D">
        <w:t>5</w:t>
      </w:r>
      <w:proofErr w:type="gramEnd"/>
      <w:r w:rsidRPr="00BA023D">
        <w:t xml:space="preserve"> </w:t>
      </w:r>
      <w:proofErr w:type="spellStart"/>
      <w:r w:rsidRPr="00BA023D">
        <w:t>atm</w:t>
      </w:r>
      <w:proofErr w:type="spellEnd"/>
      <w:r w:rsidRPr="00BA023D">
        <w:t xml:space="preserve">, </w:t>
      </w:r>
      <w:r w:rsidR="000772DB">
        <w:rPr>
          <w:noProof/>
        </w:rPr>
        <w:t>reach</w:t>
      </w:r>
      <w:r w:rsidRPr="000772DB">
        <w:rPr>
          <w:noProof/>
        </w:rPr>
        <w:t>ing</w:t>
      </w:r>
      <w:r w:rsidRPr="00BA023D">
        <w:t xml:space="preserve"> m</w:t>
      </w:r>
      <w:r w:rsidR="00BB4137">
        <w:t xml:space="preserve">ore than 25 % of </w:t>
      </w:r>
      <w:r w:rsidR="00BB4137" w:rsidRPr="007E40E0">
        <w:rPr>
          <w:noProof/>
        </w:rPr>
        <w:t>yield</w:t>
      </w:r>
      <w:r w:rsidR="00BB4137">
        <w:t xml:space="preserve"> (Figure 5</w:t>
      </w:r>
      <w:r w:rsidRPr="00BA023D">
        <w:t xml:space="preserve">c). </w:t>
      </w:r>
      <w:r w:rsidR="00BB4137">
        <w:t>High pressure</w:t>
      </w:r>
      <w:r w:rsidR="00BB4137" w:rsidRPr="00BA023D">
        <w:t xml:space="preserve"> </w:t>
      </w:r>
      <w:r w:rsidR="00BB4137">
        <w:t xml:space="preserve">decreased </w:t>
      </w:r>
      <w:r w:rsidRPr="00BA023D">
        <w:t>CO yield and</w:t>
      </w:r>
      <w:r w:rsidR="00BB4137">
        <w:t xml:space="preserve"> increased</w:t>
      </w:r>
      <w:r w:rsidRPr="00BA023D">
        <w:t xml:space="preserve"> CO</w:t>
      </w:r>
      <w:r w:rsidRPr="00792BFC">
        <w:rPr>
          <w:vertAlign w:val="subscript"/>
        </w:rPr>
        <w:t>2</w:t>
      </w:r>
      <w:r w:rsidR="00BB4137">
        <w:t xml:space="preserve"> yield (Figure 5</w:t>
      </w:r>
      <w:r w:rsidRPr="00BA023D">
        <w:t>d).</w:t>
      </w:r>
      <w:r w:rsidR="00C669FC">
        <w:t xml:space="preserve"> Hydrogen presented a </w:t>
      </w:r>
      <w:r w:rsidR="00C669FC" w:rsidRPr="000772DB">
        <w:rPr>
          <w:noProof/>
        </w:rPr>
        <w:t>slight</w:t>
      </w:r>
      <w:r w:rsidR="00C669FC">
        <w:t xml:space="preserve"> variation for both temperature and pressure.</w:t>
      </w:r>
    </w:p>
    <w:p w14:paraId="0B321670" w14:textId="77777777" w:rsidR="00600535" w:rsidRDefault="00600535" w:rsidP="00600535">
      <w:pPr>
        <w:pStyle w:val="CETHeading1"/>
        <w:rPr>
          <w:lang w:val="en-GB"/>
        </w:rPr>
      </w:pPr>
      <w:r w:rsidRPr="00B57B36">
        <w:rPr>
          <w:lang w:val="en-GB"/>
        </w:rPr>
        <w:lastRenderedPageBreak/>
        <w:t>Conclusions</w:t>
      </w:r>
    </w:p>
    <w:p w14:paraId="1B936C74" w14:textId="145E2401" w:rsidR="00386C0B" w:rsidRPr="00386C0B" w:rsidRDefault="0035469F" w:rsidP="00CB2EB0">
      <w:pPr>
        <w:pStyle w:val="CETBodytext"/>
        <w:rPr>
          <w:lang w:val="en-GB"/>
        </w:rPr>
      </w:pPr>
      <w:r>
        <w:rPr>
          <w:lang w:val="en-GB"/>
        </w:rPr>
        <w:t>The equilibrium</w:t>
      </w:r>
      <w:r w:rsidR="00386C0B" w:rsidRPr="00386C0B">
        <w:rPr>
          <w:lang w:val="en-GB"/>
        </w:rPr>
        <w:t xml:space="preserve"> approach was an </w:t>
      </w:r>
      <w:r w:rsidR="002448EE">
        <w:rPr>
          <w:lang w:val="en-GB"/>
        </w:rPr>
        <w:t xml:space="preserve">alternative </w:t>
      </w:r>
      <w:r w:rsidR="00386C0B" w:rsidRPr="00386C0B">
        <w:rPr>
          <w:lang w:val="en-GB"/>
        </w:rPr>
        <w:t xml:space="preserve">analysis to investigate </w:t>
      </w:r>
      <w:r w:rsidR="00C015C5">
        <w:rPr>
          <w:lang w:val="en-GB"/>
        </w:rPr>
        <w:t xml:space="preserve">the </w:t>
      </w:r>
      <w:proofErr w:type="spellStart"/>
      <w:r w:rsidR="00C015C5">
        <w:rPr>
          <w:lang w:val="en-GB"/>
        </w:rPr>
        <w:t>behavior</w:t>
      </w:r>
      <w:proofErr w:type="spellEnd"/>
      <w:r w:rsidR="00C015C5">
        <w:rPr>
          <w:lang w:val="en-GB"/>
        </w:rPr>
        <w:t xml:space="preserve"> of temperature, </w:t>
      </w:r>
      <w:r w:rsidR="00386C0B" w:rsidRPr="00386C0B">
        <w:rPr>
          <w:lang w:val="en-GB"/>
        </w:rPr>
        <w:t>pressure</w:t>
      </w:r>
      <w:r w:rsidR="00C015C5">
        <w:rPr>
          <w:lang w:val="en-GB"/>
        </w:rPr>
        <w:t>, and moisture content</w:t>
      </w:r>
      <w:r w:rsidR="00386C0B" w:rsidRPr="00386C0B">
        <w:rPr>
          <w:lang w:val="en-GB"/>
        </w:rPr>
        <w:t xml:space="preserve"> on pyrolysis</w:t>
      </w:r>
      <w:r>
        <w:rPr>
          <w:lang w:val="en-GB"/>
        </w:rPr>
        <w:t xml:space="preserve"> </w:t>
      </w:r>
      <w:r w:rsidR="00C015C5">
        <w:rPr>
          <w:lang w:val="en-GB"/>
        </w:rPr>
        <w:t>products distribution</w:t>
      </w:r>
      <w:r w:rsidR="00386C0B" w:rsidRPr="00386C0B">
        <w:rPr>
          <w:lang w:val="en-GB"/>
        </w:rPr>
        <w:t>. The results demonstrated the potential of sugarcane bagasse on the production of biofuels,</w:t>
      </w:r>
      <w:r w:rsidR="00C015C5">
        <w:rPr>
          <w:lang w:val="en-GB"/>
        </w:rPr>
        <w:t xml:space="preserve"> especially gases</w:t>
      </w:r>
      <w:r w:rsidR="00386C0B" w:rsidRPr="00386C0B">
        <w:rPr>
          <w:lang w:val="en-GB"/>
        </w:rPr>
        <w:t>.</w:t>
      </w:r>
      <w:r w:rsidR="00A17E57">
        <w:rPr>
          <w:lang w:val="en-GB"/>
        </w:rPr>
        <w:t xml:space="preserve"> The temperature was the only parameter with </w:t>
      </w:r>
      <w:r w:rsidR="000772DB">
        <w:rPr>
          <w:lang w:val="en-GB"/>
        </w:rPr>
        <w:t xml:space="preserve">a </w:t>
      </w:r>
      <w:r w:rsidR="00A17E57" w:rsidRPr="000772DB">
        <w:rPr>
          <w:noProof/>
          <w:lang w:val="en-GB"/>
        </w:rPr>
        <w:t>95</w:t>
      </w:r>
      <w:r w:rsidR="00A17E57">
        <w:rPr>
          <w:lang w:val="en-GB"/>
        </w:rPr>
        <w:t xml:space="preserve"> % confidence interval due to the approach used</w:t>
      </w:r>
      <w:r w:rsidR="009B24D5">
        <w:rPr>
          <w:lang w:val="en-GB"/>
        </w:rPr>
        <w:t xml:space="preserve">. </w:t>
      </w:r>
      <w:r w:rsidR="00CE132F">
        <w:rPr>
          <w:lang w:val="en-GB"/>
        </w:rPr>
        <w:t xml:space="preserve">Nevertheless, </w:t>
      </w:r>
      <w:r w:rsidR="009B24D5" w:rsidRPr="009B24D5">
        <w:rPr>
          <w:lang w:val="en-GB"/>
        </w:rPr>
        <w:t>this was not a problem because the tem</w:t>
      </w:r>
      <w:r w:rsidR="009B24D5">
        <w:rPr>
          <w:lang w:val="en-GB"/>
        </w:rPr>
        <w:t xml:space="preserve">perature range </w:t>
      </w:r>
      <w:r w:rsidR="009B24D5" w:rsidRPr="009B24D5">
        <w:rPr>
          <w:noProof/>
          <w:lang w:val="en-GB"/>
        </w:rPr>
        <w:t>define</w:t>
      </w:r>
      <w:r w:rsidR="009B24D5">
        <w:rPr>
          <w:noProof/>
          <w:lang w:val="en-GB"/>
        </w:rPr>
        <w:t>s</w:t>
      </w:r>
      <w:r w:rsidR="009B24D5" w:rsidRPr="009B24D5">
        <w:rPr>
          <w:lang w:val="en-GB"/>
        </w:rPr>
        <w:t xml:space="preserve"> and differentiate</w:t>
      </w:r>
      <w:r w:rsidR="009B24D5">
        <w:rPr>
          <w:lang w:val="en-GB"/>
        </w:rPr>
        <w:t>s</w:t>
      </w:r>
      <w:r w:rsidR="009B24D5" w:rsidRPr="009B24D5">
        <w:rPr>
          <w:lang w:val="en-GB"/>
        </w:rPr>
        <w:t xml:space="preserve"> the types of thermochemical processes</w:t>
      </w:r>
      <w:r w:rsidR="009B24D5" w:rsidRPr="00CE132F">
        <w:rPr>
          <w:noProof/>
          <w:lang w:val="en-GB"/>
        </w:rPr>
        <w:t>. Furthermore</w:t>
      </w:r>
      <w:r w:rsidR="009B24D5">
        <w:rPr>
          <w:noProof/>
          <w:lang w:val="en-GB"/>
        </w:rPr>
        <w:t>,</w:t>
      </w:r>
      <w:r w:rsidR="009B24D5">
        <w:rPr>
          <w:lang w:val="en-GB"/>
        </w:rPr>
        <w:t xml:space="preserve"> t</w:t>
      </w:r>
      <w:r w:rsidR="00390081" w:rsidRPr="00390081">
        <w:rPr>
          <w:lang w:val="en-GB"/>
        </w:rPr>
        <w:t>he thermodynamic equilibrium met</w:t>
      </w:r>
      <w:r w:rsidR="00390081">
        <w:rPr>
          <w:lang w:val="en-GB"/>
        </w:rPr>
        <w:t xml:space="preserve">hod approach </w:t>
      </w:r>
      <w:r w:rsidR="000772DB">
        <w:rPr>
          <w:noProof/>
          <w:lang w:val="en-GB"/>
        </w:rPr>
        <w:t>can</w:t>
      </w:r>
      <w:r w:rsidR="00390081" w:rsidRPr="00390081">
        <w:rPr>
          <w:lang w:val="en-GB"/>
        </w:rPr>
        <w:t xml:space="preserve"> perform the </w:t>
      </w:r>
      <w:r w:rsidR="00390081" w:rsidRPr="00B54CDB">
        <w:rPr>
          <w:noProof/>
          <w:lang w:val="en-GB"/>
        </w:rPr>
        <w:t>process</w:t>
      </w:r>
      <w:r w:rsidR="00390081">
        <w:rPr>
          <w:lang w:val="en-GB"/>
        </w:rPr>
        <w:t xml:space="preserve"> when there is not much data, </w:t>
      </w:r>
      <w:r w:rsidR="00390081" w:rsidRPr="00390081">
        <w:rPr>
          <w:lang w:val="en-GB"/>
        </w:rPr>
        <w:t xml:space="preserve">in a simplified manner. This approach does not predict </w:t>
      </w:r>
      <w:r w:rsidR="00390081">
        <w:rPr>
          <w:lang w:val="en-GB"/>
        </w:rPr>
        <w:t>liquids yield</w:t>
      </w:r>
      <w:r w:rsidR="00390081" w:rsidRPr="00390081">
        <w:rPr>
          <w:lang w:val="en-GB"/>
        </w:rPr>
        <w:t xml:space="preserve"> with high accuracy</w:t>
      </w:r>
      <w:r w:rsidR="00CB2EB0">
        <w:rPr>
          <w:lang w:val="en-GB"/>
        </w:rPr>
        <w:t xml:space="preserve"> </w:t>
      </w:r>
      <w:r w:rsidR="00CB2EB0" w:rsidRPr="00CB2EB0">
        <w:rPr>
          <w:lang w:val="en-GB"/>
        </w:rPr>
        <w:t>once liquid production reactions do not strictly follow chemical</w:t>
      </w:r>
      <w:r w:rsidR="00CB2EB0">
        <w:rPr>
          <w:lang w:val="en-GB"/>
        </w:rPr>
        <w:t xml:space="preserve"> </w:t>
      </w:r>
      <w:r w:rsidR="00CB2EB0" w:rsidRPr="00CB2EB0">
        <w:rPr>
          <w:lang w:val="en-GB"/>
        </w:rPr>
        <w:t>equilibrium</w:t>
      </w:r>
      <w:r w:rsidR="009B24D5">
        <w:rPr>
          <w:lang w:val="en-GB"/>
        </w:rPr>
        <w:t>; however, it</w:t>
      </w:r>
      <w:r w:rsidR="009B24D5" w:rsidRPr="009B24D5">
        <w:rPr>
          <w:lang w:val="en-GB"/>
        </w:rPr>
        <w:t xml:space="preserve"> </w:t>
      </w:r>
      <w:r w:rsidR="009B24D5" w:rsidRPr="00390081">
        <w:rPr>
          <w:lang w:val="en-GB"/>
        </w:rPr>
        <w:t xml:space="preserve">can </w:t>
      </w:r>
      <w:r w:rsidR="009B24D5">
        <w:rPr>
          <w:lang w:val="en-GB"/>
        </w:rPr>
        <w:t xml:space="preserve">efficiently </w:t>
      </w:r>
      <w:r w:rsidR="009B24D5" w:rsidRPr="00390081">
        <w:rPr>
          <w:lang w:val="en-GB"/>
        </w:rPr>
        <w:t>pre</w:t>
      </w:r>
      <w:r w:rsidR="009B24D5">
        <w:rPr>
          <w:lang w:val="en-GB"/>
        </w:rPr>
        <w:t>dict the gases yield</w:t>
      </w:r>
      <w:r w:rsidR="00CB2EB0" w:rsidRPr="009B24D5">
        <w:rPr>
          <w:noProof/>
          <w:lang w:val="en-GB"/>
        </w:rPr>
        <w:t>.</w:t>
      </w:r>
      <w:r w:rsidR="00C95BD0">
        <w:rPr>
          <w:lang w:val="en-GB"/>
        </w:rPr>
        <w:t xml:space="preserve"> Therefore, this approach fits well for </w:t>
      </w:r>
      <w:r w:rsidR="00C95BD0" w:rsidRPr="00C95BD0">
        <w:rPr>
          <w:noProof/>
          <w:lang w:val="en-GB"/>
        </w:rPr>
        <w:t>simulation</w:t>
      </w:r>
      <w:r w:rsidR="00C95BD0">
        <w:rPr>
          <w:lang w:val="en-GB"/>
        </w:rPr>
        <w:t xml:space="preserve"> of other thermochemical processes that aim gases production (e.g., gasification).</w:t>
      </w:r>
      <w:r w:rsidR="00CB2EB0" w:rsidRPr="00CB2EB0">
        <w:rPr>
          <w:lang w:val="en-GB"/>
        </w:rPr>
        <w:t xml:space="preserve"> </w:t>
      </w:r>
      <w:r w:rsidR="00B27890">
        <w:rPr>
          <w:lang w:val="en-GB"/>
        </w:rPr>
        <w:t xml:space="preserve">From the findings, </w:t>
      </w:r>
      <w:r w:rsidR="00B27890">
        <w:rPr>
          <w:noProof/>
          <w:lang w:val="en-GB"/>
        </w:rPr>
        <w:t xml:space="preserve">moderate temperature with high pressure </w:t>
      </w:r>
      <w:r w:rsidR="00471D0B">
        <w:rPr>
          <w:noProof/>
          <w:lang w:val="en-GB"/>
        </w:rPr>
        <w:t xml:space="preserve">can </w:t>
      </w:r>
      <w:r w:rsidR="00B27890">
        <w:rPr>
          <w:noProof/>
          <w:lang w:val="en-GB"/>
        </w:rPr>
        <w:t>maximize liquids production</w:t>
      </w:r>
      <w:r w:rsidR="00CE132F">
        <w:rPr>
          <w:noProof/>
          <w:lang w:val="en-GB"/>
        </w:rPr>
        <w:t>, while</w:t>
      </w:r>
      <w:r w:rsidR="00471D0B">
        <w:rPr>
          <w:noProof/>
          <w:lang w:val="en-GB"/>
        </w:rPr>
        <w:t xml:space="preserve"> </w:t>
      </w:r>
      <w:r w:rsidR="00CE132F">
        <w:rPr>
          <w:noProof/>
          <w:lang w:val="en-GB"/>
        </w:rPr>
        <w:t>h</w:t>
      </w:r>
      <w:r w:rsidR="00471D0B">
        <w:rPr>
          <w:noProof/>
          <w:lang w:val="en-GB"/>
        </w:rPr>
        <w:t xml:space="preserve">igh temperature with low pressure should </w:t>
      </w:r>
      <w:r w:rsidR="00471D0B" w:rsidRPr="00B54CDB">
        <w:rPr>
          <w:noProof/>
          <w:lang w:val="en-GB"/>
        </w:rPr>
        <w:t>be avo</w:t>
      </w:r>
      <w:bookmarkStart w:id="0" w:name="_GoBack"/>
      <w:bookmarkEnd w:id="0"/>
      <w:r w:rsidR="00471D0B" w:rsidRPr="00B54CDB">
        <w:rPr>
          <w:noProof/>
          <w:lang w:val="en-GB"/>
        </w:rPr>
        <w:t>ided</w:t>
      </w:r>
      <w:r w:rsidR="00471D0B">
        <w:rPr>
          <w:noProof/>
          <w:lang w:val="en-GB"/>
        </w:rPr>
        <w:t>.</w:t>
      </w:r>
      <w:r w:rsidR="00390081">
        <w:rPr>
          <w:lang w:val="en-GB"/>
        </w:rPr>
        <w:t xml:space="preserve"> </w:t>
      </w:r>
      <w:r w:rsidR="00386C0B" w:rsidRPr="00386C0B">
        <w:rPr>
          <w:lang w:val="en-GB"/>
        </w:rPr>
        <w:t xml:space="preserve">Pyrolysis of biomass has </w:t>
      </w:r>
      <w:r>
        <w:rPr>
          <w:lang w:val="en-GB"/>
        </w:rPr>
        <w:t>the</w:t>
      </w:r>
      <w:r w:rsidR="00386C0B" w:rsidRPr="00386C0B">
        <w:rPr>
          <w:lang w:val="en-GB"/>
        </w:rPr>
        <w:t xml:space="preserve"> opportunity to become an advantageous alternative if proper operating conditions are used depending on the desired product.</w:t>
      </w:r>
    </w:p>
    <w:p w14:paraId="01B4669A" w14:textId="77777777" w:rsidR="00600535" w:rsidRPr="00B57B36" w:rsidRDefault="00600535" w:rsidP="00600535">
      <w:pPr>
        <w:pStyle w:val="CETAcknowledgementstitle"/>
      </w:pPr>
      <w:r w:rsidRPr="00B57B36">
        <w:t>Acknowledgments</w:t>
      </w:r>
    </w:p>
    <w:p w14:paraId="00D0C7DD" w14:textId="68DCDC01" w:rsidR="00600535" w:rsidRPr="00B57B36" w:rsidRDefault="00167489" w:rsidP="00600535">
      <w:pPr>
        <w:pStyle w:val="CETBodytext"/>
        <w:rPr>
          <w:lang w:val="en-GB"/>
        </w:rPr>
      </w:pPr>
      <w:r w:rsidRPr="00167489">
        <w:rPr>
          <w:lang w:val="en-GB"/>
        </w:rPr>
        <w:t xml:space="preserve">The authors </w:t>
      </w:r>
      <w:r w:rsidR="008C7D66">
        <w:rPr>
          <w:lang w:val="en-GB"/>
        </w:rPr>
        <w:t xml:space="preserve">thank </w:t>
      </w:r>
      <w:proofErr w:type="spellStart"/>
      <w:r w:rsidR="008C7D66">
        <w:rPr>
          <w:lang w:val="en-GB"/>
        </w:rPr>
        <w:t>CNPq</w:t>
      </w:r>
      <w:proofErr w:type="spellEnd"/>
      <w:r w:rsidRPr="00167489">
        <w:rPr>
          <w:lang w:val="en-GB"/>
        </w:rPr>
        <w:t xml:space="preserve"> and </w:t>
      </w:r>
      <w:r w:rsidR="008C7D66" w:rsidRPr="00167489">
        <w:rPr>
          <w:lang w:val="en-GB"/>
        </w:rPr>
        <w:t xml:space="preserve">São Paulo Research Foundation (FAPESP)/CAPES </w:t>
      </w:r>
      <w:r w:rsidR="008C7D66">
        <w:rPr>
          <w:lang w:val="en-GB"/>
        </w:rPr>
        <w:t>(</w:t>
      </w:r>
      <w:r w:rsidRPr="00167489">
        <w:rPr>
          <w:lang w:val="en-GB"/>
        </w:rPr>
        <w:t>grants #2016/18546-8 and #2015/20630-4</w:t>
      </w:r>
      <w:r w:rsidR="008C7D66">
        <w:rPr>
          <w:lang w:val="en-GB"/>
        </w:rPr>
        <w:t>)</w:t>
      </w:r>
      <w:r w:rsidRPr="00167489">
        <w:rPr>
          <w:lang w:val="en-GB"/>
        </w:rPr>
        <w:t xml:space="preserve"> for </w:t>
      </w:r>
      <w:r w:rsidRPr="000772DB">
        <w:rPr>
          <w:noProof/>
          <w:lang w:val="en-GB"/>
        </w:rPr>
        <w:t>financial</w:t>
      </w:r>
      <w:r w:rsidRPr="00167489">
        <w:rPr>
          <w:lang w:val="en-GB"/>
        </w:rPr>
        <w:t xml:space="preserve"> support.</w:t>
      </w:r>
      <w:r w:rsidR="002566CC">
        <w:rPr>
          <w:lang w:val="en-GB"/>
        </w:rPr>
        <w:t xml:space="preserve"> Additionally, Nahieh T. Miranda (first author)</w:t>
      </w:r>
      <w:r w:rsidR="00D94964">
        <w:rPr>
          <w:lang w:val="en-GB"/>
        </w:rPr>
        <w:t xml:space="preserve"> thank</w:t>
      </w:r>
      <w:r w:rsidR="002566CC">
        <w:rPr>
          <w:lang w:val="en-GB"/>
        </w:rPr>
        <w:t>s</w:t>
      </w:r>
      <w:r w:rsidR="00D94964">
        <w:rPr>
          <w:lang w:val="en-GB"/>
        </w:rPr>
        <w:t xml:space="preserve"> </w:t>
      </w:r>
      <w:r w:rsidR="002566CC" w:rsidRPr="002566CC">
        <w:rPr>
          <w:lang w:val="en-GB"/>
        </w:rPr>
        <w:t xml:space="preserve">Rubens </w:t>
      </w:r>
      <w:proofErr w:type="spellStart"/>
      <w:r w:rsidR="002566CC" w:rsidRPr="002566CC">
        <w:rPr>
          <w:lang w:val="en-GB"/>
        </w:rPr>
        <w:t>Maciel</w:t>
      </w:r>
      <w:proofErr w:type="spellEnd"/>
      <w:r w:rsidR="002566CC" w:rsidRPr="002566CC">
        <w:rPr>
          <w:lang w:val="en-GB"/>
        </w:rPr>
        <w:t xml:space="preserve"> </w:t>
      </w:r>
      <w:proofErr w:type="spellStart"/>
      <w:r w:rsidR="002566CC" w:rsidRPr="002566CC">
        <w:rPr>
          <w:lang w:val="en-GB"/>
        </w:rPr>
        <w:t>Filho</w:t>
      </w:r>
      <w:proofErr w:type="spellEnd"/>
      <w:r w:rsidR="002566CC">
        <w:rPr>
          <w:lang w:val="en-GB"/>
        </w:rPr>
        <w:t xml:space="preserve"> and</w:t>
      </w:r>
      <w:r w:rsidR="002566CC" w:rsidRPr="002566CC">
        <w:rPr>
          <w:lang w:val="en-GB"/>
        </w:rPr>
        <w:t xml:space="preserve"> Maria Regina W. </w:t>
      </w:r>
      <w:proofErr w:type="spellStart"/>
      <w:r w:rsidR="002566CC" w:rsidRPr="002566CC">
        <w:rPr>
          <w:lang w:val="en-GB"/>
        </w:rPr>
        <w:t>Maciel</w:t>
      </w:r>
      <w:proofErr w:type="spellEnd"/>
      <w:r w:rsidR="002566CC">
        <w:rPr>
          <w:lang w:val="en-GB"/>
        </w:rPr>
        <w:t xml:space="preserve"> (the two last authors of this paper) for being the supervisors of Miranda Master’s Thesis (2018). </w:t>
      </w:r>
    </w:p>
    <w:p w14:paraId="64901951" w14:textId="77777777" w:rsidR="00600535" w:rsidRPr="00B57B36" w:rsidRDefault="00600535" w:rsidP="00600535">
      <w:pPr>
        <w:pStyle w:val="CETReference"/>
      </w:pPr>
      <w:r w:rsidRPr="00B57B36">
        <w:t>References</w:t>
      </w:r>
    </w:p>
    <w:p w14:paraId="07281376" w14:textId="77777777" w:rsidR="001D5A50" w:rsidRDefault="0027090A" w:rsidP="00600535">
      <w:pPr>
        <w:pStyle w:val="CETReferencetext"/>
      </w:pPr>
      <w:r w:rsidRPr="001D5A50">
        <w:t>Akhtar</w:t>
      </w:r>
      <w:r>
        <w:t xml:space="preserve"> J., </w:t>
      </w:r>
      <w:r w:rsidR="001D5A50" w:rsidRPr="001D5A50">
        <w:t>A</w:t>
      </w:r>
      <w:r w:rsidRPr="001D5A50">
        <w:t>min</w:t>
      </w:r>
      <w:r w:rsidR="001D5A50" w:rsidRPr="001D5A50">
        <w:t xml:space="preserve"> N.</w:t>
      </w:r>
      <w:r>
        <w:t>S., 2012,</w:t>
      </w:r>
      <w:r w:rsidR="001D5A50" w:rsidRPr="001D5A50">
        <w:t xml:space="preserve"> </w:t>
      </w:r>
      <w:proofErr w:type="gramStart"/>
      <w:r w:rsidR="001D5A50" w:rsidRPr="001D5A50">
        <w:t>A</w:t>
      </w:r>
      <w:proofErr w:type="gramEnd"/>
      <w:r w:rsidR="001D5A50" w:rsidRPr="001D5A50">
        <w:t xml:space="preserve"> review on operating parameters for optimum liquid</w:t>
      </w:r>
      <w:r>
        <w:t xml:space="preserve"> oil yield in biomass pyrolysis,</w:t>
      </w:r>
      <w:r w:rsidR="001D5A50" w:rsidRPr="001D5A50">
        <w:t xml:space="preserve"> Renewable and</w:t>
      </w:r>
      <w:r>
        <w:t xml:space="preserve"> Sustainable Energy Reviews, 16, 5101–5109</w:t>
      </w:r>
      <w:r w:rsidR="001D5A50" w:rsidRPr="001D5A50">
        <w:t>.</w:t>
      </w:r>
    </w:p>
    <w:p w14:paraId="277F50D6" w14:textId="098D27C2" w:rsidR="00BF63EA" w:rsidRDefault="00BF63EA" w:rsidP="00600535">
      <w:pPr>
        <w:pStyle w:val="CETReferencetext"/>
      </w:pPr>
      <w:proofErr w:type="spellStart"/>
      <w:r w:rsidRPr="00BF63EA">
        <w:t>Ardila</w:t>
      </w:r>
      <w:proofErr w:type="spellEnd"/>
      <w:r>
        <w:t xml:space="preserve"> Y.</w:t>
      </w:r>
      <w:r w:rsidRPr="00BF63EA">
        <w:t>C.</w:t>
      </w:r>
      <w:r>
        <w:t>, Figueroa J.E.J</w:t>
      </w:r>
      <w:r w:rsidR="005402AD">
        <w:t>.</w:t>
      </w:r>
      <w:r>
        <w:t xml:space="preserve">, </w:t>
      </w:r>
      <w:proofErr w:type="spellStart"/>
      <w:r>
        <w:t>Lunelli</w:t>
      </w:r>
      <w:proofErr w:type="spellEnd"/>
      <w:r>
        <w:t xml:space="preserve"> B.H., </w:t>
      </w:r>
      <w:proofErr w:type="spellStart"/>
      <w:r>
        <w:t>Maciel</w:t>
      </w:r>
      <w:proofErr w:type="spellEnd"/>
      <w:r>
        <w:t xml:space="preserve"> </w:t>
      </w:r>
      <w:proofErr w:type="spellStart"/>
      <w:r>
        <w:t>Filho</w:t>
      </w:r>
      <w:proofErr w:type="spellEnd"/>
      <w:r>
        <w:t xml:space="preserve"> R., </w:t>
      </w:r>
      <w:proofErr w:type="spellStart"/>
      <w:r>
        <w:t>Maciel</w:t>
      </w:r>
      <w:proofErr w:type="spellEnd"/>
      <w:r>
        <w:t xml:space="preserve"> M.R.W., 2014,</w:t>
      </w:r>
      <w:r w:rsidRPr="00BF63EA">
        <w:t xml:space="preserve"> Simulation of ethanol production via fermentat</w:t>
      </w:r>
      <w:r>
        <w:t>ion of the synthesis gas using Aspen Plus™,</w:t>
      </w:r>
      <w:r w:rsidRPr="00BF63EA">
        <w:t xml:space="preserve"> Chemic</w:t>
      </w:r>
      <w:r>
        <w:t xml:space="preserve">al Engineering Transactions, </w:t>
      </w:r>
      <w:r w:rsidRPr="00BF63EA">
        <w:t>37, 637–642.</w:t>
      </w:r>
    </w:p>
    <w:p w14:paraId="481EBF0C" w14:textId="0BE146AE" w:rsidR="00901018" w:rsidRDefault="00901018" w:rsidP="00600535">
      <w:pPr>
        <w:pStyle w:val="CETReferencetext"/>
      </w:pPr>
      <w:proofErr w:type="spellStart"/>
      <w:r>
        <w:t>AspenTech</w:t>
      </w:r>
      <w:proofErr w:type="spellEnd"/>
      <w:r>
        <w:t>, Getting Started Modelling Processes with Solids, 2013.</w:t>
      </w:r>
    </w:p>
    <w:p w14:paraId="56147808" w14:textId="5E941DA7" w:rsidR="0027090A" w:rsidRDefault="0027090A" w:rsidP="00600535">
      <w:pPr>
        <w:pStyle w:val="CETReferencetext"/>
      </w:pPr>
      <w:r w:rsidRPr="00B54CDB">
        <w:rPr>
          <w:noProof/>
        </w:rPr>
        <w:t>Broido A., Nelson M.A., 1975, Char yield on pyrolysis of cellulose, Combustion and Flame, 24, 263–268.</w:t>
      </w:r>
    </w:p>
    <w:p w14:paraId="6A4DBE98" w14:textId="77777777" w:rsidR="0027090A" w:rsidRDefault="000A6113" w:rsidP="00600535">
      <w:pPr>
        <w:pStyle w:val="CETReferencetext"/>
      </w:pPr>
      <w:r w:rsidRPr="000A6113">
        <w:t>Doherty</w:t>
      </w:r>
      <w:r>
        <w:t xml:space="preserve"> W.,</w:t>
      </w:r>
      <w:r w:rsidRPr="000A6113">
        <w:t xml:space="preserve"> Reynolds</w:t>
      </w:r>
      <w:r>
        <w:t xml:space="preserve"> A.,</w:t>
      </w:r>
      <w:r w:rsidRPr="000A6113">
        <w:t xml:space="preserve"> Kennedy D.</w:t>
      </w:r>
      <w:r>
        <w:t>, 2009,</w:t>
      </w:r>
      <w:r w:rsidRPr="000A6113">
        <w:t xml:space="preserve"> The effect of air preheating in a biomass CFB gasif</w:t>
      </w:r>
      <w:r>
        <w:t xml:space="preserve">ier using ASPEN Plus simulation, Biomass </w:t>
      </w:r>
      <w:r w:rsidRPr="00B54CDB">
        <w:rPr>
          <w:noProof/>
        </w:rPr>
        <w:t>and</w:t>
      </w:r>
      <w:r>
        <w:t xml:space="preserve"> Bioenergy, </w:t>
      </w:r>
      <w:r w:rsidRPr="000A6113">
        <w:t>33, 1158–1167.</w:t>
      </w:r>
    </w:p>
    <w:p w14:paraId="4395B871" w14:textId="0A1C1E45" w:rsidR="00071003" w:rsidRDefault="00A30F5D" w:rsidP="00600535">
      <w:pPr>
        <w:pStyle w:val="CETReferencetext"/>
      </w:pPr>
      <w:proofErr w:type="gramStart"/>
      <w:r w:rsidRPr="00B54CDB">
        <w:rPr>
          <w:noProof/>
        </w:rPr>
        <w:t>Food and Agriculture Organization of the United Nations, FAO</w:t>
      </w:r>
      <w:r>
        <w:t xml:space="preserve"> Statistics</w:t>
      </w:r>
      <w:r w:rsidR="00A14E7F">
        <w:t xml:space="preserve"> (</w:t>
      </w:r>
      <w:r w:rsidR="00A14E7F" w:rsidRPr="00A14E7F">
        <w:t>http://www.fao.org/faostat/en/#rankings/countries_by_commodity</w:t>
      </w:r>
      <w:r w:rsidR="00A14E7F">
        <w:t>)</w:t>
      </w:r>
      <w:r>
        <w:t>, 2018</w:t>
      </w:r>
      <w:r w:rsidR="00071003" w:rsidRPr="00071003">
        <w:t>.</w:t>
      </w:r>
      <w:proofErr w:type="gramEnd"/>
    </w:p>
    <w:p w14:paraId="41ABC149" w14:textId="77777777" w:rsidR="00071003" w:rsidRDefault="00071003" w:rsidP="00600535">
      <w:pPr>
        <w:pStyle w:val="CETReferencetext"/>
      </w:pPr>
      <w:proofErr w:type="spellStart"/>
      <w:r w:rsidRPr="00071003">
        <w:t>Gollakota</w:t>
      </w:r>
      <w:proofErr w:type="spellEnd"/>
      <w:r w:rsidRPr="00071003">
        <w:t xml:space="preserve"> A.R.K.</w:t>
      </w:r>
      <w:r>
        <w:t>,</w:t>
      </w:r>
      <w:r w:rsidRPr="00071003">
        <w:t xml:space="preserve"> </w:t>
      </w:r>
      <w:r>
        <w:t xml:space="preserve">Reddy M., </w:t>
      </w:r>
      <w:proofErr w:type="spellStart"/>
      <w:r>
        <w:t>Subramanyam</w:t>
      </w:r>
      <w:proofErr w:type="spellEnd"/>
      <w:r>
        <w:t xml:space="preserve"> M.D., Kishore N., 2016,</w:t>
      </w:r>
      <w:r w:rsidRPr="00071003">
        <w:t xml:space="preserve"> A review on the </w:t>
      </w:r>
      <w:r w:rsidRPr="00854EB1">
        <w:rPr>
          <w:noProof/>
        </w:rPr>
        <w:t>upgradation</w:t>
      </w:r>
      <w:r>
        <w:t xml:space="preserve"> techniques of pyrolysis oil,</w:t>
      </w:r>
      <w:r w:rsidRPr="00071003">
        <w:t xml:space="preserve"> Renewable and</w:t>
      </w:r>
      <w:r>
        <w:t xml:space="preserve"> Sustainable Energy Reviews, </w:t>
      </w:r>
      <w:r w:rsidRPr="00071003">
        <w:t>58, 1543–1568.</w:t>
      </w:r>
    </w:p>
    <w:p w14:paraId="7522E5EF" w14:textId="77777777" w:rsidR="00071003" w:rsidRDefault="00071003" w:rsidP="00600535">
      <w:pPr>
        <w:pStyle w:val="CETReferencetext"/>
      </w:pPr>
      <w:r w:rsidRPr="00071003">
        <w:t>Islam</w:t>
      </w:r>
      <w:r>
        <w:t xml:space="preserve"> M.R.,</w:t>
      </w:r>
      <w:r w:rsidRPr="00071003">
        <w:t xml:space="preserve"> </w:t>
      </w:r>
      <w:proofErr w:type="spellStart"/>
      <w:r w:rsidRPr="00071003">
        <w:t>Parveen</w:t>
      </w:r>
      <w:proofErr w:type="spellEnd"/>
      <w:r>
        <w:t xml:space="preserve"> M.,</w:t>
      </w:r>
      <w:r w:rsidRPr="00071003">
        <w:t xml:space="preserve"> </w:t>
      </w:r>
      <w:proofErr w:type="spellStart"/>
      <w:r w:rsidRPr="00071003">
        <w:t>Haniu</w:t>
      </w:r>
      <w:proofErr w:type="spellEnd"/>
      <w:r w:rsidRPr="00071003">
        <w:t xml:space="preserve"> H.</w:t>
      </w:r>
      <w:r>
        <w:t>, 2010,</w:t>
      </w:r>
      <w:r w:rsidRPr="00071003">
        <w:t xml:space="preserve"> Properties of sugarcane waste-derived bio-oils obtained by fixed-bed fire-tube heating pyrolysis</w:t>
      </w:r>
      <w:r>
        <w:t xml:space="preserve">, </w:t>
      </w:r>
      <w:proofErr w:type="spellStart"/>
      <w:r>
        <w:t>Bioresource</w:t>
      </w:r>
      <w:proofErr w:type="spellEnd"/>
      <w:r>
        <w:t xml:space="preserve"> Technology, 101, </w:t>
      </w:r>
      <w:r w:rsidRPr="00071003">
        <w:t>4162–4168.</w:t>
      </w:r>
    </w:p>
    <w:p w14:paraId="56DBE88D" w14:textId="77777777" w:rsidR="00071003" w:rsidRDefault="00071003" w:rsidP="00600535">
      <w:pPr>
        <w:pStyle w:val="CETReferencetext"/>
      </w:pPr>
      <w:proofErr w:type="spellStart"/>
      <w:r w:rsidRPr="00071003">
        <w:t>Kabir</w:t>
      </w:r>
      <w:proofErr w:type="spellEnd"/>
      <w:r>
        <w:t xml:space="preserve"> M.</w:t>
      </w:r>
      <w:r w:rsidRPr="00071003">
        <w:t>J.</w:t>
      </w:r>
      <w:r>
        <w:t>,</w:t>
      </w:r>
      <w:r w:rsidRPr="00071003">
        <w:t xml:space="preserve"> Chowdhury</w:t>
      </w:r>
      <w:r>
        <w:t xml:space="preserve"> A.A.,</w:t>
      </w:r>
      <w:r w:rsidRPr="00071003">
        <w:t xml:space="preserve"> </w:t>
      </w:r>
      <w:proofErr w:type="spellStart"/>
      <w:r w:rsidRPr="00071003">
        <w:t>Rasul</w:t>
      </w:r>
      <w:proofErr w:type="spellEnd"/>
      <w:r>
        <w:t xml:space="preserve"> M.</w:t>
      </w:r>
      <w:r w:rsidRPr="00071003">
        <w:t>G.</w:t>
      </w:r>
      <w:r>
        <w:t>,</w:t>
      </w:r>
      <w:r w:rsidRPr="00071003">
        <w:t xml:space="preserve"> </w:t>
      </w:r>
      <w:r>
        <w:t xml:space="preserve">2015, </w:t>
      </w:r>
      <w:r w:rsidRPr="00071003">
        <w:t xml:space="preserve">Pyrolysis of municipal green waste: A </w:t>
      </w:r>
      <w:r w:rsidRPr="00B54CDB">
        <w:rPr>
          <w:noProof/>
        </w:rPr>
        <w:t>modelling</w:t>
      </w:r>
      <w:r w:rsidRPr="00071003">
        <w:t>, simul</w:t>
      </w:r>
      <w:r>
        <w:t xml:space="preserve">ation </w:t>
      </w:r>
      <w:r w:rsidRPr="00B54CDB">
        <w:rPr>
          <w:noProof/>
        </w:rPr>
        <w:t>and</w:t>
      </w:r>
      <w:r>
        <w:t xml:space="preserve"> experimental analysis,</w:t>
      </w:r>
      <w:r w:rsidRPr="00071003">
        <w:t xml:space="preserve"> Energies, 8</w:t>
      </w:r>
      <w:r>
        <w:t>,</w:t>
      </w:r>
      <w:r w:rsidRPr="00071003">
        <w:t xml:space="preserve"> 7522–7541.</w:t>
      </w:r>
    </w:p>
    <w:p w14:paraId="4D754443" w14:textId="77777777" w:rsidR="00071003" w:rsidRDefault="00977C63" w:rsidP="00600535">
      <w:pPr>
        <w:pStyle w:val="CETReferencetext"/>
      </w:pPr>
      <w:r w:rsidRPr="00B54CDB">
        <w:rPr>
          <w:noProof/>
        </w:rPr>
        <w:t>Kan T., Strezov V., Evans T.J., 2016, Lignocellulosic biomass pyrolysis: A review of product properties and effects of pyrolysis parameters, Renewable and Sustainable Energy Reviews, 57, 126–1140.</w:t>
      </w:r>
    </w:p>
    <w:p w14:paraId="26C88C6B" w14:textId="77777777" w:rsidR="00977C63" w:rsidRDefault="00C24E59" w:rsidP="00600535">
      <w:pPr>
        <w:pStyle w:val="CETReferencetext"/>
      </w:pPr>
      <w:r>
        <w:t>Li</w:t>
      </w:r>
      <w:r w:rsidRPr="00C24E59">
        <w:t xml:space="preserve"> J.</w:t>
      </w:r>
      <w:r>
        <w:t>, Yan R., Xiao B., Wang X., Yang H., 2007,</w:t>
      </w:r>
      <w:r w:rsidRPr="00C24E59">
        <w:t xml:space="preserve"> Influence of temperature on the formation of oil from </w:t>
      </w:r>
      <w:proofErr w:type="spellStart"/>
      <w:r w:rsidRPr="00C24E59">
        <w:t>pyrolyzing</w:t>
      </w:r>
      <w:proofErr w:type="spellEnd"/>
      <w:r w:rsidRPr="00C24E59">
        <w:t xml:space="preserve"> palm oil wastes in a fixed be</w:t>
      </w:r>
      <w:r>
        <w:t xml:space="preserve">d reactor, Energy and Fuels, </w:t>
      </w:r>
      <w:r w:rsidRPr="00C24E59">
        <w:t>21, 2398–2407.</w:t>
      </w:r>
    </w:p>
    <w:p w14:paraId="76BFA2AF" w14:textId="77777777" w:rsidR="000338F8" w:rsidRDefault="000338F8" w:rsidP="00600535">
      <w:pPr>
        <w:pStyle w:val="CETReferencetext"/>
      </w:pPr>
      <w:r w:rsidRPr="00B54CDB">
        <w:rPr>
          <w:noProof/>
        </w:rPr>
        <w:t>Mabrouki J., Abbassi M.A., Guedri K., Omri A., Jeguirim M., 2015, Simulation of biofuel production via fast pyrolysis of palm oil residues, Fuel, 159, 819–827.</w:t>
      </w:r>
    </w:p>
    <w:p w14:paraId="673A6CAE" w14:textId="1DCD5DA1" w:rsidR="0038180A" w:rsidRDefault="0038180A" w:rsidP="00064D1E">
      <w:pPr>
        <w:pStyle w:val="CETReferencetext"/>
      </w:pPr>
      <w:proofErr w:type="gramStart"/>
      <w:r>
        <w:t>Miranda N.T., 2018, Investigation about operational conditions for bio-oil and biochar production from sugarcane bagasse through simulation and applica</w:t>
      </w:r>
      <w:r w:rsidR="00546B20">
        <w:t xml:space="preserve">tion in </w:t>
      </w:r>
      <w:r w:rsidR="00546B20" w:rsidRPr="00B54CDB">
        <w:rPr>
          <w:noProof/>
        </w:rPr>
        <w:t>pilot</w:t>
      </w:r>
      <w:r w:rsidR="00546B20">
        <w:t xml:space="preserve"> plant, Master’s Thesis</w:t>
      </w:r>
      <w:r w:rsidR="00546B20">
        <w:rPr>
          <w:lang w:val="pt-BR"/>
        </w:rPr>
        <w:t xml:space="preserve"> in </w:t>
      </w:r>
      <w:proofErr w:type="spellStart"/>
      <w:r w:rsidR="00546B20">
        <w:rPr>
          <w:lang w:val="pt-BR"/>
        </w:rPr>
        <w:t>Chemical</w:t>
      </w:r>
      <w:proofErr w:type="spellEnd"/>
      <w:r w:rsidR="00546B20">
        <w:rPr>
          <w:lang w:val="pt-BR"/>
        </w:rPr>
        <w:t xml:space="preserve"> </w:t>
      </w:r>
      <w:proofErr w:type="spellStart"/>
      <w:r w:rsidR="00546B20">
        <w:rPr>
          <w:lang w:val="pt-BR"/>
        </w:rPr>
        <w:t>Engineering</w:t>
      </w:r>
      <w:proofErr w:type="spellEnd"/>
      <w:r>
        <w:t xml:space="preserve"> – Universi</w:t>
      </w:r>
      <w:r w:rsidR="00546B20">
        <w:t>ty</w:t>
      </w:r>
      <w:r>
        <w:t xml:space="preserve"> </w:t>
      </w:r>
      <w:r w:rsidR="00546B20">
        <w:t>of Campinas (UNICAMP).</w:t>
      </w:r>
      <w:proofErr w:type="gramEnd"/>
      <w:r w:rsidR="00546B20">
        <w:t xml:space="preserve"> </w:t>
      </w:r>
      <w:proofErr w:type="gramStart"/>
      <w:r w:rsidR="00546B20">
        <w:t>Sao Paulo, 312 pages</w:t>
      </w:r>
      <w:r>
        <w:t>.</w:t>
      </w:r>
      <w:proofErr w:type="gramEnd"/>
    </w:p>
    <w:p w14:paraId="089DD0CA" w14:textId="7A9D906B" w:rsidR="00064D1E" w:rsidRDefault="00064D1E" w:rsidP="00064D1E">
      <w:pPr>
        <w:pStyle w:val="CETReferencetext"/>
      </w:pPr>
      <w:r w:rsidRPr="00B54CDB">
        <w:rPr>
          <w:noProof/>
        </w:rPr>
        <w:t>Motta I.L., Miranda N.T., Maciel Filho R., Maciel M.R.W., 2018, Sugarcane bagasse gasification: thermodynamic modelling and analysis of operating effects in a steam-oxygen-blown fluidized bed using Aspen Plus™, Chemical Engineering Transactions, 65, 169–174.</w:t>
      </w:r>
    </w:p>
    <w:p w14:paraId="30D10E28" w14:textId="77777777" w:rsidR="000338F8" w:rsidRDefault="007E3305" w:rsidP="00600535">
      <w:pPr>
        <w:pStyle w:val="CETReferencetext"/>
      </w:pPr>
      <w:proofErr w:type="spellStart"/>
      <w:r w:rsidRPr="007E3305">
        <w:t>Nikoo</w:t>
      </w:r>
      <w:proofErr w:type="spellEnd"/>
      <w:r>
        <w:t xml:space="preserve"> M.B.,</w:t>
      </w:r>
      <w:r w:rsidRPr="007E3305">
        <w:t xml:space="preserve"> </w:t>
      </w:r>
      <w:proofErr w:type="spellStart"/>
      <w:r w:rsidRPr="007E3305">
        <w:t>Mahinpey</w:t>
      </w:r>
      <w:proofErr w:type="spellEnd"/>
      <w:r w:rsidRPr="007E3305">
        <w:t xml:space="preserve"> N.</w:t>
      </w:r>
      <w:r>
        <w:t>, 2008,</w:t>
      </w:r>
      <w:r w:rsidRPr="007E3305">
        <w:t xml:space="preserve"> Simulation of biomass gasification in fluidiz</w:t>
      </w:r>
      <w:r>
        <w:t xml:space="preserve">ed bed reactor using ASPEN PLUS, Biomass and Bioenergy, </w:t>
      </w:r>
      <w:r w:rsidRPr="007E3305">
        <w:t>32, 1245–1254.</w:t>
      </w:r>
    </w:p>
    <w:p w14:paraId="5F18F4AA" w14:textId="77777777" w:rsidR="007E3305" w:rsidRDefault="001A640D" w:rsidP="00600535">
      <w:pPr>
        <w:pStyle w:val="CETReferencetext"/>
      </w:pPr>
      <w:proofErr w:type="spellStart"/>
      <w:r w:rsidRPr="001A640D">
        <w:t>Ramzan</w:t>
      </w:r>
      <w:proofErr w:type="spellEnd"/>
      <w:r>
        <w:t xml:space="preserve"> N., Ashraf A., Naveed S., Malik A., 2011,</w:t>
      </w:r>
      <w:r w:rsidRPr="001A640D">
        <w:t xml:space="preserve"> Simulation of hybrid biomass gasification using Aspen plus: A comparative performance analysis for food, mu</w:t>
      </w:r>
      <w:r>
        <w:t>nicipal solid and poultry waste, Biomass and Bioenergy,</w:t>
      </w:r>
      <w:r w:rsidRPr="001A640D">
        <w:t xml:space="preserve"> 35, 3962–3969.</w:t>
      </w:r>
    </w:p>
    <w:p w14:paraId="4B5F9747" w14:textId="77777777" w:rsidR="007957AD" w:rsidRDefault="00BF339B" w:rsidP="00600535">
      <w:pPr>
        <w:pStyle w:val="CETReferencetext"/>
      </w:pPr>
      <w:r w:rsidRPr="00BF339B">
        <w:t>Sun</w:t>
      </w:r>
      <w:r>
        <w:t xml:space="preserve"> X.</w:t>
      </w:r>
      <w:r w:rsidRPr="00BF339B">
        <w:t>F.</w:t>
      </w:r>
      <w:r>
        <w:t>, Sun R.C., Tomkinson J., Baird M.S., 2003,</w:t>
      </w:r>
      <w:r w:rsidRPr="00BF339B">
        <w:t xml:space="preserve"> Preparation of sugarcane bagasse </w:t>
      </w:r>
      <w:proofErr w:type="spellStart"/>
      <w:r w:rsidRPr="00BF339B">
        <w:t>hemicellulosic</w:t>
      </w:r>
      <w:proofErr w:type="spellEnd"/>
      <w:r w:rsidRPr="00BF339B">
        <w:t xml:space="preserve"> suc</w:t>
      </w:r>
      <w:r>
        <w:t>cinates using NBS as a catalyst,</w:t>
      </w:r>
      <w:r w:rsidRPr="00BF339B">
        <w:t xml:space="preserve"> Carbohydrate Polymer</w:t>
      </w:r>
      <w:r>
        <w:t>s, 53, 483–495</w:t>
      </w:r>
      <w:r w:rsidRPr="00BF339B">
        <w:t>.</w:t>
      </w:r>
    </w:p>
    <w:sectPr w:rsidR="007957A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366F1" w14:textId="77777777" w:rsidR="00756A6F" w:rsidRDefault="00756A6F" w:rsidP="004F5E36">
      <w:r>
        <w:separator/>
      </w:r>
    </w:p>
  </w:endnote>
  <w:endnote w:type="continuationSeparator" w:id="0">
    <w:p w14:paraId="1E7E3522" w14:textId="77777777" w:rsidR="00756A6F" w:rsidRDefault="00756A6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5226E" w14:textId="77777777" w:rsidR="00756A6F" w:rsidRDefault="00756A6F" w:rsidP="004F5E36">
      <w:r>
        <w:separator/>
      </w:r>
    </w:p>
  </w:footnote>
  <w:footnote w:type="continuationSeparator" w:id="0">
    <w:p w14:paraId="223BD190" w14:textId="77777777" w:rsidR="00756A6F" w:rsidRDefault="00756A6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43BC"/>
    <w:rsid w:val="000052FB"/>
    <w:rsid w:val="00010F40"/>
    <w:rsid w:val="000117CB"/>
    <w:rsid w:val="000311D2"/>
    <w:rsid w:val="0003148D"/>
    <w:rsid w:val="000338F8"/>
    <w:rsid w:val="00047D7F"/>
    <w:rsid w:val="00051566"/>
    <w:rsid w:val="00054477"/>
    <w:rsid w:val="000627A1"/>
    <w:rsid w:val="00062A9A"/>
    <w:rsid w:val="00064D1E"/>
    <w:rsid w:val="00065058"/>
    <w:rsid w:val="00071003"/>
    <w:rsid w:val="000772DB"/>
    <w:rsid w:val="00077EFA"/>
    <w:rsid w:val="00086C39"/>
    <w:rsid w:val="000A03B2"/>
    <w:rsid w:val="000A3B79"/>
    <w:rsid w:val="000A3F24"/>
    <w:rsid w:val="000A6113"/>
    <w:rsid w:val="000D34BE"/>
    <w:rsid w:val="000E0539"/>
    <w:rsid w:val="000E102F"/>
    <w:rsid w:val="000E36F1"/>
    <w:rsid w:val="000E3A73"/>
    <w:rsid w:val="000E414A"/>
    <w:rsid w:val="000E57FE"/>
    <w:rsid w:val="000F093C"/>
    <w:rsid w:val="000F16BD"/>
    <w:rsid w:val="000F787B"/>
    <w:rsid w:val="00100446"/>
    <w:rsid w:val="00105063"/>
    <w:rsid w:val="00114041"/>
    <w:rsid w:val="0012054B"/>
    <w:rsid w:val="0012091F"/>
    <w:rsid w:val="00123578"/>
    <w:rsid w:val="00126BC2"/>
    <w:rsid w:val="001308B6"/>
    <w:rsid w:val="0013121F"/>
    <w:rsid w:val="00131FAB"/>
    <w:rsid w:val="00131FE6"/>
    <w:rsid w:val="0013263F"/>
    <w:rsid w:val="00133B43"/>
    <w:rsid w:val="00134DE4"/>
    <w:rsid w:val="00135C73"/>
    <w:rsid w:val="001361B9"/>
    <w:rsid w:val="0014034D"/>
    <w:rsid w:val="00150E59"/>
    <w:rsid w:val="00152DE3"/>
    <w:rsid w:val="00162642"/>
    <w:rsid w:val="00164CF9"/>
    <w:rsid w:val="00167489"/>
    <w:rsid w:val="001675BD"/>
    <w:rsid w:val="00184AD6"/>
    <w:rsid w:val="001A58C6"/>
    <w:rsid w:val="001A640D"/>
    <w:rsid w:val="001B0349"/>
    <w:rsid w:val="001B65C1"/>
    <w:rsid w:val="001C550D"/>
    <w:rsid w:val="001C684B"/>
    <w:rsid w:val="001D3310"/>
    <w:rsid w:val="001D53FC"/>
    <w:rsid w:val="001D5A50"/>
    <w:rsid w:val="001D7963"/>
    <w:rsid w:val="001D7FEC"/>
    <w:rsid w:val="001F42A5"/>
    <w:rsid w:val="001F7B9D"/>
    <w:rsid w:val="0021208D"/>
    <w:rsid w:val="002224B4"/>
    <w:rsid w:val="002266A3"/>
    <w:rsid w:val="002404B3"/>
    <w:rsid w:val="00242F3E"/>
    <w:rsid w:val="002447EF"/>
    <w:rsid w:val="002448EE"/>
    <w:rsid w:val="00251550"/>
    <w:rsid w:val="00252C1A"/>
    <w:rsid w:val="002566CC"/>
    <w:rsid w:val="0026068A"/>
    <w:rsid w:val="0026188A"/>
    <w:rsid w:val="00262E53"/>
    <w:rsid w:val="00263B05"/>
    <w:rsid w:val="0027090A"/>
    <w:rsid w:val="0027221A"/>
    <w:rsid w:val="00275B61"/>
    <w:rsid w:val="00282656"/>
    <w:rsid w:val="00296B83"/>
    <w:rsid w:val="002A052E"/>
    <w:rsid w:val="002A4E1F"/>
    <w:rsid w:val="002A51D0"/>
    <w:rsid w:val="002B13B5"/>
    <w:rsid w:val="002B6EFB"/>
    <w:rsid w:val="002B78CE"/>
    <w:rsid w:val="002C2FB6"/>
    <w:rsid w:val="002C4B15"/>
    <w:rsid w:val="002D5BCD"/>
    <w:rsid w:val="002E21CA"/>
    <w:rsid w:val="002E7FD8"/>
    <w:rsid w:val="003009B7"/>
    <w:rsid w:val="00300E56"/>
    <w:rsid w:val="0030469C"/>
    <w:rsid w:val="0031131E"/>
    <w:rsid w:val="00321CA6"/>
    <w:rsid w:val="00322C39"/>
    <w:rsid w:val="00333833"/>
    <w:rsid w:val="00334C09"/>
    <w:rsid w:val="003365E3"/>
    <w:rsid w:val="00337FD8"/>
    <w:rsid w:val="0035469F"/>
    <w:rsid w:val="003723D4"/>
    <w:rsid w:val="003809E8"/>
    <w:rsid w:val="0038180A"/>
    <w:rsid w:val="00384CC8"/>
    <w:rsid w:val="00386C0B"/>
    <w:rsid w:val="00386F46"/>
    <w:rsid w:val="003871FD"/>
    <w:rsid w:val="00390081"/>
    <w:rsid w:val="00392427"/>
    <w:rsid w:val="003A1E30"/>
    <w:rsid w:val="003A6FF9"/>
    <w:rsid w:val="003A7D1C"/>
    <w:rsid w:val="003B1007"/>
    <w:rsid w:val="003B304B"/>
    <w:rsid w:val="003B3146"/>
    <w:rsid w:val="003B60F3"/>
    <w:rsid w:val="003D5326"/>
    <w:rsid w:val="003E15EA"/>
    <w:rsid w:val="003E556A"/>
    <w:rsid w:val="003E5A9A"/>
    <w:rsid w:val="003F015E"/>
    <w:rsid w:val="003F04C7"/>
    <w:rsid w:val="003F56C9"/>
    <w:rsid w:val="00400414"/>
    <w:rsid w:val="00400429"/>
    <w:rsid w:val="00406A66"/>
    <w:rsid w:val="004071A3"/>
    <w:rsid w:val="0041446B"/>
    <w:rsid w:val="00433AAD"/>
    <w:rsid w:val="0043767D"/>
    <w:rsid w:val="0044329C"/>
    <w:rsid w:val="00451A38"/>
    <w:rsid w:val="00453089"/>
    <w:rsid w:val="004577FE"/>
    <w:rsid w:val="00457B9C"/>
    <w:rsid w:val="0046164A"/>
    <w:rsid w:val="004628D2"/>
    <w:rsid w:val="00462DCD"/>
    <w:rsid w:val="004648AD"/>
    <w:rsid w:val="00467824"/>
    <w:rsid w:val="004703A9"/>
    <w:rsid w:val="00471D0B"/>
    <w:rsid w:val="004760DE"/>
    <w:rsid w:val="004833E5"/>
    <w:rsid w:val="00484A09"/>
    <w:rsid w:val="004962FD"/>
    <w:rsid w:val="004A004E"/>
    <w:rsid w:val="004A24CF"/>
    <w:rsid w:val="004B6721"/>
    <w:rsid w:val="004C3D1D"/>
    <w:rsid w:val="004C7913"/>
    <w:rsid w:val="004E30E7"/>
    <w:rsid w:val="004E4DD6"/>
    <w:rsid w:val="004F5E36"/>
    <w:rsid w:val="00507B47"/>
    <w:rsid w:val="00507CC9"/>
    <w:rsid w:val="00510D26"/>
    <w:rsid w:val="005119A5"/>
    <w:rsid w:val="005278B7"/>
    <w:rsid w:val="00532016"/>
    <w:rsid w:val="005346C8"/>
    <w:rsid w:val="005402AD"/>
    <w:rsid w:val="00543E7D"/>
    <w:rsid w:val="00546B05"/>
    <w:rsid w:val="00546B20"/>
    <w:rsid w:val="00547A68"/>
    <w:rsid w:val="005531C9"/>
    <w:rsid w:val="00557B2F"/>
    <w:rsid w:val="00560063"/>
    <w:rsid w:val="00582038"/>
    <w:rsid w:val="005B2110"/>
    <w:rsid w:val="005B61E6"/>
    <w:rsid w:val="005C5079"/>
    <w:rsid w:val="005C77E1"/>
    <w:rsid w:val="005D6A2F"/>
    <w:rsid w:val="005E1A82"/>
    <w:rsid w:val="005E794C"/>
    <w:rsid w:val="005F0A28"/>
    <w:rsid w:val="005F0E5E"/>
    <w:rsid w:val="00600535"/>
    <w:rsid w:val="00600782"/>
    <w:rsid w:val="006020D0"/>
    <w:rsid w:val="0060349E"/>
    <w:rsid w:val="00610CD6"/>
    <w:rsid w:val="00620DEE"/>
    <w:rsid w:val="00621F92"/>
    <w:rsid w:val="00625639"/>
    <w:rsid w:val="00631A97"/>
    <w:rsid w:val="00631B33"/>
    <w:rsid w:val="00636930"/>
    <w:rsid w:val="0064184D"/>
    <w:rsid w:val="006422CC"/>
    <w:rsid w:val="006447A6"/>
    <w:rsid w:val="006574A4"/>
    <w:rsid w:val="006601A8"/>
    <w:rsid w:val="00660E3E"/>
    <w:rsid w:val="00662E74"/>
    <w:rsid w:val="0066787C"/>
    <w:rsid w:val="00673E1C"/>
    <w:rsid w:val="00680C23"/>
    <w:rsid w:val="00683E7E"/>
    <w:rsid w:val="00693766"/>
    <w:rsid w:val="006A0F99"/>
    <w:rsid w:val="006A2EF4"/>
    <w:rsid w:val="006A3281"/>
    <w:rsid w:val="006A4B94"/>
    <w:rsid w:val="006A5801"/>
    <w:rsid w:val="006B4888"/>
    <w:rsid w:val="006C2E45"/>
    <w:rsid w:val="006C359C"/>
    <w:rsid w:val="006C5579"/>
    <w:rsid w:val="006D4B18"/>
    <w:rsid w:val="006D75B2"/>
    <w:rsid w:val="006E737D"/>
    <w:rsid w:val="0070085F"/>
    <w:rsid w:val="0070195D"/>
    <w:rsid w:val="00711255"/>
    <w:rsid w:val="00720A24"/>
    <w:rsid w:val="00732386"/>
    <w:rsid w:val="007437B5"/>
    <w:rsid w:val="007447F3"/>
    <w:rsid w:val="0075499F"/>
    <w:rsid w:val="00756A6F"/>
    <w:rsid w:val="007661C8"/>
    <w:rsid w:val="0077098D"/>
    <w:rsid w:val="00774C44"/>
    <w:rsid w:val="0078525A"/>
    <w:rsid w:val="00792BFC"/>
    <w:rsid w:val="007931FA"/>
    <w:rsid w:val="007957AD"/>
    <w:rsid w:val="007A4AD4"/>
    <w:rsid w:val="007A7BBA"/>
    <w:rsid w:val="007B0C50"/>
    <w:rsid w:val="007C1A43"/>
    <w:rsid w:val="007D5171"/>
    <w:rsid w:val="007E0C24"/>
    <w:rsid w:val="007E1DC6"/>
    <w:rsid w:val="007E3305"/>
    <w:rsid w:val="007E40E0"/>
    <w:rsid w:val="007F085F"/>
    <w:rsid w:val="007F6E4F"/>
    <w:rsid w:val="00801E65"/>
    <w:rsid w:val="00804FD8"/>
    <w:rsid w:val="00813288"/>
    <w:rsid w:val="008149D1"/>
    <w:rsid w:val="008168FC"/>
    <w:rsid w:val="00830996"/>
    <w:rsid w:val="0083340B"/>
    <w:rsid w:val="008345F1"/>
    <w:rsid w:val="00853152"/>
    <w:rsid w:val="00854EB1"/>
    <w:rsid w:val="00865B07"/>
    <w:rsid w:val="008667EA"/>
    <w:rsid w:val="0087637F"/>
    <w:rsid w:val="00881434"/>
    <w:rsid w:val="00882181"/>
    <w:rsid w:val="008904B9"/>
    <w:rsid w:val="00892AD5"/>
    <w:rsid w:val="0089430E"/>
    <w:rsid w:val="008A1512"/>
    <w:rsid w:val="008A30E7"/>
    <w:rsid w:val="008B726A"/>
    <w:rsid w:val="008C78C1"/>
    <w:rsid w:val="008C7D66"/>
    <w:rsid w:val="008D32B9"/>
    <w:rsid w:val="008D433B"/>
    <w:rsid w:val="008D6220"/>
    <w:rsid w:val="008E216D"/>
    <w:rsid w:val="008E566E"/>
    <w:rsid w:val="008F2114"/>
    <w:rsid w:val="00901018"/>
    <w:rsid w:val="0090161A"/>
    <w:rsid w:val="00901EB6"/>
    <w:rsid w:val="00903458"/>
    <w:rsid w:val="00904C62"/>
    <w:rsid w:val="00905404"/>
    <w:rsid w:val="00912A2E"/>
    <w:rsid w:val="00924DAC"/>
    <w:rsid w:val="00927058"/>
    <w:rsid w:val="00941E6F"/>
    <w:rsid w:val="009442CE"/>
    <w:rsid w:val="009450CE"/>
    <w:rsid w:val="00947179"/>
    <w:rsid w:val="0095164B"/>
    <w:rsid w:val="00954090"/>
    <w:rsid w:val="009573E7"/>
    <w:rsid w:val="009635B9"/>
    <w:rsid w:val="00963E05"/>
    <w:rsid w:val="00967D54"/>
    <w:rsid w:val="0097551C"/>
    <w:rsid w:val="00977C63"/>
    <w:rsid w:val="009947AA"/>
    <w:rsid w:val="0099596C"/>
    <w:rsid w:val="00996483"/>
    <w:rsid w:val="00996F5A"/>
    <w:rsid w:val="0099738D"/>
    <w:rsid w:val="009A0A3E"/>
    <w:rsid w:val="009A1840"/>
    <w:rsid w:val="009A568D"/>
    <w:rsid w:val="009B041A"/>
    <w:rsid w:val="009B24D5"/>
    <w:rsid w:val="009C7C86"/>
    <w:rsid w:val="009D2FF7"/>
    <w:rsid w:val="009E7884"/>
    <w:rsid w:val="009E788A"/>
    <w:rsid w:val="009F0E08"/>
    <w:rsid w:val="00A0234E"/>
    <w:rsid w:val="00A14E7F"/>
    <w:rsid w:val="00A1763D"/>
    <w:rsid w:val="00A17CEC"/>
    <w:rsid w:val="00A17E57"/>
    <w:rsid w:val="00A23D32"/>
    <w:rsid w:val="00A2725B"/>
    <w:rsid w:val="00A2792F"/>
    <w:rsid w:val="00A27EF0"/>
    <w:rsid w:val="00A30F5D"/>
    <w:rsid w:val="00A32FA9"/>
    <w:rsid w:val="00A35414"/>
    <w:rsid w:val="00A40661"/>
    <w:rsid w:val="00A50B20"/>
    <w:rsid w:val="00A51390"/>
    <w:rsid w:val="00A60D13"/>
    <w:rsid w:val="00A620FF"/>
    <w:rsid w:val="00A72745"/>
    <w:rsid w:val="00A76EFC"/>
    <w:rsid w:val="00A91010"/>
    <w:rsid w:val="00A97F29"/>
    <w:rsid w:val="00AA0128"/>
    <w:rsid w:val="00AA238D"/>
    <w:rsid w:val="00AA5F97"/>
    <w:rsid w:val="00AA702E"/>
    <w:rsid w:val="00AB0964"/>
    <w:rsid w:val="00AB12C7"/>
    <w:rsid w:val="00AB1E4C"/>
    <w:rsid w:val="00AB4999"/>
    <w:rsid w:val="00AB5011"/>
    <w:rsid w:val="00AC0722"/>
    <w:rsid w:val="00AC7368"/>
    <w:rsid w:val="00AD16B9"/>
    <w:rsid w:val="00AE377D"/>
    <w:rsid w:val="00AE3BEE"/>
    <w:rsid w:val="00AF0DEF"/>
    <w:rsid w:val="00AF28C5"/>
    <w:rsid w:val="00AF3419"/>
    <w:rsid w:val="00B04227"/>
    <w:rsid w:val="00B17FBD"/>
    <w:rsid w:val="00B25D44"/>
    <w:rsid w:val="00B27890"/>
    <w:rsid w:val="00B315A6"/>
    <w:rsid w:val="00B31813"/>
    <w:rsid w:val="00B33365"/>
    <w:rsid w:val="00B41507"/>
    <w:rsid w:val="00B54CDB"/>
    <w:rsid w:val="00B57B36"/>
    <w:rsid w:val="00B82B7E"/>
    <w:rsid w:val="00B8686D"/>
    <w:rsid w:val="00B9391D"/>
    <w:rsid w:val="00B9767C"/>
    <w:rsid w:val="00BA023D"/>
    <w:rsid w:val="00BA58A2"/>
    <w:rsid w:val="00BB4137"/>
    <w:rsid w:val="00BB4ABD"/>
    <w:rsid w:val="00BC30C9"/>
    <w:rsid w:val="00BD3C74"/>
    <w:rsid w:val="00BE3E58"/>
    <w:rsid w:val="00BF27EA"/>
    <w:rsid w:val="00BF339B"/>
    <w:rsid w:val="00BF63EA"/>
    <w:rsid w:val="00C015C5"/>
    <w:rsid w:val="00C01616"/>
    <w:rsid w:val="00C0162B"/>
    <w:rsid w:val="00C03847"/>
    <w:rsid w:val="00C049FE"/>
    <w:rsid w:val="00C24E59"/>
    <w:rsid w:val="00C33291"/>
    <w:rsid w:val="00C345B1"/>
    <w:rsid w:val="00C40142"/>
    <w:rsid w:val="00C40E31"/>
    <w:rsid w:val="00C443F9"/>
    <w:rsid w:val="00C455F3"/>
    <w:rsid w:val="00C56A99"/>
    <w:rsid w:val="00C57182"/>
    <w:rsid w:val="00C57863"/>
    <w:rsid w:val="00C655FD"/>
    <w:rsid w:val="00C669FC"/>
    <w:rsid w:val="00C73CFC"/>
    <w:rsid w:val="00C77EBE"/>
    <w:rsid w:val="00C870A8"/>
    <w:rsid w:val="00C94434"/>
    <w:rsid w:val="00C95BD0"/>
    <w:rsid w:val="00CA0D75"/>
    <w:rsid w:val="00CA1C95"/>
    <w:rsid w:val="00CA1F0E"/>
    <w:rsid w:val="00CA5A9C"/>
    <w:rsid w:val="00CB2EB0"/>
    <w:rsid w:val="00CD3517"/>
    <w:rsid w:val="00CD5A00"/>
    <w:rsid w:val="00CD5FE2"/>
    <w:rsid w:val="00CE132F"/>
    <w:rsid w:val="00CE7C68"/>
    <w:rsid w:val="00D02B4C"/>
    <w:rsid w:val="00D040C4"/>
    <w:rsid w:val="00D404E9"/>
    <w:rsid w:val="00D56BA8"/>
    <w:rsid w:val="00D57C84"/>
    <w:rsid w:val="00D6057D"/>
    <w:rsid w:val="00D64EF4"/>
    <w:rsid w:val="00D772D0"/>
    <w:rsid w:val="00D7760D"/>
    <w:rsid w:val="00D84576"/>
    <w:rsid w:val="00D94964"/>
    <w:rsid w:val="00DA1399"/>
    <w:rsid w:val="00DA24C6"/>
    <w:rsid w:val="00DA4D7B"/>
    <w:rsid w:val="00DC1451"/>
    <w:rsid w:val="00DD54CE"/>
    <w:rsid w:val="00DD57C0"/>
    <w:rsid w:val="00DE264A"/>
    <w:rsid w:val="00E02D18"/>
    <w:rsid w:val="00E041E7"/>
    <w:rsid w:val="00E2004E"/>
    <w:rsid w:val="00E23CA1"/>
    <w:rsid w:val="00E26995"/>
    <w:rsid w:val="00E40497"/>
    <w:rsid w:val="00E409A8"/>
    <w:rsid w:val="00E40E55"/>
    <w:rsid w:val="00E43C22"/>
    <w:rsid w:val="00E50C12"/>
    <w:rsid w:val="00E5460E"/>
    <w:rsid w:val="00E56483"/>
    <w:rsid w:val="00E65B91"/>
    <w:rsid w:val="00E7209D"/>
    <w:rsid w:val="00E77223"/>
    <w:rsid w:val="00E847A3"/>
    <w:rsid w:val="00E8528B"/>
    <w:rsid w:val="00E85B94"/>
    <w:rsid w:val="00E978D0"/>
    <w:rsid w:val="00E97D18"/>
    <w:rsid w:val="00EA1421"/>
    <w:rsid w:val="00EA4613"/>
    <w:rsid w:val="00EA6642"/>
    <w:rsid w:val="00EA7F91"/>
    <w:rsid w:val="00EB1523"/>
    <w:rsid w:val="00EC0E49"/>
    <w:rsid w:val="00EE0131"/>
    <w:rsid w:val="00EE16C7"/>
    <w:rsid w:val="00EF3440"/>
    <w:rsid w:val="00EF608E"/>
    <w:rsid w:val="00F01C7A"/>
    <w:rsid w:val="00F1014C"/>
    <w:rsid w:val="00F155B2"/>
    <w:rsid w:val="00F26D66"/>
    <w:rsid w:val="00F30C64"/>
    <w:rsid w:val="00F30FDA"/>
    <w:rsid w:val="00F31FE7"/>
    <w:rsid w:val="00F32CDB"/>
    <w:rsid w:val="00F43FC7"/>
    <w:rsid w:val="00F63A70"/>
    <w:rsid w:val="00F93135"/>
    <w:rsid w:val="00FA21D0"/>
    <w:rsid w:val="00FA5F5F"/>
    <w:rsid w:val="00FA7898"/>
    <w:rsid w:val="00FB2B43"/>
    <w:rsid w:val="00FB730C"/>
    <w:rsid w:val="00FC2695"/>
    <w:rsid w:val="00FC3E03"/>
    <w:rsid w:val="00FC3FC1"/>
    <w:rsid w:val="00FD2BAD"/>
    <w:rsid w:val="00FE21DD"/>
    <w:rsid w:val="00FF61A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0A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odoEspaoReservado">
    <w:name w:val="Placeholder Text"/>
    <w:basedOn w:val="Fontepargpadro"/>
    <w:uiPriority w:val="99"/>
    <w:semiHidden/>
    <w:rsid w:val="0058203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odoEspaoReservado">
    <w:name w:val="Placeholder Text"/>
    <w:basedOn w:val="Fontepargpadro"/>
    <w:uiPriority w:val="99"/>
    <w:semiHidden/>
    <w:rsid w:val="00582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272AF-21A7-4738-93B4-1525715C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2985</Words>
  <Characters>16119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Nahieh</dc:creator>
  <cp:lastModifiedBy>Usuário do Windows</cp:lastModifiedBy>
  <cp:revision>6</cp:revision>
  <cp:lastPrinted>2019-01-30T22:14:00Z</cp:lastPrinted>
  <dcterms:created xsi:type="dcterms:W3CDTF">2019-04-02T15:46:00Z</dcterms:created>
  <dcterms:modified xsi:type="dcterms:W3CDTF">2019-04-15T12:23:00Z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