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643AF31" w14:textId="77777777">
        <w:trPr>
          <w:trHeight w:val="852"/>
          <w:jc w:val="center"/>
        </w:trPr>
        <w:tc>
          <w:tcPr>
            <w:tcW w:w="6946" w:type="dxa"/>
            <w:vMerge w:val="restart"/>
            <w:tcBorders>
              <w:right w:val="single" w:sz="4" w:space="0" w:color="auto"/>
            </w:tcBorders>
          </w:tcPr>
          <w:p w14:paraId="388069BB"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5C5CE93A" wp14:editId="736C3826">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3164FD48"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0A557E8A"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CE41D46" w14:textId="77777777" w:rsidR="000A03B2" w:rsidRPr="00B57B36" w:rsidRDefault="000A03B2" w:rsidP="00CD5FE2">
            <w:pPr>
              <w:jc w:val="right"/>
            </w:pPr>
            <w:r w:rsidRPr="00B57B36">
              <w:rPr>
                <w:noProof/>
                <w:lang w:val="pt-BR" w:eastAsia="pt-BR"/>
              </w:rPr>
              <w:drawing>
                <wp:inline distT="0" distB="0" distL="0" distR="0" wp14:anchorId="19B30118" wp14:editId="033DAFC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5926112A" w14:textId="77777777">
        <w:trPr>
          <w:trHeight w:val="567"/>
          <w:jc w:val="center"/>
        </w:trPr>
        <w:tc>
          <w:tcPr>
            <w:tcW w:w="6946" w:type="dxa"/>
            <w:vMerge/>
            <w:tcBorders>
              <w:right w:val="single" w:sz="4" w:space="0" w:color="auto"/>
            </w:tcBorders>
          </w:tcPr>
          <w:p w14:paraId="0DA4BD73"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0404A5AB"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41545023"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5A931F56"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4142123E" w14:textId="77777777">
        <w:trPr>
          <w:trHeight w:val="68"/>
          <w:jc w:val="center"/>
        </w:trPr>
        <w:tc>
          <w:tcPr>
            <w:tcW w:w="8789" w:type="dxa"/>
            <w:gridSpan w:val="2"/>
          </w:tcPr>
          <w:p w14:paraId="246D59D1"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121B6D70"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EC2A2FA"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2BF30B1E" w14:textId="77777777" w:rsidR="00B94C93" w:rsidRPr="001209D4" w:rsidRDefault="00B94C93" w:rsidP="00B94C93">
      <w:pPr>
        <w:pStyle w:val="CETTitle"/>
      </w:pPr>
      <w:r w:rsidRPr="001209D4">
        <w:t>Hydrogenolysis of bagasse and straw to 1,2-PDO: feasibility of conceptual designs</w:t>
      </w:r>
    </w:p>
    <w:p w14:paraId="25FE3D84" w14:textId="77777777" w:rsidR="00B94C93" w:rsidRPr="008F29AB" w:rsidRDefault="00B94C93" w:rsidP="00B94C93">
      <w:pPr>
        <w:pStyle w:val="CETAuthors"/>
        <w:rPr>
          <w:lang w:val="pt-BR"/>
        </w:rPr>
      </w:pPr>
      <w:r w:rsidRPr="008F29AB">
        <w:rPr>
          <w:lang w:val="pt-BR"/>
        </w:rPr>
        <w:t>Marina P. Oncken*, Andressa N. Marchesan, Maria Regina Wolf Maciel, Rubens Maciel Filho</w:t>
      </w:r>
    </w:p>
    <w:p w14:paraId="258AAC99" w14:textId="77777777" w:rsidR="00B94C93" w:rsidRPr="00B94C93" w:rsidRDefault="00B94C93" w:rsidP="00B94C93">
      <w:pPr>
        <w:pStyle w:val="CETAddress"/>
      </w:pPr>
      <w:r w:rsidRPr="00B94C93">
        <w:t>Laboratory of Optimization, Design and Advanced Control, School of Chemical Engineering, State University of Campinas, Av. Albert Einstein 500, Campinas, Postcode: 13083-852, Brazil</w:t>
      </w:r>
    </w:p>
    <w:p w14:paraId="540C3389" w14:textId="5D08D77D" w:rsidR="00B94C93" w:rsidRDefault="009467F7" w:rsidP="00B94C93">
      <w:pPr>
        <w:pStyle w:val="CETemail"/>
      </w:pPr>
      <w:hyperlink r:id="rId10" w:history="1">
        <w:r w:rsidR="00B94C93" w:rsidRPr="00B94C93">
          <w:t>marina.oncken@gmail.com</w:t>
        </w:r>
      </w:hyperlink>
    </w:p>
    <w:p w14:paraId="6C167233" w14:textId="77777777" w:rsidR="008E07CC" w:rsidRPr="007934B7" w:rsidRDefault="008E07CC" w:rsidP="008E07CC">
      <w:pPr>
        <w:pStyle w:val="CETBodytext"/>
        <w:tabs>
          <w:tab w:val="left" w:pos="426"/>
        </w:tabs>
        <w:rPr>
          <w:color w:val="FF0000"/>
          <w:lang w:val="en-GB"/>
        </w:rPr>
      </w:pPr>
      <w:r w:rsidRPr="007934B7">
        <w:rPr>
          <w:lang w:val="en-GB"/>
        </w:rPr>
        <w:t xml:space="preserve">In the last few years, the need to substantially lower anthropogenic greenhouse gas emissions </w:t>
      </w:r>
      <w:proofErr w:type="gramStart"/>
      <w:r w:rsidRPr="007934B7">
        <w:rPr>
          <w:lang w:val="en-GB"/>
        </w:rPr>
        <w:t>has</w:t>
      </w:r>
      <w:proofErr w:type="gramEnd"/>
      <w:r w:rsidRPr="007934B7">
        <w:rPr>
          <w:lang w:val="en-GB"/>
        </w:rPr>
        <w:t xml:space="preserve"> boosted efforts to design biorefineries, where all parts of biomass are used to produce fuels and chemicals. 1,2-propanediol (1,2-PDO) has gained attention for its many, industry-relevant uses and for the success of the commercialization of the glycerol-based route. In face of the many uncertainties on the future </w:t>
      </w:r>
      <w:proofErr w:type="spellStart"/>
      <w:r w:rsidRPr="007934B7">
        <w:rPr>
          <w:lang w:val="en-GB"/>
        </w:rPr>
        <w:t>bioeconomy</w:t>
      </w:r>
      <w:proofErr w:type="spellEnd"/>
      <w:r w:rsidRPr="007934B7">
        <w:rPr>
          <w:lang w:val="en-GB"/>
        </w:rPr>
        <w:t xml:space="preserve">, new routes for 1,2-PDO production are encouraged </w:t>
      </w:r>
      <w:proofErr w:type="gramStart"/>
      <w:r w:rsidRPr="007934B7">
        <w:rPr>
          <w:lang w:val="en-GB"/>
        </w:rPr>
        <w:t>as a way to</w:t>
      </w:r>
      <w:proofErr w:type="gramEnd"/>
      <w:r w:rsidRPr="007934B7">
        <w:rPr>
          <w:lang w:val="en-GB"/>
        </w:rPr>
        <w:t xml:space="preserve"> both diversify supply and add value to other products.</w:t>
      </w:r>
      <w:r>
        <w:rPr>
          <w:lang w:val="en-GB"/>
        </w:rPr>
        <w:t xml:space="preserve"> </w:t>
      </w:r>
      <w:r w:rsidRPr="007934B7">
        <w:rPr>
          <w:lang w:val="en-GB"/>
        </w:rPr>
        <w:t>That is the reason why catalysts for its production from cellulose have been developed over the last years. To provide a process-based perspective on that subject, this study presents a simulation-based analysis of the process, providing valuable information to fill in the gaps in present knowledge on the use of cellulose and sugars to produce 1,2-PDO. Thermodynamic simulations developed in Aspen Plus® v9 explored</w:t>
      </w:r>
      <w:r>
        <w:rPr>
          <w:lang w:val="en-GB"/>
        </w:rPr>
        <w:t xml:space="preserve"> glucose hydrogenolysis</w:t>
      </w:r>
      <w:r w:rsidRPr="007934B7">
        <w:rPr>
          <w:lang w:val="en-GB"/>
        </w:rPr>
        <w:t xml:space="preserve"> to produce 1,2-PDO</w:t>
      </w:r>
      <w:r>
        <w:rPr>
          <w:lang w:val="en-GB"/>
        </w:rPr>
        <w:t xml:space="preserve"> as a model compound representing cellulose</w:t>
      </w:r>
      <w:r w:rsidRPr="007934B7">
        <w:rPr>
          <w:lang w:val="en-GB"/>
        </w:rPr>
        <w:t>.</w:t>
      </w:r>
    </w:p>
    <w:p w14:paraId="788087D9" w14:textId="77777777" w:rsidR="002D3375" w:rsidRDefault="002D3375" w:rsidP="002D3375">
      <w:pPr>
        <w:pStyle w:val="CETHeading1"/>
        <w:rPr>
          <w:lang w:val="en-GB"/>
        </w:rPr>
      </w:pPr>
      <w:r w:rsidRPr="00B57B36">
        <w:rPr>
          <w:lang w:val="en-GB"/>
        </w:rPr>
        <w:t>Introduction</w:t>
      </w:r>
    </w:p>
    <w:p w14:paraId="75E881CC" w14:textId="176FEE0E" w:rsidR="002D3375" w:rsidRPr="004541E0" w:rsidRDefault="003835BF" w:rsidP="002D3375">
      <w:pPr>
        <w:pStyle w:val="CETBodytext"/>
        <w:rPr>
          <w:lang w:val="en-GB"/>
        </w:rPr>
      </w:pPr>
      <w:r>
        <w:rPr>
          <w:lang w:val="en-GB"/>
        </w:rPr>
        <w:t>1</w:t>
      </w:r>
      <w:r w:rsidR="002D3375" w:rsidRPr="004541E0">
        <w:rPr>
          <w:lang w:val="en-GB"/>
        </w:rPr>
        <w:t>,2-propanediol (1,2-PDO) has been evaluated as one of the most promising chemicals for renewable production due to its mature market volume – having application in many industries either alone or as a building block – and to the success of the glycerol-based route</w:t>
      </w:r>
      <w:r w:rsidR="00CD216D" w:rsidRPr="004541E0">
        <w:rPr>
          <w:lang w:val="en-GB"/>
        </w:rPr>
        <w:t xml:space="preserve"> </w:t>
      </w:r>
      <w:r w:rsidR="00CD216D" w:rsidRPr="004541E0">
        <w:rPr>
          <w:lang w:val="en-GB"/>
        </w:rPr>
        <w:fldChar w:fldCharType="begin" w:fldLock="1"/>
      </w:r>
      <w:r w:rsidR="00CD216D" w:rsidRPr="004541E0">
        <w:rPr>
          <w:lang w:val="en-GB"/>
        </w:rPr>
        <w:instrText>ADDIN CSL_CITATION {"citationItems":[{"id":"ITEM-1","itemData":{"DOI":"10.2172/1244312","abstract":"As outlined by the U.S. Department of Energy Bioenergy Technologies Office, biomass “utilization for fuels, products, and power is recognized as a critical component in the nation’s strategic plan to address our continued dependence on volatile supplies and prices of imported oil” (Bioenergy Technologies Office 2015). Production of chemicals from biomass offers a promising opportunity to reduce U.S. dependence on imported oil, as well as to improve the overall economics and sustainability of an integrated biorefinery. In considering petroleum refinery economics, 15% of the entire barrel of oil goes toward the production of chemical products, while chemical products account for nearly 50% of the profits (Bioenergy Technologies Office 2014, Rinaldi and Schuth 2009). Chemical production, however, also has a big impact on the overall sustainability of a refinery process. As reviewed in recent International Energy Agency reports, the chemicals industry accounts for 30% of the total industrial energy demand worldwide and is responsible for 20% of the industrial greenhouse gas emissions (IEA 2013). There are therefore clear opportunities to positively impact the economics and sustainability of an integrated biorefinery by displacing/replacing fossil-derived chemicals with bio-derived products and, in response, the market for bioproducts is expected to grow over the next several decades. Recent analysis projects the market share of bio-based chemicals in the global chemical industry will increase from 2% in 2008 to 22% in 2025, and the market potential for bio-based chemicals will be $19.7 billion in 2016 (Bergeson, Auer, and Peveler 2012, Lux Research 2011, Williamson 2010).","author":[{"dropping-particle":"","family":"Biddy","given":"Mary J.","non-dropping-particle":"","parse-names":false,"suffix":""},{"dropping-particle":"","family":"Scarlata","given":"Christopher","non-dropping-particle":"","parse-names":false,"suffix":""},{"dropping-particle":"","family":"Kinchin","given":"Christopher","non-dropping-particle":"","parse-names":false,"suffix":""}],"container-title":"NREL Technical Report NREL/TP-5100-65509","id":"ITEM-1","issue":"March","issued":{"date-parts":[["2016"]]},"page":"131","title":"Chemicals from Biomass: A Market Assessment of Bioproducts with Near-Term Potential","type":"article-journal"},"uris":["http://www.mendeley.com/documents/?uuid=7d00ebd0-02a0-42ce-a931-45a85e16b01e"]}],"mendeley":{"formattedCitation":"(Biddy et al., 2016)","plainTextFormattedCitation":"(Biddy et al., 2016)","previouslyFormattedCitation":"(Biddy et al., 2016)"},"properties":{"noteIndex":0},"schema":"https://github.com/citation-style-language/schema/raw/master/csl-citation.json"}</w:instrText>
      </w:r>
      <w:r w:rsidR="00CD216D" w:rsidRPr="004541E0">
        <w:rPr>
          <w:lang w:val="en-GB"/>
        </w:rPr>
        <w:fldChar w:fldCharType="separate"/>
      </w:r>
      <w:r w:rsidR="00CD216D" w:rsidRPr="004541E0">
        <w:rPr>
          <w:noProof/>
          <w:lang w:val="en-GB"/>
        </w:rPr>
        <w:t>(Biddy et al., 2016)</w:t>
      </w:r>
      <w:r w:rsidR="00CD216D" w:rsidRPr="004541E0">
        <w:rPr>
          <w:lang w:val="en-GB"/>
        </w:rPr>
        <w:fldChar w:fldCharType="end"/>
      </w:r>
      <w:r w:rsidR="002D3375" w:rsidRPr="004541E0">
        <w:rPr>
          <w:lang w:val="en-GB"/>
        </w:rPr>
        <w:t xml:space="preserve">. The commercialization of glycerol </w:t>
      </w:r>
      <w:r w:rsidR="007A0B2B">
        <w:rPr>
          <w:lang w:val="en-GB"/>
        </w:rPr>
        <w:t xml:space="preserve">(GLY) </w:t>
      </w:r>
      <w:r w:rsidR="002D3375" w:rsidRPr="004541E0">
        <w:rPr>
          <w:lang w:val="en-GB"/>
        </w:rPr>
        <w:t xml:space="preserve">hydrogenolysis, however, has been driven by the production of </w:t>
      </w:r>
      <w:r w:rsidR="0050386F" w:rsidRPr="004541E0">
        <w:rPr>
          <w:lang w:val="en-GB"/>
        </w:rPr>
        <w:t xml:space="preserve">low-value </w:t>
      </w:r>
      <w:r w:rsidR="002D3375" w:rsidRPr="004541E0">
        <w:rPr>
          <w:lang w:val="en-GB"/>
        </w:rPr>
        <w:t>glycerol as a by</w:t>
      </w:r>
      <w:r w:rsidR="007060F4" w:rsidRPr="004541E0">
        <w:rPr>
          <w:lang w:val="en-GB"/>
        </w:rPr>
        <w:t>-</w:t>
      </w:r>
      <w:r w:rsidR="002D3375" w:rsidRPr="004541E0">
        <w:rPr>
          <w:lang w:val="en-GB"/>
        </w:rPr>
        <w:t>product of the developing biodiesel industry, and a strong motivation to operationalize new routes for bio-1,2-PDO production is the risk that government subsidies for this industry may cease and that biodiesel production may shift toward a different route, decreasing glycerol availability</w:t>
      </w:r>
      <w:r w:rsidR="00CD216D" w:rsidRPr="004541E0">
        <w:rPr>
          <w:lang w:val="en-GB"/>
        </w:rPr>
        <w:t xml:space="preserve"> </w:t>
      </w:r>
      <w:r w:rsidR="00CD216D" w:rsidRPr="004541E0">
        <w:rPr>
          <w:lang w:val="en-GB"/>
        </w:rPr>
        <w:fldChar w:fldCharType="begin" w:fldLock="1"/>
      </w:r>
      <w:r w:rsidR="00CD216D" w:rsidRPr="004541E0">
        <w:rPr>
          <w:lang w:val="en-GB"/>
        </w:rPr>
        <w:instrText>ADDIN CSL_CITATION {"citationItems":[{"id":"ITEM-1","itemData":{"DOI":"10.2172/1244312","abstract":"As outlined by the U.S. Department of Energy Bioenergy Technologies Office, biomass “utilization for fuels, products, and power is recognized as a critical component in the nation’s strategic plan to address our continued dependence on volatile supplies and prices of imported oil” (Bioenergy Technologies Office 2015). Production of chemicals from biomass offers a promising opportunity to reduce U.S. dependence on imported oil, as well as to improve the overall economics and sustainability of an integrated biorefinery. In considering petroleum refinery economics, 15% of the entire barrel of oil goes toward the production of chemical products, while chemical products account for nearly 50% of the profits (Bioenergy Technologies Office 2014, Rinaldi and Schuth 2009). Chemical production, however, also has a big impact on the overall sustainability of a refinery process. As reviewed in recent International Energy Agency reports, the chemicals industry accounts for 30% of the total industrial energy demand worldwide and is responsible for 20% of the industrial greenhouse gas emissions (IEA 2013). There are therefore clear opportunities to positively impact the economics and sustainability of an integrated biorefinery by displacing/replacing fossil-derived chemicals with bio-derived products and, in response, the market for bioproducts is expected to grow over the next several decades. Recent analysis projects the market share of bio-based chemicals in the global chemical industry will increase from 2% in 2008 to 22% in 2025, and the market potential for bio-based chemicals will be $19.7 billion in 2016 (Bergeson, Auer, and Peveler 2012, Lux Research 2011, Williamson 2010).","author":[{"dropping-particle":"","family":"Biddy","given":"Mary J.","non-dropping-particle":"","parse-names":false,"suffix":""},{"dropping-particle":"","family":"Scarlata","given":"Christopher","non-dropping-particle":"","parse-names":false,"suffix":""},{"dropping-particle":"","family":"Kinchin","given":"Christopher","non-dropping-particle":"","parse-names":false,"suffix":""}],"container-title":"NREL Technical Report NREL/TP-5100-65509","id":"ITEM-1","issue":"March","issued":{"date-parts":[["2016"]]},"page":"131","title":"Chemicals from Biomass: A Market Assessment of Bioproducts with Near-Term Potential","type":"article-journal"},"uris":["http://www.mendeley.com/documents/?uuid=7d00ebd0-02a0-42ce-a931-45a85e16b01e"]}],"mendeley":{"formattedCitation":"(Biddy et al., 2016)","plainTextFormattedCitation":"(Biddy et al., 2016)","previouslyFormattedCitation":"(Biddy et al., 2016)"},"properties":{"noteIndex":0},"schema":"https://github.com/citation-style-language/schema/raw/master/csl-citation.json"}</w:instrText>
      </w:r>
      <w:r w:rsidR="00CD216D" w:rsidRPr="004541E0">
        <w:rPr>
          <w:lang w:val="en-GB"/>
        </w:rPr>
        <w:fldChar w:fldCharType="separate"/>
      </w:r>
      <w:r w:rsidR="00CD216D" w:rsidRPr="004541E0">
        <w:rPr>
          <w:noProof/>
          <w:lang w:val="en-GB"/>
        </w:rPr>
        <w:t>(Biddy et al., 2016)</w:t>
      </w:r>
      <w:r w:rsidR="00CD216D" w:rsidRPr="004541E0">
        <w:rPr>
          <w:lang w:val="en-GB"/>
        </w:rPr>
        <w:fldChar w:fldCharType="end"/>
      </w:r>
      <w:r w:rsidR="002D3375" w:rsidRPr="004541E0">
        <w:rPr>
          <w:lang w:val="en-GB"/>
        </w:rPr>
        <w:t>.</w:t>
      </w:r>
    </w:p>
    <w:p w14:paraId="7EE5BB21" w14:textId="2D5F2E94" w:rsidR="004541E0" w:rsidRPr="004541E0" w:rsidRDefault="00414A3A" w:rsidP="005C17C1">
      <w:pPr>
        <w:pStyle w:val="CETBodytext"/>
        <w:rPr>
          <w:lang w:val="en-GB"/>
        </w:rPr>
      </w:pPr>
      <w:r w:rsidRPr="004541E0">
        <w:rPr>
          <w:lang w:val="en-GB"/>
        </w:rPr>
        <w:t>Some alternatives have been studied, such as the hydrogenation of pure cellulose, which can be obtained from low-value by</w:t>
      </w:r>
      <w:r w:rsidR="007060F4" w:rsidRPr="004541E0">
        <w:rPr>
          <w:lang w:val="en-GB"/>
        </w:rPr>
        <w:t>-</w:t>
      </w:r>
      <w:r w:rsidRPr="004541E0">
        <w:rPr>
          <w:lang w:val="en-GB"/>
        </w:rPr>
        <w:t xml:space="preserve">products of many existing and developing biorefineries and, therefore, benefit from their infrastructure to consolidate bio-1,2-PDO market. </w:t>
      </w:r>
      <w:r w:rsidR="0050386F" w:rsidRPr="004541E0">
        <w:rPr>
          <w:lang w:val="en-GB"/>
        </w:rPr>
        <w:t xml:space="preserve">That is the reason why </w:t>
      </w:r>
      <w:r w:rsidR="004541E0" w:rsidRPr="004541E0">
        <w:rPr>
          <w:lang w:val="en-GB"/>
        </w:rPr>
        <w:t>some catalysts have been developed and tested</w:t>
      </w:r>
      <w:r w:rsidR="0050386F" w:rsidRPr="004541E0">
        <w:rPr>
          <w:lang w:val="en-GB"/>
        </w:rPr>
        <w:t xml:space="preserve"> in the last </w:t>
      </w:r>
      <w:r w:rsidR="004541E0" w:rsidRPr="004541E0">
        <w:rPr>
          <w:lang w:val="en-GB"/>
        </w:rPr>
        <w:t xml:space="preserve">ten </w:t>
      </w:r>
      <w:r w:rsidR="0050386F" w:rsidRPr="004541E0">
        <w:rPr>
          <w:lang w:val="en-GB"/>
        </w:rPr>
        <w:t xml:space="preserve">years, </w:t>
      </w:r>
      <w:r w:rsidR="005C17C1" w:rsidRPr="004541E0">
        <w:rPr>
          <w:lang w:val="en-GB"/>
        </w:rPr>
        <w:t xml:space="preserve">and, even though </w:t>
      </w:r>
      <w:r w:rsidR="004541E0" w:rsidRPr="004541E0">
        <w:rPr>
          <w:lang w:val="en-GB"/>
        </w:rPr>
        <w:t>cellulose</w:t>
      </w:r>
      <w:r w:rsidR="005C17C1" w:rsidRPr="004541E0">
        <w:rPr>
          <w:lang w:val="en-GB"/>
        </w:rPr>
        <w:t xml:space="preserve"> is a highly stable molecule, yields as high as 42.6 wt.%</w:t>
      </w:r>
      <w:r w:rsidR="004541E0" w:rsidRPr="004541E0">
        <w:rPr>
          <w:lang w:val="en-GB"/>
        </w:rPr>
        <w:t xml:space="preserve"> </w:t>
      </w:r>
      <w:r w:rsidR="004541E0" w:rsidRPr="004541E0">
        <w:rPr>
          <w:lang w:val="en-GB"/>
        </w:rPr>
        <w:fldChar w:fldCharType="begin" w:fldLock="1"/>
      </w:r>
      <w:r w:rsidR="004541E0">
        <w:rPr>
          <w:lang w:val="en-GB"/>
        </w:rPr>
        <w:instrText>ADDIN CSL_CITATION {"citationItems":[{"id":"ITEM-1","itemData":{"DOI":"10.1039/c3gc40134k","ISSN":"1463-9262","abstract":"Direct hydrogenolysis of highly concentrated cellulose (up to 15 wt%) into 1{,}2-propanediol and ethylene glycol without the formation of coke-like precipitates could be performed over CuCr catalysts. Addition of Ca(OH)2 results in a significant increase in the EG yield.","author":[{"dropping-particle":"","family":"Xiao","given":"Zihui","non-dropping-particle":"","parse-names":false,"suffix":""},{"dropping-particle":"","family":"Jin","given":"Shaohua","non-dropping-particle":"","parse-names":false,"suffix":""},{"dropping-particle":"","family":"Pang","given":"Min","non-dropping-particle":"","parse-names":false,"suffix":""},{"dropping-particle":"","family":"Liang","given":"Changhai","non-dropping-particle":"","parse-names":false,"suffix":""}],"container-title":"Green Chemistry","id":"ITEM-1","issue":"4","issued":{"date-parts":[["2013"]]},"page":"891","title":"Conversion of highly concentrated cellulose to 1,2-propanediol and ethylene glycol over highly efficient CuCr catalysts","type":"article-journal","volume":"15"},"uris":["http://www.mendeley.com/documents/?uuid=397f8ce9-2d62-4651-99ba-bd6d4e1b288c"]}],"mendeley":{"formattedCitation":"(Xiao et al., 2013)","plainTextFormattedCitation":"(Xiao et al., 2013)","previouslyFormattedCitation":"(Xiao et al., 2013)"},"properties":{"noteIndex":0},"schema":"https://github.com/citation-style-language/schema/raw/master/csl-citation.json"}</w:instrText>
      </w:r>
      <w:r w:rsidR="004541E0" w:rsidRPr="004541E0">
        <w:rPr>
          <w:lang w:val="en-GB"/>
        </w:rPr>
        <w:fldChar w:fldCharType="separate"/>
      </w:r>
      <w:r w:rsidR="004541E0" w:rsidRPr="004541E0">
        <w:rPr>
          <w:noProof/>
          <w:lang w:val="en-GB"/>
        </w:rPr>
        <w:t>(Xiao et al., 2013)</w:t>
      </w:r>
      <w:r w:rsidR="004541E0" w:rsidRPr="004541E0">
        <w:rPr>
          <w:lang w:val="en-GB"/>
        </w:rPr>
        <w:fldChar w:fldCharType="end"/>
      </w:r>
      <w:r w:rsidR="005C17C1" w:rsidRPr="004541E0">
        <w:rPr>
          <w:lang w:val="en-GB"/>
        </w:rPr>
        <w:t xml:space="preserve"> have been achieved</w:t>
      </w:r>
      <w:r w:rsidR="00CC6276">
        <w:rPr>
          <w:lang w:val="en-GB"/>
        </w:rPr>
        <w:t>.</w:t>
      </w:r>
      <w:r w:rsidR="00CC6276" w:rsidRPr="00CC6276">
        <w:rPr>
          <w:lang w:val="en-GB"/>
        </w:rPr>
        <w:t xml:space="preserve"> </w:t>
      </w:r>
      <w:r w:rsidR="00CC6276" w:rsidRPr="004541E0">
        <w:rPr>
          <w:lang w:val="en-GB"/>
        </w:rPr>
        <w:t xml:space="preserve">Since it allows adding value to many developing biorefineries and </w:t>
      </w:r>
      <w:r w:rsidR="003835BF">
        <w:rPr>
          <w:lang w:val="en-GB"/>
        </w:rPr>
        <w:t>is a route for</w:t>
      </w:r>
      <w:r w:rsidR="00CC6276" w:rsidRPr="004541E0">
        <w:rPr>
          <w:lang w:val="en-GB"/>
        </w:rPr>
        <w:t xml:space="preserve"> bio-1,2-PDO production with an alternative raw material to glycerol, it is a benefit to the market and to a </w:t>
      </w:r>
      <w:proofErr w:type="spellStart"/>
      <w:r w:rsidR="00CC6276" w:rsidRPr="004541E0">
        <w:rPr>
          <w:lang w:val="en-GB"/>
        </w:rPr>
        <w:t>biobased</w:t>
      </w:r>
      <w:proofErr w:type="spellEnd"/>
      <w:r w:rsidR="00CC6276" w:rsidRPr="004541E0">
        <w:rPr>
          <w:lang w:val="en-GB"/>
        </w:rPr>
        <w:t xml:space="preserve"> economy to explore this route more thoroughly.</w:t>
      </w:r>
    </w:p>
    <w:p w14:paraId="519F56DD" w14:textId="71B38594" w:rsidR="002B055B" w:rsidRDefault="00740D0E" w:rsidP="004541E0">
      <w:pPr>
        <w:pStyle w:val="CETBodytext"/>
        <w:rPr>
          <w:lang w:val="en-GB"/>
        </w:rPr>
      </w:pPr>
      <w:r w:rsidRPr="00B150D1">
        <w:rPr>
          <w:lang w:val="en-GB"/>
        </w:rPr>
        <w:t xml:space="preserve">The reaction network involved in </w:t>
      </w:r>
      <w:r w:rsidR="00DB5D45" w:rsidRPr="00B150D1">
        <w:rPr>
          <w:lang w:val="en-GB"/>
        </w:rPr>
        <w:t xml:space="preserve">cellulose and sugars hydrogenolysis is </w:t>
      </w:r>
      <w:r w:rsidR="00730228">
        <w:rPr>
          <w:lang w:val="en-GB"/>
        </w:rPr>
        <w:t>very</w:t>
      </w:r>
      <w:r w:rsidR="00DB5D45" w:rsidRPr="00B150D1">
        <w:rPr>
          <w:lang w:val="en-GB"/>
        </w:rPr>
        <w:t xml:space="preserve"> </w:t>
      </w:r>
      <w:r w:rsidR="00B150D1" w:rsidRPr="00B150D1">
        <w:rPr>
          <w:lang w:val="en-GB"/>
        </w:rPr>
        <w:t>diverse</w:t>
      </w:r>
      <w:r w:rsidR="00DB5D45" w:rsidRPr="00B150D1">
        <w:rPr>
          <w:lang w:val="en-GB"/>
        </w:rPr>
        <w:t xml:space="preserve"> </w:t>
      </w:r>
      <w:r w:rsidR="004541E0" w:rsidRPr="00B150D1">
        <w:rPr>
          <w:lang w:val="en-GB"/>
        </w:rPr>
        <w:fldChar w:fldCharType="begin" w:fldLock="1"/>
      </w:r>
      <w:r w:rsidR="00B150D1">
        <w:rPr>
          <w:lang w:val="en-GB"/>
        </w:rPr>
        <w:instrText>ADDIN CSL_CITATION {"citationItems":[{"id":"ITEM-1","itemData":{"author":[{"dropping-particle":"","family":"Beine","given":"Anna Katharina","non-dropping-particle":"","parse-names":false,"suffix":""},{"dropping-particle":"","family":"Hausoul","given":"Peter J C","non-dropping-particle":"","parse-names":false,"suffix":""},{"dropping-particle":"","family":"Palkovits","given":"Regina","non-dropping-particle":"","parse-names":false,"suffix":""}],"chapter-number":"10","container-title":"Chemicals and Fuels From Bio-Baseld Building Blocks","editor":[{"dropping-particle":"","family":"Cavani","given":"Fabrizio","non-dropping-particle":"","parse-names":false,"suffix":""},{"dropping-particle":"","family":"Albonetti","given":"Stefania","non-dropping-particle":"","parse-names":false,"suffix":""},{"dropping-particle":"","family":"Basile","given":"Francesco","non-dropping-particle":"","parse-names":false,"suffix":""},{"dropping-particle":"","family":"Gandini","given":"Alessandro","non-dropping-particle":"","parse-names":false,"suffix":""}],"id":"ITEM-1","issued":{"date-parts":[["2016"]]},"note":"glycerol (biodiesel production, food vx tank) - EG/1,2PG\nCellulose is more favorable because it does not compete and is widely available including in waste.","page":"245-269","publisher":"Wiley-VCH Verlag GmbH &amp; Co. KGaA","publisher-place":"Weinheim","title":"Production of Ethylene and Propylene Glycol from Lignocellulose","type":"chapter"},"uris":["http://www.mendeley.com/documents/?uuid=b472c199-a323-49a8-bc41-2ca7d76c5c18"]}],"mendeley":{"formattedCitation":"(Beine et al., 2016)","plainTextFormattedCitation":"(Beine et al., 2016)","previouslyFormattedCitation":"(Beine et al., 2016)"},"properties":{"noteIndex":0},"schema":"https://github.com/citation-style-language/schema/raw/master/csl-citation.json"}</w:instrText>
      </w:r>
      <w:r w:rsidR="004541E0" w:rsidRPr="00B150D1">
        <w:rPr>
          <w:lang w:val="en-GB"/>
        </w:rPr>
        <w:fldChar w:fldCharType="separate"/>
      </w:r>
      <w:r w:rsidR="004541E0" w:rsidRPr="00B150D1">
        <w:rPr>
          <w:noProof/>
          <w:lang w:val="en-GB"/>
        </w:rPr>
        <w:t>(Beine et al., 2016)</w:t>
      </w:r>
      <w:r w:rsidR="004541E0" w:rsidRPr="00B150D1">
        <w:rPr>
          <w:lang w:val="en-GB"/>
        </w:rPr>
        <w:fldChar w:fldCharType="end"/>
      </w:r>
      <w:r w:rsidR="004541E0" w:rsidRPr="00B150D1">
        <w:rPr>
          <w:lang w:val="en-GB"/>
        </w:rPr>
        <w:t xml:space="preserve"> </w:t>
      </w:r>
      <w:r w:rsidR="00DB5D45" w:rsidRPr="00B150D1">
        <w:rPr>
          <w:lang w:val="en-GB"/>
        </w:rPr>
        <w:t>and</w:t>
      </w:r>
      <w:r w:rsidR="00414A3A" w:rsidRPr="00B150D1">
        <w:rPr>
          <w:lang w:val="en-GB"/>
        </w:rPr>
        <w:t xml:space="preserve">, </w:t>
      </w:r>
      <w:r w:rsidR="00DB5D45" w:rsidRPr="00B150D1">
        <w:rPr>
          <w:lang w:val="en-GB"/>
        </w:rPr>
        <w:t>therefore,</w:t>
      </w:r>
      <w:r w:rsidR="00CC6276" w:rsidRPr="00B150D1">
        <w:rPr>
          <w:lang w:val="en-GB"/>
        </w:rPr>
        <w:t xml:space="preserve"> no</w:t>
      </w:r>
      <w:r w:rsidR="00874CEA" w:rsidRPr="00B150D1">
        <w:rPr>
          <w:lang w:val="en-GB"/>
        </w:rPr>
        <w:t xml:space="preserve"> efforts have been made yet to </w:t>
      </w:r>
      <w:r w:rsidR="00DB5D45" w:rsidRPr="00B150D1">
        <w:rPr>
          <w:lang w:val="en-GB"/>
        </w:rPr>
        <w:t xml:space="preserve">kinetically model or </w:t>
      </w:r>
      <w:r w:rsidR="00874CEA" w:rsidRPr="00B150D1">
        <w:rPr>
          <w:lang w:val="en-GB"/>
        </w:rPr>
        <w:t xml:space="preserve">conceptually design and assess </w:t>
      </w:r>
      <w:r w:rsidR="00CC6276" w:rsidRPr="00B150D1">
        <w:rPr>
          <w:lang w:val="en-GB"/>
        </w:rPr>
        <w:t xml:space="preserve">the feasibility of cellulose hydrogenolysis. Glucose can be used as a model compound for preliminary studies on this process since it </w:t>
      </w:r>
      <w:r w:rsidR="00DB3B4A">
        <w:rPr>
          <w:lang w:val="en-GB"/>
        </w:rPr>
        <w:t>can</w:t>
      </w:r>
      <w:r w:rsidR="00CC6276" w:rsidRPr="00B150D1">
        <w:rPr>
          <w:lang w:val="en-GB"/>
        </w:rPr>
        <w:t xml:space="preserve"> represent its complexity in a more manageable way.</w:t>
      </w:r>
      <w:r w:rsidR="00455566">
        <w:rPr>
          <w:lang w:val="en-GB"/>
        </w:rPr>
        <w:t xml:space="preserve"> </w:t>
      </w:r>
      <w:r w:rsidR="00455566">
        <w:rPr>
          <w:highlight w:val="yellow"/>
          <w:lang w:val="en-GB"/>
        </w:rPr>
        <w:fldChar w:fldCharType="begin"/>
      </w:r>
      <w:r w:rsidR="00455566">
        <w:rPr>
          <w:lang w:val="en-GB"/>
        </w:rPr>
        <w:instrText xml:space="preserve"> REF _Ref6226787 \h </w:instrText>
      </w:r>
      <w:r w:rsidR="00455566">
        <w:rPr>
          <w:highlight w:val="yellow"/>
          <w:lang w:val="en-GB"/>
        </w:rPr>
      </w:r>
      <w:r w:rsidR="00455566">
        <w:rPr>
          <w:highlight w:val="yellow"/>
          <w:lang w:val="en-GB"/>
        </w:rPr>
        <w:fldChar w:fldCharType="separate"/>
      </w:r>
      <w:r w:rsidR="00D0006A" w:rsidRPr="009A64AF">
        <w:t xml:space="preserve">Table </w:t>
      </w:r>
      <w:r w:rsidR="00D0006A">
        <w:rPr>
          <w:noProof/>
        </w:rPr>
        <w:t>2</w:t>
      </w:r>
      <w:r w:rsidR="00455566">
        <w:rPr>
          <w:highlight w:val="yellow"/>
          <w:lang w:val="en-GB"/>
        </w:rPr>
        <w:fldChar w:fldCharType="end"/>
      </w:r>
      <w:r w:rsidR="00455566">
        <w:rPr>
          <w:lang w:val="en-GB"/>
        </w:rPr>
        <w:t xml:space="preserve"> shows the process parameters related to the best results in glucose catalysis for 1,2-PDO production so far.</w:t>
      </w:r>
    </w:p>
    <w:p w14:paraId="62152708" w14:textId="0FEE1D0C" w:rsidR="004541E0" w:rsidRPr="00B150D1" w:rsidRDefault="00CC6276" w:rsidP="004541E0">
      <w:pPr>
        <w:pStyle w:val="CETBodytext"/>
        <w:rPr>
          <w:lang w:val="en-GB"/>
        </w:rPr>
      </w:pPr>
      <w:r w:rsidRPr="00B150D1">
        <w:rPr>
          <w:lang w:val="en-GB"/>
        </w:rPr>
        <w:t>C</w:t>
      </w:r>
      <w:r w:rsidR="004541E0" w:rsidRPr="00B150D1">
        <w:rPr>
          <w:lang w:val="en-GB"/>
        </w:rPr>
        <w:t>onceptual design</w:t>
      </w:r>
      <w:r w:rsidRPr="00B150D1">
        <w:rPr>
          <w:lang w:val="en-GB"/>
        </w:rPr>
        <w:t>s</w:t>
      </w:r>
      <w:r w:rsidR="004541E0" w:rsidRPr="00B150D1">
        <w:rPr>
          <w:lang w:val="en-GB"/>
        </w:rPr>
        <w:t xml:space="preserve"> can </w:t>
      </w:r>
      <w:r w:rsidR="00B150D1" w:rsidRPr="00B150D1">
        <w:rPr>
          <w:lang w:val="en-GB"/>
        </w:rPr>
        <w:t xml:space="preserve">help </w:t>
      </w:r>
      <w:r w:rsidR="004541E0" w:rsidRPr="00B150D1">
        <w:rPr>
          <w:lang w:val="en-GB"/>
        </w:rPr>
        <w:t xml:space="preserve">enlighten both bench-scale laboratory researchers and the industry on </w:t>
      </w:r>
      <w:r w:rsidRPr="00B150D1">
        <w:rPr>
          <w:lang w:val="en-GB"/>
        </w:rPr>
        <w:t>the</w:t>
      </w:r>
      <w:r w:rsidR="004541E0" w:rsidRPr="00B150D1">
        <w:rPr>
          <w:lang w:val="en-GB"/>
        </w:rPr>
        <w:t xml:space="preserve"> implementation potential, costs and environmental implications</w:t>
      </w:r>
      <w:r w:rsidRPr="00B150D1">
        <w:rPr>
          <w:lang w:val="en-GB"/>
        </w:rPr>
        <w:t xml:space="preserve"> of a process in such an early stage of development</w:t>
      </w:r>
      <w:r w:rsidR="004541E0" w:rsidRPr="00B150D1">
        <w:rPr>
          <w:lang w:val="en-GB"/>
        </w:rPr>
        <w:t xml:space="preserve">. </w:t>
      </w:r>
      <w:r w:rsidRPr="00B150D1">
        <w:rPr>
          <w:lang w:val="en-GB"/>
        </w:rPr>
        <w:t xml:space="preserve">They </w:t>
      </w:r>
      <w:r w:rsidR="004541E0" w:rsidRPr="00B150D1">
        <w:rPr>
          <w:lang w:val="en-GB"/>
        </w:rPr>
        <w:t>can also indicate improvement opportunities</w:t>
      </w:r>
      <w:r w:rsidR="00B150D1" w:rsidRPr="00B150D1">
        <w:rPr>
          <w:lang w:val="en-GB"/>
        </w:rPr>
        <w:t xml:space="preserve"> and possible design solutions for process bottlenecks</w:t>
      </w:r>
      <w:r w:rsidR="004541E0" w:rsidRPr="00B150D1">
        <w:rPr>
          <w:lang w:val="en-GB"/>
        </w:rPr>
        <w:t>, setting the direction for the development of new catalysts.</w:t>
      </w:r>
    </w:p>
    <w:p w14:paraId="5D0E3836" w14:textId="6616317B" w:rsidR="00AF0064" w:rsidRPr="00B150D1" w:rsidRDefault="00B94C93" w:rsidP="002D3375">
      <w:pPr>
        <w:pStyle w:val="CETBodytext"/>
        <w:rPr>
          <w:lang w:val="en-GB"/>
        </w:rPr>
      </w:pPr>
      <w:r w:rsidRPr="00B150D1">
        <w:rPr>
          <w:lang w:val="en-GB"/>
        </w:rPr>
        <w:lastRenderedPageBreak/>
        <w:t xml:space="preserve">In this context, this study </w:t>
      </w:r>
      <w:r w:rsidR="00874CEA" w:rsidRPr="00B150D1">
        <w:rPr>
          <w:lang w:val="en-GB"/>
        </w:rPr>
        <w:t xml:space="preserve">aims to </w:t>
      </w:r>
      <w:r w:rsidRPr="00B150D1">
        <w:rPr>
          <w:lang w:val="en-GB"/>
        </w:rPr>
        <w:t xml:space="preserve">presents </w:t>
      </w:r>
      <w:r w:rsidR="00874CEA" w:rsidRPr="00B150D1">
        <w:rPr>
          <w:lang w:val="en-GB"/>
        </w:rPr>
        <w:t>the first</w:t>
      </w:r>
      <w:r w:rsidRPr="00B150D1">
        <w:rPr>
          <w:lang w:val="en-GB"/>
        </w:rPr>
        <w:t xml:space="preserve"> simulation-based analysis of </w:t>
      </w:r>
      <w:r w:rsidR="00CE4E60" w:rsidRPr="00B150D1">
        <w:rPr>
          <w:lang w:val="en-GB"/>
        </w:rPr>
        <w:t>1,2-PDO production from glucose</w:t>
      </w:r>
      <w:r w:rsidR="00682CB3" w:rsidRPr="00B150D1">
        <w:rPr>
          <w:lang w:val="en-GB"/>
        </w:rPr>
        <w:t xml:space="preserve"> (GLU)</w:t>
      </w:r>
      <w:r w:rsidR="00CE4E60" w:rsidRPr="00B150D1">
        <w:rPr>
          <w:lang w:val="en-GB"/>
        </w:rPr>
        <w:t>, a model compound for cellulose, by hydrogenolysis</w:t>
      </w:r>
      <w:r w:rsidRPr="00B150D1">
        <w:rPr>
          <w:lang w:val="en-GB"/>
        </w:rPr>
        <w:t xml:space="preserve">. </w:t>
      </w:r>
      <w:r w:rsidR="00CE4E60" w:rsidRPr="00B150D1">
        <w:rPr>
          <w:lang w:val="en-GB"/>
        </w:rPr>
        <w:t>A thermodynamic analysis of the reaction network makes it possible to preliminarily assess</w:t>
      </w:r>
      <w:r w:rsidRPr="00B150D1">
        <w:rPr>
          <w:lang w:val="en-GB"/>
        </w:rPr>
        <w:t xml:space="preserve"> the use of pure cellulose, bagasse</w:t>
      </w:r>
      <w:r w:rsidR="00DB3B4A">
        <w:rPr>
          <w:lang w:val="en-GB"/>
        </w:rPr>
        <w:t>,</w:t>
      </w:r>
      <w:r w:rsidRPr="00B150D1">
        <w:rPr>
          <w:lang w:val="en-GB"/>
        </w:rPr>
        <w:t xml:space="preserve"> and straw from the sugarcane industry to produce 1,2-PDO via hydrogenolysis. </w:t>
      </w:r>
      <w:r w:rsidR="00B150D1" w:rsidRPr="00B150D1">
        <w:rPr>
          <w:lang w:val="en-GB"/>
        </w:rPr>
        <w:t>D</w:t>
      </w:r>
      <w:r w:rsidR="00CE4E60" w:rsidRPr="00B150D1">
        <w:rPr>
          <w:lang w:val="en-GB"/>
        </w:rPr>
        <w:t xml:space="preserve">ifferent reaction routes </w:t>
      </w:r>
      <w:r w:rsidR="00B150D1" w:rsidRPr="00B150D1">
        <w:rPr>
          <w:lang w:val="en-GB"/>
        </w:rPr>
        <w:t>from glucose were</w:t>
      </w:r>
      <w:r w:rsidR="00CE4E60" w:rsidRPr="00B150D1">
        <w:rPr>
          <w:lang w:val="en-GB"/>
        </w:rPr>
        <w:t xml:space="preserve"> tested and compared to literature data</w:t>
      </w:r>
      <w:r w:rsidRPr="00B150D1">
        <w:rPr>
          <w:lang w:val="en-GB"/>
        </w:rPr>
        <w:t xml:space="preserve">, and their feasibility </w:t>
      </w:r>
      <w:r w:rsidR="00B150D1" w:rsidRPr="00B150D1">
        <w:rPr>
          <w:lang w:val="en-GB"/>
        </w:rPr>
        <w:t>was discussed</w:t>
      </w:r>
      <w:r w:rsidRPr="00B150D1">
        <w:rPr>
          <w:lang w:val="en-GB"/>
        </w:rPr>
        <w:t xml:space="preserve">. This </w:t>
      </w:r>
      <w:r w:rsidR="003D2C86" w:rsidRPr="00B150D1">
        <w:rPr>
          <w:lang w:val="en-GB"/>
        </w:rPr>
        <w:t>is a first step in understanding the possible practical issues and possibilities of this proposed route.</w:t>
      </w:r>
    </w:p>
    <w:p w14:paraId="78E5CC82" w14:textId="244E79B5" w:rsidR="008913A8" w:rsidRDefault="008913A8" w:rsidP="00AF0064">
      <w:pPr>
        <w:pStyle w:val="CETHeading1"/>
        <w:rPr>
          <w:lang w:val="en-GB"/>
        </w:rPr>
      </w:pPr>
      <w:r>
        <w:rPr>
          <w:lang w:val="en-GB"/>
        </w:rPr>
        <w:t>Method</w:t>
      </w:r>
      <w:r w:rsidR="00230E85">
        <w:rPr>
          <w:lang w:val="en-GB"/>
        </w:rPr>
        <w:t>ology</w:t>
      </w:r>
    </w:p>
    <w:p w14:paraId="3CB49325" w14:textId="0F7AEF72" w:rsidR="000F4DFE" w:rsidRDefault="000F4DFE" w:rsidP="000F4DFE">
      <w:pPr>
        <w:pStyle w:val="CETheadingx"/>
      </w:pPr>
      <w:bookmarkStart w:id="0" w:name="_Ref1087412"/>
      <w:r>
        <w:t>Reaction network</w:t>
      </w:r>
      <w:r w:rsidR="00CB244A">
        <w:t>s</w:t>
      </w:r>
      <w:r>
        <w:t xml:space="preserve"> proposed for </w:t>
      </w:r>
      <w:r w:rsidR="00682CB3">
        <w:t>GLU</w:t>
      </w:r>
      <w:r>
        <w:t xml:space="preserve"> hydrogenolysis</w:t>
      </w:r>
      <w:bookmarkEnd w:id="0"/>
    </w:p>
    <w:p w14:paraId="767DD2F2" w14:textId="63051FAD" w:rsidR="000F4DFE" w:rsidRPr="005C17C1" w:rsidRDefault="000F4DFE" w:rsidP="000F4DFE">
      <w:pPr>
        <w:pStyle w:val="CETBodytext"/>
        <w:rPr>
          <w:color w:val="7030A0"/>
          <w:lang w:val="en-GB"/>
        </w:rPr>
      </w:pPr>
      <w:r w:rsidRPr="003A6626">
        <w:rPr>
          <w:lang w:val="en-GB"/>
        </w:rPr>
        <w:t>The mixture of a component with a hydrogen gas stream in the presence of catalysts initiates a large number of reactions collectively named hydrogenolysis</w:t>
      </w:r>
      <w:r w:rsidR="00B150D1">
        <w:rPr>
          <w:lang w:val="en-GB"/>
        </w:rPr>
        <w:t xml:space="preserve"> </w:t>
      </w:r>
      <w:r w:rsidR="00B150D1">
        <w:rPr>
          <w:lang w:val="en-GB"/>
        </w:rPr>
        <w:fldChar w:fldCharType="begin" w:fldLock="1"/>
      </w:r>
      <w:r w:rsidR="00EF5A69">
        <w:rPr>
          <w:lang w:val="en-GB"/>
        </w:rPr>
        <w:instrText>ADDIN CSL_CITATION {"citationItems":[{"id":"ITEM-1","itemData":{"author":[{"dropping-particle":"","family":"Beine","given":"Anna Katharina","non-dropping-particle":"","parse-names":false,"suffix":""},{"dropping-particle":"","family":"Hausoul","given":"Peter J C","non-dropping-particle":"","parse-names":false,"suffix":""},{"dropping-particle":"","family":"Palkovits","given":"Regina","non-dropping-particle":"","parse-names":false,"suffix":""}],"chapter-number":"10","container-title":"Chemicals and Fuels From Bio-Baseld Building Blocks","editor":[{"dropping-particle":"","family":"Cavani","given":"Fabrizio","non-dropping-particle":"","parse-names":false,"suffix":""},{"dropping-particle":"","family":"Albonetti","given":"Stefania","non-dropping-particle":"","parse-names":false,"suffix":""},{"dropping-particle":"","family":"Basile","given":"Francesco","non-dropping-particle":"","parse-names":false,"suffix":""},{"dropping-particle":"","family":"Gandini","given":"Alessandro","non-dropping-particle":"","parse-names":false,"suffix":""}],"id":"ITEM-1","issued":{"date-parts":[["2016"]]},"note":"glycerol (biodiesel production, food vx tank) - EG/1,2PG\nCellulose is more favorable because it does not compete and is widely available including in waste.","page":"245-269","publisher":"Wiley-VCH Verlag GmbH &amp; Co. KGaA","publisher-place":"Weinheim","title":"Production of Ethylene and Propylene Glycol from Lignocellulose","type":"chapter"},"uris":["http://www.mendeley.com/documents/?uuid=b472c199-a323-49a8-bc41-2ca7d76c5c18"]}],"mendeley":{"formattedCitation":"(Beine et al., 2016)","plainTextFormattedCitation":"(Beine et al., 2016)","previouslyFormattedCitation":"(Beine et al., 2016)"},"properties":{"noteIndex":0},"schema":"https://github.com/citation-style-language/schema/raw/master/csl-citation.json"}</w:instrText>
      </w:r>
      <w:r w:rsidR="00B150D1">
        <w:rPr>
          <w:lang w:val="en-GB"/>
        </w:rPr>
        <w:fldChar w:fldCharType="separate"/>
      </w:r>
      <w:r w:rsidR="00B150D1" w:rsidRPr="00B150D1">
        <w:rPr>
          <w:noProof/>
          <w:lang w:val="en-GB"/>
        </w:rPr>
        <w:t>(Beine et al., 2016)</w:t>
      </w:r>
      <w:r w:rsidR="00B150D1">
        <w:rPr>
          <w:lang w:val="en-GB"/>
        </w:rPr>
        <w:fldChar w:fldCharType="end"/>
      </w:r>
      <w:r w:rsidR="00B150D1">
        <w:rPr>
          <w:lang w:val="en-GB"/>
        </w:rPr>
        <w:t xml:space="preserve">. </w:t>
      </w:r>
      <w:r w:rsidRPr="003A6626">
        <w:rPr>
          <w:lang w:val="en-GB"/>
        </w:rPr>
        <w:t xml:space="preserve">Since </w:t>
      </w:r>
      <w:r w:rsidR="003A6626" w:rsidRPr="003A6626">
        <w:rPr>
          <w:lang w:val="en-GB"/>
        </w:rPr>
        <w:t>this is a novel study on the system</w:t>
      </w:r>
      <w:r w:rsidRPr="003A6626">
        <w:rPr>
          <w:lang w:val="en-GB"/>
        </w:rPr>
        <w:t>, cellulose hydrogenolysis will be better understood</w:t>
      </w:r>
      <w:r w:rsidR="003A6626" w:rsidRPr="003A6626">
        <w:rPr>
          <w:lang w:val="en-GB"/>
        </w:rPr>
        <w:t xml:space="preserve"> using GLU as a model compound</w:t>
      </w:r>
      <w:r w:rsidRPr="003A6626">
        <w:rPr>
          <w:lang w:val="en-GB"/>
        </w:rPr>
        <w:t xml:space="preserve">. </w:t>
      </w:r>
      <w:r w:rsidRPr="003A6626">
        <w:rPr>
          <w:lang w:val="en-GB"/>
        </w:rPr>
        <w:fldChar w:fldCharType="begin"/>
      </w:r>
      <w:r w:rsidRPr="003A6626">
        <w:rPr>
          <w:lang w:val="en-GB"/>
        </w:rPr>
        <w:instrText xml:space="preserve"> REF _Ref1074898 \h </w:instrText>
      </w:r>
      <w:r w:rsidRPr="003A6626">
        <w:rPr>
          <w:lang w:val="en-GB"/>
        </w:rPr>
      </w:r>
      <w:r w:rsidRPr="003A6626">
        <w:rPr>
          <w:lang w:val="en-GB"/>
        </w:rPr>
        <w:fldChar w:fldCharType="separate"/>
      </w:r>
      <w:r w:rsidR="00D0006A">
        <w:t xml:space="preserve">Figure </w:t>
      </w:r>
      <w:r w:rsidR="00D0006A">
        <w:rPr>
          <w:noProof/>
        </w:rPr>
        <w:t>1</w:t>
      </w:r>
      <w:r w:rsidRPr="003A6626">
        <w:rPr>
          <w:lang w:val="en-GB"/>
        </w:rPr>
        <w:fldChar w:fldCharType="end"/>
      </w:r>
      <w:r w:rsidRPr="003A6626">
        <w:rPr>
          <w:lang w:val="en-GB"/>
        </w:rPr>
        <w:t xml:space="preserve"> shows the </w:t>
      </w:r>
      <w:r w:rsidR="003A6626" w:rsidRPr="003A6626">
        <w:rPr>
          <w:lang w:val="en-GB"/>
        </w:rPr>
        <w:t xml:space="preserve">reaction network that </w:t>
      </w:r>
      <w:r w:rsidR="003A6626" w:rsidRPr="00B013A8">
        <w:rPr>
          <w:lang w:val="en-GB"/>
        </w:rPr>
        <w:t>will be used</w:t>
      </w:r>
      <w:r w:rsidRPr="00B013A8">
        <w:rPr>
          <w:lang w:val="en-GB"/>
        </w:rPr>
        <w:t xml:space="preserve"> according </w:t>
      </w:r>
      <w:r w:rsidR="00B150D1">
        <w:rPr>
          <w:lang w:val="en-GB"/>
        </w:rPr>
        <w:t xml:space="preserve">to </w:t>
      </w:r>
      <w:r w:rsidR="003A6626" w:rsidRPr="00B013A8">
        <w:rPr>
          <w:lang w:val="en-GB"/>
        </w:rPr>
        <w:t>mechanisms proposed in</w:t>
      </w:r>
      <w:r w:rsidRPr="00B013A8">
        <w:rPr>
          <w:lang w:val="en-GB"/>
        </w:rPr>
        <w:t xml:space="preserve"> recent publications in the area.</w:t>
      </w:r>
    </w:p>
    <w:p w14:paraId="54128C51" w14:textId="46B38650" w:rsidR="000F4DFE" w:rsidRDefault="00CF15FC" w:rsidP="000F4DFE">
      <w:pPr>
        <w:pStyle w:val="CETBodytext"/>
        <w:keepNext/>
      </w:pPr>
      <w:r w:rsidRPr="00CF15FC">
        <w:rPr>
          <w:noProof/>
          <w:lang w:val="pt-BR" w:eastAsia="pt-BR"/>
        </w:rPr>
        <w:drawing>
          <wp:inline distT="0" distB="0" distL="0" distR="0" wp14:anchorId="5729653B" wp14:editId="7C21D324">
            <wp:extent cx="5579745" cy="3482975"/>
            <wp:effectExtent l="0" t="0" r="0"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3482975"/>
                    </a:xfrm>
                    <a:prstGeom prst="rect">
                      <a:avLst/>
                    </a:prstGeom>
                    <a:noFill/>
                    <a:ln>
                      <a:noFill/>
                    </a:ln>
                  </pic:spPr>
                </pic:pic>
              </a:graphicData>
            </a:graphic>
          </wp:inline>
        </w:drawing>
      </w:r>
    </w:p>
    <w:p w14:paraId="669DE9BF" w14:textId="563B820F" w:rsidR="000F4DFE" w:rsidRDefault="000F4DFE" w:rsidP="000F4DFE">
      <w:pPr>
        <w:pStyle w:val="CETCaption"/>
        <w:spacing w:after="0"/>
      </w:pPr>
      <w:bookmarkStart w:id="1" w:name="_Ref1074898"/>
      <w:r>
        <w:t xml:space="preserve">Figure </w:t>
      </w:r>
      <w:r>
        <w:fldChar w:fldCharType="begin"/>
      </w:r>
      <w:r>
        <w:instrText xml:space="preserve"> SEQ Figure \* ARABIC </w:instrText>
      </w:r>
      <w:r>
        <w:fldChar w:fldCharType="separate"/>
      </w:r>
      <w:r w:rsidR="00D0006A">
        <w:rPr>
          <w:noProof/>
        </w:rPr>
        <w:t>1</w:t>
      </w:r>
      <w:r>
        <w:fldChar w:fldCharType="end"/>
      </w:r>
      <w:bookmarkEnd w:id="1"/>
      <w:r>
        <w:t>: Reaction</w:t>
      </w:r>
      <w:r w:rsidR="00CB244A">
        <w:t xml:space="preserve">s </w:t>
      </w:r>
      <w:r>
        <w:t xml:space="preserve">considered for conversion of cellulose to 1,2-PDO and by-products. The </w:t>
      </w:r>
      <w:r w:rsidR="00CB244A">
        <w:t>networks</w:t>
      </w:r>
      <w:r>
        <w:t xml:space="preserve"> consider different categories of products: Green: main products found </w:t>
      </w:r>
      <w:r w:rsidR="007A62B4">
        <w:t>in</w:t>
      </w:r>
      <w:r>
        <w:t xml:space="preserve"> experiments. Blue: intermediate products. Red: very stable, deg</w:t>
      </w:r>
      <w:r w:rsidR="00DF42A5">
        <w:t>radation</w:t>
      </w:r>
      <w:r>
        <w:t xml:space="preserve"> products.</w:t>
      </w:r>
      <w:r w:rsidR="00066E84">
        <w:t xml:space="preserve"> FRU = fructose. </w:t>
      </w:r>
    </w:p>
    <w:p w14:paraId="531D3AEC" w14:textId="1FA7BDD1" w:rsidR="000F4DFE" w:rsidRDefault="000F4DFE" w:rsidP="000F4DFE">
      <w:pPr>
        <w:pStyle w:val="CETCaption"/>
        <w:spacing w:before="0"/>
      </w:pPr>
      <w:r>
        <w:t xml:space="preserve">Source: </w:t>
      </w:r>
      <w:r w:rsidR="00B150D1">
        <w:fldChar w:fldCharType="begin" w:fldLock="1"/>
      </w:r>
      <w:r w:rsidR="00B50D00">
        <w:instrText>ADDIN CSL_CITATION {"citationItems":[{"id":"ITEM-1","itemData":{"author":[{"dropping-particle":"","family":"Beine","given":"Anna Katharina","non-dropping-particle":"","parse-names":false,"suffix":""},{"dropping-particle":"","family":"Hausoul","given":"Peter J C","non-dropping-particle":"","parse-names":false,"suffix":""},{"dropping-particle":"","family":"Palkovits","given":"Regina","non-dropping-particle":"","parse-names":false,"suffix":""}],"chapter-number":"10","container-title":"Chemicals and Fuels From Bio-Baseld Building Blocks","editor":[{"dropping-particle":"","family":"Cavani","given":"Fabrizio","non-dropping-particle":"","parse-names":false,"suffix":""},{"dropping-particle":"","family":"Albonetti","given":"Stefania","non-dropping-particle":"","parse-names":false,"suffix":""},{"dropping-particle":"","family":"Basile","given":"Francesco","non-dropping-particle":"","parse-names":false,"suffix":""},{"dropping-particle":"","family":"Gandini","given":"Alessandro","non-dropping-particle":"","parse-names":false,"suffix":""}],"id":"ITEM-1","issued":{"date-parts":[["2016"]]},"note":"glycerol (biodiesel production, food vx tank) - EG/1,2PG\nCellulose is more favorable because it does not compete and is widely available including in waste.","page":"245-269","publisher":"Wiley-VCH Verlag GmbH &amp; Co. KGaA","publisher-place":"Weinheim","title":"Production of Ethylene and Propylene Glycol from Lignocellulose","type":"chapter"},"uris":["http://www.mendeley.com/documents/?uuid=b472c199-a323-49a8-bc41-2ca7d76c5c18"]},{"id":"ITEM-2","itemData":{"DOI":"10.1021/acscatal.6b03469","ISSN":"2155-5435","abstract":"Catalytic conversion of cellulose to ethylene glycol (EG) or 1,2-propylene glycol (1,2-PG) represents an attractive approach in the valorization of biomass, due to the high atom economy of the reaction process and large market demand of the diol products. The one-pot catalytic conversion of cellulose is a complex reaction network, comprising hydrolysis, retro-aldol condensation, hydrogenation, isomerization, de-hydrogenation, thermal side reactions, etc. Besides EG and 1,2-PG, a variety of by-products such as sorbitol, mannitol, erythritol, 1,2-butanediol and glycerol might be co-produced. The key point for obtaining high selectivity for EG or 1,2-PG lies in effective control of major reaction steps in the reaction network proceeding at matching rates. In this prospective, we depict the general reaction route for glycols production from cellulose, and summarize the active elements for retro-aldol condensation reaction, which is the determinant step for the formation of C2 and C3 intermediates. The in-situ...","author":[{"dropping-particle":"","family":"Zheng","given":"Mingyuan","non-dropping-particle":"","parse-names":false,"suffix":""},{"dropping-particle":"","family":"Pang","given":"Jifeng","non-dropping-particle":"","parse-names":false,"suffix":""},{"dropping-particle":"","family":"Sun","given":"Ruiyan","non-dropping-particle":"","parse-names":false,"suffix":""},{"dropping-particle":"","family":"Wang","given":"Aiqin","non-dropping-particle":"","parse-names":false,"suffix":""},{"dropping-particle":"","family":"Zhang","given":"Tao","non-dropping-particle":"","parse-names":false,"suffix":""}],"container-title":"ACS Catalysis","id":"ITEM-2","issue":"3","issued":{"date-parts":[["2017"]]},"note":"**SELECTIVITY, in this article, means yield.\noverview of challenges in catalytic conversion of cellulose\noverview of and perspectives for the study of catalysts, product selectivity, reaction mechanism and practical applications of cellulose to diols (EG, 1,2-PD) conversion via retro-aldol condensation reaction (determinant step, core step in the reaction network for EG and 1,2-PD formation, consists of conversion of C6 sugars to C2 and C3 intermediates)\n*One-pot conversion of cellulose\n1) hydrolysis of cellulose to polysaccharides and sugar monomers under mild conditions\n2) complex set of reactions (at least 8) with inumerous intermediate/byproducts (about 20) -&amp;gt; control of steps occurring at the same rate (EG and 1,2-PD formation) for effective and selective catalysis to C2 or C3 intermediates.","page":"1939-1954","title":"Selectivity Control for Cellulose to Diols: Dancing on Eggs","type":"article-journal","volume":"7"},"uris":["http://www.mendeley.com/documents/?uuid=fa4a034b-c60d-457a-8a75-1dc8ef327552"]}],"mendeley":{"formattedCitation":"(Beine et al., 2016; Zheng et al., 2017)","plainTextFormattedCitation":"(Beine et al., 2016; Zheng et al., 2017)","previouslyFormattedCitation":"(Beine et al., 2016; Zheng et al., 2017)"},"properties":{"noteIndex":0},"schema":"https://github.com/citation-style-language/schema/raw/master/csl-citation.json"}</w:instrText>
      </w:r>
      <w:r w:rsidR="00B150D1">
        <w:fldChar w:fldCharType="separate"/>
      </w:r>
      <w:r w:rsidR="006F3AC7" w:rsidRPr="006F3AC7">
        <w:rPr>
          <w:i w:val="0"/>
          <w:noProof/>
        </w:rPr>
        <w:t>(Beine et al., 2016; Zheng et al., 2017)</w:t>
      </w:r>
      <w:r w:rsidR="00B150D1">
        <w:fldChar w:fldCharType="end"/>
      </w:r>
    </w:p>
    <w:p w14:paraId="236A5736" w14:textId="7581637C" w:rsidR="000F4DFE" w:rsidRPr="00621007" w:rsidRDefault="00E434D5" w:rsidP="000F4DFE">
      <w:pPr>
        <w:pStyle w:val="CETBodytext"/>
        <w:rPr>
          <w:color w:val="7030A0"/>
        </w:rPr>
      </w:pPr>
      <w:r w:rsidRPr="00073B9E">
        <w:t xml:space="preserve">The reactions </w:t>
      </w:r>
      <w:r>
        <w:t xml:space="preserve">in </w:t>
      </w:r>
      <w:r>
        <w:fldChar w:fldCharType="begin"/>
      </w:r>
      <w:r>
        <w:instrText xml:space="preserve"> REF _Ref1074898 \h </w:instrText>
      </w:r>
      <w:r>
        <w:fldChar w:fldCharType="separate"/>
      </w:r>
      <w:r w:rsidR="00D0006A">
        <w:t xml:space="preserve">Figure </w:t>
      </w:r>
      <w:r w:rsidR="00D0006A">
        <w:rPr>
          <w:noProof/>
        </w:rPr>
        <w:t>1</w:t>
      </w:r>
      <w:r>
        <w:fldChar w:fldCharType="end"/>
      </w:r>
      <w:r>
        <w:t xml:space="preserve"> and their equilibrium </w:t>
      </w:r>
      <w:r w:rsidRPr="00073B9E">
        <w:t xml:space="preserve">constants </w:t>
      </w:r>
      <w:r>
        <w:t>i</w:t>
      </w:r>
      <w:r w:rsidRPr="00073B9E">
        <w:t xml:space="preserve">n </w:t>
      </w:r>
      <w:r w:rsidRPr="00073B9E">
        <w:fldChar w:fldCharType="begin"/>
      </w:r>
      <w:r w:rsidRPr="00073B9E">
        <w:instrText xml:space="preserve"> REF _Ref1163220 \h </w:instrText>
      </w:r>
      <w:r w:rsidRPr="00073B9E">
        <w:fldChar w:fldCharType="separate"/>
      </w:r>
      <w:r w:rsidR="00D0006A" w:rsidRPr="00267F70">
        <w:t xml:space="preserve">Figure </w:t>
      </w:r>
      <w:r w:rsidR="00D0006A">
        <w:rPr>
          <w:noProof/>
        </w:rPr>
        <w:t>2</w:t>
      </w:r>
      <w:r w:rsidRPr="00073B9E">
        <w:fldChar w:fldCharType="end"/>
      </w:r>
      <w:r w:rsidRPr="00073B9E">
        <w:t xml:space="preserve"> are a guide based on</w:t>
      </w:r>
      <w:r>
        <w:t xml:space="preserve"> the</w:t>
      </w:r>
      <w:r w:rsidRPr="00073B9E">
        <w:t xml:space="preserve"> literature review used to define each network </w:t>
      </w:r>
      <w:r>
        <w:t>i</w:t>
      </w:r>
      <w:r w:rsidRPr="00073B9E">
        <w:t xml:space="preserve">n </w:t>
      </w:r>
      <w:r w:rsidRPr="00073B9E">
        <w:fldChar w:fldCharType="begin"/>
      </w:r>
      <w:r w:rsidRPr="00073B9E">
        <w:instrText xml:space="preserve"> REF _Ref1162710 \h </w:instrText>
      </w:r>
      <w:r w:rsidRPr="00073B9E">
        <w:fldChar w:fldCharType="separate"/>
      </w:r>
      <w:r w:rsidR="00D0006A" w:rsidRPr="00455566">
        <w:t xml:space="preserve">Table </w:t>
      </w:r>
      <w:r w:rsidR="00D0006A">
        <w:rPr>
          <w:noProof/>
        </w:rPr>
        <w:t>1</w:t>
      </w:r>
      <w:r w:rsidRPr="00073B9E">
        <w:fldChar w:fldCharType="end"/>
      </w:r>
      <w:r>
        <w:t xml:space="preserve">. </w:t>
      </w:r>
      <w:r w:rsidR="006F3AC7">
        <w:t xml:space="preserve">In the thermodynamic analysis, different networks were considered </w:t>
      </w:r>
      <w:r w:rsidR="00A67C07">
        <w:t xml:space="preserve">based on </w:t>
      </w:r>
      <w:r w:rsidR="000F4DFE" w:rsidRPr="000554F2">
        <w:fldChar w:fldCharType="begin"/>
      </w:r>
      <w:r w:rsidR="000F4DFE" w:rsidRPr="000554F2">
        <w:instrText xml:space="preserve"> REF _Ref1074898 \h </w:instrText>
      </w:r>
      <w:r w:rsidR="000F4DFE" w:rsidRPr="000554F2">
        <w:fldChar w:fldCharType="separate"/>
      </w:r>
      <w:r w:rsidR="00D0006A">
        <w:t xml:space="preserve">Figure </w:t>
      </w:r>
      <w:r w:rsidR="00D0006A">
        <w:rPr>
          <w:noProof/>
        </w:rPr>
        <w:t>1</w:t>
      </w:r>
      <w:r w:rsidR="000F4DFE" w:rsidRPr="000554F2">
        <w:fldChar w:fldCharType="end"/>
      </w:r>
      <w:r w:rsidR="00A67C07">
        <w:t>,</w:t>
      </w:r>
      <w:r w:rsidR="000F4DFE" w:rsidRPr="000554F2">
        <w:t xml:space="preserve"> as sh</w:t>
      </w:r>
      <w:r w:rsidR="000F4DFE" w:rsidRPr="00B150D1">
        <w:t xml:space="preserve">own in </w:t>
      </w:r>
      <w:r w:rsidR="00B150D1" w:rsidRPr="00B150D1">
        <w:fldChar w:fldCharType="begin"/>
      </w:r>
      <w:r w:rsidR="00B150D1" w:rsidRPr="00B150D1">
        <w:instrText xml:space="preserve"> REF _Ref1162710 \h </w:instrText>
      </w:r>
      <w:r w:rsidR="00B150D1">
        <w:instrText xml:space="preserve"> \* MERGEFORMAT </w:instrText>
      </w:r>
      <w:r w:rsidR="00B150D1" w:rsidRPr="00B150D1">
        <w:fldChar w:fldCharType="separate"/>
      </w:r>
      <w:r w:rsidR="00D0006A" w:rsidRPr="00455566">
        <w:t xml:space="preserve">Table </w:t>
      </w:r>
      <w:r w:rsidR="00D0006A">
        <w:rPr>
          <w:noProof/>
        </w:rPr>
        <w:t>1</w:t>
      </w:r>
      <w:r w:rsidR="00B150D1" w:rsidRPr="00B150D1">
        <w:fldChar w:fldCharType="end"/>
      </w:r>
      <w:r w:rsidR="00A67C07">
        <w:t xml:space="preserve">, since </w:t>
      </w:r>
      <w:r w:rsidR="00BF1C2D">
        <w:t xml:space="preserve">in Network 1a </w:t>
      </w:r>
      <w:r w:rsidR="00A67C07">
        <w:t>the</w:t>
      </w:r>
      <w:r w:rsidR="009243BA">
        <w:t xml:space="preserve"> glycols and polyols</w:t>
      </w:r>
      <w:r w:rsidR="00BF1C2D">
        <w:t xml:space="preserve"> have selectivities </w:t>
      </w:r>
      <w:r w:rsidR="006F6793">
        <w:t xml:space="preserve">in </w:t>
      </w:r>
      <w:r w:rsidR="00A67C07">
        <w:t xml:space="preserve">orders of magnitude </w:t>
      </w:r>
      <w:r w:rsidR="00BF1C2D">
        <w:t>below</w:t>
      </w:r>
      <w:r w:rsidR="00A67C07">
        <w:t xml:space="preserve"> 10</w:t>
      </w:r>
      <w:r w:rsidR="00BF1C2D">
        <w:rPr>
          <w:vertAlign w:val="superscript"/>
        </w:rPr>
        <w:t>-</w:t>
      </w:r>
      <w:r w:rsidR="009243BA">
        <w:rPr>
          <w:vertAlign w:val="superscript"/>
        </w:rPr>
        <w:t>30</w:t>
      </w:r>
      <w:r w:rsidR="00A67C07">
        <w:t xml:space="preserve"> and this would make it </w:t>
      </w:r>
      <w:r w:rsidR="00DE2083">
        <w:t>hard</w:t>
      </w:r>
      <w:r w:rsidR="00B150D1">
        <w:t xml:space="preserve"> </w:t>
      </w:r>
      <w:r w:rsidR="000F4DFE" w:rsidRPr="000554F2">
        <w:t>to assess the impact of parameter changes.</w:t>
      </w:r>
      <w:r w:rsidR="006F6793">
        <w:t xml:space="preserve"> </w:t>
      </w:r>
      <w:r w:rsidR="009243BA">
        <w:t>Also, by manipulating the reaction networks, it is possible to investigate which paths the catalysts favor in the system.</w:t>
      </w:r>
    </w:p>
    <w:p w14:paraId="5A212A5A" w14:textId="4A40BBE3" w:rsidR="00B150D1" w:rsidRPr="00455566" w:rsidRDefault="00B150D1" w:rsidP="00455566">
      <w:pPr>
        <w:pStyle w:val="Legenda"/>
      </w:pPr>
      <w:bookmarkStart w:id="2" w:name="_Ref1162710"/>
      <w:r w:rsidRPr="00455566">
        <w:t xml:space="preserve">Table </w:t>
      </w:r>
      <w:r w:rsidRPr="00455566">
        <w:fldChar w:fldCharType="begin"/>
      </w:r>
      <w:r w:rsidRPr="00455566">
        <w:instrText xml:space="preserve"> SEQ Table \* ARABIC </w:instrText>
      </w:r>
      <w:r w:rsidRPr="00455566">
        <w:fldChar w:fldCharType="separate"/>
      </w:r>
      <w:r w:rsidR="00D0006A">
        <w:rPr>
          <w:noProof/>
        </w:rPr>
        <w:t>1</w:t>
      </w:r>
      <w:r w:rsidRPr="00455566">
        <w:fldChar w:fldCharType="end"/>
      </w:r>
      <w:bookmarkEnd w:id="2"/>
      <w:r w:rsidRPr="00455566">
        <w:t xml:space="preserve">: Description of subdivisions of </w:t>
      </w:r>
      <w:r w:rsidR="006F3AC7" w:rsidRPr="00455566">
        <w:t xml:space="preserve">simulated </w:t>
      </w:r>
      <w:r w:rsidRPr="00455566">
        <w:t>network</w:t>
      </w:r>
      <w:r w:rsidR="006F3AC7" w:rsidRPr="00455566">
        <w:t>s</w:t>
      </w:r>
      <w:r w:rsidRPr="00455566">
        <w:t xml:space="preserve"> </w:t>
      </w:r>
      <w:r w:rsidR="006F3AC7" w:rsidRPr="00455566">
        <w:t>1</w:t>
      </w:r>
      <w:r w:rsidRPr="00455566">
        <w:t xml:space="preserve"> and </w:t>
      </w:r>
      <w:r w:rsidR="006F3AC7" w:rsidRPr="00455566">
        <w:t>2</w:t>
      </w:r>
      <w:r w:rsidRPr="00455566">
        <w:t>.</w:t>
      </w:r>
    </w:p>
    <w:tbl>
      <w:tblPr>
        <w:tblW w:w="876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67"/>
        <w:gridCol w:w="6379"/>
        <w:gridCol w:w="1802"/>
        <w:gridCol w:w="6"/>
        <w:gridCol w:w="6"/>
      </w:tblGrid>
      <w:tr w:rsidR="000F4DFE" w:rsidRPr="002D3375" w14:paraId="2E47ED5D" w14:textId="77777777" w:rsidTr="00411D0C">
        <w:tc>
          <w:tcPr>
            <w:tcW w:w="567" w:type="dxa"/>
            <w:tcBorders>
              <w:top w:val="single" w:sz="12" w:space="0" w:color="008000"/>
              <w:bottom w:val="single" w:sz="6" w:space="0" w:color="008000"/>
            </w:tcBorders>
            <w:shd w:val="clear" w:color="auto" w:fill="FFFFFF"/>
          </w:tcPr>
          <w:p w14:paraId="46562064" w14:textId="263C52D0" w:rsidR="000F4DFE" w:rsidRPr="0039331F" w:rsidRDefault="00411D0C" w:rsidP="0026265A">
            <w:pPr>
              <w:pStyle w:val="CETBodytext"/>
              <w:rPr>
                <w:lang w:val="en-GB"/>
              </w:rPr>
            </w:pPr>
            <w:r>
              <w:rPr>
                <w:lang w:val="en-GB"/>
              </w:rPr>
              <w:t>Id</w:t>
            </w:r>
            <w:r w:rsidR="000F4DFE" w:rsidRPr="0039331F">
              <w:rPr>
                <w:lang w:val="en-GB"/>
              </w:rPr>
              <w:t xml:space="preserve"> </w:t>
            </w:r>
          </w:p>
        </w:tc>
        <w:tc>
          <w:tcPr>
            <w:tcW w:w="6379" w:type="dxa"/>
            <w:tcBorders>
              <w:top w:val="single" w:sz="12" w:space="0" w:color="008000"/>
              <w:bottom w:val="single" w:sz="6" w:space="0" w:color="008000"/>
            </w:tcBorders>
            <w:shd w:val="clear" w:color="auto" w:fill="FFFFFF"/>
          </w:tcPr>
          <w:p w14:paraId="7125885F" w14:textId="77777777" w:rsidR="000F4DFE" w:rsidRPr="0039331F" w:rsidRDefault="000F4DFE" w:rsidP="0026265A">
            <w:pPr>
              <w:pStyle w:val="CETBodytext"/>
              <w:rPr>
                <w:lang w:val="en-GB"/>
              </w:rPr>
            </w:pPr>
            <w:r w:rsidRPr="0039331F">
              <w:rPr>
                <w:lang w:val="en-GB"/>
              </w:rPr>
              <w:t>Products considered</w:t>
            </w:r>
          </w:p>
        </w:tc>
        <w:tc>
          <w:tcPr>
            <w:tcW w:w="0" w:type="auto"/>
            <w:tcBorders>
              <w:top w:val="single" w:sz="12" w:space="0" w:color="008000"/>
              <w:bottom w:val="single" w:sz="6" w:space="0" w:color="008000"/>
            </w:tcBorders>
            <w:shd w:val="clear" w:color="auto" w:fill="FFFFFF"/>
          </w:tcPr>
          <w:p w14:paraId="47EDA1DE" w14:textId="77777777" w:rsidR="000F4DFE" w:rsidRPr="0039331F" w:rsidRDefault="000F4DFE" w:rsidP="0026265A">
            <w:pPr>
              <w:pStyle w:val="CETBodytext"/>
              <w:rPr>
                <w:lang w:val="en-GB"/>
              </w:rPr>
            </w:pPr>
            <w:r w:rsidRPr="0039331F">
              <w:rPr>
                <w:lang w:val="en-GB"/>
              </w:rPr>
              <w:t>Product assessed</w:t>
            </w:r>
          </w:p>
        </w:tc>
        <w:tc>
          <w:tcPr>
            <w:tcW w:w="0" w:type="auto"/>
            <w:tcBorders>
              <w:top w:val="single" w:sz="12" w:space="0" w:color="008000"/>
              <w:bottom w:val="single" w:sz="6" w:space="0" w:color="008000"/>
            </w:tcBorders>
            <w:shd w:val="clear" w:color="auto" w:fill="FFFFFF"/>
          </w:tcPr>
          <w:p w14:paraId="02679725" w14:textId="77777777" w:rsidR="000F4DFE" w:rsidRPr="0039331F" w:rsidRDefault="000F4DFE" w:rsidP="0026265A">
            <w:pPr>
              <w:pStyle w:val="CETBodytext"/>
              <w:ind w:right="-1"/>
              <w:rPr>
                <w:rFonts w:cs="Arial"/>
                <w:szCs w:val="18"/>
                <w:lang w:val="en-GB"/>
              </w:rPr>
            </w:pPr>
          </w:p>
        </w:tc>
        <w:tc>
          <w:tcPr>
            <w:tcW w:w="0" w:type="auto"/>
            <w:tcBorders>
              <w:top w:val="single" w:sz="12" w:space="0" w:color="008000"/>
              <w:bottom w:val="single" w:sz="6" w:space="0" w:color="008000"/>
            </w:tcBorders>
            <w:shd w:val="clear" w:color="auto" w:fill="FFFFFF"/>
          </w:tcPr>
          <w:p w14:paraId="5B1E2395" w14:textId="77777777" w:rsidR="000F4DFE" w:rsidRPr="002D3375" w:rsidRDefault="000F4DFE" w:rsidP="0026265A">
            <w:pPr>
              <w:pStyle w:val="CETBodytext"/>
              <w:ind w:right="-1"/>
              <w:rPr>
                <w:rFonts w:cs="Arial"/>
                <w:color w:val="FF0000"/>
                <w:szCs w:val="18"/>
                <w:lang w:val="en-GB"/>
              </w:rPr>
            </w:pPr>
          </w:p>
        </w:tc>
      </w:tr>
      <w:tr w:rsidR="009A096C" w:rsidRPr="00C15E7E" w14:paraId="5B75F1C8" w14:textId="77777777" w:rsidTr="00411D0C">
        <w:tc>
          <w:tcPr>
            <w:tcW w:w="567" w:type="dxa"/>
            <w:shd w:val="clear" w:color="auto" w:fill="FFFFFF"/>
          </w:tcPr>
          <w:p w14:paraId="1869D849" w14:textId="1BEFF1F2" w:rsidR="000F4DFE" w:rsidRPr="00C15E7E" w:rsidRDefault="00C96057" w:rsidP="0026265A">
            <w:pPr>
              <w:pStyle w:val="CETBodytext"/>
              <w:rPr>
                <w:lang w:val="en-GB"/>
              </w:rPr>
            </w:pPr>
            <w:r w:rsidRPr="00C15E7E">
              <w:rPr>
                <w:lang w:val="en-GB"/>
              </w:rPr>
              <w:t>1</w:t>
            </w:r>
            <w:r w:rsidR="000F4DFE" w:rsidRPr="00C15E7E">
              <w:rPr>
                <w:lang w:val="en-GB"/>
              </w:rPr>
              <w:t>a</w:t>
            </w:r>
          </w:p>
        </w:tc>
        <w:tc>
          <w:tcPr>
            <w:tcW w:w="6379" w:type="dxa"/>
            <w:shd w:val="clear" w:color="auto" w:fill="FFFFFF"/>
          </w:tcPr>
          <w:p w14:paraId="2F9B37A5" w14:textId="699EBD7E" w:rsidR="000F4DFE" w:rsidRPr="00C15E7E" w:rsidRDefault="009A096C" w:rsidP="0026265A">
            <w:pPr>
              <w:pStyle w:val="CETBodytext"/>
              <w:rPr>
                <w:lang w:val="en-GB"/>
              </w:rPr>
            </w:pPr>
            <w:r>
              <w:rPr>
                <w:lang w:val="en-GB"/>
              </w:rPr>
              <w:t>All products</w:t>
            </w:r>
          </w:p>
        </w:tc>
        <w:tc>
          <w:tcPr>
            <w:tcW w:w="0" w:type="auto"/>
            <w:shd w:val="clear" w:color="auto" w:fill="FFFFFF"/>
          </w:tcPr>
          <w:p w14:paraId="70B28796" w14:textId="77777777" w:rsidR="000F4DFE" w:rsidRPr="00C15E7E" w:rsidRDefault="000F4DFE" w:rsidP="0026265A">
            <w:pPr>
              <w:pStyle w:val="CETBodytext"/>
              <w:rPr>
                <w:lang w:val="en-GB"/>
              </w:rPr>
            </w:pPr>
            <w:r w:rsidRPr="00C15E7E">
              <w:rPr>
                <w:lang w:val="en-GB"/>
              </w:rPr>
              <w:t>CH</w:t>
            </w:r>
            <w:r w:rsidRPr="00C15E7E">
              <w:rPr>
                <w:vertAlign w:val="subscript"/>
                <w:lang w:val="en-GB"/>
              </w:rPr>
              <w:t>4</w:t>
            </w:r>
          </w:p>
        </w:tc>
        <w:tc>
          <w:tcPr>
            <w:tcW w:w="0" w:type="auto"/>
            <w:shd w:val="clear" w:color="auto" w:fill="FFFFFF"/>
          </w:tcPr>
          <w:p w14:paraId="0C086CBF" w14:textId="77777777" w:rsidR="000F4DFE" w:rsidRPr="00C15E7E" w:rsidRDefault="000F4DFE" w:rsidP="0026265A">
            <w:pPr>
              <w:pStyle w:val="CETBodytext"/>
              <w:ind w:right="-1"/>
              <w:rPr>
                <w:rFonts w:cs="Arial"/>
                <w:szCs w:val="18"/>
                <w:lang w:val="en-GB"/>
              </w:rPr>
            </w:pPr>
          </w:p>
        </w:tc>
        <w:tc>
          <w:tcPr>
            <w:tcW w:w="0" w:type="auto"/>
            <w:shd w:val="clear" w:color="auto" w:fill="FFFFFF"/>
          </w:tcPr>
          <w:p w14:paraId="3A409A8D" w14:textId="77777777" w:rsidR="000F4DFE" w:rsidRPr="00C15E7E" w:rsidRDefault="000F4DFE" w:rsidP="0026265A">
            <w:pPr>
              <w:pStyle w:val="CETBodytext"/>
              <w:ind w:right="-1"/>
              <w:rPr>
                <w:rFonts w:cs="Arial"/>
                <w:szCs w:val="18"/>
                <w:lang w:val="en-GB"/>
              </w:rPr>
            </w:pPr>
          </w:p>
        </w:tc>
      </w:tr>
      <w:tr w:rsidR="009A096C" w:rsidRPr="00C15E7E" w14:paraId="1E5F788B" w14:textId="77777777" w:rsidTr="00411D0C">
        <w:tc>
          <w:tcPr>
            <w:tcW w:w="567" w:type="dxa"/>
            <w:shd w:val="clear" w:color="auto" w:fill="FFFFFF"/>
          </w:tcPr>
          <w:p w14:paraId="56C96856" w14:textId="6E3C5BA9" w:rsidR="009A096C" w:rsidRPr="00C15E7E" w:rsidRDefault="009A096C" w:rsidP="009A096C">
            <w:pPr>
              <w:pStyle w:val="CETBodytext"/>
              <w:rPr>
                <w:lang w:val="en-GB"/>
              </w:rPr>
            </w:pPr>
            <w:r w:rsidRPr="00C15E7E">
              <w:rPr>
                <w:lang w:val="en-GB"/>
              </w:rPr>
              <w:t>1b</w:t>
            </w:r>
          </w:p>
        </w:tc>
        <w:tc>
          <w:tcPr>
            <w:tcW w:w="6379" w:type="dxa"/>
            <w:shd w:val="clear" w:color="auto" w:fill="FFFFFF"/>
          </w:tcPr>
          <w:p w14:paraId="07B48D8D" w14:textId="77BDE45D" w:rsidR="009A096C" w:rsidRPr="00C15E7E" w:rsidRDefault="009A096C" w:rsidP="009A096C">
            <w:pPr>
              <w:pStyle w:val="CETBodytext"/>
              <w:rPr>
                <w:lang w:val="en-GB"/>
              </w:rPr>
            </w:pPr>
            <w:r>
              <w:rPr>
                <w:lang w:val="en-GB"/>
              </w:rPr>
              <w:t>All products except CO, CO</w:t>
            </w:r>
            <w:r w:rsidRPr="009A096C">
              <w:rPr>
                <w:vertAlign w:val="subscript"/>
                <w:lang w:val="en-GB"/>
              </w:rPr>
              <w:t>2</w:t>
            </w:r>
            <w:r>
              <w:rPr>
                <w:lang w:val="en-GB"/>
              </w:rPr>
              <w:t xml:space="preserve"> and CH</w:t>
            </w:r>
            <w:r w:rsidRPr="009A096C">
              <w:rPr>
                <w:vertAlign w:val="subscript"/>
                <w:lang w:val="en-GB"/>
              </w:rPr>
              <w:t>4</w:t>
            </w:r>
          </w:p>
        </w:tc>
        <w:tc>
          <w:tcPr>
            <w:tcW w:w="0" w:type="auto"/>
            <w:shd w:val="clear" w:color="auto" w:fill="FFFFFF"/>
          </w:tcPr>
          <w:p w14:paraId="34A719B0" w14:textId="7B754391" w:rsidR="009A096C" w:rsidRPr="00DD0F16" w:rsidRDefault="009A096C" w:rsidP="009A096C">
            <w:pPr>
              <w:pStyle w:val="CETBodytext"/>
              <w:rPr>
                <w:lang w:val="en-GB"/>
              </w:rPr>
            </w:pPr>
            <w:r w:rsidRPr="00DD0F16">
              <w:rPr>
                <w:lang w:val="en-GB"/>
              </w:rPr>
              <w:t xml:space="preserve">Ethanol and </w:t>
            </w:r>
            <w:proofErr w:type="spellStart"/>
            <w:r w:rsidRPr="00DD0F16">
              <w:rPr>
                <w:lang w:val="en-GB"/>
              </w:rPr>
              <w:t>propanols</w:t>
            </w:r>
            <w:proofErr w:type="spellEnd"/>
          </w:p>
        </w:tc>
        <w:tc>
          <w:tcPr>
            <w:tcW w:w="0" w:type="auto"/>
            <w:shd w:val="clear" w:color="auto" w:fill="FFFFFF"/>
          </w:tcPr>
          <w:p w14:paraId="09914903" w14:textId="77777777" w:rsidR="009A096C" w:rsidRPr="00C15E7E" w:rsidRDefault="009A096C" w:rsidP="009A096C">
            <w:pPr>
              <w:pStyle w:val="CETBodytext"/>
              <w:ind w:right="-1"/>
              <w:rPr>
                <w:rFonts w:cs="Arial"/>
                <w:szCs w:val="18"/>
                <w:lang w:val="en-GB"/>
              </w:rPr>
            </w:pPr>
          </w:p>
        </w:tc>
        <w:tc>
          <w:tcPr>
            <w:tcW w:w="0" w:type="auto"/>
            <w:shd w:val="clear" w:color="auto" w:fill="FFFFFF"/>
          </w:tcPr>
          <w:p w14:paraId="25AAA3ED" w14:textId="77777777" w:rsidR="009A096C" w:rsidRPr="00C15E7E" w:rsidRDefault="009A096C" w:rsidP="009A096C">
            <w:pPr>
              <w:pStyle w:val="CETBodytext"/>
              <w:ind w:right="-1"/>
              <w:rPr>
                <w:rFonts w:cs="Arial"/>
                <w:szCs w:val="18"/>
                <w:lang w:val="en-GB"/>
              </w:rPr>
            </w:pPr>
          </w:p>
        </w:tc>
      </w:tr>
      <w:tr w:rsidR="009A096C" w:rsidRPr="002D3375" w14:paraId="35231925" w14:textId="77777777" w:rsidTr="00411D0C">
        <w:tc>
          <w:tcPr>
            <w:tcW w:w="567" w:type="dxa"/>
            <w:shd w:val="clear" w:color="auto" w:fill="FFFFFF"/>
          </w:tcPr>
          <w:p w14:paraId="4FA01DE0" w14:textId="41007353" w:rsidR="009A096C" w:rsidRPr="0039331F" w:rsidRDefault="009A096C" w:rsidP="009A096C">
            <w:pPr>
              <w:pStyle w:val="CETBodytext"/>
              <w:rPr>
                <w:lang w:val="en-GB"/>
              </w:rPr>
            </w:pPr>
            <w:r>
              <w:rPr>
                <w:lang w:val="en-GB"/>
              </w:rPr>
              <w:t>2a</w:t>
            </w:r>
          </w:p>
        </w:tc>
        <w:tc>
          <w:tcPr>
            <w:tcW w:w="6379" w:type="dxa"/>
            <w:shd w:val="clear" w:color="auto" w:fill="FFFFFF"/>
          </w:tcPr>
          <w:p w14:paraId="4CA6E8C0" w14:textId="17CC69CB" w:rsidR="009A096C" w:rsidRPr="009A096C" w:rsidRDefault="009A096C" w:rsidP="009A096C">
            <w:pPr>
              <w:pStyle w:val="CETBodytext"/>
              <w:rPr>
                <w:color w:val="FF0000"/>
              </w:rPr>
            </w:pPr>
            <w:r>
              <w:rPr>
                <w:lang w:val="en-GB"/>
              </w:rPr>
              <w:t>Only main and intermediate products</w:t>
            </w:r>
          </w:p>
        </w:tc>
        <w:tc>
          <w:tcPr>
            <w:tcW w:w="0" w:type="auto"/>
            <w:shd w:val="clear" w:color="auto" w:fill="FFFFFF"/>
          </w:tcPr>
          <w:p w14:paraId="3A3BE771" w14:textId="44EEEC09" w:rsidR="009A096C" w:rsidRPr="0039331F" w:rsidRDefault="009A096C" w:rsidP="009A096C">
            <w:pPr>
              <w:pStyle w:val="CETBodytext"/>
              <w:rPr>
                <w:lang w:val="en-GB"/>
              </w:rPr>
            </w:pPr>
            <w:r>
              <w:rPr>
                <w:lang w:val="en-GB"/>
              </w:rPr>
              <w:t>1,2-butanediol</w:t>
            </w:r>
          </w:p>
        </w:tc>
        <w:tc>
          <w:tcPr>
            <w:tcW w:w="0" w:type="auto"/>
            <w:shd w:val="clear" w:color="auto" w:fill="FFFFFF"/>
          </w:tcPr>
          <w:p w14:paraId="272A9DCA" w14:textId="77777777" w:rsidR="009A096C" w:rsidRPr="0039331F" w:rsidRDefault="009A096C" w:rsidP="009A096C">
            <w:pPr>
              <w:pStyle w:val="CETBodytext"/>
              <w:ind w:right="-1"/>
              <w:rPr>
                <w:rFonts w:cs="Arial"/>
                <w:szCs w:val="18"/>
                <w:lang w:val="en-GB"/>
              </w:rPr>
            </w:pPr>
          </w:p>
        </w:tc>
        <w:tc>
          <w:tcPr>
            <w:tcW w:w="0" w:type="auto"/>
            <w:shd w:val="clear" w:color="auto" w:fill="FFFFFF"/>
          </w:tcPr>
          <w:p w14:paraId="28F409A7" w14:textId="77777777" w:rsidR="009A096C" w:rsidRPr="002D3375" w:rsidRDefault="009A096C" w:rsidP="009A096C">
            <w:pPr>
              <w:pStyle w:val="CETBodytext"/>
              <w:ind w:right="-1"/>
              <w:rPr>
                <w:rFonts w:cs="Arial"/>
                <w:color w:val="FF0000"/>
                <w:szCs w:val="18"/>
                <w:lang w:val="en-GB"/>
              </w:rPr>
            </w:pPr>
          </w:p>
        </w:tc>
      </w:tr>
      <w:tr w:rsidR="009A096C" w:rsidRPr="002D3375" w14:paraId="192BE25A" w14:textId="77777777" w:rsidTr="00411D0C">
        <w:tc>
          <w:tcPr>
            <w:tcW w:w="567" w:type="dxa"/>
            <w:shd w:val="clear" w:color="auto" w:fill="FFFFFF"/>
          </w:tcPr>
          <w:p w14:paraId="1E88733D" w14:textId="0069EB19" w:rsidR="009A096C" w:rsidRPr="0039331F" w:rsidRDefault="009A096C" w:rsidP="009A096C">
            <w:pPr>
              <w:pStyle w:val="CETBodytext"/>
              <w:rPr>
                <w:lang w:val="en-GB"/>
              </w:rPr>
            </w:pPr>
            <w:r>
              <w:rPr>
                <w:lang w:val="en-GB"/>
              </w:rPr>
              <w:t>2b</w:t>
            </w:r>
          </w:p>
        </w:tc>
        <w:tc>
          <w:tcPr>
            <w:tcW w:w="6379" w:type="dxa"/>
            <w:shd w:val="clear" w:color="auto" w:fill="FFFFFF"/>
          </w:tcPr>
          <w:p w14:paraId="73B9B9FB" w14:textId="05E2708B" w:rsidR="009A096C" w:rsidRPr="007F653A" w:rsidRDefault="009A096C" w:rsidP="009A096C">
            <w:pPr>
              <w:pStyle w:val="CETBodytext"/>
              <w:rPr>
                <w:color w:val="FF0000"/>
                <w:lang w:val="en-GB"/>
              </w:rPr>
            </w:pPr>
            <w:r>
              <w:rPr>
                <w:lang w:val="en-GB"/>
              </w:rPr>
              <w:t>Only main and intermediate products except</w:t>
            </w:r>
            <w:r w:rsidR="00750DBE">
              <w:rPr>
                <w:lang w:val="en-GB"/>
              </w:rPr>
              <w:t xml:space="preserve"> for</w:t>
            </w:r>
            <w:r>
              <w:rPr>
                <w:lang w:val="en-GB"/>
              </w:rPr>
              <w:t xml:space="preserve"> 1,2-butanediol</w:t>
            </w:r>
          </w:p>
        </w:tc>
        <w:tc>
          <w:tcPr>
            <w:tcW w:w="0" w:type="auto"/>
            <w:shd w:val="clear" w:color="auto" w:fill="FFFFFF"/>
          </w:tcPr>
          <w:p w14:paraId="3720D5AF" w14:textId="4CAD5693" w:rsidR="009A096C" w:rsidRPr="0039331F" w:rsidRDefault="009A096C" w:rsidP="009A096C">
            <w:pPr>
              <w:pStyle w:val="CETBodytext"/>
              <w:rPr>
                <w:lang w:val="en-GB"/>
              </w:rPr>
            </w:pPr>
            <w:r>
              <w:rPr>
                <w:lang w:val="en-GB"/>
              </w:rPr>
              <w:t>1,2-PDO</w:t>
            </w:r>
          </w:p>
        </w:tc>
        <w:tc>
          <w:tcPr>
            <w:tcW w:w="0" w:type="auto"/>
            <w:shd w:val="clear" w:color="auto" w:fill="FFFFFF"/>
          </w:tcPr>
          <w:p w14:paraId="01B26C07" w14:textId="77777777" w:rsidR="009A096C" w:rsidRPr="0039331F" w:rsidRDefault="009A096C" w:rsidP="009A096C">
            <w:pPr>
              <w:pStyle w:val="CETBodytext"/>
              <w:ind w:right="-1"/>
              <w:rPr>
                <w:rFonts w:cs="Arial"/>
                <w:szCs w:val="18"/>
                <w:lang w:val="en-GB"/>
              </w:rPr>
            </w:pPr>
          </w:p>
        </w:tc>
        <w:tc>
          <w:tcPr>
            <w:tcW w:w="0" w:type="auto"/>
            <w:shd w:val="clear" w:color="auto" w:fill="FFFFFF"/>
          </w:tcPr>
          <w:p w14:paraId="34E6E6AA" w14:textId="77777777" w:rsidR="009A096C" w:rsidRPr="002D3375" w:rsidRDefault="009A096C" w:rsidP="009A096C">
            <w:pPr>
              <w:pStyle w:val="CETBodytext"/>
              <w:ind w:right="-1"/>
              <w:rPr>
                <w:rFonts w:cs="Arial"/>
                <w:color w:val="FF0000"/>
                <w:szCs w:val="18"/>
                <w:lang w:val="en-GB"/>
              </w:rPr>
            </w:pPr>
          </w:p>
        </w:tc>
      </w:tr>
      <w:tr w:rsidR="009A096C" w:rsidRPr="002D3375" w14:paraId="0A571E03" w14:textId="77777777" w:rsidTr="00411D0C">
        <w:tc>
          <w:tcPr>
            <w:tcW w:w="567" w:type="dxa"/>
            <w:shd w:val="clear" w:color="auto" w:fill="FFFFFF"/>
          </w:tcPr>
          <w:p w14:paraId="439751F7" w14:textId="290D7304" w:rsidR="009A096C" w:rsidRPr="0039331F" w:rsidRDefault="009A096C" w:rsidP="009A096C">
            <w:pPr>
              <w:pStyle w:val="CETBodytext"/>
              <w:ind w:right="-1"/>
              <w:rPr>
                <w:rFonts w:cs="Arial"/>
                <w:szCs w:val="18"/>
                <w:lang w:val="en-GB"/>
              </w:rPr>
            </w:pPr>
            <w:r>
              <w:rPr>
                <w:rFonts w:cs="Arial"/>
                <w:szCs w:val="18"/>
                <w:lang w:val="en-GB"/>
              </w:rPr>
              <w:t>2c</w:t>
            </w:r>
          </w:p>
        </w:tc>
        <w:tc>
          <w:tcPr>
            <w:tcW w:w="6379" w:type="dxa"/>
            <w:shd w:val="clear" w:color="auto" w:fill="FFFFFF"/>
          </w:tcPr>
          <w:p w14:paraId="1F303E35" w14:textId="573B0B69" w:rsidR="009A096C" w:rsidRPr="00411D0C" w:rsidRDefault="009A096C" w:rsidP="009A096C">
            <w:pPr>
              <w:pStyle w:val="CETBodytext"/>
              <w:ind w:right="-1"/>
              <w:rPr>
                <w:rFonts w:cs="Arial"/>
                <w:szCs w:val="18"/>
                <w:lang w:val="en-GB"/>
              </w:rPr>
            </w:pPr>
            <w:r w:rsidRPr="00411D0C">
              <w:rPr>
                <w:rFonts w:cs="Arial"/>
                <w:szCs w:val="18"/>
                <w:lang w:val="en-GB"/>
              </w:rPr>
              <w:t xml:space="preserve">Only </w:t>
            </w:r>
            <w:r w:rsidR="00411D0C" w:rsidRPr="00411D0C">
              <w:rPr>
                <w:rFonts w:cs="Arial"/>
                <w:szCs w:val="18"/>
                <w:lang w:val="en-GB"/>
              </w:rPr>
              <w:t xml:space="preserve">sorbitol, mannitol and products </w:t>
            </w:r>
            <w:r w:rsidRPr="00411D0C">
              <w:rPr>
                <w:rFonts w:cs="Arial"/>
                <w:szCs w:val="18"/>
                <w:lang w:val="en-GB"/>
              </w:rPr>
              <w:t>in the ethylene glycol and glycerol routes</w:t>
            </w:r>
          </w:p>
        </w:tc>
        <w:tc>
          <w:tcPr>
            <w:tcW w:w="0" w:type="auto"/>
            <w:shd w:val="clear" w:color="auto" w:fill="FFFFFF"/>
          </w:tcPr>
          <w:p w14:paraId="18CF4A0D" w14:textId="5EDD9AFF" w:rsidR="009A096C" w:rsidRPr="0039331F" w:rsidRDefault="009A096C" w:rsidP="009A096C">
            <w:pPr>
              <w:pStyle w:val="CETBodytext"/>
              <w:ind w:right="-1"/>
              <w:rPr>
                <w:rFonts w:cs="Arial"/>
                <w:szCs w:val="18"/>
                <w:lang w:val="en-GB"/>
              </w:rPr>
            </w:pPr>
            <w:r>
              <w:rPr>
                <w:rFonts w:cs="Arial"/>
                <w:szCs w:val="18"/>
                <w:lang w:val="en-GB"/>
              </w:rPr>
              <w:t>EG and GLY</w:t>
            </w:r>
          </w:p>
        </w:tc>
        <w:tc>
          <w:tcPr>
            <w:tcW w:w="0" w:type="auto"/>
            <w:shd w:val="clear" w:color="auto" w:fill="FFFFFF"/>
          </w:tcPr>
          <w:p w14:paraId="6358A38C" w14:textId="77777777" w:rsidR="009A096C" w:rsidRPr="0039331F" w:rsidRDefault="009A096C" w:rsidP="009A096C">
            <w:pPr>
              <w:pStyle w:val="CETBodytext"/>
              <w:ind w:right="-1"/>
              <w:rPr>
                <w:rFonts w:cs="Arial"/>
                <w:szCs w:val="18"/>
                <w:lang w:val="en-GB"/>
              </w:rPr>
            </w:pPr>
          </w:p>
        </w:tc>
        <w:tc>
          <w:tcPr>
            <w:tcW w:w="0" w:type="auto"/>
            <w:shd w:val="clear" w:color="auto" w:fill="FFFFFF"/>
          </w:tcPr>
          <w:p w14:paraId="5A870EFE" w14:textId="77777777" w:rsidR="009A096C" w:rsidRPr="002D3375" w:rsidRDefault="009A096C" w:rsidP="009A096C">
            <w:pPr>
              <w:pStyle w:val="CETBodytext"/>
              <w:ind w:right="-1"/>
              <w:rPr>
                <w:rFonts w:cs="Arial"/>
                <w:color w:val="FF0000"/>
                <w:szCs w:val="18"/>
                <w:lang w:val="en-GB"/>
              </w:rPr>
            </w:pPr>
          </w:p>
        </w:tc>
      </w:tr>
    </w:tbl>
    <w:p w14:paraId="5CB977FF" w14:textId="277552B2" w:rsidR="000F4DFE" w:rsidRDefault="000F4DFE" w:rsidP="000F4DFE">
      <w:pPr>
        <w:pStyle w:val="CETheadingx"/>
      </w:pPr>
      <w:r>
        <w:lastRenderedPageBreak/>
        <w:t>Process simulation</w:t>
      </w:r>
    </w:p>
    <w:p w14:paraId="5CE75ACD" w14:textId="7FD57053" w:rsidR="0059685E" w:rsidRDefault="001827AB" w:rsidP="00BD4588">
      <w:pPr>
        <w:pStyle w:val="CETBodytext"/>
      </w:pPr>
      <w:r w:rsidRPr="0059685E">
        <w:t xml:space="preserve">The </w:t>
      </w:r>
      <w:r w:rsidR="00682CB3">
        <w:t>GLU</w:t>
      </w:r>
      <w:r w:rsidRPr="0059685E">
        <w:t xml:space="preserve"> hydrogenolysis reactions</w:t>
      </w:r>
      <w:r w:rsidR="00D81587" w:rsidRPr="0059685E">
        <w:t xml:space="preserve"> </w:t>
      </w:r>
      <w:r w:rsidR="008E07CC">
        <w:t>depicted</w:t>
      </w:r>
      <w:r w:rsidRPr="0059685E">
        <w:t xml:space="preserve"> in </w:t>
      </w:r>
      <w:r w:rsidRPr="0059685E">
        <w:fldChar w:fldCharType="begin"/>
      </w:r>
      <w:r w:rsidRPr="0059685E">
        <w:instrText xml:space="preserve"> REF _Ref1074898 \h </w:instrText>
      </w:r>
      <w:r w:rsidRPr="0059685E">
        <w:fldChar w:fldCharType="separate"/>
      </w:r>
      <w:r w:rsidR="00D0006A">
        <w:t xml:space="preserve">Figure </w:t>
      </w:r>
      <w:r w:rsidR="00D0006A">
        <w:rPr>
          <w:noProof/>
        </w:rPr>
        <w:t>1</w:t>
      </w:r>
      <w:r w:rsidRPr="0059685E">
        <w:fldChar w:fldCharType="end"/>
      </w:r>
      <w:r w:rsidRPr="0059685E">
        <w:t xml:space="preserve"> </w:t>
      </w:r>
      <w:r w:rsidR="00D81587" w:rsidRPr="0059685E">
        <w:t xml:space="preserve">were </w:t>
      </w:r>
      <w:r w:rsidRPr="0059685E">
        <w:t>simulated</w:t>
      </w:r>
      <w:r w:rsidR="00D81587" w:rsidRPr="0059685E">
        <w:t xml:space="preserve"> in ASPEN PLUS</w:t>
      </w:r>
      <w:r w:rsidR="00D81587" w:rsidRPr="0059685E">
        <w:rPr>
          <w:vertAlign w:val="superscript"/>
        </w:rPr>
        <w:t xml:space="preserve">® </w:t>
      </w:r>
      <w:r w:rsidR="00D81587" w:rsidRPr="0059685E">
        <w:t xml:space="preserve">V9. </w:t>
      </w:r>
      <w:r w:rsidR="00F80FFC" w:rsidRPr="0059685E">
        <w:t>The thermodynamic models used were the UNIFAC model for reactions occurring under 10 bar and the PSRK model for pressures over 10 bar.</w:t>
      </w:r>
      <w:r w:rsidR="00A5247E" w:rsidRPr="0059685E">
        <w:t xml:space="preserve"> Both erythrose and glyceraldehyde were not present in the software databank and thus had to be defined by the user by drawing </w:t>
      </w:r>
      <w:r w:rsidR="005E4456">
        <w:t>their</w:t>
      </w:r>
      <w:r w:rsidR="00A5247E" w:rsidRPr="0059685E">
        <w:t xml:space="preserve"> molecular structure and inserting their chemical formula and their Joback group parameters for the estimation of standard ideal gas Gibbs free energy of formation and standard ideal gas enthalpy of formation. The UNIFAC functional groups were also inserted for these components</w:t>
      </w:r>
      <w:r w:rsidR="00066E84">
        <w:t xml:space="preserve">, as well as for </w:t>
      </w:r>
      <w:r w:rsidR="00A5247E" w:rsidRPr="0059685E">
        <w:t>dihydroxyacetone, erythritol</w:t>
      </w:r>
      <w:r w:rsidR="00750DBE">
        <w:t>,</w:t>
      </w:r>
      <w:r w:rsidR="00A5247E" w:rsidRPr="0059685E">
        <w:t xml:space="preserve"> and mannitol for </w:t>
      </w:r>
      <w:r w:rsidR="00363EC2" w:rsidRPr="0059685E">
        <w:t>the estimation of binary interaction parameters</w:t>
      </w:r>
      <w:r w:rsidR="0059685E">
        <w:t>.</w:t>
      </w:r>
    </w:p>
    <w:p w14:paraId="4DE87A11" w14:textId="28A2D7F0" w:rsidR="00455566" w:rsidRDefault="0059685E" w:rsidP="00BD4588">
      <w:pPr>
        <w:pStyle w:val="CETBodytext"/>
      </w:pPr>
      <w:r w:rsidRPr="0059685E">
        <w:t>Firs</w:t>
      </w:r>
      <w:r w:rsidR="005E4456">
        <w:t>tly, the reactions were set in</w:t>
      </w:r>
      <w:r w:rsidRPr="0059685E">
        <w:t xml:space="preserve"> equilibrium model reactor</w:t>
      </w:r>
      <w:r w:rsidR="00EA56E1">
        <w:t>s</w:t>
      </w:r>
      <w:r w:rsidRPr="0059685E">
        <w:t>, which calculate simultaneous phase and chemical equilibrium,</w:t>
      </w:r>
      <w:r w:rsidR="00066E84" w:rsidRPr="00066E84">
        <w:t xml:space="preserve"> </w:t>
      </w:r>
      <w:r w:rsidR="00066E84" w:rsidRPr="0059685E">
        <w:t xml:space="preserve">using the </w:t>
      </w:r>
      <w:r w:rsidR="009738AA" w:rsidRPr="00AF3C58">
        <w:t xml:space="preserve">mean values found in the </w:t>
      </w:r>
      <w:r w:rsidR="009738AA" w:rsidRPr="009738AA">
        <w:t xml:space="preserve">literature </w:t>
      </w:r>
      <w:r w:rsidR="009738AA">
        <w:t>(</w:t>
      </w:r>
      <w:r w:rsidR="009243BA">
        <w:fldChar w:fldCharType="begin"/>
      </w:r>
      <w:r w:rsidR="009243BA">
        <w:instrText xml:space="preserve"> REF _Ref6226787 \h </w:instrText>
      </w:r>
      <w:r w:rsidR="009243BA">
        <w:fldChar w:fldCharType="separate"/>
      </w:r>
      <w:r w:rsidR="00D0006A" w:rsidRPr="009A64AF">
        <w:t xml:space="preserve">Table </w:t>
      </w:r>
      <w:r w:rsidR="00D0006A">
        <w:rPr>
          <w:noProof/>
        </w:rPr>
        <w:t>2</w:t>
      </w:r>
      <w:r w:rsidR="009243BA">
        <w:fldChar w:fldCharType="end"/>
      </w:r>
      <w:r w:rsidR="009738AA" w:rsidRPr="009738AA">
        <w:t>)</w:t>
      </w:r>
      <w:r w:rsidR="009738AA" w:rsidRPr="009738AA">
        <w:rPr>
          <w:rStyle w:val="Refdecomentrio"/>
          <w:lang w:val="en-GB"/>
        </w:rPr>
        <w:t xml:space="preserve"> </w:t>
      </w:r>
      <w:r w:rsidR="009738AA" w:rsidRPr="009738AA">
        <w:t>as the</w:t>
      </w:r>
      <w:r w:rsidR="009738AA">
        <w:rPr>
          <w:rStyle w:val="Refdecomentrio"/>
          <w:lang w:val="en-GB"/>
        </w:rPr>
        <w:t xml:space="preserve"> </w:t>
      </w:r>
      <w:r w:rsidR="00066E84" w:rsidRPr="0059685E">
        <w:t xml:space="preserve">base case </w:t>
      </w:r>
      <w:r w:rsidR="00D65803">
        <w:t xml:space="preserve">(BC) </w:t>
      </w:r>
      <w:r w:rsidR="00066E84" w:rsidRPr="0059685E">
        <w:t>parameters</w:t>
      </w:r>
      <w:r w:rsidR="009738AA">
        <w:t xml:space="preserve"> for </w:t>
      </w:r>
      <w:r w:rsidR="00AF3C58">
        <w:t>t</w:t>
      </w:r>
      <w:r w:rsidR="009A1102">
        <w:t>emperature,</w:t>
      </w:r>
      <w:r w:rsidR="00AF3C58" w:rsidRPr="00AF3C58">
        <w:t xml:space="preserve"> pressure</w:t>
      </w:r>
      <w:r w:rsidR="009738AA">
        <w:t>,</w:t>
      </w:r>
      <w:r w:rsidR="00AF3C58" w:rsidRPr="00AF3C58">
        <w:t xml:space="preserve"> </w:t>
      </w:r>
      <w:r w:rsidR="009A1102">
        <w:t>glucose weight fraction in the feed (</w:t>
      </w:r>
      <w:r w:rsidR="009A1102" w:rsidRPr="00AF3C58">
        <w:t>w</w:t>
      </w:r>
      <w:r w:rsidR="009A1102" w:rsidRPr="00AF3C58">
        <w:rPr>
          <w:vertAlign w:val="subscript"/>
        </w:rPr>
        <w:t>GLU</w:t>
      </w:r>
      <w:r w:rsidR="009A1102">
        <w:t xml:space="preserve">) </w:t>
      </w:r>
      <w:r w:rsidR="00AF3C58" w:rsidRPr="00AF3C58">
        <w:t xml:space="preserve">and </w:t>
      </w:r>
      <w:r w:rsidR="00AF3C58" w:rsidRPr="009738AA">
        <w:t>H</w:t>
      </w:r>
      <w:r w:rsidR="00AF3C58" w:rsidRPr="009738AA">
        <w:rPr>
          <w:vertAlign w:val="subscript"/>
        </w:rPr>
        <w:t>2</w:t>
      </w:r>
      <w:r w:rsidR="009738AA" w:rsidRPr="009738AA">
        <w:t>/GLU ratio in the feed (H</w:t>
      </w:r>
      <w:r w:rsidR="009738AA" w:rsidRPr="009738AA">
        <w:rPr>
          <w:vertAlign w:val="subscript"/>
        </w:rPr>
        <w:t>2</w:t>
      </w:r>
      <w:r w:rsidR="009738AA" w:rsidRPr="009738AA">
        <w:t>/GLU)</w:t>
      </w:r>
      <w:r w:rsidR="00066E84" w:rsidRPr="009738AA">
        <w:t>.</w:t>
      </w:r>
      <w:r w:rsidRPr="009738AA">
        <w:t xml:space="preserve"> </w:t>
      </w:r>
      <w:r w:rsidR="00066E84" w:rsidRPr="009738AA">
        <w:t>T</w:t>
      </w:r>
      <w:r w:rsidRPr="0059685E">
        <w:t>heir chemical equilibrium constants</w:t>
      </w:r>
      <w:r w:rsidR="00066E84">
        <w:t xml:space="preserve"> were obtained</w:t>
      </w:r>
      <w:r w:rsidR="007F1FAA">
        <w:t xml:space="preserve"> as a function of temperature</w:t>
      </w:r>
      <w:r w:rsidRPr="0059685E">
        <w:t xml:space="preserve">. </w:t>
      </w:r>
    </w:p>
    <w:p w14:paraId="28017734" w14:textId="703BEF62" w:rsidR="00D65803" w:rsidRPr="007161E9" w:rsidRDefault="00D65803" w:rsidP="00D65803">
      <w:pPr>
        <w:pStyle w:val="CETBodytext"/>
        <w:rPr>
          <w:color w:val="FF0000"/>
        </w:rPr>
      </w:pPr>
      <w:r w:rsidRPr="0059685E">
        <w:t xml:space="preserve">Then, the Gibbs free energy minimization reactor model was used to perform the </w:t>
      </w:r>
      <w:r w:rsidR="00703FC6">
        <w:t>sensitivity analysis (</w:t>
      </w:r>
      <w:r>
        <w:t>SA</w:t>
      </w:r>
      <w:r w:rsidR="00703FC6">
        <w:t>)</w:t>
      </w:r>
      <w:r w:rsidRPr="0059685E">
        <w:t xml:space="preserve"> described in </w:t>
      </w:r>
      <w:r w:rsidR="009243BA">
        <w:fldChar w:fldCharType="begin"/>
      </w:r>
      <w:r w:rsidR="009243BA">
        <w:instrText xml:space="preserve"> REF _Ref6226787 \h </w:instrText>
      </w:r>
      <w:r w:rsidR="009243BA">
        <w:fldChar w:fldCharType="separate"/>
      </w:r>
      <w:r w:rsidR="00D0006A" w:rsidRPr="009A64AF">
        <w:t xml:space="preserve">Table </w:t>
      </w:r>
      <w:r w:rsidR="00D0006A">
        <w:rPr>
          <w:noProof/>
        </w:rPr>
        <w:t>2</w:t>
      </w:r>
      <w:r w:rsidR="009243BA">
        <w:fldChar w:fldCharType="end"/>
      </w:r>
      <w:r w:rsidRPr="0059685E">
        <w:t xml:space="preserve"> </w:t>
      </w:r>
      <w:r>
        <w:t>considering the products of the n</w:t>
      </w:r>
      <w:r w:rsidRPr="0059685E">
        <w:t xml:space="preserve">etworks </w:t>
      </w:r>
      <w:r>
        <w:t>presented</w:t>
      </w:r>
      <w:r w:rsidRPr="0059685E">
        <w:t xml:space="preserve"> in </w:t>
      </w:r>
      <w:r>
        <w:fldChar w:fldCharType="begin"/>
      </w:r>
      <w:r>
        <w:instrText xml:space="preserve"> REF _Ref1162710 \h </w:instrText>
      </w:r>
      <w:r>
        <w:fldChar w:fldCharType="separate"/>
      </w:r>
      <w:r w:rsidR="00D0006A" w:rsidRPr="00455566">
        <w:t xml:space="preserve">Table </w:t>
      </w:r>
      <w:r w:rsidR="00D0006A">
        <w:rPr>
          <w:noProof/>
        </w:rPr>
        <w:t>1</w:t>
      </w:r>
      <w:r>
        <w:fldChar w:fldCharType="end"/>
      </w:r>
      <w:r w:rsidRPr="0059685E">
        <w:t>.</w:t>
      </w:r>
      <w:r>
        <w:t xml:space="preserve"> An upgraded case (UC) was defined by first</w:t>
      </w:r>
      <w:r w:rsidR="006C1DA3">
        <w:t xml:space="preserve"> varying </w:t>
      </w:r>
      <w:r w:rsidRPr="006C1DA3">
        <w:t xml:space="preserve">temperature and pressure </w:t>
      </w:r>
      <w:r w:rsidR="006C1DA3" w:rsidRPr="006C1DA3">
        <w:t xml:space="preserve">(SA1) and defining their values </w:t>
      </w:r>
      <w:r w:rsidRPr="006C1DA3">
        <w:t>for maximum</w:t>
      </w:r>
      <w:r w:rsidR="006C1DA3" w:rsidRPr="006C1DA3">
        <w:t xml:space="preserve"> 1,2-PDO selectivity</w:t>
      </w:r>
      <w:r w:rsidRPr="006C1DA3">
        <w:t xml:space="preserve"> </w:t>
      </w:r>
      <w:r w:rsidR="006C1DA3" w:rsidRPr="006C1DA3">
        <w:t>(S</w:t>
      </w:r>
      <w:r w:rsidRPr="006C1DA3">
        <w:rPr>
          <w:vertAlign w:val="subscript"/>
        </w:rPr>
        <w:t>1,2-PDO</w:t>
      </w:r>
      <w:r w:rsidR="006C1DA3" w:rsidRPr="006C1DA3">
        <w:t>)</w:t>
      </w:r>
      <w:r w:rsidRPr="006C1DA3">
        <w:rPr>
          <w:vertAlign w:val="subscript"/>
        </w:rPr>
        <w:t xml:space="preserve"> </w:t>
      </w:r>
      <w:r>
        <w:t xml:space="preserve">and then using these </w:t>
      </w:r>
      <w:r w:rsidR="006C1DA3">
        <w:t>values</w:t>
      </w:r>
      <w:r>
        <w:t xml:space="preserve"> to </w:t>
      </w:r>
      <w:r w:rsidR="006C1DA3">
        <w:t>define the</w:t>
      </w:r>
      <w:r>
        <w:t xml:space="preserve"> </w:t>
      </w:r>
      <w:r w:rsidR="006C1DA3" w:rsidRPr="00AF3C58">
        <w:t>w</w:t>
      </w:r>
      <w:r w:rsidR="006C1DA3" w:rsidRPr="00AF3C58">
        <w:rPr>
          <w:vertAlign w:val="subscript"/>
        </w:rPr>
        <w:t>GLU</w:t>
      </w:r>
      <w:r w:rsidR="006C1DA3">
        <w:t xml:space="preserve"> </w:t>
      </w:r>
      <w:r w:rsidR="006C1DA3" w:rsidRPr="00AF3C58">
        <w:t xml:space="preserve">and </w:t>
      </w:r>
      <w:r w:rsidR="006C1DA3" w:rsidRPr="009738AA">
        <w:t>H</w:t>
      </w:r>
      <w:r w:rsidR="006C1DA3" w:rsidRPr="009738AA">
        <w:rPr>
          <w:vertAlign w:val="subscript"/>
        </w:rPr>
        <w:t>2</w:t>
      </w:r>
      <w:r w:rsidR="006C1DA3" w:rsidRPr="009738AA">
        <w:t xml:space="preserve">/GLU </w:t>
      </w:r>
      <w:r>
        <w:t xml:space="preserve">(SA2) </w:t>
      </w:r>
      <w:r w:rsidR="006C1DA3">
        <w:t xml:space="preserve">that result in the maximum </w:t>
      </w:r>
      <w:r w:rsidR="00E434D5" w:rsidRPr="006C1DA3">
        <w:t>S</w:t>
      </w:r>
      <w:r w:rsidR="00E434D5" w:rsidRPr="006C1DA3">
        <w:rPr>
          <w:vertAlign w:val="subscript"/>
        </w:rPr>
        <w:t>1,2-PDO</w:t>
      </w:r>
      <w:r w:rsidR="00E434D5">
        <w:t xml:space="preserve"> </w:t>
      </w:r>
      <w:r>
        <w:t xml:space="preserve">on network </w:t>
      </w:r>
      <w:r w:rsidRPr="006C1DA3">
        <w:t>2b.</w:t>
      </w:r>
      <w:r w:rsidR="006C1DA3">
        <w:t xml:space="preserve"> Selectivity (S) is defined as S = (weight of product/weight of reactant feed)</w:t>
      </w:r>
      <w:r w:rsidR="006C1DA3" w:rsidRPr="006C1DA3">
        <w:t xml:space="preserve"> </w:t>
      </w:r>
      <w:r w:rsidR="006C1DA3">
        <w:t>and conversion is calculated as weight of all products/weight of reactant feed.</w:t>
      </w:r>
      <w:r w:rsidR="00DE2083">
        <w:t xml:space="preserve"> The reactor was considered isothermal.</w:t>
      </w:r>
    </w:p>
    <w:p w14:paraId="2F872138" w14:textId="6635A661" w:rsidR="00455566" w:rsidRPr="00EA6B92" w:rsidRDefault="00455566" w:rsidP="00455566">
      <w:pPr>
        <w:pStyle w:val="Legenda"/>
        <w:rPr>
          <w:lang w:val="es-PE"/>
        </w:rPr>
      </w:pPr>
      <w:bookmarkStart w:id="3" w:name="_Ref6226787"/>
      <w:r w:rsidRPr="009A64AF">
        <w:rPr>
          <w:lang w:val="en-US"/>
        </w:rPr>
        <w:t xml:space="preserve">Table </w:t>
      </w:r>
      <w:r>
        <w:fldChar w:fldCharType="begin"/>
      </w:r>
      <w:r w:rsidRPr="009A64AF">
        <w:rPr>
          <w:lang w:val="en-US"/>
        </w:rPr>
        <w:instrText xml:space="preserve"> SEQ Table \* ARABIC </w:instrText>
      </w:r>
      <w:r>
        <w:fldChar w:fldCharType="separate"/>
      </w:r>
      <w:r w:rsidR="00D0006A">
        <w:rPr>
          <w:noProof/>
          <w:lang w:val="en-US"/>
        </w:rPr>
        <w:t>2</w:t>
      </w:r>
      <w:r>
        <w:fldChar w:fldCharType="end"/>
      </w:r>
      <w:bookmarkEnd w:id="3"/>
      <w:r w:rsidR="00973D4C" w:rsidRPr="009A64AF">
        <w:rPr>
          <w:lang w:val="en-US"/>
        </w:rPr>
        <w:t xml:space="preserve">: </w:t>
      </w:r>
      <w:r w:rsidR="009A64AF">
        <w:t>Main parameters found in literature and those of the base case (BC), upgraded case (UC), sensitivity analysis (SA) performed</w:t>
      </w:r>
      <w:r w:rsidR="00973D4C" w:rsidRPr="009A64AF">
        <w:rPr>
          <w:lang w:val="en-US"/>
        </w:rPr>
        <w:t xml:space="preserve">. </w:t>
      </w:r>
      <w:r w:rsidR="00973D4C" w:rsidRPr="009A64AF">
        <w:rPr>
          <w:vertAlign w:val="superscript"/>
          <w:lang w:val="en-US"/>
        </w:rPr>
        <w:t>a</w:t>
      </w:r>
      <w:r w:rsidR="00EA6B92" w:rsidRPr="009A64AF">
        <w:rPr>
          <w:lang w:val="en-US"/>
        </w:rPr>
        <w:t>Pang et al 2018</w:t>
      </w:r>
      <w:r w:rsidR="00973D4C" w:rsidRPr="009A64AF">
        <w:rPr>
          <w:lang w:val="en-US"/>
        </w:rPr>
        <w:t xml:space="preserve">; </w:t>
      </w:r>
      <w:r w:rsidR="00973D4C" w:rsidRPr="009A64AF">
        <w:rPr>
          <w:vertAlign w:val="superscript"/>
          <w:lang w:val="en-US"/>
        </w:rPr>
        <w:t>b</w:t>
      </w:r>
      <w:r w:rsidR="00EA6B92" w:rsidRPr="009A64AF">
        <w:rPr>
          <w:lang w:val="en-US"/>
        </w:rPr>
        <w:t>Hirano et al 2015</w:t>
      </w:r>
      <w:r w:rsidR="00973D4C" w:rsidRPr="009A64AF">
        <w:rPr>
          <w:lang w:val="en-US"/>
        </w:rPr>
        <w:t xml:space="preserve">; </w:t>
      </w:r>
      <w:r w:rsidR="00973D4C" w:rsidRPr="009A64AF">
        <w:rPr>
          <w:vertAlign w:val="superscript"/>
          <w:lang w:val="en-US"/>
        </w:rPr>
        <w:t>c</w:t>
      </w:r>
      <w:r w:rsidR="00EA6B92" w:rsidRPr="009A64AF">
        <w:rPr>
          <w:lang w:val="en-US"/>
        </w:rPr>
        <w:t>Xiao et al 2014</w:t>
      </w:r>
      <w:r w:rsidR="00973D4C" w:rsidRPr="009A64AF">
        <w:rPr>
          <w:lang w:val="en-US"/>
        </w:rPr>
        <w:t xml:space="preserve">; </w:t>
      </w:r>
      <w:r w:rsidR="00973D4C" w:rsidRPr="009A64AF">
        <w:rPr>
          <w:vertAlign w:val="superscript"/>
          <w:lang w:val="en-US"/>
        </w:rPr>
        <w:t>d</w:t>
      </w:r>
      <w:r w:rsidR="005E4276">
        <w:rPr>
          <w:lang w:val="es-PE"/>
        </w:rPr>
        <w:fldChar w:fldCharType="begin" w:fldLock="1"/>
      </w:r>
      <w:r w:rsidR="00AD66A5" w:rsidRPr="009A64AF">
        <w:rPr>
          <w:lang w:val="en-US"/>
        </w:rPr>
        <w:instrText>ADDIN CSL_CITATION {"citationItems":[{"id":"ITEM-1","itemData":{"DOI":"10.1016/j.cattod.2015.06.030","ISSN":"0920-5861","author":[{"dropping-particle":"","family":"Liu","given":"Chengwei","non-dropping-particle":"","parse-names":false,"suffix":""},{"dropping-particle":"","family":"Zhang","given":"Chenghua","non-dropping-particle":"","parse-names":false,"suffix":""},{"dropping-particle":"","family":"Hao","given":"Shunli","non-dropping-particle":"","parse-names":false,"suffix":""},{"dropping-particle":"","family":"Sun","given":"Sikai","non-dropping-particle":"","parse-names":false,"suffix":""},{"dropping-particle":"","family":"Liu","given":"Kangkai","non-dropping-particle":"","parse-names":false,"suffix":""},{"dropping-particle":"","family":"Xu","given":"Jian","non-dropping-particle":"","parse-names":false,"suffix":""}],"container-title":"Catalysis Today","id":"ITEM-1","issued":{"date-parts":[["2016"]]},"note":"Best results: 95% biomass conversion, 55,4% selectivity to 1,2-PDO\n\nS1,2PDO increases with high W density and Cu-Wox load","page":"116-127","publisher":"Elsevier B.V.","title":"WOx modified Cu/Al2O3 as a high-performance catalyst for the hydrogenolysis of glucose to 1,2-propanediol","type":"article-journal","volume":"261"},"uris":["http://www.mendeley.com/documents/?uuid=72a86456-9294-4363-b7e6-f52082e43744"]}],"mendeley":{"formattedCitation":"(Liu et al., 2016)","plainTextFormattedCitation":"(Liu et al., 2016)","previouslyFormattedCitation":"(Liu et al., 2016)"},"properties":{"noteIndex":0},"schema":"https://github.com/citation-style-language/schema/raw/master/csl-citation.json"}</w:instrText>
      </w:r>
      <w:r w:rsidR="005E4276">
        <w:rPr>
          <w:lang w:val="es-PE"/>
        </w:rPr>
        <w:fldChar w:fldCharType="separate"/>
      </w:r>
      <w:r w:rsidR="005E4276" w:rsidRPr="009A64AF">
        <w:rPr>
          <w:i w:val="0"/>
          <w:noProof/>
          <w:lang w:val="en-US"/>
        </w:rPr>
        <w:t>(Liu et al., 2016)</w:t>
      </w:r>
      <w:r w:rsidR="005E4276">
        <w:rPr>
          <w:lang w:val="es-PE"/>
        </w:rPr>
        <w:fldChar w:fldCharType="end"/>
      </w:r>
      <w:r w:rsidR="00973D4C" w:rsidRPr="009A64AF">
        <w:rPr>
          <w:lang w:val="en-US"/>
        </w:rPr>
        <w:t xml:space="preserve">; </w:t>
      </w:r>
      <w:r w:rsidR="00973D4C" w:rsidRPr="009A64AF">
        <w:rPr>
          <w:vertAlign w:val="superscript"/>
          <w:lang w:val="en-US"/>
        </w:rPr>
        <w:t>e</w:t>
      </w:r>
      <w:r w:rsidR="00AD66A5">
        <w:rPr>
          <w:lang w:val="es-PE"/>
        </w:rPr>
        <w:fldChar w:fldCharType="begin" w:fldLock="1"/>
      </w:r>
      <w:r w:rsidR="009738AA" w:rsidRPr="009A64AF">
        <w:rPr>
          <w:lang w:val="en-US"/>
        </w:rPr>
        <w:instrText>ADDIN CSL_CITATION {"citationItems":[{"id":"ITEM-1","itemData":{"DOI":"10.1021/acscatal.5b00800","author":[{"dropping-particle":"","family":"Liu","given":"Chengwei","non-dropping-particle":"","parse-names":false,"suffix":""},{"dropping-particle":"","family":"Zhang","given":"Chenghua","non-dropping-particle":"","parse-names":false,"suffix":""},{"dropping-particle":"","family":"Sun","given":"Sikai","non-dropping-particle":"","parse-names":false,"suffix":""},{"dropping-particle":"","family":"Liu","given":"Kangkai","non-dropping-particle":"","parse-names":false,"suffix":""},{"dropping-particle":"","family":"Hao","given":"Shunli","non-dropping-particle":"","parse-names":false,"suffix":""},{"dropping-particle":"","family":"Xu","given":"Jian","non-dropping-particle":"","parse-names":false,"suffix":""},{"dropping-particle":"","family":"Zhu","given":"Yulei","non-dropping-particle":"","parse-names":false,"suffix":""},{"dropping-particle":"","family":"Li","given":"Yongwang","non-dropping-particle":"","parse-names":false,"suffix":""}],"id":"ITEM-1","issued":{"date-parts":[["2015"]]},"note":"Hydrogenolysis of GLUCOSE (5% wt aqueous solution) to 1,2-Propanediol","title":"Effe</w:instrText>
      </w:r>
      <w:r w:rsidR="009738AA" w:rsidRPr="006C1DA3">
        <w:rPr>
          <w:lang w:val="es-PE"/>
        </w:rPr>
        <w:instrText>ct of WOx on Bifunctional Pd−WOx/Al2O3 Catalysts for the Selective Hydrogenolysis of Glu</w:instrText>
      </w:r>
      <w:r w:rsidR="009738AA">
        <w:rPr>
          <w:lang w:val="es-PE"/>
        </w:rPr>
        <w:instrText>cose to 1,2-Propanediol","type":"article-journal"},"uris":["http://www.mendeley.com/documents/?uuid=8534d2a7-eded-4b62-84bf-ae53d222bde4"]}],"mendeley":{"formattedCitation":"(Liu et al., 2015)","plainTextFormattedCitation":"(Liu et al., 2015)","previouslyFormattedCitation":"(Liu et al., 2015)"},"properties":{"noteIndex":0},"schema":"https://github.com/citation-style-language/schema/raw/master/csl-citation.json"}</w:instrText>
      </w:r>
      <w:r w:rsidR="00AD66A5">
        <w:rPr>
          <w:lang w:val="es-PE"/>
        </w:rPr>
        <w:fldChar w:fldCharType="separate"/>
      </w:r>
      <w:r w:rsidR="00AD66A5" w:rsidRPr="00AD66A5">
        <w:rPr>
          <w:i w:val="0"/>
          <w:noProof/>
          <w:lang w:val="es-PE"/>
        </w:rPr>
        <w:t>(Liu et al., 2015)</w:t>
      </w:r>
      <w:r w:rsidR="00AD66A5">
        <w:rPr>
          <w:lang w:val="es-PE"/>
        </w:rPr>
        <w:fldChar w:fldCharType="end"/>
      </w:r>
      <w:r w:rsidR="00973D4C" w:rsidRPr="00EA6B92">
        <w:rPr>
          <w:lang w:val="es-PE"/>
        </w:rPr>
        <w:t xml:space="preserve">; </w:t>
      </w:r>
      <w:r w:rsidR="00973D4C" w:rsidRPr="009738AA">
        <w:rPr>
          <w:vertAlign w:val="superscript"/>
          <w:lang w:val="es-PE"/>
        </w:rPr>
        <w:t>f</w:t>
      </w:r>
      <w:r w:rsidR="009738AA">
        <w:rPr>
          <w:lang w:val="es-PE"/>
        </w:rPr>
        <w:fldChar w:fldCharType="begin" w:fldLock="1"/>
      </w:r>
      <w:r w:rsidR="00EF1CBE">
        <w:rPr>
          <w:lang w:val="es-PE"/>
        </w:rPr>
        <w:instrText>ADDIN CSL_CITATION {"citationItems":[{"id":"ITEM-1","itemData":{"DOI":"10.1039/C5RA08482B","abstract":"A novel Pd/C-catalysed conversion of glucose to 1{,}2-propanediol by water splitting with Zn was proposed. The yield of 1{,}2-akanediols reached 48%{,} mainly including 1{,}2-propanediol (33.3%){,} the reported highest yield from glucose. Water{,} as a solvent{,} provides an in situ and active hydrogen source. The formed ZnO acts as a catalyst with Pd/C.","author":[{"dropping-particle":"","family":"Wang","given":"Jie","non-dropping-particle":"","parse-names":false,"suffix":""},{"dropping-particle":"","family":"Yao","given":"Guodong","non-dropping-particle":"","parse-names":false,"suffix":""},{"dropping-particle":"","family":"Wang","given":"Yuanqing","non-dropping-particle":"","parse-names":false,"suffix":""},{"dropping-particle":"","family":"Zhang","given":"Hua","non-dropping-particle":"","parse-names":false,"suffix":""},{"dropping-particle":"","family":"Huo","given":"Zhibao","non-dropping-particle":"","parse-names":false,"suffix":""},{"dropping-particle":"","family":"Jin","given":"Fangming","non-dropping-particle":"","parse-names":false,"suffix":""}],"container-title":"RSC Adv.","id":"ITEM-1","issue":"63","issued":{"date-parts":[["2015"]]},"page":"51435-51439","publisher":"The Royal Society of Chemistry","title":"A novel Pd/C-catalyzed conversion of glucose to 1,2-propanediol by water splitting with Zn","type":"article-journal","volume":"5"},"uris":["http://www.mendeley.com/documents/?uuid=06b64bab-13aa-4058-a909-5c8c7774f444"]}],"mendeley":{"formattedCitation":"(Wang et al., 2015)","plainTextFormattedCitation":"(Wang et al., 2015)","previouslyFormattedCitation":"(Wang et al., 2015)"},"properties":{"noteIndex":0},"schema":"https://github.com/citation-style-language/schema/raw/master/csl-citation.json"}</w:instrText>
      </w:r>
      <w:r w:rsidR="009738AA">
        <w:rPr>
          <w:lang w:val="es-PE"/>
        </w:rPr>
        <w:fldChar w:fldCharType="separate"/>
      </w:r>
      <w:r w:rsidR="009738AA" w:rsidRPr="009738AA">
        <w:rPr>
          <w:i w:val="0"/>
          <w:noProof/>
          <w:lang w:val="es-PE"/>
        </w:rPr>
        <w:t>(Wang et al., 2015)</w:t>
      </w:r>
      <w:r w:rsidR="009738AA">
        <w:rPr>
          <w:lang w:val="es-PE"/>
        </w:rPr>
        <w:fldChar w:fldCharType="end"/>
      </w:r>
      <w:r w:rsidR="00973D4C" w:rsidRPr="00EA6B92">
        <w:rPr>
          <w:lang w:val="es-PE"/>
        </w:rPr>
        <w:t>.</w:t>
      </w:r>
    </w:p>
    <w:tbl>
      <w:tblPr>
        <w:tblW w:w="4437"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23"/>
        <w:gridCol w:w="608"/>
        <w:gridCol w:w="522"/>
        <w:gridCol w:w="774"/>
        <w:gridCol w:w="586"/>
        <w:gridCol w:w="522"/>
        <w:gridCol w:w="522"/>
        <w:gridCol w:w="413"/>
        <w:gridCol w:w="1028"/>
        <w:gridCol w:w="1014"/>
        <w:gridCol w:w="786"/>
      </w:tblGrid>
      <w:tr w:rsidR="004955E9" w:rsidRPr="002D3375" w14:paraId="60CF5079" w14:textId="77777777" w:rsidTr="00B862D5">
        <w:tc>
          <w:tcPr>
            <w:tcW w:w="655" w:type="pct"/>
            <w:tcBorders>
              <w:top w:val="single" w:sz="12" w:space="0" w:color="008000"/>
              <w:bottom w:val="single" w:sz="6" w:space="0" w:color="008000"/>
              <w:right w:val="nil"/>
            </w:tcBorders>
            <w:shd w:val="clear" w:color="auto" w:fill="FFFFFF"/>
          </w:tcPr>
          <w:p w14:paraId="25524AEC" w14:textId="1B9B2338" w:rsidR="00CF56BF" w:rsidRPr="0039331F" w:rsidRDefault="00CF56BF" w:rsidP="00576A57">
            <w:pPr>
              <w:pStyle w:val="CETBodytext"/>
              <w:rPr>
                <w:lang w:val="en-GB"/>
              </w:rPr>
            </w:pPr>
            <w:r>
              <w:rPr>
                <w:lang w:val="en-GB"/>
              </w:rPr>
              <w:t>Parameter</w:t>
            </w:r>
          </w:p>
        </w:tc>
        <w:tc>
          <w:tcPr>
            <w:tcW w:w="390" w:type="pct"/>
            <w:tcBorders>
              <w:top w:val="single" w:sz="12" w:space="0" w:color="008000"/>
              <w:left w:val="nil"/>
              <w:bottom w:val="single" w:sz="6" w:space="0" w:color="008000"/>
              <w:right w:val="nil"/>
            </w:tcBorders>
            <w:shd w:val="clear" w:color="auto" w:fill="FFFFFF"/>
          </w:tcPr>
          <w:p w14:paraId="12E8AB8C" w14:textId="1A296A47" w:rsidR="00CF56BF" w:rsidRDefault="00CF56BF" w:rsidP="00576A57">
            <w:pPr>
              <w:pStyle w:val="CETBodytext"/>
              <w:rPr>
                <w:lang w:val="en-GB"/>
              </w:rPr>
            </w:pPr>
            <w:r>
              <w:rPr>
                <w:lang w:val="en-GB"/>
              </w:rPr>
              <w:t>Ref1</w:t>
            </w:r>
            <w:r w:rsidRPr="004955E9">
              <w:rPr>
                <w:vertAlign w:val="superscript"/>
                <w:lang w:val="en-GB"/>
              </w:rPr>
              <w:t>a</w:t>
            </w:r>
          </w:p>
        </w:tc>
        <w:tc>
          <w:tcPr>
            <w:tcW w:w="335" w:type="pct"/>
            <w:tcBorders>
              <w:top w:val="single" w:sz="12" w:space="0" w:color="008000"/>
              <w:left w:val="nil"/>
              <w:bottom w:val="single" w:sz="6" w:space="0" w:color="008000"/>
              <w:right w:val="nil"/>
            </w:tcBorders>
            <w:shd w:val="clear" w:color="auto" w:fill="FFFFFF"/>
          </w:tcPr>
          <w:p w14:paraId="53447888" w14:textId="51B34668" w:rsidR="00CF56BF" w:rsidRDefault="00CF56BF" w:rsidP="00576A57">
            <w:pPr>
              <w:pStyle w:val="CETBodytext"/>
              <w:rPr>
                <w:lang w:val="en-GB"/>
              </w:rPr>
            </w:pPr>
            <w:r>
              <w:rPr>
                <w:lang w:val="en-GB"/>
              </w:rPr>
              <w:t>Ref 2</w:t>
            </w:r>
            <w:r w:rsidRPr="004955E9">
              <w:rPr>
                <w:vertAlign w:val="superscript"/>
                <w:lang w:val="en-GB"/>
              </w:rPr>
              <w:t>b</w:t>
            </w:r>
          </w:p>
        </w:tc>
        <w:tc>
          <w:tcPr>
            <w:tcW w:w="496" w:type="pct"/>
            <w:tcBorders>
              <w:top w:val="single" w:sz="12" w:space="0" w:color="008000"/>
              <w:left w:val="nil"/>
              <w:bottom w:val="single" w:sz="6" w:space="0" w:color="008000"/>
              <w:right w:val="nil"/>
            </w:tcBorders>
            <w:shd w:val="clear" w:color="auto" w:fill="FFFFFF"/>
          </w:tcPr>
          <w:p w14:paraId="4C13E19C" w14:textId="6AE99CD3" w:rsidR="00CF56BF" w:rsidRDefault="00CF56BF" w:rsidP="00576A57">
            <w:pPr>
              <w:pStyle w:val="CETBodytext"/>
              <w:rPr>
                <w:lang w:val="en-GB"/>
              </w:rPr>
            </w:pPr>
            <w:r>
              <w:rPr>
                <w:lang w:val="en-GB"/>
              </w:rPr>
              <w:t>Ref 3</w:t>
            </w:r>
            <w:r w:rsidRPr="004955E9">
              <w:rPr>
                <w:vertAlign w:val="superscript"/>
                <w:lang w:val="en-GB"/>
              </w:rPr>
              <w:t>c</w:t>
            </w:r>
          </w:p>
        </w:tc>
        <w:tc>
          <w:tcPr>
            <w:tcW w:w="376" w:type="pct"/>
            <w:tcBorders>
              <w:top w:val="single" w:sz="12" w:space="0" w:color="008000"/>
              <w:left w:val="nil"/>
              <w:bottom w:val="single" w:sz="6" w:space="0" w:color="008000"/>
              <w:right w:val="nil"/>
            </w:tcBorders>
            <w:shd w:val="clear" w:color="auto" w:fill="FFFFFF"/>
          </w:tcPr>
          <w:p w14:paraId="5AE939BC" w14:textId="678E23F5" w:rsidR="00CF56BF" w:rsidRDefault="00CF56BF" w:rsidP="00576A57">
            <w:pPr>
              <w:pStyle w:val="CETBodytext"/>
              <w:rPr>
                <w:lang w:val="en-GB"/>
              </w:rPr>
            </w:pPr>
            <w:r>
              <w:rPr>
                <w:lang w:val="en-GB"/>
              </w:rPr>
              <w:t>Ref 4</w:t>
            </w:r>
            <w:r w:rsidRPr="004955E9">
              <w:rPr>
                <w:vertAlign w:val="superscript"/>
                <w:lang w:val="en-GB"/>
              </w:rPr>
              <w:t>d</w:t>
            </w:r>
          </w:p>
        </w:tc>
        <w:tc>
          <w:tcPr>
            <w:tcW w:w="335" w:type="pct"/>
            <w:tcBorders>
              <w:top w:val="single" w:sz="12" w:space="0" w:color="008000"/>
              <w:left w:val="nil"/>
              <w:bottom w:val="single" w:sz="6" w:space="0" w:color="008000"/>
              <w:right w:val="nil"/>
            </w:tcBorders>
            <w:shd w:val="clear" w:color="auto" w:fill="FFFFFF"/>
          </w:tcPr>
          <w:p w14:paraId="714BF6E4" w14:textId="33F90FE4" w:rsidR="00CF56BF" w:rsidRDefault="00CF56BF" w:rsidP="00576A57">
            <w:pPr>
              <w:pStyle w:val="CETBodytext"/>
              <w:rPr>
                <w:lang w:val="en-GB"/>
              </w:rPr>
            </w:pPr>
            <w:r>
              <w:rPr>
                <w:lang w:val="en-GB"/>
              </w:rPr>
              <w:t>Ref 5</w:t>
            </w:r>
            <w:r w:rsidRPr="004955E9">
              <w:rPr>
                <w:vertAlign w:val="superscript"/>
                <w:lang w:val="en-GB"/>
              </w:rPr>
              <w:t>e</w:t>
            </w:r>
          </w:p>
        </w:tc>
        <w:tc>
          <w:tcPr>
            <w:tcW w:w="335" w:type="pct"/>
            <w:tcBorders>
              <w:top w:val="single" w:sz="12" w:space="0" w:color="008000"/>
              <w:left w:val="nil"/>
              <w:bottom w:val="single" w:sz="6" w:space="0" w:color="008000"/>
              <w:right w:val="nil"/>
            </w:tcBorders>
            <w:shd w:val="clear" w:color="auto" w:fill="FFFFFF"/>
          </w:tcPr>
          <w:p w14:paraId="72E93519" w14:textId="036138FC" w:rsidR="00CF56BF" w:rsidRDefault="00CF56BF" w:rsidP="00576A57">
            <w:pPr>
              <w:pStyle w:val="CETBodytext"/>
              <w:rPr>
                <w:lang w:val="en-GB"/>
              </w:rPr>
            </w:pPr>
            <w:r>
              <w:rPr>
                <w:lang w:val="en-GB"/>
              </w:rPr>
              <w:t>Ref 7</w:t>
            </w:r>
            <w:r w:rsidR="00D65803" w:rsidRPr="004955E9">
              <w:rPr>
                <w:vertAlign w:val="superscript"/>
                <w:lang w:val="en-GB"/>
              </w:rPr>
              <w:t>f</w:t>
            </w:r>
          </w:p>
        </w:tc>
        <w:tc>
          <w:tcPr>
            <w:tcW w:w="265" w:type="pct"/>
            <w:tcBorders>
              <w:top w:val="single" w:sz="12" w:space="0" w:color="008000"/>
              <w:left w:val="nil"/>
              <w:bottom w:val="single" w:sz="6" w:space="0" w:color="008000"/>
              <w:right w:val="nil"/>
            </w:tcBorders>
            <w:shd w:val="clear" w:color="auto" w:fill="FFFFFF"/>
          </w:tcPr>
          <w:p w14:paraId="61111646" w14:textId="1A4D00A9" w:rsidR="00CF56BF" w:rsidRPr="0039331F" w:rsidRDefault="00CF56BF" w:rsidP="00576A57">
            <w:pPr>
              <w:pStyle w:val="CETBodytext"/>
              <w:rPr>
                <w:lang w:val="en-GB"/>
              </w:rPr>
            </w:pPr>
            <w:r>
              <w:rPr>
                <w:lang w:val="en-GB"/>
              </w:rPr>
              <w:t>BC</w:t>
            </w:r>
          </w:p>
        </w:tc>
        <w:tc>
          <w:tcPr>
            <w:tcW w:w="659" w:type="pct"/>
            <w:tcBorders>
              <w:top w:val="single" w:sz="12" w:space="0" w:color="008000"/>
              <w:left w:val="nil"/>
              <w:bottom w:val="single" w:sz="6" w:space="0" w:color="008000"/>
              <w:right w:val="nil"/>
            </w:tcBorders>
            <w:shd w:val="clear" w:color="auto" w:fill="FFFFFF"/>
          </w:tcPr>
          <w:p w14:paraId="679073C3" w14:textId="77777777" w:rsidR="00CF56BF" w:rsidRPr="0039331F" w:rsidRDefault="00CF56BF" w:rsidP="00576A57">
            <w:pPr>
              <w:pStyle w:val="CETBodytext"/>
              <w:rPr>
                <w:lang w:val="en-GB"/>
              </w:rPr>
            </w:pPr>
            <w:r>
              <w:rPr>
                <w:lang w:val="en-GB"/>
              </w:rPr>
              <w:t>SA1 [step]</w:t>
            </w:r>
          </w:p>
        </w:tc>
        <w:tc>
          <w:tcPr>
            <w:tcW w:w="650" w:type="pct"/>
            <w:tcBorders>
              <w:top w:val="single" w:sz="12" w:space="0" w:color="008000"/>
              <w:left w:val="nil"/>
              <w:bottom w:val="single" w:sz="6" w:space="0" w:color="008000"/>
              <w:right w:val="nil"/>
            </w:tcBorders>
            <w:shd w:val="clear" w:color="auto" w:fill="FFFFFF"/>
          </w:tcPr>
          <w:p w14:paraId="2BB5F51B" w14:textId="77777777" w:rsidR="00CF56BF" w:rsidRDefault="00CF56BF" w:rsidP="00576A57">
            <w:pPr>
              <w:pStyle w:val="CETBodytext"/>
              <w:ind w:right="-1"/>
              <w:rPr>
                <w:lang w:val="en-GB"/>
              </w:rPr>
            </w:pPr>
            <w:r>
              <w:rPr>
                <w:lang w:val="en-GB"/>
              </w:rPr>
              <w:t>SA2 [step]</w:t>
            </w:r>
          </w:p>
        </w:tc>
        <w:tc>
          <w:tcPr>
            <w:tcW w:w="504" w:type="pct"/>
            <w:tcBorders>
              <w:top w:val="single" w:sz="12" w:space="0" w:color="008000"/>
              <w:left w:val="nil"/>
              <w:bottom w:val="single" w:sz="6" w:space="0" w:color="008000"/>
            </w:tcBorders>
          </w:tcPr>
          <w:p w14:paraId="7E88CA8C" w14:textId="77777777" w:rsidR="00CF56BF" w:rsidRPr="002D3375" w:rsidRDefault="00CF56BF" w:rsidP="00576A57">
            <w:pPr>
              <w:tabs>
                <w:tab w:val="clear" w:pos="7100"/>
              </w:tabs>
              <w:spacing w:line="276" w:lineRule="auto"/>
              <w:jc w:val="left"/>
            </w:pPr>
            <w:r>
              <w:t>UC</w:t>
            </w:r>
          </w:p>
        </w:tc>
      </w:tr>
      <w:tr w:rsidR="004955E9" w:rsidRPr="002D3375" w14:paraId="37C847D7" w14:textId="77777777" w:rsidTr="00B862D5">
        <w:tc>
          <w:tcPr>
            <w:tcW w:w="655" w:type="pct"/>
            <w:tcBorders>
              <w:right w:val="nil"/>
            </w:tcBorders>
            <w:shd w:val="clear" w:color="auto" w:fill="FFFFFF"/>
          </w:tcPr>
          <w:p w14:paraId="0C4F164A" w14:textId="77777777" w:rsidR="00CF56BF" w:rsidRPr="0039331F" w:rsidRDefault="00CF56BF" w:rsidP="00576A57">
            <w:pPr>
              <w:pStyle w:val="CETBodytext"/>
              <w:jc w:val="left"/>
              <w:rPr>
                <w:lang w:val="en-GB"/>
              </w:rPr>
            </w:pPr>
            <w:r>
              <w:rPr>
                <w:lang w:val="en-GB"/>
              </w:rPr>
              <w:t>T (K)</w:t>
            </w:r>
          </w:p>
        </w:tc>
        <w:tc>
          <w:tcPr>
            <w:tcW w:w="390" w:type="pct"/>
            <w:tcBorders>
              <w:left w:val="nil"/>
              <w:right w:val="nil"/>
            </w:tcBorders>
            <w:shd w:val="clear" w:color="auto" w:fill="FFFFFF"/>
          </w:tcPr>
          <w:p w14:paraId="2A9E47D6" w14:textId="55025CD0" w:rsidR="00CF56BF" w:rsidRDefault="00CF56BF" w:rsidP="00576A57">
            <w:pPr>
              <w:pStyle w:val="CETBodytext"/>
              <w:rPr>
                <w:lang w:val="en-GB"/>
              </w:rPr>
            </w:pPr>
            <w:r>
              <w:rPr>
                <w:lang w:val="en-GB"/>
              </w:rPr>
              <w:t>513</w:t>
            </w:r>
          </w:p>
        </w:tc>
        <w:tc>
          <w:tcPr>
            <w:tcW w:w="335" w:type="pct"/>
            <w:tcBorders>
              <w:left w:val="nil"/>
              <w:right w:val="nil"/>
            </w:tcBorders>
            <w:shd w:val="clear" w:color="auto" w:fill="FFFFFF"/>
          </w:tcPr>
          <w:p w14:paraId="5DC8A114" w14:textId="56AF73CC" w:rsidR="00CF56BF" w:rsidRDefault="00CF56BF" w:rsidP="00576A57">
            <w:pPr>
              <w:pStyle w:val="CETBodytext"/>
              <w:rPr>
                <w:lang w:val="en-GB"/>
              </w:rPr>
            </w:pPr>
            <w:r>
              <w:rPr>
                <w:lang w:val="en-GB"/>
              </w:rPr>
              <w:t>453</w:t>
            </w:r>
          </w:p>
        </w:tc>
        <w:tc>
          <w:tcPr>
            <w:tcW w:w="496" w:type="pct"/>
            <w:tcBorders>
              <w:left w:val="nil"/>
              <w:right w:val="nil"/>
            </w:tcBorders>
            <w:shd w:val="clear" w:color="auto" w:fill="FFFFFF"/>
          </w:tcPr>
          <w:p w14:paraId="20254830" w14:textId="248198ED" w:rsidR="00CF56BF" w:rsidRDefault="004955E9" w:rsidP="004955E9">
            <w:pPr>
              <w:pStyle w:val="CETBodytext"/>
              <w:ind w:hanging="20"/>
              <w:rPr>
                <w:lang w:val="en-GB"/>
              </w:rPr>
            </w:pPr>
            <w:r>
              <w:rPr>
                <w:lang w:val="en-GB"/>
              </w:rPr>
              <w:t xml:space="preserve"> </w:t>
            </w:r>
            <w:r w:rsidR="00CF56BF">
              <w:rPr>
                <w:lang w:val="en-GB"/>
              </w:rPr>
              <w:t>413/493</w:t>
            </w:r>
          </w:p>
        </w:tc>
        <w:tc>
          <w:tcPr>
            <w:tcW w:w="376" w:type="pct"/>
            <w:tcBorders>
              <w:left w:val="nil"/>
              <w:right w:val="nil"/>
            </w:tcBorders>
            <w:shd w:val="clear" w:color="auto" w:fill="FFFFFF"/>
          </w:tcPr>
          <w:p w14:paraId="273DFD52" w14:textId="4DA1F11A" w:rsidR="00CF56BF" w:rsidRDefault="00CF56BF" w:rsidP="00576A57">
            <w:pPr>
              <w:pStyle w:val="CETBodytext"/>
              <w:rPr>
                <w:lang w:val="en-GB"/>
              </w:rPr>
            </w:pPr>
            <w:r>
              <w:rPr>
                <w:lang w:val="en-GB"/>
              </w:rPr>
              <w:t>453</w:t>
            </w:r>
          </w:p>
        </w:tc>
        <w:tc>
          <w:tcPr>
            <w:tcW w:w="335" w:type="pct"/>
            <w:tcBorders>
              <w:left w:val="nil"/>
              <w:right w:val="nil"/>
            </w:tcBorders>
            <w:shd w:val="clear" w:color="auto" w:fill="FFFFFF"/>
          </w:tcPr>
          <w:p w14:paraId="0CBE21B6" w14:textId="58AB4098" w:rsidR="00CF56BF" w:rsidRDefault="00CF56BF" w:rsidP="00576A57">
            <w:pPr>
              <w:pStyle w:val="CETBodytext"/>
              <w:rPr>
                <w:lang w:val="en-GB"/>
              </w:rPr>
            </w:pPr>
            <w:r>
              <w:rPr>
                <w:lang w:val="en-GB"/>
              </w:rPr>
              <w:t>453</w:t>
            </w:r>
          </w:p>
        </w:tc>
        <w:tc>
          <w:tcPr>
            <w:tcW w:w="335" w:type="pct"/>
            <w:tcBorders>
              <w:left w:val="nil"/>
              <w:right w:val="nil"/>
            </w:tcBorders>
            <w:shd w:val="clear" w:color="auto" w:fill="FFFFFF"/>
          </w:tcPr>
          <w:p w14:paraId="5AF9B6C1" w14:textId="3CD9F25E" w:rsidR="00CF56BF" w:rsidRDefault="00CF56BF" w:rsidP="00576A57">
            <w:pPr>
              <w:pStyle w:val="CETBodytext"/>
              <w:rPr>
                <w:lang w:val="en-GB"/>
              </w:rPr>
            </w:pPr>
            <w:r>
              <w:rPr>
                <w:lang w:val="en-GB"/>
              </w:rPr>
              <w:t>523</w:t>
            </w:r>
          </w:p>
        </w:tc>
        <w:tc>
          <w:tcPr>
            <w:tcW w:w="265" w:type="pct"/>
            <w:tcBorders>
              <w:left w:val="nil"/>
              <w:right w:val="nil"/>
            </w:tcBorders>
            <w:shd w:val="clear" w:color="auto" w:fill="FFFFFF"/>
          </w:tcPr>
          <w:p w14:paraId="5116D0AD" w14:textId="06EE2E1E" w:rsidR="00CF56BF" w:rsidRPr="0039331F" w:rsidRDefault="00CF56BF" w:rsidP="00576A57">
            <w:pPr>
              <w:pStyle w:val="CETBodytext"/>
              <w:rPr>
                <w:lang w:val="en-GB"/>
              </w:rPr>
            </w:pPr>
            <w:r>
              <w:rPr>
                <w:lang w:val="en-GB"/>
              </w:rPr>
              <w:t>4</w:t>
            </w:r>
            <w:r w:rsidR="00463700">
              <w:rPr>
                <w:lang w:val="en-GB"/>
              </w:rPr>
              <w:t>60</w:t>
            </w:r>
          </w:p>
        </w:tc>
        <w:tc>
          <w:tcPr>
            <w:tcW w:w="659" w:type="pct"/>
            <w:tcBorders>
              <w:left w:val="nil"/>
              <w:right w:val="nil"/>
            </w:tcBorders>
            <w:shd w:val="clear" w:color="auto" w:fill="FFFFFF"/>
          </w:tcPr>
          <w:p w14:paraId="735054BC" w14:textId="77777777" w:rsidR="00CF56BF" w:rsidRPr="0039331F" w:rsidRDefault="00CF56BF" w:rsidP="00576A57">
            <w:pPr>
              <w:pStyle w:val="CETBodytext"/>
              <w:rPr>
                <w:lang w:val="en-GB"/>
              </w:rPr>
            </w:pPr>
            <w:r>
              <w:rPr>
                <w:lang w:val="en-GB"/>
              </w:rPr>
              <w:t>300-600[20]</w:t>
            </w:r>
          </w:p>
        </w:tc>
        <w:tc>
          <w:tcPr>
            <w:tcW w:w="650" w:type="pct"/>
            <w:tcBorders>
              <w:top w:val="single" w:sz="6" w:space="0" w:color="008000"/>
              <w:left w:val="nil"/>
              <w:right w:val="nil"/>
            </w:tcBorders>
            <w:shd w:val="clear" w:color="auto" w:fill="FFFFFF"/>
          </w:tcPr>
          <w:p w14:paraId="6BCFB2F8" w14:textId="7B216D8D" w:rsidR="00CF56BF" w:rsidRDefault="001B58C7" w:rsidP="00576A57">
            <w:pPr>
              <w:pStyle w:val="CETBodytext"/>
              <w:ind w:right="-1"/>
              <w:rPr>
                <w:lang w:val="en-GB"/>
              </w:rPr>
            </w:pPr>
            <w:r>
              <w:rPr>
                <w:lang w:val="en-GB"/>
              </w:rPr>
              <w:t>300</w:t>
            </w:r>
          </w:p>
        </w:tc>
        <w:tc>
          <w:tcPr>
            <w:tcW w:w="504" w:type="pct"/>
            <w:tcBorders>
              <w:top w:val="single" w:sz="6" w:space="0" w:color="008000"/>
              <w:left w:val="nil"/>
            </w:tcBorders>
          </w:tcPr>
          <w:p w14:paraId="1A11CBE8" w14:textId="4370BED1" w:rsidR="00CF56BF" w:rsidRPr="002D3375" w:rsidRDefault="001B58C7" w:rsidP="00576A57">
            <w:pPr>
              <w:tabs>
                <w:tab w:val="clear" w:pos="7100"/>
              </w:tabs>
              <w:spacing w:line="276" w:lineRule="auto"/>
              <w:jc w:val="left"/>
            </w:pPr>
            <w:r>
              <w:t>300</w:t>
            </w:r>
          </w:p>
        </w:tc>
      </w:tr>
      <w:tr w:rsidR="004955E9" w:rsidRPr="002D3375" w14:paraId="06AAA83A" w14:textId="77777777" w:rsidTr="00B862D5">
        <w:tc>
          <w:tcPr>
            <w:tcW w:w="655" w:type="pct"/>
            <w:tcBorders>
              <w:right w:val="nil"/>
            </w:tcBorders>
            <w:shd w:val="clear" w:color="auto" w:fill="FFFFFF"/>
          </w:tcPr>
          <w:p w14:paraId="1978E4AA" w14:textId="77777777" w:rsidR="00CF56BF" w:rsidRPr="0039331F" w:rsidRDefault="00CF56BF" w:rsidP="00576A57">
            <w:pPr>
              <w:pStyle w:val="CETBodytext"/>
              <w:jc w:val="left"/>
              <w:rPr>
                <w:lang w:val="en-GB"/>
              </w:rPr>
            </w:pPr>
            <w:r>
              <w:rPr>
                <w:lang w:val="en-GB"/>
              </w:rPr>
              <w:t>P (bar)</w:t>
            </w:r>
          </w:p>
        </w:tc>
        <w:tc>
          <w:tcPr>
            <w:tcW w:w="390" w:type="pct"/>
            <w:tcBorders>
              <w:left w:val="nil"/>
              <w:right w:val="nil"/>
            </w:tcBorders>
            <w:shd w:val="clear" w:color="auto" w:fill="FFFFFF"/>
          </w:tcPr>
          <w:p w14:paraId="6EAE3ECF" w14:textId="431044D6" w:rsidR="00CF56BF" w:rsidRDefault="00CF56BF" w:rsidP="00576A57">
            <w:pPr>
              <w:pStyle w:val="CETBodytext"/>
              <w:rPr>
                <w:lang w:val="en-GB"/>
              </w:rPr>
            </w:pPr>
            <w:r>
              <w:rPr>
                <w:lang w:val="en-GB"/>
              </w:rPr>
              <w:t>50</w:t>
            </w:r>
          </w:p>
        </w:tc>
        <w:tc>
          <w:tcPr>
            <w:tcW w:w="335" w:type="pct"/>
            <w:tcBorders>
              <w:left w:val="nil"/>
              <w:right w:val="nil"/>
            </w:tcBorders>
            <w:shd w:val="clear" w:color="auto" w:fill="FFFFFF"/>
          </w:tcPr>
          <w:p w14:paraId="2C85A34C" w14:textId="6B5957E2" w:rsidR="00CF56BF" w:rsidRDefault="009738AA" w:rsidP="00576A57">
            <w:pPr>
              <w:pStyle w:val="CETBodytext"/>
              <w:rPr>
                <w:lang w:val="en-GB"/>
              </w:rPr>
            </w:pPr>
            <w:r>
              <w:rPr>
                <w:lang w:val="en-GB"/>
              </w:rPr>
              <w:t>4</w:t>
            </w:r>
          </w:p>
        </w:tc>
        <w:tc>
          <w:tcPr>
            <w:tcW w:w="496" w:type="pct"/>
            <w:tcBorders>
              <w:left w:val="nil"/>
              <w:right w:val="nil"/>
            </w:tcBorders>
            <w:shd w:val="clear" w:color="auto" w:fill="FFFFFF"/>
          </w:tcPr>
          <w:p w14:paraId="605622B0" w14:textId="7F85EB42" w:rsidR="00CF56BF" w:rsidRDefault="00CF56BF" w:rsidP="00576A57">
            <w:pPr>
              <w:pStyle w:val="CETBodytext"/>
              <w:rPr>
                <w:lang w:val="en-GB"/>
              </w:rPr>
            </w:pPr>
            <w:r>
              <w:rPr>
                <w:lang w:val="en-GB"/>
              </w:rPr>
              <w:t>60</w:t>
            </w:r>
          </w:p>
        </w:tc>
        <w:tc>
          <w:tcPr>
            <w:tcW w:w="376" w:type="pct"/>
            <w:tcBorders>
              <w:left w:val="nil"/>
              <w:right w:val="nil"/>
            </w:tcBorders>
            <w:shd w:val="clear" w:color="auto" w:fill="FFFFFF"/>
          </w:tcPr>
          <w:p w14:paraId="00BA3E88" w14:textId="2B45D471" w:rsidR="00CF56BF" w:rsidRDefault="00CF56BF" w:rsidP="00576A57">
            <w:pPr>
              <w:pStyle w:val="CETBodytext"/>
              <w:rPr>
                <w:lang w:val="en-GB"/>
              </w:rPr>
            </w:pPr>
            <w:r>
              <w:rPr>
                <w:lang w:val="en-GB"/>
              </w:rPr>
              <w:t>40</w:t>
            </w:r>
          </w:p>
        </w:tc>
        <w:tc>
          <w:tcPr>
            <w:tcW w:w="335" w:type="pct"/>
            <w:tcBorders>
              <w:left w:val="nil"/>
              <w:right w:val="nil"/>
            </w:tcBorders>
            <w:shd w:val="clear" w:color="auto" w:fill="FFFFFF"/>
          </w:tcPr>
          <w:p w14:paraId="67214CEE" w14:textId="13DCFA71" w:rsidR="00CF56BF" w:rsidRDefault="00CF56BF" w:rsidP="00576A57">
            <w:pPr>
              <w:pStyle w:val="CETBodytext"/>
              <w:rPr>
                <w:lang w:val="en-GB"/>
              </w:rPr>
            </w:pPr>
            <w:r>
              <w:rPr>
                <w:lang w:val="en-GB"/>
              </w:rPr>
              <w:t>40</w:t>
            </w:r>
          </w:p>
        </w:tc>
        <w:tc>
          <w:tcPr>
            <w:tcW w:w="335" w:type="pct"/>
            <w:tcBorders>
              <w:left w:val="nil"/>
              <w:right w:val="nil"/>
            </w:tcBorders>
            <w:shd w:val="clear" w:color="auto" w:fill="FFFFFF"/>
          </w:tcPr>
          <w:p w14:paraId="407154A8" w14:textId="126E90D2" w:rsidR="00CF56BF" w:rsidRDefault="009738AA" w:rsidP="00576A57">
            <w:pPr>
              <w:pStyle w:val="CETBodytext"/>
              <w:rPr>
                <w:lang w:val="en-GB"/>
              </w:rPr>
            </w:pPr>
            <w:r>
              <w:rPr>
                <w:lang w:val="en-GB"/>
              </w:rPr>
              <w:t>60</w:t>
            </w:r>
          </w:p>
        </w:tc>
        <w:tc>
          <w:tcPr>
            <w:tcW w:w="265" w:type="pct"/>
            <w:tcBorders>
              <w:left w:val="nil"/>
              <w:right w:val="nil"/>
            </w:tcBorders>
            <w:shd w:val="clear" w:color="auto" w:fill="FFFFFF"/>
          </w:tcPr>
          <w:p w14:paraId="4DE91444" w14:textId="471D83AA" w:rsidR="00CF56BF" w:rsidRPr="0039331F" w:rsidRDefault="00463700" w:rsidP="00576A57">
            <w:pPr>
              <w:pStyle w:val="CETBodytext"/>
              <w:rPr>
                <w:lang w:val="en-GB"/>
              </w:rPr>
            </w:pPr>
            <w:r>
              <w:rPr>
                <w:lang w:val="en-GB"/>
              </w:rPr>
              <w:t>40</w:t>
            </w:r>
          </w:p>
        </w:tc>
        <w:tc>
          <w:tcPr>
            <w:tcW w:w="659" w:type="pct"/>
            <w:tcBorders>
              <w:left w:val="nil"/>
              <w:right w:val="nil"/>
            </w:tcBorders>
            <w:shd w:val="clear" w:color="auto" w:fill="FFFFFF"/>
          </w:tcPr>
          <w:p w14:paraId="01BB4BA0" w14:textId="77777777" w:rsidR="00CF56BF" w:rsidRDefault="00CF56BF" w:rsidP="00576A57">
            <w:pPr>
              <w:pStyle w:val="CETBodytext"/>
              <w:rPr>
                <w:lang w:val="en-GB"/>
              </w:rPr>
            </w:pPr>
            <w:r>
              <w:rPr>
                <w:lang w:val="en-GB"/>
              </w:rPr>
              <w:t xml:space="preserve">1-10[1], </w:t>
            </w:r>
          </w:p>
          <w:p w14:paraId="0950E137" w14:textId="77777777" w:rsidR="00CF56BF" w:rsidRPr="0039331F" w:rsidRDefault="00CF56BF" w:rsidP="00576A57">
            <w:pPr>
              <w:pStyle w:val="CETBodytext"/>
              <w:rPr>
                <w:lang w:val="en-GB"/>
              </w:rPr>
            </w:pPr>
            <w:r>
              <w:rPr>
                <w:lang w:val="en-GB"/>
              </w:rPr>
              <w:t>10-100[10]</w:t>
            </w:r>
          </w:p>
        </w:tc>
        <w:tc>
          <w:tcPr>
            <w:tcW w:w="650" w:type="pct"/>
            <w:tcBorders>
              <w:left w:val="nil"/>
              <w:right w:val="nil"/>
            </w:tcBorders>
            <w:shd w:val="clear" w:color="auto" w:fill="FFFFFF"/>
          </w:tcPr>
          <w:p w14:paraId="7EDCB546" w14:textId="4BC98439" w:rsidR="00CF56BF" w:rsidRDefault="001B58C7" w:rsidP="00576A57">
            <w:pPr>
              <w:pStyle w:val="CETBodytext"/>
              <w:ind w:right="-1"/>
              <w:rPr>
                <w:lang w:val="en-GB"/>
              </w:rPr>
            </w:pPr>
            <w:r>
              <w:rPr>
                <w:lang w:val="en-GB"/>
              </w:rPr>
              <w:t>100</w:t>
            </w:r>
          </w:p>
        </w:tc>
        <w:tc>
          <w:tcPr>
            <w:tcW w:w="504" w:type="pct"/>
            <w:tcBorders>
              <w:left w:val="nil"/>
            </w:tcBorders>
          </w:tcPr>
          <w:p w14:paraId="74233B66" w14:textId="48EC23EA" w:rsidR="00CF56BF" w:rsidRPr="002D3375" w:rsidRDefault="001B58C7" w:rsidP="00576A57">
            <w:pPr>
              <w:tabs>
                <w:tab w:val="clear" w:pos="7100"/>
              </w:tabs>
              <w:spacing w:line="276" w:lineRule="auto"/>
              <w:jc w:val="left"/>
            </w:pPr>
            <w:r>
              <w:t>100</w:t>
            </w:r>
          </w:p>
        </w:tc>
      </w:tr>
      <w:tr w:rsidR="004955E9" w:rsidRPr="002D3375" w14:paraId="3F920849" w14:textId="77777777" w:rsidTr="00B862D5">
        <w:tc>
          <w:tcPr>
            <w:tcW w:w="655" w:type="pct"/>
            <w:tcBorders>
              <w:right w:val="nil"/>
            </w:tcBorders>
            <w:shd w:val="clear" w:color="auto" w:fill="FFFFFF"/>
          </w:tcPr>
          <w:p w14:paraId="5C046966" w14:textId="77777777" w:rsidR="00CF56BF" w:rsidRPr="0039331F" w:rsidRDefault="00CF56BF" w:rsidP="00576A57">
            <w:pPr>
              <w:pStyle w:val="CETBodytext"/>
              <w:jc w:val="left"/>
              <w:rPr>
                <w:lang w:val="en-GB"/>
              </w:rPr>
            </w:pPr>
            <w:r>
              <w:rPr>
                <w:lang w:val="en-GB"/>
              </w:rPr>
              <w:t>H</w:t>
            </w:r>
            <w:r w:rsidRPr="00EA56E1">
              <w:rPr>
                <w:vertAlign w:val="subscript"/>
                <w:lang w:val="en-GB"/>
              </w:rPr>
              <w:t>2</w:t>
            </w:r>
            <w:r>
              <w:rPr>
                <w:lang w:val="en-GB"/>
              </w:rPr>
              <w:t>/GLU</w:t>
            </w:r>
          </w:p>
        </w:tc>
        <w:tc>
          <w:tcPr>
            <w:tcW w:w="390" w:type="pct"/>
            <w:tcBorders>
              <w:left w:val="nil"/>
              <w:right w:val="nil"/>
            </w:tcBorders>
            <w:shd w:val="clear" w:color="auto" w:fill="FFFFFF"/>
          </w:tcPr>
          <w:p w14:paraId="4FE57ABB" w14:textId="11BF7F7D" w:rsidR="00CF56BF" w:rsidRDefault="009738AA" w:rsidP="00576A57">
            <w:pPr>
              <w:pStyle w:val="CETBodytext"/>
              <w:rPr>
                <w:lang w:val="en-GB"/>
              </w:rPr>
            </w:pPr>
            <w:r>
              <w:rPr>
                <w:lang w:val="en-GB"/>
              </w:rPr>
              <w:t>10</w:t>
            </w:r>
          </w:p>
        </w:tc>
        <w:tc>
          <w:tcPr>
            <w:tcW w:w="335" w:type="pct"/>
            <w:tcBorders>
              <w:left w:val="nil"/>
              <w:right w:val="nil"/>
            </w:tcBorders>
            <w:shd w:val="clear" w:color="auto" w:fill="FFFFFF"/>
          </w:tcPr>
          <w:p w14:paraId="46AE77EA" w14:textId="7A8AAB6F" w:rsidR="00CF56BF" w:rsidRDefault="009738AA" w:rsidP="00576A57">
            <w:pPr>
              <w:pStyle w:val="CETBodytext"/>
              <w:rPr>
                <w:lang w:val="en-GB"/>
              </w:rPr>
            </w:pPr>
            <w:r>
              <w:rPr>
                <w:lang w:val="en-GB"/>
              </w:rPr>
              <w:t>4</w:t>
            </w:r>
          </w:p>
        </w:tc>
        <w:tc>
          <w:tcPr>
            <w:tcW w:w="496" w:type="pct"/>
            <w:tcBorders>
              <w:left w:val="nil"/>
              <w:right w:val="nil"/>
            </w:tcBorders>
            <w:shd w:val="clear" w:color="auto" w:fill="FFFFFF"/>
          </w:tcPr>
          <w:p w14:paraId="656F95E2" w14:textId="439E220C" w:rsidR="00CF56BF" w:rsidRDefault="009738AA" w:rsidP="00576A57">
            <w:pPr>
              <w:pStyle w:val="CETBodytext"/>
              <w:rPr>
                <w:lang w:val="en-GB"/>
              </w:rPr>
            </w:pPr>
            <w:r>
              <w:rPr>
                <w:lang w:val="en-GB"/>
              </w:rPr>
              <w:t>2.6</w:t>
            </w:r>
          </w:p>
        </w:tc>
        <w:tc>
          <w:tcPr>
            <w:tcW w:w="376" w:type="pct"/>
            <w:tcBorders>
              <w:left w:val="nil"/>
              <w:right w:val="nil"/>
            </w:tcBorders>
            <w:shd w:val="clear" w:color="auto" w:fill="FFFFFF"/>
          </w:tcPr>
          <w:p w14:paraId="341D16EA" w14:textId="3B1ACBB6" w:rsidR="00CF56BF" w:rsidRDefault="009738AA" w:rsidP="00576A57">
            <w:pPr>
              <w:pStyle w:val="CETBodytext"/>
              <w:rPr>
                <w:lang w:val="en-GB"/>
              </w:rPr>
            </w:pPr>
            <w:r>
              <w:rPr>
                <w:lang w:val="en-GB"/>
              </w:rPr>
              <w:t>30.1</w:t>
            </w:r>
          </w:p>
        </w:tc>
        <w:tc>
          <w:tcPr>
            <w:tcW w:w="335" w:type="pct"/>
            <w:tcBorders>
              <w:left w:val="nil"/>
              <w:right w:val="nil"/>
            </w:tcBorders>
            <w:shd w:val="clear" w:color="auto" w:fill="FFFFFF"/>
          </w:tcPr>
          <w:p w14:paraId="75B2CC0D" w14:textId="0E0BEFD4" w:rsidR="00CF56BF" w:rsidRDefault="009738AA" w:rsidP="00576A57">
            <w:pPr>
              <w:pStyle w:val="CETBodytext"/>
              <w:rPr>
                <w:lang w:val="en-GB"/>
              </w:rPr>
            </w:pPr>
            <w:r>
              <w:rPr>
                <w:lang w:val="en-GB"/>
              </w:rPr>
              <w:t>22.6</w:t>
            </w:r>
          </w:p>
        </w:tc>
        <w:tc>
          <w:tcPr>
            <w:tcW w:w="335" w:type="pct"/>
            <w:tcBorders>
              <w:left w:val="nil"/>
              <w:right w:val="nil"/>
            </w:tcBorders>
            <w:shd w:val="clear" w:color="auto" w:fill="FFFFFF"/>
          </w:tcPr>
          <w:p w14:paraId="0D9396AB" w14:textId="39CE6B75" w:rsidR="00CF56BF" w:rsidRDefault="009738AA" w:rsidP="00576A57">
            <w:pPr>
              <w:pStyle w:val="CETBodytext"/>
              <w:rPr>
                <w:lang w:val="en-GB"/>
              </w:rPr>
            </w:pPr>
            <w:r>
              <w:rPr>
                <w:lang w:val="en-GB"/>
              </w:rPr>
              <w:t>8.6</w:t>
            </w:r>
          </w:p>
        </w:tc>
        <w:tc>
          <w:tcPr>
            <w:tcW w:w="265" w:type="pct"/>
            <w:tcBorders>
              <w:left w:val="nil"/>
              <w:right w:val="nil"/>
            </w:tcBorders>
            <w:shd w:val="clear" w:color="auto" w:fill="FFFFFF"/>
          </w:tcPr>
          <w:p w14:paraId="304C4DF7" w14:textId="43C7F82D" w:rsidR="00CF56BF" w:rsidRPr="0039331F" w:rsidRDefault="009738AA" w:rsidP="00576A57">
            <w:pPr>
              <w:pStyle w:val="CETBodytext"/>
              <w:rPr>
                <w:lang w:val="en-GB"/>
              </w:rPr>
            </w:pPr>
            <w:r>
              <w:rPr>
                <w:lang w:val="en-GB"/>
              </w:rPr>
              <w:t>1</w:t>
            </w:r>
            <w:r w:rsidR="00CF56BF">
              <w:rPr>
                <w:lang w:val="en-GB"/>
              </w:rPr>
              <w:t>0</w:t>
            </w:r>
          </w:p>
        </w:tc>
        <w:tc>
          <w:tcPr>
            <w:tcW w:w="659" w:type="pct"/>
            <w:tcBorders>
              <w:left w:val="nil"/>
              <w:right w:val="nil"/>
            </w:tcBorders>
            <w:shd w:val="clear" w:color="auto" w:fill="FFFFFF"/>
          </w:tcPr>
          <w:p w14:paraId="7A57C362" w14:textId="463CD74C" w:rsidR="00CF56BF" w:rsidRPr="0039331F" w:rsidRDefault="00287AD0" w:rsidP="00576A57">
            <w:pPr>
              <w:pStyle w:val="CETBodytext"/>
              <w:rPr>
                <w:lang w:val="en-GB"/>
              </w:rPr>
            </w:pPr>
            <w:r>
              <w:rPr>
                <w:lang w:val="en-GB"/>
              </w:rPr>
              <w:t>10</w:t>
            </w:r>
          </w:p>
        </w:tc>
        <w:tc>
          <w:tcPr>
            <w:tcW w:w="650" w:type="pct"/>
            <w:tcBorders>
              <w:left w:val="nil"/>
              <w:right w:val="nil"/>
            </w:tcBorders>
            <w:shd w:val="clear" w:color="auto" w:fill="FFFFFF"/>
          </w:tcPr>
          <w:p w14:paraId="13EF91D2" w14:textId="77777777" w:rsidR="00CF56BF" w:rsidRDefault="00CF56BF" w:rsidP="00576A57">
            <w:pPr>
              <w:pStyle w:val="CETBodytext"/>
              <w:ind w:right="-1"/>
              <w:rPr>
                <w:lang w:val="en-GB"/>
              </w:rPr>
            </w:pPr>
            <w:r w:rsidRPr="00AB1392">
              <w:rPr>
                <w:lang w:val="en-GB"/>
              </w:rPr>
              <w:t>10-100[5]</w:t>
            </w:r>
          </w:p>
        </w:tc>
        <w:tc>
          <w:tcPr>
            <w:tcW w:w="504" w:type="pct"/>
            <w:tcBorders>
              <w:left w:val="nil"/>
            </w:tcBorders>
          </w:tcPr>
          <w:p w14:paraId="68B9EBA5" w14:textId="77777777" w:rsidR="00CF56BF" w:rsidRPr="002D3375" w:rsidRDefault="00CF56BF" w:rsidP="00576A57">
            <w:pPr>
              <w:tabs>
                <w:tab w:val="clear" w:pos="7100"/>
              </w:tabs>
              <w:spacing w:line="276" w:lineRule="auto"/>
              <w:jc w:val="left"/>
            </w:pPr>
            <w:r>
              <w:t>10</w:t>
            </w:r>
          </w:p>
        </w:tc>
      </w:tr>
      <w:tr w:rsidR="004955E9" w:rsidRPr="002D3375" w14:paraId="7481AA1A" w14:textId="77777777" w:rsidTr="00B862D5">
        <w:tc>
          <w:tcPr>
            <w:tcW w:w="655" w:type="pct"/>
            <w:tcBorders>
              <w:right w:val="nil"/>
            </w:tcBorders>
            <w:shd w:val="clear" w:color="auto" w:fill="FFFFFF"/>
          </w:tcPr>
          <w:p w14:paraId="6054AF36" w14:textId="77777777" w:rsidR="00CF56BF" w:rsidRPr="0039331F" w:rsidRDefault="00CF56BF" w:rsidP="00576A57">
            <w:pPr>
              <w:pStyle w:val="CETBodytext"/>
              <w:jc w:val="left"/>
              <w:rPr>
                <w:lang w:val="en-GB"/>
              </w:rPr>
            </w:pPr>
            <w:proofErr w:type="spellStart"/>
            <w:r>
              <w:rPr>
                <w:lang w:val="en-GB"/>
              </w:rPr>
              <w:t>w</w:t>
            </w:r>
            <w:r w:rsidRPr="0011127D">
              <w:rPr>
                <w:vertAlign w:val="subscript"/>
                <w:lang w:val="en-GB"/>
              </w:rPr>
              <w:t>GLU</w:t>
            </w:r>
            <w:proofErr w:type="spellEnd"/>
            <w:r>
              <w:rPr>
                <w:lang w:val="en-GB"/>
              </w:rPr>
              <w:t xml:space="preserve"> (</w:t>
            </w:r>
            <w:proofErr w:type="spellStart"/>
            <w:r>
              <w:rPr>
                <w:lang w:val="en-GB"/>
              </w:rPr>
              <w:t>wt</w:t>
            </w:r>
            <w:proofErr w:type="spellEnd"/>
            <w:r>
              <w:rPr>
                <w:lang w:val="en-GB"/>
              </w:rPr>
              <w:t xml:space="preserve"> %)</w:t>
            </w:r>
          </w:p>
        </w:tc>
        <w:tc>
          <w:tcPr>
            <w:tcW w:w="390" w:type="pct"/>
            <w:tcBorders>
              <w:left w:val="nil"/>
              <w:right w:val="nil"/>
            </w:tcBorders>
            <w:shd w:val="clear" w:color="auto" w:fill="FFFFFF"/>
          </w:tcPr>
          <w:p w14:paraId="3A24FF05" w14:textId="2282287D" w:rsidR="00CF56BF" w:rsidRPr="00D5144A" w:rsidRDefault="00CF56BF" w:rsidP="00576A57">
            <w:pPr>
              <w:pStyle w:val="CETBodytext"/>
              <w:rPr>
                <w:lang w:val="en-GB"/>
              </w:rPr>
            </w:pPr>
            <w:r>
              <w:rPr>
                <w:lang w:val="en-GB"/>
              </w:rPr>
              <w:t>10</w:t>
            </w:r>
          </w:p>
        </w:tc>
        <w:tc>
          <w:tcPr>
            <w:tcW w:w="335" w:type="pct"/>
            <w:tcBorders>
              <w:left w:val="nil"/>
              <w:right w:val="nil"/>
            </w:tcBorders>
            <w:shd w:val="clear" w:color="auto" w:fill="FFFFFF"/>
          </w:tcPr>
          <w:p w14:paraId="3038AFB6" w14:textId="561188EC" w:rsidR="00CF56BF" w:rsidRPr="00D5144A" w:rsidRDefault="00CF56BF" w:rsidP="00576A57">
            <w:pPr>
              <w:pStyle w:val="CETBodytext"/>
              <w:rPr>
                <w:lang w:val="en-GB"/>
              </w:rPr>
            </w:pPr>
            <w:r>
              <w:rPr>
                <w:lang w:val="en-GB"/>
              </w:rPr>
              <w:t>0.9</w:t>
            </w:r>
          </w:p>
        </w:tc>
        <w:tc>
          <w:tcPr>
            <w:tcW w:w="496" w:type="pct"/>
            <w:tcBorders>
              <w:left w:val="nil"/>
              <w:right w:val="nil"/>
            </w:tcBorders>
            <w:shd w:val="clear" w:color="auto" w:fill="FFFFFF"/>
          </w:tcPr>
          <w:p w14:paraId="1DB0A78A" w14:textId="21C2F327" w:rsidR="00CF56BF" w:rsidRPr="00D5144A" w:rsidRDefault="00CF56BF" w:rsidP="00576A57">
            <w:pPr>
              <w:pStyle w:val="CETBodytext"/>
              <w:rPr>
                <w:lang w:val="en-GB"/>
              </w:rPr>
            </w:pPr>
            <w:r>
              <w:rPr>
                <w:lang w:val="en-GB"/>
              </w:rPr>
              <w:t>30</w:t>
            </w:r>
          </w:p>
        </w:tc>
        <w:tc>
          <w:tcPr>
            <w:tcW w:w="376" w:type="pct"/>
            <w:tcBorders>
              <w:left w:val="nil"/>
              <w:right w:val="nil"/>
            </w:tcBorders>
            <w:shd w:val="clear" w:color="auto" w:fill="FFFFFF"/>
          </w:tcPr>
          <w:p w14:paraId="622B3130" w14:textId="4EF6E8D2" w:rsidR="00CF56BF" w:rsidRPr="00D5144A" w:rsidRDefault="00CF56BF" w:rsidP="00576A57">
            <w:pPr>
              <w:pStyle w:val="CETBodytext"/>
              <w:rPr>
                <w:lang w:val="en-GB"/>
              </w:rPr>
            </w:pPr>
            <w:r>
              <w:rPr>
                <w:lang w:val="en-GB"/>
              </w:rPr>
              <w:t>5</w:t>
            </w:r>
          </w:p>
        </w:tc>
        <w:tc>
          <w:tcPr>
            <w:tcW w:w="335" w:type="pct"/>
            <w:tcBorders>
              <w:left w:val="nil"/>
              <w:right w:val="nil"/>
            </w:tcBorders>
            <w:shd w:val="clear" w:color="auto" w:fill="FFFFFF"/>
          </w:tcPr>
          <w:p w14:paraId="42694FCC" w14:textId="714EAF55" w:rsidR="00CF56BF" w:rsidRPr="00D5144A" w:rsidRDefault="00CF56BF" w:rsidP="00576A57">
            <w:pPr>
              <w:pStyle w:val="CETBodytext"/>
              <w:rPr>
                <w:lang w:val="en-GB"/>
              </w:rPr>
            </w:pPr>
            <w:r>
              <w:rPr>
                <w:lang w:val="en-GB"/>
              </w:rPr>
              <w:t>5</w:t>
            </w:r>
          </w:p>
        </w:tc>
        <w:tc>
          <w:tcPr>
            <w:tcW w:w="335" w:type="pct"/>
            <w:tcBorders>
              <w:left w:val="nil"/>
              <w:right w:val="nil"/>
            </w:tcBorders>
            <w:shd w:val="clear" w:color="auto" w:fill="FFFFFF"/>
          </w:tcPr>
          <w:p w14:paraId="32E39687" w14:textId="113CE71F" w:rsidR="00CF56BF" w:rsidRPr="00D5144A" w:rsidRDefault="009738AA" w:rsidP="00576A57">
            <w:pPr>
              <w:pStyle w:val="CETBodytext"/>
              <w:rPr>
                <w:lang w:val="en-GB"/>
              </w:rPr>
            </w:pPr>
            <w:r>
              <w:rPr>
                <w:lang w:val="en-GB"/>
              </w:rPr>
              <w:t>7</w:t>
            </w:r>
          </w:p>
        </w:tc>
        <w:tc>
          <w:tcPr>
            <w:tcW w:w="265" w:type="pct"/>
            <w:tcBorders>
              <w:left w:val="nil"/>
              <w:right w:val="nil"/>
            </w:tcBorders>
            <w:shd w:val="clear" w:color="auto" w:fill="FFFFFF"/>
          </w:tcPr>
          <w:p w14:paraId="2BD28A87" w14:textId="50FC6384" w:rsidR="00CF56BF" w:rsidRPr="007F653A" w:rsidRDefault="009738AA" w:rsidP="00576A57">
            <w:pPr>
              <w:pStyle w:val="CETBodytext"/>
              <w:rPr>
                <w:color w:val="FF0000"/>
                <w:lang w:val="en-GB"/>
              </w:rPr>
            </w:pPr>
            <w:r>
              <w:rPr>
                <w:lang w:val="en-GB"/>
              </w:rPr>
              <w:t>1</w:t>
            </w:r>
            <w:r w:rsidR="00CF56BF" w:rsidRPr="00D5144A">
              <w:rPr>
                <w:lang w:val="en-GB"/>
              </w:rPr>
              <w:t>0</w:t>
            </w:r>
          </w:p>
        </w:tc>
        <w:tc>
          <w:tcPr>
            <w:tcW w:w="659" w:type="pct"/>
            <w:tcBorders>
              <w:left w:val="nil"/>
              <w:right w:val="nil"/>
            </w:tcBorders>
            <w:shd w:val="clear" w:color="auto" w:fill="FFFFFF"/>
          </w:tcPr>
          <w:p w14:paraId="471923B3" w14:textId="036BFD1F" w:rsidR="00CF56BF" w:rsidRPr="0039331F" w:rsidRDefault="00287AD0" w:rsidP="00576A57">
            <w:pPr>
              <w:pStyle w:val="CETBodytext"/>
              <w:rPr>
                <w:lang w:val="en-GB"/>
              </w:rPr>
            </w:pPr>
            <w:r>
              <w:rPr>
                <w:lang w:val="en-GB"/>
              </w:rPr>
              <w:t>10</w:t>
            </w:r>
          </w:p>
        </w:tc>
        <w:tc>
          <w:tcPr>
            <w:tcW w:w="650" w:type="pct"/>
            <w:tcBorders>
              <w:left w:val="nil"/>
              <w:right w:val="nil"/>
            </w:tcBorders>
            <w:shd w:val="clear" w:color="auto" w:fill="FFFFFF"/>
          </w:tcPr>
          <w:p w14:paraId="0488B316" w14:textId="4DD65E7D" w:rsidR="00CF56BF" w:rsidRDefault="00463700" w:rsidP="00576A57">
            <w:pPr>
              <w:pStyle w:val="CETBodytext"/>
              <w:ind w:right="-1"/>
              <w:rPr>
                <w:lang w:val="en-GB"/>
              </w:rPr>
            </w:pPr>
            <w:r>
              <w:rPr>
                <w:lang w:val="en-GB"/>
              </w:rPr>
              <w:t>1</w:t>
            </w:r>
            <w:r w:rsidR="00CF56BF">
              <w:rPr>
                <w:lang w:val="en-GB"/>
              </w:rPr>
              <w:t>-</w:t>
            </w:r>
            <w:r w:rsidR="003B2035">
              <w:rPr>
                <w:lang w:val="en-GB"/>
              </w:rPr>
              <w:t xml:space="preserve">9 </w:t>
            </w:r>
            <w:r w:rsidR="00CF56BF">
              <w:rPr>
                <w:lang w:val="en-GB"/>
              </w:rPr>
              <w:t>[</w:t>
            </w:r>
            <w:r>
              <w:rPr>
                <w:lang w:val="en-GB"/>
              </w:rPr>
              <w:t>2</w:t>
            </w:r>
            <w:r w:rsidR="00CF56BF">
              <w:rPr>
                <w:lang w:val="en-GB"/>
              </w:rPr>
              <w:t>]</w:t>
            </w:r>
          </w:p>
          <w:p w14:paraId="2A7B6EE2" w14:textId="681A84BF" w:rsidR="00463700" w:rsidRDefault="00463700" w:rsidP="00576A57">
            <w:pPr>
              <w:pStyle w:val="CETBodytext"/>
              <w:ind w:right="-1"/>
              <w:rPr>
                <w:lang w:val="en-GB"/>
              </w:rPr>
            </w:pPr>
            <w:r>
              <w:rPr>
                <w:lang w:val="en-GB"/>
              </w:rPr>
              <w:t>20-60[10]</w:t>
            </w:r>
          </w:p>
        </w:tc>
        <w:tc>
          <w:tcPr>
            <w:tcW w:w="504" w:type="pct"/>
            <w:tcBorders>
              <w:left w:val="nil"/>
            </w:tcBorders>
          </w:tcPr>
          <w:p w14:paraId="5C599A4F" w14:textId="66DD3C36" w:rsidR="00CF56BF" w:rsidRPr="002D3375" w:rsidRDefault="001B58C7" w:rsidP="00576A57">
            <w:pPr>
              <w:tabs>
                <w:tab w:val="clear" w:pos="7100"/>
              </w:tabs>
              <w:spacing w:line="276" w:lineRule="auto"/>
              <w:jc w:val="left"/>
            </w:pPr>
            <w:r>
              <w:t>0.6</w:t>
            </w:r>
          </w:p>
        </w:tc>
      </w:tr>
    </w:tbl>
    <w:p w14:paraId="7721A2BB" w14:textId="358E327F" w:rsidR="008913A8" w:rsidRDefault="008913A8" w:rsidP="008913A8">
      <w:pPr>
        <w:pStyle w:val="CETHeading1"/>
      </w:pPr>
      <w:r>
        <w:t>Results</w:t>
      </w:r>
      <w:r w:rsidR="000D66EC">
        <w:t xml:space="preserve"> and discussion</w:t>
      </w:r>
    </w:p>
    <w:p w14:paraId="67EA2B98" w14:textId="297626B9" w:rsidR="00F0171C" w:rsidRPr="006F3AC7" w:rsidRDefault="00F74B65" w:rsidP="009D7882">
      <w:pPr>
        <w:pStyle w:val="CETBodytext"/>
        <w:rPr>
          <w:b/>
          <w:lang w:val="en-GB"/>
        </w:rPr>
      </w:pPr>
      <w:r w:rsidRPr="00905773">
        <w:rPr>
          <w:lang w:val="en-GB"/>
        </w:rPr>
        <w:t xml:space="preserve">The temperature dependence of the equilibrium constants of each reaction </w:t>
      </w:r>
      <w:r w:rsidR="008E07CC">
        <w:rPr>
          <w:lang w:val="en-GB"/>
        </w:rPr>
        <w:t>given</w:t>
      </w:r>
      <w:r w:rsidRPr="00905773">
        <w:rPr>
          <w:lang w:val="en-GB"/>
        </w:rPr>
        <w:t xml:space="preserve"> in </w:t>
      </w:r>
      <w:r w:rsidRPr="00905773">
        <w:rPr>
          <w:lang w:val="en-GB"/>
        </w:rPr>
        <w:fldChar w:fldCharType="begin"/>
      </w:r>
      <w:r w:rsidRPr="00905773">
        <w:rPr>
          <w:lang w:val="en-GB"/>
        </w:rPr>
        <w:instrText xml:space="preserve"> REF _Ref1074898 \h </w:instrText>
      </w:r>
      <w:r w:rsidRPr="00905773">
        <w:rPr>
          <w:lang w:val="en-GB"/>
        </w:rPr>
      </w:r>
      <w:r w:rsidRPr="00905773">
        <w:rPr>
          <w:lang w:val="en-GB"/>
        </w:rPr>
        <w:fldChar w:fldCharType="separate"/>
      </w:r>
      <w:r w:rsidR="00D0006A">
        <w:t xml:space="preserve">Figure </w:t>
      </w:r>
      <w:r w:rsidR="00D0006A">
        <w:rPr>
          <w:noProof/>
        </w:rPr>
        <w:t>1</w:t>
      </w:r>
      <w:r w:rsidRPr="00905773">
        <w:rPr>
          <w:lang w:val="en-GB"/>
        </w:rPr>
        <w:fldChar w:fldCharType="end"/>
      </w:r>
      <w:r w:rsidRPr="00905773">
        <w:rPr>
          <w:lang w:val="en-GB"/>
        </w:rPr>
        <w:t xml:space="preserve"> is presented in </w:t>
      </w:r>
      <w:r w:rsidR="00066E84" w:rsidRPr="00905773">
        <w:rPr>
          <w:lang w:val="en-GB"/>
        </w:rPr>
        <w:fldChar w:fldCharType="begin"/>
      </w:r>
      <w:r w:rsidR="00066E84" w:rsidRPr="00905773">
        <w:rPr>
          <w:lang w:val="en-GB"/>
        </w:rPr>
        <w:instrText xml:space="preserve"> REF _Ref1163220 \h </w:instrText>
      </w:r>
      <w:r w:rsidR="00066E84" w:rsidRPr="00905773">
        <w:rPr>
          <w:lang w:val="en-GB"/>
        </w:rPr>
      </w:r>
      <w:r w:rsidR="00066E84" w:rsidRPr="00905773">
        <w:rPr>
          <w:lang w:val="en-GB"/>
        </w:rPr>
        <w:fldChar w:fldCharType="separate"/>
      </w:r>
      <w:r w:rsidR="00D0006A" w:rsidRPr="00267F70">
        <w:t xml:space="preserve">Figure </w:t>
      </w:r>
      <w:r w:rsidR="00D0006A">
        <w:rPr>
          <w:noProof/>
        </w:rPr>
        <w:t>2</w:t>
      </w:r>
      <w:r w:rsidR="00066E84" w:rsidRPr="00905773">
        <w:rPr>
          <w:lang w:val="en-GB"/>
        </w:rPr>
        <w:fldChar w:fldCharType="end"/>
      </w:r>
      <w:r w:rsidRPr="00905773">
        <w:rPr>
          <w:lang w:val="en-GB"/>
        </w:rPr>
        <w:t xml:space="preserve">, which shows that most network reactions are exothermic except </w:t>
      </w:r>
      <w:r w:rsidR="00066E84" w:rsidRPr="00905773">
        <w:rPr>
          <w:lang w:val="en-GB"/>
        </w:rPr>
        <w:t xml:space="preserve">for </w:t>
      </w:r>
      <w:r w:rsidRPr="00905773">
        <w:rPr>
          <w:lang w:val="en-GB"/>
        </w:rPr>
        <w:t>fructose retro-aldolization to dihydroxyacetone</w:t>
      </w:r>
      <w:r w:rsidR="00905773" w:rsidRPr="00905773">
        <w:rPr>
          <w:lang w:val="en-GB"/>
        </w:rPr>
        <w:t xml:space="preserve"> an</w:t>
      </w:r>
      <w:r w:rsidR="00EB75AB">
        <w:rPr>
          <w:lang w:val="en-GB"/>
        </w:rPr>
        <w:t>d</w:t>
      </w:r>
      <w:r w:rsidR="00905773" w:rsidRPr="00905773">
        <w:rPr>
          <w:lang w:val="en-GB"/>
        </w:rPr>
        <w:t xml:space="preserve"> glyceraldehyde</w:t>
      </w:r>
      <w:r w:rsidRPr="00905773">
        <w:rPr>
          <w:lang w:val="en-GB"/>
        </w:rPr>
        <w:t xml:space="preserve"> </w:t>
      </w:r>
      <w:r w:rsidRPr="002E5808">
        <w:rPr>
          <w:lang w:val="en-GB"/>
        </w:rPr>
        <w:t>(R</w:t>
      </w:r>
      <w:r w:rsidR="00905773" w:rsidRPr="002E5808">
        <w:rPr>
          <w:lang w:val="en-GB"/>
        </w:rPr>
        <w:t xml:space="preserve">2 and </w:t>
      </w:r>
      <w:r w:rsidR="0014514F" w:rsidRPr="002E5808">
        <w:rPr>
          <w:lang w:val="en-GB"/>
        </w:rPr>
        <w:t>R</w:t>
      </w:r>
      <w:r w:rsidR="00905773" w:rsidRPr="002E5808">
        <w:rPr>
          <w:lang w:val="en-GB"/>
        </w:rPr>
        <w:t>3</w:t>
      </w:r>
      <w:r w:rsidRPr="002E5808">
        <w:rPr>
          <w:lang w:val="en-GB"/>
        </w:rPr>
        <w:t>)</w:t>
      </w:r>
      <w:r w:rsidR="00883932" w:rsidRPr="002E5808">
        <w:rPr>
          <w:lang w:val="en-GB"/>
        </w:rPr>
        <w:t xml:space="preserve"> </w:t>
      </w:r>
      <w:r w:rsidR="00883932" w:rsidRPr="00152535">
        <w:rPr>
          <w:lang w:val="en-GB"/>
        </w:rPr>
        <w:t>and</w:t>
      </w:r>
      <w:r w:rsidR="00905773" w:rsidRPr="00152535">
        <w:rPr>
          <w:lang w:val="en-GB"/>
        </w:rPr>
        <w:t xml:space="preserve"> glucose </w:t>
      </w:r>
      <w:proofErr w:type="spellStart"/>
      <w:r w:rsidR="00905773" w:rsidRPr="00152535">
        <w:rPr>
          <w:lang w:val="en-GB"/>
        </w:rPr>
        <w:t>retroaldolization</w:t>
      </w:r>
      <w:proofErr w:type="spellEnd"/>
      <w:r w:rsidR="00905773" w:rsidRPr="00152535">
        <w:rPr>
          <w:lang w:val="en-GB"/>
        </w:rPr>
        <w:t xml:space="preserve"> to erythrose</w:t>
      </w:r>
      <w:r w:rsidR="0014514F" w:rsidRPr="00152535">
        <w:rPr>
          <w:lang w:val="en-GB"/>
        </w:rPr>
        <w:t xml:space="preserve"> and glycolaldehyde (R</w:t>
      </w:r>
      <w:r w:rsidR="00152535" w:rsidRPr="00152535">
        <w:rPr>
          <w:lang w:val="en-GB"/>
        </w:rPr>
        <w:t>20</w:t>
      </w:r>
      <w:r w:rsidR="00905773" w:rsidRPr="00152535">
        <w:rPr>
          <w:lang w:val="en-GB"/>
        </w:rPr>
        <w:t>)</w:t>
      </w:r>
      <w:r w:rsidRPr="00152535">
        <w:rPr>
          <w:lang w:val="en-GB"/>
        </w:rPr>
        <w:t>.</w:t>
      </w:r>
      <w:r w:rsidR="00905773" w:rsidRPr="00152535">
        <w:rPr>
          <w:lang w:val="en-GB"/>
        </w:rPr>
        <w:t xml:space="preserve"> </w:t>
      </w:r>
      <w:r w:rsidR="00905773" w:rsidRPr="00AF7B4E">
        <w:rPr>
          <w:lang w:val="en-GB"/>
        </w:rPr>
        <w:t>Sorbitol and ma</w:t>
      </w:r>
      <w:r w:rsidR="0014514F" w:rsidRPr="00AF7B4E">
        <w:rPr>
          <w:lang w:val="en-GB"/>
        </w:rPr>
        <w:t>nnitol hydrogenation (R</w:t>
      </w:r>
      <w:r w:rsidR="00AF7B4E" w:rsidRPr="00AF7B4E">
        <w:rPr>
          <w:lang w:val="en-GB"/>
        </w:rPr>
        <w:t>18</w:t>
      </w:r>
      <w:r w:rsidR="00905773" w:rsidRPr="00AF7B4E">
        <w:rPr>
          <w:lang w:val="en-GB"/>
        </w:rPr>
        <w:t xml:space="preserve"> and </w:t>
      </w:r>
      <w:r w:rsidR="0014514F" w:rsidRPr="00AF7B4E">
        <w:rPr>
          <w:lang w:val="en-GB"/>
        </w:rPr>
        <w:t>R</w:t>
      </w:r>
      <w:r w:rsidR="00AF7B4E" w:rsidRPr="00AF7B4E">
        <w:rPr>
          <w:lang w:val="en-GB"/>
        </w:rPr>
        <w:t>19</w:t>
      </w:r>
      <w:r w:rsidR="00905773" w:rsidRPr="00AF7B4E">
        <w:rPr>
          <w:lang w:val="en-GB"/>
        </w:rPr>
        <w:t>) to 1,2-PDO have the highest equilibrium constants, followed by 1,2-butanediol</w:t>
      </w:r>
      <w:r w:rsidR="007A0B2B" w:rsidRPr="00AF7B4E">
        <w:rPr>
          <w:lang w:val="en-GB"/>
        </w:rPr>
        <w:t xml:space="preserve"> (1,2-BDO)</w:t>
      </w:r>
      <w:r w:rsidR="00905773" w:rsidRPr="00AF7B4E">
        <w:rPr>
          <w:lang w:val="en-GB"/>
        </w:rPr>
        <w:t xml:space="preserve"> </w:t>
      </w:r>
      <w:r w:rsidR="008D666C" w:rsidRPr="00AF7B4E">
        <w:rPr>
          <w:lang w:val="en-GB"/>
        </w:rPr>
        <w:t xml:space="preserve">(R24) </w:t>
      </w:r>
      <w:r w:rsidR="00905773" w:rsidRPr="00AF7B4E">
        <w:rPr>
          <w:lang w:val="en-GB"/>
        </w:rPr>
        <w:t>and CH</w:t>
      </w:r>
      <w:r w:rsidR="00905773" w:rsidRPr="00AF7B4E">
        <w:rPr>
          <w:vertAlign w:val="subscript"/>
          <w:lang w:val="en-GB"/>
        </w:rPr>
        <w:t>4</w:t>
      </w:r>
      <w:r w:rsidR="00905773" w:rsidRPr="00AF7B4E">
        <w:rPr>
          <w:lang w:val="en-GB"/>
        </w:rPr>
        <w:t xml:space="preserve"> formation reactions (</w:t>
      </w:r>
      <w:r w:rsidR="008D666C" w:rsidRPr="00AF7B4E">
        <w:rPr>
          <w:lang w:val="en-GB"/>
        </w:rPr>
        <w:t>R</w:t>
      </w:r>
      <w:r w:rsidR="00905773" w:rsidRPr="00AF7B4E">
        <w:rPr>
          <w:lang w:val="en-GB"/>
        </w:rPr>
        <w:t>27</w:t>
      </w:r>
      <w:r w:rsidR="008D666C" w:rsidRPr="00AF7B4E">
        <w:rPr>
          <w:lang w:val="en-GB"/>
        </w:rPr>
        <w:t xml:space="preserve"> and </w:t>
      </w:r>
      <w:r w:rsidR="0014514F" w:rsidRPr="00AF7B4E">
        <w:rPr>
          <w:lang w:val="en-GB"/>
        </w:rPr>
        <w:t>R</w:t>
      </w:r>
      <w:r w:rsidR="00AF7B4E" w:rsidRPr="00AF7B4E">
        <w:rPr>
          <w:lang w:val="en-GB"/>
        </w:rPr>
        <w:t>30</w:t>
      </w:r>
      <w:r w:rsidR="00905773" w:rsidRPr="00AF7B4E">
        <w:rPr>
          <w:lang w:val="en-GB"/>
        </w:rPr>
        <w:t>).</w:t>
      </w:r>
      <w:r w:rsidR="00905773">
        <w:rPr>
          <w:lang w:val="en-GB"/>
        </w:rPr>
        <w:t xml:space="preserve"> </w:t>
      </w:r>
    </w:p>
    <w:p w14:paraId="48A0E204" w14:textId="15AE6689" w:rsidR="00F74B65" w:rsidRDefault="00F74B65" w:rsidP="009D7882">
      <w:pPr>
        <w:pStyle w:val="CETBodytext"/>
        <w:rPr>
          <w:color w:val="7030A0"/>
          <w:lang w:val="en-GB"/>
        </w:rPr>
      </w:pPr>
    </w:p>
    <w:p w14:paraId="5EA0609F" w14:textId="05B42BAA" w:rsidR="0049319A" w:rsidRDefault="00BB3481" w:rsidP="009D7882">
      <w:pPr>
        <w:pStyle w:val="CETBodytext"/>
        <w:rPr>
          <w:color w:val="7030A0"/>
          <w:lang w:val="en-GB"/>
        </w:rPr>
      </w:pPr>
      <w:r w:rsidRPr="00BB3481">
        <w:drawing>
          <wp:inline distT="0" distB="0" distL="0" distR="0" wp14:anchorId="121A8D07" wp14:editId="0D65890A">
            <wp:extent cx="5579745" cy="1700530"/>
            <wp:effectExtent l="0" t="0" r="190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1700530"/>
                    </a:xfrm>
                    <a:prstGeom prst="rect">
                      <a:avLst/>
                    </a:prstGeom>
                    <a:noFill/>
                    <a:ln>
                      <a:noFill/>
                    </a:ln>
                  </pic:spPr>
                </pic:pic>
              </a:graphicData>
            </a:graphic>
          </wp:inline>
        </w:drawing>
      </w:r>
    </w:p>
    <w:p w14:paraId="4CF855F6" w14:textId="7ECA2D19" w:rsidR="00267F70" w:rsidRPr="00267F70" w:rsidRDefault="00267F70" w:rsidP="00267F70">
      <w:pPr>
        <w:pStyle w:val="CETCaption"/>
      </w:pPr>
      <w:bookmarkStart w:id="4" w:name="_Ref1163220"/>
      <w:r w:rsidRPr="00267F70">
        <w:t xml:space="preserve">Figure </w:t>
      </w:r>
      <w:r w:rsidRPr="00267F70">
        <w:fldChar w:fldCharType="begin"/>
      </w:r>
      <w:r w:rsidRPr="00267F70">
        <w:instrText xml:space="preserve"> SEQ Figure \* ARABIC </w:instrText>
      </w:r>
      <w:r w:rsidRPr="00267F70">
        <w:fldChar w:fldCharType="separate"/>
      </w:r>
      <w:r w:rsidR="00D0006A">
        <w:rPr>
          <w:noProof/>
        </w:rPr>
        <w:t>2</w:t>
      </w:r>
      <w:r w:rsidRPr="00267F70">
        <w:fldChar w:fldCharType="end"/>
      </w:r>
      <w:bookmarkEnd w:id="4"/>
      <w:r w:rsidRPr="00267F70">
        <w:t>: Reaction equilibrium constants versus temperature</w:t>
      </w:r>
      <w:r w:rsidR="008D666C">
        <w:t>.</w:t>
      </w:r>
      <w:r w:rsidRPr="00267F70">
        <w:t xml:space="preserve"> (a) </w:t>
      </w:r>
      <w:r w:rsidR="008D666C">
        <w:t>Highest equilibrium constants</w:t>
      </w:r>
      <w:r w:rsidRPr="00267F70">
        <w:t xml:space="preserve">; (b) </w:t>
      </w:r>
      <w:r w:rsidR="008D666C">
        <w:t>Lowest equilibrium constants</w:t>
      </w:r>
      <w:r w:rsidRPr="00267F70">
        <w:t>.</w:t>
      </w:r>
    </w:p>
    <w:p w14:paraId="67891087" w14:textId="3DE4C214" w:rsidR="008D666C" w:rsidRDefault="0085484C" w:rsidP="00905773">
      <w:pPr>
        <w:pStyle w:val="CETBodytext"/>
        <w:rPr>
          <w:lang w:val="en-GB"/>
        </w:rPr>
      </w:pPr>
      <w:r>
        <w:rPr>
          <w:lang w:val="en-GB"/>
        </w:rPr>
        <w:t xml:space="preserve">All simulations had 100 </w:t>
      </w:r>
      <w:proofErr w:type="spellStart"/>
      <w:r>
        <w:rPr>
          <w:lang w:val="en-GB"/>
        </w:rPr>
        <w:t>wt</w:t>
      </w:r>
      <w:proofErr w:type="spellEnd"/>
      <w:r>
        <w:rPr>
          <w:lang w:val="en-GB"/>
        </w:rPr>
        <w:t xml:space="preserve"> % conversion. </w:t>
      </w:r>
      <w:r w:rsidR="008D666C" w:rsidRPr="00B3390C">
        <w:rPr>
          <w:lang w:val="en-GB"/>
        </w:rPr>
        <w:t>T</w:t>
      </w:r>
      <w:r w:rsidR="00905773" w:rsidRPr="00B3390C">
        <w:rPr>
          <w:lang w:val="en-GB"/>
        </w:rPr>
        <w:t xml:space="preserve">ypical product </w:t>
      </w:r>
      <w:r w:rsidR="008B0ADB">
        <w:rPr>
          <w:lang w:val="en-GB"/>
        </w:rPr>
        <w:t>selectivity</w:t>
      </w:r>
      <w:r w:rsidR="00B56C5A" w:rsidRPr="00B3390C">
        <w:rPr>
          <w:lang w:val="en-GB"/>
        </w:rPr>
        <w:t xml:space="preserve"> </w:t>
      </w:r>
      <w:r w:rsidR="00C81FCF">
        <w:rPr>
          <w:lang w:val="en-GB"/>
        </w:rPr>
        <w:t xml:space="preserve">of </w:t>
      </w:r>
      <w:r w:rsidR="008D666C" w:rsidRPr="00B3390C">
        <w:rPr>
          <w:lang w:val="en-GB"/>
        </w:rPr>
        <w:t>the simulated networks (</w:t>
      </w:r>
      <w:r w:rsidR="008D666C" w:rsidRPr="00B3390C">
        <w:rPr>
          <w:lang w:val="en-GB"/>
        </w:rPr>
        <w:fldChar w:fldCharType="begin"/>
      </w:r>
      <w:r w:rsidR="008D666C" w:rsidRPr="00B3390C">
        <w:rPr>
          <w:lang w:val="en-GB"/>
        </w:rPr>
        <w:instrText xml:space="preserve"> REF _Ref1164224 \h </w:instrText>
      </w:r>
      <w:r w:rsidR="008D666C" w:rsidRPr="00B3390C">
        <w:rPr>
          <w:lang w:val="en-GB"/>
        </w:rPr>
      </w:r>
      <w:r w:rsidR="008D666C" w:rsidRPr="00B3390C">
        <w:rPr>
          <w:lang w:val="en-GB"/>
        </w:rPr>
        <w:fldChar w:fldCharType="separate"/>
      </w:r>
      <w:r w:rsidR="00D0006A" w:rsidRPr="00267F70">
        <w:t xml:space="preserve">Figure </w:t>
      </w:r>
      <w:r w:rsidR="00D0006A">
        <w:rPr>
          <w:noProof/>
        </w:rPr>
        <w:t>3</w:t>
      </w:r>
      <w:r w:rsidR="008D666C" w:rsidRPr="00B3390C">
        <w:rPr>
          <w:lang w:val="en-GB"/>
        </w:rPr>
        <w:fldChar w:fldCharType="end"/>
      </w:r>
      <w:r w:rsidR="008D666C" w:rsidRPr="00B3390C">
        <w:rPr>
          <w:lang w:val="en-GB"/>
        </w:rPr>
        <w:t>)</w:t>
      </w:r>
      <w:r w:rsidR="00B56C5A">
        <w:rPr>
          <w:lang w:val="en-GB"/>
        </w:rPr>
        <w:t>,</w:t>
      </w:r>
      <w:r w:rsidR="008D666C" w:rsidRPr="00B3390C">
        <w:rPr>
          <w:lang w:val="en-GB"/>
        </w:rPr>
        <w:t xml:space="preserve"> </w:t>
      </w:r>
      <w:r w:rsidR="00B56C5A" w:rsidRPr="00B3390C">
        <w:rPr>
          <w:lang w:val="en-GB"/>
        </w:rPr>
        <w:t xml:space="preserve">with </w:t>
      </w:r>
      <w:r w:rsidR="00B56C5A">
        <w:rPr>
          <w:lang w:val="en-GB"/>
        </w:rPr>
        <w:t>hugely</w:t>
      </w:r>
      <w:r w:rsidR="00B56C5A" w:rsidRPr="00B3390C">
        <w:rPr>
          <w:lang w:val="en-GB"/>
        </w:rPr>
        <w:t xml:space="preserve"> different orders of magnitude</w:t>
      </w:r>
      <w:r w:rsidR="00B56C5A">
        <w:rPr>
          <w:lang w:val="en-GB"/>
        </w:rPr>
        <w:t>,</w:t>
      </w:r>
      <w:r w:rsidR="00B56C5A" w:rsidRPr="00B3390C">
        <w:rPr>
          <w:lang w:val="en-GB"/>
        </w:rPr>
        <w:t xml:space="preserve"> </w:t>
      </w:r>
      <w:r w:rsidR="0047610E">
        <w:rPr>
          <w:lang w:val="en-GB"/>
        </w:rPr>
        <w:t>is</w:t>
      </w:r>
      <w:r w:rsidR="008D666C" w:rsidRPr="00B3390C">
        <w:rPr>
          <w:lang w:val="en-GB"/>
        </w:rPr>
        <w:t xml:space="preserve"> explained by the chemical equilibrium constants.</w:t>
      </w:r>
      <w:r w:rsidR="00905773" w:rsidRPr="00B3390C">
        <w:rPr>
          <w:lang w:val="en-GB"/>
        </w:rPr>
        <w:t xml:space="preserve"> </w:t>
      </w:r>
      <w:r w:rsidR="00B56C5A">
        <w:rPr>
          <w:lang w:val="en-GB"/>
        </w:rPr>
        <w:t xml:space="preserve">Network 1a’s product </w:t>
      </w:r>
      <w:r w:rsidR="00B56C5A">
        <w:rPr>
          <w:lang w:val="en-GB"/>
        </w:rPr>
        <w:lastRenderedPageBreak/>
        <w:t>distribution shows</w:t>
      </w:r>
      <w:r w:rsidR="00905773" w:rsidRPr="00B3390C">
        <w:rPr>
          <w:lang w:val="en-GB"/>
        </w:rPr>
        <w:t xml:space="preserve"> that, as expected, the system </w:t>
      </w:r>
      <w:r w:rsidR="00B56C5A">
        <w:rPr>
          <w:lang w:val="en-GB"/>
        </w:rPr>
        <w:t>preferably</w:t>
      </w:r>
      <w:r w:rsidR="00905773" w:rsidRPr="00B3390C">
        <w:rPr>
          <w:lang w:val="en-GB"/>
        </w:rPr>
        <w:t xml:space="preserve"> yields its most stable products, in this order: </w:t>
      </w:r>
      <w:r w:rsidR="00905773" w:rsidRPr="0047610E">
        <w:rPr>
          <w:lang w:val="en-GB"/>
        </w:rPr>
        <w:t>CH</w:t>
      </w:r>
      <w:r w:rsidR="00905773" w:rsidRPr="0047610E">
        <w:rPr>
          <w:vertAlign w:val="subscript"/>
          <w:lang w:val="en-GB"/>
        </w:rPr>
        <w:t>4</w:t>
      </w:r>
      <w:r w:rsidR="00B56C5A" w:rsidRPr="0047610E">
        <w:rPr>
          <w:lang w:val="en-GB"/>
        </w:rPr>
        <w:t xml:space="preserve"> (</w:t>
      </w:r>
      <w:r w:rsidR="0047610E" w:rsidRPr="0047610E">
        <w:rPr>
          <w:lang w:val="en-GB"/>
        </w:rPr>
        <w:t>R27, R30</w:t>
      </w:r>
      <w:r w:rsidR="00444394" w:rsidRPr="0047610E">
        <w:rPr>
          <w:lang w:val="en-GB"/>
        </w:rPr>
        <w:t>)</w:t>
      </w:r>
      <w:r w:rsidR="00905773" w:rsidRPr="0047610E">
        <w:rPr>
          <w:lang w:val="en-GB"/>
        </w:rPr>
        <w:t xml:space="preserve">, </w:t>
      </w:r>
      <w:r w:rsidR="00730127" w:rsidRPr="0047610E">
        <w:rPr>
          <w:lang w:val="en-GB"/>
        </w:rPr>
        <w:t>CO</w:t>
      </w:r>
      <w:r w:rsidR="00730127" w:rsidRPr="0047610E">
        <w:rPr>
          <w:vertAlign w:val="subscript"/>
          <w:lang w:val="en-GB"/>
        </w:rPr>
        <w:t>2</w:t>
      </w:r>
      <w:r w:rsidR="00444394" w:rsidRPr="0047610E">
        <w:rPr>
          <w:lang w:val="en-GB"/>
        </w:rPr>
        <w:t xml:space="preserve"> (R</w:t>
      </w:r>
      <w:r w:rsidR="0047610E" w:rsidRPr="0047610E">
        <w:rPr>
          <w:lang w:val="en-GB"/>
        </w:rPr>
        <w:t>28</w:t>
      </w:r>
      <w:r w:rsidR="00444394" w:rsidRPr="0047610E">
        <w:rPr>
          <w:lang w:val="en-GB"/>
        </w:rPr>
        <w:t>)</w:t>
      </w:r>
      <w:r w:rsidR="00730127" w:rsidRPr="0047610E">
        <w:rPr>
          <w:lang w:val="en-GB"/>
        </w:rPr>
        <w:t>, CO</w:t>
      </w:r>
      <w:r w:rsidR="00444394" w:rsidRPr="0047610E">
        <w:rPr>
          <w:lang w:val="en-GB"/>
        </w:rPr>
        <w:t xml:space="preserve"> (</w:t>
      </w:r>
      <w:r w:rsidR="0047610E" w:rsidRPr="0047610E">
        <w:rPr>
          <w:lang w:val="en-GB"/>
        </w:rPr>
        <w:t>R12, R22</w:t>
      </w:r>
      <w:r w:rsidR="00444394" w:rsidRPr="0047610E">
        <w:rPr>
          <w:lang w:val="en-GB"/>
        </w:rPr>
        <w:t>)</w:t>
      </w:r>
      <w:r w:rsidR="00730127" w:rsidRPr="0047610E">
        <w:rPr>
          <w:lang w:val="en-GB"/>
        </w:rPr>
        <w:t xml:space="preserve">, </w:t>
      </w:r>
      <w:r w:rsidR="00905773" w:rsidRPr="0047610E">
        <w:rPr>
          <w:lang w:val="en-GB"/>
        </w:rPr>
        <w:t xml:space="preserve">ethanol </w:t>
      </w:r>
      <w:r w:rsidR="00BB08AA">
        <w:rPr>
          <w:lang w:val="en-GB"/>
        </w:rPr>
        <w:t>(Et</w:t>
      </w:r>
      <w:r w:rsidR="009A64AF">
        <w:rPr>
          <w:lang w:val="en-GB"/>
        </w:rPr>
        <w:t>OH</w:t>
      </w:r>
      <w:r w:rsidR="00BB08AA">
        <w:rPr>
          <w:lang w:val="en-GB"/>
        </w:rPr>
        <w:t xml:space="preserve">) </w:t>
      </w:r>
      <w:r w:rsidR="0047610E" w:rsidRPr="0047610E">
        <w:rPr>
          <w:lang w:val="en-GB"/>
        </w:rPr>
        <w:t xml:space="preserve">(R29) </w:t>
      </w:r>
      <w:r w:rsidR="00905773" w:rsidRPr="0047610E">
        <w:rPr>
          <w:lang w:val="en-GB"/>
        </w:rPr>
        <w:t xml:space="preserve">and </w:t>
      </w:r>
      <w:proofErr w:type="spellStart"/>
      <w:r w:rsidR="00905773" w:rsidRPr="0047610E">
        <w:rPr>
          <w:lang w:val="en-GB"/>
        </w:rPr>
        <w:t>propanols</w:t>
      </w:r>
      <w:proofErr w:type="spellEnd"/>
      <w:r w:rsidR="00BB08AA">
        <w:rPr>
          <w:lang w:val="en-GB"/>
        </w:rPr>
        <w:t xml:space="preserve"> (</w:t>
      </w:r>
      <w:proofErr w:type="spellStart"/>
      <w:r w:rsidR="00BB08AA">
        <w:rPr>
          <w:lang w:val="en-GB"/>
        </w:rPr>
        <w:t>Pr</w:t>
      </w:r>
      <w:r w:rsidR="009A64AF">
        <w:rPr>
          <w:lang w:val="en-GB"/>
        </w:rPr>
        <w:t>OH</w:t>
      </w:r>
      <w:proofErr w:type="spellEnd"/>
      <w:r w:rsidR="00BB08AA">
        <w:rPr>
          <w:lang w:val="en-GB"/>
        </w:rPr>
        <w:t>)</w:t>
      </w:r>
      <w:r w:rsidR="0047610E" w:rsidRPr="0047610E">
        <w:rPr>
          <w:lang w:val="en-GB"/>
        </w:rPr>
        <w:t xml:space="preserve"> (R25, R26)</w:t>
      </w:r>
      <w:r w:rsidR="009F4369" w:rsidRPr="0047610E">
        <w:rPr>
          <w:lang w:val="en-GB"/>
        </w:rPr>
        <w:t xml:space="preserve">, (degradation products) </w:t>
      </w:r>
      <w:r w:rsidR="008D666C" w:rsidRPr="0047610E">
        <w:rPr>
          <w:lang w:val="en-GB"/>
        </w:rPr>
        <w:t xml:space="preserve">all having </w:t>
      </w:r>
      <w:r w:rsidR="00730127" w:rsidRPr="0047610E">
        <w:rPr>
          <w:lang w:val="en-GB"/>
        </w:rPr>
        <w:t xml:space="preserve">high </w:t>
      </w:r>
      <w:r w:rsidR="008D666C" w:rsidRPr="0047610E">
        <w:rPr>
          <w:lang w:val="en-GB"/>
        </w:rPr>
        <w:t xml:space="preserve">formation equilibrium constants </w:t>
      </w:r>
      <w:r w:rsidR="00730127" w:rsidRPr="0047610E">
        <w:rPr>
          <w:lang w:val="en-GB"/>
        </w:rPr>
        <w:t>(</w:t>
      </w:r>
      <w:r w:rsidR="008D666C" w:rsidRPr="0047610E">
        <w:rPr>
          <w:lang w:val="en-GB"/>
        </w:rPr>
        <w:fldChar w:fldCharType="begin"/>
      </w:r>
      <w:r w:rsidR="008D666C" w:rsidRPr="0047610E">
        <w:rPr>
          <w:lang w:val="en-GB"/>
        </w:rPr>
        <w:instrText xml:space="preserve"> REF _Ref1163220 \h </w:instrText>
      </w:r>
      <w:r w:rsidR="0015632F" w:rsidRPr="0047610E">
        <w:rPr>
          <w:lang w:val="en-GB"/>
        </w:rPr>
        <w:instrText xml:space="preserve"> \* MERGEFORMAT </w:instrText>
      </w:r>
      <w:r w:rsidR="008D666C" w:rsidRPr="0047610E">
        <w:rPr>
          <w:lang w:val="en-GB"/>
        </w:rPr>
      </w:r>
      <w:r w:rsidR="008D666C" w:rsidRPr="0047610E">
        <w:rPr>
          <w:lang w:val="en-GB"/>
        </w:rPr>
        <w:fldChar w:fldCharType="separate"/>
      </w:r>
      <w:r w:rsidR="00D0006A" w:rsidRPr="00267F70">
        <w:t xml:space="preserve">Figure </w:t>
      </w:r>
      <w:r w:rsidR="00D0006A">
        <w:rPr>
          <w:noProof/>
        </w:rPr>
        <w:t>2</w:t>
      </w:r>
      <w:r w:rsidR="008D666C" w:rsidRPr="0047610E">
        <w:rPr>
          <w:lang w:val="en-GB"/>
        </w:rPr>
        <w:fldChar w:fldCharType="end"/>
      </w:r>
      <w:r w:rsidR="00730127" w:rsidRPr="0047610E">
        <w:rPr>
          <w:lang w:val="en-GB"/>
        </w:rPr>
        <w:t>)</w:t>
      </w:r>
      <w:r w:rsidR="008D666C" w:rsidRPr="0047610E">
        <w:rPr>
          <w:lang w:val="en-GB"/>
        </w:rPr>
        <w:t>.</w:t>
      </w:r>
      <w:r w:rsidR="008D666C" w:rsidRPr="00B3390C">
        <w:rPr>
          <w:lang w:val="en-GB"/>
        </w:rPr>
        <w:t xml:space="preserve"> </w:t>
      </w:r>
      <w:r w:rsidR="00905773" w:rsidRPr="00B3390C">
        <w:rPr>
          <w:lang w:val="en-GB"/>
        </w:rPr>
        <w:t xml:space="preserve">They are object of concern in many research </w:t>
      </w:r>
      <w:r w:rsidR="009F4369">
        <w:rPr>
          <w:lang w:val="en-GB"/>
        </w:rPr>
        <w:t xml:space="preserve">areas. </w:t>
      </w:r>
      <w:r w:rsidR="008B0ADB">
        <w:rPr>
          <w:lang w:val="en-GB"/>
        </w:rPr>
        <w:t>A wide variety of other products</w:t>
      </w:r>
      <w:r w:rsidR="00905773" w:rsidRPr="00B3390C">
        <w:rPr>
          <w:lang w:val="en-GB"/>
        </w:rPr>
        <w:t xml:space="preserve"> could also be formed, but since </w:t>
      </w:r>
      <w:r w:rsidR="00730127">
        <w:rPr>
          <w:lang w:val="en-GB"/>
        </w:rPr>
        <w:t>it</w:t>
      </w:r>
      <w:r w:rsidR="00905773" w:rsidRPr="00B3390C">
        <w:rPr>
          <w:lang w:val="en-GB"/>
        </w:rPr>
        <w:t xml:space="preserve"> ha</w:t>
      </w:r>
      <w:r w:rsidR="00730127">
        <w:rPr>
          <w:lang w:val="en-GB"/>
        </w:rPr>
        <w:t>s</w:t>
      </w:r>
      <w:r w:rsidR="00905773" w:rsidRPr="00B3390C">
        <w:rPr>
          <w:lang w:val="en-GB"/>
        </w:rPr>
        <w:t xml:space="preserve"> not been </w:t>
      </w:r>
      <w:r w:rsidR="00905773" w:rsidRPr="00EF5A69">
        <w:rPr>
          <w:lang w:val="en-GB"/>
        </w:rPr>
        <w:t xml:space="preserve">registered in traceable amounts in the literature, they were not considered in the models. </w:t>
      </w:r>
    </w:p>
    <w:p w14:paraId="5FE33F21" w14:textId="7E034532" w:rsidR="00B50D00" w:rsidRPr="00C80814" w:rsidRDefault="00E434D5" w:rsidP="00905773">
      <w:pPr>
        <w:pStyle w:val="CETBodytext"/>
      </w:pPr>
      <w:r>
        <w:t>T</w:t>
      </w:r>
      <w:r w:rsidR="00073B9E" w:rsidRPr="00073B9E">
        <w:t xml:space="preserve">he Gibbs free energy minimization method used in this work reflects product stability and not necessarily reactions occurred in the reactor, </w:t>
      </w:r>
      <w:r w:rsidR="00073B9E">
        <w:t>so</w:t>
      </w:r>
      <w:r w:rsidR="00073B9E" w:rsidRPr="00073B9E">
        <w:t xml:space="preserve"> product distribution on </w:t>
      </w:r>
      <w:r w:rsidR="00073B9E" w:rsidRPr="00073B9E">
        <w:fldChar w:fldCharType="begin"/>
      </w:r>
      <w:r w:rsidR="00073B9E" w:rsidRPr="00073B9E">
        <w:instrText xml:space="preserve"> REF _Ref1164224 \h </w:instrText>
      </w:r>
      <w:r w:rsidR="00073B9E" w:rsidRPr="00073B9E">
        <w:fldChar w:fldCharType="separate"/>
      </w:r>
      <w:r w:rsidR="00D0006A" w:rsidRPr="00267F70">
        <w:t xml:space="preserve">Figure </w:t>
      </w:r>
      <w:r w:rsidR="00D0006A">
        <w:rPr>
          <w:noProof/>
        </w:rPr>
        <w:t>3</w:t>
      </w:r>
      <w:r w:rsidR="00073B9E" w:rsidRPr="00073B9E">
        <w:fldChar w:fldCharType="end"/>
      </w:r>
      <w:r w:rsidR="00F02CDC">
        <w:t>a</w:t>
      </w:r>
      <w:r w:rsidR="00073B9E" w:rsidRPr="00073B9E">
        <w:t xml:space="preserve"> could be explained by many reactions</w:t>
      </w:r>
      <w:r>
        <w:t xml:space="preserve"> other than the ones in </w:t>
      </w:r>
      <w:r>
        <w:fldChar w:fldCharType="begin"/>
      </w:r>
      <w:r>
        <w:instrText xml:space="preserve"> REF _Ref1074898 \h </w:instrText>
      </w:r>
      <w:r>
        <w:fldChar w:fldCharType="separate"/>
      </w:r>
      <w:r w:rsidR="00D0006A">
        <w:t xml:space="preserve">Figure </w:t>
      </w:r>
      <w:r w:rsidR="00D0006A">
        <w:rPr>
          <w:noProof/>
        </w:rPr>
        <w:t>1</w:t>
      </w:r>
      <w:r>
        <w:fldChar w:fldCharType="end"/>
      </w:r>
      <w:r w:rsidR="00073B9E" w:rsidRPr="00073B9E">
        <w:t xml:space="preserve">. </w:t>
      </w:r>
      <w:r w:rsidR="00073B9E">
        <w:t>W</w:t>
      </w:r>
      <w:r w:rsidR="006F6793" w:rsidRPr="00073B9E">
        <w:rPr>
          <w:lang w:val="en-GB"/>
        </w:rPr>
        <w:t>hen</w:t>
      </w:r>
      <w:r w:rsidR="00DD0F16" w:rsidRPr="00073B9E">
        <w:rPr>
          <w:lang w:val="en-GB"/>
        </w:rPr>
        <w:t xml:space="preserve"> </w:t>
      </w:r>
      <w:r w:rsidR="003C3AFD" w:rsidRPr="00073B9E">
        <w:rPr>
          <w:lang w:val="en-GB"/>
        </w:rPr>
        <w:t>compounds</w:t>
      </w:r>
      <w:r w:rsidR="00DD0F16" w:rsidRPr="00073B9E">
        <w:rPr>
          <w:lang w:val="en-GB"/>
        </w:rPr>
        <w:t xml:space="preserve"> </w:t>
      </w:r>
      <w:r w:rsidR="003C3AFD" w:rsidRPr="00073B9E">
        <w:rPr>
          <w:lang w:val="en-GB"/>
        </w:rPr>
        <w:t>were</w:t>
      </w:r>
      <w:r w:rsidR="00DD0F16" w:rsidRPr="00073B9E">
        <w:rPr>
          <w:lang w:val="en-GB"/>
        </w:rPr>
        <w:t xml:space="preserve"> excluded, some products changed position on the list of increasing </w:t>
      </w:r>
      <w:r w:rsidR="00073B9E" w:rsidRPr="00073B9E">
        <w:rPr>
          <w:lang w:val="en-GB"/>
        </w:rPr>
        <w:t>selectivity, which</w:t>
      </w:r>
      <w:r w:rsidR="00DD0F16" w:rsidRPr="00073B9E">
        <w:rPr>
          <w:lang w:val="en-GB"/>
        </w:rPr>
        <w:t xml:space="preserve"> happens because </w:t>
      </w:r>
      <w:r w:rsidR="00947D3D" w:rsidRPr="00073B9E">
        <w:rPr>
          <w:lang w:val="en-GB"/>
        </w:rPr>
        <w:t xml:space="preserve">it is a rather complex network and variations on each </w:t>
      </w:r>
      <w:r w:rsidR="00073B9E" w:rsidRPr="00073B9E">
        <w:rPr>
          <w:lang w:val="en-GB"/>
        </w:rPr>
        <w:t>path</w:t>
      </w:r>
      <w:r w:rsidR="00947D3D" w:rsidRPr="00073B9E">
        <w:rPr>
          <w:lang w:val="en-GB"/>
        </w:rPr>
        <w:t xml:space="preserve"> cause the equilibrium to </w:t>
      </w:r>
      <w:r w:rsidR="00073B9E" w:rsidRPr="00073B9E">
        <w:rPr>
          <w:lang w:val="en-GB"/>
        </w:rPr>
        <w:t>rearrange</w:t>
      </w:r>
      <w:r w:rsidR="00B50D00" w:rsidRPr="00073B9E">
        <w:rPr>
          <w:lang w:val="en-GB"/>
        </w:rPr>
        <w:t xml:space="preserve"> </w:t>
      </w:r>
      <w:r w:rsidR="00B50D00" w:rsidRPr="00073B9E">
        <w:rPr>
          <w:lang w:val="en-GB"/>
        </w:rPr>
        <w:fldChar w:fldCharType="begin" w:fldLock="1"/>
      </w:r>
      <w:r w:rsidR="00C80814">
        <w:rPr>
          <w:lang w:val="en-GB"/>
        </w:rPr>
        <w:instrText>ADDIN CSL_CITATION {"citationItems":[{"id":"ITEM-1","itemData":{"DOI":"10.1021/acscatal.6b03469","ISSN":"2155-5435","abstract":"Catalytic conversion of cellulose to ethylene glycol (EG) or 1,2-propylene glycol (1,2-PG) represents an attractive approach in the valorization of biomass, due to the high atom economy of the reaction process and large market demand of the diol products. The one-pot catalytic conversion of cellulose is a complex reaction network, comprising hydrolysis, retro-aldol condensation, hydrogenation, isomerization, de-hydrogenation, thermal side reactions, etc. Besides EG and 1,2-PG, a variety of by-products such as sorbitol, mannitol, erythritol, 1,2-butanediol and glycerol might be co-produced. The key point for obtaining high selectivity for EG or 1,2-PG lies in effective control of major reaction steps in the reaction network proceeding at matching rates. In this prospective, we depict the general reaction route for glycols production from cellulose, and summarize the active elements for retro-aldol condensation reaction, which is the determinant step for the formation of C2 and C3 intermediates. The in-situ...","author":[{"dropping-particle":"","family":"Zheng","given":"Mingyuan","non-dropping-particle":"","parse-names":false,"suffix":""},{"dropping-particle":"","family":"Pang","given":"Jifeng","non-dropping-particle":"","parse-names":false,"suffix":""},{"dropping-particle":"","family":"Sun","given":"Ruiyan","non-dropping-particle":"","parse-names":false,"suffix":""},{"dropping-particle":"","family":"Wang","given":"Aiqin","non-dropping-particle":"","parse-names":false,"suffix":""},{"dropping-particle":"","family":"Zhang","given":"Tao","non-dropping-particle":"","parse-names":false,"suffix":""}],"container-title":"ACS Catalysis","id":"ITEM-1","issue":"3","issued":{"date-parts":[["2017"]]},"note":"**SELECTIVITY, in this article, means yield.\noverview of challenges in catalytic conversion of cellulose\noverview of and perspectives for the study of catalysts, product selectivity, reaction mechanism and practical applications of cellulose to diols (EG, 1,2-PD) conversion via retro-aldol condensation reaction (determinant step, core step in the reaction network for EG and 1,2-PD formation, consists of conversion of C6 sugars to C2 and C3 intermediates)\n*One-pot conversion of cellulose\n1) hydrolysis of cellulose to polysaccharides and sugar monomers under mild conditions\n2) complex set of reactions (at least 8) with inumerous intermediate/byproducts (about 20) -&amp;gt; control of steps occurring at the same rate (EG and 1,2-PD formation) for effective and selective catalysis to C2 or C3 intermediates.","page":"1939-1954","title":"Selectivity Control for Cellulose to Diols: Dancing on Eggs","type":"article-journal","volume":"7"},"uris":["http://www.mendeley.com/documents/?uuid=fa4a034b-c60d-457a-8a75-1dc8ef327552"]}],"mendeley":{"formattedCitation":"(Zheng et al., 2017)","plainTextFormattedCitation":"(Zheng et al., 2017)","previouslyFormattedCitation":"(Zheng et al., 2017)"},"properties":{"noteIndex":0},"schema":"https://github.com/citation-style-language/schema/raw/master/csl-citation.json"}</w:instrText>
      </w:r>
      <w:r w:rsidR="00B50D00" w:rsidRPr="00073B9E">
        <w:rPr>
          <w:lang w:val="en-GB"/>
        </w:rPr>
        <w:fldChar w:fldCharType="separate"/>
      </w:r>
      <w:r w:rsidR="00B50D00" w:rsidRPr="00073B9E">
        <w:rPr>
          <w:noProof/>
          <w:lang w:val="en-GB"/>
        </w:rPr>
        <w:t>(Zheng et al., 2017)</w:t>
      </w:r>
      <w:r w:rsidR="00B50D00" w:rsidRPr="00073B9E">
        <w:rPr>
          <w:lang w:val="en-GB"/>
        </w:rPr>
        <w:fldChar w:fldCharType="end"/>
      </w:r>
      <w:r w:rsidR="00947D3D" w:rsidRPr="00073B9E">
        <w:rPr>
          <w:lang w:val="en-GB"/>
        </w:rPr>
        <w:t>.</w:t>
      </w:r>
      <w:r w:rsidR="00DD0F16" w:rsidRPr="00073B9E">
        <w:rPr>
          <w:lang w:val="en-GB"/>
        </w:rPr>
        <w:t xml:space="preserve"> </w:t>
      </w:r>
      <w:r w:rsidR="0085484C" w:rsidRPr="00073B9E">
        <w:t>That is why when n</w:t>
      </w:r>
      <w:proofErr w:type="spellStart"/>
      <w:r w:rsidR="0085484C" w:rsidRPr="00073B9E">
        <w:rPr>
          <w:lang w:val="en-GB"/>
        </w:rPr>
        <w:t>etwork</w:t>
      </w:r>
      <w:proofErr w:type="spellEnd"/>
      <w:r w:rsidR="0085484C" w:rsidRPr="00073B9E">
        <w:rPr>
          <w:lang w:val="en-GB"/>
        </w:rPr>
        <w:t xml:space="preserve"> 1b was simulated, </w:t>
      </w:r>
      <w:proofErr w:type="spellStart"/>
      <w:r w:rsidR="0085484C" w:rsidRPr="00073B9E">
        <w:rPr>
          <w:lang w:val="en-GB"/>
        </w:rPr>
        <w:t>propanols</w:t>
      </w:r>
      <w:proofErr w:type="spellEnd"/>
      <w:r w:rsidR="0085484C" w:rsidRPr="00073B9E">
        <w:rPr>
          <w:lang w:val="en-GB"/>
        </w:rPr>
        <w:t xml:space="preserve"> were more produced than ethanol</w:t>
      </w:r>
      <w:r w:rsidR="000075F1">
        <w:rPr>
          <w:lang w:val="en-GB"/>
        </w:rPr>
        <w:t>,</w:t>
      </w:r>
      <w:r w:rsidR="0085484C" w:rsidRPr="00073B9E">
        <w:rPr>
          <w:lang w:val="en-GB"/>
        </w:rPr>
        <w:t xml:space="preserve"> and these could be evaluated simultaneously.</w:t>
      </w:r>
      <w:r w:rsidR="003C3AFD" w:rsidRPr="00073B9E">
        <w:rPr>
          <w:lang w:val="en-GB"/>
        </w:rPr>
        <w:t>1,2-PDO and 1,2-BDO have also shifted positions</w:t>
      </w:r>
      <w:r w:rsidR="00073B9E" w:rsidRPr="00073B9E">
        <w:rPr>
          <w:lang w:val="en-GB"/>
        </w:rPr>
        <w:t>.</w:t>
      </w:r>
    </w:p>
    <w:p w14:paraId="0A4487C3" w14:textId="3B381ED8" w:rsidR="00F02CDC" w:rsidRDefault="00F02CDC" w:rsidP="00F02CDC">
      <w:pPr>
        <w:pStyle w:val="CETBodytext"/>
        <w:rPr>
          <w:color w:val="7030A0"/>
          <w:lang w:val="en-GB"/>
        </w:rPr>
      </w:pPr>
      <w:r w:rsidRPr="00EF5A69">
        <w:rPr>
          <w:lang w:val="en-GB"/>
        </w:rPr>
        <w:t xml:space="preserve">Maximum and minimum selectivity values </w:t>
      </w:r>
      <w:r w:rsidR="00A15E46">
        <w:rPr>
          <w:lang w:val="en-GB"/>
        </w:rPr>
        <w:t xml:space="preserve">found on the sensitivity analysis are </w:t>
      </w:r>
      <w:r>
        <w:rPr>
          <w:lang w:val="en-GB"/>
        </w:rPr>
        <w:t xml:space="preserve">on </w:t>
      </w:r>
      <w:r w:rsidR="00CF2609">
        <w:rPr>
          <w:lang w:val="en-GB"/>
        </w:rPr>
        <w:fldChar w:fldCharType="begin"/>
      </w:r>
      <w:r w:rsidR="00CF2609">
        <w:rPr>
          <w:lang w:val="en-GB"/>
        </w:rPr>
        <w:instrText xml:space="preserve"> REF _Ref1164224 \h </w:instrText>
      </w:r>
      <w:r w:rsidR="00CF2609">
        <w:rPr>
          <w:lang w:val="en-GB"/>
        </w:rPr>
      </w:r>
      <w:r w:rsidR="00CF2609">
        <w:rPr>
          <w:lang w:val="en-GB"/>
        </w:rPr>
        <w:fldChar w:fldCharType="separate"/>
      </w:r>
      <w:r w:rsidR="00D0006A" w:rsidRPr="00267F70">
        <w:t xml:space="preserve">Figure </w:t>
      </w:r>
      <w:r w:rsidR="00D0006A">
        <w:rPr>
          <w:noProof/>
        </w:rPr>
        <w:t>3</w:t>
      </w:r>
      <w:r w:rsidR="00CF2609">
        <w:rPr>
          <w:lang w:val="en-GB"/>
        </w:rPr>
        <w:fldChar w:fldCharType="end"/>
      </w:r>
      <w:r w:rsidR="00CF2609">
        <w:rPr>
          <w:lang w:val="en-GB"/>
        </w:rPr>
        <w:t>b</w:t>
      </w:r>
      <w:r w:rsidR="00A15E46">
        <w:rPr>
          <w:lang w:val="en-GB"/>
        </w:rPr>
        <w:t>,</w:t>
      </w:r>
      <w:r>
        <w:rPr>
          <w:lang w:val="en-GB"/>
        </w:rPr>
        <w:t xml:space="preserve"> show</w:t>
      </w:r>
      <w:r w:rsidR="00A15E46">
        <w:rPr>
          <w:lang w:val="en-GB"/>
        </w:rPr>
        <w:t>ing</w:t>
      </w:r>
      <w:r>
        <w:rPr>
          <w:lang w:val="en-GB"/>
        </w:rPr>
        <w:t xml:space="preserve"> equilibrium </w:t>
      </w:r>
      <w:r w:rsidR="00F75E77">
        <w:rPr>
          <w:lang w:val="en-GB"/>
        </w:rPr>
        <w:t xml:space="preserve">limitations depending on which paths </w:t>
      </w:r>
      <w:r w:rsidR="00805463">
        <w:rPr>
          <w:lang w:val="en-GB"/>
        </w:rPr>
        <w:t>are</w:t>
      </w:r>
      <w:r w:rsidR="00F75E77">
        <w:rPr>
          <w:lang w:val="en-GB"/>
        </w:rPr>
        <w:t xml:space="preserve"> hindered in the network</w:t>
      </w:r>
      <w:r w:rsidR="00CF2609">
        <w:rPr>
          <w:lang w:val="en-GB"/>
        </w:rPr>
        <w:t xml:space="preserve">, and values of the parameters for </w:t>
      </w:r>
      <w:r w:rsidR="00DC6C40">
        <w:rPr>
          <w:lang w:val="en-GB"/>
        </w:rPr>
        <w:t>them</w:t>
      </w:r>
      <w:r w:rsidR="00CF2609">
        <w:rPr>
          <w:lang w:val="en-GB"/>
        </w:rPr>
        <w:t xml:space="preserve"> are on </w:t>
      </w:r>
      <w:r w:rsidR="00CF2609">
        <w:rPr>
          <w:lang w:val="en-GB"/>
        </w:rPr>
        <w:fldChar w:fldCharType="begin"/>
      </w:r>
      <w:r w:rsidR="00CF2609">
        <w:rPr>
          <w:lang w:val="en-GB"/>
        </w:rPr>
        <w:instrText xml:space="preserve"> REF _Ref1086287 \h </w:instrText>
      </w:r>
      <w:r w:rsidR="00CF2609">
        <w:rPr>
          <w:lang w:val="en-GB"/>
        </w:rPr>
      </w:r>
      <w:r w:rsidR="00CF2609">
        <w:rPr>
          <w:lang w:val="en-GB"/>
        </w:rPr>
        <w:fldChar w:fldCharType="separate"/>
      </w:r>
      <w:r w:rsidR="00D0006A">
        <w:t xml:space="preserve">Table </w:t>
      </w:r>
      <w:r w:rsidR="00D0006A">
        <w:rPr>
          <w:noProof/>
        </w:rPr>
        <w:t>3</w:t>
      </w:r>
      <w:r w:rsidR="00CF2609">
        <w:rPr>
          <w:lang w:val="en-GB"/>
        </w:rPr>
        <w:fldChar w:fldCharType="end"/>
      </w:r>
      <w:r w:rsidRPr="004470C1">
        <w:rPr>
          <w:color w:val="7030A0"/>
          <w:lang w:val="en-GB"/>
        </w:rPr>
        <w:t xml:space="preserve">. </w:t>
      </w:r>
      <w:r w:rsidRPr="00B62222">
        <w:rPr>
          <w:lang w:val="en-GB"/>
        </w:rPr>
        <w:t xml:space="preserve">This is </w:t>
      </w:r>
      <w:r w:rsidR="00B62222" w:rsidRPr="00B62222">
        <w:rPr>
          <w:lang w:val="en-GB"/>
        </w:rPr>
        <w:t>an important</w:t>
      </w:r>
      <w:r w:rsidR="00770E7B">
        <w:rPr>
          <w:lang w:val="en-GB"/>
        </w:rPr>
        <w:t xml:space="preserve"> general</w:t>
      </w:r>
      <w:r w:rsidR="00B62222" w:rsidRPr="00B62222">
        <w:rPr>
          <w:lang w:val="en-GB"/>
        </w:rPr>
        <w:t xml:space="preserve"> guide to catalyst development, although each catalyst</w:t>
      </w:r>
      <w:r w:rsidR="00A15E46">
        <w:rPr>
          <w:lang w:val="en-GB"/>
        </w:rPr>
        <w:t xml:space="preserve"> </w:t>
      </w:r>
      <w:proofErr w:type="spellStart"/>
      <w:r w:rsidRPr="00B62222">
        <w:rPr>
          <w:lang w:val="en-GB"/>
        </w:rPr>
        <w:t>favor</w:t>
      </w:r>
      <w:r w:rsidR="00A15E46">
        <w:rPr>
          <w:lang w:val="en-GB"/>
        </w:rPr>
        <w:t>s</w:t>
      </w:r>
      <w:proofErr w:type="spellEnd"/>
      <w:r w:rsidRPr="00B62222">
        <w:rPr>
          <w:lang w:val="en-GB"/>
        </w:rPr>
        <w:t xml:space="preserve"> different reactions. A more </w:t>
      </w:r>
      <w:r w:rsidR="000075F1">
        <w:rPr>
          <w:lang w:val="en-GB"/>
        </w:rPr>
        <w:t>detailed</w:t>
      </w:r>
      <w:r w:rsidRPr="00B62222">
        <w:rPr>
          <w:lang w:val="en-GB"/>
        </w:rPr>
        <w:t xml:space="preserve"> study of the networks for each catalyst </w:t>
      </w:r>
      <w:r w:rsidR="00B62222" w:rsidRPr="00B62222">
        <w:rPr>
          <w:lang w:val="en-GB"/>
        </w:rPr>
        <w:t>is</w:t>
      </w:r>
      <w:r w:rsidRPr="00B62222">
        <w:rPr>
          <w:lang w:val="en-GB"/>
        </w:rPr>
        <w:t xml:space="preserve"> </w:t>
      </w:r>
      <w:r w:rsidR="00B62222">
        <w:rPr>
          <w:lang w:val="en-GB"/>
        </w:rPr>
        <w:t>encouraged</w:t>
      </w:r>
      <w:r w:rsidR="00B62222" w:rsidRPr="00B62222">
        <w:rPr>
          <w:lang w:val="en-GB"/>
        </w:rPr>
        <w:t xml:space="preserve"> for more specific </w:t>
      </w:r>
      <w:r w:rsidR="00E434D5" w:rsidRPr="00E434D5">
        <w:rPr>
          <w:lang w:val="en-GB"/>
        </w:rPr>
        <w:t>conclusions</w:t>
      </w:r>
      <w:r w:rsidRPr="00E434D5">
        <w:rPr>
          <w:lang w:val="en-GB"/>
        </w:rPr>
        <w:t>.</w:t>
      </w:r>
    </w:p>
    <w:p w14:paraId="61FAAFEB" w14:textId="077A8358" w:rsidR="007E01AB" w:rsidRPr="0039331F" w:rsidRDefault="007E01AB" w:rsidP="007E01AB">
      <w:pPr>
        <w:pStyle w:val="CETTabletitle"/>
        <w:rPr>
          <w:color w:val="4F81BD" w:themeColor="accent1"/>
        </w:rPr>
      </w:pPr>
      <w:bookmarkStart w:id="5" w:name="_Ref1086287"/>
      <w:r>
        <w:t xml:space="preserve">Table </w:t>
      </w:r>
      <w:r>
        <w:fldChar w:fldCharType="begin"/>
      </w:r>
      <w:r>
        <w:instrText xml:space="preserve"> SEQ Table \* ARABIC </w:instrText>
      </w:r>
      <w:r>
        <w:fldChar w:fldCharType="separate"/>
      </w:r>
      <w:r w:rsidR="00D0006A">
        <w:rPr>
          <w:noProof/>
        </w:rPr>
        <w:t>3</w:t>
      </w:r>
      <w:r>
        <w:fldChar w:fldCharType="end"/>
      </w:r>
      <w:bookmarkEnd w:id="5"/>
      <w:r>
        <w:t xml:space="preserve">: </w:t>
      </w:r>
      <w:r w:rsidR="009A64AF">
        <w:t>P</w:t>
      </w:r>
      <w:r>
        <w:t xml:space="preserve">arameters for </w:t>
      </w:r>
      <w:proofErr w:type="spellStart"/>
      <w:r w:rsidR="00DC6C40">
        <w:t>for</w:t>
      </w:r>
      <w:proofErr w:type="spellEnd"/>
      <w:r w:rsidR="00DC6C40">
        <w:t xml:space="preserve"> maximum and minimum </w:t>
      </w:r>
      <w:proofErr w:type="spellStart"/>
      <w:r w:rsidR="00C80814">
        <w:t>selectivities</w:t>
      </w:r>
      <w:proofErr w:type="spellEnd"/>
      <w:r w:rsidR="00DC6C40">
        <w:t xml:space="preserve"> of main products</w:t>
      </w:r>
      <w:r>
        <w:t xml:space="preserve">. </w:t>
      </w:r>
      <w:r w:rsidR="00BB08AA">
        <w:t>EG = ethylene glycol.</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2"/>
        <w:gridCol w:w="507"/>
        <w:gridCol w:w="491"/>
        <w:gridCol w:w="506"/>
        <w:gridCol w:w="490"/>
        <w:gridCol w:w="506"/>
        <w:gridCol w:w="490"/>
        <w:gridCol w:w="527"/>
        <w:gridCol w:w="511"/>
        <w:gridCol w:w="527"/>
        <w:gridCol w:w="511"/>
        <w:gridCol w:w="506"/>
        <w:gridCol w:w="490"/>
        <w:gridCol w:w="680"/>
        <w:gridCol w:w="633"/>
      </w:tblGrid>
      <w:tr w:rsidR="009A64AF" w14:paraId="291505B8" w14:textId="5A829263" w:rsidTr="008259BC">
        <w:tc>
          <w:tcPr>
            <w:tcW w:w="803" w:type="pct"/>
            <w:vMerge w:val="restart"/>
            <w:tcBorders>
              <w:top w:val="single" w:sz="12" w:space="0" w:color="008000"/>
              <w:right w:val="nil"/>
            </w:tcBorders>
            <w:shd w:val="clear" w:color="auto" w:fill="FFFFFF"/>
          </w:tcPr>
          <w:p w14:paraId="682BD1E5" w14:textId="77777777" w:rsidR="009A64AF" w:rsidRDefault="009A64AF" w:rsidP="00455566">
            <w:pPr>
              <w:pStyle w:val="CETBodytext"/>
              <w:rPr>
                <w:lang w:val="en-GB"/>
              </w:rPr>
            </w:pPr>
            <w:r>
              <w:rPr>
                <w:lang w:val="en-GB"/>
              </w:rPr>
              <w:t>Parameter</w:t>
            </w:r>
          </w:p>
          <w:p w14:paraId="74203BD8" w14:textId="60E3E69F" w:rsidR="009A64AF" w:rsidRDefault="009A64AF" w:rsidP="00455566">
            <w:pPr>
              <w:pStyle w:val="CETBodytext"/>
              <w:ind w:right="-1"/>
              <w:rPr>
                <w:lang w:val="en-GB"/>
              </w:rPr>
            </w:pPr>
          </w:p>
        </w:tc>
        <w:tc>
          <w:tcPr>
            <w:tcW w:w="567" w:type="pct"/>
            <w:gridSpan w:val="2"/>
            <w:tcBorders>
              <w:top w:val="single" w:sz="12" w:space="0" w:color="008000"/>
              <w:left w:val="nil"/>
              <w:bottom w:val="nil"/>
              <w:right w:val="nil"/>
            </w:tcBorders>
            <w:shd w:val="clear" w:color="auto" w:fill="FFFFFF"/>
          </w:tcPr>
          <w:p w14:paraId="42ED461E" w14:textId="68B9CAB6" w:rsidR="009A64AF" w:rsidRDefault="009A64AF" w:rsidP="00455566">
            <w:pPr>
              <w:pStyle w:val="CETBodytext"/>
              <w:ind w:right="-1"/>
            </w:pPr>
            <w:r w:rsidRPr="00546E47">
              <w:t>CH</w:t>
            </w:r>
            <w:r w:rsidRPr="007E01AB">
              <w:rPr>
                <w:vertAlign w:val="subscript"/>
              </w:rPr>
              <w:t>4</w:t>
            </w:r>
          </w:p>
        </w:tc>
        <w:tc>
          <w:tcPr>
            <w:tcW w:w="567" w:type="pct"/>
            <w:gridSpan w:val="2"/>
            <w:tcBorders>
              <w:top w:val="single" w:sz="12" w:space="0" w:color="008000"/>
              <w:left w:val="nil"/>
              <w:bottom w:val="nil"/>
              <w:right w:val="nil"/>
            </w:tcBorders>
            <w:shd w:val="clear" w:color="auto" w:fill="FFFFFF"/>
          </w:tcPr>
          <w:p w14:paraId="0C36DD46" w14:textId="7F1D53B9" w:rsidR="009A64AF" w:rsidRDefault="009A64AF" w:rsidP="00455566">
            <w:pPr>
              <w:pStyle w:val="CETBodytext"/>
              <w:ind w:right="-1"/>
            </w:pPr>
            <w:r>
              <w:t>PrOH</w:t>
            </w:r>
            <w:bookmarkStart w:id="6" w:name="_GoBack"/>
            <w:bookmarkEnd w:id="6"/>
          </w:p>
        </w:tc>
        <w:tc>
          <w:tcPr>
            <w:tcW w:w="567" w:type="pct"/>
            <w:gridSpan w:val="2"/>
            <w:tcBorders>
              <w:top w:val="single" w:sz="12" w:space="0" w:color="008000"/>
              <w:left w:val="nil"/>
              <w:bottom w:val="nil"/>
              <w:right w:val="nil"/>
            </w:tcBorders>
            <w:shd w:val="clear" w:color="auto" w:fill="FFFFFF"/>
          </w:tcPr>
          <w:p w14:paraId="21CA22EA" w14:textId="667144E4" w:rsidR="009A64AF" w:rsidRDefault="009A64AF" w:rsidP="00455566">
            <w:pPr>
              <w:pStyle w:val="CETBodytext"/>
              <w:ind w:right="-1"/>
            </w:pPr>
            <w:r>
              <w:t>EtOH</w:t>
            </w:r>
          </w:p>
        </w:tc>
        <w:tc>
          <w:tcPr>
            <w:tcW w:w="591" w:type="pct"/>
            <w:gridSpan w:val="2"/>
            <w:tcBorders>
              <w:top w:val="single" w:sz="12" w:space="0" w:color="008000"/>
              <w:left w:val="nil"/>
              <w:bottom w:val="nil"/>
              <w:right w:val="nil"/>
            </w:tcBorders>
            <w:shd w:val="clear" w:color="auto" w:fill="FFFFFF"/>
          </w:tcPr>
          <w:p w14:paraId="541F0ABD" w14:textId="477B0EB4" w:rsidR="009A64AF" w:rsidRDefault="009A64AF" w:rsidP="00455566">
            <w:pPr>
              <w:pStyle w:val="CETBodytext"/>
              <w:ind w:right="-1"/>
            </w:pPr>
            <w:r>
              <w:t>1,2-BDO</w:t>
            </w:r>
          </w:p>
        </w:tc>
        <w:tc>
          <w:tcPr>
            <w:tcW w:w="591" w:type="pct"/>
            <w:gridSpan w:val="2"/>
            <w:tcBorders>
              <w:top w:val="single" w:sz="12" w:space="0" w:color="008000"/>
              <w:left w:val="nil"/>
              <w:bottom w:val="nil"/>
              <w:right w:val="nil"/>
            </w:tcBorders>
            <w:shd w:val="clear" w:color="auto" w:fill="FFFFFF"/>
          </w:tcPr>
          <w:p w14:paraId="5CDC2D6D" w14:textId="1C48E90D" w:rsidR="009A64AF" w:rsidRDefault="009A64AF" w:rsidP="00455566">
            <w:pPr>
              <w:pStyle w:val="CETBodytext"/>
              <w:ind w:right="-1"/>
            </w:pPr>
            <w:r>
              <w:t>1,2-PDO</w:t>
            </w:r>
          </w:p>
        </w:tc>
        <w:tc>
          <w:tcPr>
            <w:tcW w:w="567" w:type="pct"/>
            <w:gridSpan w:val="2"/>
            <w:tcBorders>
              <w:top w:val="single" w:sz="12" w:space="0" w:color="008000"/>
              <w:left w:val="nil"/>
              <w:bottom w:val="nil"/>
              <w:right w:val="nil"/>
            </w:tcBorders>
            <w:shd w:val="clear" w:color="auto" w:fill="FFFFFF"/>
          </w:tcPr>
          <w:p w14:paraId="3529A39B" w14:textId="65AB4B2A" w:rsidR="009A64AF" w:rsidRDefault="009A64AF" w:rsidP="00455566">
            <w:pPr>
              <w:pStyle w:val="CETBodytext"/>
              <w:ind w:right="-1"/>
            </w:pPr>
            <w:r>
              <w:t>EG</w:t>
            </w:r>
          </w:p>
        </w:tc>
        <w:tc>
          <w:tcPr>
            <w:tcW w:w="747" w:type="pct"/>
            <w:gridSpan w:val="2"/>
            <w:tcBorders>
              <w:top w:val="single" w:sz="12" w:space="0" w:color="008000"/>
              <w:left w:val="nil"/>
              <w:bottom w:val="nil"/>
            </w:tcBorders>
            <w:shd w:val="clear" w:color="auto" w:fill="FFFFFF"/>
          </w:tcPr>
          <w:p w14:paraId="5E36D227" w14:textId="5439BD87" w:rsidR="009A64AF" w:rsidRDefault="009A64AF" w:rsidP="00455566">
            <w:pPr>
              <w:pStyle w:val="CETBodytext"/>
              <w:ind w:right="-1"/>
            </w:pPr>
            <w:r>
              <w:t>GLY</w:t>
            </w:r>
          </w:p>
        </w:tc>
      </w:tr>
      <w:tr w:rsidR="009A64AF" w14:paraId="1BFF5C81" w14:textId="77777777" w:rsidTr="008259BC">
        <w:tc>
          <w:tcPr>
            <w:tcW w:w="803" w:type="pct"/>
            <w:vMerge/>
            <w:tcBorders>
              <w:bottom w:val="single" w:sz="6" w:space="0" w:color="008000"/>
              <w:right w:val="nil"/>
            </w:tcBorders>
            <w:shd w:val="clear" w:color="auto" w:fill="FFFFFF"/>
          </w:tcPr>
          <w:p w14:paraId="430B59DE" w14:textId="77777777" w:rsidR="009A64AF" w:rsidRDefault="009A64AF" w:rsidP="00455566">
            <w:pPr>
              <w:pStyle w:val="CETBodytext"/>
              <w:rPr>
                <w:lang w:val="en-GB"/>
              </w:rPr>
            </w:pPr>
          </w:p>
        </w:tc>
        <w:tc>
          <w:tcPr>
            <w:tcW w:w="288" w:type="pct"/>
            <w:tcBorders>
              <w:top w:val="nil"/>
              <w:left w:val="nil"/>
              <w:bottom w:val="single" w:sz="6" w:space="0" w:color="008000"/>
              <w:right w:val="nil"/>
            </w:tcBorders>
            <w:shd w:val="clear" w:color="auto" w:fill="FFFFFF"/>
          </w:tcPr>
          <w:p w14:paraId="258367F3" w14:textId="56259D49" w:rsidR="009A64AF" w:rsidRPr="00546E47" w:rsidRDefault="009A64AF" w:rsidP="00455566">
            <w:pPr>
              <w:pStyle w:val="CETBodytext"/>
              <w:ind w:right="-1"/>
            </w:pPr>
            <w:r>
              <w:t>Max</w:t>
            </w:r>
          </w:p>
        </w:tc>
        <w:tc>
          <w:tcPr>
            <w:tcW w:w="279" w:type="pct"/>
            <w:tcBorders>
              <w:top w:val="nil"/>
              <w:left w:val="nil"/>
              <w:bottom w:val="single" w:sz="6" w:space="0" w:color="008000"/>
              <w:right w:val="nil"/>
            </w:tcBorders>
            <w:shd w:val="clear" w:color="auto" w:fill="FFFFFF"/>
          </w:tcPr>
          <w:p w14:paraId="3D37A800" w14:textId="50FFB435" w:rsidR="009A64AF" w:rsidRDefault="009A64AF" w:rsidP="00455566">
            <w:pPr>
              <w:pStyle w:val="CETBodytext"/>
              <w:ind w:right="-1"/>
            </w:pPr>
            <w:r>
              <w:t>Min</w:t>
            </w:r>
          </w:p>
        </w:tc>
        <w:tc>
          <w:tcPr>
            <w:tcW w:w="288" w:type="pct"/>
            <w:tcBorders>
              <w:top w:val="nil"/>
              <w:left w:val="nil"/>
              <w:bottom w:val="single" w:sz="6" w:space="0" w:color="008000"/>
              <w:right w:val="nil"/>
            </w:tcBorders>
            <w:shd w:val="clear" w:color="auto" w:fill="FFFFFF"/>
          </w:tcPr>
          <w:p w14:paraId="1B34CFDC" w14:textId="5475C239" w:rsidR="009A64AF" w:rsidRDefault="009A64AF" w:rsidP="00455566">
            <w:pPr>
              <w:pStyle w:val="CETBodytext"/>
              <w:ind w:right="-1"/>
            </w:pPr>
            <w:r>
              <w:t>Max</w:t>
            </w:r>
          </w:p>
        </w:tc>
        <w:tc>
          <w:tcPr>
            <w:tcW w:w="279" w:type="pct"/>
            <w:tcBorders>
              <w:top w:val="nil"/>
              <w:left w:val="nil"/>
              <w:bottom w:val="single" w:sz="6" w:space="0" w:color="008000"/>
              <w:right w:val="nil"/>
            </w:tcBorders>
            <w:shd w:val="clear" w:color="auto" w:fill="FFFFFF"/>
          </w:tcPr>
          <w:p w14:paraId="5416E5D1" w14:textId="42A800B1" w:rsidR="009A64AF" w:rsidRDefault="009A64AF" w:rsidP="00455566">
            <w:pPr>
              <w:pStyle w:val="CETBodytext"/>
              <w:ind w:right="-1"/>
            </w:pPr>
            <w:r>
              <w:t>Min</w:t>
            </w:r>
          </w:p>
        </w:tc>
        <w:tc>
          <w:tcPr>
            <w:tcW w:w="288" w:type="pct"/>
            <w:tcBorders>
              <w:top w:val="nil"/>
              <w:left w:val="nil"/>
              <w:bottom w:val="single" w:sz="6" w:space="0" w:color="008000"/>
              <w:right w:val="nil"/>
            </w:tcBorders>
            <w:shd w:val="clear" w:color="auto" w:fill="FFFFFF"/>
          </w:tcPr>
          <w:p w14:paraId="0D7B53ED" w14:textId="3BD0838C" w:rsidR="009A64AF" w:rsidRDefault="009A64AF" w:rsidP="00455566">
            <w:pPr>
              <w:pStyle w:val="CETBodytext"/>
              <w:ind w:right="-1"/>
            </w:pPr>
            <w:r>
              <w:t>Max</w:t>
            </w:r>
          </w:p>
        </w:tc>
        <w:tc>
          <w:tcPr>
            <w:tcW w:w="279" w:type="pct"/>
            <w:tcBorders>
              <w:top w:val="nil"/>
              <w:left w:val="nil"/>
              <w:bottom w:val="single" w:sz="6" w:space="0" w:color="008000"/>
              <w:right w:val="nil"/>
            </w:tcBorders>
            <w:shd w:val="clear" w:color="auto" w:fill="FFFFFF"/>
          </w:tcPr>
          <w:p w14:paraId="4F4F6C23" w14:textId="3180A664" w:rsidR="009A64AF" w:rsidRDefault="009A64AF" w:rsidP="00455566">
            <w:pPr>
              <w:pStyle w:val="CETBodytext"/>
              <w:ind w:right="-1"/>
            </w:pPr>
            <w:r>
              <w:t>Min</w:t>
            </w:r>
          </w:p>
        </w:tc>
        <w:tc>
          <w:tcPr>
            <w:tcW w:w="300" w:type="pct"/>
            <w:tcBorders>
              <w:top w:val="nil"/>
              <w:left w:val="nil"/>
              <w:bottom w:val="single" w:sz="6" w:space="0" w:color="008000"/>
              <w:right w:val="nil"/>
            </w:tcBorders>
            <w:shd w:val="clear" w:color="auto" w:fill="FFFFFF"/>
          </w:tcPr>
          <w:p w14:paraId="34F447AB" w14:textId="377CDB83" w:rsidR="009A64AF" w:rsidRDefault="009A64AF" w:rsidP="00455566">
            <w:pPr>
              <w:pStyle w:val="CETBodytext"/>
              <w:ind w:right="-1"/>
            </w:pPr>
            <w:r>
              <w:t>Max</w:t>
            </w:r>
          </w:p>
        </w:tc>
        <w:tc>
          <w:tcPr>
            <w:tcW w:w="291" w:type="pct"/>
            <w:tcBorders>
              <w:top w:val="nil"/>
              <w:left w:val="nil"/>
              <w:bottom w:val="single" w:sz="6" w:space="0" w:color="008000"/>
              <w:right w:val="nil"/>
            </w:tcBorders>
            <w:shd w:val="clear" w:color="auto" w:fill="FFFFFF"/>
          </w:tcPr>
          <w:p w14:paraId="1A6E3381" w14:textId="5471A793" w:rsidR="009A64AF" w:rsidRDefault="009A64AF" w:rsidP="00455566">
            <w:pPr>
              <w:pStyle w:val="CETBodytext"/>
              <w:ind w:right="-1"/>
            </w:pPr>
            <w:r>
              <w:t>Min</w:t>
            </w:r>
          </w:p>
        </w:tc>
        <w:tc>
          <w:tcPr>
            <w:tcW w:w="300" w:type="pct"/>
            <w:tcBorders>
              <w:top w:val="nil"/>
              <w:left w:val="nil"/>
              <w:bottom w:val="single" w:sz="6" w:space="0" w:color="008000"/>
              <w:right w:val="nil"/>
            </w:tcBorders>
            <w:shd w:val="clear" w:color="auto" w:fill="FFFFFF"/>
          </w:tcPr>
          <w:p w14:paraId="10BAA12D" w14:textId="0273E3EE" w:rsidR="009A64AF" w:rsidRDefault="009A64AF" w:rsidP="00455566">
            <w:pPr>
              <w:pStyle w:val="CETBodytext"/>
              <w:ind w:right="-1"/>
            </w:pPr>
            <w:r>
              <w:t>Max</w:t>
            </w:r>
          </w:p>
        </w:tc>
        <w:tc>
          <w:tcPr>
            <w:tcW w:w="291" w:type="pct"/>
            <w:tcBorders>
              <w:top w:val="nil"/>
              <w:left w:val="nil"/>
              <w:bottom w:val="single" w:sz="6" w:space="0" w:color="008000"/>
              <w:right w:val="nil"/>
            </w:tcBorders>
            <w:shd w:val="clear" w:color="auto" w:fill="FFFFFF"/>
          </w:tcPr>
          <w:p w14:paraId="62C5EF7F" w14:textId="68495F09" w:rsidR="009A64AF" w:rsidRDefault="009A64AF" w:rsidP="00455566">
            <w:pPr>
              <w:pStyle w:val="CETBodytext"/>
              <w:ind w:right="-1"/>
            </w:pPr>
            <w:r>
              <w:t>Min</w:t>
            </w:r>
          </w:p>
        </w:tc>
        <w:tc>
          <w:tcPr>
            <w:tcW w:w="288" w:type="pct"/>
            <w:tcBorders>
              <w:top w:val="nil"/>
              <w:left w:val="nil"/>
              <w:bottom w:val="single" w:sz="6" w:space="0" w:color="008000"/>
              <w:right w:val="nil"/>
            </w:tcBorders>
            <w:shd w:val="clear" w:color="auto" w:fill="FFFFFF"/>
          </w:tcPr>
          <w:p w14:paraId="5E81C529" w14:textId="4FA1D0A9" w:rsidR="009A64AF" w:rsidRDefault="009A64AF" w:rsidP="00455566">
            <w:pPr>
              <w:pStyle w:val="CETBodytext"/>
              <w:ind w:right="-1"/>
            </w:pPr>
            <w:r>
              <w:t>Max</w:t>
            </w:r>
          </w:p>
        </w:tc>
        <w:tc>
          <w:tcPr>
            <w:tcW w:w="279" w:type="pct"/>
            <w:tcBorders>
              <w:top w:val="nil"/>
              <w:left w:val="nil"/>
              <w:bottom w:val="single" w:sz="6" w:space="0" w:color="008000"/>
              <w:right w:val="nil"/>
            </w:tcBorders>
            <w:shd w:val="clear" w:color="auto" w:fill="FFFFFF"/>
          </w:tcPr>
          <w:p w14:paraId="3375908F" w14:textId="3F46CB8C" w:rsidR="009A64AF" w:rsidRDefault="009A64AF" w:rsidP="00455566">
            <w:pPr>
              <w:pStyle w:val="CETBodytext"/>
              <w:ind w:right="-1"/>
            </w:pPr>
            <w:r>
              <w:t>Min</w:t>
            </w:r>
          </w:p>
        </w:tc>
        <w:tc>
          <w:tcPr>
            <w:tcW w:w="387" w:type="pct"/>
            <w:tcBorders>
              <w:top w:val="nil"/>
              <w:left w:val="nil"/>
              <w:bottom w:val="single" w:sz="6" w:space="0" w:color="008000"/>
              <w:right w:val="nil"/>
            </w:tcBorders>
            <w:shd w:val="clear" w:color="auto" w:fill="FFFFFF"/>
          </w:tcPr>
          <w:p w14:paraId="40378F8C" w14:textId="4979F267" w:rsidR="009A64AF" w:rsidRDefault="009A64AF" w:rsidP="00455566">
            <w:pPr>
              <w:pStyle w:val="CETBodytext"/>
              <w:ind w:right="-1"/>
            </w:pPr>
            <w:r>
              <w:t>Max</w:t>
            </w:r>
          </w:p>
        </w:tc>
        <w:tc>
          <w:tcPr>
            <w:tcW w:w="359" w:type="pct"/>
            <w:tcBorders>
              <w:top w:val="nil"/>
              <w:left w:val="nil"/>
              <w:bottom w:val="single" w:sz="6" w:space="0" w:color="008000"/>
            </w:tcBorders>
            <w:shd w:val="clear" w:color="auto" w:fill="FFFFFF"/>
          </w:tcPr>
          <w:p w14:paraId="2E8AC048" w14:textId="76CCCB8F" w:rsidR="009A64AF" w:rsidRDefault="009A64AF" w:rsidP="00455566">
            <w:pPr>
              <w:pStyle w:val="CETBodytext"/>
              <w:ind w:right="-1"/>
            </w:pPr>
            <w:r>
              <w:t>Min</w:t>
            </w:r>
          </w:p>
        </w:tc>
      </w:tr>
      <w:tr w:rsidR="009A64AF" w14:paraId="43B7A191" w14:textId="78291B79" w:rsidTr="008259BC">
        <w:tc>
          <w:tcPr>
            <w:tcW w:w="803" w:type="pct"/>
            <w:tcBorders>
              <w:top w:val="single" w:sz="6" w:space="0" w:color="008000"/>
              <w:bottom w:val="nil"/>
              <w:right w:val="nil"/>
            </w:tcBorders>
            <w:shd w:val="clear" w:color="auto" w:fill="FFFFFF"/>
          </w:tcPr>
          <w:p w14:paraId="26893F42" w14:textId="77777777" w:rsidR="008A0EEC" w:rsidRDefault="008A0EEC" w:rsidP="00455566">
            <w:pPr>
              <w:pStyle w:val="CETBodytext"/>
              <w:ind w:right="-1"/>
              <w:rPr>
                <w:lang w:val="en-GB"/>
              </w:rPr>
            </w:pPr>
            <w:r>
              <w:rPr>
                <w:lang w:val="en-GB"/>
              </w:rPr>
              <w:t>T (K)</w:t>
            </w:r>
          </w:p>
        </w:tc>
        <w:tc>
          <w:tcPr>
            <w:tcW w:w="288" w:type="pct"/>
            <w:tcBorders>
              <w:top w:val="single" w:sz="6" w:space="0" w:color="008000"/>
              <w:left w:val="nil"/>
              <w:bottom w:val="nil"/>
              <w:right w:val="nil"/>
            </w:tcBorders>
            <w:shd w:val="clear" w:color="auto" w:fill="FFFFFF"/>
          </w:tcPr>
          <w:p w14:paraId="6677DDFA" w14:textId="6E5CC380" w:rsidR="008A0EEC" w:rsidRDefault="00CA65F1" w:rsidP="00455566">
            <w:pPr>
              <w:pStyle w:val="CETBodytext"/>
              <w:ind w:right="-1"/>
              <w:rPr>
                <w:lang w:val="en-GB"/>
              </w:rPr>
            </w:pPr>
            <w:r>
              <w:rPr>
                <w:lang w:val="en-GB"/>
              </w:rPr>
              <w:t>300</w:t>
            </w:r>
          </w:p>
        </w:tc>
        <w:tc>
          <w:tcPr>
            <w:tcW w:w="279" w:type="pct"/>
            <w:tcBorders>
              <w:top w:val="single" w:sz="6" w:space="0" w:color="008000"/>
              <w:left w:val="nil"/>
              <w:bottom w:val="nil"/>
              <w:right w:val="nil"/>
            </w:tcBorders>
            <w:shd w:val="clear" w:color="auto" w:fill="FFFFFF"/>
          </w:tcPr>
          <w:p w14:paraId="73B172A9" w14:textId="1B8851DB" w:rsidR="008A0EEC" w:rsidRDefault="00CA65F1" w:rsidP="00455566">
            <w:pPr>
              <w:pStyle w:val="CETBodytext"/>
              <w:ind w:right="-1"/>
              <w:rPr>
                <w:lang w:val="en-GB"/>
              </w:rPr>
            </w:pPr>
            <w:r>
              <w:rPr>
                <w:lang w:val="en-GB"/>
              </w:rPr>
              <w:t>300</w:t>
            </w:r>
          </w:p>
        </w:tc>
        <w:tc>
          <w:tcPr>
            <w:tcW w:w="288" w:type="pct"/>
            <w:tcBorders>
              <w:top w:val="single" w:sz="6" w:space="0" w:color="008000"/>
              <w:left w:val="nil"/>
              <w:bottom w:val="nil"/>
              <w:right w:val="nil"/>
            </w:tcBorders>
            <w:shd w:val="clear" w:color="auto" w:fill="FFFFFF"/>
          </w:tcPr>
          <w:p w14:paraId="1F8BBC6E" w14:textId="2B83621D" w:rsidR="008A0EEC" w:rsidRDefault="00CA65F1" w:rsidP="00455566">
            <w:pPr>
              <w:pStyle w:val="CETBodytext"/>
              <w:ind w:right="-1"/>
              <w:rPr>
                <w:lang w:val="en-GB"/>
              </w:rPr>
            </w:pPr>
            <w:r>
              <w:rPr>
                <w:lang w:val="en-GB"/>
              </w:rPr>
              <w:t>300</w:t>
            </w:r>
          </w:p>
        </w:tc>
        <w:tc>
          <w:tcPr>
            <w:tcW w:w="279" w:type="pct"/>
            <w:tcBorders>
              <w:top w:val="single" w:sz="6" w:space="0" w:color="008000"/>
              <w:left w:val="nil"/>
              <w:bottom w:val="nil"/>
              <w:right w:val="nil"/>
            </w:tcBorders>
            <w:shd w:val="clear" w:color="auto" w:fill="FFFFFF"/>
          </w:tcPr>
          <w:p w14:paraId="5D4C3E39" w14:textId="6AAD0922" w:rsidR="008A0EEC" w:rsidRDefault="00CA65F1" w:rsidP="00455566">
            <w:pPr>
              <w:pStyle w:val="CETBodytext"/>
              <w:ind w:right="-1"/>
              <w:rPr>
                <w:lang w:val="en-GB"/>
              </w:rPr>
            </w:pPr>
            <w:r>
              <w:rPr>
                <w:lang w:val="en-GB"/>
              </w:rPr>
              <w:t>300</w:t>
            </w:r>
          </w:p>
        </w:tc>
        <w:tc>
          <w:tcPr>
            <w:tcW w:w="288" w:type="pct"/>
            <w:tcBorders>
              <w:top w:val="single" w:sz="6" w:space="0" w:color="008000"/>
              <w:left w:val="nil"/>
              <w:bottom w:val="nil"/>
              <w:right w:val="nil"/>
            </w:tcBorders>
            <w:shd w:val="clear" w:color="auto" w:fill="FFFFFF"/>
          </w:tcPr>
          <w:p w14:paraId="4EC87E0F" w14:textId="09D65A49" w:rsidR="008A0EEC" w:rsidRDefault="00CA65F1" w:rsidP="00455566">
            <w:pPr>
              <w:pStyle w:val="CETBodytext"/>
              <w:ind w:right="-1"/>
              <w:rPr>
                <w:lang w:val="en-GB"/>
              </w:rPr>
            </w:pPr>
            <w:r>
              <w:rPr>
                <w:lang w:val="en-GB"/>
              </w:rPr>
              <w:t>600</w:t>
            </w:r>
          </w:p>
        </w:tc>
        <w:tc>
          <w:tcPr>
            <w:tcW w:w="279" w:type="pct"/>
            <w:tcBorders>
              <w:top w:val="single" w:sz="6" w:space="0" w:color="008000"/>
              <w:left w:val="nil"/>
              <w:bottom w:val="nil"/>
              <w:right w:val="nil"/>
            </w:tcBorders>
            <w:shd w:val="clear" w:color="auto" w:fill="FFFFFF"/>
          </w:tcPr>
          <w:p w14:paraId="368AE840" w14:textId="3CA32AD4" w:rsidR="008A0EEC" w:rsidRDefault="00CA65F1" w:rsidP="00455566">
            <w:pPr>
              <w:pStyle w:val="CETBodytext"/>
              <w:ind w:right="-1"/>
              <w:rPr>
                <w:lang w:val="en-GB"/>
              </w:rPr>
            </w:pPr>
            <w:r>
              <w:rPr>
                <w:lang w:val="en-GB"/>
              </w:rPr>
              <w:t>300</w:t>
            </w:r>
          </w:p>
        </w:tc>
        <w:tc>
          <w:tcPr>
            <w:tcW w:w="300" w:type="pct"/>
            <w:tcBorders>
              <w:top w:val="single" w:sz="6" w:space="0" w:color="008000"/>
              <w:left w:val="nil"/>
              <w:bottom w:val="nil"/>
              <w:right w:val="nil"/>
            </w:tcBorders>
            <w:shd w:val="clear" w:color="auto" w:fill="FFFFFF"/>
          </w:tcPr>
          <w:p w14:paraId="7C98E4D4" w14:textId="72FFAF73" w:rsidR="008A0EEC" w:rsidRDefault="00CA65F1" w:rsidP="00455566">
            <w:pPr>
              <w:pStyle w:val="CETBodytext"/>
              <w:ind w:right="-1"/>
              <w:rPr>
                <w:lang w:val="en-GB"/>
              </w:rPr>
            </w:pPr>
            <w:r>
              <w:rPr>
                <w:lang w:val="en-GB"/>
              </w:rPr>
              <w:t>300</w:t>
            </w:r>
          </w:p>
        </w:tc>
        <w:tc>
          <w:tcPr>
            <w:tcW w:w="291" w:type="pct"/>
            <w:tcBorders>
              <w:top w:val="single" w:sz="6" w:space="0" w:color="008000"/>
              <w:left w:val="nil"/>
              <w:bottom w:val="nil"/>
              <w:right w:val="nil"/>
            </w:tcBorders>
            <w:shd w:val="clear" w:color="auto" w:fill="FFFFFF"/>
          </w:tcPr>
          <w:p w14:paraId="00F68657" w14:textId="5953F2FB" w:rsidR="008A0EEC" w:rsidRDefault="00ED73A4" w:rsidP="00455566">
            <w:pPr>
              <w:pStyle w:val="CETBodytext"/>
              <w:ind w:right="-1"/>
              <w:rPr>
                <w:lang w:val="en-GB"/>
              </w:rPr>
            </w:pPr>
            <w:r>
              <w:rPr>
                <w:lang w:val="en-GB"/>
              </w:rPr>
              <w:t>300</w:t>
            </w:r>
          </w:p>
        </w:tc>
        <w:tc>
          <w:tcPr>
            <w:tcW w:w="300" w:type="pct"/>
            <w:tcBorders>
              <w:top w:val="single" w:sz="6" w:space="0" w:color="008000"/>
              <w:left w:val="nil"/>
              <w:bottom w:val="nil"/>
              <w:right w:val="nil"/>
            </w:tcBorders>
            <w:shd w:val="clear" w:color="auto" w:fill="FFFFFF"/>
          </w:tcPr>
          <w:p w14:paraId="108FA1FD" w14:textId="598B2C44" w:rsidR="008A0EEC" w:rsidRDefault="00CA65F1" w:rsidP="00455566">
            <w:pPr>
              <w:pStyle w:val="CETBodytext"/>
              <w:ind w:right="-1"/>
              <w:rPr>
                <w:lang w:val="en-GB"/>
              </w:rPr>
            </w:pPr>
            <w:r>
              <w:rPr>
                <w:lang w:val="en-GB"/>
              </w:rPr>
              <w:t>300</w:t>
            </w:r>
          </w:p>
        </w:tc>
        <w:tc>
          <w:tcPr>
            <w:tcW w:w="291" w:type="pct"/>
            <w:tcBorders>
              <w:top w:val="single" w:sz="6" w:space="0" w:color="008000"/>
              <w:left w:val="nil"/>
              <w:bottom w:val="nil"/>
              <w:right w:val="nil"/>
            </w:tcBorders>
            <w:shd w:val="clear" w:color="auto" w:fill="FFFFFF"/>
          </w:tcPr>
          <w:p w14:paraId="54C3EB99" w14:textId="7FE0CE0D" w:rsidR="008A0EEC" w:rsidRDefault="00CA65F1" w:rsidP="00455566">
            <w:pPr>
              <w:pStyle w:val="CETBodytext"/>
              <w:ind w:right="-1"/>
              <w:rPr>
                <w:lang w:val="en-GB"/>
              </w:rPr>
            </w:pPr>
            <w:r>
              <w:rPr>
                <w:lang w:val="en-GB"/>
              </w:rPr>
              <w:t>600</w:t>
            </w:r>
          </w:p>
        </w:tc>
        <w:tc>
          <w:tcPr>
            <w:tcW w:w="288" w:type="pct"/>
            <w:tcBorders>
              <w:top w:val="single" w:sz="6" w:space="0" w:color="008000"/>
              <w:left w:val="nil"/>
              <w:bottom w:val="nil"/>
              <w:right w:val="nil"/>
            </w:tcBorders>
            <w:shd w:val="clear" w:color="auto" w:fill="FFFFFF"/>
          </w:tcPr>
          <w:p w14:paraId="71461BE2" w14:textId="644ACECC" w:rsidR="008A0EEC" w:rsidRDefault="00ED73A4" w:rsidP="00455566">
            <w:pPr>
              <w:pStyle w:val="CETBodytext"/>
              <w:ind w:right="-1"/>
              <w:rPr>
                <w:lang w:val="en-GB"/>
              </w:rPr>
            </w:pPr>
            <w:r>
              <w:rPr>
                <w:lang w:val="en-GB"/>
              </w:rPr>
              <w:t>300</w:t>
            </w:r>
          </w:p>
        </w:tc>
        <w:tc>
          <w:tcPr>
            <w:tcW w:w="279" w:type="pct"/>
            <w:tcBorders>
              <w:top w:val="single" w:sz="6" w:space="0" w:color="008000"/>
              <w:left w:val="nil"/>
              <w:bottom w:val="nil"/>
              <w:right w:val="nil"/>
            </w:tcBorders>
            <w:shd w:val="clear" w:color="auto" w:fill="FFFFFF"/>
          </w:tcPr>
          <w:p w14:paraId="66007295" w14:textId="57A43D56" w:rsidR="008A0EEC" w:rsidRDefault="00ED73A4" w:rsidP="00455566">
            <w:pPr>
              <w:pStyle w:val="CETBodytext"/>
              <w:ind w:right="-1"/>
              <w:rPr>
                <w:lang w:val="en-GB"/>
              </w:rPr>
            </w:pPr>
            <w:r>
              <w:rPr>
                <w:lang w:val="en-GB"/>
              </w:rPr>
              <w:t>600</w:t>
            </w:r>
          </w:p>
        </w:tc>
        <w:tc>
          <w:tcPr>
            <w:tcW w:w="387" w:type="pct"/>
            <w:tcBorders>
              <w:top w:val="single" w:sz="6" w:space="0" w:color="008000"/>
              <w:left w:val="nil"/>
              <w:bottom w:val="nil"/>
              <w:right w:val="nil"/>
            </w:tcBorders>
            <w:shd w:val="clear" w:color="auto" w:fill="FFFFFF"/>
          </w:tcPr>
          <w:p w14:paraId="29A8970D" w14:textId="501B6986" w:rsidR="008A0EEC" w:rsidRDefault="00ED73A4" w:rsidP="00455566">
            <w:pPr>
              <w:pStyle w:val="CETBodytext"/>
              <w:ind w:right="-1"/>
              <w:rPr>
                <w:lang w:val="en-GB"/>
              </w:rPr>
            </w:pPr>
            <w:r>
              <w:rPr>
                <w:lang w:val="en-GB"/>
              </w:rPr>
              <w:t>300</w:t>
            </w:r>
          </w:p>
        </w:tc>
        <w:tc>
          <w:tcPr>
            <w:tcW w:w="359" w:type="pct"/>
            <w:tcBorders>
              <w:top w:val="single" w:sz="6" w:space="0" w:color="008000"/>
              <w:left w:val="nil"/>
              <w:bottom w:val="nil"/>
            </w:tcBorders>
            <w:shd w:val="clear" w:color="auto" w:fill="FFFFFF"/>
          </w:tcPr>
          <w:p w14:paraId="5C0FF415" w14:textId="58BEFDB6" w:rsidR="008A0EEC" w:rsidRDefault="00ED73A4" w:rsidP="00455566">
            <w:pPr>
              <w:pStyle w:val="CETBodytext"/>
              <w:ind w:right="-1"/>
              <w:rPr>
                <w:lang w:val="en-GB"/>
              </w:rPr>
            </w:pPr>
            <w:r>
              <w:rPr>
                <w:lang w:val="en-GB"/>
              </w:rPr>
              <w:t>600</w:t>
            </w:r>
          </w:p>
        </w:tc>
      </w:tr>
      <w:tr w:rsidR="009A64AF" w14:paraId="39A74BA2" w14:textId="6B139EAC" w:rsidTr="008259BC">
        <w:tc>
          <w:tcPr>
            <w:tcW w:w="803" w:type="pct"/>
            <w:tcBorders>
              <w:top w:val="nil"/>
              <w:bottom w:val="nil"/>
              <w:right w:val="nil"/>
            </w:tcBorders>
            <w:shd w:val="clear" w:color="auto" w:fill="FFFFFF"/>
          </w:tcPr>
          <w:p w14:paraId="76BE1B54" w14:textId="77777777" w:rsidR="008A0EEC" w:rsidRDefault="008A0EEC" w:rsidP="00455566">
            <w:pPr>
              <w:pStyle w:val="CETBodytext"/>
              <w:rPr>
                <w:lang w:val="en-GB"/>
              </w:rPr>
            </w:pPr>
            <w:r>
              <w:rPr>
                <w:lang w:val="en-GB"/>
              </w:rPr>
              <w:t>P (bar)</w:t>
            </w:r>
          </w:p>
        </w:tc>
        <w:tc>
          <w:tcPr>
            <w:tcW w:w="288" w:type="pct"/>
            <w:tcBorders>
              <w:top w:val="nil"/>
              <w:left w:val="nil"/>
              <w:bottom w:val="nil"/>
              <w:right w:val="nil"/>
            </w:tcBorders>
            <w:shd w:val="clear" w:color="auto" w:fill="FFFFFF"/>
          </w:tcPr>
          <w:p w14:paraId="7782F143" w14:textId="266D0C63" w:rsidR="008A0EEC" w:rsidRDefault="00CA65F1" w:rsidP="00455566">
            <w:pPr>
              <w:pStyle w:val="CETBodytext"/>
              <w:rPr>
                <w:lang w:val="en-GB"/>
              </w:rPr>
            </w:pPr>
            <w:r>
              <w:rPr>
                <w:lang w:val="en-GB"/>
              </w:rPr>
              <w:t>100</w:t>
            </w:r>
          </w:p>
        </w:tc>
        <w:tc>
          <w:tcPr>
            <w:tcW w:w="279" w:type="pct"/>
            <w:tcBorders>
              <w:top w:val="nil"/>
              <w:left w:val="nil"/>
              <w:bottom w:val="nil"/>
              <w:right w:val="nil"/>
            </w:tcBorders>
            <w:shd w:val="clear" w:color="auto" w:fill="FFFFFF"/>
          </w:tcPr>
          <w:p w14:paraId="0CF872AE" w14:textId="2DA01486" w:rsidR="008A0EEC" w:rsidRDefault="00CA65F1" w:rsidP="00455566">
            <w:pPr>
              <w:pStyle w:val="CETBodytext"/>
              <w:rPr>
                <w:lang w:val="en-GB"/>
              </w:rPr>
            </w:pPr>
            <w:r>
              <w:rPr>
                <w:lang w:val="en-GB"/>
              </w:rPr>
              <w:t>100</w:t>
            </w:r>
          </w:p>
        </w:tc>
        <w:tc>
          <w:tcPr>
            <w:tcW w:w="288" w:type="pct"/>
            <w:tcBorders>
              <w:top w:val="nil"/>
              <w:left w:val="nil"/>
              <w:bottom w:val="nil"/>
              <w:right w:val="nil"/>
            </w:tcBorders>
            <w:shd w:val="clear" w:color="auto" w:fill="FFFFFF"/>
          </w:tcPr>
          <w:p w14:paraId="756E9DAF" w14:textId="29C612D0" w:rsidR="008A0EEC" w:rsidRDefault="00CA65F1" w:rsidP="00455566">
            <w:pPr>
              <w:pStyle w:val="CETBodytext"/>
              <w:rPr>
                <w:lang w:val="en-GB"/>
              </w:rPr>
            </w:pPr>
            <w:r>
              <w:rPr>
                <w:lang w:val="en-GB"/>
              </w:rPr>
              <w:t>100</w:t>
            </w:r>
          </w:p>
        </w:tc>
        <w:tc>
          <w:tcPr>
            <w:tcW w:w="279" w:type="pct"/>
            <w:tcBorders>
              <w:top w:val="nil"/>
              <w:left w:val="nil"/>
              <w:bottom w:val="nil"/>
              <w:right w:val="nil"/>
            </w:tcBorders>
            <w:shd w:val="clear" w:color="auto" w:fill="FFFFFF"/>
          </w:tcPr>
          <w:p w14:paraId="6B592EEB" w14:textId="0DCE710C" w:rsidR="008A0EEC" w:rsidRDefault="00CA65F1" w:rsidP="00455566">
            <w:pPr>
              <w:pStyle w:val="CETBodytext"/>
              <w:rPr>
                <w:lang w:val="en-GB"/>
              </w:rPr>
            </w:pPr>
            <w:r>
              <w:rPr>
                <w:lang w:val="en-GB"/>
              </w:rPr>
              <w:t>100</w:t>
            </w:r>
          </w:p>
        </w:tc>
        <w:tc>
          <w:tcPr>
            <w:tcW w:w="288" w:type="pct"/>
            <w:tcBorders>
              <w:top w:val="nil"/>
              <w:left w:val="nil"/>
              <w:bottom w:val="nil"/>
              <w:right w:val="nil"/>
            </w:tcBorders>
            <w:shd w:val="clear" w:color="auto" w:fill="FFFFFF"/>
          </w:tcPr>
          <w:p w14:paraId="2FA436A4" w14:textId="7F525B89" w:rsidR="008A0EEC" w:rsidRDefault="00CA65F1" w:rsidP="00455566">
            <w:pPr>
              <w:pStyle w:val="CETBodytext"/>
              <w:rPr>
                <w:lang w:val="en-GB"/>
              </w:rPr>
            </w:pPr>
            <w:r>
              <w:rPr>
                <w:lang w:val="en-GB"/>
              </w:rPr>
              <w:t>1</w:t>
            </w:r>
          </w:p>
        </w:tc>
        <w:tc>
          <w:tcPr>
            <w:tcW w:w="279" w:type="pct"/>
            <w:tcBorders>
              <w:top w:val="nil"/>
              <w:left w:val="nil"/>
              <w:bottom w:val="nil"/>
              <w:right w:val="nil"/>
            </w:tcBorders>
            <w:shd w:val="clear" w:color="auto" w:fill="FFFFFF"/>
          </w:tcPr>
          <w:p w14:paraId="3D950D34" w14:textId="191E500B" w:rsidR="008A0EEC" w:rsidRDefault="00CA65F1" w:rsidP="00455566">
            <w:pPr>
              <w:pStyle w:val="CETBodytext"/>
              <w:rPr>
                <w:lang w:val="en-GB"/>
              </w:rPr>
            </w:pPr>
            <w:r>
              <w:rPr>
                <w:lang w:val="en-GB"/>
              </w:rPr>
              <w:t>100</w:t>
            </w:r>
          </w:p>
        </w:tc>
        <w:tc>
          <w:tcPr>
            <w:tcW w:w="300" w:type="pct"/>
            <w:tcBorders>
              <w:top w:val="nil"/>
              <w:left w:val="nil"/>
              <w:bottom w:val="nil"/>
              <w:right w:val="nil"/>
            </w:tcBorders>
            <w:shd w:val="clear" w:color="auto" w:fill="FFFFFF"/>
          </w:tcPr>
          <w:p w14:paraId="49D0F2FE" w14:textId="668BD3C1" w:rsidR="008A0EEC" w:rsidRDefault="00CA65F1" w:rsidP="00455566">
            <w:pPr>
              <w:pStyle w:val="CETBodytext"/>
              <w:rPr>
                <w:lang w:val="en-GB"/>
              </w:rPr>
            </w:pPr>
            <w:r>
              <w:rPr>
                <w:lang w:val="en-GB"/>
              </w:rPr>
              <w:t>100</w:t>
            </w:r>
          </w:p>
        </w:tc>
        <w:tc>
          <w:tcPr>
            <w:tcW w:w="291" w:type="pct"/>
            <w:tcBorders>
              <w:top w:val="nil"/>
              <w:left w:val="nil"/>
              <w:bottom w:val="nil"/>
              <w:right w:val="nil"/>
            </w:tcBorders>
            <w:shd w:val="clear" w:color="auto" w:fill="FFFFFF"/>
          </w:tcPr>
          <w:p w14:paraId="04591AC2" w14:textId="1B9B5BC7" w:rsidR="008A0EEC" w:rsidRDefault="00ED73A4" w:rsidP="00455566">
            <w:pPr>
              <w:pStyle w:val="CETBodytext"/>
              <w:rPr>
                <w:lang w:val="en-GB"/>
              </w:rPr>
            </w:pPr>
            <w:r>
              <w:rPr>
                <w:lang w:val="en-GB"/>
              </w:rPr>
              <w:t>100</w:t>
            </w:r>
          </w:p>
        </w:tc>
        <w:tc>
          <w:tcPr>
            <w:tcW w:w="300" w:type="pct"/>
            <w:tcBorders>
              <w:top w:val="nil"/>
              <w:left w:val="nil"/>
              <w:bottom w:val="nil"/>
              <w:right w:val="nil"/>
            </w:tcBorders>
            <w:shd w:val="clear" w:color="auto" w:fill="FFFFFF"/>
          </w:tcPr>
          <w:p w14:paraId="7006C3B3" w14:textId="79E4A638" w:rsidR="008A0EEC" w:rsidRDefault="00CA65F1" w:rsidP="00455566">
            <w:pPr>
              <w:pStyle w:val="CETBodytext"/>
              <w:rPr>
                <w:lang w:val="en-GB"/>
              </w:rPr>
            </w:pPr>
            <w:r>
              <w:rPr>
                <w:lang w:val="en-GB"/>
              </w:rPr>
              <w:t>100</w:t>
            </w:r>
          </w:p>
        </w:tc>
        <w:tc>
          <w:tcPr>
            <w:tcW w:w="291" w:type="pct"/>
            <w:tcBorders>
              <w:top w:val="nil"/>
              <w:left w:val="nil"/>
              <w:bottom w:val="nil"/>
              <w:right w:val="nil"/>
            </w:tcBorders>
            <w:shd w:val="clear" w:color="auto" w:fill="FFFFFF"/>
          </w:tcPr>
          <w:p w14:paraId="4E718979" w14:textId="37059629" w:rsidR="008A0EEC" w:rsidRDefault="00CA65F1" w:rsidP="00455566">
            <w:pPr>
              <w:pStyle w:val="CETBodytext"/>
              <w:rPr>
                <w:lang w:val="en-GB"/>
              </w:rPr>
            </w:pPr>
            <w:r>
              <w:rPr>
                <w:lang w:val="en-GB"/>
              </w:rPr>
              <w:t>1</w:t>
            </w:r>
          </w:p>
        </w:tc>
        <w:tc>
          <w:tcPr>
            <w:tcW w:w="288" w:type="pct"/>
            <w:tcBorders>
              <w:top w:val="nil"/>
              <w:left w:val="nil"/>
              <w:bottom w:val="nil"/>
              <w:right w:val="nil"/>
            </w:tcBorders>
            <w:shd w:val="clear" w:color="auto" w:fill="FFFFFF"/>
          </w:tcPr>
          <w:p w14:paraId="4E8EAA87" w14:textId="7571631E" w:rsidR="008A0EEC" w:rsidRDefault="00ED73A4" w:rsidP="00455566">
            <w:pPr>
              <w:pStyle w:val="CETBodytext"/>
              <w:rPr>
                <w:lang w:val="en-GB"/>
              </w:rPr>
            </w:pPr>
            <w:r>
              <w:rPr>
                <w:lang w:val="en-GB"/>
              </w:rPr>
              <w:t>100</w:t>
            </w:r>
          </w:p>
        </w:tc>
        <w:tc>
          <w:tcPr>
            <w:tcW w:w="279" w:type="pct"/>
            <w:tcBorders>
              <w:top w:val="nil"/>
              <w:left w:val="nil"/>
              <w:bottom w:val="nil"/>
              <w:right w:val="nil"/>
            </w:tcBorders>
            <w:shd w:val="clear" w:color="auto" w:fill="FFFFFF"/>
          </w:tcPr>
          <w:p w14:paraId="2D9FD7EA" w14:textId="52D20374" w:rsidR="008A0EEC" w:rsidRDefault="00ED73A4" w:rsidP="00455566">
            <w:pPr>
              <w:pStyle w:val="CETBodytext"/>
              <w:rPr>
                <w:lang w:val="en-GB"/>
              </w:rPr>
            </w:pPr>
            <w:r>
              <w:rPr>
                <w:lang w:val="en-GB"/>
              </w:rPr>
              <w:t>1</w:t>
            </w:r>
          </w:p>
        </w:tc>
        <w:tc>
          <w:tcPr>
            <w:tcW w:w="387" w:type="pct"/>
            <w:tcBorders>
              <w:top w:val="nil"/>
              <w:left w:val="nil"/>
              <w:bottom w:val="nil"/>
              <w:right w:val="nil"/>
            </w:tcBorders>
            <w:shd w:val="clear" w:color="auto" w:fill="FFFFFF"/>
          </w:tcPr>
          <w:p w14:paraId="5230EAAA" w14:textId="0E6DDBC6" w:rsidR="008A0EEC" w:rsidRDefault="00ED73A4" w:rsidP="00455566">
            <w:pPr>
              <w:pStyle w:val="CETBodytext"/>
              <w:rPr>
                <w:lang w:val="en-GB"/>
              </w:rPr>
            </w:pPr>
            <w:r>
              <w:rPr>
                <w:lang w:val="en-GB"/>
              </w:rPr>
              <w:t>100</w:t>
            </w:r>
          </w:p>
        </w:tc>
        <w:tc>
          <w:tcPr>
            <w:tcW w:w="359" w:type="pct"/>
            <w:tcBorders>
              <w:top w:val="nil"/>
              <w:left w:val="nil"/>
              <w:bottom w:val="nil"/>
            </w:tcBorders>
            <w:shd w:val="clear" w:color="auto" w:fill="FFFFFF"/>
          </w:tcPr>
          <w:p w14:paraId="6ABB0C8A" w14:textId="32181432" w:rsidR="008A0EEC" w:rsidRDefault="00ED73A4" w:rsidP="00455566">
            <w:pPr>
              <w:pStyle w:val="CETBodytext"/>
              <w:rPr>
                <w:lang w:val="en-GB"/>
              </w:rPr>
            </w:pPr>
            <w:r>
              <w:rPr>
                <w:lang w:val="en-GB"/>
              </w:rPr>
              <w:t>1</w:t>
            </w:r>
          </w:p>
        </w:tc>
      </w:tr>
      <w:tr w:rsidR="009A64AF" w14:paraId="33513B4B" w14:textId="24DD053E" w:rsidTr="008259BC">
        <w:tc>
          <w:tcPr>
            <w:tcW w:w="803" w:type="pct"/>
            <w:tcBorders>
              <w:top w:val="nil"/>
              <w:bottom w:val="nil"/>
              <w:right w:val="nil"/>
            </w:tcBorders>
            <w:shd w:val="clear" w:color="auto" w:fill="FFFFFF"/>
          </w:tcPr>
          <w:p w14:paraId="620D5174" w14:textId="77777777" w:rsidR="008A0EEC" w:rsidRDefault="008A0EEC" w:rsidP="00455566">
            <w:pPr>
              <w:pStyle w:val="CETBodytext"/>
              <w:ind w:right="-1"/>
              <w:rPr>
                <w:lang w:val="en-GB"/>
              </w:rPr>
            </w:pPr>
            <w:r>
              <w:rPr>
                <w:lang w:val="en-GB"/>
              </w:rPr>
              <w:t>H</w:t>
            </w:r>
            <w:r w:rsidRPr="00EA56E1">
              <w:rPr>
                <w:vertAlign w:val="subscript"/>
                <w:lang w:val="en-GB"/>
              </w:rPr>
              <w:t>2</w:t>
            </w:r>
            <w:r>
              <w:rPr>
                <w:lang w:val="en-GB"/>
              </w:rPr>
              <w:t>/GLU</w:t>
            </w:r>
          </w:p>
        </w:tc>
        <w:tc>
          <w:tcPr>
            <w:tcW w:w="288" w:type="pct"/>
            <w:tcBorders>
              <w:top w:val="nil"/>
              <w:left w:val="nil"/>
              <w:bottom w:val="nil"/>
              <w:right w:val="nil"/>
            </w:tcBorders>
            <w:shd w:val="clear" w:color="auto" w:fill="FFFFFF"/>
          </w:tcPr>
          <w:p w14:paraId="33C6C49F" w14:textId="308C5C92" w:rsidR="008A0EEC" w:rsidRDefault="00CA65F1" w:rsidP="00455566">
            <w:pPr>
              <w:pStyle w:val="CETBodytext"/>
              <w:ind w:right="-1"/>
              <w:rPr>
                <w:lang w:val="en-GB"/>
              </w:rPr>
            </w:pPr>
            <w:r>
              <w:rPr>
                <w:lang w:val="en-GB"/>
              </w:rPr>
              <w:t>10</w:t>
            </w:r>
          </w:p>
        </w:tc>
        <w:tc>
          <w:tcPr>
            <w:tcW w:w="279" w:type="pct"/>
            <w:tcBorders>
              <w:top w:val="nil"/>
              <w:left w:val="nil"/>
              <w:bottom w:val="nil"/>
              <w:right w:val="nil"/>
            </w:tcBorders>
            <w:shd w:val="clear" w:color="auto" w:fill="FFFFFF"/>
          </w:tcPr>
          <w:p w14:paraId="6183B120" w14:textId="43BA0E33" w:rsidR="008A0EEC" w:rsidRDefault="00CA65F1" w:rsidP="00455566">
            <w:pPr>
              <w:pStyle w:val="CETBodytext"/>
              <w:ind w:right="-1"/>
              <w:rPr>
                <w:lang w:val="en-GB"/>
              </w:rPr>
            </w:pPr>
            <w:r>
              <w:rPr>
                <w:lang w:val="en-GB"/>
              </w:rPr>
              <w:t>10</w:t>
            </w:r>
          </w:p>
        </w:tc>
        <w:tc>
          <w:tcPr>
            <w:tcW w:w="288" w:type="pct"/>
            <w:tcBorders>
              <w:top w:val="nil"/>
              <w:left w:val="nil"/>
              <w:bottom w:val="nil"/>
              <w:right w:val="nil"/>
            </w:tcBorders>
            <w:shd w:val="clear" w:color="auto" w:fill="FFFFFF"/>
          </w:tcPr>
          <w:p w14:paraId="6B71DB87" w14:textId="738A4EEE" w:rsidR="008A0EEC" w:rsidRDefault="00CA65F1" w:rsidP="00455566">
            <w:pPr>
              <w:pStyle w:val="CETBodytext"/>
              <w:ind w:right="-1"/>
              <w:rPr>
                <w:lang w:val="en-GB"/>
              </w:rPr>
            </w:pPr>
            <w:r>
              <w:rPr>
                <w:lang w:val="en-GB"/>
              </w:rPr>
              <w:t>10</w:t>
            </w:r>
          </w:p>
        </w:tc>
        <w:tc>
          <w:tcPr>
            <w:tcW w:w="279" w:type="pct"/>
            <w:tcBorders>
              <w:top w:val="nil"/>
              <w:left w:val="nil"/>
              <w:bottom w:val="nil"/>
              <w:right w:val="nil"/>
            </w:tcBorders>
            <w:shd w:val="clear" w:color="auto" w:fill="FFFFFF"/>
          </w:tcPr>
          <w:p w14:paraId="11D53FE1" w14:textId="4B8AD36E" w:rsidR="008A0EEC" w:rsidRDefault="00CA65F1" w:rsidP="00455566">
            <w:pPr>
              <w:pStyle w:val="CETBodytext"/>
              <w:ind w:right="-1"/>
              <w:rPr>
                <w:lang w:val="en-GB"/>
              </w:rPr>
            </w:pPr>
            <w:r>
              <w:rPr>
                <w:lang w:val="en-GB"/>
              </w:rPr>
              <w:t>100</w:t>
            </w:r>
          </w:p>
        </w:tc>
        <w:tc>
          <w:tcPr>
            <w:tcW w:w="288" w:type="pct"/>
            <w:tcBorders>
              <w:top w:val="nil"/>
              <w:left w:val="nil"/>
              <w:bottom w:val="nil"/>
              <w:right w:val="nil"/>
            </w:tcBorders>
            <w:shd w:val="clear" w:color="auto" w:fill="FFFFFF"/>
          </w:tcPr>
          <w:p w14:paraId="09FFCD19" w14:textId="1B92F100" w:rsidR="008A0EEC" w:rsidRDefault="00CA65F1" w:rsidP="00455566">
            <w:pPr>
              <w:pStyle w:val="CETBodytext"/>
              <w:ind w:right="-1"/>
              <w:rPr>
                <w:lang w:val="en-GB"/>
              </w:rPr>
            </w:pPr>
            <w:r>
              <w:rPr>
                <w:lang w:val="en-GB"/>
              </w:rPr>
              <w:t>10</w:t>
            </w:r>
          </w:p>
        </w:tc>
        <w:tc>
          <w:tcPr>
            <w:tcW w:w="279" w:type="pct"/>
            <w:tcBorders>
              <w:top w:val="nil"/>
              <w:left w:val="nil"/>
              <w:bottom w:val="nil"/>
              <w:right w:val="nil"/>
            </w:tcBorders>
            <w:shd w:val="clear" w:color="auto" w:fill="FFFFFF"/>
          </w:tcPr>
          <w:p w14:paraId="182AF16C" w14:textId="4E2FBF1D" w:rsidR="008A0EEC" w:rsidRDefault="00CA65F1" w:rsidP="00455566">
            <w:pPr>
              <w:pStyle w:val="CETBodytext"/>
              <w:ind w:right="-1"/>
              <w:rPr>
                <w:lang w:val="en-GB"/>
              </w:rPr>
            </w:pPr>
            <w:r>
              <w:rPr>
                <w:lang w:val="en-GB"/>
              </w:rPr>
              <w:t>100</w:t>
            </w:r>
          </w:p>
        </w:tc>
        <w:tc>
          <w:tcPr>
            <w:tcW w:w="300" w:type="pct"/>
            <w:tcBorders>
              <w:top w:val="nil"/>
              <w:left w:val="nil"/>
              <w:bottom w:val="nil"/>
              <w:right w:val="nil"/>
            </w:tcBorders>
            <w:shd w:val="clear" w:color="auto" w:fill="FFFFFF"/>
          </w:tcPr>
          <w:p w14:paraId="356BDFB8" w14:textId="5D222526" w:rsidR="008A0EEC" w:rsidRDefault="00CA65F1" w:rsidP="00455566">
            <w:pPr>
              <w:pStyle w:val="CETBodytext"/>
              <w:ind w:right="-1"/>
              <w:rPr>
                <w:lang w:val="en-GB"/>
              </w:rPr>
            </w:pPr>
            <w:r>
              <w:rPr>
                <w:lang w:val="en-GB"/>
              </w:rPr>
              <w:t>10</w:t>
            </w:r>
          </w:p>
        </w:tc>
        <w:tc>
          <w:tcPr>
            <w:tcW w:w="291" w:type="pct"/>
            <w:tcBorders>
              <w:top w:val="nil"/>
              <w:left w:val="nil"/>
              <w:bottom w:val="nil"/>
              <w:right w:val="nil"/>
            </w:tcBorders>
            <w:shd w:val="clear" w:color="auto" w:fill="FFFFFF"/>
          </w:tcPr>
          <w:p w14:paraId="471AB259" w14:textId="1FF6AF72" w:rsidR="008A0EEC" w:rsidRDefault="00ED73A4" w:rsidP="00455566">
            <w:pPr>
              <w:pStyle w:val="CETBodytext"/>
              <w:ind w:right="-1"/>
              <w:rPr>
                <w:lang w:val="en-GB"/>
              </w:rPr>
            </w:pPr>
            <w:r>
              <w:rPr>
                <w:lang w:val="en-GB"/>
              </w:rPr>
              <w:t>100</w:t>
            </w:r>
          </w:p>
        </w:tc>
        <w:tc>
          <w:tcPr>
            <w:tcW w:w="300" w:type="pct"/>
            <w:tcBorders>
              <w:top w:val="nil"/>
              <w:left w:val="nil"/>
              <w:bottom w:val="nil"/>
              <w:right w:val="nil"/>
            </w:tcBorders>
            <w:shd w:val="clear" w:color="auto" w:fill="FFFFFF"/>
          </w:tcPr>
          <w:p w14:paraId="0672730F" w14:textId="7C57B0A7" w:rsidR="008A0EEC" w:rsidRDefault="00CA65F1" w:rsidP="00455566">
            <w:pPr>
              <w:pStyle w:val="CETBodytext"/>
              <w:ind w:right="-1"/>
              <w:rPr>
                <w:lang w:val="en-GB"/>
              </w:rPr>
            </w:pPr>
            <w:r>
              <w:rPr>
                <w:lang w:val="en-GB"/>
              </w:rPr>
              <w:t>10</w:t>
            </w:r>
          </w:p>
        </w:tc>
        <w:tc>
          <w:tcPr>
            <w:tcW w:w="291" w:type="pct"/>
            <w:tcBorders>
              <w:top w:val="nil"/>
              <w:left w:val="nil"/>
              <w:bottom w:val="nil"/>
              <w:right w:val="nil"/>
            </w:tcBorders>
            <w:shd w:val="clear" w:color="auto" w:fill="FFFFFF"/>
          </w:tcPr>
          <w:p w14:paraId="31B5843A" w14:textId="7C40B3DE" w:rsidR="008A0EEC" w:rsidRDefault="00CA65F1" w:rsidP="00455566">
            <w:pPr>
              <w:pStyle w:val="CETBodytext"/>
              <w:ind w:right="-1"/>
              <w:rPr>
                <w:lang w:val="en-GB"/>
              </w:rPr>
            </w:pPr>
            <w:r>
              <w:rPr>
                <w:lang w:val="en-GB"/>
              </w:rPr>
              <w:t>10</w:t>
            </w:r>
          </w:p>
        </w:tc>
        <w:tc>
          <w:tcPr>
            <w:tcW w:w="288" w:type="pct"/>
            <w:tcBorders>
              <w:top w:val="nil"/>
              <w:left w:val="nil"/>
              <w:bottom w:val="nil"/>
              <w:right w:val="nil"/>
            </w:tcBorders>
            <w:shd w:val="clear" w:color="auto" w:fill="FFFFFF"/>
          </w:tcPr>
          <w:p w14:paraId="6FB4B86C" w14:textId="529472EB" w:rsidR="008A0EEC" w:rsidRDefault="00ED73A4" w:rsidP="00455566">
            <w:pPr>
              <w:pStyle w:val="CETBodytext"/>
              <w:ind w:right="-1"/>
              <w:rPr>
                <w:lang w:val="en-GB"/>
              </w:rPr>
            </w:pPr>
            <w:r>
              <w:rPr>
                <w:lang w:val="en-GB"/>
              </w:rPr>
              <w:t>10</w:t>
            </w:r>
          </w:p>
        </w:tc>
        <w:tc>
          <w:tcPr>
            <w:tcW w:w="279" w:type="pct"/>
            <w:tcBorders>
              <w:top w:val="nil"/>
              <w:left w:val="nil"/>
              <w:bottom w:val="nil"/>
              <w:right w:val="nil"/>
            </w:tcBorders>
            <w:shd w:val="clear" w:color="auto" w:fill="FFFFFF"/>
          </w:tcPr>
          <w:p w14:paraId="544A35FD" w14:textId="41FCD981" w:rsidR="008A0EEC" w:rsidRDefault="00ED73A4" w:rsidP="00455566">
            <w:pPr>
              <w:pStyle w:val="CETBodytext"/>
              <w:ind w:right="-1"/>
              <w:rPr>
                <w:lang w:val="en-GB"/>
              </w:rPr>
            </w:pPr>
            <w:r>
              <w:rPr>
                <w:lang w:val="en-GB"/>
              </w:rPr>
              <w:t>10</w:t>
            </w:r>
          </w:p>
        </w:tc>
        <w:tc>
          <w:tcPr>
            <w:tcW w:w="387" w:type="pct"/>
            <w:tcBorders>
              <w:top w:val="nil"/>
              <w:left w:val="nil"/>
              <w:bottom w:val="nil"/>
              <w:right w:val="nil"/>
            </w:tcBorders>
            <w:shd w:val="clear" w:color="auto" w:fill="FFFFFF"/>
          </w:tcPr>
          <w:p w14:paraId="03140D5C" w14:textId="16968873" w:rsidR="008A0EEC" w:rsidRDefault="00ED73A4" w:rsidP="00455566">
            <w:pPr>
              <w:pStyle w:val="CETBodytext"/>
              <w:ind w:right="-1"/>
              <w:rPr>
                <w:lang w:val="en-GB"/>
              </w:rPr>
            </w:pPr>
            <w:r>
              <w:rPr>
                <w:lang w:val="en-GB"/>
              </w:rPr>
              <w:t>10</w:t>
            </w:r>
          </w:p>
        </w:tc>
        <w:tc>
          <w:tcPr>
            <w:tcW w:w="359" w:type="pct"/>
            <w:tcBorders>
              <w:top w:val="nil"/>
              <w:left w:val="nil"/>
              <w:bottom w:val="nil"/>
            </w:tcBorders>
            <w:shd w:val="clear" w:color="auto" w:fill="FFFFFF"/>
          </w:tcPr>
          <w:p w14:paraId="4E1EDFB5" w14:textId="4A0CD43D" w:rsidR="008A0EEC" w:rsidRDefault="00ED73A4" w:rsidP="00455566">
            <w:pPr>
              <w:pStyle w:val="CETBodytext"/>
              <w:ind w:right="-1"/>
              <w:rPr>
                <w:lang w:val="en-GB"/>
              </w:rPr>
            </w:pPr>
            <w:r>
              <w:rPr>
                <w:lang w:val="en-GB"/>
              </w:rPr>
              <w:t>10</w:t>
            </w:r>
          </w:p>
        </w:tc>
      </w:tr>
      <w:tr w:rsidR="009A64AF" w14:paraId="3850DA5D" w14:textId="117907D6" w:rsidTr="008259BC">
        <w:tc>
          <w:tcPr>
            <w:tcW w:w="803" w:type="pct"/>
            <w:tcBorders>
              <w:top w:val="nil"/>
              <w:bottom w:val="single" w:sz="12" w:space="0" w:color="008000"/>
              <w:right w:val="nil"/>
            </w:tcBorders>
            <w:shd w:val="clear" w:color="auto" w:fill="FFFFFF"/>
          </w:tcPr>
          <w:p w14:paraId="4E5C80EB" w14:textId="77777777" w:rsidR="008A0EEC" w:rsidRDefault="008A0EEC" w:rsidP="00455566">
            <w:pPr>
              <w:pStyle w:val="CETBodytext"/>
              <w:ind w:right="-1"/>
              <w:rPr>
                <w:lang w:val="en-GB"/>
              </w:rPr>
            </w:pPr>
            <w:proofErr w:type="spellStart"/>
            <w:r>
              <w:rPr>
                <w:lang w:val="en-GB"/>
              </w:rPr>
              <w:t>w</w:t>
            </w:r>
            <w:r w:rsidRPr="0011127D">
              <w:rPr>
                <w:vertAlign w:val="subscript"/>
                <w:lang w:val="en-GB"/>
              </w:rPr>
              <w:t>GLU</w:t>
            </w:r>
            <w:proofErr w:type="spellEnd"/>
            <w:r>
              <w:rPr>
                <w:lang w:val="en-GB"/>
              </w:rPr>
              <w:t xml:space="preserve"> (</w:t>
            </w:r>
            <w:proofErr w:type="spellStart"/>
            <w:r>
              <w:rPr>
                <w:lang w:val="en-GB"/>
              </w:rPr>
              <w:t>wt</w:t>
            </w:r>
            <w:proofErr w:type="spellEnd"/>
            <w:r>
              <w:rPr>
                <w:lang w:val="en-GB"/>
              </w:rPr>
              <w:t xml:space="preserve"> %)</w:t>
            </w:r>
          </w:p>
        </w:tc>
        <w:tc>
          <w:tcPr>
            <w:tcW w:w="288" w:type="pct"/>
            <w:tcBorders>
              <w:top w:val="nil"/>
              <w:left w:val="nil"/>
              <w:bottom w:val="single" w:sz="12" w:space="0" w:color="008000"/>
              <w:right w:val="nil"/>
            </w:tcBorders>
            <w:shd w:val="clear" w:color="auto" w:fill="FFFFFF"/>
          </w:tcPr>
          <w:p w14:paraId="6E59FFFC" w14:textId="51223B30" w:rsidR="008A0EEC" w:rsidRDefault="00CA65F1" w:rsidP="00455566">
            <w:pPr>
              <w:pStyle w:val="CETBodytext"/>
              <w:ind w:right="-1"/>
              <w:rPr>
                <w:lang w:val="en-GB"/>
              </w:rPr>
            </w:pPr>
            <w:r>
              <w:rPr>
                <w:lang w:val="en-GB"/>
              </w:rPr>
              <w:t>60</w:t>
            </w:r>
          </w:p>
        </w:tc>
        <w:tc>
          <w:tcPr>
            <w:tcW w:w="279" w:type="pct"/>
            <w:tcBorders>
              <w:top w:val="nil"/>
              <w:left w:val="nil"/>
              <w:bottom w:val="single" w:sz="12" w:space="0" w:color="008000"/>
              <w:right w:val="nil"/>
            </w:tcBorders>
            <w:shd w:val="clear" w:color="auto" w:fill="FFFFFF"/>
          </w:tcPr>
          <w:p w14:paraId="6D2616B4" w14:textId="6ADAF72B" w:rsidR="008A0EEC" w:rsidRDefault="00CA65F1" w:rsidP="00455566">
            <w:pPr>
              <w:pStyle w:val="CETBodytext"/>
              <w:ind w:right="-1"/>
              <w:rPr>
                <w:lang w:val="en-GB"/>
              </w:rPr>
            </w:pPr>
            <w:r>
              <w:rPr>
                <w:lang w:val="en-GB"/>
              </w:rPr>
              <w:t>1</w:t>
            </w:r>
          </w:p>
        </w:tc>
        <w:tc>
          <w:tcPr>
            <w:tcW w:w="288" w:type="pct"/>
            <w:tcBorders>
              <w:top w:val="nil"/>
              <w:left w:val="nil"/>
              <w:bottom w:val="single" w:sz="12" w:space="0" w:color="008000"/>
              <w:right w:val="nil"/>
            </w:tcBorders>
            <w:shd w:val="clear" w:color="auto" w:fill="FFFFFF"/>
          </w:tcPr>
          <w:p w14:paraId="0DBE687A" w14:textId="3976F481" w:rsidR="008A0EEC" w:rsidRDefault="00CA65F1" w:rsidP="00455566">
            <w:pPr>
              <w:pStyle w:val="CETBodytext"/>
              <w:ind w:right="-1"/>
              <w:rPr>
                <w:lang w:val="en-GB"/>
              </w:rPr>
            </w:pPr>
            <w:r>
              <w:rPr>
                <w:lang w:val="en-GB"/>
              </w:rPr>
              <w:t>60</w:t>
            </w:r>
          </w:p>
        </w:tc>
        <w:tc>
          <w:tcPr>
            <w:tcW w:w="279" w:type="pct"/>
            <w:tcBorders>
              <w:top w:val="nil"/>
              <w:left w:val="nil"/>
              <w:bottom w:val="single" w:sz="12" w:space="0" w:color="008000"/>
              <w:right w:val="nil"/>
            </w:tcBorders>
            <w:shd w:val="clear" w:color="auto" w:fill="FFFFFF"/>
          </w:tcPr>
          <w:p w14:paraId="5154F3AD" w14:textId="27DE1095" w:rsidR="008A0EEC" w:rsidRDefault="00CA65F1" w:rsidP="00455566">
            <w:pPr>
              <w:pStyle w:val="CETBodytext"/>
              <w:ind w:right="-1"/>
              <w:rPr>
                <w:lang w:val="en-GB"/>
              </w:rPr>
            </w:pPr>
            <w:r>
              <w:rPr>
                <w:lang w:val="en-GB"/>
              </w:rPr>
              <w:t>1</w:t>
            </w:r>
          </w:p>
        </w:tc>
        <w:tc>
          <w:tcPr>
            <w:tcW w:w="288" w:type="pct"/>
            <w:tcBorders>
              <w:top w:val="nil"/>
              <w:left w:val="nil"/>
              <w:bottom w:val="single" w:sz="12" w:space="0" w:color="008000"/>
              <w:right w:val="nil"/>
            </w:tcBorders>
            <w:shd w:val="clear" w:color="auto" w:fill="FFFFFF"/>
          </w:tcPr>
          <w:p w14:paraId="5CBAC299" w14:textId="45045E30" w:rsidR="008A0EEC" w:rsidRDefault="00CA65F1" w:rsidP="00455566">
            <w:pPr>
              <w:pStyle w:val="CETBodytext"/>
              <w:ind w:right="-1"/>
              <w:rPr>
                <w:lang w:val="en-GB"/>
              </w:rPr>
            </w:pPr>
            <w:r>
              <w:rPr>
                <w:lang w:val="en-GB"/>
              </w:rPr>
              <w:t>10</w:t>
            </w:r>
          </w:p>
        </w:tc>
        <w:tc>
          <w:tcPr>
            <w:tcW w:w="279" w:type="pct"/>
            <w:tcBorders>
              <w:top w:val="nil"/>
              <w:left w:val="nil"/>
              <w:bottom w:val="single" w:sz="12" w:space="0" w:color="008000"/>
              <w:right w:val="nil"/>
            </w:tcBorders>
            <w:shd w:val="clear" w:color="auto" w:fill="FFFFFF"/>
          </w:tcPr>
          <w:p w14:paraId="3A916DE5" w14:textId="539E2D3B" w:rsidR="008A0EEC" w:rsidRDefault="00CA65F1" w:rsidP="00455566">
            <w:pPr>
              <w:pStyle w:val="CETBodytext"/>
              <w:ind w:right="-1"/>
              <w:rPr>
                <w:lang w:val="en-GB"/>
              </w:rPr>
            </w:pPr>
            <w:r>
              <w:rPr>
                <w:lang w:val="en-GB"/>
              </w:rPr>
              <w:t>1</w:t>
            </w:r>
          </w:p>
        </w:tc>
        <w:tc>
          <w:tcPr>
            <w:tcW w:w="300" w:type="pct"/>
            <w:tcBorders>
              <w:top w:val="nil"/>
              <w:left w:val="nil"/>
              <w:bottom w:val="single" w:sz="12" w:space="0" w:color="008000"/>
              <w:right w:val="nil"/>
            </w:tcBorders>
            <w:shd w:val="clear" w:color="auto" w:fill="FFFFFF"/>
          </w:tcPr>
          <w:p w14:paraId="03C83CDB" w14:textId="248F75FE" w:rsidR="008A0EEC" w:rsidRDefault="00CA65F1" w:rsidP="00455566">
            <w:pPr>
              <w:pStyle w:val="CETBodytext"/>
              <w:ind w:right="-1"/>
              <w:rPr>
                <w:lang w:val="en-GB"/>
              </w:rPr>
            </w:pPr>
            <w:r>
              <w:rPr>
                <w:lang w:val="en-GB"/>
              </w:rPr>
              <w:t>60</w:t>
            </w:r>
          </w:p>
        </w:tc>
        <w:tc>
          <w:tcPr>
            <w:tcW w:w="291" w:type="pct"/>
            <w:tcBorders>
              <w:top w:val="nil"/>
              <w:left w:val="nil"/>
              <w:bottom w:val="single" w:sz="12" w:space="0" w:color="008000"/>
              <w:right w:val="nil"/>
            </w:tcBorders>
            <w:shd w:val="clear" w:color="auto" w:fill="FFFFFF"/>
          </w:tcPr>
          <w:p w14:paraId="2E9DB594" w14:textId="55B568A0" w:rsidR="008A0EEC" w:rsidRDefault="00ED73A4" w:rsidP="00455566">
            <w:pPr>
              <w:pStyle w:val="CETBodytext"/>
              <w:ind w:right="-1"/>
              <w:rPr>
                <w:lang w:val="en-GB"/>
              </w:rPr>
            </w:pPr>
            <w:r>
              <w:rPr>
                <w:lang w:val="en-GB"/>
              </w:rPr>
              <w:t>1</w:t>
            </w:r>
          </w:p>
        </w:tc>
        <w:tc>
          <w:tcPr>
            <w:tcW w:w="300" w:type="pct"/>
            <w:tcBorders>
              <w:top w:val="nil"/>
              <w:left w:val="nil"/>
              <w:bottom w:val="single" w:sz="12" w:space="0" w:color="008000"/>
              <w:right w:val="nil"/>
            </w:tcBorders>
            <w:shd w:val="clear" w:color="auto" w:fill="FFFFFF"/>
          </w:tcPr>
          <w:p w14:paraId="33D345CC" w14:textId="1DCC941B" w:rsidR="008A0EEC" w:rsidRDefault="00CA65F1" w:rsidP="00455566">
            <w:pPr>
              <w:pStyle w:val="CETBodytext"/>
              <w:ind w:right="-1"/>
              <w:rPr>
                <w:lang w:val="en-GB"/>
              </w:rPr>
            </w:pPr>
            <w:r>
              <w:rPr>
                <w:lang w:val="en-GB"/>
              </w:rPr>
              <w:t>60</w:t>
            </w:r>
          </w:p>
        </w:tc>
        <w:tc>
          <w:tcPr>
            <w:tcW w:w="291" w:type="pct"/>
            <w:tcBorders>
              <w:top w:val="nil"/>
              <w:left w:val="nil"/>
              <w:bottom w:val="single" w:sz="12" w:space="0" w:color="008000"/>
              <w:right w:val="nil"/>
            </w:tcBorders>
            <w:shd w:val="clear" w:color="auto" w:fill="FFFFFF"/>
          </w:tcPr>
          <w:p w14:paraId="293590CD" w14:textId="37DCC965" w:rsidR="008A0EEC" w:rsidRDefault="00CA65F1" w:rsidP="00455566">
            <w:pPr>
              <w:pStyle w:val="CETBodytext"/>
              <w:ind w:right="-1"/>
              <w:rPr>
                <w:lang w:val="en-GB"/>
              </w:rPr>
            </w:pPr>
            <w:r>
              <w:rPr>
                <w:lang w:val="en-GB"/>
              </w:rPr>
              <w:t>10</w:t>
            </w:r>
          </w:p>
        </w:tc>
        <w:tc>
          <w:tcPr>
            <w:tcW w:w="288" w:type="pct"/>
            <w:tcBorders>
              <w:top w:val="nil"/>
              <w:left w:val="nil"/>
              <w:bottom w:val="single" w:sz="12" w:space="0" w:color="008000"/>
              <w:right w:val="nil"/>
            </w:tcBorders>
            <w:shd w:val="clear" w:color="auto" w:fill="FFFFFF"/>
          </w:tcPr>
          <w:p w14:paraId="4B296B57" w14:textId="19DED47D" w:rsidR="008A0EEC" w:rsidRDefault="00ED73A4" w:rsidP="00455566">
            <w:pPr>
              <w:pStyle w:val="CETBodytext"/>
              <w:ind w:right="-1"/>
              <w:rPr>
                <w:lang w:val="en-GB"/>
              </w:rPr>
            </w:pPr>
            <w:r>
              <w:rPr>
                <w:lang w:val="en-GB"/>
              </w:rPr>
              <w:t>60</w:t>
            </w:r>
          </w:p>
        </w:tc>
        <w:tc>
          <w:tcPr>
            <w:tcW w:w="279" w:type="pct"/>
            <w:tcBorders>
              <w:top w:val="nil"/>
              <w:left w:val="nil"/>
              <w:bottom w:val="single" w:sz="12" w:space="0" w:color="008000"/>
              <w:right w:val="nil"/>
            </w:tcBorders>
            <w:shd w:val="clear" w:color="auto" w:fill="FFFFFF"/>
          </w:tcPr>
          <w:p w14:paraId="080DCA22" w14:textId="1CAD617E" w:rsidR="008A0EEC" w:rsidRDefault="00ED73A4" w:rsidP="00455566">
            <w:pPr>
              <w:pStyle w:val="CETBodytext"/>
              <w:ind w:right="-1"/>
              <w:rPr>
                <w:lang w:val="en-GB"/>
              </w:rPr>
            </w:pPr>
            <w:r>
              <w:rPr>
                <w:lang w:val="en-GB"/>
              </w:rPr>
              <w:t>10</w:t>
            </w:r>
          </w:p>
        </w:tc>
        <w:tc>
          <w:tcPr>
            <w:tcW w:w="387" w:type="pct"/>
            <w:tcBorders>
              <w:top w:val="nil"/>
              <w:left w:val="nil"/>
              <w:bottom w:val="single" w:sz="12" w:space="0" w:color="008000"/>
              <w:right w:val="nil"/>
            </w:tcBorders>
            <w:shd w:val="clear" w:color="auto" w:fill="FFFFFF"/>
          </w:tcPr>
          <w:p w14:paraId="0F07C658" w14:textId="3DB88266" w:rsidR="008A0EEC" w:rsidRDefault="00ED73A4" w:rsidP="00455566">
            <w:pPr>
              <w:pStyle w:val="CETBodytext"/>
              <w:ind w:right="-1"/>
              <w:rPr>
                <w:lang w:val="en-GB"/>
              </w:rPr>
            </w:pPr>
            <w:r>
              <w:rPr>
                <w:lang w:val="en-GB"/>
              </w:rPr>
              <w:t>60</w:t>
            </w:r>
          </w:p>
        </w:tc>
        <w:tc>
          <w:tcPr>
            <w:tcW w:w="359" w:type="pct"/>
            <w:tcBorders>
              <w:top w:val="nil"/>
              <w:left w:val="nil"/>
              <w:bottom w:val="single" w:sz="12" w:space="0" w:color="008000"/>
            </w:tcBorders>
            <w:shd w:val="clear" w:color="auto" w:fill="FFFFFF"/>
          </w:tcPr>
          <w:p w14:paraId="6B2E517D" w14:textId="7E856978" w:rsidR="008A0EEC" w:rsidRDefault="00ED73A4" w:rsidP="00455566">
            <w:pPr>
              <w:pStyle w:val="CETBodytext"/>
              <w:ind w:right="-1"/>
              <w:rPr>
                <w:lang w:val="en-GB"/>
              </w:rPr>
            </w:pPr>
            <w:r>
              <w:rPr>
                <w:lang w:val="en-GB"/>
              </w:rPr>
              <w:t>10</w:t>
            </w:r>
          </w:p>
        </w:tc>
      </w:tr>
    </w:tbl>
    <w:p w14:paraId="006B57C8" w14:textId="52194129" w:rsidR="00F74B65" w:rsidRDefault="00F74B65" w:rsidP="009D7882">
      <w:pPr>
        <w:pStyle w:val="CETBodytext"/>
        <w:rPr>
          <w:color w:val="7030A0"/>
          <w:lang w:val="en-GB"/>
        </w:rPr>
      </w:pPr>
    </w:p>
    <w:p w14:paraId="2DE5A0D5" w14:textId="55EFA151" w:rsidR="00CD1922" w:rsidRDefault="00394D9B" w:rsidP="00F02CDC">
      <w:pPr>
        <w:pStyle w:val="CETBodytext"/>
        <w:jc w:val="left"/>
        <w:rPr>
          <w:color w:val="7030A0"/>
          <w:lang w:val="en-GB"/>
        </w:rPr>
      </w:pPr>
      <w:r w:rsidRPr="00394D9B">
        <w:drawing>
          <wp:inline distT="0" distB="0" distL="0" distR="0" wp14:anchorId="6A001B52" wp14:editId="2618D520">
            <wp:extent cx="5579745" cy="1679575"/>
            <wp:effectExtent l="0" t="0" r="190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745" cy="1679575"/>
                    </a:xfrm>
                    <a:prstGeom prst="rect">
                      <a:avLst/>
                    </a:prstGeom>
                    <a:noFill/>
                    <a:ln>
                      <a:noFill/>
                    </a:ln>
                  </pic:spPr>
                </pic:pic>
              </a:graphicData>
            </a:graphic>
          </wp:inline>
        </w:drawing>
      </w:r>
    </w:p>
    <w:p w14:paraId="5510AFAB" w14:textId="2EC7AB8E" w:rsidR="00267F70" w:rsidRDefault="00267F70" w:rsidP="00937AB8">
      <w:pPr>
        <w:pStyle w:val="CETCaption"/>
      </w:pPr>
      <w:bookmarkStart w:id="7" w:name="_Ref1164224"/>
      <w:r w:rsidRPr="00267F70">
        <w:t xml:space="preserve">Figure </w:t>
      </w:r>
      <w:r w:rsidRPr="00267F70">
        <w:fldChar w:fldCharType="begin"/>
      </w:r>
      <w:r w:rsidRPr="00267F70">
        <w:instrText xml:space="preserve"> SEQ Figure \* ARABIC </w:instrText>
      </w:r>
      <w:r w:rsidRPr="00267F70">
        <w:fldChar w:fldCharType="separate"/>
      </w:r>
      <w:r w:rsidR="00D0006A">
        <w:rPr>
          <w:noProof/>
        </w:rPr>
        <w:t>3</w:t>
      </w:r>
      <w:r w:rsidRPr="00267F70">
        <w:fldChar w:fldCharType="end"/>
      </w:r>
      <w:bookmarkEnd w:id="7"/>
      <w:r w:rsidRPr="00267F70">
        <w:t xml:space="preserve">: </w:t>
      </w:r>
      <w:r w:rsidR="00136E5D">
        <w:t>S</w:t>
      </w:r>
      <w:r w:rsidR="00553AD6">
        <w:rPr>
          <w:vertAlign w:val="subscript"/>
        </w:rPr>
        <w:t>PROD</w:t>
      </w:r>
      <w:r w:rsidR="00937AB8">
        <w:t xml:space="preserve"> for each network. a) Typical product distributions</w:t>
      </w:r>
      <w:r w:rsidR="004E3F8F">
        <w:t xml:space="preserve"> using the upgraded case</w:t>
      </w:r>
      <w:r w:rsidR="00937AB8">
        <w:t xml:space="preserve">; b) Maximum and minimum </w:t>
      </w:r>
      <w:r w:rsidR="00136E5D">
        <w:t>S</w:t>
      </w:r>
      <w:r w:rsidR="000B135D" w:rsidRPr="000B135D">
        <w:rPr>
          <w:vertAlign w:val="subscript"/>
        </w:rPr>
        <w:t>MAIN PRODUCTS</w:t>
      </w:r>
      <w:r w:rsidR="00B933F0">
        <w:t xml:space="preserve"> </w:t>
      </w:r>
      <w:r w:rsidR="00553AD6">
        <w:t>found</w:t>
      </w:r>
      <w:r w:rsidR="00937AB8">
        <w:t>.</w:t>
      </w:r>
      <w:r w:rsidR="00136E5D">
        <w:t xml:space="preserve"> </w:t>
      </w:r>
      <w:r w:rsidR="00F308AB" w:rsidRPr="000B135D">
        <w:rPr>
          <w:lang w:val="en-US"/>
        </w:rPr>
        <w:t xml:space="preserve">Pol = </w:t>
      </w:r>
      <w:r w:rsidR="00E434D5">
        <w:rPr>
          <w:lang w:val="en-US"/>
        </w:rPr>
        <w:t>sorbitol, mannitol and erythritol;</w:t>
      </w:r>
      <w:r w:rsidR="00F308AB" w:rsidRPr="000B135D">
        <w:rPr>
          <w:lang w:val="en-US"/>
        </w:rPr>
        <w:t xml:space="preserve"> </w:t>
      </w:r>
      <w:r w:rsidR="00F308AB" w:rsidRPr="00EB56B9">
        <w:rPr>
          <w:lang w:val="en-US"/>
        </w:rPr>
        <w:t>Int = intermediate products</w:t>
      </w:r>
      <w:r w:rsidR="00E434D5">
        <w:t>;</w:t>
      </w:r>
      <w:r w:rsidR="00553AD6" w:rsidRPr="00553AD6">
        <w:t xml:space="preserve"> </w:t>
      </w:r>
      <w:r w:rsidR="00553AD6">
        <w:t>EG = ethylene glycol.</w:t>
      </w:r>
    </w:p>
    <w:p w14:paraId="1F41FDF0" w14:textId="6E9E182B" w:rsidR="00DE2083" w:rsidRDefault="00DE2083" w:rsidP="00DE2083">
      <w:pPr>
        <w:pStyle w:val="CETBodytext"/>
        <w:spacing w:before="240"/>
        <w:rPr>
          <w:lang w:val="en-GB"/>
        </w:rPr>
      </w:pPr>
      <w:r w:rsidRPr="00241293">
        <w:t>O</w:t>
      </w:r>
      <w:proofErr w:type="spellStart"/>
      <w:r w:rsidRPr="007065F9">
        <w:rPr>
          <w:lang w:val="en-GB"/>
        </w:rPr>
        <w:t>perational</w:t>
      </w:r>
      <w:proofErr w:type="spellEnd"/>
      <w:r w:rsidRPr="007065F9">
        <w:rPr>
          <w:lang w:val="en-GB"/>
        </w:rPr>
        <w:t xml:space="preserve"> costs</w:t>
      </w:r>
      <w:r>
        <w:rPr>
          <w:lang w:val="en-GB"/>
        </w:rPr>
        <w:t xml:space="preserve"> are mainly influenced by the</w:t>
      </w:r>
      <w:r w:rsidRPr="00DC3936">
        <w:rPr>
          <w:lang w:val="en-GB"/>
        </w:rPr>
        <w:t xml:space="preserve"> </w:t>
      </w:r>
      <w:r w:rsidRPr="007065F9">
        <w:rPr>
          <w:lang w:val="en-GB"/>
        </w:rPr>
        <w:t xml:space="preserve">energy </w:t>
      </w:r>
      <w:r>
        <w:rPr>
          <w:lang w:val="en-GB"/>
        </w:rPr>
        <w:t xml:space="preserve">spent on </w:t>
      </w:r>
      <w:r w:rsidRPr="007065F9">
        <w:rPr>
          <w:lang w:val="en-GB"/>
        </w:rPr>
        <w:t>purification</w:t>
      </w:r>
      <w:r>
        <w:rPr>
          <w:lang w:val="en-GB"/>
        </w:rPr>
        <w:t>.</w:t>
      </w:r>
      <w:r w:rsidRPr="007065F9">
        <w:rPr>
          <w:lang w:val="en-GB"/>
        </w:rPr>
        <w:t xml:space="preserve"> Water and hydrogen are introduced </w:t>
      </w:r>
      <w:r>
        <w:rPr>
          <w:lang w:val="en-GB"/>
        </w:rPr>
        <w:t>in the system in</w:t>
      </w:r>
      <w:r w:rsidRPr="007065F9">
        <w:rPr>
          <w:lang w:val="en-GB"/>
        </w:rPr>
        <w:t xml:space="preserve"> large quantit</w:t>
      </w:r>
      <w:r>
        <w:rPr>
          <w:lang w:val="en-GB"/>
        </w:rPr>
        <w:t>ies</w:t>
      </w:r>
      <w:r>
        <w:rPr>
          <w:lang w:val="en-GB"/>
        </w:rPr>
        <w:t xml:space="preserve"> to </w:t>
      </w:r>
      <w:r>
        <w:rPr>
          <w:lang w:val="en-GB"/>
        </w:rPr>
        <w:t xml:space="preserve">improve flow conditions and to </w:t>
      </w:r>
      <w:r>
        <w:rPr>
          <w:lang w:val="en-GB"/>
        </w:rPr>
        <w:t xml:space="preserve">promote the reaction, </w:t>
      </w:r>
      <w:r>
        <w:rPr>
          <w:lang w:val="en-GB"/>
        </w:rPr>
        <w:t>but</w:t>
      </w:r>
      <w:r>
        <w:rPr>
          <w:lang w:val="en-GB"/>
        </w:rPr>
        <w:t xml:space="preserve"> their weight fractions in the product stream, </w:t>
      </w:r>
      <w:r w:rsidRPr="009A1102">
        <w:rPr>
          <w:lang w:val="en-GB"/>
        </w:rPr>
        <w:t>w</w:t>
      </w:r>
      <w:r w:rsidRPr="009A1102">
        <w:rPr>
          <w:vertAlign w:val="subscript"/>
          <w:lang w:val="en-GB"/>
        </w:rPr>
        <w:t>H2</w:t>
      </w:r>
      <w:r w:rsidRPr="009A1102">
        <w:rPr>
          <w:lang w:val="en-GB"/>
        </w:rPr>
        <w:t xml:space="preserve"> and w</w:t>
      </w:r>
      <w:r w:rsidRPr="009A1102">
        <w:rPr>
          <w:vertAlign w:val="subscript"/>
          <w:lang w:val="en-GB"/>
        </w:rPr>
        <w:t>H2O</w:t>
      </w:r>
      <w:r w:rsidRPr="009A1102">
        <w:rPr>
          <w:lang w:val="en-GB"/>
        </w:rPr>
        <w:t>,</w:t>
      </w:r>
      <w:r>
        <w:rPr>
          <w:lang w:val="en-GB"/>
        </w:rPr>
        <w:t xml:space="preserve"> should be minimized to lower their separation costs. </w:t>
      </w:r>
      <w:r>
        <w:rPr>
          <w:lang w:val="en-GB"/>
        </w:rPr>
        <w:fldChar w:fldCharType="begin"/>
      </w:r>
      <w:r>
        <w:rPr>
          <w:lang w:val="en-GB"/>
        </w:rPr>
        <w:instrText xml:space="preserve"> REF _Ref1167396 \h </w:instrText>
      </w:r>
      <w:r>
        <w:rPr>
          <w:lang w:val="en-GB"/>
        </w:rPr>
      </w:r>
      <w:r>
        <w:rPr>
          <w:lang w:val="en-GB"/>
        </w:rPr>
        <w:fldChar w:fldCharType="separate"/>
      </w:r>
      <w:r w:rsidR="00D0006A" w:rsidRPr="00267F70">
        <w:t xml:space="preserve">Figure </w:t>
      </w:r>
      <w:r w:rsidR="00D0006A">
        <w:rPr>
          <w:noProof/>
        </w:rPr>
        <w:t>4</w:t>
      </w:r>
      <w:r>
        <w:rPr>
          <w:lang w:val="en-GB"/>
        </w:rPr>
        <w:fldChar w:fldCharType="end"/>
      </w:r>
      <w:r>
        <w:rPr>
          <w:lang w:val="en-GB"/>
        </w:rPr>
        <w:t xml:space="preserve">a shows how water is by far the predominant compound on the product stream, because the reactions mostly produce it. Hydrogen, on the other hand, is largely consumed by all reactions in the network, and thus has lower </w:t>
      </w:r>
      <w:r>
        <w:rPr>
          <w:lang w:val="en-GB"/>
        </w:rPr>
        <w:t>weight fractions</w:t>
      </w:r>
      <w:r>
        <w:rPr>
          <w:lang w:val="en-GB"/>
        </w:rPr>
        <w:t xml:space="preserve"> than the main products on </w:t>
      </w:r>
      <w:r>
        <w:rPr>
          <w:lang w:val="en-GB"/>
        </w:rPr>
        <w:fldChar w:fldCharType="begin"/>
      </w:r>
      <w:r>
        <w:rPr>
          <w:lang w:val="en-GB"/>
        </w:rPr>
        <w:instrText xml:space="preserve"> REF _Ref1164224 \h </w:instrText>
      </w:r>
      <w:r>
        <w:rPr>
          <w:lang w:val="en-GB"/>
        </w:rPr>
      </w:r>
      <w:r>
        <w:rPr>
          <w:lang w:val="en-GB"/>
        </w:rPr>
        <w:fldChar w:fldCharType="separate"/>
      </w:r>
      <w:r w:rsidR="00D0006A" w:rsidRPr="00267F70">
        <w:t xml:space="preserve">Figure </w:t>
      </w:r>
      <w:r w:rsidR="00D0006A">
        <w:rPr>
          <w:noProof/>
        </w:rPr>
        <w:t>3</w:t>
      </w:r>
      <w:r>
        <w:rPr>
          <w:lang w:val="en-GB"/>
        </w:rPr>
        <w:fldChar w:fldCharType="end"/>
      </w:r>
      <w:r>
        <w:rPr>
          <w:lang w:val="en-GB"/>
        </w:rPr>
        <w:t xml:space="preserve"> on the upgraded case, although some of the maximum </w:t>
      </w:r>
      <w:r>
        <w:rPr>
          <w:lang w:val="en-GB"/>
        </w:rPr>
        <w:t>w</w:t>
      </w:r>
      <w:r w:rsidRPr="00396CC6">
        <w:rPr>
          <w:vertAlign w:val="subscript"/>
          <w:lang w:val="en-GB"/>
        </w:rPr>
        <w:t>H2</w:t>
      </w:r>
      <w:r>
        <w:rPr>
          <w:lang w:val="en-GB"/>
        </w:rPr>
        <w:t xml:space="preserve"> values (</w:t>
      </w:r>
      <w:r>
        <w:rPr>
          <w:lang w:val="en-GB"/>
        </w:rPr>
        <w:fldChar w:fldCharType="begin"/>
      </w:r>
      <w:r>
        <w:rPr>
          <w:lang w:val="en-GB"/>
        </w:rPr>
        <w:instrText xml:space="preserve"> REF _Ref1167396 \h </w:instrText>
      </w:r>
      <w:r>
        <w:rPr>
          <w:lang w:val="en-GB"/>
        </w:rPr>
      </w:r>
      <w:r>
        <w:rPr>
          <w:lang w:val="en-GB"/>
        </w:rPr>
        <w:fldChar w:fldCharType="separate"/>
      </w:r>
      <w:r w:rsidR="00D0006A" w:rsidRPr="00267F70">
        <w:t xml:space="preserve">Figure </w:t>
      </w:r>
      <w:r w:rsidR="00D0006A">
        <w:rPr>
          <w:noProof/>
        </w:rPr>
        <w:t>4</w:t>
      </w:r>
      <w:r>
        <w:rPr>
          <w:lang w:val="en-GB"/>
        </w:rPr>
        <w:fldChar w:fldCharType="end"/>
      </w:r>
      <w:r>
        <w:rPr>
          <w:lang w:val="en-GB"/>
        </w:rPr>
        <w:t xml:space="preserve">b) exceed them. </w:t>
      </w:r>
      <w:r>
        <w:rPr>
          <w:lang w:val="en-GB"/>
        </w:rPr>
        <w:fldChar w:fldCharType="begin"/>
      </w:r>
      <w:r>
        <w:rPr>
          <w:lang w:val="en-GB"/>
        </w:rPr>
        <w:instrText xml:space="preserve"> REF _Ref1167396 \h </w:instrText>
      </w:r>
      <w:r>
        <w:rPr>
          <w:lang w:val="en-GB"/>
        </w:rPr>
      </w:r>
      <w:r>
        <w:rPr>
          <w:lang w:val="en-GB"/>
        </w:rPr>
        <w:fldChar w:fldCharType="separate"/>
      </w:r>
      <w:r w:rsidR="00D0006A" w:rsidRPr="00267F70">
        <w:t xml:space="preserve">Figure </w:t>
      </w:r>
      <w:r w:rsidR="00D0006A">
        <w:rPr>
          <w:noProof/>
        </w:rPr>
        <w:t>4</w:t>
      </w:r>
      <w:r>
        <w:rPr>
          <w:lang w:val="en-GB"/>
        </w:rPr>
        <w:fldChar w:fldCharType="end"/>
      </w:r>
      <w:r>
        <w:rPr>
          <w:lang w:val="en-GB"/>
        </w:rPr>
        <w:t xml:space="preserve">a and </w:t>
      </w:r>
      <w:r>
        <w:rPr>
          <w:lang w:val="en-GB"/>
        </w:rPr>
        <w:fldChar w:fldCharType="begin"/>
      </w:r>
      <w:r>
        <w:rPr>
          <w:lang w:val="en-GB"/>
        </w:rPr>
        <w:instrText xml:space="preserve"> REF _Ref1167396 \h </w:instrText>
      </w:r>
      <w:r>
        <w:rPr>
          <w:lang w:val="en-GB"/>
        </w:rPr>
      </w:r>
      <w:r>
        <w:rPr>
          <w:lang w:val="en-GB"/>
        </w:rPr>
        <w:fldChar w:fldCharType="separate"/>
      </w:r>
      <w:r w:rsidR="00D0006A" w:rsidRPr="00267F70">
        <w:t xml:space="preserve">Figure </w:t>
      </w:r>
      <w:r w:rsidR="00D0006A">
        <w:rPr>
          <w:noProof/>
        </w:rPr>
        <w:t>4</w:t>
      </w:r>
      <w:r>
        <w:rPr>
          <w:lang w:val="en-GB"/>
        </w:rPr>
        <w:fldChar w:fldCharType="end"/>
      </w:r>
      <w:r>
        <w:rPr>
          <w:lang w:val="en-GB"/>
        </w:rPr>
        <w:t xml:space="preserve">b </w:t>
      </w:r>
      <w:proofErr w:type="gramStart"/>
      <w:r>
        <w:rPr>
          <w:lang w:val="en-GB"/>
        </w:rPr>
        <w:t>show</w:t>
      </w:r>
      <w:proofErr w:type="gramEnd"/>
      <w:r>
        <w:rPr>
          <w:lang w:val="en-GB"/>
        </w:rPr>
        <w:t xml:space="preserve"> a decreasing and an increasing trend in </w:t>
      </w:r>
      <w:r w:rsidRPr="009A1102">
        <w:rPr>
          <w:lang w:val="en-GB"/>
        </w:rPr>
        <w:t>w</w:t>
      </w:r>
      <w:r w:rsidRPr="009A1102">
        <w:rPr>
          <w:vertAlign w:val="subscript"/>
          <w:lang w:val="en-GB"/>
        </w:rPr>
        <w:t>H2O</w:t>
      </w:r>
      <w:r>
        <w:rPr>
          <w:lang w:val="en-GB"/>
        </w:rPr>
        <w:t xml:space="preserve"> </w:t>
      </w:r>
      <w:r w:rsidRPr="009A1102">
        <w:rPr>
          <w:lang w:val="en-GB"/>
        </w:rPr>
        <w:t>and w</w:t>
      </w:r>
      <w:r w:rsidRPr="009A1102">
        <w:rPr>
          <w:vertAlign w:val="subscript"/>
          <w:lang w:val="en-GB"/>
        </w:rPr>
        <w:t>H2</w:t>
      </w:r>
      <w:r>
        <w:rPr>
          <w:lang w:val="en-GB"/>
        </w:rPr>
        <w:t>, respectively.</w:t>
      </w:r>
    </w:p>
    <w:p w14:paraId="03F72AAE" w14:textId="1EBB1887" w:rsidR="006055CF" w:rsidRPr="006055CF" w:rsidRDefault="006055CF" w:rsidP="006055CF">
      <w:pPr>
        <w:pStyle w:val="CETBodytext"/>
        <w:rPr>
          <w:color w:val="000000" w:themeColor="text1"/>
          <w:lang w:val="en-GB"/>
        </w:rPr>
      </w:pPr>
      <w:r w:rsidRPr="006055CF">
        <w:rPr>
          <w:color w:val="000000" w:themeColor="text1"/>
          <w:lang w:val="en-GB"/>
        </w:rPr>
        <w:t>Since most reactions are exothermic, lower temperatures should lower w</w:t>
      </w:r>
      <w:r w:rsidRPr="006055CF">
        <w:rPr>
          <w:color w:val="000000" w:themeColor="text1"/>
          <w:vertAlign w:val="subscript"/>
          <w:lang w:val="en-GB"/>
        </w:rPr>
        <w:t>H2</w:t>
      </w:r>
      <w:r w:rsidRPr="006055CF">
        <w:rPr>
          <w:color w:val="000000" w:themeColor="text1"/>
          <w:lang w:val="en-GB"/>
        </w:rPr>
        <w:t xml:space="preserve"> and increase w</w:t>
      </w:r>
      <w:r w:rsidRPr="006055CF">
        <w:rPr>
          <w:color w:val="000000" w:themeColor="text1"/>
          <w:vertAlign w:val="subscript"/>
          <w:lang w:val="en-GB"/>
        </w:rPr>
        <w:t>H2O</w:t>
      </w:r>
      <w:r w:rsidRPr="006055CF">
        <w:rPr>
          <w:color w:val="000000" w:themeColor="text1"/>
          <w:lang w:val="en-GB"/>
        </w:rPr>
        <w:t xml:space="preserve">, but they have shown not to change much with temperature or pressure within the studied ranges. As expected, maximum and minimum </w:t>
      </w:r>
      <w:r w:rsidRPr="006055CF">
        <w:rPr>
          <w:color w:val="000000" w:themeColor="text1"/>
        </w:rPr>
        <w:t>H</w:t>
      </w:r>
      <w:r w:rsidRPr="006055CF">
        <w:rPr>
          <w:color w:val="000000" w:themeColor="text1"/>
          <w:vertAlign w:val="subscript"/>
        </w:rPr>
        <w:t>2</w:t>
      </w:r>
      <w:r w:rsidRPr="006055CF">
        <w:rPr>
          <w:color w:val="000000" w:themeColor="text1"/>
        </w:rPr>
        <w:t xml:space="preserve">/GLU values lead to </w:t>
      </w:r>
      <w:r w:rsidRPr="006055CF">
        <w:rPr>
          <w:color w:val="000000" w:themeColor="text1"/>
          <w:lang w:val="en-GB"/>
        </w:rPr>
        <w:t>maximum and minimum w</w:t>
      </w:r>
      <w:r w:rsidRPr="006055CF">
        <w:rPr>
          <w:color w:val="000000" w:themeColor="text1"/>
          <w:vertAlign w:val="subscript"/>
          <w:lang w:val="en-GB"/>
        </w:rPr>
        <w:t>H2</w:t>
      </w:r>
      <w:r w:rsidRPr="006055CF">
        <w:rPr>
          <w:color w:val="000000" w:themeColor="text1"/>
          <w:lang w:val="en-GB"/>
        </w:rPr>
        <w:t xml:space="preserve"> </w:t>
      </w:r>
      <w:r w:rsidRPr="006055CF">
        <w:rPr>
          <w:color w:val="000000" w:themeColor="text1"/>
        </w:rPr>
        <w:t xml:space="preserve">and </w:t>
      </w:r>
      <w:r w:rsidRPr="006055CF">
        <w:rPr>
          <w:color w:val="000000" w:themeColor="text1"/>
          <w:lang w:val="en-GB"/>
        </w:rPr>
        <w:t xml:space="preserve">minimum and maximum </w:t>
      </w:r>
      <w:r w:rsidRPr="006055CF">
        <w:rPr>
          <w:color w:val="000000" w:themeColor="text1"/>
        </w:rPr>
        <w:t>w</w:t>
      </w:r>
      <w:r w:rsidRPr="006055CF">
        <w:rPr>
          <w:color w:val="000000" w:themeColor="text1"/>
          <w:vertAlign w:val="subscript"/>
        </w:rPr>
        <w:t>GLU</w:t>
      </w:r>
      <w:r w:rsidRPr="006055CF">
        <w:rPr>
          <w:color w:val="000000" w:themeColor="text1"/>
          <w:lang w:val="en-GB"/>
        </w:rPr>
        <w:t xml:space="preserve"> values lead to maximum and minimum S</w:t>
      </w:r>
      <w:r w:rsidRPr="006055CF">
        <w:rPr>
          <w:color w:val="000000" w:themeColor="text1"/>
          <w:vertAlign w:val="subscript"/>
          <w:lang w:val="en-GB"/>
        </w:rPr>
        <w:t>H2O</w:t>
      </w:r>
      <w:r w:rsidRPr="006055CF">
        <w:rPr>
          <w:color w:val="000000" w:themeColor="text1"/>
          <w:lang w:val="en-GB"/>
        </w:rPr>
        <w:t>, respectively. An increase in w</w:t>
      </w:r>
      <w:r w:rsidRPr="006055CF">
        <w:rPr>
          <w:color w:val="000000" w:themeColor="text1"/>
          <w:vertAlign w:val="subscript"/>
          <w:lang w:val="en-GB"/>
        </w:rPr>
        <w:t>H2</w:t>
      </w:r>
      <w:r w:rsidRPr="006055CF">
        <w:rPr>
          <w:color w:val="000000" w:themeColor="text1"/>
          <w:lang w:val="en-GB"/>
        </w:rPr>
        <w:t xml:space="preserve"> and w</w:t>
      </w:r>
      <w:r w:rsidRPr="006055CF">
        <w:rPr>
          <w:color w:val="000000" w:themeColor="text1"/>
          <w:vertAlign w:val="subscript"/>
          <w:lang w:val="en-GB"/>
        </w:rPr>
        <w:t>H2O</w:t>
      </w:r>
      <w:r w:rsidRPr="006055CF">
        <w:rPr>
          <w:color w:val="000000" w:themeColor="text1"/>
          <w:lang w:val="en-GB"/>
        </w:rPr>
        <w:t xml:space="preserve"> notably lowers the rest of the products’ </w:t>
      </w:r>
      <w:proofErr w:type="spellStart"/>
      <w:r w:rsidRPr="006055CF">
        <w:rPr>
          <w:color w:val="000000" w:themeColor="text1"/>
          <w:lang w:val="en-GB"/>
        </w:rPr>
        <w:t>selectivities</w:t>
      </w:r>
      <w:proofErr w:type="spellEnd"/>
      <w:r w:rsidRPr="006055CF">
        <w:rPr>
          <w:color w:val="000000" w:themeColor="text1"/>
          <w:lang w:val="en-GB"/>
        </w:rPr>
        <w:t>. Water selectivity, however, appears to significantly decrease with increased H</w:t>
      </w:r>
      <w:r w:rsidRPr="006055CF">
        <w:rPr>
          <w:color w:val="000000" w:themeColor="text1"/>
          <w:vertAlign w:val="subscript"/>
          <w:lang w:val="en-GB"/>
        </w:rPr>
        <w:t>2</w:t>
      </w:r>
      <w:r w:rsidRPr="006055CF">
        <w:rPr>
          <w:color w:val="000000" w:themeColor="text1"/>
          <w:lang w:val="en-GB"/>
        </w:rPr>
        <w:t xml:space="preserve"> feed, especially for higher </w:t>
      </w:r>
      <w:proofErr w:type="spellStart"/>
      <w:r w:rsidRPr="006055CF">
        <w:rPr>
          <w:color w:val="000000" w:themeColor="text1"/>
          <w:lang w:val="en-GB"/>
        </w:rPr>
        <w:t>w</w:t>
      </w:r>
      <w:r w:rsidRPr="006055CF">
        <w:rPr>
          <w:color w:val="000000" w:themeColor="text1"/>
          <w:vertAlign w:val="subscript"/>
          <w:lang w:val="en-GB"/>
        </w:rPr>
        <w:t>GLU</w:t>
      </w:r>
      <w:proofErr w:type="spellEnd"/>
      <w:r w:rsidRPr="006055CF">
        <w:rPr>
          <w:color w:val="000000" w:themeColor="text1"/>
          <w:lang w:val="en-GB"/>
        </w:rPr>
        <w:t xml:space="preserve">, as shown in </w:t>
      </w:r>
      <w:r w:rsidRPr="006055CF">
        <w:rPr>
          <w:color w:val="000000" w:themeColor="text1"/>
          <w:lang w:val="en-GB"/>
        </w:rPr>
        <w:fldChar w:fldCharType="begin"/>
      </w:r>
      <w:r w:rsidRPr="006055CF">
        <w:rPr>
          <w:color w:val="000000" w:themeColor="text1"/>
          <w:lang w:val="en-GB"/>
        </w:rPr>
        <w:instrText xml:space="preserve"> REF _Ref1167396 \h </w:instrText>
      </w:r>
      <w:r w:rsidRPr="006055CF">
        <w:rPr>
          <w:color w:val="000000" w:themeColor="text1"/>
          <w:lang w:val="en-GB"/>
        </w:rPr>
      </w:r>
      <w:r w:rsidRPr="006055CF">
        <w:rPr>
          <w:color w:val="000000" w:themeColor="text1"/>
          <w:lang w:val="en-GB"/>
        </w:rPr>
        <w:fldChar w:fldCharType="separate"/>
      </w:r>
      <w:r w:rsidR="00D0006A" w:rsidRPr="00267F70">
        <w:t xml:space="preserve">Figure </w:t>
      </w:r>
      <w:r w:rsidR="00D0006A">
        <w:rPr>
          <w:noProof/>
        </w:rPr>
        <w:t>4</w:t>
      </w:r>
      <w:r w:rsidRPr="006055CF">
        <w:rPr>
          <w:color w:val="000000" w:themeColor="text1"/>
          <w:lang w:val="en-GB"/>
        </w:rPr>
        <w:fldChar w:fldCharType="end"/>
      </w:r>
      <w:r w:rsidRPr="006055CF">
        <w:rPr>
          <w:color w:val="000000" w:themeColor="text1"/>
          <w:lang w:val="en-GB"/>
        </w:rPr>
        <w:t>d. The values H</w:t>
      </w:r>
      <w:r w:rsidRPr="006055CF">
        <w:rPr>
          <w:color w:val="000000" w:themeColor="text1"/>
          <w:vertAlign w:val="subscript"/>
          <w:lang w:val="en-GB"/>
        </w:rPr>
        <w:t>2</w:t>
      </w:r>
      <w:r w:rsidRPr="006055CF">
        <w:rPr>
          <w:color w:val="000000" w:themeColor="text1"/>
          <w:lang w:val="en-GB"/>
        </w:rPr>
        <w:t xml:space="preserve">/GLU = 100 and </w:t>
      </w:r>
      <w:proofErr w:type="spellStart"/>
      <w:r w:rsidRPr="006055CF">
        <w:rPr>
          <w:color w:val="000000" w:themeColor="text1"/>
          <w:lang w:val="en-GB"/>
        </w:rPr>
        <w:t>w</w:t>
      </w:r>
      <w:r w:rsidRPr="006055CF">
        <w:rPr>
          <w:color w:val="000000" w:themeColor="text1"/>
          <w:vertAlign w:val="subscript"/>
          <w:lang w:val="en-GB"/>
        </w:rPr>
        <w:t>GLU</w:t>
      </w:r>
      <w:proofErr w:type="spellEnd"/>
      <w:r w:rsidRPr="006055CF">
        <w:rPr>
          <w:color w:val="000000" w:themeColor="text1"/>
          <w:lang w:val="en-GB"/>
        </w:rPr>
        <w:t xml:space="preserve"> = 60 </w:t>
      </w:r>
      <w:proofErr w:type="spellStart"/>
      <w:r w:rsidRPr="006055CF">
        <w:rPr>
          <w:color w:val="000000" w:themeColor="text1"/>
          <w:lang w:val="en-GB"/>
        </w:rPr>
        <w:t>wt</w:t>
      </w:r>
      <w:proofErr w:type="spellEnd"/>
      <w:r w:rsidRPr="006055CF">
        <w:rPr>
          <w:color w:val="000000" w:themeColor="text1"/>
          <w:lang w:val="en-GB"/>
        </w:rPr>
        <w:t xml:space="preserve"> % represent lower w</w:t>
      </w:r>
      <w:r w:rsidRPr="006055CF">
        <w:rPr>
          <w:color w:val="000000" w:themeColor="text1"/>
          <w:vertAlign w:val="subscript"/>
          <w:lang w:val="en-GB"/>
        </w:rPr>
        <w:t>H2O</w:t>
      </w:r>
      <w:r w:rsidRPr="006055CF">
        <w:rPr>
          <w:color w:val="000000" w:themeColor="text1"/>
          <w:lang w:val="en-GB"/>
        </w:rPr>
        <w:t xml:space="preserve"> (31.11 </w:t>
      </w:r>
      <w:proofErr w:type="spellStart"/>
      <w:r w:rsidRPr="006055CF">
        <w:rPr>
          <w:color w:val="000000" w:themeColor="text1"/>
          <w:lang w:val="en-GB"/>
        </w:rPr>
        <w:t>wt</w:t>
      </w:r>
      <w:proofErr w:type="spellEnd"/>
      <w:r w:rsidRPr="006055CF">
        <w:rPr>
          <w:color w:val="000000" w:themeColor="text1"/>
          <w:lang w:val="en-GB"/>
        </w:rPr>
        <w:t xml:space="preserve"> %) and higher w</w:t>
      </w:r>
      <w:r w:rsidRPr="006055CF">
        <w:rPr>
          <w:color w:val="000000" w:themeColor="text1"/>
          <w:vertAlign w:val="subscript"/>
          <w:lang w:val="en-GB"/>
        </w:rPr>
        <w:t>H2</w:t>
      </w:r>
      <w:r w:rsidRPr="006055CF">
        <w:rPr>
          <w:color w:val="000000" w:themeColor="text1"/>
          <w:lang w:val="en-GB"/>
        </w:rPr>
        <w:t xml:space="preserve"> (38.56 </w:t>
      </w:r>
      <w:proofErr w:type="spellStart"/>
      <w:r w:rsidRPr="006055CF">
        <w:rPr>
          <w:color w:val="000000" w:themeColor="text1"/>
          <w:lang w:val="en-GB"/>
        </w:rPr>
        <w:t>wt</w:t>
      </w:r>
      <w:proofErr w:type="spellEnd"/>
      <w:r w:rsidRPr="006055CF">
        <w:rPr>
          <w:color w:val="000000" w:themeColor="text1"/>
          <w:lang w:val="en-GB"/>
        </w:rPr>
        <w:t xml:space="preserve"> %), which are values that might be manageable from a process perspective.</w:t>
      </w:r>
    </w:p>
    <w:p w14:paraId="050A7694" w14:textId="760E8A32" w:rsidR="00892E47" w:rsidRDefault="00394D9B" w:rsidP="00892E47">
      <w:pPr>
        <w:pStyle w:val="CETBodytext"/>
        <w:rPr>
          <w:color w:val="7030A0"/>
          <w:lang w:val="en-GB"/>
        </w:rPr>
      </w:pPr>
      <w:r w:rsidRPr="00394D9B">
        <w:lastRenderedPageBreak/>
        <w:drawing>
          <wp:inline distT="0" distB="0" distL="0" distR="0" wp14:anchorId="59A172AF" wp14:editId="09803345">
            <wp:extent cx="5579745" cy="1687830"/>
            <wp:effectExtent l="0" t="0" r="1905" b="762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1687830"/>
                    </a:xfrm>
                    <a:prstGeom prst="rect">
                      <a:avLst/>
                    </a:prstGeom>
                    <a:noFill/>
                    <a:ln>
                      <a:noFill/>
                    </a:ln>
                  </pic:spPr>
                </pic:pic>
              </a:graphicData>
            </a:graphic>
          </wp:inline>
        </w:drawing>
      </w:r>
      <w:r w:rsidR="006950F5" w:rsidRPr="006950F5">
        <w:rPr>
          <w:color w:val="7030A0"/>
        </w:rPr>
        <w:t xml:space="preserve"> </w:t>
      </w:r>
    </w:p>
    <w:p w14:paraId="7D73C4A2" w14:textId="33488153" w:rsidR="00892E47" w:rsidRPr="00136E5D" w:rsidRDefault="00892E47" w:rsidP="00892E47">
      <w:pPr>
        <w:pStyle w:val="CETCaption"/>
      </w:pPr>
      <w:bookmarkStart w:id="8" w:name="_Ref1167396"/>
      <w:r w:rsidRPr="00267F70">
        <w:t xml:space="preserve">Figure </w:t>
      </w:r>
      <w:r w:rsidRPr="00267F70">
        <w:fldChar w:fldCharType="begin"/>
      </w:r>
      <w:r w:rsidRPr="00267F70">
        <w:instrText xml:space="preserve"> SEQ Figure \* ARABIC </w:instrText>
      </w:r>
      <w:r w:rsidRPr="00267F70">
        <w:fldChar w:fldCharType="separate"/>
      </w:r>
      <w:r w:rsidR="00D0006A">
        <w:rPr>
          <w:noProof/>
        </w:rPr>
        <w:t>4</w:t>
      </w:r>
      <w:r w:rsidRPr="00267F70">
        <w:fldChar w:fldCharType="end"/>
      </w:r>
      <w:bookmarkEnd w:id="8"/>
      <w:r w:rsidRPr="00267F70">
        <w:t xml:space="preserve">: </w:t>
      </w:r>
      <w:r w:rsidR="00286682">
        <w:t xml:space="preserve">Variables that influence production costs. a) </w:t>
      </w:r>
      <w:r w:rsidR="00272DA0">
        <w:t>Upgraded</w:t>
      </w:r>
      <w:r w:rsidR="00136E5D">
        <w:t xml:space="preserve"> case </w:t>
      </w:r>
      <w:r w:rsidR="00272DA0">
        <w:t xml:space="preserve">values </w:t>
      </w:r>
      <w:r w:rsidR="0005459B">
        <w:t>for</w:t>
      </w:r>
      <w:r w:rsidR="00272DA0">
        <w:t xml:space="preserve"> </w:t>
      </w:r>
      <w:r w:rsidR="00272DA0" w:rsidRPr="009A1102">
        <w:t>w</w:t>
      </w:r>
      <w:r w:rsidR="00272DA0" w:rsidRPr="009A1102">
        <w:rPr>
          <w:vertAlign w:val="subscript"/>
        </w:rPr>
        <w:t>H2O</w:t>
      </w:r>
      <w:r w:rsidR="0005459B">
        <w:rPr>
          <w:vertAlign w:val="subscript"/>
        </w:rPr>
        <w:t xml:space="preserve"> </w:t>
      </w:r>
      <w:r w:rsidR="0005459B">
        <w:t>and</w:t>
      </w:r>
      <w:r w:rsidR="00272DA0" w:rsidRPr="009A1102">
        <w:t xml:space="preserve"> w</w:t>
      </w:r>
      <w:r w:rsidR="00272DA0" w:rsidRPr="009A1102">
        <w:rPr>
          <w:vertAlign w:val="subscript"/>
        </w:rPr>
        <w:t>H2</w:t>
      </w:r>
      <w:r w:rsidR="00286682">
        <w:t>; b)</w:t>
      </w:r>
      <w:r w:rsidR="00136E5D">
        <w:t xml:space="preserve"> Maximum and minimum values of </w:t>
      </w:r>
      <w:r w:rsidR="00112CE9" w:rsidRPr="009A1102">
        <w:t>w</w:t>
      </w:r>
      <w:r w:rsidR="00136E5D" w:rsidRPr="009A1102">
        <w:rPr>
          <w:vertAlign w:val="subscript"/>
        </w:rPr>
        <w:t>H2O</w:t>
      </w:r>
      <w:r w:rsidR="0005459B">
        <w:t xml:space="preserve"> and</w:t>
      </w:r>
      <w:r w:rsidR="00136E5D" w:rsidRPr="009A1102">
        <w:t xml:space="preserve"> </w:t>
      </w:r>
      <w:r w:rsidR="00112CE9" w:rsidRPr="009A1102">
        <w:t>w</w:t>
      </w:r>
      <w:r w:rsidR="00136E5D" w:rsidRPr="009A1102">
        <w:rPr>
          <w:vertAlign w:val="subscript"/>
        </w:rPr>
        <w:t>H2</w:t>
      </w:r>
      <w:r w:rsidR="0005459B">
        <w:t xml:space="preserve"> found during SA1 and SA2</w:t>
      </w:r>
      <w:r w:rsidR="00136E5D">
        <w:t xml:space="preserve">; </w:t>
      </w:r>
      <w:r w:rsidR="00A912B7">
        <w:t>c</w:t>
      </w:r>
      <w:r w:rsidR="004A5BFA" w:rsidRPr="00272DA0">
        <w:t xml:space="preserve">) </w:t>
      </w:r>
      <w:r w:rsidR="00BB3481" w:rsidRPr="00272DA0">
        <w:t xml:space="preserve">SA2 to assess </w:t>
      </w:r>
      <w:r w:rsidR="00112CE9" w:rsidRPr="00272DA0">
        <w:t>w</w:t>
      </w:r>
      <w:r w:rsidR="00C1001F" w:rsidRPr="00272DA0">
        <w:rPr>
          <w:vertAlign w:val="subscript"/>
        </w:rPr>
        <w:t>H2</w:t>
      </w:r>
      <w:r w:rsidR="00C1001F" w:rsidRPr="00272DA0">
        <w:t xml:space="preserve"> on Network 2b.</w:t>
      </w:r>
    </w:p>
    <w:p w14:paraId="615B25D6" w14:textId="59137053" w:rsidR="00A65BEB" w:rsidRDefault="004470C1" w:rsidP="009D7882">
      <w:pPr>
        <w:pStyle w:val="CETBodytext"/>
        <w:rPr>
          <w:lang w:val="en-GB"/>
        </w:rPr>
      </w:pPr>
      <w:r w:rsidRPr="00EF5A69">
        <w:rPr>
          <w:lang w:val="en-GB"/>
        </w:rPr>
        <w:t>Temperature and pressure se</w:t>
      </w:r>
      <w:r>
        <w:rPr>
          <w:lang w:val="en-GB"/>
        </w:rPr>
        <w:t>em to have little effect on the</w:t>
      </w:r>
      <w:r w:rsidRPr="00EF5A69">
        <w:rPr>
          <w:lang w:val="en-GB"/>
        </w:rPr>
        <w:t xml:space="preserve"> </w:t>
      </w:r>
      <w:r>
        <w:rPr>
          <w:lang w:val="en-GB"/>
        </w:rPr>
        <w:t xml:space="preserve">selectivity of degradation products. </w:t>
      </w:r>
      <w:r w:rsidR="00427794" w:rsidRPr="00427794">
        <w:rPr>
          <w:lang w:val="en-GB"/>
        </w:rPr>
        <w:t>In scenario 2a (</w:t>
      </w:r>
      <w:r w:rsidR="009D7882" w:rsidRPr="00427794">
        <w:rPr>
          <w:lang w:val="en-GB"/>
        </w:rPr>
        <w:t xml:space="preserve">main products found in catalytic research on </w:t>
      </w:r>
      <w:r w:rsidR="00682CB3" w:rsidRPr="00427794">
        <w:rPr>
          <w:lang w:val="en-GB"/>
        </w:rPr>
        <w:t>GLU</w:t>
      </w:r>
      <w:r w:rsidR="009D7882" w:rsidRPr="00427794">
        <w:rPr>
          <w:lang w:val="en-GB"/>
        </w:rPr>
        <w:t xml:space="preserve"> hydrogenolysis</w:t>
      </w:r>
      <w:r w:rsidR="00427794" w:rsidRPr="00427794">
        <w:rPr>
          <w:lang w:val="en-GB"/>
        </w:rPr>
        <w:t>)</w:t>
      </w:r>
      <w:r w:rsidR="009D7882" w:rsidRPr="00427794">
        <w:rPr>
          <w:lang w:val="en-GB"/>
        </w:rPr>
        <w:t xml:space="preserve">, </w:t>
      </w:r>
      <w:r w:rsidR="009D7882" w:rsidRPr="00A65BEB">
        <w:rPr>
          <w:lang w:val="en-GB"/>
        </w:rPr>
        <w:t xml:space="preserve">1,2-BDO has by far the highest selectivity, explained by its </w:t>
      </w:r>
      <w:r w:rsidR="009A1102">
        <w:rPr>
          <w:lang w:val="en-GB"/>
        </w:rPr>
        <w:t>second</w:t>
      </w:r>
      <w:r w:rsidR="00BD6C0E">
        <w:rPr>
          <w:lang w:val="en-GB"/>
        </w:rPr>
        <w:t>-</w:t>
      </w:r>
      <w:r w:rsidR="009D7882" w:rsidRPr="00A65BEB">
        <w:rPr>
          <w:lang w:val="en-GB"/>
        </w:rPr>
        <w:t>highest equilibrium constants</w:t>
      </w:r>
      <w:r w:rsidR="00EF5A69" w:rsidRPr="00A65BEB">
        <w:rPr>
          <w:lang w:val="en-GB"/>
        </w:rPr>
        <w:t>.</w:t>
      </w:r>
      <w:r w:rsidR="009D7882" w:rsidRPr="00A65BEB">
        <w:rPr>
          <w:lang w:val="en-GB"/>
        </w:rPr>
        <w:t xml:space="preserve"> </w:t>
      </w:r>
      <w:r w:rsidR="00EF5A69" w:rsidRPr="00A65BEB">
        <w:rPr>
          <w:lang w:val="en-GB"/>
        </w:rPr>
        <w:t>It</w:t>
      </w:r>
      <w:r w:rsidR="009D7882" w:rsidRPr="00A65BEB">
        <w:rPr>
          <w:lang w:val="en-GB"/>
        </w:rPr>
        <w:t xml:space="preserve"> has been found</w:t>
      </w:r>
      <w:r w:rsidR="00EF5A69" w:rsidRPr="00A65BEB">
        <w:rPr>
          <w:lang w:val="en-GB"/>
        </w:rPr>
        <w:t xml:space="preserve"> in </w:t>
      </w:r>
      <w:r w:rsidR="00BD6C0E">
        <w:rPr>
          <w:lang w:val="en-GB"/>
        </w:rPr>
        <w:t>significant</w:t>
      </w:r>
      <w:r w:rsidR="00EF5A69" w:rsidRPr="00A65BEB">
        <w:rPr>
          <w:lang w:val="en-GB"/>
        </w:rPr>
        <w:t xml:space="preserve"> amounts</w:t>
      </w:r>
      <w:r w:rsidR="009D7882" w:rsidRPr="00A65BEB">
        <w:rPr>
          <w:lang w:val="en-GB"/>
        </w:rPr>
        <w:t xml:space="preserve"> among</w:t>
      </w:r>
      <w:r w:rsidR="00BD6C0E">
        <w:rPr>
          <w:lang w:val="en-GB"/>
        </w:rPr>
        <w:t>st</w:t>
      </w:r>
      <w:r w:rsidR="009D7882" w:rsidRPr="00A65BEB">
        <w:rPr>
          <w:lang w:val="en-GB"/>
        </w:rPr>
        <w:t xml:space="preserve"> </w:t>
      </w:r>
      <w:r w:rsidR="00EF5A69" w:rsidRPr="00A65BEB">
        <w:rPr>
          <w:lang w:val="en-GB"/>
        </w:rPr>
        <w:t xml:space="preserve">experimental </w:t>
      </w:r>
      <w:r w:rsidR="009D7882" w:rsidRPr="00A65BEB">
        <w:rPr>
          <w:lang w:val="en-GB"/>
        </w:rPr>
        <w:t>product streams</w:t>
      </w:r>
      <w:r w:rsidR="00EF5A69" w:rsidRPr="00A65BEB">
        <w:rPr>
          <w:lang w:val="en-GB"/>
        </w:rPr>
        <w:t xml:space="preserve"> </w:t>
      </w:r>
      <w:r w:rsidR="00EF5A69" w:rsidRPr="00A65BEB">
        <w:rPr>
          <w:lang w:val="en-GB"/>
        </w:rPr>
        <w:fldChar w:fldCharType="begin" w:fldLock="1"/>
      </w:r>
      <w:r w:rsidR="00A65BEB">
        <w:rPr>
          <w:lang w:val="en-GB"/>
        </w:rPr>
        <w:instrText>ADDIN CSL_CITATION {"citationItems":[{"id":"ITEM-1","itemData":{"DOI":"10.1021/acscatal.6b03469","ISSN":"2155-5435","abstract":"Catalytic conversion of cellulose to ethylene glycol (EG) or 1,2-propylene glycol (1,2-PG) represents an attractive approach in the valorization of biomass, due to the high atom economy of the reaction process and large market demand of the diol products. The one-pot catalytic conversion of cellulose is a complex reaction network, comprising hydrolysis, retro-aldol condensation, hydrogenation, isomerization, de-hydrogenation, thermal side reactions, etc. Besides EG and 1,2-PG, a variety of by-products such as sorbitol, mannitol, erythritol, 1,2-butanediol and glycerol might be co-produced. The key point for obtaining high selectivity for EG or 1,2-PG lies in effective control of major reaction steps in the reaction network proceeding at matching rates. In this prospective, we depict the general reaction route for glycols production from cellulose, and summarize the active elements for retro-aldol condensation reaction, which is the determinant step for the formation of C2 and C3 intermediates. The in-situ...","author":[{"dropping-particle":"","family":"Zheng","given":"Mingyuan","non-dropping-particle":"","parse-names":false,"suffix":""},{"dropping-particle":"","family":"Pang","given":"Jifeng","non-dropping-particle":"","parse-names":false,"suffix":""},{"dropping-particle":"","family":"Sun","given":"Ruiyan","non-dropping-particle":"","parse-names":false,"suffix":""},{"dropping-particle":"","family":"Wang","given":"Aiqin","non-dropping-particle":"","parse-names":false,"suffix":""},{"dropping-particle":"","family":"Zhang","given":"Tao","non-dropping-particle":"","parse-names":false,"suffix":""}],"container-title":"ACS Catalysis","id":"ITEM-1","issue":"3","issued":{"date-parts":[["2017"]]},"note":"**SELECTIVITY, in this article, means yield.\noverview of challenges in catalytic conversion of cellulose\noverview of and perspectives for the study of catalysts, product selectivity, reaction mechanism and practical applications of cellulose to diols (EG, 1,2-PD) conversion via retro-aldol condensation reaction (determinant step, core step in the reaction network for EG and 1,2-PD formation, consists of conversion of C6 sugars to C2 and C3 intermediates)\n*One-pot conversion of cellulose\n1) hydrolysis of cellulose to polysaccharides and sugar monomers under mild conditions\n2) complex set of reactions (at least 8) with inumerous intermediate/byproducts (about 20) -&amp;gt; control of steps occurring at the same rate (EG and 1,2-PD formation) for effective and selective catalysis to C2 or C3 intermediates.","page":"1939-1954","title":"Selectivity Control for Cellulose to Diols: Dancing on Eggs","type":"article-journal","volume":"7"},"uris":["http://www.mendeley.com/documents/?uuid=fa4a034b-c60d-457a-8a75-1dc8ef327552"]}],"mendeley":{"formattedCitation":"(Zheng et al., 2017)","plainTextFormattedCitation":"(Zheng et al., 2017)","previouslyFormattedCitation":"(Zheng et al., 2017)"},"properties":{"noteIndex":0},"schema":"https://github.com/citation-style-language/schema/raw/master/csl-citation.json"}</w:instrText>
      </w:r>
      <w:r w:rsidR="00EF5A69" w:rsidRPr="00A65BEB">
        <w:rPr>
          <w:lang w:val="en-GB"/>
        </w:rPr>
        <w:fldChar w:fldCharType="separate"/>
      </w:r>
      <w:r w:rsidR="00EF5A69" w:rsidRPr="00A65BEB">
        <w:rPr>
          <w:noProof/>
          <w:lang w:val="en-GB"/>
        </w:rPr>
        <w:t>(Zheng et al., 2017)</w:t>
      </w:r>
      <w:r w:rsidR="00EF5A69" w:rsidRPr="00A65BEB">
        <w:rPr>
          <w:lang w:val="en-GB"/>
        </w:rPr>
        <w:fldChar w:fldCharType="end"/>
      </w:r>
      <w:r w:rsidR="009D7882" w:rsidRPr="00A65BEB">
        <w:rPr>
          <w:lang w:val="en-GB"/>
        </w:rPr>
        <w:t xml:space="preserve"> and that indicates the need to </w:t>
      </w:r>
      <w:r w:rsidR="00EF5A69" w:rsidRPr="00A65BEB">
        <w:rPr>
          <w:lang w:val="en-GB"/>
        </w:rPr>
        <w:t>design</w:t>
      </w:r>
      <w:r w:rsidR="009D7882" w:rsidRPr="00A65BEB">
        <w:rPr>
          <w:lang w:val="en-GB"/>
        </w:rPr>
        <w:t xml:space="preserve"> catalysts that </w:t>
      </w:r>
      <w:r w:rsidR="00482D35">
        <w:rPr>
          <w:lang w:val="en-GB"/>
        </w:rPr>
        <w:t>prevent</w:t>
      </w:r>
      <w:r w:rsidR="009D7882" w:rsidRPr="00A65BEB">
        <w:rPr>
          <w:lang w:val="en-GB"/>
        </w:rPr>
        <w:t xml:space="preserve"> </w:t>
      </w:r>
      <w:r w:rsidR="00EF5A69" w:rsidRPr="00A65BEB">
        <w:rPr>
          <w:lang w:val="en-GB"/>
        </w:rPr>
        <w:t>its formation</w:t>
      </w:r>
      <w:r w:rsidR="009D7882" w:rsidRPr="00A65BEB">
        <w:rPr>
          <w:lang w:val="en-GB"/>
        </w:rPr>
        <w:t xml:space="preserve"> </w:t>
      </w:r>
      <w:r w:rsidR="00BD6C0E">
        <w:rPr>
          <w:lang w:val="en-GB"/>
        </w:rPr>
        <w:t xml:space="preserve">from occurring </w:t>
      </w:r>
      <w:r w:rsidR="00B91826">
        <w:rPr>
          <w:lang w:val="en-GB"/>
        </w:rPr>
        <w:t>when targeting 1,2-PDO formation</w:t>
      </w:r>
      <w:r w:rsidR="009D7882" w:rsidRPr="00A65BEB">
        <w:rPr>
          <w:lang w:val="en-GB"/>
        </w:rPr>
        <w:t>.</w:t>
      </w:r>
      <w:r w:rsidR="00EF5A69" w:rsidRPr="00A65BEB">
        <w:rPr>
          <w:lang w:val="en-GB"/>
        </w:rPr>
        <w:t xml:space="preserve"> I</w:t>
      </w:r>
      <w:r w:rsidR="00A65BEB" w:rsidRPr="00A65BEB">
        <w:rPr>
          <w:lang w:val="en-GB"/>
        </w:rPr>
        <w:t xml:space="preserve">n </w:t>
      </w:r>
      <w:r w:rsidR="00A65BEB">
        <w:rPr>
          <w:lang w:val="en-GB"/>
        </w:rPr>
        <w:t>network</w:t>
      </w:r>
      <w:r w:rsidR="00A65BEB" w:rsidRPr="00A65BEB">
        <w:rPr>
          <w:lang w:val="en-GB"/>
        </w:rPr>
        <w:t xml:space="preserve"> 2a, i</w:t>
      </w:r>
      <w:r w:rsidR="00EF5A69" w:rsidRPr="00A65BEB">
        <w:rPr>
          <w:lang w:val="en-GB"/>
        </w:rPr>
        <w:t xml:space="preserve">ts selectivity is lowered </w:t>
      </w:r>
      <w:r w:rsidR="009A1102">
        <w:rPr>
          <w:lang w:val="en-GB"/>
        </w:rPr>
        <w:t>very slightly</w:t>
      </w:r>
      <w:r w:rsidR="00EF5A69" w:rsidRPr="00A65BEB">
        <w:rPr>
          <w:lang w:val="en-GB"/>
        </w:rPr>
        <w:t xml:space="preserve"> </w:t>
      </w:r>
      <w:r w:rsidR="0070448E">
        <w:rPr>
          <w:lang w:val="en-GB"/>
        </w:rPr>
        <w:t>at</w:t>
      </w:r>
      <w:r w:rsidR="00EF5A69" w:rsidRPr="00A65BEB">
        <w:rPr>
          <w:lang w:val="en-GB"/>
        </w:rPr>
        <w:t xml:space="preserve"> high temperatures and low pressures.</w:t>
      </w:r>
      <w:r w:rsidR="009D7882" w:rsidRPr="00A65BEB">
        <w:rPr>
          <w:lang w:val="en-GB"/>
        </w:rPr>
        <w:t xml:space="preserve"> </w:t>
      </w:r>
    </w:p>
    <w:p w14:paraId="65E557F2" w14:textId="4E76508D" w:rsidR="009D7882" w:rsidRPr="000B4FF3" w:rsidRDefault="00D517D4" w:rsidP="009D7882">
      <w:pPr>
        <w:pStyle w:val="CETBodytext"/>
        <w:rPr>
          <w:lang w:val="en-GB"/>
        </w:rPr>
      </w:pPr>
      <w:r w:rsidRPr="00A65BEB">
        <w:rPr>
          <w:lang w:val="en-GB"/>
        </w:rPr>
        <w:t>Network 2</w:t>
      </w:r>
      <w:r w:rsidR="00EF5A69" w:rsidRPr="00A65BEB">
        <w:rPr>
          <w:lang w:val="en-GB"/>
        </w:rPr>
        <w:t>b</w:t>
      </w:r>
      <w:r w:rsidR="009D7882" w:rsidRPr="00A65BEB">
        <w:rPr>
          <w:lang w:val="en-GB"/>
        </w:rPr>
        <w:t xml:space="preserve"> disregard</w:t>
      </w:r>
      <w:r w:rsidRPr="00A65BEB">
        <w:rPr>
          <w:lang w:val="en-GB"/>
        </w:rPr>
        <w:t>s</w:t>
      </w:r>
      <w:r w:rsidR="009D7882" w:rsidRPr="00A65BEB">
        <w:rPr>
          <w:lang w:val="en-GB"/>
        </w:rPr>
        <w:t xml:space="preserve"> its production to </w:t>
      </w:r>
      <w:r w:rsidR="00BD6C0E" w:rsidRPr="00A65BEB">
        <w:rPr>
          <w:lang w:val="en-GB"/>
        </w:rPr>
        <w:t>analy</w:t>
      </w:r>
      <w:r w:rsidR="00BD6C0E">
        <w:rPr>
          <w:lang w:val="en-GB"/>
        </w:rPr>
        <w:t>s</w:t>
      </w:r>
      <w:r w:rsidR="00BD6C0E" w:rsidRPr="00A65BEB">
        <w:rPr>
          <w:lang w:val="en-GB"/>
        </w:rPr>
        <w:t>e</w:t>
      </w:r>
      <w:r w:rsidR="009D7882" w:rsidRPr="00A65BEB">
        <w:rPr>
          <w:lang w:val="en-GB"/>
        </w:rPr>
        <w:t xml:space="preserve"> </w:t>
      </w:r>
      <w:r w:rsidR="000B4FF3" w:rsidRPr="000B4FF3">
        <w:rPr>
          <w:lang w:val="en-GB"/>
        </w:rPr>
        <w:t>S</w:t>
      </w:r>
      <w:r w:rsidR="000B4FF3" w:rsidRPr="000B4FF3">
        <w:rPr>
          <w:vertAlign w:val="subscript"/>
          <w:lang w:val="en-GB"/>
        </w:rPr>
        <w:t>1,2-PDO</w:t>
      </w:r>
      <w:r w:rsidR="009D7882" w:rsidRPr="000B4FF3">
        <w:rPr>
          <w:lang w:val="en-GB"/>
        </w:rPr>
        <w:t xml:space="preserve"> in the </w:t>
      </w:r>
      <w:r w:rsidR="009D7882" w:rsidRPr="00A65BEB">
        <w:rPr>
          <w:lang w:val="en-GB"/>
        </w:rPr>
        <w:t>system</w:t>
      </w:r>
      <w:r w:rsidR="000B4FF3">
        <w:rPr>
          <w:lang w:val="en-GB"/>
        </w:rPr>
        <w:t xml:space="preserve">. </w:t>
      </w:r>
      <w:r w:rsidR="00A65BEB" w:rsidRPr="00A65BEB">
        <w:rPr>
          <w:lang w:val="en-GB"/>
        </w:rPr>
        <w:fldChar w:fldCharType="begin"/>
      </w:r>
      <w:r w:rsidR="00A65BEB" w:rsidRPr="00A65BEB">
        <w:rPr>
          <w:lang w:val="en-GB"/>
        </w:rPr>
        <w:instrText xml:space="preserve"> REF _Ref1166933 \h </w:instrText>
      </w:r>
      <w:r w:rsidR="00A65BEB">
        <w:rPr>
          <w:lang w:val="en-GB"/>
        </w:rPr>
        <w:instrText xml:space="preserve"> \* MERGEFORMAT </w:instrText>
      </w:r>
      <w:r w:rsidR="00A65BEB" w:rsidRPr="00A65BEB">
        <w:rPr>
          <w:lang w:val="en-GB"/>
        </w:rPr>
      </w:r>
      <w:r w:rsidR="00A65BEB" w:rsidRPr="00A65BEB">
        <w:rPr>
          <w:lang w:val="en-GB"/>
        </w:rPr>
        <w:fldChar w:fldCharType="separate"/>
      </w:r>
      <w:r w:rsidR="00D0006A" w:rsidRPr="00267F70">
        <w:t xml:space="preserve">Figure </w:t>
      </w:r>
      <w:r w:rsidR="00D0006A">
        <w:rPr>
          <w:noProof/>
        </w:rPr>
        <w:t>5</w:t>
      </w:r>
      <w:r w:rsidR="00A65BEB" w:rsidRPr="00A65BEB">
        <w:rPr>
          <w:lang w:val="en-GB"/>
        </w:rPr>
        <w:fldChar w:fldCharType="end"/>
      </w:r>
      <w:r w:rsidR="009222B5">
        <w:rPr>
          <w:lang w:val="en-GB"/>
        </w:rPr>
        <w:t>a</w:t>
      </w:r>
      <w:r w:rsidR="000B4FF3">
        <w:rPr>
          <w:lang w:val="en-GB"/>
        </w:rPr>
        <w:t xml:space="preserve"> shows that low temperatures and high pressures greatly </w:t>
      </w:r>
      <w:proofErr w:type="spellStart"/>
      <w:r w:rsidR="000B4FF3" w:rsidRPr="006055CF">
        <w:rPr>
          <w:color w:val="000000" w:themeColor="text1"/>
          <w:lang w:val="en-GB"/>
        </w:rPr>
        <w:t>favor</w:t>
      </w:r>
      <w:proofErr w:type="spellEnd"/>
      <w:r w:rsidR="000B4FF3" w:rsidRPr="006055CF">
        <w:rPr>
          <w:color w:val="000000" w:themeColor="text1"/>
          <w:lang w:val="en-GB"/>
        </w:rPr>
        <w:t xml:space="preserve"> </w:t>
      </w:r>
      <w:r w:rsidR="000B4FF3">
        <w:rPr>
          <w:lang w:val="en-GB"/>
        </w:rPr>
        <w:t>1,2-PDO formation, which could be</w:t>
      </w:r>
      <w:r w:rsidR="006055CF">
        <w:rPr>
          <w:lang w:val="en-GB"/>
        </w:rPr>
        <w:t xml:space="preserve"> completely</w:t>
      </w:r>
      <w:r w:rsidR="000B4FF3">
        <w:rPr>
          <w:lang w:val="en-GB"/>
        </w:rPr>
        <w:t xml:space="preserve"> </w:t>
      </w:r>
      <w:r w:rsidR="00626B84">
        <w:rPr>
          <w:lang w:val="en-GB"/>
        </w:rPr>
        <w:t>hindered</w:t>
      </w:r>
      <w:r w:rsidR="000B4FF3">
        <w:rPr>
          <w:lang w:val="en-GB"/>
        </w:rPr>
        <w:t xml:space="preserve"> on adverse conditions</w:t>
      </w:r>
      <w:r w:rsidR="009D7882" w:rsidRPr="00A65BEB">
        <w:rPr>
          <w:lang w:val="en-GB"/>
        </w:rPr>
        <w:t xml:space="preserve">. </w:t>
      </w:r>
      <w:r w:rsidR="000B4FF3">
        <w:rPr>
          <w:lang w:val="en-GB"/>
        </w:rPr>
        <w:t>There is a considerable region wher</w:t>
      </w:r>
      <w:r w:rsidR="00065404">
        <w:rPr>
          <w:lang w:val="en-GB"/>
        </w:rPr>
        <w:t>e it</w:t>
      </w:r>
      <w:r w:rsidR="006055CF">
        <w:rPr>
          <w:lang w:val="en-GB"/>
        </w:rPr>
        <w:t>s</w:t>
      </w:r>
      <w:r w:rsidR="00065404">
        <w:rPr>
          <w:lang w:val="en-GB"/>
        </w:rPr>
        <w:t xml:space="preserve"> selectivity</w:t>
      </w:r>
      <w:r w:rsidR="006055CF">
        <w:rPr>
          <w:lang w:val="en-GB"/>
        </w:rPr>
        <w:t xml:space="preserve"> is close to its maximum</w:t>
      </w:r>
      <w:r w:rsidR="00065404">
        <w:rPr>
          <w:lang w:val="en-GB"/>
        </w:rPr>
        <w:t>, w</w:t>
      </w:r>
      <w:r w:rsidR="004E4359">
        <w:rPr>
          <w:lang w:val="en-GB"/>
        </w:rPr>
        <w:t xml:space="preserve">hich has much lower temperatures than those </w:t>
      </w:r>
      <w:r w:rsidR="006055CF">
        <w:rPr>
          <w:lang w:val="en-GB"/>
        </w:rPr>
        <w:t>found on literature</w:t>
      </w:r>
      <w:r w:rsidR="004E4359">
        <w:rPr>
          <w:lang w:val="en-GB"/>
        </w:rPr>
        <w:t xml:space="preserve"> for catalyst development</w:t>
      </w:r>
      <w:r w:rsidR="006055CF">
        <w:rPr>
          <w:lang w:val="en-GB"/>
        </w:rPr>
        <w:t xml:space="preserve"> (</w:t>
      </w:r>
      <w:r w:rsidR="006055CF">
        <w:rPr>
          <w:lang w:val="en-GB"/>
        </w:rPr>
        <w:fldChar w:fldCharType="begin"/>
      </w:r>
      <w:r w:rsidR="006055CF">
        <w:rPr>
          <w:lang w:val="en-GB"/>
        </w:rPr>
        <w:instrText xml:space="preserve"> REF _Ref6226787 \h </w:instrText>
      </w:r>
      <w:r w:rsidR="006055CF">
        <w:rPr>
          <w:lang w:val="en-GB"/>
        </w:rPr>
      </w:r>
      <w:r w:rsidR="006055CF">
        <w:rPr>
          <w:lang w:val="en-GB"/>
        </w:rPr>
        <w:fldChar w:fldCharType="separate"/>
      </w:r>
      <w:r w:rsidR="00D0006A" w:rsidRPr="009A64AF">
        <w:t xml:space="preserve">Table </w:t>
      </w:r>
      <w:r w:rsidR="00D0006A">
        <w:rPr>
          <w:noProof/>
        </w:rPr>
        <w:t>2</w:t>
      </w:r>
      <w:r w:rsidR="006055CF">
        <w:rPr>
          <w:lang w:val="en-GB"/>
        </w:rPr>
        <w:fldChar w:fldCharType="end"/>
      </w:r>
      <w:r w:rsidR="006055CF">
        <w:rPr>
          <w:lang w:val="en-GB"/>
        </w:rPr>
        <w:t>)</w:t>
      </w:r>
      <w:r w:rsidR="00EB6B2A">
        <w:rPr>
          <w:lang w:val="en-GB"/>
        </w:rPr>
        <w:t xml:space="preserve">. </w:t>
      </w:r>
      <w:r w:rsidR="00CC2378" w:rsidRPr="00A65BEB">
        <w:rPr>
          <w:lang w:val="en-GB"/>
        </w:rPr>
        <w:fldChar w:fldCharType="begin"/>
      </w:r>
      <w:r w:rsidR="00CC2378" w:rsidRPr="00A65BEB">
        <w:rPr>
          <w:lang w:val="en-GB"/>
        </w:rPr>
        <w:instrText xml:space="preserve"> REF _Ref1166933 \h </w:instrText>
      </w:r>
      <w:r w:rsidR="00CC2378">
        <w:rPr>
          <w:lang w:val="en-GB"/>
        </w:rPr>
        <w:instrText xml:space="preserve"> \* MERGEFORMAT </w:instrText>
      </w:r>
      <w:r w:rsidR="00CC2378" w:rsidRPr="00A65BEB">
        <w:rPr>
          <w:lang w:val="en-GB"/>
        </w:rPr>
      </w:r>
      <w:r w:rsidR="00CC2378" w:rsidRPr="00A65BEB">
        <w:rPr>
          <w:lang w:val="en-GB"/>
        </w:rPr>
        <w:fldChar w:fldCharType="separate"/>
      </w:r>
      <w:r w:rsidR="00D0006A" w:rsidRPr="00267F70">
        <w:t xml:space="preserve">Figure </w:t>
      </w:r>
      <w:r w:rsidR="00D0006A">
        <w:rPr>
          <w:noProof/>
        </w:rPr>
        <w:t>5</w:t>
      </w:r>
      <w:r w:rsidR="00CC2378" w:rsidRPr="00A65BEB">
        <w:rPr>
          <w:lang w:val="en-GB"/>
        </w:rPr>
        <w:fldChar w:fldCharType="end"/>
      </w:r>
      <w:r w:rsidR="00CC2378">
        <w:rPr>
          <w:lang w:val="en-GB"/>
        </w:rPr>
        <w:t xml:space="preserve">b </w:t>
      </w:r>
      <w:r w:rsidR="00ED29E7">
        <w:rPr>
          <w:lang w:val="en-GB"/>
        </w:rPr>
        <w:t>exemplifies how sensitive S</w:t>
      </w:r>
      <w:r w:rsidR="00ED29E7" w:rsidRPr="00ED29E7">
        <w:rPr>
          <w:vertAlign w:val="subscript"/>
          <w:lang w:val="en-GB"/>
        </w:rPr>
        <w:t>1,2-PDO</w:t>
      </w:r>
      <w:r w:rsidR="00ED29E7">
        <w:rPr>
          <w:lang w:val="en-GB"/>
        </w:rPr>
        <w:t xml:space="preserve"> is to </w:t>
      </w:r>
      <w:proofErr w:type="spellStart"/>
      <w:r w:rsidR="00ED29E7">
        <w:rPr>
          <w:lang w:val="en-GB"/>
        </w:rPr>
        <w:t>w</w:t>
      </w:r>
      <w:r w:rsidR="00ED29E7" w:rsidRPr="00ED29E7">
        <w:rPr>
          <w:vertAlign w:val="subscript"/>
          <w:lang w:val="en-GB"/>
        </w:rPr>
        <w:t>GLU</w:t>
      </w:r>
      <w:proofErr w:type="spellEnd"/>
      <w:r w:rsidR="00ED29E7" w:rsidRPr="00ED29E7">
        <w:rPr>
          <w:lang w:val="en-GB"/>
        </w:rPr>
        <w:t xml:space="preserve">, </w:t>
      </w:r>
      <w:r w:rsidR="00ED29E7">
        <w:rPr>
          <w:lang w:val="en-GB"/>
        </w:rPr>
        <w:t xml:space="preserve">which is reported in very low values in the literature. </w:t>
      </w:r>
      <w:r w:rsidR="00C80814" w:rsidRPr="00C80814">
        <w:rPr>
          <w:lang w:val="en-GB"/>
        </w:rPr>
        <w:fldChar w:fldCharType="begin" w:fldLock="1"/>
      </w:r>
      <w:r w:rsidR="00C80814">
        <w:rPr>
          <w:lang w:val="en-GB"/>
        </w:rPr>
        <w:instrText>ADDIN CSL_CITATION {"citationItems":[{"id":"ITEM-1","itemData":{"DOI":"10.1016/j.cattod.2015.06.030","ISSN":"0920-5861","author":[{"dropping-particle":"","family":"Liu","given":"Chengwei","non-dropping-particle":"","parse-names":false,"suffix":""},{"dropping-particle":"","family":"Zhang","given":"Chenghua","non-dropping-particle":"","parse-names":false,"suffix":""},{"dropping-particle":"","family":"Hao","given":"Shunli","non-dropping-particle":"","parse-names":false,"suffix":""},{"dropping-particle":"","family":"Sun","given":"Sikai","non-dropping-particle":"","parse-names":false,"suffix":""},{"dropping-particle":"","family":"Liu","given":"Kangkai","non-dropping-particle":"","parse-names":false,"suffix":""},{"dropping-particle":"","family":"Xu","given":"Jian","non-dropping-particle":"","parse-names":false,"suffix":""}],"container-title":"Catalysis Today","id":"ITEM-1","issued":{"date-parts":[["2016"]]},"note":"Best results: 95% biomass conversion, 55,4% selectivity to 1,2-PDO\n\nS1,2PDO increases with high W density and Cu-Wox load","page":"116-127","publisher":"Elsevier B.V.","title":"WOx modified Cu/Al2O3 as a high-performance catalyst for the hydrogenolysis of glucose to 1,2-propanediol","type":"article-journal","volume":"261"},"uris":["http://www.mendeley.com/documents/?uuid=72a86456-9294-4363-b7e6-f52082e43744"]}],"mendeley":{"formattedCitation":"(Liu et al., 2016)","manualFormatting":"Liu et al. (2016)","plainTextFormattedCitation":"(Liu et al., 2016)","previouslyFormattedCitation":"(Liu et al., 2016)"},"properties":{"noteIndex":0},"schema":"https://github.com/citation-style-language/schema/raw/master/csl-citation.json"}</w:instrText>
      </w:r>
      <w:r w:rsidR="00C80814" w:rsidRPr="00C80814">
        <w:rPr>
          <w:lang w:val="en-GB"/>
        </w:rPr>
        <w:fldChar w:fldCharType="separate"/>
      </w:r>
      <w:r w:rsidR="00C80814" w:rsidRPr="00C80814">
        <w:rPr>
          <w:noProof/>
          <w:lang w:val="en-GB"/>
        </w:rPr>
        <w:t>Liu et al. (2016)</w:t>
      </w:r>
      <w:r w:rsidR="00C80814" w:rsidRPr="00C80814">
        <w:rPr>
          <w:lang w:val="en-GB"/>
        </w:rPr>
        <w:fldChar w:fldCharType="end"/>
      </w:r>
      <w:r w:rsidR="00CC2378">
        <w:rPr>
          <w:lang w:val="en-GB"/>
        </w:rPr>
        <w:t xml:space="preserve"> have succeeded in reaching S</w:t>
      </w:r>
      <w:r w:rsidR="00CC2378" w:rsidRPr="00CC2378">
        <w:rPr>
          <w:vertAlign w:val="subscript"/>
          <w:lang w:val="en-GB"/>
        </w:rPr>
        <w:t>1,2-PDO</w:t>
      </w:r>
      <w:r w:rsidR="00CC2378">
        <w:rPr>
          <w:lang w:val="en-GB"/>
        </w:rPr>
        <w:t xml:space="preserve"> of</w:t>
      </w:r>
      <w:r w:rsidR="004A5B27" w:rsidRPr="00A65BEB">
        <w:rPr>
          <w:lang w:val="en-GB"/>
        </w:rPr>
        <w:t xml:space="preserve"> </w:t>
      </w:r>
      <w:r w:rsidR="00A65BEB" w:rsidRPr="00A65BEB">
        <w:rPr>
          <w:lang w:val="en-GB"/>
        </w:rPr>
        <w:t>5</w:t>
      </w:r>
      <w:r w:rsidR="00EB6B2A">
        <w:rPr>
          <w:lang w:val="en-GB"/>
        </w:rPr>
        <w:t>5</w:t>
      </w:r>
      <w:r w:rsidR="00F63E43">
        <w:rPr>
          <w:lang w:val="en-GB"/>
        </w:rPr>
        <w:t>.</w:t>
      </w:r>
      <w:r w:rsidR="00A65BEB" w:rsidRPr="00A65BEB">
        <w:rPr>
          <w:lang w:val="en-GB"/>
        </w:rPr>
        <w:t>8</w:t>
      </w:r>
      <w:r w:rsidR="004A5B27" w:rsidRPr="00A65BEB">
        <w:rPr>
          <w:lang w:val="en-GB"/>
        </w:rPr>
        <w:t xml:space="preserve"> </w:t>
      </w:r>
      <w:proofErr w:type="spellStart"/>
      <w:r w:rsidR="004A5B27" w:rsidRPr="00A65BEB">
        <w:rPr>
          <w:lang w:val="en-GB"/>
        </w:rPr>
        <w:t>wt</w:t>
      </w:r>
      <w:proofErr w:type="spellEnd"/>
      <w:r w:rsidR="004A5B27" w:rsidRPr="00A65BEB">
        <w:rPr>
          <w:lang w:val="en-GB"/>
        </w:rPr>
        <w:t xml:space="preserve"> %</w:t>
      </w:r>
      <w:r w:rsidR="004A5B27" w:rsidRPr="000B4FF3">
        <w:rPr>
          <w:lang w:val="en-GB"/>
        </w:rPr>
        <w:t xml:space="preserve">, </w:t>
      </w:r>
      <w:r w:rsidR="00A65BEB" w:rsidRPr="000B4FF3">
        <w:rPr>
          <w:lang w:val="en-GB"/>
        </w:rPr>
        <w:t xml:space="preserve">which indicates that </w:t>
      </w:r>
      <w:r w:rsidR="000B4FF3" w:rsidRPr="000B4FF3">
        <w:rPr>
          <w:lang w:val="en-GB"/>
        </w:rPr>
        <w:t xml:space="preserve">the specific network for each catalyst </w:t>
      </w:r>
      <w:proofErr w:type="gramStart"/>
      <w:r w:rsidR="000B4FF3" w:rsidRPr="000B4FF3">
        <w:rPr>
          <w:lang w:val="en-GB"/>
        </w:rPr>
        <w:t>has to</w:t>
      </w:r>
      <w:proofErr w:type="gramEnd"/>
      <w:r w:rsidR="000B4FF3" w:rsidRPr="000B4FF3">
        <w:rPr>
          <w:lang w:val="en-GB"/>
        </w:rPr>
        <w:t xml:space="preserve"> be studied for more </w:t>
      </w:r>
      <w:proofErr w:type="spellStart"/>
      <w:r w:rsidR="006055CF">
        <w:rPr>
          <w:lang w:val="en-GB"/>
        </w:rPr>
        <w:t>more</w:t>
      </w:r>
      <w:proofErr w:type="spellEnd"/>
      <w:r w:rsidR="006055CF">
        <w:rPr>
          <w:lang w:val="en-GB"/>
        </w:rPr>
        <w:t xml:space="preserve"> </w:t>
      </w:r>
      <w:r w:rsidR="000B4FF3" w:rsidRPr="000B4FF3">
        <w:rPr>
          <w:lang w:val="en-GB"/>
        </w:rPr>
        <w:t xml:space="preserve">accurate </w:t>
      </w:r>
      <w:r w:rsidR="000B4FF3">
        <w:rPr>
          <w:lang w:val="en-GB"/>
        </w:rPr>
        <w:t xml:space="preserve">equilibrium </w:t>
      </w:r>
      <w:r w:rsidR="000B4FF3" w:rsidRPr="000B4FF3">
        <w:rPr>
          <w:lang w:val="en-GB"/>
        </w:rPr>
        <w:t>predictions</w:t>
      </w:r>
      <w:r w:rsidR="006055CF">
        <w:rPr>
          <w:lang w:val="en-GB"/>
        </w:rPr>
        <w:t xml:space="preserve">. Even so, this study shows </w:t>
      </w:r>
      <w:r w:rsidR="00CC2378">
        <w:rPr>
          <w:lang w:val="en-GB"/>
        </w:rPr>
        <w:t xml:space="preserve">that promising results </w:t>
      </w:r>
      <w:r w:rsidR="00325A34">
        <w:rPr>
          <w:lang w:val="en-GB"/>
        </w:rPr>
        <w:t>might</w:t>
      </w:r>
      <w:r w:rsidR="00ED29E7">
        <w:rPr>
          <w:lang w:val="en-GB"/>
        </w:rPr>
        <w:t xml:space="preserve"> be achieved from operating at</w:t>
      </w:r>
      <w:r w:rsidR="00CC2378">
        <w:rPr>
          <w:lang w:val="en-GB"/>
        </w:rPr>
        <w:t xml:space="preserve"> lower temperatures and higher </w:t>
      </w:r>
      <w:proofErr w:type="spellStart"/>
      <w:r w:rsidR="00CC2378">
        <w:rPr>
          <w:lang w:val="en-GB"/>
        </w:rPr>
        <w:t>w</w:t>
      </w:r>
      <w:r w:rsidR="00325A34">
        <w:rPr>
          <w:vertAlign w:val="subscript"/>
          <w:lang w:val="en-GB"/>
        </w:rPr>
        <w:t>GLU</w:t>
      </w:r>
      <w:proofErr w:type="spellEnd"/>
      <w:r w:rsidR="006055CF" w:rsidRPr="006055CF">
        <w:rPr>
          <w:lang w:val="en-GB"/>
        </w:rPr>
        <w:t xml:space="preserve"> and </w:t>
      </w:r>
      <w:r w:rsidR="006055CF">
        <w:rPr>
          <w:lang w:val="en-GB"/>
        </w:rPr>
        <w:t>research efforts should be focused on that</w:t>
      </w:r>
      <w:r w:rsidR="00325A34">
        <w:rPr>
          <w:vertAlign w:val="subscript"/>
          <w:lang w:val="en-GB"/>
        </w:rPr>
        <w:t>.</w:t>
      </w:r>
    </w:p>
    <w:p w14:paraId="3907C41E" w14:textId="77777777" w:rsidR="006F5E50" w:rsidRDefault="006F5E50" w:rsidP="009D7882">
      <w:pPr>
        <w:pStyle w:val="CETBodytext"/>
        <w:rPr>
          <w:color w:val="7030A0"/>
          <w:lang w:val="en-GB"/>
        </w:rPr>
      </w:pPr>
    </w:p>
    <w:p w14:paraId="70DA3D57" w14:textId="3BF76632" w:rsidR="003A373A" w:rsidRDefault="00394D9B" w:rsidP="009D7882">
      <w:pPr>
        <w:pStyle w:val="CETBodytext"/>
        <w:rPr>
          <w:color w:val="7030A0"/>
          <w:lang w:val="en-GB"/>
        </w:rPr>
      </w:pPr>
      <w:r w:rsidRPr="00394D9B">
        <w:drawing>
          <wp:inline distT="0" distB="0" distL="0" distR="0" wp14:anchorId="60F6389B" wp14:editId="1BA3C476">
            <wp:extent cx="2763070" cy="12600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3070" cy="1260000"/>
                    </a:xfrm>
                    <a:prstGeom prst="rect">
                      <a:avLst/>
                    </a:prstGeom>
                    <a:noFill/>
                    <a:ln>
                      <a:noFill/>
                    </a:ln>
                  </pic:spPr>
                </pic:pic>
              </a:graphicData>
            </a:graphic>
          </wp:inline>
        </w:drawing>
      </w:r>
      <w:r w:rsidRPr="00394D9B">
        <w:drawing>
          <wp:inline distT="0" distB="0" distL="0" distR="0" wp14:anchorId="1574954E" wp14:editId="016EF746">
            <wp:extent cx="2782424" cy="1225762"/>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1848" cy="1265156"/>
                    </a:xfrm>
                    <a:prstGeom prst="rect">
                      <a:avLst/>
                    </a:prstGeom>
                    <a:noFill/>
                    <a:ln>
                      <a:noFill/>
                    </a:ln>
                  </pic:spPr>
                </pic:pic>
              </a:graphicData>
            </a:graphic>
          </wp:inline>
        </w:drawing>
      </w:r>
    </w:p>
    <w:p w14:paraId="396BED1F" w14:textId="4FCA9296" w:rsidR="00A65BEB" w:rsidRDefault="00A65BEB" w:rsidP="00A65BEB">
      <w:pPr>
        <w:pStyle w:val="CETCaption"/>
      </w:pPr>
      <w:bookmarkStart w:id="9" w:name="_Ref1166933"/>
      <w:r w:rsidRPr="00267F70">
        <w:t xml:space="preserve">Figure </w:t>
      </w:r>
      <w:r w:rsidRPr="00267F70">
        <w:fldChar w:fldCharType="begin"/>
      </w:r>
      <w:r w:rsidRPr="00267F70">
        <w:instrText xml:space="preserve"> SEQ Figure \* ARABIC </w:instrText>
      </w:r>
      <w:r w:rsidRPr="00267F70">
        <w:fldChar w:fldCharType="separate"/>
      </w:r>
      <w:r w:rsidR="00D0006A">
        <w:rPr>
          <w:noProof/>
        </w:rPr>
        <w:t>5</w:t>
      </w:r>
      <w:r w:rsidRPr="00267F70">
        <w:fldChar w:fldCharType="end"/>
      </w:r>
      <w:bookmarkEnd w:id="9"/>
      <w:r w:rsidRPr="00267F70">
        <w:t xml:space="preserve">: </w:t>
      </w:r>
      <w:r w:rsidRPr="00A65BEB">
        <w:t xml:space="preserve">Sensitivity analysis of </w:t>
      </w:r>
      <w:r w:rsidR="0005459B">
        <w:t>glycols</w:t>
      </w:r>
      <w:r w:rsidRPr="00A65BEB">
        <w:t xml:space="preserve"> production on Network 2</w:t>
      </w:r>
      <w:r>
        <w:t>b</w:t>
      </w:r>
      <w:r w:rsidRPr="00A65BEB">
        <w:t>.</w:t>
      </w:r>
      <w:r w:rsidR="000B4FF3">
        <w:t xml:space="preserve"> a) </w:t>
      </w:r>
      <w:r w:rsidR="0005459B" w:rsidRPr="00272DA0">
        <w:t>SA</w:t>
      </w:r>
      <w:r w:rsidR="0005459B">
        <w:t>1</w:t>
      </w:r>
      <w:r w:rsidR="0005459B" w:rsidRPr="00272DA0">
        <w:t xml:space="preserve"> to assess </w:t>
      </w:r>
      <w:r w:rsidR="0005459B">
        <w:t>S</w:t>
      </w:r>
      <w:r w:rsidR="0005459B" w:rsidRPr="0005459B">
        <w:rPr>
          <w:vertAlign w:val="subscript"/>
        </w:rPr>
        <w:t>1,2-PDO</w:t>
      </w:r>
      <w:r w:rsidR="0005459B" w:rsidRPr="00272DA0">
        <w:t xml:space="preserve"> on Network 2b</w:t>
      </w:r>
      <w:r w:rsidR="000B4FF3">
        <w:t>; b) SA2</w:t>
      </w:r>
      <w:r w:rsidR="0005459B">
        <w:t xml:space="preserve"> </w:t>
      </w:r>
      <w:r w:rsidR="0005459B" w:rsidRPr="00272DA0">
        <w:t xml:space="preserve">to assess </w:t>
      </w:r>
      <w:r w:rsidR="0005459B">
        <w:t>S</w:t>
      </w:r>
      <w:r w:rsidR="0005459B" w:rsidRPr="0005459B">
        <w:rPr>
          <w:vertAlign w:val="subscript"/>
        </w:rPr>
        <w:t>1,2-PDO</w:t>
      </w:r>
      <w:r w:rsidR="0005459B" w:rsidRPr="00272DA0">
        <w:t xml:space="preserve"> on Network 2b</w:t>
      </w:r>
      <w:r w:rsidR="00941266">
        <w:t>; c)</w:t>
      </w:r>
      <w:r w:rsidR="008E1CD9">
        <w:t xml:space="preserve"> </w:t>
      </w:r>
      <w:r w:rsidR="0005459B" w:rsidRPr="00272DA0">
        <w:t>SA</w:t>
      </w:r>
      <w:r w:rsidR="0005459B">
        <w:t>1</w:t>
      </w:r>
      <w:r w:rsidR="0005459B" w:rsidRPr="00272DA0">
        <w:t xml:space="preserve"> to assess </w:t>
      </w:r>
      <w:r w:rsidR="0005459B">
        <w:t>S</w:t>
      </w:r>
      <w:r w:rsidR="0005459B" w:rsidRPr="008E1CD9">
        <w:rPr>
          <w:vertAlign w:val="subscript"/>
        </w:rPr>
        <w:t>GLY</w:t>
      </w:r>
      <w:r w:rsidR="0005459B" w:rsidRPr="00272DA0">
        <w:t xml:space="preserve"> on Network 2b</w:t>
      </w:r>
      <w:r w:rsidR="008E1CD9">
        <w:t xml:space="preserve">; d) </w:t>
      </w:r>
      <w:r w:rsidR="0005459B" w:rsidRPr="00272DA0">
        <w:t>SA</w:t>
      </w:r>
      <w:r w:rsidR="0005459B">
        <w:t>1</w:t>
      </w:r>
      <w:r w:rsidR="0005459B" w:rsidRPr="00272DA0">
        <w:t xml:space="preserve"> to assess </w:t>
      </w:r>
      <w:r w:rsidR="0005459B">
        <w:t>S</w:t>
      </w:r>
      <w:r w:rsidR="0005459B">
        <w:rPr>
          <w:vertAlign w:val="subscript"/>
        </w:rPr>
        <w:t>EG</w:t>
      </w:r>
      <w:r w:rsidR="0005459B" w:rsidRPr="00272DA0">
        <w:t xml:space="preserve"> on Network 2b</w:t>
      </w:r>
      <w:r w:rsidR="0005459B">
        <w:t>.</w:t>
      </w:r>
    </w:p>
    <w:p w14:paraId="53EF35B7" w14:textId="23F84FE3" w:rsidR="003A373A" w:rsidRPr="00C82D66" w:rsidRDefault="0038701E" w:rsidP="00D517D4">
      <w:pPr>
        <w:pStyle w:val="CETBodytext"/>
        <w:rPr>
          <w:lang w:val="en-GB"/>
        </w:rPr>
      </w:pPr>
      <w:r>
        <w:rPr>
          <w:lang w:val="en-GB"/>
        </w:rPr>
        <w:t xml:space="preserve">These conditions </w:t>
      </w:r>
      <w:r w:rsidR="00325A34">
        <w:rPr>
          <w:lang w:val="en-GB"/>
        </w:rPr>
        <w:t xml:space="preserve">would also increase </w:t>
      </w:r>
      <w:r>
        <w:rPr>
          <w:lang w:val="en-GB"/>
        </w:rPr>
        <w:t xml:space="preserve">some </w:t>
      </w:r>
      <w:proofErr w:type="spellStart"/>
      <w:r w:rsidR="00325A34">
        <w:rPr>
          <w:lang w:val="en-GB"/>
        </w:rPr>
        <w:t>byproducts</w:t>
      </w:r>
      <w:proofErr w:type="spellEnd"/>
      <w:r w:rsidR="00325A34">
        <w:rPr>
          <w:lang w:val="en-GB"/>
        </w:rPr>
        <w:t xml:space="preserve"> and degradation products, </w:t>
      </w:r>
      <w:r w:rsidR="00626B84">
        <w:rPr>
          <w:lang w:val="en-GB"/>
        </w:rPr>
        <w:t>especially</w:t>
      </w:r>
      <w:r w:rsidR="00325A34">
        <w:rPr>
          <w:lang w:val="en-GB"/>
        </w:rPr>
        <w:t xml:space="preserve"> high </w:t>
      </w:r>
      <w:proofErr w:type="spellStart"/>
      <w:r w:rsidR="00325A34">
        <w:rPr>
          <w:lang w:val="en-GB"/>
        </w:rPr>
        <w:t>w</w:t>
      </w:r>
      <w:r w:rsidR="00325A34" w:rsidRPr="00325A34">
        <w:rPr>
          <w:vertAlign w:val="subscript"/>
          <w:lang w:val="en-GB"/>
        </w:rPr>
        <w:t>GLU</w:t>
      </w:r>
      <w:proofErr w:type="spellEnd"/>
      <w:r w:rsidR="00325A34">
        <w:rPr>
          <w:lang w:val="en-GB"/>
        </w:rPr>
        <w:t>. T</w:t>
      </w:r>
      <w:r>
        <w:rPr>
          <w:lang w:val="en-GB"/>
        </w:rPr>
        <w:t xml:space="preserve">his was discussed before and </w:t>
      </w:r>
      <w:r w:rsidR="00325A34">
        <w:rPr>
          <w:lang w:val="en-GB"/>
        </w:rPr>
        <w:t>reiterated by the analysis of n</w:t>
      </w:r>
      <w:r w:rsidR="00A65BEB" w:rsidRPr="007065F9">
        <w:rPr>
          <w:lang w:val="en-GB"/>
        </w:rPr>
        <w:t>etwork 2c</w:t>
      </w:r>
      <w:r w:rsidR="00325A34">
        <w:rPr>
          <w:lang w:val="en-GB"/>
        </w:rPr>
        <w:t xml:space="preserve">, where </w:t>
      </w:r>
      <w:r w:rsidR="00A65BEB" w:rsidRPr="007065F9">
        <w:rPr>
          <w:lang w:val="en-GB"/>
        </w:rPr>
        <w:t xml:space="preserve">only </w:t>
      </w:r>
      <w:r w:rsidR="009A1102" w:rsidRPr="009A1102">
        <w:rPr>
          <w:lang w:val="en-GB"/>
        </w:rPr>
        <w:t>ethylene glycol (EG)</w:t>
      </w:r>
      <w:r w:rsidR="00A65BEB" w:rsidRPr="009A1102">
        <w:rPr>
          <w:lang w:val="en-GB"/>
        </w:rPr>
        <w:t xml:space="preserve"> and </w:t>
      </w:r>
      <w:r w:rsidR="00325A34" w:rsidRPr="009A1102">
        <w:rPr>
          <w:lang w:val="en-GB"/>
        </w:rPr>
        <w:t>GLY</w:t>
      </w:r>
      <w:r w:rsidR="00A65BEB" w:rsidRPr="007065F9">
        <w:rPr>
          <w:lang w:val="en-GB"/>
        </w:rPr>
        <w:t xml:space="preserve"> routes and results</w:t>
      </w:r>
      <w:r w:rsidR="00325A34">
        <w:rPr>
          <w:lang w:val="en-GB"/>
        </w:rPr>
        <w:t xml:space="preserve"> are considered</w:t>
      </w:r>
      <w:r w:rsidR="00A65BEB" w:rsidRPr="007065F9">
        <w:rPr>
          <w:lang w:val="en-GB"/>
        </w:rPr>
        <w:t xml:space="preserve">. </w:t>
      </w:r>
      <w:r w:rsidR="006055CF" w:rsidRPr="00A65BEB">
        <w:rPr>
          <w:lang w:val="en-GB"/>
        </w:rPr>
        <w:fldChar w:fldCharType="begin"/>
      </w:r>
      <w:r w:rsidR="006055CF" w:rsidRPr="00A65BEB">
        <w:rPr>
          <w:lang w:val="en-GB"/>
        </w:rPr>
        <w:instrText xml:space="preserve"> REF _Ref1166933 \h </w:instrText>
      </w:r>
      <w:r w:rsidR="006055CF">
        <w:rPr>
          <w:lang w:val="en-GB"/>
        </w:rPr>
        <w:instrText xml:space="preserve"> \* MERGEFORMAT </w:instrText>
      </w:r>
      <w:r w:rsidR="006055CF" w:rsidRPr="00A65BEB">
        <w:rPr>
          <w:lang w:val="en-GB"/>
        </w:rPr>
      </w:r>
      <w:r w:rsidR="006055CF" w:rsidRPr="00A65BEB">
        <w:rPr>
          <w:lang w:val="en-GB"/>
        </w:rPr>
        <w:fldChar w:fldCharType="separate"/>
      </w:r>
      <w:r w:rsidR="00D0006A" w:rsidRPr="00267F70">
        <w:t xml:space="preserve">Figure </w:t>
      </w:r>
      <w:r w:rsidR="00D0006A">
        <w:rPr>
          <w:noProof/>
        </w:rPr>
        <w:t>5</w:t>
      </w:r>
      <w:r w:rsidR="006055CF" w:rsidRPr="00A65BEB">
        <w:rPr>
          <w:lang w:val="en-GB"/>
        </w:rPr>
        <w:fldChar w:fldCharType="end"/>
      </w:r>
      <w:r w:rsidR="006055CF">
        <w:rPr>
          <w:lang w:val="en-GB"/>
        </w:rPr>
        <w:t xml:space="preserve">c and 5d </w:t>
      </w:r>
      <w:r w:rsidR="00730228">
        <w:rPr>
          <w:lang w:val="en-GB"/>
        </w:rPr>
        <w:t>indicates</w:t>
      </w:r>
      <w:r>
        <w:rPr>
          <w:lang w:val="en-GB"/>
        </w:rPr>
        <w:t xml:space="preserve"> that low temperature lowers S</w:t>
      </w:r>
      <w:r w:rsidRPr="0038701E">
        <w:rPr>
          <w:vertAlign w:val="subscript"/>
          <w:lang w:val="en-GB"/>
        </w:rPr>
        <w:t>GLY</w:t>
      </w:r>
      <w:r>
        <w:rPr>
          <w:lang w:val="en-GB"/>
        </w:rPr>
        <w:t xml:space="preserve"> and increases S</w:t>
      </w:r>
      <w:r w:rsidRPr="0038701E">
        <w:rPr>
          <w:vertAlign w:val="subscript"/>
          <w:lang w:val="en-GB"/>
        </w:rPr>
        <w:t>EG</w:t>
      </w:r>
      <w:r>
        <w:rPr>
          <w:lang w:val="en-GB"/>
        </w:rPr>
        <w:t xml:space="preserve">. </w:t>
      </w:r>
    </w:p>
    <w:p w14:paraId="5CFA9A2A" w14:textId="0515E694" w:rsidR="00AF0064" w:rsidRPr="00AF0064" w:rsidRDefault="00AF0064" w:rsidP="00AF0064">
      <w:pPr>
        <w:pStyle w:val="CETHeading1"/>
        <w:rPr>
          <w:lang w:val="en-GB"/>
        </w:rPr>
      </w:pPr>
      <w:r w:rsidRPr="00AF0064">
        <w:rPr>
          <w:lang w:val="en-GB"/>
        </w:rPr>
        <w:t>Conclusions</w:t>
      </w:r>
      <w:r w:rsidR="00AA4CF0">
        <w:rPr>
          <w:lang w:val="en-GB"/>
        </w:rPr>
        <w:t xml:space="preserve"> and suggestions</w:t>
      </w:r>
    </w:p>
    <w:p w14:paraId="58FB46E6" w14:textId="18D359AA" w:rsidR="002D3375" w:rsidRDefault="0078367E" w:rsidP="00600535">
      <w:pPr>
        <w:pStyle w:val="CETBodytext"/>
        <w:rPr>
          <w:lang w:val="en-GB"/>
        </w:rPr>
      </w:pPr>
      <w:r w:rsidRPr="00776DD7">
        <w:rPr>
          <w:lang w:val="en-GB"/>
        </w:rPr>
        <w:t xml:space="preserve">This study provided </w:t>
      </w:r>
      <w:r w:rsidR="00770531" w:rsidRPr="00776DD7">
        <w:rPr>
          <w:lang w:val="en-GB"/>
        </w:rPr>
        <w:t xml:space="preserve">the first thermodynamic analysis of the complex reaction network involved in </w:t>
      </w:r>
      <w:r w:rsidR="00682CB3" w:rsidRPr="00776DD7">
        <w:rPr>
          <w:lang w:val="en-GB"/>
        </w:rPr>
        <w:t>GLU</w:t>
      </w:r>
      <w:r w:rsidR="00770531" w:rsidRPr="00776DD7">
        <w:rPr>
          <w:lang w:val="en-GB"/>
        </w:rPr>
        <w:t xml:space="preserve"> hydrogenolysis to form 1,2-PDO by simulating the chemical equilibrium of the most commonly proposed mechanisms yielding the main products reported in </w:t>
      </w:r>
      <w:r w:rsidR="00626B84">
        <w:rPr>
          <w:lang w:val="en-GB"/>
        </w:rPr>
        <w:t xml:space="preserve">the </w:t>
      </w:r>
      <w:r w:rsidR="00770531" w:rsidRPr="00776DD7">
        <w:rPr>
          <w:lang w:val="en-GB"/>
        </w:rPr>
        <w:t>literature.</w:t>
      </w:r>
      <w:r w:rsidR="00C378C0" w:rsidRPr="00776DD7">
        <w:rPr>
          <w:lang w:val="en-GB"/>
        </w:rPr>
        <w:t xml:space="preserve"> </w:t>
      </w:r>
      <w:r w:rsidR="00F66461">
        <w:rPr>
          <w:lang w:val="en-GB"/>
        </w:rPr>
        <w:t xml:space="preserve">Water is the most concerning compound present in the outlet stream, because its </w:t>
      </w:r>
      <w:r w:rsidR="00112CE9">
        <w:rPr>
          <w:lang w:val="en-GB"/>
        </w:rPr>
        <w:t>weight fraction</w:t>
      </w:r>
      <w:r w:rsidR="00F66461">
        <w:rPr>
          <w:lang w:val="en-GB"/>
        </w:rPr>
        <w:t xml:space="preserve"> usually </w:t>
      </w:r>
      <w:r w:rsidR="00112CE9">
        <w:rPr>
          <w:lang w:val="en-GB"/>
        </w:rPr>
        <w:t>ranges</w:t>
      </w:r>
      <w:r w:rsidR="00F66461">
        <w:rPr>
          <w:lang w:val="en-GB"/>
        </w:rPr>
        <w:t xml:space="preserve"> from </w:t>
      </w:r>
      <w:r w:rsidR="00204C3C">
        <w:rPr>
          <w:lang w:val="en-GB"/>
        </w:rPr>
        <w:t>40</w:t>
      </w:r>
      <w:r w:rsidR="00F66461">
        <w:rPr>
          <w:lang w:val="en-GB"/>
        </w:rPr>
        <w:t xml:space="preserve"> to </w:t>
      </w:r>
      <w:r w:rsidR="00204C3C">
        <w:rPr>
          <w:lang w:val="en-GB"/>
        </w:rPr>
        <w:t>65</w:t>
      </w:r>
      <w:r w:rsidR="00F66461">
        <w:rPr>
          <w:lang w:val="en-GB"/>
        </w:rPr>
        <w:t xml:space="preserve"> </w:t>
      </w:r>
      <w:proofErr w:type="spellStart"/>
      <w:r w:rsidR="00F66461">
        <w:rPr>
          <w:lang w:val="en-GB"/>
        </w:rPr>
        <w:t>wt</w:t>
      </w:r>
      <w:proofErr w:type="spellEnd"/>
      <w:r w:rsidR="00F66461">
        <w:rPr>
          <w:lang w:val="en-GB"/>
        </w:rPr>
        <w:t xml:space="preserve"> %, but can amount to 9</w:t>
      </w:r>
      <w:r w:rsidR="00204C3C">
        <w:rPr>
          <w:lang w:val="en-GB"/>
        </w:rPr>
        <w:t>9</w:t>
      </w:r>
      <w:r w:rsidR="00F66461">
        <w:rPr>
          <w:lang w:val="en-GB"/>
        </w:rPr>
        <w:t xml:space="preserve"> </w:t>
      </w:r>
      <w:proofErr w:type="spellStart"/>
      <w:r w:rsidR="00F66461">
        <w:rPr>
          <w:lang w:val="en-GB"/>
        </w:rPr>
        <w:t>wt</w:t>
      </w:r>
      <w:proofErr w:type="spellEnd"/>
      <w:r w:rsidR="00F66461">
        <w:rPr>
          <w:lang w:val="en-GB"/>
        </w:rPr>
        <w:t xml:space="preserve"> %, making purification costs extremely high. </w:t>
      </w:r>
      <w:r w:rsidR="007065F9" w:rsidRPr="00776DD7">
        <w:rPr>
          <w:lang w:val="en-GB"/>
        </w:rPr>
        <w:t>D</w:t>
      </w:r>
      <w:r w:rsidR="00C34CE7" w:rsidRPr="00776DD7">
        <w:rPr>
          <w:lang w:val="en-GB"/>
        </w:rPr>
        <w:t xml:space="preserve">egradation products </w:t>
      </w:r>
      <w:r w:rsidR="007065F9" w:rsidRPr="00776DD7">
        <w:rPr>
          <w:lang w:val="en-GB"/>
        </w:rPr>
        <w:t>(</w:t>
      </w:r>
      <w:r w:rsidR="00C34CE7" w:rsidRPr="00776DD7">
        <w:rPr>
          <w:lang w:val="en-GB"/>
        </w:rPr>
        <w:t>CH</w:t>
      </w:r>
      <w:r w:rsidR="00C34CE7" w:rsidRPr="006F09AF">
        <w:rPr>
          <w:vertAlign w:val="subscript"/>
          <w:lang w:val="en-GB"/>
        </w:rPr>
        <w:t>4</w:t>
      </w:r>
      <w:r w:rsidR="00C34CE7" w:rsidRPr="00776DD7">
        <w:rPr>
          <w:lang w:val="en-GB"/>
        </w:rPr>
        <w:t>, CO</w:t>
      </w:r>
      <w:r w:rsidR="00C34CE7" w:rsidRPr="006F09AF">
        <w:rPr>
          <w:vertAlign w:val="subscript"/>
          <w:lang w:val="en-GB"/>
        </w:rPr>
        <w:t>2</w:t>
      </w:r>
      <w:r w:rsidR="00C34CE7" w:rsidRPr="00776DD7">
        <w:rPr>
          <w:lang w:val="en-GB"/>
        </w:rPr>
        <w:t xml:space="preserve">, </w:t>
      </w:r>
      <w:r w:rsidR="006F09AF">
        <w:rPr>
          <w:lang w:val="en-GB"/>
        </w:rPr>
        <w:t>CO</w:t>
      </w:r>
      <w:r w:rsidR="00C34CE7" w:rsidRPr="00776DD7">
        <w:rPr>
          <w:lang w:val="en-GB"/>
        </w:rPr>
        <w:t xml:space="preserve">, ethanol and </w:t>
      </w:r>
      <w:proofErr w:type="spellStart"/>
      <w:r w:rsidR="00C34CE7" w:rsidRPr="00776DD7">
        <w:rPr>
          <w:lang w:val="en-GB"/>
        </w:rPr>
        <w:t>propanols</w:t>
      </w:r>
      <w:proofErr w:type="spellEnd"/>
      <w:r w:rsidR="00C34CE7" w:rsidRPr="00776DD7">
        <w:rPr>
          <w:lang w:val="en-GB"/>
        </w:rPr>
        <w:t>)</w:t>
      </w:r>
      <w:r w:rsidR="007065F9" w:rsidRPr="00776DD7">
        <w:rPr>
          <w:lang w:val="en-GB"/>
        </w:rPr>
        <w:t xml:space="preserve"> were found not to be much affected by temperature or pressure</w:t>
      </w:r>
      <w:r w:rsidR="002B3C06" w:rsidRPr="00776DD7">
        <w:rPr>
          <w:lang w:val="en-GB"/>
        </w:rPr>
        <w:t>.</w:t>
      </w:r>
      <w:r w:rsidR="007065F9" w:rsidRPr="00776DD7">
        <w:rPr>
          <w:lang w:val="en-GB"/>
        </w:rPr>
        <w:t xml:space="preserve"> </w:t>
      </w:r>
      <w:r w:rsidR="002B3C06" w:rsidRPr="00776DD7">
        <w:rPr>
          <w:lang w:val="en-GB"/>
        </w:rPr>
        <w:t xml:space="preserve">1,2-BDO </w:t>
      </w:r>
      <w:r w:rsidR="007065F9" w:rsidRPr="00776DD7">
        <w:rPr>
          <w:lang w:val="en-GB"/>
        </w:rPr>
        <w:t xml:space="preserve">has </w:t>
      </w:r>
      <w:r w:rsidR="00C34CE7" w:rsidRPr="00776DD7">
        <w:rPr>
          <w:lang w:val="en-GB"/>
        </w:rPr>
        <w:t>high</w:t>
      </w:r>
      <w:r w:rsidR="009D7882" w:rsidRPr="00776DD7">
        <w:rPr>
          <w:lang w:val="en-GB"/>
        </w:rPr>
        <w:t xml:space="preserve"> </w:t>
      </w:r>
      <w:r w:rsidR="00C34CE7" w:rsidRPr="00776DD7">
        <w:rPr>
          <w:lang w:val="en-GB"/>
        </w:rPr>
        <w:t>selectivity</w:t>
      </w:r>
      <w:r w:rsidR="007065F9" w:rsidRPr="00776DD7">
        <w:rPr>
          <w:lang w:val="en-GB"/>
        </w:rPr>
        <w:t xml:space="preserve"> over other diols</w:t>
      </w:r>
      <w:r w:rsidR="00C34CE7" w:rsidRPr="00776DD7">
        <w:rPr>
          <w:lang w:val="en-GB"/>
        </w:rPr>
        <w:t xml:space="preserve">, </w:t>
      </w:r>
      <w:r w:rsidR="00C34CE7" w:rsidRPr="00776DD7">
        <w:rPr>
          <w:lang w:val="en-GB"/>
        </w:rPr>
        <w:lastRenderedPageBreak/>
        <w:t>explained by its highest equilibrium constants</w:t>
      </w:r>
      <w:r w:rsidR="007065F9" w:rsidRPr="00776DD7">
        <w:rPr>
          <w:lang w:val="en-GB"/>
        </w:rPr>
        <w:t xml:space="preserve">. 1,2-PDO production is </w:t>
      </w:r>
      <w:proofErr w:type="spellStart"/>
      <w:r w:rsidR="007065F9" w:rsidRPr="00776DD7">
        <w:rPr>
          <w:lang w:val="en-GB"/>
        </w:rPr>
        <w:t>favored</w:t>
      </w:r>
      <w:proofErr w:type="spellEnd"/>
      <w:r w:rsidR="007065F9" w:rsidRPr="00776DD7">
        <w:rPr>
          <w:lang w:val="en-GB"/>
        </w:rPr>
        <w:t xml:space="preserve"> by low temperatures and high pressures</w:t>
      </w:r>
      <w:r w:rsidR="00F66461">
        <w:rPr>
          <w:lang w:val="en-GB"/>
        </w:rPr>
        <w:t xml:space="preserve">, which also </w:t>
      </w:r>
      <w:r w:rsidR="007F34D1">
        <w:rPr>
          <w:color w:val="000000" w:themeColor="text1"/>
          <w:lang w:val="en-GB"/>
        </w:rPr>
        <w:t>promote</w:t>
      </w:r>
      <w:r w:rsidR="00F66461" w:rsidRPr="007F34D1">
        <w:rPr>
          <w:color w:val="000000" w:themeColor="text1"/>
          <w:lang w:val="en-GB"/>
        </w:rPr>
        <w:t xml:space="preserve"> </w:t>
      </w:r>
      <w:r w:rsidR="00F66461">
        <w:rPr>
          <w:lang w:val="en-GB"/>
        </w:rPr>
        <w:t>EG, while low temperatures hinder GLY production</w:t>
      </w:r>
      <w:r w:rsidR="005005C1" w:rsidRPr="00776DD7">
        <w:rPr>
          <w:lang w:val="en-GB"/>
        </w:rPr>
        <w:t xml:space="preserve">. </w:t>
      </w:r>
    </w:p>
    <w:p w14:paraId="71D26815" w14:textId="11701C27" w:rsidR="005E4B04" w:rsidRDefault="005E4B04" w:rsidP="005E4B04">
      <w:pPr>
        <w:pStyle w:val="CETBodytext"/>
        <w:rPr>
          <w:lang w:val="en-GB"/>
        </w:rPr>
      </w:pPr>
      <w:r w:rsidRPr="007065F9">
        <w:rPr>
          <w:lang w:val="en-GB"/>
        </w:rPr>
        <w:t>Experiments published on</w:t>
      </w:r>
      <w:r w:rsidR="00626B84">
        <w:rPr>
          <w:lang w:val="en-GB"/>
        </w:rPr>
        <w:t xml:space="preserve"> the</w:t>
      </w:r>
      <w:r w:rsidRPr="007065F9">
        <w:rPr>
          <w:lang w:val="en-GB"/>
        </w:rPr>
        <w:t xml:space="preserve"> literature indicate that the equilibrium simulations</w:t>
      </w:r>
      <w:r w:rsidR="009C23FF">
        <w:rPr>
          <w:lang w:val="en-GB"/>
        </w:rPr>
        <w:t xml:space="preserve"> in this study</w:t>
      </w:r>
      <w:r w:rsidRPr="007065F9">
        <w:rPr>
          <w:lang w:val="en-GB"/>
        </w:rPr>
        <w:t xml:space="preserve"> </w:t>
      </w:r>
      <w:r>
        <w:rPr>
          <w:lang w:val="en-GB"/>
        </w:rPr>
        <w:t>present the real trends observed with developed catalysts for 1,2-PDO production</w:t>
      </w:r>
      <w:r w:rsidRPr="007065F9">
        <w:rPr>
          <w:lang w:val="en-GB"/>
        </w:rPr>
        <w:t xml:space="preserve">, with </w:t>
      </w:r>
      <w:proofErr w:type="spellStart"/>
      <w:r w:rsidRPr="007065F9">
        <w:rPr>
          <w:lang w:val="en-GB"/>
        </w:rPr>
        <w:t>hexitols</w:t>
      </w:r>
      <w:proofErr w:type="spellEnd"/>
      <w:r w:rsidRPr="007065F9">
        <w:rPr>
          <w:lang w:val="en-GB"/>
        </w:rPr>
        <w:t xml:space="preserve"> and </w:t>
      </w:r>
      <w:proofErr w:type="spellStart"/>
      <w:r w:rsidRPr="007065F9">
        <w:rPr>
          <w:lang w:val="en-GB"/>
        </w:rPr>
        <w:t>tetritols</w:t>
      </w:r>
      <w:proofErr w:type="spellEnd"/>
      <w:r w:rsidRPr="007065F9">
        <w:rPr>
          <w:lang w:val="en-GB"/>
        </w:rPr>
        <w:t xml:space="preserve"> being produced in smaller amounts and diols being </w:t>
      </w:r>
      <w:proofErr w:type="spellStart"/>
      <w:r w:rsidRPr="007065F9">
        <w:rPr>
          <w:lang w:val="en-GB"/>
        </w:rPr>
        <w:t>favored</w:t>
      </w:r>
      <w:proofErr w:type="spellEnd"/>
      <w:r w:rsidRPr="007065F9">
        <w:rPr>
          <w:lang w:val="en-GB"/>
        </w:rPr>
        <w:t xml:space="preserve"> when the stable</w:t>
      </w:r>
      <w:r>
        <w:rPr>
          <w:lang w:val="en-GB"/>
        </w:rPr>
        <w:t>, degradation</w:t>
      </w:r>
      <w:r w:rsidRPr="007065F9">
        <w:rPr>
          <w:lang w:val="en-GB"/>
        </w:rPr>
        <w:t xml:space="preserve"> compounds are hindered</w:t>
      </w:r>
      <w:r w:rsidR="00800DFE">
        <w:rPr>
          <w:lang w:val="en-GB"/>
        </w:rPr>
        <w:t xml:space="preserve">. </w:t>
      </w:r>
      <w:r w:rsidR="009D7703" w:rsidRPr="00776DD7">
        <w:rPr>
          <w:lang w:val="en-GB"/>
        </w:rPr>
        <w:t>T</w:t>
      </w:r>
      <w:r w:rsidR="009D7703">
        <w:rPr>
          <w:lang w:val="en-GB"/>
        </w:rPr>
        <w:t>herefore, t</w:t>
      </w:r>
      <w:r w:rsidR="009D7703" w:rsidRPr="00776DD7">
        <w:rPr>
          <w:lang w:val="en-GB"/>
        </w:rPr>
        <w:t>h</w:t>
      </w:r>
      <w:r w:rsidR="009D7703">
        <w:rPr>
          <w:lang w:val="en-GB"/>
        </w:rPr>
        <w:t>is</w:t>
      </w:r>
      <w:r w:rsidR="009D7703" w:rsidRPr="00776DD7">
        <w:rPr>
          <w:lang w:val="en-GB"/>
        </w:rPr>
        <w:t xml:space="preserve"> study can help enlighten the impacts of using bagasse and straw in the future for the same process.</w:t>
      </w:r>
      <w:r w:rsidR="009D7703">
        <w:rPr>
          <w:lang w:val="en-GB"/>
        </w:rPr>
        <w:t xml:space="preserve"> </w:t>
      </w:r>
      <w:r w:rsidR="001605A2">
        <w:rPr>
          <w:lang w:val="en-GB"/>
        </w:rPr>
        <w:t xml:space="preserve">Interesting approaches for new catalysts are </w:t>
      </w:r>
      <w:r w:rsidR="00800DFE">
        <w:rPr>
          <w:lang w:val="en-GB"/>
        </w:rPr>
        <w:t xml:space="preserve">to </w:t>
      </w:r>
      <w:r w:rsidR="001605A2">
        <w:rPr>
          <w:lang w:val="en-GB"/>
        </w:rPr>
        <w:t>explor</w:t>
      </w:r>
      <w:r w:rsidR="00800DFE">
        <w:rPr>
          <w:lang w:val="en-GB"/>
        </w:rPr>
        <w:t>e</w:t>
      </w:r>
      <w:r w:rsidR="001605A2">
        <w:rPr>
          <w:lang w:val="en-GB"/>
        </w:rPr>
        <w:t xml:space="preserve"> lower temperatures and higher </w:t>
      </w:r>
      <w:proofErr w:type="spellStart"/>
      <w:r w:rsidR="001605A2">
        <w:rPr>
          <w:lang w:val="en-GB"/>
        </w:rPr>
        <w:t>w</w:t>
      </w:r>
      <w:r w:rsidR="001605A2" w:rsidRPr="001605A2">
        <w:rPr>
          <w:vertAlign w:val="subscript"/>
          <w:lang w:val="en-GB"/>
        </w:rPr>
        <w:t>GLU</w:t>
      </w:r>
      <w:proofErr w:type="spellEnd"/>
      <w:r w:rsidR="001605A2">
        <w:rPr>
          <w:lang w:val="en-GB"/>
        </w:rPr>
        <w:t xml:space="preserve">. </w:t>
      </w:r>
      <w:r w:rsidR="00800DFE">
        <w:rPr>
          <w:lang w:val="en-GB"/>
        </w:rPr>
        <w:t xml:space="preserve">For equilibrium and kinetic simulation studies, the reaction network should be more thoroughly investigated to understand which paths </w:t>
      </w:r>
      <w:proofErr w:type="spellStart"/>
      <w:r w:rsidR="00626B84">
        <w:rPr>
          <w:lang w:val="en-GB"/>
        </w:rPr>
        <w:t>occurr</w:t>
      </w:r>
      <w:proofErr w:type="spellEnd"/>
      <w:r w:rsidR="00800DFE">
        <w:rPr>
          <w:lang w:val="en-GB"/>
        </w:rPr>
        <w:t xml:space="preserve"> with each catalyst and the consequences for product selectivity and operation costs. </w:t>
      </w:r>
      <w:r w:rsidRPr="007065F9">
        <w:rPr>
          <w:lang w:val="en-GB"/>
        </w:rPr>
        <w:t xml:space="preserve">Kinetic data and </w:t>
      </w:r>
      <w:r w:rsidRPr="00950464">
        <w:rPr>
          <w:lang w:val="en-GB"/>
        </w:rPr>
        <w:t xml:space="preserve">more detailed mechanistic studies </w:t>
      </w:r>
      <w:r w:rsidRPr="007065F9">
        <w:rPr>
          <w:lang w:val="en-GB"/>
        </w:rPr>
        <w:t xml:space="preserve">could help make better </w:t>
      </w:r>
      <w:r>
        <w:rPr>
          <w:lang w:val="en-GB"/>
        </w:rPr>
        <w:t xml:space="preserve">equilibrium and process </w:t>
      </w:r>
      <w:r w:rsidRPr="007065F9">
        <w:rPr>
          <w:lang w:val="en-GB"/>
        </w:rPr>
        <w:t xml:space="preserve">predictions for a more detailed and correct design and assessment of </w:t>
      </w:r>
      <w:r>
        <w:rPr>
          <w:lang w:val="en-GB"/>
        </w:rPr>
        <w:t>this route</w:t>
      </w:r>
      <w:r w:rsidRPr="007065F9">
        <w:rPr>
          <w:lang w:val="en-GB"/>
        </w:rPr>
        <w:t>.</w:t>
      </w:r>
      <w:r w:rsidR="009C23FF" w:rsidRPr="009C23FF">
        <w:rPr>
          <w:lang w:val="en-GB"/>
        </w:rPr>
        <w:t xml:space="preserve"> </w:t>
      </w:r>
    </w:p>
    <w:p w14:paraId="0AA242AD" w14:textId="77777777" w:rsidR="005618D1" w:rsidRPr="005618D1" w:rsidRDefault="005618D1" w:rsidP="005618D1">
      <w:pPr>
        <w:pStyle w:val="CETReference"/>
      </w:pPr>
      <w:r w:rsidRPr="005618D1">
        <w:t>Acknowledgments</w:t>
      </w:r>
    </w:p>
    <w:p w14:paraId="57D4F61A" w14:textId="69D03807" w:rsidR="005618D1" w:rsidRPr="007065F9" w:rsidRDefault="005618D1" w:rsidP="005618D1">
      <w:pPr>
        <w:pStyle w:val="CETBodytext"/>
        <w:rPr>
          <w:lang w:val="en-GB"/>
        </w:rPr>
      </w:pPr>
      <w:r w:rsidRPr="005618D1">
        <w:rPr>
          <w:lang w:val="en-GB"/>
        </w:rPr>
        <w:t xml:space="preserve">This work was executed with support from </w:t>
      </w:r>
      <w:r>
        <w:rPr>
          <w:lang w:val="en-GB"/>
        </w:rPr>
        <w:t xml:space="preserve">the </w:t>
      </w:r>
      <w:r w:rsidRPr="005618D1">
        <w:rPr>
          <w:lang w:val="en-GB"/>
        </w:rPr>
        <w:t>grant</w:t>
      </w:r>
      <w:r>
        <w:rPr>
          <w:lang w:val="en-GB"/>
        </w:rPr>
        <w:t xml:space="preserve"> for the</w:t>
      </w:r>
      <w:r w:rsidRPr="005618D1">
        <w:rPr>
          <w:lang w:val="en-GB"/>
        </w:rPr>
        <w:t xml:space="preserve"> Thematic Project FAPESP </w:t>
      </w:r>
      <w:r>
        <w:rPr>
          <w:lang w:val="en-GB"/>
        </w:rPr>
        <w:t>20</w:t>
      </w:r>
      <w:r w:rsidRPr="005618D1">
        <w:rPr>
          <w:lang w:val="en-GB"/>
        </w:rPr>
        <w:t>15/20630-4, São Paulo Research Foundation (FAPESP).</w:t>
      </w:r>
    </w:p>
    <w:p w14:paraId="42C7F208" w14:textId="11A51985" w:rsidR="00EF5A69" w:rsidRDefault="00EF5A69" w:rsidP="00EF5A69">
      <w:pPr>
        <w:pStyle w:val="CETReference"/>
      </w:pPr>
      <w:r>
        <w:t>References</w:t>
      </w:r>
    </w:p>
    <w:p w14:paraId="4A0651BB" w14:textId="64A0F739" w:rsidR="00D0006A" w:rsidRPr="00D0006A" w:rsidRDefault="00EF5A69" w:rsidP="00D0006A">
      <w:pPr>
        <w:widowControl w:val="0"/>
        <w:autoSpaceDE w:val="0"/>
        <w:autoSpaceDN w:val="0"/>
        <w:adjustRightInd w:val="0"/>
        <w:spacing w:before="200" w:after="120"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00D0006A" w:rsidRPr="00D0006A">
        <w:rPr>
          <w:rFonts w:cs="Arial"/>
          <w:noProof/>
          <w:szCs w:val="24"/>
        </w:rPr>
        <w:t>Beine, A.K., Hausoul, P.J.C., Palkovits, R., 2016. Production of Ethylene and Propylene Glycol from Lignocellulose, in: Cavani, F., Albonetti, S., Basile, F., Gandini, A. (Eds.), Chemicals and Fuels From Bio-Baseld Building Blocks. Wiley-VCH Verlag GmbH &amp; Co. KGaA, Weinheim, pp. 245–269.</w:t>
      </w:r>
    </w:p>
    <w:p w14:paraId="6F7A5310" w14:textId="77777777" w:rsidR="00D0006A" w:rsidRPr="00D0006A" w:rsidRDefault="00D0006A" w:rsidP="00D0006A">
      <w:pPr>
        <w:widowControl w:val="0"/>
        <w:autoSpaceDE w:val="0"/>
        <w:autoSpaceDN w:val="0"/>
        <w:adjustRightInd w:val="0"/>
        <w:spacing w:before="200" w:after="120" w:line="240" w:lineRule="auto"/>
        <w:ind w:left="480" w:hanging="480"/>
        <w:rPr>
          <w:rFonts w:cs="Arial"/>
          <w:noProof/>
          <w:szCs w:val="24"/>
        </w:rPr>
      </w:pPr>
      <w:r w:rsidRPr="00D0006A">
        <w:rPr>
          <w:rFonts w:cs="Arial"/>
          <w:noProof/>
          <w:szCs w:val="24"/>
        </w:rPr>
        <w:t>Biddy, M.J., Scarlata, C., Kinchin, C., 2016. Chemicals from Biomass: A Market Assessment of Bioproducts with Near-Term Potential. NREL Tech. Rep. NREL/TP-5100-65509 131. doi:10.2172/1244312</w:t>
      </w:r>
    </w:p>
    <w:p w14:paraId="42D18EBD" w14:textId="77777777" w:rsidR="00D0006A" w:rsidRPr="00D0006A" w:rsidRDefault="00D0006A" w:rsidP="00D0006A">
      <w:pPr>
        <w:widowControl w:val="0"/>
        <w:autoSpaceDE w:val="0"/>
        <w:autoSpaceDN w:val="0"/>
        <w:adjustRightInd w:val="0"/>
        <w:spacing w:before="200" w:after="120" w:line="240" w:lineRule="auto"/>
        <w:ind w:left="480" w:hanging="480"/>
        <w:rPr>
          <w:rFonts w:cs="Arial"/>
          <w:noProof/>
          <w:szCs w:val="24"/>
        </w:rPr>
      </w:pPr>
      <w:r w:rsidRPr="00D0006A">
        <w:rPr>
          <w:rFonts w:cs="Arial"/>
          <w:noProof/>
          <w:szCs w:val="24"/>
        </w:rPr>
        <w:t>Liu, C., Zhang, C., Hao, S., Sun, S., Liu, K., Xu, J., 2016. WOx modified Cu/Al2O3 as a high-performance catalyst for the hydrogenolysis of glucose to 1,2-propanediol. Catal. Today 261, 116–127. doi:10.1016/j.cattod.2015.06.030</w:t>
      </w:r>
    </w:p>
    <w:p w14:paraId="7C5DC14C" w14:textId="77777777" w:rsidR="00D0006A" w:rsidRPr="00D0006A" w:rsidRDefault="00D0006A" w:rsidP="00D0006A">
      <w:pPr>
        <w:widowControl w:val="0"/>
        <w:autoSpaceDE w:val="0"/>
        <w:autoSpaceDN w:val="0"/>
        <w:adjustRightInd w:val="0"/>
        <w:spacing w:before="200" w:after="120" w:line="240" w:lineRule="auto"/>
        <w:ind w:left="480" w:hanging="480"/>
        <w:rPr>
          <w:rFonts w:cs="Arial"/>
          <w:noProof/>
          <w:szCs w:val="24"/>
        </w:rPr>
      </w:pPr>
      <w:r w:rsidRPr="00D0006A">
        <w:rPr>
          <w:rFonts w:cs="Arial"/>
          <w:noProof/>
          <w:szCs w:val="24"/>
        </w:rPr>
        <w:t>Liu, C., Zhang, C., Sun, S., Liu, K., Hao, S., Xu, J., Zhu, Y., Li, Y., 2015. Effect of WOx on Bifunctional Pd−WOx/Al2O3 Catalysts for the Selective Hydrogenolysis of Glucose to 1,2-Propanediol. doi:10.1021/acscatal.5b00800</w:t>
      </w:r>
    </w:p>
    <w:p w14:paraId="33CD7C3E" w14:textId="77777777" w:rsidR="00D0006A" w:rsidRPr="00D0006A" w:rsidRDefault="00D0006A" w:rsidP="00D0006A">
      <w:pPr>
        <w:widowControl w:val="0"/>
        <w:autoSpaceDE w:val="0"/>
        <w:autoSpaceDN w:val="0"/>
        <w:adjustRightInd w:val="0"/>
        <w:spacing w:before="200" w:after="120" w:line="240" w:lineRule="auto"/>
        <w:ind w:left="480" w:hanging="480"/>
        <w:rPr>
          <w:rFonts w:cs="Arial"/>
          <w:noProof/>
          <w:szCs w:val="24"/>
        </w:rPr>
      </w:pPr>
      <w:r w:rsidRPr="00D0006A">
        <w:rPr>
          <w:rFonts w:cs="Arial"/>
          <w:noProof/>
          <w:szCs w:val="24"/>
        </w:rPr>
        <w:t>Wang, J., Yao, G., Wang, Y., Zhang, H., Huo, Z., Jin, F., 2015. A novel Pd/C-catalyzed conversion of glucose to 1,2-propanediol by water splitting with Zn. RSC Adv. 5, 51435–51439. doi:10.1039/C5RA08482B</w:t>
      </w:r>
    </w:p>
    <w:p w14:paraId="6D242545" w14:textId="77777777" w:rsidR="00D0006A" w:rsidRPr="00D0006A" w:rsidRDefault="00D0006A" w:rsidP="00D0006A">
      <w:pPr>
        <w:widowControl w:val="0"/>
        <w:autoSpaceDE w:val="0"/>
        <w:autoSpaceDN w:val="0"/>
        <w:adjustRightInd w:val="0"/>
        <w:spacing w:before="200" w:after="120" w:line="240" w:lineRule="auto"/>
        <w:ind w:left="480" w:hanging="480"/>
        <w:rPr>
          <w:rFonts w:cs="Arial"/>
          <w:noProof/>
          <w:szCs w:val="24"/>
        </w:rPr>
      </w:pPr>
      <w:r w:rsidRPr="00D0006A">
        <w:rPr>
          <w:rFonts w:cs="Arial"/>
          <w:noProof/>
          <w:szCs w:val="24"/>
        </w:rPr>
        <w:t>Xiao, Z., Jin, S., Pang, M., Liang, C., 2013. Conversion of highly concentrated cellulose to 1,2-propanediol and ethylene glycol over highly efficient CuCr catalysts. Green Chem. 15, 891. doi:10.1039/c3gc40134k</w:t>
      </w:r>
    </w:p>
    <w:p w14:paraId="1EB6C499" w14:textId="77777777" w:rsidR="00D0006A" w:rsidRPr="00D0006A" w:rsidRDefault="00D0006A" w:rsidP="00D0006A">
      <w:pPr>
        <w:widowControl w:val="0"/>
        <w:autoSpaceDE w:val="0"/>
        <w:autoSpaceDN w:val="0"/>
        <w:adjustRightInd w:val="0"/>
        <w:spacing w:before="200" w:after="120" w:line="240" w:lineRule="auto"/>
        <w:ind w:left="480" w:hanging="480"/>
        <w:rPr>
          <w:rFonts w:cs="Arial"/>
          <w:noProof/>
        </w:rPr>
      </w:pPr>
      <w:r w:rsidRPr="00D0006A">
        <w:rPr>
          <w:rFonts w:cs="Arial"/>
          <w:noProof/>
          <w:szCs w:val="24"/>
        </w:rPr>
        <w:t>Zheng, M., Pang, J., Sun, R., Wang, A., Zhang, T., 2017. Selectivity Control for Cellulose to Diols: Dancing on Eggs. ACS Catal. 7, 1939–1954. doi:10.1021/acscatal.6b03469</w:t>
      </w:r>
    </w:p>
    <w:p w14:paraId="05D0C927" w14:textId="6306A5EE" w:rsidR="00EF5A69" w:rsidRPr="002C746C" w:rsidRDefault="00EF5A69" w:rsidP="00EF5A69">
      <w:pPr>
        <w:pStyle w:val="CETReference"/>
      </w:pPr>
      <w:r>
        <w:fldChar w:fldCharType="end"/>
      </w:r>
    </w:p>
    <w:sectPr w:rsidR="00EF5A69" w:rsidRPr="002C746C"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7EC9C" w14:textId="77777777" w:rsidR="002D4929" w:rsidRDefault="002D4929" w:rsidP="004F5E36">
      <w:r>
        <w:separator/>
      </w:r>
    </w:p>
  </w:endnote>
  <w:endnote w:type="continuationSeparator" w:id="0">
    <w:p w14:paraId="33AD3F04" w14:textId="77777777" w:rsidR="002D4929" w:rsidRDefault="002D492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D2D01" w14:textId="77777777" w:rsidR="002D4929" w:rsidRDefault="002D4929" w:rsidP="004F5E36">
      <w:r>
        <w:separator/>
      </w:r>
    </w:p>
  </w:footnote>
  <w:footnote w:type="continuationSeparator" w:id="0">
    <w:p w14:paraId="01368804" w14:textId="77777777" w:rsidR="002D4929" w:rsidRDefault="002D492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9B45E2"/>
    <w:multiLevelType w:val="hybridMultilevel"/>
    <w:tmpl w:val="1BC4A55A"/>
    <w:lvl w:ilvl="0" w:tplc="B8AE7CCC">
      <w:start w:val="1"/>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BD"/>
    <w:rsid w:val="000052FB"/>
    <w:rsid w:val="000075F1"/>
    <w:rsid w:val="00010F40"/>
    <w:rsid w:val="000117CB"/>
    <w:rsid w:val="000218B2"/>
    <w:rsid w:val="00025DA9"/>
    <w:rsid w:val="0003148D"/>
    <w:rsid w:val="00040919"/>
    <w:rsid w:val="00047D7F"/>
    <w:rsid w:val="00051566"/>
    <w:rsid w:val="0005459B"/>
    <w:rsid w:val="000554F2"/>
    <w:rsid w:val="00055B51"/>
    <w:rsid w:val="00062A9A"/>
    <w:rsid w:val="00065058"/>
    <w:rsid w:val="00065404"/>
    <w:rsid w:val="000658DD"/>
    <w:rsid w:val="00065BF7"/>
    <w:rsid w:val="00066E84"/>
    <w:rsid w:val="00073B9E"/>
    <w:rsid w:val="00086C39"/>
    <w:rsid w:val="000879B7"/>
    <w:rsid w:val="00093377"/>
    <w:rsid w:val="000A03B2"/>
    <w:rsid w:val="000A07EB"/>
    <w:rsid w:val="000A3B79"/>
    <w:rsid w:val="000B135D"/>
    <w:rsid w:val="000B4FF3"/>
    <w:rsid w:val="000B7CBF"/>
    <w:rsid w:val="000C3EB8"/>
    <w:rsid w:val="000C7471"/>
    <w:rsid w:val="000D0F65"/>
    <w:rsid w:val="000D34BE"/>
    <w:rsid w:val="000D66EC"/>
    <w:rsid w:val="000E102F"/>
    <w:rsid w:val="000E36F1"/>
    <w:rsid w:val="000E3A73"/>
    <w:rsid w:val="000E414A"/>
    <w:rsid w:val="000F093C"/>
    <w:rsid w:val="000F16BD"/>
    <w:rsid w:val="000F4DFE"/>
    <w:rsid w:val="000F787B"/>
    <w:rsid w:val="00100C94"/>
    <w:rsid w:val="0011127D"/>
    <w:rsid w:val="00112CE9"/>
    <w:rsid w:val="0012091F"/>
    <w:rsid w:val="00126BC2"/>
    <w:rsid w:val="001308B6"/>
    <w:rsid w:val="0013121F"/>
    <w:rsid w:val="00131FAB"/>
    <w:rsid w:val="00131FE6"/>
    <w:rsid w:val="0013263F"/>
    <w:rsid w:val="00134DE4"/>
    <w:rsid w:val="00136E5D"/>
    <w:rsid w:val="00136FE4"/>
    <w:rsid w:val="00137B75"/>
    <w:rsid w:val="0014034D"/>
    <w:rsid w:val="0014514F"/>
    <w:rsid w:val="00150E59"/>
    <w:rsid w:val="001511DA"/>
    <w:rsid w:val="00151E5A"/>
    <w:rsid w:val="00152535"/>
    <w:rsid w:val="00152DE3"/>
    <w:rsid w:val="0015632F"/>
    <w:rsid w:val="001605A2"/>
    <w:rsid w:val="00162642"/>
    <w:rsid w:val="00162CD6"/>
    <w:rsid w:val="00164CF9"/>
    <w:rsid w:val="001827AB"/>
    <w:rsid w:val="00184AD6"/>
    <w:rsid w:val="0019399A"/>
    <w:rsid w:val="001A10B2"/>
    <w:rsid w:val="001A5E85"/>
    <w:rsid w:val="001B0349"/>
    <w:rsid w:val="001B58C7"/>
    <w:rsid w:val="001B65C1"/>
    <w:rsid w:val="001C20AC"/>
    <w:rsid w:val="001C684B"/>
    <w:rsid w:val="001D53FC"/>
    <w:rsid w:val="001E2DBF"/>
    <w:rsid w:val="001E58DD"/>
    <w:rsid w:val="001F42A5"/>
    <w:rsid w:val="001F6BE6"/>
    <w:rsid w:val="001F7B9D"/>
    <w:rsid w:val="00204C3C"/>
    <w:rsid w:val="0021318C"/>
    <w:rsid w:val="00217E77"/>
    <w:rsid w:val="00220712"/>
    <w:rsid w:val="002224B4"/>
    <w:rsid w:val="00230E85"/>
    <w:rsid w:val="00236863"/>
    <w:rsid w:val="002375CF"/>
    <w:rsid w:val="00241293"/>
    <w:rsid w:val="002447EF"/>
    <w:rsid w:val="00246EEA"/>
    <w:rsid w:val="0024747B"/>
    <w:rsid w:val="00251550"/>
    <w:rsid w:val="00251B88"/>
    <w:rsid w:val="00252C1A"/>
    <w:rsid w:val="00256FBE"/>
    <w:rsid w:val="0026265A"/>
    <w:rsid w:val="00263B05"/>
    <w:rsid w:val="00266270"/>
    <w:rsid w:val="00267F70"/>
    <w:rsid w:val="0027221A"/>
    <w:rsid w:val="00272DA0"/>
    <w:rsid w:val="00275B61"/>
    <w:rsid w:val="00282656"/>
    <w:rsid w:val="00286682"/>
    <w:rsid w:val="00287AD0"/>
    <w:rsid w:val="00294C2F"/>
    <w:rsid w:val="00296B83"/>
    <w:rsid w:val="002A0CF3"/>
    <w:rsid w:val="002A5D68"/>
    <w:rsid w:val="002A7747"/>
    <w:rsid w:val="002B055B"/>
    <w:rsid w:val="002B20EA"/>
    <w:rsid w:val="002B3C06"/>
    <w:rsid w:val="002B78CE"/>
    <w:rsid w:val="002C2437"/>
    <w:rsid w:val="002C2FB6"/>
    <w:rsid w:val="002C73AC"/>
    <w:rsid w:val="002C746C"/>
    <w:rsid w:val="002C7950"/>
    <w:rsid w:val="002D3375"/>
    <w:rsid w:val="002D4929"/>
    <w:rsid w:val="002D4CFD"/>
    <w:rsid w:val="002D5BCD"/>
    <w:rsid w:val="002E24F6"/>
    <w:rsid w:val="002E5808"/>
    <w:rsid w:val="002F591B"/>
    <w:rsid w:val="003009B7"/>
    <w:rsid w:val="00300E56"/>
    <w:rsid w:val="0030469C"/>
    <w:rsid w:val="0031689E"/>
    <w:rsid w:val="00321CA6"/>
    <w:rsid w:val="003252AE"/>
    <w:rsid w:val="00325A34"/>
    <w:rsid w:val="00334C09"/>
    <w:rsid w:val="003365E3"/>
    <w:rsid w:val="00344E83"/>
    <w:rsid w:val="00363EC2"/>
    <w:rsid w:val="003723D4"/>
    <w:rsid w:val="003742F2"/>
    <w:rsid w:val="00380641"/>
    <w:rsid w:val="0038349A"/>
    <w:rsid w:val="003835BF"/>
    <w:rsid w:val="00384CC8"/>
    <w:rsid w:val="0038701E"/>
    <w:rsid w:val="003871FD"/>
    <w:rsid w:val="00392E76"/>
    <w:rsid w:val="0039331F"/>
    <w:rsid w:val="003936B0"/>
    <w:rsid w:val="00394D9B"/>
    <w:rsid w:val="00396CC6"/>
    <w:rsid w:val="003A1E30"/>
    <w:rsid w:val="003A373A"/>
    <w:rsid w:val="003A5BF2"/>
    <w:rsid w:val="003A6626"/>
    <w:rsid w:val="003A7D1C"/>
    <w:rsid w:val="003B2035"/>
    <w:rsid w:val="003B2270"/>
    <w:rsid w:val="003B304B"/>
    <w:rsid w:val="003B3146"/>
    <w:rsid w:val="003B3469"/>
    <w:rsid w:val="003B60F3"/>
    <w:rsid w:val="003C3AFD"/>
    <w:rsid w:val="003D2389"/>
    <w:rsid w:val="003D2C86"/>
    <w:rsid w:val="003D7198"/>
    <w:rsid w:val="003E31D3"/>
    <w:rsid w:val="003F015E"/>
    <w:rsid w:val="00400414"/>
    <w:rsid w:val="00403A08"/>
    <w:rsid w:val="00403F28"/>
    <w:rsid w:val="004062FB"/>
    <w:rsid w:val="004077A8"/>
    <w:rsid w:val="004105DA"/>
    <w:rsid w:val="00411D0C"/>
    <w:rsid w:val="0041446B"/>
    <w:rsid w:val="00414A3A"/>
    <w:rsid w:val="00424C95"/>
    <w:rsid w:val="00427794"/>
    <w:rsid w:val="0044329C"/>
    <w:rsid w:val="00444394"/>
    <w:rsid w:val="0044704D"/>
    <w:rsid w:val="004470C1"/>
    <w:rsid w:val="004541E0"/>
    <w:rsid w:val="00455566"/>
    <w:rsid w:val="00456B2D"/>
    <w:rsid w:val="004577FE"/>
    <w:rsid w:val="00457B9C"/>
    <w:rsid w:val="0046164A"/>
    <w:rsid w:val="004628D2"/>
    <w:rsid w:val="00462DCD"/>
    <w:rsid w:val="00463700"/>
    <w:rsid w:val="004648AD"/>
    <w:rsid w:val="004703A9"/>
    <w:rsid w:val="00475EC7"/>
    <w:rsid w:val="004760DE"/>
    <w:rsid w:val="0047610E"/>
    <w:rsid w:val="00482D35"/>
    <w:rsid w:val="0048690C"/>
    <w:rsid w:val="00490237"/>
    <w:rsid w:val="00490AE1"/>
    <w:rsid w:val="0049319A"/>
    <w:rsid w:val="004955E9"/>
    <w:rsid w:val="00497BC2"/>
    <w:rsid w:val="004A004E"/>
    <w:rsid w:val="004A12E3"/>
    <w:rsid w:val="004A24CF"/>
    <w:rsid w:val="004A53E4"/>
    <w:rsid w:val="004A5B27"/>
    <w:rsid w:val="004A5BFA"/>
    <w:rsid w:val="004B2261"/>
    <w:rsid w:val="004B48F6"/>
    <w:rsid w:val="004B6721"/>
    <w:rsid w:val="004C0E69"/>
    <w:rsid w:val="004C3D1D"/>
    <w:rsid w:val="004C7913"/>
    <w:rsid w:val="004D6E8B"/>
    <w:rsid w:val="004D7B5F"/>
    <w:rsid w:val="004E336B"/>
    <w:rsid w:val="004E3F8F"/>
    <w:rsid w:val="004E4359"/>
    <w:rsid w:val="004E4DD6"/>
    <w:rsid w:val="004F092F"/>
    <w:rsid w:val="004F5E36"/>
    <w:rsid w:val="005005C1"/>
    <w:rsid w:val="0050071E"/>
    <w:rsid w:val="0050386F"/>
    <w:rsid w:val="00507B47"/>
    <w:rsid w:val="00507CC9"/>
    <w:rsid w:val="005119A5"/>
    <w:rsid w:val="00514F3D"/>
    <w:rsid w:val="00522700"/>
    <w:rsid w:val="005278B7"/>
    <w:rsid w:val="00532016"/>
    <w:rsid w:val="005346C8"/>
    <w:rsid w:val="00543E7D"/>
    <w:rsid w:val="00546B05"/>
    <w:rsid w:val="00547A68"/>
    <w:rsid w:val="005531C9"/>
    <w:rsid w:val="00553AD6"/>
    <w:rsid w:val="00553B53"/>
    <w:rsid w:val="005618D1"/>
    <w:rsid w:val="00564A60"/>
    <w:rsid w:val="00565DD1"/>
    <w:rsid w:val="00567CA2"/>
    <w:rsid w:val="00576A57"/>
    <w:rsid w:val="00581A89"/>
    <w:rsid w:val="00585341"/>
    <w:rsid w:val="00591736"/>
    <w:rsid w:val="0059685E"/>
    <w:rsid w:val="005B2110"/>
    <w:rsid w:val="005B5967"/>
    <w:rsid w:val="005B61E6"/>
    <w:rsid w:val="005C17C1"/>
    <w:rsid w:val="005C77E1"/>
    <w:rsid w:val="005D0484"/>
    <w:rsid w:val="005D55DA"/>
    <w:rsid w:val="005D5CD5"/>
    <w:rsid w:val="005D6A2F"/>
    <w:rsid w:val="005E079A"/>
    <w:rsid w:val="005E1A82"/>
    <w:rsid w:val="005E4276"/>
    <w:rsid w:val="005E4456"/>
    <w:rsid w:val="005E4B04"/>
    <w:rsid w:val="005E794C"/>
    <w:rsid w:val="005F07CC"/>
    <w:rsid w:val="005F0A28"/>
    <w:rsid w:val="005F0E5E"/>
    <w:rsid w:val="005F6004"/>
    <w:rsid w:val="00600535"/>
    <w:rsid w:val="006055CF"/>
    <w:rsid w:val="0061057F"/>
    <w:rsid w:val="00610CD6"/>
    <w:rsid w:val="00613114"/>
    <w:rsid w:val="00616DF8"/>
    <w:rsid w:val="00620DEE"/>
    <w:rsid w:val="00621007"/>
    <w:rsid w:val="00621F92"/>
    <w:rsid w:val="00625639"/>
    <w:rsid w:val="00626B84"/>
    <w:rsid w:val="00627CD5"/>
    <w:rsid w:val="00631B33"/>
    <w:rsid w:val="00631CBF"/>
    <w:rsid w:val="00632C27"/>
    <w:rsid w:val="0064184D"/>
    <w:rsid w:val="006422CC"/>
    <w:rsid w:val="00652469"/>
    <w:rsid w:val="00660E3E"/>
    <w:rsid w:val="00662E74"/>
    <w:rsid w:val="00663997"/>
    <w:rsid w:val="006666F9"/>
    <w:rsid w:val="00680C23"/>
    <w:rsid w:val="0068150E"/>
    <w:rsid w:val="00682CB3"/>
    <w:rsid w:val="0068521E"/>
    <w:rsid w:val="00693766"/>
    <w:rsid w:val="006950F5"/>
    <w:rsid w:val="006A2458"/>
    <w:rsid w:val="006A3281"/>
    <w:rsid w:val="006B4888"/>
    <w:rsid w:val="006C1DA3"/>
    <w:rsid w:val="006C2E45"/>
    <w:rsid w:val="006C359C"/>
    <w:rsid w:val="006C47EE"/>
    <w:rsid w:val="006C5579"/>
    <w:rsid w:val="006D28F0"/>
    <w:rsid w:val="006E737D"/>
    <w:rsid w:val="006F09AF"/>
    <w:rsid w:val="006F32AD"/>
    <w:rsid w:val="006F3AC7"/>
    <w:rsid w:val="006F5E50"/>
    <w:rsid w:val="006F6793"/>
    <w:rsid w:val="0070195D"/>
    <w:rsid w:val="00701FF9"/>
    <w:rsid w:val="00702A37"/>
    <w:rsid w:val="00703FC6"/>
    <w:rsid w:val="0070448E"/>
    <w:rsid w:val="007060F4"/>
    <w:rsid w:val="007065F9"/>
    <w:rsid w:val="00706E2E"/>
    <w:rsid w:val="00710EAF"/>
    <w:rsid w:val="00714F8C"/>
    <w:rsid w:val="007161E9"/>
    <w:rsid w:val="00720A24"/>
    <w:rsid w:val="007235D8"/>
    <w:rsid w:val="00730127"/>
    <w:rsid w:val="00730228"/>
    <w:rsid w:val="00732386"/>
    <w:rsid w:val="0073502F"/>
    <w:rsid w:val="00740D0E"/>
    <w:rsid w:val="007447F3"/>
    <w:rsid w:val="007506E7"/>
    <w:rsid w:val="00750DBE"/>
    <w:rsid w:val="0075499F"/>
    <w:rsid w:val="00755100"/>
    <w:rsid w:val="00762B85"/>
    <w:rsid w:val="007661C8"/>
    <w:rsid w:val="00770531"/>
    <w:rsid w:val="0077098D"/>
    <w:rsid w:val="00770E7B"/>
    <w:rsid w:val="007718F4"/>
    <w:rsid w:val="00776DD7"/>
    <w:rsid w:val="0078367E"/>
    <w:rsid w:val="00786A8C"/>
    <w:rsid w:val="007931FA"/>
    <w:rsid w:val="007934B7"/>
    <w:rsid w:val="00793592"/>
    <w:rsid w:val="007A0B2B"/>
    <w:rsid w:val="007A3CA5"/>
    <w:rsid w:val="007A62B4"/>
    <w:rsid w:val="007A7BBA"/>
    <w:rsid w:val="007B0C50"/>
    <w:rsid w:val="007B2A8C"/>
    <w:rsid w:val="007C1A43"/>
    <w:rsid w:val="007C2884"/>
    <w:rsid w:val="007D090A"/>
    <w:rsid w:val="007E01AB"/>
    <w:rsid w:val="007E1DC6"/>
    <w:rsid w:val="007E3E0C"/>
    <w:rsid w:val="007F13F6"/>
    <w:rsid w:val="007F1FAA"/>
    <w:rsid w:val="007F30EE"/>
    <w:rsid w:val="007F34D1"/>
    <w:rsid w:val="007F653A"/>
    <w:rsid w:val="0080067C"/>
    <w:rsid w:val="00800DFE"/>
    <w:rsid w:val="00805463"/>
    <w:rsid w:val="00806AE6"/>
    <w:rsid w:val="00813288"/>
    <w:rsid w:val="008135B2"/>
    <w:rsid w:val="00814E9E"/>
    <w:rsid w:val="008168FC"/>
    <w:rsid w:val="00817EA0"/>
    <w:rsid w:val="00823039"/>
    <w:rsid w:val="00825123"/>
    <w:rsid w:val="008259BC"/>
    <w:rsid w:val="00830996"/>
    <w:rsid w:val="008345F1"/>
    <w:rsid w:val="00841AEC"/>
    <w:rsid w:val="0085484C"/>
    <w:rsid w:val="00855516"/>
    <w:rsid w:val="00860C4D"/>
    <w:rsid w:val="0086218A"/>
    <w:rsid w:val="00865B07"/>
    <w:rsid w:val="008667EA"/>
    <w:rsid w:val="008720C9"/>
    <w:rsid w:val="00874CEA"/>
    <w:rsid w:val="00875EBC"/>
    <w:rsid w:val="0087637F"/>
    <w:rsid w:val="00883932"/>
    <w:rsid w:val="008904B9"/>
    <w:rsid w:val="008913A8"/>
    <w:rsid w:val="00892AD5"/>
    <w:rsid w:val="00892E47"/>
    <w:rsid w:val="008A0EEC"/>
    <w:rsid w:val="008A1512"/>
    <w:rsid w:val="008A4AD7"/>
    <w:rsid w:val="008B0ADB"/>
    <w:rsid w:val="008C78C1"/>
    <w:rsid w:val="008D32B9"/>
    <w:rsid w:val="008D433B"/>
    <w:rsid w:val="008D48AD"/>
    <w:rsid w:val="008D666C"/>
    <w:rsid w:val="008E07CC"/>
    <w:rsid w:val="008E1CD9"/>
    <w:rsid w:val="008E566E"/>
    <w:rsid w:val="008E5A86"/>
    <w:rsid w:val="008E6319"/>
    <w:rsid w:val="0090161A"/>
    <w:rsid w:val="00901EB6"/>
    <w:rsid w:val="00904C62"/>
    <w:rsid w:val="00905773"/>
    <w:rsid w:val="009201BF"/>
    <w:rsid w:val="009222B5"/>
    <w:rsid w:val="009243BA"/>
    <w:rsid w:val="00924DAC"/>
    <w:rsid w:val="00927058"/>
    <w:rsid w:val="00937AB8"/>
    <w:rsid w:val="00941266"/>
    <w:rsid w:val="009450CE"/>
    <w:rsid w:val="009467F7"/>
    <w:rsid w:val="00946ED2"/>
    <w:rsid w:val="00947179"/>
    <w:rsid w:val="00947947"/>
    <w:rsid w:val="00947D3D"/>
    <w:rsid w:val="0095042E"/>
    <w:rsid w:val="00950464"/>
    <w:rsid w:val="0095164B"/>
    <w:rsid w:val="00954090"/>
    <w:rsid w:val="009560A1"/>
    <w:rsid w:val="009573E7"/>
    <w:rsid w:val="009635B9"/>
    <w:rsid w:val="00963E05"/>
    <w:rsid w:val="009656A8"/>
    <w:rsid w:val="00966D2A"/>
    <w:rsid w:val="00967D54"/>
    <w:rsid w:val="009738AA"/>
    <w:rsid w:val="00973D4C"/>
    <w:rsid w:val="00977620"/>
    <w:rsid w:val="00981D20"/>
    <w:rsid w:val="00982481"/>
    <w:rsid w:val="00996483"/>
    <w:rsid w:val="00996F5A"/>
    <w:rsid w:val="009A096C"/>
    <w:rsid w:val="009A0A3E"/>
    <w:rsid w:val="009A1102"/>
    <w:rsid w:val="009A64AF"/>
    <w:rsid w:val="009A79DC"/>
    <w:rsid w:val="009B041A"/>
    <w:rsid w:val="009B263B"/>
    <w:rsid w:val="009B516D"/>
    <w:rsid w:val="009C23FF"/>
    <w:rsid w:val="009C7C86"/>
    <w:rsid w:val="009D0460"/>
    <w:rsid w:val="009D2FF7"/>
    <w:rsid w:val="009D416B"/>
    <w:rsid w:val="009D7703"/>
    <w:rsid w:val="009D7882"/>
    <w:rsid w:val="009E7884"/>
    <w:rsid w:val="009E788A"/>
    <w:rsid w:val="009E7BBD"/>
    <w:rsid w:val="009F0E08"/>
    <w:rsid w:val="009F4369"/>
    <w:rsid w:val="00A03056"/>
    <w:rsid w:val="00A06FC9"/>
    <w:rsid w:val="00A15E46"/>
    <w:rsid w:val="00A1763D"/>
    <w:rsid w:val="00A17CEC"/>
    <w:rsid w:val="00A24C43"/>
    <w:rsid w:val="00A25E85"/>
    <w:rsid w:val="00A27422"/>
    <w:rsid w:val="00A27EF0"/>
    <w:rsid w:val="00A319E5"/>
    <w:rsid w:val="00A355EB"/>
    <w:rsid w:val="00A4060E"/>
    <w:rsid w:val="00A50B20"/>
    <w:rsid w:val="00A51390"/>
    <w:rsid w:val="00A5247E"/>
    <w:rsid w:val="00A5282A"/>
    <w:rsid w:val="00A528C7"/>
    <w:rsid w:val="00A60D13"/>
    <w:rsid w:val="00A6282C"/>
    <w:rsid w:val="00A65BEB"/>
    <w:rsid w:val="00A67C07"/>
    <w:rsid w:val="00A710DF"/>
    <w:rsid w:val="00A72745"/>
    <w:rsid w:val="00A7393A"/>
    <w:rsid w:val="00A76E83"/>
    <w:rsid w:val="00A76EFC"/>
    <w:rsid w:val="00A82477"/>
    <w:rsid w:val="00A91010"/>
    <w:rsid w:val="00A912B7"/>
    <w:rsid w:val="00A91991"/>
    <w:rsid w:val="00A97F29"/>
    <w:rsid w:val="00AA4CF0"/>
    <w:rsid w:val="00AA702E"/>
    <w:rsid w:val="00AB0964"/>
    <w:rsid w:val="00AB1392"/>
    <w:rsid w:val="00AB31F4"/>
    <w:rsid w:val="00AB39C9"/>
    <w:rsid w:val="00AB5011"/>
    <w:rsid w:val="00AC27A3"/>
    <w:rsid w:val="00AC7368"/>
    <w:rsid w:val="00AD16B9"/>
    <w:rsid w:val="00AD66A5"/>
    <w:rsid w:val="00AE377D"/>
    <w:rsid w:val="00AE396A"/>
    <w:rsid w:val="00AE7410"/>
    <w:rsid w:val="00AF0064"/>
    <w:rsid w:val="00AF164B"/>
    <w:rsid w:val="00AF2EC3"/>
    <w:rsid w:val="00AF3C58"/>
    <w:rsid w:val="00AF7B4E"/>
    <w:rsid w:val="00B013A8"/>
    <w:rsid w:val="00B043FF"/>
    <w:rsid w:val="00B060E8"/>
    <w:rsid w:val="00B11A0D"/>
    <w:rsid w:val="00B150D1"/>
    <w:rsid w:val="00B17FBD"/>
    <w:rsid w:val="00B315A6"/>
    <w:rsid w:val="00B31813"/>
    <w:rsid w:val="00B31FFC"/>
    <w:rsid w:val="00B33365"/>
    <w:rsid w:val="00B3390C"/>
    <w:rsid w:val="00B37C34"/>
    <w:rsid w:val="00B50D00"/>
    <w:rsid w:val="00B56C5A"/>
    <w:rsid w:val="00B57B36"/>
    <w:rsid w:val="00B6085D"/>
    <w:rsid w:val="00B61F18"/>
    <w:rsid w:val="00B62222"/>
    <w:rsid w:val="00B7200B"/>
    <w:rsid w:val="00B80D37"/>
    <w:rsid w:val="00B862D5"/>
    <w:rsid w:val="00B8686D"/>
    <w:rsid w:val="00B91826"/>
    <w:rsid w:val="00B933F0"/>
    <w:rsid w:val="00B94C93"/>
    <w:rsid w:val="00BA3876"/>
    <w:rsid w:val="00BB08AA"/>
    <w:rsid w:val="00BB3481"/>
    <w:rsid w:val="00BB520B"/>
    <w:rsid w:val="00BB5D32"/>
    <w:rsid w:val="00BC0635"/>
    <w:rsid w:val="00BC30C9"/>
    <w:rsid w:val="00BC7C2C"/>
    <w:rsid w:val="00BD4588"/>
    <w:rsid w:val="00BD6C0E"/>
    <w:rsid w:val="00BE12FF"/>
    <w:rsid w:val="00BE3E58"/>
    <w:rsid w:val="00BE4822"/>
    <w:rsid w:val="00BE5076"/>
    <w:rsid w:val="00BF098A"/>
    <w:rsid w:val="00BF1C2D"/>
    <w:rsid w:val="00BF3D7B"/>
    <w:rsid w:val="00C01616"/>
    <w:rsid w:val="00C0162B"/>
    <w:rsid w:val="00C1001F"/>
    <w:rsid w:val="00C11BD8"/>
    <w:rsid w:val="00C1529A"/>
    <w:rsid w:val="00C15E7E"/>
    <w:rsid w:val="00C345B1"/>
    <w:rsid w:val="00C34CE7"/>
    <w:rsid w:val="00C34DA9"/>
    <w:rsid w:val="00C378C0"/>
    <w:rsid w:val="00C40142"/>
    <w:rsid w:val="00C441D4"/>
    <w:rsid w:val="00C545A5"/>
    <w:rsid w:val="00C57182"/>
    <w:rsid w:val="00C57863"/>
    <w:rsid w:val="00C60A4D"/>
    <w:rsid w:val="00C655FD"/>
    <w:rsid w:val="00C80814"/>
    <w:rsid w:val="00C81FCF"/>
    <w:rsid w:val="00C82CBC"/>
    <w:rsid w:val="00C82D66"/>
    <w:rsid w:val="00C870A8"/>
    <w:rsid w:val="00C937FA"/>
    <w:rsid w:val="00C94434"/>
    <w:rsid w:val="00C96057"/>
    <w:rsid w:val="00CA0D75"/>
    <w:rsid w:val="00CA1C95"/>
    <w:rsid w:val="00CA5A9C"/>
    <w:rsid w:val="00CA65F1"/>
    <w:rsid w:val="00CA665C"/>
    <w:rsid w:val="00CA7F2B"/>
    <w:rsid w:val="00CB244A"/>
    <w:rsid w:val="00CB436C"/>
    <w:rsid w:val="00CC1D47"/>
    <w:rsid w:val="00CC2378"/>
    <w:rsid w:val="00CC6276"/>
    <w:rsid w:val="00CD1194"/>
    <w:rsid w:val="00CD1922"/>
    <w:rsid w:val="00CD216D"/>
    <w:rsid w:val="00CD23EA"/>
    <w:rsid w:val="00CD3517"/>
    <w:rsid w:val="00CD5A00"/>
    <w:rsid w:val="00CD5FE2"/>
    <w:rsid w:val="00CD6E4D"/>
    <w:rsid w:val="00CE4E60"/>
    <w:rsid w:val="00CE7C68"/>
    <w:rsid w:val="00CF0CFA"/>
    <w:rsid w:val="00CF15FC"/>
    <w:rsid w:val="00CF2609"/>
    <w:rsid w:val="00CF56BF"/>
    <w:rsid w:val="00D0006A"/>
    <w:rsid w:val="00D02B4C"/>
    <w:rsid w:val="00D040C4"/>
    <w:rsid w:val="00D07354"/>
    <w:rsid w:val="00D17742"/>
    <w:rsid w:val="00D177B7"/>
    <w:rsid w:val="00D232C8"/>
    <w:rsid w:val="00D23FD2"/>
    <w:rsid w:val="00D32EDE"/>
    <w:rsid w:val="00D5144A"/>
    <w:rsid w:val="00D517D4"/>
    <w:rsid w:val="00D57C84"/>
    <w:rsid w:val="00D6057D"/>
    <w:rsid w:val="00D65803"/>
    <w:rsid w:val="00D743CE"/>
    <w:rsid w:val="00D81587"/>
    <w:rsid w:val="00D84576"/>
    <w:rsid w:val="00D9226F"/>
    <w:rsid w:val="00DA1399"/>
    <w:rsid w:val="00DA24C6"/>
    <w:rsid w:val="00DA4D7B"/>
    <w:rsid w:val="00DA7547"/>
    <w:rsid w:val="00DB1F9D"/>
    <w:rsid w:val="00DB3B4A"/>
    <w:rsid w:val="00DB4E50"/>
    <w:rsid w:val="00DB5D45"/>
    <w:rsid w:val="00DB7EAE"/>
    <w:rsid w:val="00DC2C7A"/>
    <w:rsid w:val="00DC3936"/>
    <w:rsid w:val="00DC6C40"/>
    <w:rsid w:val="00DD0F16"/>
    <w:rsid w:val="00DD424C"/>
    <w:rsid w:val="00DE2083"/>
    <w:rsid w:val="00DE264A"/>
    <w:rsid w:val="00DE6C7F"/>
    <w:rsid w:val="00DF0366"/>
    <w:rsid w:val="00DF42A5"/>
    <w:rsid w:val="00E02D18"/>
    <w:rsid w:val="00E041E7"/>
    <w:rsid w:val="00E23CA1"/>
    <w:rsid w:val="00E26995"/>
    <w:rsid w:val="00E33005"/>
    <w:rsid w:val="00E354C3"/>
    <w:rsid w:val="00E409A8"/>
    <w:rsid w:val="00E434D5"/>
    <w:rsid w:val="00E4734A"/>
    <w:rsid w:val="00E50C12"/>
    <w:rsid w:val="00E51C30"/>
    <w:rsid w:val="00E65B91"/>
    <w:rsid w:val="00E6615E"/>
    <w:rsid w:val="00E66F48"/>
    <w:rsid w:val="00E6724F"/>
    <w:rsid w:val="00E7209D"/>
    <w:rsid w:val="00E77223"/>
    <w:rsid w:val="00E8528B"/>
    <w:rsid w:val="00E85B94"/>
    <w:rsid w:val="00E90D03"/>
    <w:rsid w:val="00E978D0"/>
    <w:rsid w:val="00EA4613"/>
    <w:rsid w:val="00EA56E1"/>
    <w:rsid w:val="00EA6B92"/>
    <w:rsid w:val="00EA7F91"/>
    <w:rsid w:val="00EB1523"/>
    <w:rsid w:val="00EB56B9"/>
    <w:rsid w:val="00EB6B2A"/>
    <w:rsid w:val="00EB75AB"/>
    <w:rsid w:val="00EC0E49"/>
    <w:rsid w:val="00EC5E23"/>
    <w:rsid w:val="00ED29E7"/>
    <w:rsid w:val="00ED73A4"/>
    <w:rsid w:val="00EE0131"/>
    <w:rsid w:val="00EF1CBE"/>
    <w:rsid w:val="00EF520F"/>
    <w:rsid w:val="00EF5A69"/>
    <w:rsid w:val="00EF6808"/>
    <w:rsid w:val="00F0171C"/>
    <w:rsid w:val="00F02CDC"/>
    <w:rsid w:val="00F036C0"/>
    <w:rsid w:val="00F07FBC"/>
    <w:rsid w:val="00F13642"/>
    <w:rsid w:val="00F155B2"/>
    <w:rsid w:val="00F2236D"/>
    <w:rsid w:val="00F308AB"/>
    <w:rsid w:val="00F30C64"/>
    <w:rsid w:val="00F32CDB"/>
    <w:rsid w:val="00F40D8E"/>
    <w:rsid w:val="00F45ACB"/>
    <w:rsid w:val="00F6014C"/>
    <w:rsid w:val="00F607FE"/>
    <w:rsid w:val="00F63A70"/>
    <w:rsid w:val="00F63E43"/>
    <w:rsid w:val="00F6627F"/>
    <w:rsid w:val="00F66461"/>
    <w:rsid w:val="00F6776F"/>
    <w:rsid w:val="00F74B65"/>
    <w:rsid w:val="00F75E77"/>
    <w:rsid w:val="00F80048"/>
    <w:rsid w:val="00F80EDA"/>
    <w:rsid w:val="00F80FFC"/>
    <w:rsid w:val="00F844F9"/>
    <w:rsid w:val="00FA21D0"/>
    <w:rsid w:val="00FA30F2"/>
    <w:rsid w:val="00FA5F5F"/>
    <w:rsid w:val="00FB6492"/>
    <w:rsid w:val="00FB730C"/>
    <w:rsid w:val="00FB7DE6"/>
    <w:rsid w:val="00FC2695"/>
    <w:rsid w:val="00FC3E03"/>
    <w:rsid w:val="00FC3FC1"/>
    <w:rsid w:val="00FE5C9F"/>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E3C43"/>
  <w15:docId w15:val="{794CBDA7-DAAB-419F-AE27-14A8D525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CD1922"/>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CETTabletitle"/>
    <w:next w:val="Normal"/>
    <w:uiPriority w:val="35"/>
    <w:unhideWhenUsed/>
    <w:qFormat/>
    <w:rsid w:val="00455566"/>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MenoPendente1">
    <w:name w:val="Menção Pendente1"/>
    <w:basedOn w:val="Fontepargpadro"/>
    <w:uiPriority w:val="99"/>
    <w:semiHidden/>
    <w:unhideWhenUsed/>
    <w:rsid w:val="00B94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6455">
      <w:bodyDiv w:val="1"/>
      <w:marLeft w:val="0"/>
      <w:marRight w:val="0"/>
      <w:marTop w:val="0"/>
      <w:marBottom w:val="0"/>
      <w:divBdr>
        <w:top w:val="none" w:sz="0" w:space="0" w:color="auto"/>
        <w:left w:val="none" w:sz="0" w:space="0" w:color="auto"/>
        <w:bottom w:val="none" w:sz="0" w:space="0" w:color="auto"/>
        <w:right w:val="none" w:sz="0" w:space="0" w:color="auto"/>
      </w:divBdr>
    </w:div>
    <w:div w:id="155021671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651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yperlink" Target="mailto:*marina.oncken@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7C79B-7B74-4044-BA79-38DA71C7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7651</Words>
  <Characters>41318</Characters>
  <Application>Microsoft Office Word</Application>
  <DocSecurity>0</DocSecurity>
  <Lines>344</Lines>
  <Paragraphs>97</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48872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Marina Oncken</cp:lastModifiedBy>
  <cp:revision>2</cp:revision>
  <cp:lastPrinted>2015-05-12T18:31:00Z</cp:lastPrinted>
  <dcterms:created xsi:type="dcterms:W3CDTF">2019-04-16T03:54:00Z</dcterms:created>
  <dcterms:modified xsi:type="dcterms:W3CDTF">2019-04-16T03:54:00Z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http://www.zotero.org/styles/acs-sustainable-chemistry-and-engineering</vt:lpwstr>
  </property>
  <property fmtid="{D5CDD505-2E9C-101B-9397-08002B2CF9AE}" pid="5" name="Mendeley Recent Style Name 0_1">
    <vt:lpwstr>ACS Sustainable Chemistry &amp; Engineering</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http://www.zotero.org/styles/associacao-brasileira-de-normas-tecnicas</vt:lpwstr>
  </property>
  <property fmtid="{D5CDD505-2E9C-101B-9397-08002B2CF9AE}" pid="9" name="Mendeley Recent Style Name 2_1">
    <vt:lpwstr>Associação Brasileira de Normas Técnicas (Portuguese - Brazil)</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http://www.zotero.org/styles/ecological-informatics</vt:lpwstr>
  </property>
  <property fmtid="{D5CDD505-2E9C-101B-9397-08002B2CF9AE}" pid="13" name="Mendeley Recent Style Name 4_1">
    <vt:lpwstr>Ecological Informatics</vt:lpwstr>
  </property>
  <property fmtid="{D5CDD505-2E9C-101B-9397-08002B2CF9AE}" pid="14" name="Mendeley Recent Style Id 5_1">
    <vt:lpwstr>http://www.zotero.org/styles/ecological-modelling</vt:lpwstr>
  </property>
  <property fmtid="{D5CDD505-2E9C-101B-9397-08002B2CF9AE}" pid="15" name="Mendeley Recent Style Name 5_1">
    <vt:lpwstr>Ecological Modelling</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http://www.zotero.org/styles/national-library-of-medicine</vt:lpwstr>
  </property>
  <property fmtid="{D5CDD505-2E9C-101B-9397-08002B2CF9AE}" pid="21" name="Mendeley Recent Style Name 8_1">
    <vt:lpwstr>National Library of Medicine</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709fab13-08c1-3b6e-a436-ccd0ec0fc267</vt:lpwstr>
  </property>
  <property fmtid="{D5CDD505-2E9C-101B-9397-08002B2CF9AE}" pid="26" name="Mendeley Citation Style_1">
    <vt:lpwstr>http://www.zotero.org/styles/ecological-informatics</vt:lpwstr>
  </property>
</Properties>
</file>