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trPr>
          <w:trHeight w:val="852"/>
          <w:jc w:val="center"/>
        </w:trPr>
        <w:tc>
          <w:tcPr>
            <w:tcW w:w="6946" w:type="dxa"/>
            <w:vMerge w:val="restart"/>
            <w:tcBorders>
              <w:right w:val="single" w:sz="4" w:space="0" w:color="auto"/>
            </w:tcBorders>
          </w:tcPr>
          <w:p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pt-BR" w:eastAsia="pt-BR"/>
              </w:rPr>
              <w:drawing>
                <wp:inline distT="0" distB="0" distL="0" distR="0">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rsidR="000A03B2" w:rsidRPr="00B57B36" w:rsidRDefault="00A76EFC" w:rsidP="009635B9">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7931FA">
              <w:rPr>
                <w:rFonts w:cs="Arial"/>
                <w:b/>
                <w:bCs/>
                <w:i/>
                <w:iCs/>
                <w:color w:val="000066"/>
                <w:sz w:val="22"/>
                <w:szCs w:val="22"/>
                <w:lang w:eastAsia="it-IT"/>
              </w:rPr>
              <w:t>7</w:t>
            </w:r>
            <w:r w:rsidR="009635B9">
              <w:rPr>
                <w:rFonts w:cs="Arial"/>
                <w:b/>
                <w:bCs/>
                <w:i/>
                <w:iCs/>
                <w:color w:val="000066"/>
                <w:sz w:val="22"/>
                <w:szCs w:val="22"/>
                <w:lang w:eastAsia="it-IT"/>
              </w:rPr>
              <w:t>6</w:t>
            </w:r>
            <w:r w:rsidR="00FA5F5F">
              <w:rPr>
                <w:rFonts w:cs="Arial"/>
                <w:b/>
                <w:bCs/>
                <w:i/>
                <w:iCs/>
                <w:color w:val="000066"/>
                <w:sz w:val="22"/>
                <w:szCs w:val="22"/>
                <w:lang w:eastAsia="it-IT"/>
              </w:rPr>
              <w:t>, 201</w:t>
            </w:r>
            <w:r w:rsidR="007931FA">
              <w:rPr>
                <w:rFonts w:cs="Arial"/>
                <w:b/>
                <w:bCs/>
                <w:i/>
                <w:iCs/>
                <w:color w:val="000066"/>
                <w:sz w:val="22"/>
                <w:szCs w:val="22"/>
                <w:lang w:eastAsia="it-IT"/>
              </w:rPr>
              <w:t>9</w:t>
            </w:r>
          </w:p>
        </w:tc>
        <w:tc>
          <w:tcPr>
            <w:tcW w:w="1843" w:type="dxa"/>
            <w:tcBorders>
              <w:left w:val="single" w:sz="4" w:space="0" w:color="auto"/>
              <w:bottom w:val="nil"/>
              <w:right w:val="single" w:sz="4" w:space="0" w:color="auto"/>
            </w:tcBorders>
          </w:tcPr>
          <w:p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rsidR="000A03B2" w:rsidRPr="00B57B36" w:rsidRDefault="000A03B2" w:rsidP="00CD5FE2">
            <w:pPr>
              <w:jc w:val="right"/>
            </w:pPr>
            <w:r w:rsidRPr="00B57B36">
              <w:rPr>
                <w:noProof/>
                <w:lang w:val="pt-BR" w:eastAsia="pt-BR"/>
              </w:rPr>
              <w:drawing>
                <wp:inline distT="0" distB="0" distL="0" distR="0">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trPr>
          <w:trHeight w:val="567"/>
          <w:jc w:val="center"/>
        </w:trPr>
        <w:tc>
          <w:tcPr>
            <w:tcW w:w="6946" w:type="dxa"/>
            <w:vMerge/>
            <w:tcBorders>
              <w:right w:val="single" w:sz="4" w:space="0" w:color="auto"/>
            </w:tcBorders>
          </w:tcPr>
          <w:p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rsidR="000A03B2" w:rsidRPr="00B57B36" w:rsidRDefault="000A03B2" w:rsidP="00162642">
            <w:pPr>
              <w:spacing w:line="140" w:lineRule="atLeast"/>
              <w:jc w:val="right"/>
              <w:rPr>
                <w:rFonts w:cs="Arial"/>
                <w:sz w:val="14"/>
                <w:szCs w:val="14"/>
              </w:rPr>
            </w:pPr>
            <w:r w:rsidRPr="00B57B36">
              <w:rPr>
                <w:rFonts w:cs="Arial"/>
                <w:sz w:val="14"/>
                <w:szCs w:val="14"/>
              </w:rPr>
              <w:t xml:space="preserve">Online at </w:t>
            </w:r>
            <w:r w:rsidR="00162642">
              <w:rPr>
                <w:rFonts w:cs="Arial"/>
                <w:sz w:val="14"/>
                <w:szCs w:val="14"/>
              </w:rPr>
              <w:t>www.cetjournal.it</w:t>
            </w:r>
          </w:p>
        </w:tc>
      </w:tr>
      <w:tr w:rsidR="000A03B2" w:rsidRPr="00B57B36">
        <w:trPr>
          <w:trHeight w:val="68"/>
          <w:jc w:val="center"/>
        </w:trPr>
        <w:tc>
          <w:tcPr>
            <w:tcW w:w="8789" w:type="dxa"/>
            <w:gridSpan w:val="2"/>
          </w:tcPr>
          <w:p w:rsidR="00300E56" w:rsidRPr="00252C1A" w:rsidRDefault="00300E56" w:rsidP="003365E3">
            <w:pPr>
              <w:ind w:left="-107"/>
              <w:rPr>
                <w:lang w:val="it-IT"/>
              </w:rPr>
            </w:pPr>
            <w:r w:rsidRPr="00252C1A">
              <w:rPr>
                <w:rFonts w:ascii="Tahoma" w:hAnsi="Tahoma" w:cs="Tahoma"/>
                <w:iCs/>
                <w:color w:val="333333"/>
                <w:sz w:val="14"/>
                <w:szCs w:val="14"/>
                <w:lang w:val="it-IT" w:eastAsia="it-IT"/>
              </w:rPr>
              <w:t>Guest Editors:</w:t>
            </w:r>
            <w:r w:rsidR="00904C62" w:rsidRPr="00252C1A">
              <w:rPr>
                <w:rFonts w:ascii="Tahoma" w:hAnsi="Tahoma" w:cs="Tahoma"/>
                <w:iCs/>
                <w:color w:val="333333"/>
                <w:sz w:val="14"/>
                <w:szCs w:val="14"/>
                <w:lang w:val="it-IT" w:eastAsia="it-IT"/>
              </w:rPr>
              <w:t xml:space="preserve"> </w:t>
            </w:r>
            <w:r w:rsidR="009635B9" w:rsidRPr="00252C1A">
              <w:rPr>
                <w:rFonts w:ascii="Tahoma" w:hAnsi="Tahoma" w:cs="Tahoma"/>
                <w:sz w:val="14"/>
                <w:szCs w:val="14"/>
                <w:lang w:val="it-IT"/>
              </w:rPr>
              <w:t>Sauro Pierucci,</w:t>
            </w:r>
            <w:r w:rsidR="003B60F3" w:rsidRPr="00252C1A">
              <w:rPr>
                <w:rFonts w:ascii="Tahoma" w:hAnsi="Tahoma" w:cs="Tahoma"/>
                <w:sz w:val="14"/>
                <w:szCs w:val="14"/>
                <w:lang w:val="it-IT"/>
              </w:rPr>
              <w:t xml:space="preserve"> </w:t>
            </w:r>
            <w:r w:rsidR="00047D7F" w:rsidRPr="00252C1A">
              <w:rPr>
                <w:rFonts w:ascii="Tahoma" w:hAnsi="Tahoma" w:cs="Tahoma"/>
                <w:sz w:val="14"/>
                <w:szCs w:val="14"/>
                <w:shd w:val="clear" w:color="auto" w:fill="FFFFFF"/>
                <w:lang w:val="it-IT"/>
              </w:rPr>
              <w:t>Jiří Jaromír Klemeš</w:t>
            </w:r>
            <w:r w:rsidR="00252C1A">
              <w:rPr>
                <w:rFonts w:ascii="Tahoma" w:hAnsi="Tahoma" w:cs="Tahoma"/>
                <w:sz w:val="14"/>
                <w:szCs w:val="14"/>
                <w:shd w:val="clear" w:color="auto" w:fill="FFFFFF"/>
                <w:lang w:val="it-IT"/>
              </w:rPr>
              <w:t>, Lau</w:t>
            </w:r>
            <w:r w:rsidR="00252C1A" w:rsidRPr="00252C1A">
              <w:rPr>
                <w:rFonts w:ascii="Tahoma" w:hAnsi="Tahoma" w:cs="Tahoma"/>
                <w:sz w:val="14"/>
                <w:szCs w:val="14"/>
                <w:shd w:val="clear" w:color="auto" w:fill="FFFFFF"/>
                <w:lang w:val="it-IT"/>
              </w:rPr>
              <w:t>ra Piazza</w:t>
            </w:r>
          </w:p>
          <w:p w:rsidR="000A03B2" w:rsidRPr="00B57B36" w:rsidRDefault="00FA5F5F" w:rsidP="00131FAB">
            <w:pPr>
              <w:tabs>
                <w:tab w:val="left" w:pos="-108"/>
              </w:tabs>
              <w:spacing w:line="140" w:lineRule="atLeast"/>
              <w:ind w:left="-107"/>
              <w:jc w:val="left"/>
            </w:pPr>
            <w:r>
              <w:rPr>
                <w:rFonts w:ascii="Tahoma" w:hAnsi="Tahoma" w:cs="Tahoma"/>
                <w:iCs/>
                <w:color w:val="333333"/>
                <w:sz w:val="14"/>
                <w:szCs w:val="14"/>
                <w:lang w:eastAsia="it-IT"/>
              </w:rPr>
              <w:t>Copyright © 201</w:t>
            </w:r>
            <w:r w:rsidR="007931FA">
              <w:rPr>
                <w:rFonts w:ascii="Tahoma" w:hAnsi="Tahoma" w:cs="Tahoma"/>
                <w:iCs/>
                <w:color w:val="333333"/>
                <w:sz w:val="14"/>
                <w:szCs w:val="14"/>
                <w:lang w:eastAsia="it-IT"/>
              </w:rPr>
              <w:t>9</w:t>
            </w:r>
            <w:r w:rsidR="00904C62" w:rsidRPr="00B57B36">
              <w:rPr>
                <w:rFonts w:ascii="Tahoma" w:hAnsi="Tahoma" w:cs="Tahoma"/>
                <w:iCs/>
                <w:color w:val="333333"/>
                <w:sz w:val="14"/>
                <w:szCs w:val="14"/>
                <w:lang w:eastAsia="it-IT"/>
              </w:rPr>
              <w:t>, AIDIC Servizi S.r.l.</w:t>
            </w:r>
            <w:r w:rsidR="00300E56" w:rsidRPr="00B57B36">
              <w:rPr>
                <w:rFonts w:ascii="Tahoma" w:hAnsi="Tahoma" w:cs="Tahoma"/>
                <w:iCs/>
                <w:color w:val="333333"/>
                <w:sz w:val="14"/>
                <w:szCs w:val="14"/>
                <w:lang w:eastAsia="it-IT"/>
              </w:rPr>
              <w:br/>
            </w:r>
            <w:r w:rsidR="00300E56" w:rsidRPr="00B57B36">
              <w:rPr>
                <w:rFonts w:ascii="Tahoma" w:hAnsi="Tahoma" w:cs="Tahoma"/>
                <w:b/>
                <w:iCs/>
                <w:color w:val="000000"/>
                <w:sz w:val="14"/>
                <w:szCs w:val="14"/>
                <w:lang w:eastAsia="it-IT"/>
              </w:rPr>
              <w:t>ISBN</w:t>
            </w:r>
            <w:r w:rsidR="00300E56" w:rsidRPr="00B57B36">
              <w:rPr>
                <w:rFonts w:ascii="Tahoma" w:hAnsi="Tahoma" w:cs="Tahoma"/>
                <w:iCs/>
                <w:color w:val="000000"/>
                <w:sz w:val="14"/>
                <w:szCs w:val="14"/>
                <w:lang w:eastAsia="it-IT"/>
              </w:rPr>
              <w:t xml:space="preserve"> </w:t>
            </w:r>
            <w:r w:rsidR="008D32B9" w:rsidRPr="00131FAB">
              <w:rPr>
                <w:rFonts w:ascii="Tahoma" w:hAnsi="Tahoma" w:cs="Tahoma"/>
                <w:sz w:val="14"/>
                <w:szCs w:val="14"/>
              </w:rPr>
              <w:t>978-88-95608-</w:t>
            </w:r>
            <w:r w:rsidR="009635B9">
              <w:rPr>
                <w:rFonts w:ascii="Tahoma" w:hAnsi="Tahoma" w:cs="Tahoma"/>
                <w:sz w:val="14"/>
                <w:szCs w:val="14"/>
              </w:rPr>
              <w:t>73</w:t>
            </w:r>
            <w:r w:rsidR="008D32B9" w:rsidRPr="00131FAB">
              <w:rPr>
                <w:rFonts w:ascii="Tahoma" w:hAnsi="Tahoma" w:cs="Tahoma"/>
                <w:sz w:val="14"/>
                <w:szCs w:val="14"/>
              </w:rPr>
              <w:t>-</w:t>
            </w:r>
            <w:r w:rsidR="009635B9">
              <w:rPr>
                <w:rFonts w:ascii="Tahoma" w:hAnsi="Tahoma" w:cs="Tahoma"/>
                <w:sz w:val="14"/>
                <w:szCs w:val="14"/>
              </w:rPr>
              <w:t>0</w:t>
            </w:r>
            <w:r w:rsidR="00300E56" w:rsidRPr="00131FAB">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t xml:space="preserve"> </w:t>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rsidR="000A03B2" w:rsidRPr="00B57B36" w:rsidRDefault="000A03B2" w:rsidP="000A03B2">
      <w:pPr>
        <w:pStyle w:val="CETAuthors"/>
        <w:sectPr w:rsidR="000A03B2" w:rsidRPr="00B57B36">
          <w:type w:val="continuous"/>
          <w:pgSz w:w="11906" w:h="16838" w:code="9"/>
          <w:pgMar w:top="1701" w:right="1418" w:bottom="1701" w:left="1701" w:header="1701" w:footer="0" w:gutter="0"/>
          <w:cols w:space="708"/>
          <w:titlePg/>
          <w:docGrid w:linePitch="360"/>
        </w:sectPr>
      </w:pPr>
    </w:p>
    <w:p w:rsidR="00505114" w:rsidRPr="00505626" w:rsidRDefault="00505114" w:rsidP="00505114">
      <w:pPr>
        <w:pStyle w:val="CETTitle"/>
      </w:pPr>
      <w:r>
        <w:lastRenderedPageBreak/>
        <w:t>Cassava</w:t>
      </w:r>
      <w:r w:rsidRPr="00505626">
        <w:t xml:space="preserve"> </w:t>
      </w:r>
      <w:r>
        <w:t>W</w:t>
      </w:r>
      <w:r w:rsidRPr="00505626">
        <w:t xml:space="preserve">astewater </w:t>
      </w:r>
      <w:r>
        <w:t>T</w:t>
      </w:r>
      <w:r w:rsidRPr="00505626">
        <w:t xml:space="preserve">reatment </w:t>
      </w:r>
      <w:r>
        <w:t>by</w:t>
      </w:r>
      <w:r w:rsidRPr="00505626">
        <w:t xml:space="preserve"> Coagulation/Floc</w:t>
      </w:r>
      <w:r>
        <w:t>c</w:t>
      </w:r>
      <w:r w:rsidRPr="00505626">
        <w:t xml:space="preserve">ulation </w:t>
      </w:r>
      <w:r>
        <w:t>Using</w:t>
      </w:r>
      <w:r w:rsidRPr="00505626">
        <w:t xml:space="preserve"> </w:t>
      </w:r>
      <w:r w:rsidRPr="00505626">
        <w:rPr>
          <w:i/>
        </w:rPr>
        <w:t>Moringa oleifera</w:t>
      </w:r>
      <w:r>
        <w:rPr>
          <w:i/>
        </w:rPr>
        <w:t xml:space="preserve"> </w:t>
      </w:r>
      <w:r>
        <w:t>S</w:t>
      </w:r>
      <w:r w:rsidRPr="00505626">
        <w:t>eeds</w:t>
      </w:r>
    </w:p>
    <w:p w:rsidR="00505114" w:rsidRPr="00C154EE" w:rsidRDefault="00505114" w:rsidP="00505114">
      <w:pPr>
        <w:pStyle w:val="CETAuthors"/>
        <w:rPr>
          <w:lang w:val="pt-BR"/>
        </w:rPr>
      </w:pPr>
      <w:r w:rsidRPr="00D94B2F">
        <w:rPr>
          <w:lang w:val="pt-BR"/>
        </w:rPr>
        <w:t>Ana Paula Trevisan</w:t>
      </w:r>
      <w:r>
        <w:rPr>
          <w:vertAlign w:val="superscript"/>
          <w:lang w:val="pt-BR"/>
        </w:rPr>
        <w:t>a</w:t>
      </w:r>
      <w:r>
        <w:rPr>
          <w:lang w:val="pt-BR"/>
        </w:rPr>
        <w:t>*, Eduardo B.</w:t>
      </w:r>
      <w:r w:rsidRPr="00D94B2F">
        <w:rPr>
          <w:lang w:val="pt-BR"/>
        </w:rPr>
        <w:t xml:space="preserve"> Lied</w:t>
      </w:r>
      <w:r>
        <w:rPr>
          <w:vertAlign w:val="superscript"/>
          <w:lang w:val="pt-BR"/>
        </w:rPr>
        <w:t>b</w:t>
      </w:r>
      <w:r>
        <w:rPr>
          <w:lang w:val="pt-BR"/>
        </w:rPr>
        <w:t>, Fábio L.</w:t>
      </w:r>
      <w:r w:rsidRPr="00D94B2F">
        <w:rPr>
          <w:lang w:val="pt-BR"/>
        </w:rPr>
        <w:t xml:space="preserve"> Fronza</w:t>
      </w:r>
      <w:r>
        <w:rPr>
          <w:vertAlign w:val="superscript"/>
          <w:lang w:val="pt-BR"/>
        </w:rPr>
        <w:t>b</w:t>
      </w:r>
      <w:r>
        <w:rPr>
          <w:lang w:val="pt-BR"/>
        </w:rPr>
        <w:t>, Kauanna U.</w:t>
      </w:r>
      <w:r w:rsidRPr="00D94B2F">
        <w:rPr>
          <w:lang w:val="pt-BR"/>
        </w:rPr>
        <w:t xml:space="preserve"> Devens</w:t>
      </w:r>
      <w:r>
        <w:rPr>
          <w:vertAlign w:val="superscript"/>
          <w:lang w:val="pt-BR"/>
        </w:rPr>
        <w:t>a</w:t>
      </w:r>
      <w:r>
        <w:rPr>
          <w:lang w:val="pt-BR"/>
        </w:rPr>
        <w:t>, Simone D. Gomes</w:t>
      </w:r>
      <w:r>
        <w:rPr>
          <w:vertAlign w:val="superscript"/>
          <w:lang w:val="pt-BR"/>
        </w:rPr>
        <w:t>a</w:t>
      </w:r>
    </w:p>
    <w:p w:rsidR="00505114" w:rsidRPr="00B8143C" w:rsidRDefault="00505114" w:rsidP="00505114">
      <w:pPr>
        <w:pStyle w:val="CETAddress"/>
        <w:rPr>
          <w:rStyle w:val="3oh-"/>
          <w:szCs w:val="16"/>
          <w:lang w:val="pt-BR"/>
        </w:rPr>
      </w:pPr>
      <w:r w:rsidRPr="00B8143C">
        <w:rPr>
          <w:rStyle w:val="3oh-"/>
          <w:szCs w:val="16"/>
          <w:vertAlign w:val="superscript"/>
          <w:lang w:val="pt-BR"/>
        </w:rPr>
        <w:t>a</w:t>
      </w:r>
      <w:r w:rsidRPr="00B8143C">
        <w:rPr>
          <w:rStyle w:val="3oh-"/>
          <w:szCs w:val="16"/>
          <w:lang w:val="pt-BR"/>
        </w:rPr>
        <w:t>Western Parana State University, Agricultural Engineering Graduate Program, Laboratory of Biological Reactors, Rua Universitária, 2069, Jardim Universitário, 85.819-110, Cascavel, Paraná, Brazil</w:t>
      </w:r>
    </w:p>
    <w:p w:rsidR="00505114" w:rsidRPr="0007227D" w:rsidRDefault="00505114" w:rsidP="00505114">
      <w:pPr>
        <w:pStyle w:val="CETAddress"/>
        <w:rPr>
          <w:rStyle w:val="3oh-"/>
          <w:szCs w:val="16"/>
          <w:lang w:val="pt-BR"/>
        </w:rPr>
      </w:pPr>
      <w:r w:rsidRPr="0007227D">
        <w:rPr>
          <w:rStyle w:val="3oh-"/>
          <w:szCs w:val="16"/>
          <w:vertAlign w:val="superscript"/>
          <w:lang w:val="pt-BR"/>
        </w:rPr>
        <w:t>b</w:t>
      </w:r>
      <w:r w:rsidRPr="0007227D">
        <w:rPr>
          <w:rStyle w:val="3oh-"/>
          <w:szCs w:val="16"/>
          <w:lang w:val="pt-BR"/>
        </w:rPr>
        <w:t>Federal University of Technology Parana, Department of Biological and Environmental Sciences, Avenida Brasil, 4232, Medianeira, Paraná, Brazil</w:t>
      </w:r>
    </w:p>
    <w:p w:rsidR="00505114" w:rsidRPr="00C154EE" w:rsidRDefault="00505114" w:rsidP="00505114">
      <w:pPr>
        <w:pStyle w:val="CETBodytext"/>
        <w:spacing w:after="240" w:line="276" w:lineRule="auto"/>
        <w:rPr>
          <w:rStyle w:val="3oh-"/>
          <w:sz w:val="16"/>
          <w:szCs w:val="16"/>
        </w:rPr>
      </w:pPr>
      <w:r>
        <w:rPr>
          <w:rStyle w:val="Hyperlink"/>
          <w:color w:val="auto"/>
          <w:sz w:val="16"/>
          <w:szCs w:val="16"/>
          <w:u w:val="none"/>
        </w:rPr>
        <w:t>*</w:t>
      </w:r>
      <w:r w:rsidRPr="00B8143C">
        <w:rPr>
          <w:rStyle w:val="Hyperlink"/>
          <w:color w:val="auto"/>
          <w:sz w:val="16"/>
          <w:szCs w:val="16"/>
        </w:rPr>
        <w:t>anapaullatrevisan@gmail.com</w:t>
      </w:r>
    </w:p>
    <w:p w:rsidR="00505114" w:rsidRPr="00505626" w:rsidRDefault="00505114" w:rsidP="00505114">
      <w:pPr>
        <w:pStyle w:val="CETBodytext"/>
        <w:rPr>
          <w:lang w:val="en-GB"/>
        </w:rPr>
      </w:pPr>
      <w:r w:rsidRPr="00505626">
        <w:rPr>
          <w:lang w:val="en-GB"/>
        </w:rPr>
        <w:t xml:space="preserve">The present study evaluated the efficiency of starch </w:t>
      </w:r>
      <w:r>
        <w:rPr>
          <w:lang w:val="en-GB"/>
        </w:rPr>
        <w:t>wastewater</w:t>
      </w:r>
      <w:r w:rsidRPr="00505626">
        <w:rPr>
          <w:lang w:val="en-GB"/>
        </w:rPr>
        <w:t xml:space="preserve"> treatment </w:t>
      </w:r>
      <w:r>
        <w:rPr>
          <w:lang w:val="en-GB"/>
        </w:rPr>
        <w:t>through</w:t>
      </w:r>
      <w:r w:rsidRPr="00505626">
        <w:rPr>
          <w:lang w:val="en-GB"/>
        </w:rPr>
        <w:t xml:space="preserve"> coagulation/flocculation</w:t>
      </w:r>
      <w:r>
        <w:rPr>
          <w:lang w:val="en-GB"/>
        </w:rPr>
        <w:t xml:space="preserve"> using</w:t>
      </w:r>
      <w:r w:rsidRPr="00505626">
        <w:rPr>
          <w:lang w:val="en-GB"/>
        </w:rPr>
        <w:t xml:space="preserve"> extracts of </w:t>
      </w:r>
      <w:r w:rsidRPr="00505626">
        <w:rPr>
          <w:i/>
          <w:lang w:val="en-GB"/>
        </w:rPr>
        <w:t>Moringa oleifera</w:t>
      </w:r>
      <w:r w:rsidRPr="00505626">
        <w:rPr>
          <w:lang w:val="en-GB"/>
        </w:rPr>
        <w:t xml:space="preserve"> (M.O.) seeds as </w:t>
      </w:r>
      <w:r>
        <w:rPr>
          <w:lang w:val="en-GB"/>
        </w:rPr>
        <w:t xml:space="preserve">a </w:t>
      </w:r>
      <w:r w:rsidRPr="00505626">
        <w:rPr>
          <w:lang w:val="en-GB"/>
        </w:rPr>
        <w:t xml:space="preserve">natural coagulant. The experiments were </w:t>
      </w:r>
      <w:r>
        <w:rPr>
          <w:lang w:val="en-GB"/>
        </w:rPr>
        <w:t>performed</w:t>
      </w:r>
      <w:r w:rsidRPr="00505626">
        <w:rPr>
          <w:lang w:val="en-GB"/>
        </w:rPr>
        <w:t xml:space="preserve"> following a</w:t>
      </w:r>
      <w:r w:rsidRPr="00505626">
        <w:t xml:space="preserve"> </w:t>
      </w:r>
      <w:r w:rsidRPr="00505626">
        <w:rPr>
          <w:lang w:val="en-GB"/>
        </w:rPr>
        <w:t xml:space="preserve">Rotatable Central Composite Design </w:t>
      </w:r>
      <w:r>
        <w:rPr>
          <w:lang w:val="en-GB"/>
        </w:rPr>
        <w:t>(RCCD</w:t>
      </w:r>
      <w:r w:rsidRPr="00505626">
        <w:rPr>
          <w:lang w:val="en-GB"/>
        </w:rPr>
        <w:t>). The studied variables were: M.O. concentration and sodium chloride (NaCl) solution</w:t>
      </w:r>
      <w:r>
        <w:rPr>
          <w:lang w:val="en-GB"/>
        </w:rPr>
        <w:t xml:space="preserve"> </w:t>
      </w:r>
      <w:r w:rsidRPr="00505626">
        <w:rPr>
          <w:lang w:val="en-GB"/>
        </w:rPr>
        <w:t>concentration. The response variables analysed were: Turbidity, Apparent Colour, COD and Cyanide Ion. The operational conditions optimized by the statistical program were: M.O.</w:t>
      </w:r>
      <w:r>
        <w:rPr>
          <w:lang w:val="en-GB"/>
        </w:rPr>
        <w:t xml:space="preserve"> </w:t>
      </w:r>
      <w:r w:rsidRPr="00505626">
        <w:rPr>
          <w:lang w:val="en-GB"/>
        </w:rPr>
        <w:t>concentration of 2</w:t>
      </w:r>
      <w:r>
        <w:rPr>
          <w:lang w:val="en-GB"/>
        </w:rPr>
        <w:t>,</w:t>
      </w:r>
      <w:r w:rsidRPr="00505626">
        <w:rPr>
          <w:lang w:val="en-GB"/>
        </w:rPr>
        <w:t>484 mg L</w:t>
      </w:r>
      <w:r w:rsidRPr="00505626">
        <w:rPr>
          <w:vertAlign w:val="superscript"/>
          <w:lang w:val="en-GB"/>
        </w:rPr>
        <w:t>-1</w:t>
      </w:r>
      <w:r w:rsidRPr="00505626">
        <w:rPr>
          <w:lang w:val="en-GB"/>
        </w:rPr>
        <w:t xml:space="preserve"> and saline concentration of 0.9 mol L</w:t>
      </w:r>
      <w:r w:rsidRPr="00505626">
        <w:rPr>
          <w:vertAlign w:val="superscript"/>
          <w:lang w:val="en-GB"/>
        </w:rPr>
        <w:t>-1</w:t>
      </w:r>
      <w:r w:rsidRPr="00505626">
        <w:rPr>
          <w:lang w:val="en-GB"/>
        </w:rPr>
        <w:t>. Under these conditions</w:t>
      </w:r>
      <w:r>
        <w:rPr>
          <w:lang w:val="en-GB"/>
        </w:rPr>
        <w:t xml:space="preserve"> </w:t>
      </w:r>
      <w:r w:rsidRPr="00505626">
        <w:rPr>
          <w:lang w:val="en-GB"/>
        </w:rPr>
        <w:t xml:space="preserve">the removal </w:t>
      </w:r>
      <w:r>
        <w:rPr>
          <w:lang w:val="en-GB"/>
        </w:rPr>
        <w:t>estimates are</w:t>
      </w:r>
      <w:r w:rsidRPr="00505626">
        <w:rPr>
          <w:lang w:val="en-GB"/>
        </w:rPr>
        <w:t xml:space="preserve"> 89.16</w:t>
      </w:r>
      <w:r>
        <w:rPr>
          <w:lang w:val="en-GB"/>
        </w:rPr>
        <w:t xml:space="preserve"> </w:t>
      </w:r>
      <w:r w:rsidRPr="00505626">
        <w:rPr>
          <w:lang w:val="en-GB"/>
        </w:rPr>
        <w:t>% (turbidity), 54.43</w:t>
      </w:r>
      <w:r>
        <w:rPr>
          <w:lang w:val="en-GB"/>
        </w:rPr>
        <w:t xml:space="preserve"> </w:t>
      </w:r>
      <w:r w:rsidRPr="00505626">
        <w:rPr>
          <w:lang w:val="en-GB"/>
        </w:rPr>
        <w:t>% (apparent colour), 66.39</w:t>
      </w:r>
      <w:r>
        <w:rPr>
          <w:lang w:val="en-GB"/>
        </w:rPr>
        <w:t xml:space="preserve"> </w:t>
      </w:r>
      <w:r w:rsidRPr="00505626">
        <w:rPr>
          <w:lang w:val="en-GB"/>
        </w:rPr>
        <w:t>% (COD) and 9.9</w:t>
      </w:r>
      <w:r>
        <w:rPr>
          <w:lang w:val="en-GB"/>
        </w:rPr>
        <w:t xml:space="preserve"> </w:t>
      </w:r>
      <w:r w:rsidRPr="00505626">
        <w:rPr>
          <w:lang w:val="en-GB"/>
        </w:rPr>
        <w:t>% (cyanide ion).</w:t>
      </w:r>
    </w:p>
    <w:p w:rsidR="00505114" w:rsidRPr="00161EA9" w:rsidRDefault="00505114" w:rsidP="00505114">
      <w:pPr>
        <w:pStyle w:val="CETHeading1"/>
      </w:pPr>
      <w:r w:rsidRPr="00161EA9">
        <w:t>I</w:t>
      </w:r>
      <w:r>
        <w:t>ntroduction</w:t>
      </w:r>
    </w:p>
    <w:p w:rsidR="00505114" w:rsidRPr="0024614D" w:rsidRDefault="00505114" w:rsidP="00505114">
      <w:pPr>
        <w:pStyle w:val="CETBodytext"/>
        <w:rPr>
          <w:lang w:val="en-GB"/>
        </w:rPr>
      </w:pPr>
      <w:r w:rsidRPr="0024614D">
        <w:rPr>
          <w:lang w:val="en-GB"/>
        </w:rPr>
        <w:t xml:space="preserve">Cassava processing industries, especially those producing starch, have a high polluting potential due to the release of their effluents. Among the main characteristics of this effluent is the high organic load and the presence of cyanide ion, a constituent with high toxic potential. </w:t>
      </w:r>
      <w:r>
        <w:rPr>
          <w:lang w:val="en-GB"/>
        </w:rPr>
        <w:t>Farms</w:t>
      </w:r>
      <w:r w:rsidRPr="0024614D">
        <w:rPr>
          <w:lang w:val="en-GB"/>
        </w:rPr>
        <w:t xml:space="preserve"> </w:t>
      </w:r>
      <w:r>
        <w:rPr>
          <w:lang w:val="en-GB"/>
        </w:rPr>
        <w:t>effluents treatments</w:t>
      </w:r>
      <w:r w:rsidRPr="0024614D">
        <w:rPr>
          <w:lang w:val="en-GB"/>
        </w:rPr>
        <w:t xml:space="preserve"> ha</w:t>
      </w:r>
      <w:r>
        <w:rPr>
          <w:lang w:val="en-GB"/>
        </w:rPr>
        <w:t>d</w:t>
      </w:r>
      <w:r w:rsidRPr="0024614D">
        <w:rPr>
          <w:lang w:val="en-GB"/>
        </w:rPr>
        <w:t xml:space="preserve"> been done predominantly by systems that use biological mechanism</w:t>
      </w:r>
      <w:r>
        <w:rPr>
          <w:lang w:val="en-GB"/>
        </w:rPr>
        <w:t>s</w:t>
      </w:r>
      <w:r w:rsidRPr="0024614D">
        <w:rPr>
          <w:lang w:val="en-GB"/>
        </w:rPr>
        <w:t xml:space="preserve"> (Kuczman et al., 2017; Carvalho et al., 2017). However, biological treatment systems present limitations for effluents </w:t>
      </w:r>
      <w:r w:rsidR="008B1437">
        <w:rPr>
          <w:lang w:val="en-GB"/>
        </w:rPr>
        <w:t>containing</w:t>
      </w:r>
      <w:r w:rsidR="008B1437" w:rsidRPr="0024614D">
        <w:rPr>
          <w:lang w:val="en-GB"/>
        </w:rPr>
        <w:t xml:space="preserve"> </w:t>
      </w:r>
      <w:r w:rsidRPr="0024614D">
        <w:rPr>
          <w:lang w:val="en-GB"/>
        </w:rPr>
        <w:t xml:space="preserve">cyanide, as is the case of starch </w:t>
      </w:r>
      <w:r>
        <w:rPr>
          <w:lang w:val="en-GB"/>
        </w:rPr>
        <w:t>wastewater</w:t>
      </w:r>
      <w:r w:rsidRPr="0024614D">
        <w:rPr>
          <w:lang w:val="en-GB"/>
        </w:rPr>
        <w:t>.</w:t>
      </w:r>
    </w:p>
    <w:p w:rsidR="00505114" w:rsidRPr="004549DA" w:rsidRDefault="00505114" w:rsidP="00505114">
      <w:pPr>
        <w:pStyle w:val="CETBodytext"/>
        <w:rPr>
          <w:rStyle w:val="hps"/>
          <w:rFonts w:cs="Arial"/>
          <w:szCs w:val="18"/>
          <w:lang w:val="en-GB"/>
        </w:rPr>
      </w:pPr>
      <w:r w:rsidRPr="00377509">
        <w:rPr>
          <w:lang w:val="en-GB"/>
        </w:rPr>
        <w:t xml:space="preserve">Among all plant materials that have been tested over the last few years </w:t>
      </w:r>
      <w:r w:rsidR="00A93C26">
        <w:rPr>
          <w:rStyle w:val="hps"/>
          <w:rFonts w:cs="Arial"/>
          <w:szCs w:val="18"/>
          <w:lang w:val="en-GB"/>
        </w:rPr>
        <w:t>(Padilha et al., 2013; Jun and</w:t>
      </w:r>
      <w:r w:rsidRPr="00377509">
        <w:rPr>
          <w:rStyle w:val="hps"/>
          <w:rFonts w:cs="Arial"/>
          <w:szCs w:val="18"/>
          <w:lang w:val="en-GB"/>
        </w:rPr>
        <w:t xml:space="preserve"> Ahmad, 2015; Wolf et al., 2</w:t>
      </w:r>
      <w:r w:rsidR="00A93C26">
        <w:rPr>
          <w:rStyle w:val="hps"/>
          <w:rFonts w:cs="Arial"/>
          <w:szCs w:val="18"/>
          <w:lang w:val="en-GB"/>
        </w:rPr>
        <w:t>015; Camacho et al</w:t>
      </w:r>
      <w:r w:rsidR="00A93C26" w:rsidRPr="004549DA">
        <w:rPr>
          <w:rStyle w:val="hps"/>
          <w:rFonts w:cs="Arial"/>
          <w:szCs w:val="18"/>
          <w:lang w:val="en-GB"/>
        </w:rPr>
        <w:t>., 2015; Teh and</w:t>
      </w:r>
      <w:r w:rsidRPr="004549DA">
        <w:rPr>
          <w:rStyle w:val="hps"/>
          <w:rFonts w:cs="Arial"/>
          <w:szCs w:val="18"/>
          <w:lang w:val="en-GB"/>
        </w:rPr>
        <w:t xml:space="preserve"> Wu, 2014; Daza et al., 2016),</w:t>
      </w:r>
      <w:r w:rsidRPr="004549DA">
        <w:rPr>
          <w:lang w:val="en-GB"/>
        </w:rPr>
        <w:t xml:space="preserve"> the extract obtained from </w:t>
      </w:r>
      <w:r w:rsidRPr="004549DA">
        <w:rPr>
          <w:i/>
          <w:lang w:val="en-GB"/>
        </w:rPr>
        <w:t>Moringa oleifera</w:t>
      </w:r>
      <w:r w:rsidRPr="004549DA">
        <w:rPr>
          <w:lang w:val="en-GB"/>
        </w:rPr>
        <w:t xml:space="preserve"> seeds has shown itself to be one of the most effective as a primary coagulant for wastewater treatment, and it can be compared with conventional coagulants such as those derived from aluminium salts </w:t>
      </w:r>
      <w:r w:rsidRPr="004549DA">
        <w:rPr>
          <w:rStyle w:val="hps"/>
          <w:rFonts w:cs="Arial"/>
          <w:szCs w:val="18"/>
          <w:lang w:val="en-GB"/>
        </w:rPr>
        <w:t>(Bongiovani et al., 2015; Amagloh &amp; Benang, 2009; Lédo et al., 2009; Noor et al., 2018</w:t>
      </w:r>
      <w:r w:rsidR="003761E6" w:rsidRPr="004549DA">
        <w:rPr>
          <w:rStyle w:val="hps"/>
          <w:rFonts w:cs="Arial"/>
          <w:szCs w:val="18"/>
          <w:lang w:val="en-GB"/>
        </w:rPr>
        <w:t xml:space="preserve">; </w:t>
      </w:r>
      <w:r w:rsidR="002A588F" w:rsidRPr="004549DA">
        <w:rPr>
          <w:rFonts w:cs="Arial"/>
          <w:szCs w:val="18"/>
          <w:lang w:val="en-GB"/>
        </w:rPr>
        <w:t>Ndabigengesere and Narasiah,1998</w:t>
      </w:r>
      <w:r w:rsidRPr="004549DA">
        <w:rPr>
          <w:rStyle w:val="hps"/>
          <w:rFonts w:cs="Arial"/>
          <w:szCs w:val="18"/>
          <w:lang w:val="en-GB"/>
        </w:rPr>
        <w:t>).</w:t>
      </w:r>
    </w:p>
    <w:p w:rsidR="00505114" w:rsidRDefault="00505114" w:rsidP="00505114">
      <w:pPr>
        <w:pStyle w:val="CETBodytext"/>
        <w:rPr>
          <w:lang w:val="en-GB"/>
        </w:rPr>
      </w:pPr>
      <w:r w:rsidRPr="004549DA">
        <w:rPr>
          <w:lang w:val="en-GB"/>
        </w:rPr>
        <w:t xml:space="preserve">There are several studies in the literature that investigate the use potentials of this seed. Prasad (2009) investigated the effects of the dosage, pH and salt concentration for </w:t>
      </w:r>
      <w:r w:rsidRPr="004549DA">
        <w:rPr>
          <w:i/>
          <w:lang w:val="en-GB"/>
        </w:rPr>
        <w:t>Moringa oleifera</w:t>
      </w:r>
      <w:r w:rsidRPr="004549DA">
        <w:rPr>
          <w:lang w:val="en-GB"/>
        </w:rPr>
        <w:t xml:space="preserve"> seed coagulant extraction, for optimization purposes, for colour removal process of distillery effluents. Lédo et al. (2009) investigated the efficiency of two coagulants, aluminium sulphate </w:t>
      </w:r>
      <w:r w:rsidRPr="00377509">
        <w:rPr>
          <w:lang w:val="en-GB"/>
        </w:rPr>
        <w:t xml:space="preserve">and </w:t>
      </w:r>
      <w:r w:rsidRPr="00377509">
        <w:rPr>
          <w:i/>
          <w:lang w:val="en-GB"/>
        </w:rPr>
        <w:t>Moringa oleifera</w:t>
      </w:r>
      <w:r w:rsidRPr="00377509">
        <w:rPr>
          <w:lang w:val="en-GB"/>
        </w:rPr>
        <w:t xml:space="preserve"> seeds, for turbidity removal in </w:t>
      </w:r>
      <w:r>
        <w:rPr>
          <w:lang w:val="en-GB"/>
        </w:rPr>
        <w:t xml:space="preserve">water </w:t>
      </w:r>
      <w:r w:rsidRPr="00377509">
        <w:rPr>
          <w:lang w:val="en-GB"/>
        </w:rPr>
        <w:t>samples of low turbidity.</w:t>
      </w:r>
    </w:p>
    <w:p w:rsidR="00505114" w:rsidRDefault="00505114" w:rsidP="00505114">
      <w:pPr>
        <w:pStyle w:val="CETBodytext"/>
        <w:rPr>
          <w:lang w:val="en-GB"/>
        </w:rPr>
      </w:pPr>
      <w:r w:rsidRPr="00377509">
        <w:rPr>
          <w:lang w:val="en-GB"/>
        </w:rPr>
        <w:t xml:space="preserve">Due to certain characteristics of starch </w:t>
      </w:r>
      <w:r>
        <w:rPr>
          <w:lang w:val="en-GB"/>
        </w:rPr>
        <w:t>wastewater</w:t>
      </w:r>
      <w:r w:rsidRPr="00377509">
        <w:rPr>
          <w:lang w:val="en-GB"/>
        </w:rPr>
        <w:t>, such as high turbidity, colour and colloidal organic matter, the adoption of coagulation</w:t>
      </w:r>
      <w:r>
        <w:rPr>
          <w:lang w:val="en-GB"/>
        </w:rPr>
        <w:t>/</w:t>
      </w:r>
      <w:r w:rsidRPr="00377509">
        <w:rPr>
          <w:lang w:val="en-GB"/>
        </w:rPr>
        <w:t xml:space="preserve">flocculation techniques has become a practice that allows to obtain excellent results, as will be presented throughout the </w:t>
      </w:r>
      <w:r w:rsidR="00E705C3">
        <w:rPr>
          <w:lang w:val="en-GB"/>
        </w:rPr>
        <w:t>study</w:t>
      </w:r>
      <w:r w:rsidRPr="00377509">
        <w:rPr>
          <w:lang w:val="en-GB"/>
        </w:rPr>
        <w:t>.</w:t>
      </w:r>
    </w:p>
    <w:p w:rsidR="00505114" w:rsidRPr="00D94B2F" w:rsidRDefault="00505114" w:rsidP="00505114">
      <w:pPr>
        <w:pStyle w:val="CETHeading1"/>
      </w:pPr>
      <w:r>
        <w:lastRenderedPageBreak/>
        <w:t>Material and methods</w:t>
      </w:r>
    </w:p>
    <w:p w:rsidR="00505114" w:rsidRPr="00471E85" w:rsidRDefault="00505114" w:rsidP="00505114">
      <w:pPr>
        <w:pStyle w:val="CETheadingx"/>
        <w:rPr>
          <w:lang w:val="en-GB"/>
        </w:rPr>
      </w:pPr>
      <w:r w:rsidRPr="00471E85">
        <w:rPr>
          <w:lang w:val="en-GB"/>
        </w:rPr>
        <w:t xml:space="preserve">Samples </w:t>
      </w:r>
      <w:r>
        <w:rPr>
          <w:lang w:val="en-GB"/>
        </w:rPr>
        <w:t>P</w:t>
      </w:r>
      <w:r w:rsidRPr="00E155CD">
        <w:rPr>
          <w:lang w:val="en-GB"/>
        </w:rPr>
        <w:t xml:space="preserve">hysicochemical </w:t>
      </w:r>
      <w:r>
        <w:rPr>
          <w:lang w:val="en-GB"/>
        </w:rPr>
        <w:t>C</w:t>
      </w:r>
      <w:r w:rsidRPr="00471E85">
        <w:rPr>
          <w:lang w:val="en-GB"/>
        </w:rPr>
        <w:t>haracterization</w:t>
      </w:r>
    </w:p>
    <w:p w:rsidR="00505114" w:rsidRPr="00E155CD" w:rsidRDefault="00505114" w:rsidP="00505114">
      <w:pPr>
        <w:pStyle w:val="CETBodytext"/>
        <w:rPr>
          <w:lang w:val="en-GB"/>
        </w:rPr>
      </w:pPr>
      <w:r w:rsidRPr="00E155CD">
        <w:rPr>
          <w:lang w:val="en-GB"/>
        </w:rPr>
        <w:t>The effluent</w:t>
      </w:r>
      <w:r>
        <w:rPr>
          <w:lang w:val="en-GB"/>
        </w:rPr>
        <w:t xml:space="preserve"> samples</w:t>
      </w:r>
      <w:r w:rsidRPr="00E155CD">
        <w:rPr>
          <w:lang w:val="en-GB"/>
        </w:rPr>
        <w:t xml:space="preserve"> </w:t>
      </w:r>
      <w:r>
        <w:rPr>
          <w:lang w:val="en-GB"/>
        </w:rPr>
        <w:t>used in</w:t>
      </w:r>
      <w:r w:rsidRPr="00E155CD">
        <w:rPr>
          <w:lang w:val="en-GB"/>
        </w:rPr>
        <w:t xml:space="preserve"> this </w:t>
      </w:r>
      <w:r>
        <w:rPr>
          <w:lang w:val="en-GB"/>
        </w:rPr>
        <w:t>study</w:t>
      </w:r>
      <w:r w:rsidRPr="00E155CD">
        <w:rPr>
          <w:lang w:val="en-GB"/>
        </w:rPr>
        <w:t xml:space="preserve"> </w:t>
      </w:r>
      <w:r>
        <w:rPr>
          <w:lang w:val="en-GB"/>
        </w:rPr>
        <w:t>were collected in</w:t>
      </w:r>
      <w:r w:rsidRPr="00E155CD">
        <w:rPr>
          <w:lang w:val="en-GB"/>
        </w:rPr>
        <w:t xml:space="preserve"> Zadimel Amidos, </w:t>
      </w:r>
      <w:r>
        <w:rPr>
          <w:lang w:val="en-GB"/>
        </w:rPr>
        <w:t xml:space="preserve">which is </w:t>
      </w:r>
      <w:r w:rsidRPr="00E155CD">
        <w:rPr>
          <w:lang w:val="en-GB"/>
        </w:rPr>
        <w:t xml:space="preserve">located in Concordia do Oeste district, in the </w:t>
      </w:r>
      <w:r>
        <w:rPr>
          <w:lang w:val="en-GB"/>
        </w:rPr>
        <w:t>city</w:t>
      </w:r>
      <w:r w:rsidRPr="00E155CD">
        <w:rPr>
          <w:lang w:val="en-GB"/>
        </w:rPr>
        <w:t xml:space="preserve"> of Toledo, Paraná, Brazil. In order to characterize the effluent, the following physicochemical parameters were analysed: BOD, COD, Dissolved Phosphorus, Total Nitrogen, Total Solids, pH, Turbidity, Cyanide Ion, Zinc, Cadmium, Copper and Iron.</w:t>
      </w:r>
    </w:p>
    <w:p w:rsidR="00505114" w:rsidRPr="00695F45" w:rsidRDefault="00505114" w:rsidP="00505114">
      <w:pPr>
        <w:pStyle w:val="CETheadingx"/>
        <w:rPr>
          <w:lang w:val="en-GB"/>
        </w:rPr>
      </w:pPr>
      <w:bookmarkStart w:id="0" w:name="_Toc298876699"/>
      <w:bookmarkStart w:id="1" w:name="_Toc301688717"/>
      <w:bookmarkStart w:id="2" w:name="_Toc314493293"/>
      <w:r w:rsidRPr="00695F45">
        <w:rPr>
          <w:i/>
          <w:lang w:val="en-GB"/>
        </w:rPr>
        <w:t>Moringa oleifera</w:t>
      </w:r>
      <w:bookmarkEnd w:id="0"/>
      <w:bookmarkEnd w:id="1"/>
      <w:bookmarkEnd w:id="2"/>
      <w:r w:rsidRPr="00695F45">
        <w:rPr>
          <w:i/>
          <w:lang w:val="en-GB"/>
        </w:rPr>
        <w:t xml:space="preserve"> </w:t>
      </w:r>
      <w:r w:rsidRPr="00695F45">
        <w:rPr>
          <w:lang w:val="en-GB"/>
        </w:rPr>
        <w:t>Coagulant Solution Preparation</w:t>
      </w:r>
    </w:p>
    <w:p w:rsidR="00505114" w:rsidRDefault="00505114" w:rsidP="00505114">
      <w:pPr>
        <w:pStyle w:val="CETBodytext"/>
        <w:rPr>
          <w:lang w:val="pt-BR"/>
        </w:rPr>
      </w:pPr>
      <w:r>
        <w:rPr>
          <w:lang w:val="en-GB"/>
        </w:rPr>
        <w:t>The p</w:t>
      </w:r>
      <w:r w:rsidRPr="00695F45">
        <w:rPr>
          <w:lang w:val="en-GB"/>
        </w:rPr>
        <w:t xml:space="preserve">reparation of coagulant solution followed a 5 g ratio of </w:t>
      </w:r>
      <w:r>
        <w:rPr>
          <w:lang w:val="en-GB"/>
        </w:rPr>
        <w:t xml:space="preserve">peeled </w:t>
      </w:r>
      <w:r w:rsidRPr="00695F45">
        <w:rPr>
          <w:lang w:val="en-GB"/>
        </w:rPr>
        <w:t xml:space="preserve">M.O. </w:t>
      </w:r>
      <w:r>
        <w:rPr>
          <w:lang w:val="en-GB"/>
        </w:rPr>
        <w:t xml:space="preserve">seeds </w:t>
      </w:r>
      <w:r w:rsidRPr="00695F45">
        <w:rPr>
          <w:lang w:val="en-GB"/>
        </w:rPr>
        <w:t xml:space="preserve">to 100 mL of NaCl salt solution (molar concentrations </w:t>
      </w:r>
      <w:r>
        <w:rPr>
          <w:lang w:val="en-GB"/>
        </w:rPr>
        <w:t>are shown</w:t>
      </w:r>
      <w:r w:rsidRPr="00695F45">
        <w:rPr>
          <w:lang w:val="en-GB"/>
        </w:rPr>
        <w:t xml:space="preserve"> in Table 1). The procedures followed in this work are described by Formentini-Schmitt et al. </w:t>
      </w:r>
      <w:r w:rsidRPr="00695F45">
        <w:rPr>
          <w:lang w:val="pt-BR"/>
        </w:rPr>
        <w:t>(2013) and Lédo et al. (2009).</w:t>
      </w:r>
    </w:p>
    <w:p w:rsidR="00505114" w:rsidRPr="001E50B6" w:rsidRDefault="00505114" w:rsidP="00505114">
      <w:pPr>
        <w:pStyle w:val="CETheadingx"/>
        <w:rPr>
          <w:lang w:val="pt-BR"/>
        </w:rPr>
      </w:pPr>
      <w:r w:rsidRPr="001E50B6">
        <w:rPr>
          <w:lang w:val="pt-BR"/>
        </w:rPr>
        <w:t>Coagulation/Flocculation Assays</w:t>
      </w:r>
    </w:p>
    <w:p w:rsidR="00505114" w:rsidRPr="00E018AF" w:rsidRDefault="00505114" w:rsidP="00505114">
      <w:pPr>
        <w:pStyle w:val="CETBodytext"/>
        <w:rPr>
          <w:lang w:val="en-GB"/>
        </w:rPr>
      </w:pPr>
      <w:r w:rsidRPr="00E018AF">
        <w:rPr>
          <w:lang w:val="en-GB"/>
        </w:rPr>
        <w:t xml:space="preserve">For the coagulation/flocculation assays </w:t>
      </w:r>
      <w:r>
        <w:rPr>
          <w:lang w:val="en-GB"/>
        </w:rPr>
        <w:t xml:space="preserve">it was used </w:t>
      </w:r>
      <w:r w:rsidRPr="00E018AF">
        <w:rPr>
          <w:lang w:val="en-GB"/>
        </w:rPr>
        <w:t>the Jar-Test Micro-controlled equipment</w:t>
      </w:r>
      <w:r>
        <w:rPr>
          <w:lang w:val="en-GB"/>
        </w:rPr>
        <w:t>,</w:t>
      </w:r>
      <w:r w:rsidRPr="00E018AF">
        <w:rPr>
          <w:lang w:val="en-GB"/>
        </w:rPr>
        <w:t xml:space="preserve"> Milan brand, JT-103</w:t>
      </w:r>
      <w:r>
        <w:rPr>
          <w:lang w:val="en-GB"/>
        </w:rPr>
        <w:t xml:space="preserve"> model,</w:t>
      </w:r>
      <w:r w:rsidRPr="00E018AF">
        <w:rPr>
          <w:lang w:val="en-GB"/>
        </w:rPr>
        <w:t xml:space="preserve"> with capacity for six simultaneous tests. The </w:t>
      </w:r>
      <w:r>
        <w:rPr>
          <w:lang w:val="en-GB"/>
        </w:rPr>
        <w:t>assays</w:t>
      </w:r>
      <w:r w:rsidRPr="00E018AF">
        <w:rPr>
          <w:lang w:val="en-GB"/>
        </w:rPr>
        <w:t xml:space="preserve"> were carried out using a </w:t>
      </w:r>
      <w:r w:rsidRPr="00505626">
        <w:rPr>
          <w:lang w:val="en-GB"/>
        </w:rPr>
        <w:t xml:space="preserve">Rotatable Central Composite Design </w:t>
      </w:r>
      <w:r>
        <w:rPr>
          <w:lang w:val="en-GB"/>
        </w:rPr>
        <w:t>(RCCD</w:t>
      </w:r>
      <w:r w:rsidRPr="00505626">
        <w:rPr>
          <w:lang w:val="en-GB"/>
        </w:rPr>
        <w:t>)</w:t>
      </w:r>
      <w:r w:rsidRPr="00E018AF">
        <w:rPr>
          <w:lang w:val="en-GB"/>
        </w:rPr>
        <w:t xml:space="preserve">, which consists of a complete factorial design (4 </w:t>
      </w:r>
      <w:r>
        <w:rPr>
          <w:lang w:val="en-GB"/>
        </w:rPr>
        <w:t>assays</w:t>
      </w:r>
      <w:r w:rsidRPr="00E018AF">
        <w:rPr>
          <w:lang w:val="en-GB"/>
        </w:rPr>
        <w:t xml:space="preserve">), a </w:t>
      </w:r>
      <w:r w:rsidRPr="00B8143C">
        <w:rPr>
          <w:lang w:val="en-GB"/>
        </w:rPr>
        <w:t>star configuration</w:t>
      </w:r>
      <w:r w:rsidRPr="00E018AF">
        <w:rPr>
          <w:lang w:val="en-GB"/>
        </w:rPr>
        <w:t xml:space="preserve"> (4 </w:t>
      </w:r>
      <w:r>
        <w:rPr>
          <w:lang w:val="en-GB"/>
        </w:rPr>
        <w:t>assays</w:t>
      </w:r>
      <w:r w:rsidRPr="00E018AF">
        <w:rPr>
          <w:lang w:val="en-GB"/>
        </w:rPr>
        <w:t xml:space="preserve">) and </w:t>
      </w:r>
      <w:r>
        <w:rPr>
          <w:lang w:val="en-GB"/>
        </w:rPr>
        <w:t xml:space="preserve">the </w:t>
      </w:r>
      <w:r w:rsidRPr="00E018AF">
        <w:rPr>
          <w:lang w:val="en-GB"/>
        </w:rPr>
        <w:t xml:space="preserve">triplicate (3 </w:t>
      </w:r>
      <w:r>
        <w:rPr>
          <w:lang w:val="en-GB"/>
        </w:rPr>
        <w:t>assays</w:t>
      </w:r>
      <w:r w:rsidRPr="00E018AF">
        <w:rPr>
          <w:lang w:val="en-GB"/>
        </w:rPr>
        <w:t>)</w:t>
      </w:r>
      <w:r>
        <w:rPr>
          <w:lang w:val="en-GB"/>
        </w:rPr>
        <w:t xml:space="preserve"> in the central point</w:t>
      </w:r>
      <w:r w:rsidRPr="00E018AF">
        <w:rPr>
          <w:lang w:val="en-GB"/>
        </w:rPr>
        <w:t xml:space="preserve">, </w:t>
      </w:r>
      <w:r w:rsidRPr="009B1A00">
        <w:rPr>
          <w:lang w:val="en-GB"/>
        </w:rPr>
        <w:t>totalizing</w:t>
      </w:r>
      <w:r w:rsidRPr="00E018AF">
        <w:rPr>
          <w:lang w:val="en-GB"/>
        </w:rPr>
        <w:t xml:space="preserve"> 11 </w:t>
      </w:r>
      <w:r>
        <w:rPr>
          <w:lang w:val="en-GB"/>
        </w:rPr>
        <w:t>assays</w:t>
      </w:r>
      <w:r w:rsidRPr="00E018AF">
        <w:rPr>
          <w:lang w:val="en-GB"/>
        </w:rPr>
        <w:t xml:space="preserve">. The data were analysed </w:t>
      </w:r>
      <w:r>
        <w:rPr>
          <w:lang w:val="en-GB"/>
        </w:rPr>
        <w:t>with</w:t>
      </w:r>
      <w:r w:rsidRPr="00E018AF">
        <w:rPr>
          <w:lang w:val="en-GB"/>
        </w:rPr>
        <w:t xml:space="preserve"> STATISTICA</w:t>
      </w:r>
      <w:r w:rsidRPr="004549DA">
        <w:rPr>
          <w:vertAlign w:val="superscript"/>
          <w:lang w:val="en-GB"/>
        </w:rPr>
        <w:t>TM</w:t>
      </w:r>
      <w:r w:rsidRPr="00E018AF">
        <w:rPr>
          <w:lang w:val="en-GB"/>
        </w:rPr>
        <w:t xml:space="preserve"> 8.0 Software.</w:t>
      </w:r>
    </w:p>
    <w:p w:rsidR="00505114" w:rsidRPr="00E018AF" w:rsidRDefault="00505114" w:rsidP="00505114">
      <w:pPr>
        <w:pStyle w:val="CETBodytext"/>
        <w:rPr>
          <w:lang w:val="en-GB"/>
        </w:rPr>
      </w:pPr>
      <w:r w:rsidRPr="00E018AF">
        <w:rPr>
          <w:lang w:val="en-GB"/>
        </w:rPr>
        <w:t xml:space="preserve">The studied variables were the concentration of </w:t>
      </w:r>
      <w:r w:rsidRPr="009B1A00">
        <w:rPr>
          <w:i/>
          <w:lang w:val="en-GB"/>
        </w:rPr>
        <w:t>Moringa oleifera</w:t>
      </w:r>
      <w:r w:rsidRPr="00E018AF">
        <w:rPr>
          <w:lang w:val="en-GB"/>
        </w:rPr>
        <w:t xml:space="preserve"> coagulant and the molar concentration of</w:t>
      </w:r>
      <w:r>
        <w:rPr>
          <w:lang w:val="en-GB"/>
        </w:rPr>
        <w:t xml:space="preserve"> </w:t>
      </w:r>
      <w:r w:rsidRPr="00E018AF">
        <w:rPr>
          <w:lang w:val="en-GB"/>
        </w:rPr>
        <w:t>saline extract</w:t>
      </w:r>
      <w:r>
        <w:rPr>
          <w:lang w:val="en-GB"/>
        </w:rPr>
        <w:t xml:space="preserve">ion solution of the active principle from </w:t>
      </w:r>
      <w:r w:rsidRPr="009B1A00">
        <w:rPr>
          <w:i/>
          <w:lang w:val="en-GB"/>
        </w:rPr>
        <w:t>Moringa</w:t>
      </w:r>
      <w:r w:rsidRPr="00E018AF">
        <w:rPr>
          <w:lang w:val="en-GB"/>
        </w:rPr>
        <w:t xml:space="preserve"> seeds. </w:t>
      </w:r>
      <w:r>
        <w:rPr>
          <w:lang w:val="en-GB"/>
        </w:rPr>
        <w:t xml:space="preserve">In </w:t>
      </w:r>
      <w:r w:rsidRPr="00E018AF">
        <w:rPr>
          <w:lang w:val="en-GB"/>
        </w:rPr>
        <w:t xml:space="preserve">Table 1 </w:t>
      </w:r>
      <w:r>
        <w:rPr>
          <w:lang w:val="en-GB"/>
        </w:rPr>
        <w:t>are shown</w:t>
      </w:r>
      <w:r w:rsidRPr="00E018AF">
        <w:rPr>
          <w:lang w:val="en-GB"/>
        </w:rPr>
        <w:t xml:space="preserve"> the </w:t>
      </w:r>
      <w:r>
        <w:rPr>
          <w:lang w:val="en-GB"/>
        </w:rPr>
        <w:t>real</w:t>
      </w:r>
      <w:r w:rsidRPr="00E018AF">
        <w:rPr>
          <w:lang w:val="en-GB"/>
        </w:rPr>
        <w:t xml:space="preserve"> and coded ranges used for the tests</w:t>
      </w:r>
    </w:p>
    <w:p w:rsidR="00505114" w:rsidRPr="0009637E" w:rsidRDefault="00505114" w:rsidP="00505114">
      <w:pPr>
        <w:pStyle w:val="CETTabletitle"/>
        <w:rPr>
          <w:b/>
        </w:rPr>
      </w:pPr>
      <w:bookmarkStart w:id="3" w:name="_Toc298882472"/>
      <w:bookmarkStart w:id="4" w:name="_Toc314494888"/>
      <w:r w:rsidRPr="0009637E">
        <w:t>Table 1: Real and coded range values used in the RCCD.</w:t>
      </w:r>
      <w:bookmarkEnd w:id="3"/>
      <w:bookmarkEnd w:id="4"/>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694"/>
        <w:gridCol w:w="1275"/>
        <w:gridCol w:w="709"/>
        <w:gridCol w:w="964"/>
        <w:gridCol w:w="794"/>
        <w:gridCol w:w="935"/>
      </w:tblGrid>
      <w:tr w:rsidR="00505114" w:rsidTr="00BF6BC5">
        <w:tc>
          <w:tcPr>
            <w:tcW w:w="2694" w:type="dxa"/>
            <w:vMerge w:val="restart"/>
            <w:tcBorders>
              <w:top w:val="single" w:sz="12" w:space="0" w:color="008000"/>
              <w:left w:val="nil"/>
              <w:right w:val="nil"/>
            </w:tcBorders>
            <w:shd w:val="clear" w:color="auto" w:fill="FFFFFF"/>
            <w:vAlign w:val="center"/>
            <w:hideMark/>
          </w:tcPr>
          <w:p w:rsidR="00505114" w:rsidRPr="00D94B2F" w:rsidRDefault="00505114" w:rsidP="00BF6BC5">
            <w:pPr>
              <w:pStyle w:val="CETBodytext"/>
              <w:rPr>
                <w:lang w:val="en-GB"/>
              </w:rPr>
            </w:pPr>
            <w:r w:rsidRPr="00D94B2F">
              <w:rPr>
                <w:shd w:val="clear" w:color="auto" w:fill="FFFFFF"/>
              </w:rPr>
              <w:t>Vari</w:t>
            </w:r>
            <w:r>
              <w:rPr>
                <w:shd w:val="clear" w:color="auto" w:fill="FFFFFF"/>
              </w:rPr>
              <w:t>able</w:t>
            </w:r>
          </w:p>
        </w:tc>
        <w:tc>
          <w:tcPr>
            <w:tcW w:w="4677" w:type="dxa"/>
            <w:gridSpan w:val="5"/>
            <w:tcBorders>
              <w:top w:val="single" w:sz="12" w:space="0" w:color="008000"/>
              <w:left w:val="nil"/>
              <w:right w:val="nil"/>
            </w:tcBorders>
            <w:shd w:val="clear" w:color="auto" w:fill="FFFFFF"/>
          </w:tcPr>
          <w:p w:rsidR="00505114" w:rsidRPr="00D94B2F" w:rsidRDefault="00505114" w:rsidP="00BF6BC5">
            <w:pPr>
              <w:pStyle w:val="CETBodytext"/>
              <w:jc w:val="center"/>
              <w:rPr>
                <w:lang w:val="en-GB"/>
              </w:rPr>
            </w:pPr>
            <w:r>
              <w:t>Level</w:t>
            </w:r>
          </w:p>
        </w:tc>
      </w:tr>
      <w:tr w:rsidR="00505114" w:rsidTr="00BF6BC5">
        <w:tc>
          <w:tcPr>
            <w:tcW w:w="2694" w:type="dxa"/>
            <w:vMerge/>
            <w:tcBorders>
              <w:left w:val="nil"/>
              <w:bottom w:val="single" w:sz="6" w:space="0" w:color="008000"/>
              <w:right w:val="nil"/>
            </w:tcBorders>
            <w:shd w:val="clear" w:color="auto" w:fill="FFFFFF"/>
            <w:vAlign w:val="center"/>
          </w:tcPr>
          <w:p w:rsidR="00505114" w:rsidRPr="00B21C12" w:rsidRDefault="00505114" w:rsidP="00BF6BC5">
            <w:pPr>
              <w:pStyle w:val="CETBodytext"/>
              <w:rPr>
                <w:shd w:val="clear" w:color="auto" w:fill="FFFFFF"/>
              </w:rPr>
            </w:pPr>
          </w:p>
        </w:tc>
        <w:tc>
          <w:tcPr>
            <w:tcW w:w="1275" w:type="dxa"/>
            <w:tcBorders>
              <w:top w:val="single" w:sz="12" w:space="0" w:color="008000"/>
              <w:left w:val="nil"/>
              <w:bottom w:val="single" w:sz="6" w:space="0" w:color="008000"/>
              <w:right w:val="nil"/>
            </w:tcBorders>
            <w:shd w:val="clear" w:color="auto" w:fill="FFFFFF"/>
            <w:vAlign w:val="bottom"/>
          </w:tcPr>
          <w:p w:rsidR="00505114" w:rsidRDefault="00505114" w:rsidP="00BF6BC5">
            <w:pPr>
              <w:pStyle w:val="CETBodytext"/>
              <w:rPr>
                <w:lang w:val="en-GB"/>
              </w:rPr>
            </w:pPr>
            <w:r w:rsidRPr="008F1449">
              <w:rPr>
                <w:bCs/>
              </w:rPr>
              <w:t>-1</w:t>
            </w:r>
            <w:r>
              <w:rPr>
                <w:bCs/>
              </w:rPr>
              <w:t>.</w:t>
            </w:r>
            <w:r w:rsidRPr="008F1449">
              <w:rPr>
                <w:bCs/>
              </w:rPr>
              <w:t>41</w:t>
            </w:r>
          </w:p>
        </w:tc>
        <w:tc>
          <w:tcPr>
            <w:tcW w:w="709" w:type="dxa"/>
            <w:tcBorders>
              <w:top w:val="single" w:sz="12" w:space="0" w:color="008000"/>
              <w:left w:val="nil"/>
              <w:bottom w:val="single" w:sz="6" w:space="0" w:color="008000"/>
              <w:right w:val="nil"/>
            </w:tcBorders>
            <w:shd w:val="clear" w:color="auto" w:fill="FFFFFF"/>
            <w:vAlign w:val="bottom"/>
          </w:tcPr>
          <w:p w:rsidR="00505114" w:rsidRPr="00B21C12" w:rsidRDefault="00505114" w:rsidP="00BF6BC5">
            <w:pPr>
              <w:pStyle w:val="CETBodytext"/>
              <w:rPr>
                <w:shd w:val="clear" w:color="auto" w:fill="FFFFFF"/>
              </w:rPr>
            </w:pPr>
            <w:r w:rsidRPr="008F1449">
              <w:rPr>
                <w:bCs/>
              </w:rPr>
              <w:t>-1</w:t>
            </w:r>
          </w:p>
        </w:tc>
        <w:tc>
          <w:tcPr>
            <w:tcW w:w="964" w:type="dxa"/>
            <w:tcBorders>
              <w:top w:val="single" w:sz="12" w:space="0" w:color="008000"/>
              <w:left w:val="nil"/>
              <w:bottom w:val="single" w:sz="6" w:space="0" w:color="008000"/>
              <w:right w:val="nil"/>
            </w:tcBorders>
            <w:shd w:val="clear" w:color="auto" w:fill="FFFFFF"/>
            <w:vAlign w:val="bottom"/>
          </w:tcPr>
          <w:p w:rsidR="00505114" w:rsidRDefault="00505114" w:rsidP="00BF6BC5">
            <w:pPr>
              <w:pStyle w:val="CETBodytext"/>
              <w:rPr>
                <w:lang w:val="en-GB"/>
              </w:rPr>
            </w:pPr>
            <w:r w:rsidRPr="008F1449">
              <w:rPr>
                <w:bCs/>
              </w:rPr>
              <w:t>0</w:t>
            </w:r>
          </w:p>
        </w:tc>
        <w:tc>
          <w:tcPr>
            <w:tcW w:w="794" w:type="dxa"/>
            <w:tcBorders>
              <w:top w:val="single" w:sz="12" w:space="0" w:color="008000"/>
              <w:left w:val="nil"/>
              <w:bottom w:val="single" w:sz="6" w:space="0" w:color="008000"/>
              <w:right w:val="nil"/>
            </w:tcBorders>
            <w:shd w:val="clear" w:color="auto" w:fill="FFFFFF"/>
            <w:vAlign w:val="bottom"/>
          </w:tcPr>
          <w:p w:rsidR="00505114" w:rsidRDefault="00505114" w:rsidP="00BF6BC5">
            <w:pPr>
              <w:pStyle w:val="CETBodytext"/>
              <w:rPr>
                <w:lang w:val="en-GB"/>
              </w:rPr>
            </w:pPr>
            <w:r w:rsidRPr="008F1449">
              <w:rPr>
                <w:bCs/>
              </w:rPr>
              <w:t>1</w:t>
            </w:r>
          </w:p>
        </w:tc>
        <w:tc>
          <w:tcPr>
            <w:tcW w:w="935" w:type="dxa"/>
            <w:tcBorders>
              <w:top w:val="single" w:sz="12" w:space="0" w:color="008000"/>
              <w:left w:val="nil"/>
              <w:bottom w:val="single" w:sz="6" w:space="0" w:color="008000"/>
              <w:right w:val="nil"/>
            </w:tcBorders>
            <w:shd w:val="clear" w:color="auto" w:fill="FFFFFF"/>
            <w:vAlign w:val="bottom"/>
          </w:tcPr>
          <w:p w:rsidR="00505114" w:rsidRDefault="00505114" w:rsidP="00BF6BC5">
            <w:pPr>
              <w:pStyle w:val="CETBodytext"/>
              <w:rPr>
                <w:lang w:val="en-GB"/>
              </w:rPr>
            </w:pPr>
            <w:r w:rsidRPr="008F1449">
              <w:rPr>
                <w:bCs/>
              </w:rPr>
              <w:t>1</w:t>
            </w:r>
            <w:r>
              <w:rPr>
                <w:bCs/>
              </w:rPr>
              <w:t>.</w:t>
            </w:r>
            <w:r w:rsidRPr="008F1449">
              <w:rPr>
                <w:bCs/>
              </w:rPr>
              <w:t>41</w:t>
            </w:r>
          </w:p>
        </w:tc>
      </w:tr>
      <w:tr w:rsidR="00505114" w:rsidTr="00BF6BC5">
        <w:tc>
          <w:tcPr>
            <w:tcW w:w="2694" w:type="dxa"/>
            <w:tcBorders>
              <w:top w:val="nil"/>
              <w:left w:val="nil"/>
              <w:bottom w:val="nil"/>
              <w:right w:val="nil"/>
            </w:tcBorders>
            <w:shd w:val="clear" w:color="auto" w:fill="FFFFFF"/>
            <w:vAlign w:val="bottom"/>
            <w:hideMark/>
          </w:tcPr>
          <w:p w:rsidR="00505114" w:rsidRDefault="00505114" w:rsidP="00BF6BC5">
            <w:pPr>
              <w:pStyle w:val="CETBodytext"/>
              <w:rPr>
                <w:lang w:val="en-GB"/>
              </w:rPr>
            </w:pPr>
            <w:r w:rsidRPr="008F1449">
              <w:rPr>
                <w:bCs/>
              </w:rPr>
              <w:t xml:space="preserve">MO </w:t>
            </w:r>
            <w:r>
              <w:rPr>
                <w:bCs/>
              </w:rPr>
              <w:t xml:space="preserve">concentration </w:t>
            </w:r>
            <w:r w:rsidRPr="008F1449">
              <w:rPr>
                <w:bCs/>
              </w:rPr>
              <w:t>(mg L</w:t>
            </w:r>
            <w:r w:rsidRPr="008F1449">
              <w:rPr>
                <w:bCs/>
                <w:vertAlign w:val="superscript"/>
              </w:rPr>
              <w:t>-1</w:t>
            </w:r>
            <w:r w:rsidRPr="008F1449">
              <w:rPr>
                <w:bCs/>
              </w:rPr>
              <w:t>)</w:t>
            </w:r>
          </w:p>
        </w:tc>
        <w:tc>
          <w:tcPr>
            <w:tcW w:w="1275" w:type="dxa"/>
            <w:tcBorders>
              <w:top w:val="nil"/>
              <w:left w:val="nil"/>
              <w:bottom w:val="nil"/>
              <w:right w:val="nil"/>
            </w:tcBorders>
            <w:shd w:val="clear" w:color="auto" w:fill="FFFFFF"/>
            <w:vAlign w:val="bottom"/>
          </w:tcPr>
          <w:p w:rsidR="00505114" w:rsidRDefault="00505114" w:rsidP="00BF6BC5">
            <w:pPr>
              <w:pStyle w:val="CETBodytext"/>
              <w:rPr>
                <w:lang w:val="en-GB"/>
              </w:rPr>
            </w:pPr>
            <w:r w:rsidRPr="008F1449">
              <w:t>1977</w:t>
            </w:r>
          </w:p>
        </w:tc>
        <w:tc>
          <w:tcPr>
            <w:tcW w:w="709" w:type="dxa"/>
            <w:tcBorders>
              <w:top w:val="nil"/>
              <w:left w:val="nil"/>
              <w:bottom w:val="nil"/>
              <w:right w:val="nil"/>
            </w:tcBorders>
            <w:shd w:val="clear" w:color="auto" w:fill="FFFFFF"/>
            <w:vAlign w:val="bottom"/>
          </w:tcPr>
          <w:p w:rsidR="00505114" w:rsidRPr="00BA6C49" w:rsidRDefault="00505114" w:rsidP="00BF6BC5">
            <w:pPr>
              <w:pStyle w:val="CETBodytext"/>
              <w:rPr>
                <w:shd w:val="clear" w:color="auto" w:fill="FFFFFF"/>
              </w:rPr>
            </w:pPr>
            <w:r w:rsidRPr="008F1449">
              <w:t>2100</w:t>
            </w:r>
          </w:p>
        </w:tc>
        <w:tc>
          <w:tcPr>
            <w:tcW w:w="964" w:type="dxa"/>
            <w:tcBorders>
              <w:top w:val="nil"/>
              <w:left w:val="nil"/>
              <w:bottom w:val="nil"/>
              <w:right w:val="nil"/>
            </w:tcBorders>
            <w:shd w:val="clear" w:color="auto" w:fill="FFFFFF"/>
            <w:vAlign w:val="bottom"/>
          </w:tcPr>
          <w:p w:rsidR="00505114" w:rsidRDefault="00505114" w:rsidP="00BF6BC5">
            <w:pPr>
              <w:pStyle w:val="CETBodytext"/>
              <w:rPr>
                <w:lang w:val="en-GB"/>
              </w:rPr>
            </w:pPr>
            <w:r w:rsidRPr="008F1449">
              <w:t>2400</w:t>
            </w:r>
          </w:p>
        </w:tc>
        <w:tc>
          <w:tcPr>
            <w:tcW w:w="794" w:type="dxa"/>
            <w:tcBorders>
              <w:top w:val="nil"/>
              <w:left w:val="nil"/>
              <w:bottom w:val="nil"/>
              <w:right w:val="nil"/>
            </w:tcBorders>
            <w:shd w:val="clear" w:color="auto" w:fill="FFFFFF"/>
            <w:vAlign w:val="bottom"/>
          </w:tcPr>
          <w:p w:rsidR="00505114" w:rsidRDefault="00505114" w:rsidP="00BF6BC5">
            <w:pPr>
              <w:pStyle w:val="CETBodytext"/>
              <w:rPr>
                <w:lang w:val="en-GB"/>
              </w:rPr>
            </w:pPr>
            <w:r w:rsidRPr="008F1449">
              <w:t>2700</w:t>
            </w:r>
          </w:p>
        </w:tc>
        <w:tc>
          <w:tcPr>
            <w:tcW w:w="935" w:type="dxa"/>
            <w:tcBorders>
              <w:top w:val="nil"/>
              <w:left w:val="nil"/>
              <w:bottom w:val="nil"/>
              <w:right w:val="nil"/>
            </w:tcBorders>
            <w:shd w:val="clear" w:color="auto" w:fill="FFFFFF"/>
            <w:vAlign w:val="bottom"/>
          </w:tcPr>
          <w:p w:rsidR="00505114" w:rsidRDefault="00505114" w:rsidP="00BF6BC5">
            <w:pPr>
              <w:pStyle w:val="CETBodytext"/>
              <w:rPr>
                <w:lang w:val="en-GB"/>
              </w:rPr>
            </w:pPr>
            <w:r w:rsidRPr="008F1449">
              <w:t>2823</w:t>
            </w:r>
          </w:p>
        </w:tc>
      </w:tr>
      <w:tr w:rsidR="00505114" w:rsidTr="00BF6BC5">
        <w:tc>
          <w:tcPr>
            <w:tcW w:w="2694" w:type="dxa"/>
            <w:tcBorders>
              <w:top w:val="nil"/>
              <w:left w:val="nil"/>
              <w:bottom w:val="single" w:sz="12" w:space="0" w:color="008000"/>
              <w:right w:val="nil"/>
            </w:tcBorders>
            <w:shd w:val="clear" w:color="auto" w:fill="FFFFFF"/>
            <w:vAlign w:val="bottom"/>
          </w:tcPr>
          <w:p w:rsidR="00505114" w:rsidRDefault="00505114" w:rsidP="00BF6BC5">
            <w:pPr>
              <w:pStyle w:val="CETBodytext"/>
              <w:rPr>
                <w:lang w:val="en-GB"/>
              </w:rPr>
            </w:pPr>
            <w:r w:rsidRPr="008F1449">
              <w:rPr>
                <w:bCs/>
              </w:rPr>
              <w:t xml:space="preserve">NaCl </w:t>
            </w:r>
            <w:r>
              <w:rPr>
                <w:bCs/>
              </w:rPr>
              <w:t xml:space="preserve">concentration </w:t>
            </w:r>
            <w:r w:rsidRPr="008F1449">
              <w:rPr>
                <w:bCs/>
              </w:rPr>
              <w:t>(mol L</w:t>
            </w:r>
            <w:r w:rsidRPr="008F1449">
              <w:rPr>
                <w:bCs/>
                <w:vertAlign w:val="superscript"/>
              </w:rPr>
              <w:t>-1</w:t>
            </w:r>
            <w:r w:rsidRPr="008F1449">
              <w:rPr>
                <w:bCs/>
              </w:rPr>
              <w:t>)</w:t>
            </w:r>
          </w:p>
        </w:tc>
        <w:tc>
          <w:tcPr>
            <w:tcW w:w="1275" w:type="dxa"/>
            <w:tcBorders>
              <w:top w:val="nil"/>
              <w:left w:val="nil"/>
              <w:bottom w:val="single" w:sz="12" w:space="0" w:color="008000"/>
              <w:right w:val="nil"/>
            </w:tcBorders>
            <w:shd w:val="clear" w:color="auto" w:fill="FFFFFF"/>
            <w:vAlign w:val="bottom"/>
          </w:tcPr>
          <w:p w:rsidR="00505114" w:rsidRDefault="00505114" w:rsidP="00BF6BC5">
            <w:pPr>
              <w:pStyle w:val="CETBodytext"/>
              <w:rPr>
                <w:lang w:val="en-GB"/>
              </w:rPr>
            </w:pPr>
            <w:r w:rsidRPr="008F1449">
              <w:t>0</w:t>
            </w:r>
            <w:r>
              <w:t>.</w:t>
            </w:r>
            <w:r w:rsidRPr="008F1449">
              <w:t>3</w:t>
            </w:r>
          </w:p>
        </w:tc>
        <w:tc>
          <w:tcPr>
            <w:tcW w:w="709" w:type="dxa"/>
            <w:tcBorders>
              <w:top w:val="nil"/>
              <w:left w:val="nil"/>
              <w:bottom w:val="single" w:sz="12" w:space="0" w:color="008000"/>
              <w:right w:val="nil"/>
            </w:tcBorders>
            <w:shd w:val="clear" w:color="auto" w:fill="FFFFFF"/>
            <w:vAlign w:val="bottom"/>
          </w:tcPr>
          <w:p w:rsidR="00505114" w:rsidRPr="00BA6C49" w:rsidRDefault="00505114" w:rsidP="00BF6BC5">
            <w:pPr>
              <w:pStyle w:val="CETBodytext"/>
              <w:rPr>
                <w:shd w:val="clear" w:color="auto" w:fill="FFFFFF"/>
              </w:rPr>
            </w:pPr>
            <w:r w:rsidRPr="008F1449">
              <w:t>0</w:t>
            </w:r>
            <w:r>
              <w:t>.</w:t>
            </w:r>
            <w:r w:rsidRPr="008F1449">
              <w:t>5</w:t>
            </w:r>
          </w:p>
        </w:tc>
        <w:tc>
          <w:tcPr>
            <w:tcW w:w="964" w:type="dxa"/>
            <w:tcBorders>
              <w:top w:val="nil"/>
              <w:left w:val="nil"/>
              <w:bottom w:val="single" w:sz="12" w:space="0" w:color="008000"/>
              <w:right w:val="nil"/>
            </w:tcBorders>
            <w:shd w:val="clear" w:color="auto" w:fill="FFFFFF"/>
            <w:vAlign w:val="bottom"/>
          </w:tcPr>
          <w:p w:rsidR="00505114" w:rsidRDefault="00505114" w:rsidP="00BF6BC5">
            <w:pPr>
              <w:pStyle w:val="CETBodytext"/>
              <w:rPr>
                <w:lang w:val="en-GB"/>
              </w:rPr>
            </w:pPr>
            <w:r w:rsidRPr="008F1449">
              <w:t>1</w:t>
            </w:r>
          </w:p>
        </w:tc>
        <w:tc>
          <w:tcPr>
            <w:tcW w:w="794" w:type="dxa"/>
            <w:tcBorders>
              <w:top w:val="nil"/>
              <w:left w:val="nil"/>
              <w:bottom w:val="single" w:sz="12" w:space="0" w:color="008000"/>
              <w:right w:val="nil"/>
            </w:tcBorders>
            <w:shd w:val="clear" w:color="auto" w:fill="FFFFFF"/>
            <w:vAlign w:val="bottom"/>
          </w:tcPr>
          <w:p w:rsidR="00505114" w:rsidRDefault="00505114" w:rsidP="00BF6BC5">
            <w:pPr>
              <w:pStyle w:val="CETBodytext"/>
              <w:rPr>
                <w:lang w:val="en-GB"/>
              </w:rPr>
            </w:pPr>
            <w:r w:rsidRPr="008F1449">
              <w:t>1</w:t>
            </w:r>
            <w:r>
              <w:t>.</w:t>
            </w:r>
            <w:r w:rsidRPr="008F1449">
              <w:t>5</w:t>
            </w:r>
          </w:p>
        </w:tc>
        <w:tc>
          <w:tcPr>
            <w:tcW w:w="935" w:type="dxa"/>
            <w:tcBorders>
              <w:top w:val="nil"/>
              <w:left w:val="nil"/>
              <w:bottom w:val="single" w:sz="12" w:space="0" w:color="008000"/>
              <w:right w:val="nil"/>
            </w:tcBorders>
            <w:shd w:val="clear" w:color="auto" w:fill="FFFFFF"/>
            <w:vAlign w:val="bottom"/>
          </w:tcPr>
          <w:p w:rsidR="00505114" w:rsidRDefault="00505114" w:rsidP="00BF6BC5">
            <w:pPr>
              <w:pStyle w:val="CETBodytext"/>
              <w:rPr>
                <w:lang w:val="en-GB"/>
              </w:rPr>
            </w:pPr>
            <w:r w:rsidRPr="008F1449">
              <w:t>1</w:t>
            </w:r>
            <w:r>
              <w:t>.</w:t>
            </w:r>
            <w:r w:rsidRPr="008F1449">
              <w:t>7</w:t>
            </w:r>
          </w:p>
        </w:tc>
      </w:tr>
    </w:tbl>
    <w:p w:rsidR="00505114" w:rsidRPr="009D0685" w:rsidRDefault="00505114" w:rsidP="00505114">
      <w:pPr>
        <w:pStyle w:val="CETBodytext"/>
        <w:rPr>
          <w:lang w:val="en-GB"/>
        </w:rPr>
      </w:pPr>
      <w:r w:rsidRPr="009D0685">
        <w:rPr>
          <w:lang w:val="en-GB"/>
        </w:rPr>
        <w:t xml:space="preserve">Note: Concentrations were based on preliminary </w:t>
      </w:r>
      <w:r>
        <w:rPr>
          <w:lang w:val="en-GB"/>
        </w:rPr>
        <w:t>assays</w:t>
      </w:r>
      <w:r w:rsidRPr="009D0685">
        <w:rPr>
          <w:lang w:val="en-GB"/>
        </w:rPr>
        <w:t xml:space="preserve"> results.</w:t>
      </w:r>
    </w:p>
    <w:p w:rsidR="00505114" w:rsidRDefault="00505114" w:rsidP="00505114">
      <w:pPr>
        <w:pStyle w:val="CETBodytext"/>
      </w:pPr>
      <w:bookmarkStart w:id="5" w:name="_Toc298882473"/>
      <w:bookmarkStart w:id="6" w:name="_Toc314494889"/>
    </w:p>
    <w:p w:rsidR="00505114" w:rsidRPr="009D0685" w:rsidRDefault="00505114" w:rsidP="00505114">
      <w:pPr>
        <w:pStyle w:val="CETBodytext"/>
      </w:pPr>
      <w:r w:rsidRPr="00272438">
        <w:t xml:space="preserve">For the test conditions a fast mixing rate of 100 rpm was determined for a corresponding fast mixing time of 2 min, followed by a slow mixing speed of 20 rpm for a slow mixing time of 10 min. After 60 minutes of decantation, supernatant aliquots were </w:t>
      </w:r>
      <w:r>
        <w:t>collected</w:t>
      </w:r>
      <w:r w:rsidRPr="00272438">
        <w:t xml:space="preserve"> for further Turbidity, COD and Free Cyanide removal</w:t>
      </w:r>
      <w:r>
        <w:t xml:space="preserve"> </w:t>
      </w:r>
      <w:r w:rsidRPr="00272438">
        <w:t>analys</w:t>
      </w:r>
      <w:r>
        <w:t>e</w:t>
      </w:r>
      <w:r w:rsidRPr="00272438">
        <w:t>s</w:t>
      </w:r>
      <w:r>
        <w:t>.</w:t>
      </w:r>
    </w:p>
    <w:bookmarkEnd w:id="5"/>
    <w:bookmarkEnd w:id="6"/>
    <w:p w:rsidR="00505114" w:rsidRPr="00D94B2F" w:rsidRDefault="00505114" w:rsidP="00505114">
      <w:pPr>
        <w:pStyle w:val="CETHeading1"/>
      </w:pPr>
      <w:r>
        <w:t>Results and discussion</w:t>
      </w:r>
    </w:p>
    <w:p w:rsidR="00505114" w:rsidRPr="007715F0" w:rsidRDefault="00505114" w:rsidP="00505114">
      <w:pPr>
        <w:pStyle w:val="CETBodytext"/>
        <w:rPr>
          <w:lang w:val="en-GB"/>
        </w:rPr>
      </w:pPr>
      <w:r>
        <w:rPr>
          <w:lang w:val="en-GB"/>
        </w:rPr>
        <w:t>R</w:t>
      </w:r>
      <w:r w:rsidRPr="007715F0">
        <w:rPr>
          <w:lang w:val="en-GB"/>
        </w:rPr>
        <w:t xml:space="preserve">esults of the physicochemical characterization performed with the </w:t>
      </w:r>
      <w:r>
        <w:rPr>
          <w:lang w:val="en-GB"/>
        </w:rPr>
        <w:t>wastewater</w:t>
      </w:r>
      <w:r w:rsidRPr="007715F0">
        <w:rPr>
          <w:lang w:val="en-GB"/>
        </w:rPr>
        <w:t xml:space="preserve"> samples and some literature data for comparative purposes</w:t>
      </w:r>
      <w:r>
        <w:rPr>
          <w:lang w:val="en-GB"/>
        </w:rPr>
        <w:t xml:space="preserve"> are shown in Table 2</w:t>
      </w:r>
      <w:r w:rsidRPr="007715F0">
        <w:rPr>
          <w:lang w:val="en-GB"/>
        </w:rPr>
        <w:t>.</w:t>
      </w:r>
    </w:p>
    <w:p w:rsidR="00505114" w:rsidRPr="00B8143C" w:rsidRDefault="00505114" w:rsidP="00505114">
      <w:pPr>
        <w:pStyle w:val="CETTabletitle"/>
      </w:pPr>
      <w:r w:rsidRPr="00B8143C">
        <w:t>Table 2: Wastewater characterization and some literature data comparison.</w:t>
      </w:r>
    </w:p>
    <w:tbl>
      <w:tblPr>
        <w:tblW w:w="4517" w:type="pct"/>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410"/>
        <w:gridCol w:w="1418"/>
        <w:gridCol w:w="1276"/>
        <w:gridCol w:w="1418"/>
        <w:gridCol w:w="1416"/>
      </w:tblGrid>
      <w:tr w:rsidR="00505114" w:rsidTr="00BF6BC5">
        <w:trPr>
          <w:trHeight w:val="486"/>
        </w:trPr>
        <w:tc>
          <w:tcPr>
            <w:tcW w:w="1518" w:type="pct"/>
            <w:tcBorders>
              <w:top w:val="single" w:sz="12" w:space="0" w:color="008000"/>
              <w:left w:val="nil"/>
              <w:bottom w:val="single" w:sz="6" w:space="0" w:color="008000"/>
              <w:right w:val="nil"/>
            </w:tcBorders>
            <w:shd w:val="clear" w:color="auto" w:fill="FFFFFF"/>
            <w:vAlign w:val="center"/>
            <w:hideMark/>
          </w:tcPr>
          <w:p w:rsidR="00505114" w:rsidRDefault="00505114" w:rsidP="004549DA">
            <w:pPr>
              <w:pStyle w:val="CETBodytext"/>
              <w:jc w:val="left"/>
              <w:rPr>
                <w:lang w:val="en-GB"/>
              </w:rPr>
            </w:pPr>
            <w:r w:rsidRPr="00A04211">
              <w:rPr>
                <w:lang w:eastAsia="pt-BR"/>
              </w:rPr>
              <w:t>Par</w:t>
            </w:r>
            <w:r>
              <w:rPr>
                <w:lang w:eastAsia="pt-BR"/>
              </w:rPr>
              <w:t>ameter</w:t>
            </w:r>
          </w:p>
        </w:tc>
        <w:tc>
          <w:tcPr>
            <w:tcW w:w="893" w:type="pct"/>
            <w:tcBorders>
              <w:top w:val="single" w:sz="12" w:space="0" w:color="008000"/>
              <w:left w:val="nil"/>
              <w:bottom w:val="single" w:sz="6" w:space="0" w:color="008000"/>
              <w:right w:val="nil"/>
            </w:tcBorders>
            <w:shd w:val="clear" w:color="auto" w:fill="FFFFFF"/>
            <w:vAlign w:val="center"/>
            <w:hideMark/>
          </w:tcPr>
          <w:p w:rsidR="00505114" w:rsidRDefault="00505114" w:rsidP="004549DA">
            <w:pPr>
              <w:pStyle w:val="CETBodytext"/>
              <w:jc w:val="left"/>
              <w:rPr>
                <w:lang w:val="en-GB"/>
              </w:rPr>
            </w:pPr>
            <w:r w:rsidRPr="00A04211">
              <w:rPr>
                <w:lang w:eastAsia="pt-BR"/>
              </w:rPr>
              <w:t>Result</w:t>
            </w:r>
            <w:r>
              <w:rPr>
                <w:lang w:eastAsia="pt-BR"/>
              </w:rPr>
              <w:t>s found</w:t>
            </w:r>
          </w:p>
        </w:tc>
        <w:tc>
          <w:tcPr>
            <w:tcW w:w="804" w:type="pct"/>
            <w:tcBorders>
              <w:top w:val="single" w:sz="12" w:space="0" w:color="008000"/>
              <w:left w:val="nil"/>
              <w:bottom w:val="single" w:sz="6" w:space="0" w:color="008000"/>
              <w:right w:val="nil"/>
            </w:tcBorders>
            <w:shd w:val="clear" w:color="auto" w:fill="FFFFFF"/>
            <w:vAlign w:val="center"/>
          </w:tcPr>
          <w:p w:rsidR="00505114" w:rsidRPr="00B21C12" w:rsidRDefault="00505114" w:rsidP="004549DA">
            <w:pPr>
              <w:pStyle w:val="CETBodytext"/>
              <w:jc w:val="left"/>
              <w:rPr>
                <w:shd w:val="clear" w:color="auto" w:fill="FFFFFF"/>
              </w:rPr>
            </w:pPr>
            <w:r w:rsidRPr="00A04211">
              <w:rPr>
                <w:lang w:eastAsia="pt-BR"/>
              </w:rPr>
              <w:t>Hasan et al. (2014)</w:t>
            </w:r>
          </w:p>
        </w:tc>
        <w:tc>
          <w:tcPr>
            <w:tcW w:w="893" w:type="pct"/>
            <w:tcBorders>
              <w:top w:val="single" w:sz="12" w:space="0" w:color="008000"/>
              <w:left w:val="nil"/>
              <w:bottom w:val="single" w:sz="6" w:space="0" w:color="008000"/>
              <w:right w:val="nil"/>
            </w:tcBorders>
            <w:shd w:val="clear" w:color="auto" w:fill="FFFFFF"/>
            <w:vAlign w:val="center"/>
          </w:tcPr>
          <w:p w:rsidR="00505114" w:rsidRPr="00B21C12" w:rsidRDefault="00A93C26" w:rsidP="004549DA">
            <w:pPr>
              <w:pStyle w:val="CETBodytext"/>
              <w:jc w:val="left"/>
              <w:rPr>
                <w:shd w:val="clear" w:color="auto" w:fill="FFFFFF"/>
              </w:rPr>
            </w:pPr>
            <w:r>
              <w:rPr>
                <w:lang w:eastAsia="pt-BR"/>
              </w:rPr>
              <w:t>Lamo and</w:t>
            </w:r>
            <w:r w:rsidR="00505114" w:rsidRPr="00A04211">
              <w:rPr>
                <w:lang w:eastAsia="pt-BR"/>
              </w:rPr>
              <w:t xml:space="preserve"> Menezes (1979)</w:t>
            </w:r>
          </w:p>
        </w:tc>
        <w:tc>
          <w:tcPr>
            <w:tcW w:w="892" w:type="pct"/>
            <w:tcBorders>
              <w:top w:val="single" w:sz="12" w:space="0" w:color="008000"/>
              <w:left w:val="nil"/>
              <w:bottom w:val="single" w:sz="6" w:space="0" w:color="008000"/>
              <w:right w:val="nil"/>
            </w:tcBorders>
            <w:shd w:val="clear" w:color="auto" w:fill="FFFFFF"/>
            <w:vAlign w:val="center"/>
            <w:hideMark/>
          </w:tcPr>
          <w:p w:rsidR="00505114" w:rsidRDefault="00505114" w:rsidP="004549DA">
            <w:pPr>
              <w:pStyle w:val="CETBodytext"/>
              <w:jc w:val="left"/>
              <w:rPr>
                <w:lang w:val="en-GB"/>
              </w:rPr>
            </w:pPr>
            <w:r w:rsidRPr="00A04211">
              <w:rPr>
                <w:lang w:eastAsia="pt-BR"/>
              </w:rPr>
              <w:t>Fioretto (2001)</w:t>
            </w:r>
          </w:p>
        </w:tc>
      </w:tr>
      <w:tr w:rsidR="00505114" w:rsidTr="00BF6BC5">
        <w:tc>
          <w:tcPr>
            <w:tcW w:w="1518" w:type="pct"/>
            <w:tcBorders>
              <w:top w:val="nil"/>
              <w:left w:val="nil"/>
              <w:bottom w:val="nil"/>
              <w:right w:val="nil"/>
            </w:tcBorders>
            <w:shd w:val="clear" w:color="auto" w:fill="FFFFFF"/>
            <w:vAlign w:val="center"/>
          </w:tcPr>
          <w:p w:rsidR="00505114" w:rsidRDefault="00505114" w:rsidP="00AA5AEC">
            <w:pPr>
              <w:pStyle w:val="CETBodytext"/>
              <w:jc w:val="left"/>
              <w:rPr>
                <w:lang w:val="en-GB"/>
              </w:rPr>
            </w:pPr>
            <w:r>
              <w:rPr>
                <w:lang w:eastAsia="pt-BR"/>
              </w:rPr>
              <w:t>BOD</w:t>
            </w:r>
            <w:r w:rsidRPr="00A04211">
              <w:rPr>
                <w:lang w:eastAsia="pt-BR"/>
              </w:rPr>
              <w:t xml:space="preserve"> (mgO</w:t>
            </w:r>
            <w:r w:rsidRPr="00A04211">
              <w:rPr>
                <w:vertAlign w:val="subscript"/>
                <w:lang w:eastAsia="pt-BR"/>
              </w:rPr>
              <w:t>2</w:t>
            </w:r>
            <w:r w:rsidRPr="00A04211">
              <w:rPr>
                <w:lang w:eastAsia="pt-BR"/>
              </w:rPr>
              <w:t xml:space="preserve"> L</w:t>
            </w:r>
            <w:r w:rsidRPr="00A04211">
              <w:rPr>
                <w:vertAlign w:val="superscript"/>
                <w:lang w:eastAsia="pt-BR"/>
              </w:rPr>
              <w:t>-1</w:t>
            </w:r>
            <w:r w:rsidRPr="00A04211">
              <w:rPr>
                <w:lang w:eastAsia="pt-BR"/>
              </w:rPr>
              <w:t>)</w:t>
            </w:r>
          </w:p>
        </w:tc>
        <w:tc>
          <w:tcPr>
            <w:tcW w:w="893" w:type="pct"/>
            <w:tcBorders>
              <w:top w:val="nil"/>
              <w:left w:val="nil"/>
              <w:bottom w:val="nil"/>
              <w:right w:val="nil"/>
            </w:tcBorders>
            <w:shd w:val="clear" w:color="auto" w:fill="FFFFFF"/>
            <w:vAlign w:val="center"/>
          </w:tcPr>
          <w:p w:rsidR="00505114" w:rsidRDefault="00505114" w:rsidP="00AA5AEC">
            <w:pPr>
              <w:pStyle w:val="CETBodytext"/>
              <w:jc w:val="left"/>
              <w:rPr>
                <w:lang w:val="en-GB"/>
              </w:rPr>
            </w:pPr>
            <w:r w:rsidRPr="00A04211">
              <w:rPr>
                <w:lang w:eastAsia="pt-BR"/>
              </w:rPr>
              <w:t>1</w:t>
            </w:r>
            <w:r>
              <w:rPr>
                <w:lang w:eastAsia="pt-BR"/>
              </w:rPr>
              <w:t>,</w:t>
            </w:r>
            <w:r w:rsidRPr="00A04211">
              <w:rPr>
                <w:lang w:eastAsia="pt-BR"/>
              </w:rPr>
              <w:t>450</w:t>
            </w:r>
          </w:p>
        </w:tc>
        <w:tc>
          <w:tcPr>
            <w:tcW w:w="804" w:type="pct"/>
            <w:tcBorders>
              <w:top w:val="nil"/>
              <w:left w:val="nil"/>
              <w:bottom w:val="nil"/>
              <w:right w:val="nil"/>
            </w:tcBorders>
            <w:shd w:val="clear" w:color="auto" w:fill="FFFFFF"/>
            <w:vAlign w:val="center"/>
          </w:tcPr>
          <w:p w:rsidR="00505114" w:rsidRPr="00BA6C49" w:rsidRDefault="00505114" w:rsidP="00AA5AEC">
            <w:pPr>
              <w:pStyle w:val="CETBodytext"/>
              <w:jc w:val="left"/>
              <w:rPr>
                <w:shd w:val="clear" w:color="auto" w:fill="FFFFFF"/>
              </w:rPr>
            </w:pPr>
            <w:r w:rsidRPr="00A04211">
              <w:rPr>
                <w:lang w:eastAsia="pt-BR"/>
              </w:rPr>
              <w:t>−</w:t>
            </w:r>
          </w:p>
        </w:tc>
        <w:tc>
          <w:tcPr>
            <w:tcW w:w="893" w:type="pct"/>
            <w:tcBorders>
              <w:top w:val="nil"/>
              <w:left w:val="nil"/>
              <w:bottom w:val="nil"/>
              <w:right w:val="nil"/>
            </w:tcBorders>
            <w:shd w:val="clear" w:color="auto" w:fill="FFFFFF"/>
            <w:vAlign w:val="center"/>
          </w:tcPr>
          <w:p w:rsidR="00505114" w:rsidRPr="00BA6C49" w:rsidRDefault="00505114" w:rsidP="00AA5AEC">
            <w:pPr>
              <w:pStyle w:val="CETBodytext"/>
              <w:jc w:val="left"/>
              <w:rPr>
                <w:shd w:val="clear" w:color="auto" w:fill="FFFFFF"/>
              </w:rPr>
            </w:pPr>
            <w:r w:rsidRPr="00A04211">
              <w:rPr>
                <w:lang w:eastAsia="pt-BR"/>
              </w:rPr>
              <w:t>1</w:t>
            </w:r>
            <w:r>
              <w:rPr>
                <w:lang w:eastAsia="pt-BR"/>
              </w:rPr>
              <w:t>,</w:t>
            </w:r>
            <w:r w:rsidRPr="00A04211">
              <w:rPr>
                <w:lang w:eastAsia="pt-BR"/>
              </w:rPr>
              <w:t>400-34</w:t>
            </w:r>
            <w:r>
              <w:rPr>
                <w:lang w:eastAsia="pt-BR"/>
              </w:rPr>
              <w:t>,</w:t>
            </w:r>
            <w:r w:rsidRPr="00A04211">
              <w:rPr>
                <w:lang w:eastAsia="pt-BR"/>
              </w:rPr>
              <w:t>300</w:t>
            </w:r>
          </w:p>
        </w:tc>
        <w:tc>
          <w:tcPr>
            <w:tcW w:w="892" w:type="pct"/>
            <w:tcBorders>
              <w:top w:val="nil"/>
              <w:left w:val="nil"/>
              <w:bottom w:val="nil"/>
              <w:right w:val="nil"/>
            </w:tcBorders>
            <w:shd w:val="clear" w:color="auto" w:fill="FFFFFF"/>
            <w:vAlign w:val="center"/>
          </w:tcPr>
          <w:p w:rsidR="00505114" w:rsidRDefault="00505114" w:rsidP="00AA5AEC">
            <w:pPr>
              <w:pStyle w:val="CETBodytext"/>
              <w:jc w:val="left"/>
              <w:rPr>
                <w:lang w:val="en-GB"/>
              </w:rPr>
            </w:pPr>
            <w:r w:rsidRPr="00A04211">
              <w:rPr>
                <w:lang w:eastAsia="pt-BR"/>
              </w:rPr>
              <w:t>30</w:t>
            </w:r>
            <w:r>
              <w:rPr>
                <w:lang w:eastAsia="pt-BR"/>
              </w:rPr>
              <w:t>,</w:t>
            </w:r>
            <w:r w:rsidRPr="00A04211">
              <w:rPr>
                <w:lang w:eastAsia="pt-BR"/>
              </w:rPr>
              <w:t>000</w:t>
            </w:r>
          </w:p>
        </w:tc>
      </w:tr>
      <w:tr w:rsidR="00505114" w:rsidTr="00BF6BC5">
        <w:tc>
          <w:tcPr>
            <w:tcW w:w="1518" w:type="pct"/>
            <w:tcBorders>
              <w:top w:val="nil"/>
              <w:left w:val="nil"/>
              <w:bottom w:val="nil"/>
              <w:right w:val="nil"/>
            </w:tcBorders>
            <w:shd w:val="clear" w:color="auto" w:fill="FFFFFF"/>
            <w:vAlign w:val="center"/>
          </w:tcPr>
          <w:p w:rsidR="00505114" w:rsidRDefault="00505114" w:rsidP="00AA5AEC">
            <w:pPr>
              <w:pStyle w:val="CETBodytext"/>
              <w:jc w:val="left"/>
              <w:rPr>
                <w:lang w:val="en-GB"/>
              </w:rPr>
            </w:pPr>
            <w:r>
              <w:rPr>
                <w:lang w:eastAsia="pt-BR"/>
              </w:rPr>
              <w:t>COD</w:t>
            </w:r>
            <w:r w:rsidRPr="00A04211">
              <w:rPr>
                <w:lang w:eastAsia="pt-BR"/>
              </w:rPr>
              <w:t xml:space="preserve"> (mgO</w:t>
            </w:r>
            <w:r w:rsidRPr="00A04211">
              <w:rPr>
                <w:vertAlign w:val="subscript"/>
                <w:lang w:eastAsia="pt-BR"/>
              </w:rPr>
              <w:t>2</w:t>
            </w:r>
            <w:r w:rsidRPr="00A04211">
              <w:rPr>
                <w:lang w:eastAsia="pt-BR"/>
              </w:rPr>
              <w:t xml:space="preserve"> L</w:t>
            </w:r>
            <w:r w:rsidRPr="00A04211">
              <w:rPr>
                <w:vertAlign w:val="superscript"/>
                <w:lang w:eastAsia="pt-BR"/>
              </w:rPr>
              <w:t>-1</w:t>
            </w:r>
            <w:r w:rsidRPr="00A04211">
              <w:rPr>
                <w:lang w:eastAsia="pt-BR"/>
              </w:rPr>
              <w:t>)</w:t>
            </w:r>
          </w:p>
        </w:tc>
        <w:tc>
          <w:tcPr>
            <w:tcW w:w="893" w:type="pct"/>
            <w:tcBorders>
              <w:top w:val="nil"/>
              <w:left w:val="nil"/>
              <w:bottom w:val="nil"/>
              <w:right w:val="nil"/>
            </w:tcBorders>
            <w:shd w:val="clear" w:color="auto" w:fill="FFFFFF"/>
            <w:vAlign w:val="center"/>
          </w:tcPr>
          <w:p w:rsidR="00505114" w:rsidRDefault="00505114" w:rsidP="00AA5AEC">
            <w:pPr>
              <w:pStyle w:val="CETBodytext"/>
              <w:jc w:val="left"/>
              <w:rPr>
                <w:lang w:val="en-GB"/>
              </w:rPr>
            </w:pPr>
            <w:r w:rsidRPr="00A04211">
              <w:rPr>
                <w:lang w:eastAsia="pt-BR"/>
              </w:rPr>
              <w:t>2</w:t>
            </w:r>
            <w:r>
              <w:rPr>
                <w:lang w:eastAsia="pt-BR"/>
              </w:rPr>
              <w:t>,</w:t>
            </w:r>
            <w:r w:rsidRPr="00A04211">
              <w:rPr>
                <w:lang w:eastAsia="pt-BR"/>
              </w:rPr>
              <w:t>240</w:t>
            </w:r>
          </w:p>
        </w:tc>
        <w:tc>
          <w:tcPr>
            <w:tcW w:w="804" w:type="pct"/>
            <w:tcBorders>
              <w:top w:val="nil"/>
              <w:left w:val="nil"/>
              <w:bottom w:val="nil"/>
              <w:right w:val="nil"/>
            </w:tcBorders>
            <w:shd w:val="clear" w:color="auto" w:fill="FFFFFF"/>
            <w:vAlign w:val="center"/>
          </w:tcPr>
          <w:p w:rsidR="00505114" w:rsidRPr="00BA6C49" w:rsidRDefault="00505114" w:rsidP="00AA5AEC">
            <w:pPr>
              <w:pStyle w:val="CETBodytext"/>
              <w:jc w:val="left"/>
              <w:rPr>
                <w:shd w:val="clear" w:color="auto" w:fill="FFFFFF"/>
              </w:rPr>
            </w:pPr>
            <w:r w:rsidRPr="00A04211">
              <w:rPr>
                <w:lang w:eastAsia="pt-BR"/>
              </w:rPr>
              <w:t>32</w:t>
            </w:r>
            <w:r>
              <w:rPr>
                <w:lang w:eastAsia="pt-BR"/>
              </w:rPr>
              <w:t>,</w:t>
            </w:r>
            <w:r w:rsidRPr="00A04211">
              <w:rPr>
                <w:lang w:eastAsia="pt-BR"/>
              </w:rPr>
              <w:t>000</w:t>
            </w:r>
          </w:p>
        </w:tc>
        <w:tc>
          <w:tcPr>
            <w:tcW w:w="893" w:type="pct"/>
            <w:tcBorders>
              <w:top w:val="nil"/>
              <w:left w:val="nil"/>
              <w:bottom w:val="nil"/>
              <w:right w:val="nil"/>
            </w:tcBorders>
            <w:shd w:val="clear" w:color="auto" w:fill="FFFFFF"/>
            <w:vAlign w:val="center"/>
          </w:tcPr>
          <w:p w:rsidR="00505114" w:rsidRPr="00BA6C49" w:rsidRDefault="00505114" w:rsidP="00AA5AEC">
            <w:pPr>
              <w:pStyle w:val="CETBodytext"/>
              <w:jc w:val="left"/>
              <w:rPr>
                <w:shd w:val="clear" w:color="auto" w:fill="FFFFFF"/>
              </w:rPr>
            </w:pPr>
            <w:r w:rsidRPr="00A04211">
              <w:rPr>
                <w:lang w:eastAsia="pt-BR"/>
              </w:rPr>
              <w:t>6</w:t>
            </w:r>
            <w:r>
              <w:rPr>
                <w:lang w:eastAsia="pt-BR"/>
              </w:rPr>
              <w:t>,</w:t>
            </w:r>
            <w:r w:rsidRPr="00A04211">
              <w:rPr>
                <w:lang w:eastAsia="pt-BR"/>
              </w:rPr>
              <w:t>280-51</w:t>
            </w:r>
            <w:r>
              <w:rPr>
                <w:lang w:eastAsia="pt-BR"/>
              </w:rPr>
              <w:t>,</w:t>
            </w:r>
            <w:r w:rsidRPr="00A04211">
              <w:rPr>
                <w:lang w:eastAsia="pt-BR"/>
              </w:rPr>
              <w:t>200</w:t>
            </w:r>
          </w:p>
        </w:tc>
        <w:tc>
          <w:tcPr>
            <w:tcW w:w="892" w:type="pct"/>
            <w:tcBorders>
              <w:top w:val="nil"/>
              <w:left w:val="nil"/>
              <w:bottom w:val="nil"/>
              <w:right w:val="nil"/>
            </w:tcBorders>
            <w:shd w:val="clear" w:color="auto" w:fill="FFFFFF"/>
            <w:vAlign w:val="center"/>
          </w:tcPr>
          <w:p w:rsidR="00505114" w:rsidRDefault="00505114" w:rsidP="00AA5AEC">
            <w:pPr>
              <w:pStyle w:val="CETBodytext"/>
              <w:jc w:val="left"/>
              <w:rPr>
                <w:lang w:val="en-GB"/>
              </w:rPr>
            </w:pPr>
            <w:r w:rsidRPr="00A04211">
              <w:rPr>
                <w:lang w:eastAsia="pt-BR"/>
              </w:rPr>
              <w:t>−</w:t>
            </w:r>
          </w:p>
        </w:tc>
      </w:tr>
      <w:tr w:rsidR="00505114" w:rsidTr="00BF6BC5">
        <w:tc>
          <w:tcPr>
            <w:tcW w:w="1518" w:type="pct"/>
            <w:tcBorders>
              <w:top w:val="nil"/>
              <w:left w:val="nil"/>
              <w:bottom w:val="nil"/>
              <w:right w:val="nil"/>
            </w:tcBorders>
            <w:shd w:val="clear" w:color="auto" w:fill="FFFFFF"/>
            <w:vAlign w:val="center"/>
          </w:tcPr>
          <w:p w:rsidR="00505114" w:rsidRPr="00A52916" w:rsidRDefault="00505114" w:rsidP="00AA5AEC">
            <w:pPr>
              <w:pStyle w:val="CETBodytext"/>
              <w:jc w:val="left"/>
              <w:rPr>
                <w:lang w:val="pt-BR"/>
              </w:rPr>
            </w:pPr>
            <w:r w:rsidRPr="00E155CD">
              <w:rPr>
                <w:lang w:val="en-GB"/>
              </w:rPr>
              <w:t>Dissolved Phosphorus</w:t>
            </w:r>
            <w:r w:rsidRPr="00D94B2F">
              <w:rPr>
                <w:lang w:val="pt-BR" w:eastAsia="pt-BR"/>
              </w:rPr>
              <w:t xml:space="preserve"> (mgPO</w:t>
            </w:r>
            <w:r w:rsidRPr="00D94B2F">
              <w:rPr>
                <w:vertAlign w:val="superscript"/>
                <w:lang w:val="pt-BR" w:eastAsia="pt-BR"/>
              </w:rPr>
              <w:t>-4</w:t>
            </w:r>
            <w:r w:rsidRPr="00D94B2F">
              <w:rPr>
                <w:lang w:val="pt-BR" w:eastAsia="pt-BR"/>
              </w:rPr>
              <w:t xml:space="preserve"> L</w:t>
            </w:r>
            <w:r w:rsidRPr="00D94B2F">
              <w:rPr>
                <w:vertAlign w:val="superscript"/>
                <w:lang w:val="pt-BR" w:eastAsia="pt-BR"/>
              </w:rPr>
              <w:t>-1</w:t>
            </w:r>
            <w:r w:rsidRPr="00D94B2F">
              <w:rPr>
                <w:lang w:val="pt-BR" w:eastAsia="pt-BR"/>
              </w:rPr>
              <w:t>)</w:t>
            </w:r>
          </w:p>
        </w:tc>
        <w:tc>
          <w:tcPr>
            <w:tcW w:w="893" w:type="pct"/>
            <w:tcBorders>
              <w:top w:val="nil"/>
              <w:left w:val="nil"/>
              <w:bottom w:val="nil"/>
              <w:right w:val="nil"/>
            </w:tcBorders>
            <w:shd w:val="clear" w:color="auto" w:fill="FFFFFF"/>
            <w:vAlign w:val="center"/>
          </w:tcPr>
          <w:p w:rsidR="00505114" w:rsidRDefault="00505114" w:rsidP="00AA5AEC">
            <w:pPr>
              <w:pStyle w:val="CETBodytext"/>
              <w:jc w:val="left"/>
              <w:rPr>
                <w:lang w:val="en-GB"/>
              </w:rPr>
            </w:pPr>
            <w:r w:rsidRPr="00A04211">
              <w:rPr>
                <w:lang w:eastAsia="pt-BR"/>
              </w:rPr>
              <w:t>91</w:t>
            </w:r>
            <w:r>
              <w:rPr>
                <w:lang w:eastAsia="pt-BR"/>
              </w:rPr>
              <w:t>.</w:t>
            </w:r>
            <w:r w:rsidRPr="00A04211">
              <w:rPr>
                <w:lang w:eastAsia="pt-BR"/>
              </w:rPr>
              <w:t>83</w:t>
            </w:r>
          </w:p>
        </w:tc>
        <w:tc>
          <w:tcPr>
            <w:tcW w:w="804" w:type="pct"/>
            <w:tcBorders>
              <w:top w:val="nil"/>
              <w:left w:val="nil"/>
              <w:bottom w:val="nil"/>
              <w:right w:val="nil"/>
            </w:tcBorders>
            <w:shd w:val="clear" w:color="auto" w:fill="FFFFFF"/>
            <w:vAlign w:val="center"/>
          </w:tcPr>
          <w:p w:rsidR="00505114" w:rsidRPr="00BA6C49" w:rsidRDefault="00505114" w:rsidP="00AA5AEC">
            <w:pPr>
              <w:pStyle w:val="CETBodytext"/>
              <w:jc w:val="left"/>
              <w:rPr>
                <w:shd w:val="clear" w:color="auto" w:fill="FFFFFF"/>
              </w:rPr>
            </w:pPr>
            <w:r w:rsidRPr="00A04211">
              <w:rPr>
                <w:lang w:eastAsia="pt-BR"/>
              </w:rPr>
              <w:t>412</w:t>
            </w:r>
          </w:p>
        </w:tc>
        <w:tc>
          <w:tcPr>
            <w:tcW w:w="893" w:type="pct"/>
            <w:tcBorders>
              <w:top w:val="nil"/>
              <w:left w:val="nil"/>
              <w:bottom w:val="nil"/>
              <w:right w:val="nil"/>
            </w:tcBorders>
            <w:shd w:val="clear" w:color="auto" w:fill="FFFFFF"/>
            <w:vAlign w:val="center"/>
          </w:tcPr>
          <w:p w:rsidR="00505114" w:rsidRPr="00BA6C49" w:rsidRDefault="00505114" w:rsidP="00AA5AEC">
            <w:pPr>
              <w:pStyle w:val="CETBodytext"/>
              <w:jc w:val="left"/>
              <w:rPr>
                <w:shd w:val="clear" w:color="auto" w:fill="FFFFFF"/>
              </w:rPr>
            </w:pPr>
            <w:r w:rsidRPr="00A04211">
              <w:rPr>
                <w:lang w:eastAsia="pt-BR"/>
              </w:rPr>
              <w:t>155-598</w:t>
            </w:r>
          </w:p>
        </w:tc>
        <w:tc>
          <w:tcPr>
            <w:tcW w:w="892" w:type="pct"/>
            <w:tcBorders>
              <w:top w:val="nil"/>
              <w:left w:val="nil"/>
              <w:bottom w:val="nil"/>
              <w:right w:val="nil"/>
            </w:tcBorders>
            <w:shd w:val="clear" w:color="auto" w:fill="FFFFFF"/>
            <w:vAlign w:val="center"/>
          </w:tcPr>
          <w:p w:rsidR="00505114" w:rsidRDefault="00505114" w:rsidP="00AA5AEC">
            <w:pPr>
              <w:pStyle w:val="CETBodytext"/>
              <w:jc w:val="left"/>
              <w:rPr>
                <w:lang w:val="en-GB"/>
              </w:rPr>
            </w:pPr>
            <w:r w:rsidRPr="00A04211">
              <w:rPr>
                <w:lang w:eastAsia="pt-BR"/>
              </w:rPr>
              <w:t>255</w:t>
            </w:r>
            <w:r>
              <w:rPr>
                <w:lang w:eastAsia="pt-BR"/>
              </w:rPr>
              <w:t>.</w:t>
            </w:r>
            <w:r w:rsidRPr="00A04211">
              <w:rPr>
                <w:lang w:eastAsia="pt-BR"/>
              </w:rPr>
              <w:t>8</w:t>
            </w:r>
          </w:p>
        </w:tc>
      </w:tr>
      <w:tr w:rsidR="00505114" w:rsidTr="00BF6BC5">
        <w:tc>
          <w:tcPr>
            <w:tcW w:w="1518" w:type="pct"/>
            <w:tcBorders>
              <w:top w:val="nil"/>
              <w:left w:val="nil"/>
              <w:bottom w:val="nil"/>
              <w:right w:val="nil"/>
            </w:tcBorders>
            <w:shd w:val="clear" w:color="auto" w:fill="FFFFFF"/>
            <w:vAlign w:val="center"/>
          </w:tcPr>
          <w:p w:rsidR="00505114" w:rsidRDefault="00505114" w:rsidP="00AA5AEC">
            <w:pPr>
              <w:pStyle w:val="CETBodytext"/>
              <w:jc w:val="left"/>
              <w:rPr>
                <w:lang w:val="en-GB"/>
              </w:rPr>
            </w:pPr>
            <w:r w:rsidRPr="00E155CD">
              <w:rPr>
                <w:lang w:val="en-GB"/>
              </w:rPr>
              <w:t>Total Nitrogen</w:t>
            </w:r>
            <w:r w:rsidRPr="00A04211">
              <w:rPr>
                <w:lang w:eastAsia="pt-BR"/>
              </w:rPr>
              <w:t xml:space="preserve"> (mgN L</w:t>
            </w:r>
            <w:r w:rsidRPr="00A04211">
              <w:rPr>
                <w:vertAlign w:val="superscript"/>
                <w:lang w:eastAsia="pt-BR"/>
              </w:rPr>
              <w:t>-1</w:t>
            </w:r>
            <w:r w:rsidRPr="00A04211">
              <w:rPr>
                <w:lang w:eastAsia="pt-BR"/>
              </w:rPr>
              <w:t>)</w:t>
            </w:r>
          </w:p>
        </w:tc>
        <w:tc>
          <w:tcPr>
            <w:tcW w:w="893" w:type="pct"/>
            <w:tcBorders>
              <w:top w:val="nil"/>
              <w:left w:val="nil"/>
              <w:bottom w:val="nil"/>
              <w:right w:val="nil"/>
            </w:tcBorders>
            <w:shd w:val="clear" w:color="auto" w:fill="FFFFFF"/>
            <w:vAlign w:val="center"/>
          </w:tcPr>
          <w:p w:rsidR="00505114" w:rsidRPr="00BA6C49" w:rsidRDefault="00505114" w:rsidP="00AA5AEC">
            <w:pPr>
              <w:pStyle w:val="CETBodytext"/>
              <w:jc w:val="left"/>
              <w:rPr>
                <w:shd w:val="clear" w:color="auto" w:fill="FFFFFF"/>
              </w:rPr>
            </w:pPr>
            <w:r w:rsidRPr="00A04211">
              <w:rPr>
                <w:lang w:eastAsia="pt-BR"/>
              </w:rPr>
              <w:t>168</w:t>
            </w:r>
          </w:p>
        </w:tc>
        <w:tc>
          <w:tcPr>
            <w:tcW w:w="804" w:type="pct"/>
            <w:tcBorders>
              <w:top w:val="nil"/>
              <w:left w:val="nil"/>
              <w:bottom w:val="nil"/>
              <w:right w:val="nil"/>
            </w:tcBorders>
            <w:shd w:val="clear" w:color="auto" w:fill="FFFFFF"/>
            <w:vAlign w:val="center"/>
          </w:tcPr>
          <w:p w:rsidR="00505114" w:rsidRPr="00BA6C49" w:rsidRDefault="00505114" w:rsidP="00AA5AEC">
            <w:pPr>
              <w:pStyle w:val="CETBodytext"/>
              <w:jc w:val="left"/>
              <w:rPr>
                <w:shd w:val="clear" w:color="auto" w:fill="FFFFFF"/>
              </w:rPr>
            </w:pPr>
            <w:r w:rsidRPr="00A04211">
              <w:rPr>
                <w:lang w:eastAsia="pt-BR"/>
              </w:rPr>
              <w:t>165</w:t>
            </w:r>
            <w:r>
              <w:rPr>
                <w:lang w:eastAsia="pt-BR"/>
              </w:rPr>
              <w:t>.</w:t>
            </w:r>
            <w:r w:rsidRPr="00A04211">
              <w:rPr>
                <w:lang w:eastAsia="pt-BR"/>
              </w:rPr>
              <w:t>2</w:t>
            </w:r>
          </w:p>
        </w:tc>
        <w:tc>
          <w:tcPr>
            <w:tcW w:w="893" w:type="pct"/>
            <w:tcBorders>
              <w:top w:val="nil"/>
              <w:left w:val="nil"/>
              <w:bottom w:val="nil"/>
              <w:right w:val="nil"/>
            </w:tcBorders>
            <w:shd w:val="clear" w:color="auto" w:fill="FFFFFF"/>
            <w:vAlign w:val="center"/>
          </w:tcPr>
          <w:p w:rsidR="00505114" w:rsidRPr="00BA6C49" w:rsidRDefault="00505114" w:rsidP="00AA5AEC">
            <w:pPr>
              <w:pStyle w:val="CETBodytext"/>
              <w:jc w:val="left"/>
              <w:rPr>
                <w:shd w:val="clear" w:color="auto" w:fill="FFFFFF"/>
              </w:rPr>
            </w:pPr>
            <w:r w:rsidRPr="00A04211">
              <w:rPr>
                <w:lang w:eastAsia="pt-BR"/>
              </w:rPr>
              <w:t>140-1</w:t>
            </w:r>
            <w:r>
              <w:rPr>
                <w:lang w:eastAsia="pt-BR"/>
              </w:rPr>
              <w:t>,</w:t>
            </w:r>
            <w:r w:rsidRPr="00A04211">
              <w:rPr>
                <w:lang w:eastAsia="pt-BR"/>
              </w:rPr>
              <w:t>150</w:t>
            </w:r>
          </w:p>
        </w:tc>
        <w:tc>
          <w:tcPr>
            <w:tcW w:w="892" w:type="pct"/>
            <w:tcBorders>
              <w:top w:val="nil"/>
              <w:left w:val="nil"/>
              <w:bottom w:val="nil"/>
              <w:right w:val="nil"/>
            </w:tcBorders>
            <w:shd w:val="clear" w:color="auto" w:fill="FFFFFF"/>
            <w:vAlign w:val="center"/>
          </w:tcPr>
          <w:p w:rsidR="00505114" w:rsidRPr="00BA6C49" w:rsidRDefault="00505114" w:rsidP="00AA5AEC">
            <w:pPr>
              <w:pStyle w:val="CETBodytext"/>
              <w:jc w:val="left"/>
              <w:rPr>
                <w:shd w:val="clear" w:color="auto" w:fill="FFFFFF"/>
              </w:rPr>
            </w:pPr>
            <w:r w:rsidRPr="00A04211">
              <w:rPr>
                <w:lang w:eastAsia="pt-BR"/>
              </w:rPr>
              <w:t>−</w:t>
            </w:r>
          </w:p>
        </w:tc>
      </w:tr>
      <w:tr w:rsidR="00505114" w:rsidTr="00BF6BC5">
        <w:tc>
          <w:tcPr>
            <w:tcW w:w="1518" w:type="pct"/>
            <w:tcBorders>
              <w:top w:val="nil"/>
              <w:left w:val="nil"/>
              <w:bottom w:val="nil"/>
              <w:right w:val="nil"/>
            </w:tcBorders>
            <w:shd w:val="clear" w:color="auto" w:fill="FFFFFF"/>
            <w:vAlign w:val="center"/>
          </w:tcPr>
          <w:p w:rsidR="00505114" w:rsidRDefault="00505114" w:rsidP="00AA5AEC">
            <w:pPr>
              <w:pStyle w:val="CETBodytext"/>
              <w:jc w:val="left"/>
              <w:rPr>
                <w:lang w:val="en-GB"/>
              </w:rPr>
            </w:pPr>
            <w:r w:rsidRPr="00E155CD">
              <w:rPr>
                <w:lang w:val="en-GB"/>
              </w:rPr>
              <w:t>Total Solids</w:t>
            </w:r>
            <w:r w:rsidRPr="00A04211">
              <w:rPr>
                <w:lang w:eastAsia="pt-BR"/>
              </w:rPr>
              <w:t xml:space="preserve"> (mg</w:t>
            </w:r>
            <w:r>
              <w:rPr>
                <w:lang w:eastAsia="pt-BR"/>
              </w:rPr>
              <w:t>TS</w:t>
            </w:r>
            <w:r w:rsidRPr="00A04211">
              <w:rPr>
                <w:lang w:eastAsia="pt-BR"/>
              </w:rPr>
              <w:t xml:space="preserve"> L</w:t>
            </w:r>
            <w:r w:rsidRPr="00A04211">
              <w:rPr>
                <w:vertAlign w:val="superscript"/>
                <w:lang w:eastAsia="pt-BR"/>
              </w:rPr>
              <w:t>-1</w:t>
            </w:r>
            <w:r w:rsidRPr="00A04211">
              <w:rPr>
                <w:lang w:eastAsia="pt-BR"/>
              </w:rPr>
              <w:t>)</w:t>
            </w:r>
          </w:p>
        </w:tc>
        <w:tc>
          <w:tcPr>
            <w:tcW w:w="893" w:type="pct"/>
            <w:tcBorders>
              <w:top w:val="nil"/>
              <w:left w:val="nil"/>
              <w:bottom w:val="nil"/>
              <w:right w:val="nil"/>
            </w:tcBorders>
            <w:shd w:val="clear" w:color="auto" w:fill="FFFFFF"/>
            <w:vAlign w:val="center"/>
          </w:tcPr>
          <w:p w:rsidR="00505114" w:rsidRPr="00BA6C49" w:rsidRDefault="00505114" w:rsidP="00AA5AEC">
            <w:pPr>
              <w:pStyle w:val="CETBodytext"/>
              <w:jc w:val="left"/>
              <w:rPr>
                <w:shd w:val="clear" w:color="auto" w:fill="FFFFFF"/>
              </w:rPr>
            </w:pPr>
            <w:r w:rsidRPr="00A04211">
              <w:rPr>
                <w:lang w:eastAsia="pt-BR"/>
              </w:rPr>
              <w:t>7</w:t>
            </w:r>
            <w:r>
              <w:rPr>
                <w:lang w:eastAsia="pt-BR"/>
              </w:rPr>
              <w:t>,</w:t>
            </w:r>
            <w:r w:rsidRPr="00A04211">
              <w:rPr>
                <w:lang w:eastAsia="pt-BR"/>
              </w:rPr>
              <w:t>666</w:t>
            </w:r>
          </w:p>
        </w:tc>
        <w:tc>
          <w:tcPr>
            <w:tcW w:w="804" w:type="pct"/>
            <w:tcBorders>
              <w:top w:val="nil"/>
              <w:left w:val="nil"/>
              <w:bottom w:val="nil"/>
              <w:right w:val="nil"/>
            </w:tcBorders>
            <w:shd w:val="clear" w:color="auto" w:fill="FFFFFF"/>
            <w:vAlign w:val="center"/>
          </w:tcPr>
          <w:p w:rsidR="00505114" w:rsidRPr="00BA6C49" w:rsidRDefault="00505114" w:rsidP="00AA5AEC">
            <w:pPr>
              <w:pStyle w:val="CETBodytext"/>
              <w:jc w:val="left"/>
              <w:rPr>
                <w:shd w:val="clear" w:color="auto" w:fill="FFFFFF"/>
              </w:rPr>
            </w:pPr>
            <w:r w:rsidRPr="00A04211">
              <w:rPr>
                <w:lang w:eastAsia="pt-BR"/>
              </w:rPr>
              <w:t>6</w:t>
            </w:r>
            <w:r>
              <w:rPr>
                <w:lang w:eastAsia="pt-BR"/>
              </w:rPr>
              <w:t>,</w:t>
            </w:r>
            <w:r w:rsidRPr="00A04211">
              <w:rPr>
                <w:lang w:eastAsia="pt-BR"/>
              </w:rPr>
              <w:t>000</w:t>
            </w:r>
          </w:p>
        </w:tc>
        <w:tc>
          <w:tcPr>
            <w:tcW w:w="893" w:type="pct"/>
            <w:tcBorders>
              <w:top w:val="nil"/>
              <w:left w:val="nil"/>
              <w:bottom w:val="nil"/>
              <w:right w:val="nil"/>
            </w:tcBorders>
            <w:shd w:val="clear" w:color="auto" w:fill="FFFFFF"/>
            <w:vAlign w:val="center"/>
          </w:tcPr>
          <w:p w:rsidR="00505114" w:rsidRPr="00BA6C49" w:rsidRDefault="00505114" w:rsidP="00AA5AEC">
            <w:pPr>
              <w:pStyle w:val="CETBodytext"/>
              <w:jc w:val="left"/>
              <w:rPr>
                <w:shd w:val="clear" w:color="auto" w:fill="FFFFFF"/>
              </w:rPr>
            </w:pPr>
            <w:r w:rsidRPr="00A04211">
              <w:rPr>
                <w:lang w:eastAsia="pt-BR"/>
              </w:rPr>
              <w:t>5</w:t>
            </w:r>
            <w:r>
              <w:rPr>
                <w:lang w:eastAsia="pt-BR"/>
              </w:rPr>
              <w:t>,</w:t>
            </w:r>
            <w:r w:rsidRPr="00A04211">
              <w:rPr>
                <w:lang w:eastAsia="pt-BR"/>
              </w:rPr>
              <w:t>800-56</w:t>
            </w:r>
            <w:r>
              <w:rPr>
                <w:lang w:eastAsia="pt-BR"/>
              </w:rPr>
              <w:t>,</w:t>
            </w:r>
            <w:r w:rsidRPr="00A04211">
              <w:rPr>
                <w:lang w:eastAsia="pt-BR"/>
              </w:rPr>
              <w:t>460</w:t>
            </w:r>
          </w:p>
        </w:tc>
        <w:tc>
          <w:tcPr>
            <w:tcW w:w="892" w:type="pct"/>
            <w:tcBorders>
              <w:top w:val="nil"/>
              <w:left w:val="nil"/>
              <w:bottom w:val="nil"/>
              <w:right w:val="nil"/>
            </w:tcBorders>
            <w:shd w:val="clear" w:color="auto" w:fill="FFFFFF"/>
            <w:vAlign w:val="center"/>
          </w:tcPr>
          <w:p w:rsidR="00505114" w:rsidRPr="00BA6C49" w:rsidRDefault="00505114" w:rsidP="00AA5AEC">
            <w:pPr>
              <w:pStyle w:val="CETBodytext"/>
              <w:jc w:val="left"/>
              <w:rPr>
                <w:shd w:val="clear" w:color="auto" w:fill="FFFFFF"/>
              </w:rPr>
            </w:pPr>
            <w:r w:rsidRPr="00A04211">
              <w:rPr>
                <w:lang w:eastAsia="pt-BR"/>
              </w:rPr>
              <w:t>70</w:t>
            </w:r>
            <w:r>
              <w:rPr>
                <w:lang w:eastAsia="pt-BR"/>
              </w:rPr>
              <w:t>,</w:t>
            </w:r>
            <w:r w:rsidRPr="00A04211">
              <w:rPr>
                <w:lang w:eastAsia="pt-BR"/>
              </w:rPr>
              <w:t>000</w:t>
            </w:r>
          </w:p>
        </w:tc>
      </w:tr>
      <w:tr w:rsidR="00505114" w:rsidTr="00BF6BC5">
        <w:tc>
          <w:tcPr>
            <w:tcW w:w="1518" w:type="pct"/>
            <w:tcBorders>
              <w:top w:val="nil"/>
              <w:left w:val="nil"/>
              <w:bottom w:val="nil"/>
              <w:right w:val="nil"/>
            </w:tcBorders>
            <w:shd w:val="clear" w:color="auto" w:fill="FFFFFF"/>
            <w:vAlign w:val="center"/>
          </w:tcPr>
          <w:p w:rsidR="00505114" w:rsidRDefault="00505114" w:rsidP="00AA5AEC">
            <w:pPr>
              <w:pStyle w:val="CETBodytext"/>
              <w:jc w:val="left"/>
              <w:rPr>
                <w:lang w:val="en-GB"/>
              </w:rPr>
            </w:pPr>
            <w:r w:rsidRPr="00A04211">
              <w:rPr>
                <w:lang w:eastAsia="pt-BR"/>
              </w:rPr>
              <w:t>pH</w:t>
            </w:r>
          </w:p>
        </w:tc>
        <w:tc>
          <w:tcPr>
            <w:tcW w:w="893" w:type="pct"/>
            <w:tcBorders>
              <w:top w:val="nil"/>
              <w:left w:val="nil"/>
              <w:bottom w:val="nil"/>
              <w:right w:val="nil"/>
            </w:tcBorders>
            <w:shd w:val="clear" w:color="auto" w:fill="FFFFFF"/>
            <w:vAlign w:val="center"/>
          </w:tcPr>
          <w:p w:rsidR="00505114" w:rsidRPr="00BA6C49" w:rsidRDefault="00505114" w:rsidP="00AA5AEC">
            <w:pPr>
              <w:pStyle w:val="CETBodytext"/>
              <w:jc w:val="left"/>
              <w:rPr>
                <w:shd w:val="clear" w:color="auto" w:fill="FFFFFF"/>
              </w:rPr>
            </w:pPr>
            <w:r w:rsidRPr="00A04211">
              <w:rPr>
                <w:lang w:eastAsia="pt-BR"/>
              </w:rPr>
              <w:t>4</w:t>
            </w:r>
            <w:r>
              <w:rPr>
                <w:lang w:eastAsia="pt-BR"/>
              </w:rPr>
              <w:t>.</w:t>
            </w:r>
            <w:r w:rsidRPr="00A04211">
              <w:rPr>
                <w:lang w:eastAsia="pt-BR"/>
              </w:rPr>
              <w:t xml:space="preserve">1 </w:t>
            </w:r>
            <w:r>
              <w:rPr>
                <w:lang w:eastAsia="pt-BR"/>
              </w:rPr>
              <w:t>–</w:t>
            </w:r>
            <w:r w:rsidRPr="00A04211">
              <w:rPr>
                <w:lang w:eastAsia="pt-BR"/>
              </w:rPr>
              <w:t xml:space="preserve"> 4</w:t>
            </w:r>
            <w:r>
              <w:rPr>
                <w:lang w:eastAsia="pt-BR"/>
              </w:rPr>
              <w:t>.</w:t>
            </w:r>
            <w:r w:rsidRPr="00A04211">
              <w:rPr>
                <w:lang w:eastAsia="pt-BR"/>
              </w:rPr>
              <w:t>8</w:t>
            </w:r>
          </w:p>
        </w:tc>
        <w:tc>
          <w:tcPr>
            <w:tcW w:w="804" w:type="pct"/>
            <w:tcBorders>
              <w:top w:val="nil"/>
              <w:left w:val="nil"/>
              <w:bottom w:val="nil"/>
              <w:right w:val="nil"/>
            </w:tcBorders>
            <w:shd w:val="clear" w:color="auto" w:fill="FFFFFF"/>
            <w:vAlign w:val="center"/>
          </w:tcPr>
          <w:p w:rsidR="00505114" w:rsidRPr="00BA6C49" w:rsidRDefault="00505114" w:rsidP="00AA5AEC">
            <w:pPr>
              <w:pStyle w:val="CETBodytext"/>
              <w:jc w:val="left"/>
              <w:rPr>
                <w:shd w:val="clear" w:color="auto" w:fill="FFFFFF"/>
              </w:rPr>
            </w:pPr>
            <w:r w:rsidRPr="00A04211">
              <w:rPr>
                <w:lang w:eastAsia="pt-BR"/>
              </w:rPr>
              <w:t>5</w:t>
            </w:r>
          </w:p>
        </w:tc>
        <w:tc>
          <w:tcPr>
            <w:tcW w:w="893" w:type="pct"/>
            <w:tcBorders>
              <w:top w:val="nil"/>
              <w:left w:val="nil"/>
              <w:bottom w:val="nil"/>
              <w:right w:val="nil"/>
            </w:tcBorders>
            <w:shd w:val="clear" w:color="auto" w:fill="FFFFFF"/>
            <w:vAlign w:val="center"/>
          </w:tcPr>
          <w:p w:rsidR="00505114" w:rsidRPr="00BA6C49" w:rsidRDefault="00505114" w:rsidP="00AA5AEC">
            <w:pPr>
              <w:pStyle w:val="CETBodytext"/>
              <w:jc w:val="left"/>
              <w:rPr>
                <w:shd w:val="clear" w:color="auto" w:fill="FFFFFF"/>
              </w:rPr>
            </w:pPr>
            <w:r w:rsidRPr="00A04211">
              <w:rPr>
                <w:lang w:eastAsia="pt-BR"/>
              </w:rPr>
              <w:t>3</w:t>
            </w:r>
            <w:r>
              <w:rPr>
                <w:lang w:eastAsia="pt-BR"/>
              </w:rPr>
              <w:t>.</w:t>
            </w:r>
            <w:r w:rsidRPr="00A04211">
              <w:rPr>
                <w:lang w:eastAsia="pt-BR"/>
              </w:rPr>
              <w:t>8-5</w:t>
            </w:r>
            <w:r>
              <w:rPr>
                <w:lang w:eastAsia="pt-BR"/>
              </w:rPr>
              <w:t>.</w:t>
            </w:r>
            <w:r w:rsidRPr="00A04211">
              <w:rPr>
                <w:lang w:eastAsia="pt-BR"/>
              </w:rPr>
              <w:t>2</w:t>
            </w:r>
          </w:p>
        </w:tc>
        <w:tc>
          <w:tcPr>
            <w:tcW w:w="892" w:type="pct"/>
            <w:tcBorders>
              <w:top w:val="nil"/>
              <w:left w:val="nil"/>
              <w:bottom w:val="nil"/>
              <w:right w:val="nil"/>
            </w:tcBorders>
            <w:shd w:val="clear" w:color="auto" w:fill="FFFFFF"/>
            <w:vAlign w:val="center"/>
          </w:tcPr>
          <w:p w:rsidR="00505114" w:rsidRPr="00BA6C49" w:rsidRDefault="00505114" w:rsidP="00AA5AEC">
            <w:pPr>
              <w:pStyle w:val="CETBodytext"/>
              <w:jc w:val="left"/>
              <w:rPr>
                <w:shd w:val="clear" w:color="auto" w:fill="FFFFFF"/>
              </w:rPr>
            </w:pPr>
            <w:r w:rsidRPr="00A04211">
              <w:rPr>
                <w:lang w:eastAsia="pt-BR"/>
              </w:rPr>
              <w:t>4</w:t>
            </w:r>
            <w:r>
              <w:rPr>
                <w:lang w:eastAsia="pt-BR"/>
              </w:rPr>
              <w:t>.</w:t>
            </w:r>
            <w:r w:rsidRPr="00A04211">
              <w:rPr>
                <w:lang w:eastAsia="pt-BR"/>
              </w:rPr>
              <w:t>03</w:t>
            </w:r>
          </w:p>
        </w:tc>
      </w:tr>
      <w:tr w:rsidR="00505114" w:rsidTr="00BF6BC5">
        <w:tc>
          <w:tcPr>
            <w:tcW w:w="1518" w:type="pct"/>
            <w:tcBorders>
              <w:top w:val="nil"/>
              <w:left w:val="nil"/>
              <w:bottom w:val="nil"/>
              <w:right w:val="nil"/>
            </w:tcBorders>
            <w:shd w:val="clear" w:color="auto" w:fill="FFFFFF"/>
            <w:vAlign w:val="center"/>
          </w:tcPr>
          <w:p w:rsidR="00505114" w:rsidRDefault="00505114" w:rsidP="00AA5AEC">
            <w:pPr>
              <w:pStyle w:val="CETBodytext"/>
              <w:jc w:val="left"/>
              <w:rPr>
                <w:lang w:val="en-GB"/>
              </w:rPr>
            </w:pPr>
            <w:r w:rsidRPr="00E155CD">
              <w:rPr>
                <w:lang w:val="en-GB"/>
              </w:rPr>
              <w:t>Turbidity</w:t>
            </w:r>
            <w:r w:rsidRPr="00A04211">
              <w:rPr>
                <w:lang w:eastAsia="pt-BR"/>
              </w:rPr>
              <w:t xml:space="preserve"> (NTU)</w:t>
            </w:r>
          </w:p>
        </w:tc>
        <w:tc>
          <w:tcPr>
            <w:tcW w:w="893" w:type="pct"/>
            <w:tcBorders>
              <w:top w:val="nil"/>
              <w:left w:val="nil"/>
              <w:bottom w:val="nil"/>
              <w:right w:val="nil"/>
            </w:tcBorders>
            <w:shd w:val="clear" w:color="auto" w:fill="FFFFFF"/>
            <w:vAlign w:val="center"/>
          </w:tcPr>
          <w:p w:rsidR="00505114" w:rsidRPr="00BA6C49" w:rsidRDefault="00505114" w:rsidP="00AA5AEC">
            <w:pPr>
              <w:pStyle w:val="CETBodytext"/>
              <w:jc w:val="left"/>
              <w:rPr>
                <w:shd w:val="clear" w:color="auto" w:fill="FFFFFF"/>
              </w:rPr>
            </w:pPr>
            <w:r w:rsidRPr="00A04211">
              <w:rPr>
                <w:lang w:eastAsia="pt-BR"/>
              </w:rPr>
              <w:t>1</w:t>
            </w:r>
            <w:r>
              <w:rPr>
                <w:lang w:eastAsia="pt-BR"/>
              </w:rPr>
              <w:t>,</w:t>
            </w:r>
            <w:r w:rsidRPr="00A04211">
              <w:rPr>
                <w:lang w:eastAsia="pt-BR"/>
              </w:rPr>
              <w:t xml:space="preserve">090 </w:t>
            </w:r>
            <w:r>
              <w:rPr>
                <w:lang w:eastAsia="pt-BR"/>
              </w:rPr>
              <w:t>–</w:t>
            </w:r>
            <w:r w:rsidRPr="00A04211">
              <w:rPr>
                <w:lang w:eastAsia="pt-BR"/>
              </w:rPr>
              <w:t xml:space="preserve"> 1</w:t>
            </w:r>
            <w:r>
              <w:rPr>
                <w:lang w:eastAsia="pt-BR"/>
              </w:rPr>
              <w:t>,</w:t>
            </w:r>
            <w:r w:rsidRPr="00A04211">
              <w:rPr>
                <w:lang w:eastAsia="pt-BR"/>
              </w:rPr>
              <w:t>350</w:t>
            </w:r>
          </w:p>
        </w:tc>
        <w:tc>
          <w:tcPr>
            <w:tcW w:w="804" w:type="pct"/>
            <w:tcBorders>
              <w:top w:val="nil"/>
              <w:left w:val="nil"/>
              <w:bottom w:val="nil"/>
              <w:right w:val="nil"/>
            </w:tcBorders>
            <w:shd w:val="clear" w:color="auto" w:fill="FFFFFF"/>
            <w:vAlign w:val="center"/>
          </w:tcPr>
          <w:p w:rsidR="00505114" w:rsidRPr="00BA6C49" w:rsidRDefault="00505114" w:rsidP="00AA5AEC">
            <w:pPr>
              <w:pStyle w:val="CETBodytext"/>
              <w:jc w:val="left"/>
              <w:rPr>
                <w:shd w:val="clear" w:color="auto" w:fill="FFFFFF"/>
              </w:rPr>
            </w:pPr>
            <w:r w:rsidRPr="00A04211">
              <w:rPr>
                <w:lang w:eastAsia="pt-BR"/>
              </w:rPr>
              <w:t>−</w:t>
            </w:r>
          </w:p>
        </w:tc>
        <w:tc>
          <w:tcPr>
            <w:tcW w:w="893" w:type="pct"/>
            <w:tcBorders>
              <w:top w:val="nil"/>
              <w:left w:val="nil"/>
              <w:bottom w:val="nil"/>
              <w:right w:val="nil"/>
            </w:tcBorders>
            <w:shd w:val="clear" w:color="auto" w:fill="FFFFFF"/>
            <w:vAlign w:val="center"/>
          </w:tcPr>
          <w:p w:rsidR="00505114" w:rsidRPr="00BA6C49" w:rsidRDefault="00505114" w:rsidP="00AA5AEC">
            <w:pPr>
              <w:pStyle w:val="CETBodytext"/>
              <w:jc w:val="left"/>
              <w:rPr>
                <w:shd w:val="clear" w:color="auto" w:fill="FFFFFF"/>
              </w:rPr>
            </w:pPr>
            <w:r w:rsidRPr="00A04211">
              <w:rPr>
                <w:lang w:eastAsia="pt-BR"/>
              </w:rPr>
              <w:t>−</w:t>
            </w:r>
          </w:p>
        </w:tc>
        <w:tc>
          <w:tcPr>
            <w:tcW w:w="892" w:type="pct"/>
            <w:tcBorders>
              <w:top w:val="nil"/>
              <w:left w:val="nil"/>
              <w:bottom w:val="nil"/>
              <w:right w:val="nil"/>
            </w:tcBorders>
            <w:shd w:val="clear" w:color="auto" w:fill="FFFFFF"/>
            <w:vAlign w:val="center"/>
          </w:tcPr>
          <w:p w:rsidR="00505114" w:rsidRPr="00BA6C49" w:rsidRDefault="00505114" w:rsidP="00AA5AEC">
            <w:pPr>
              <w:pStyle w:val="CETBodytext"/>
              <w:jc w:val="left"/>
              <w:rPr>
                <w:shd w:val="clear" w:color="auto" w:fill="FFFFFF"/>
              </w:rPr>
            </w:pPr>
            <w:r w:rsidRPr="00A04211">
              <w:rPr>
                <w:lang w:eastAsia="pt-BR"/>
              </w:rPr>
              <w:t>−</w:t>
            </w:r>
          </w:p>
        </w:tc>
      </w:tr>
      <w:tr w:rsidR="00505114" w:rsidTr="00BF6BC5">
        <w:tc>
          <w:tcPr>
            <w:tcW w:w="1518" w:type="pct"/>
            <w:tcBorders>
              <w:top w:val="nil"/>
              <w:left w:val="nil"/>
              <w:bottom w:val="nil"/>
              <w:right w:val="nil"/>
            </w:tcBorders>
            <w:shd w:val="clear" w:color="auto" w:fill="FFFFFF"/>
            <w:vAlign w:val="center"/>
          </w:tcPr>
          <w:p w:rsidR="00505114" w:rsidRDefault="00505114" w:rsidP="00AA5AEC">
            <w:pPr>
              <w:pStyle w:val="CETBodytext"/>
              <w:jc w:val="left"/>
              <w:rPr>
                <w:lang w:val="en-GB"/>
              </w:rPr>
            </w:pPr>
            <w:r w:rsidRPr="00E155CD">
              <w:rPr>
                <w:lang w:val="en-GB"/>
              </w:rPr>
              <w:t>Cyanide Ion</w:t>
            </w:r>
            <w:r w:rsidRPr="00A04211">
              <w:rPr>
                <w:lang w:eastAsia="pt-BR"/>
              </w:rPr>
              <w:t xml:space="preserve"> (mgCN L</w:t>
            </w:r>
            <w:r w:rsidRPr="00A04211">
              <w:rPr>
                <w:vertAlign w:val="superscript"/>
                <w:lang w:eastAsia="pt-BR"/>
              </w:rPr>
              <w:t>-1</w:t>
            </w:r>
            <w:r w:rsidRPr="00A04211">
              <w:rPr>
                <w:lang w:eastAsia="pt-BR"/>
              </w:rPr>
              <w:t>)</w:t>
            </w:r>
          </w:p>
        </w:tc>
        <w:tc>
          <w:tcPr>
            <w:tcW w:w="893" w:type="pct"/>
            <w:tcBorders>
              <w:top w:val="nil"/>
              <w:left w:val="nil"/>
              <w:bottom w:val="nil"/>
              <w:right w:val="nil"/>
            </w:tcBorders>
            <w:shd w:val="clear" w:color="auto" w:fill="FFFFFF"/>
            <w:vAlign w:val="center"/>
          </w:tcPr>
          <w:p w:rsidR="00505114" w:rsidRPr="00BA6C49" w:rsidRDefault="00505114" w:rsidP="00AA5AEC">
            <w:pPr>
              <w:pStyle w:val="CETBodytext"/>
              <w:jc w:val="left"/>
              <w:rPr>
                <w:shd w:val="clear" w:color="auto" w:fill="FFFFFF"/>
              </w:rPr>
            </w:pPr>
            <w:r w:rsidRPr="00A04211">
              <w:rPr>
                <w:lang w:eastAsia="pt-BR"/>
              </w:rPr>
              <w:t>16</w:t>
            </w:r>
            <w:r>
              <w:rPr>
                <w:lang w:eastAsia="pt-BR"/>
              </w:rPr>
              <w:t>.</w:t>
            </w:r>
            <w:r w:rsidRPr="00A04211">
              <w:rPr>
                <w:lang w:eastAsia="pt-BR"/>
              </w:rPr>
              <w:t>4 - 23</w:t>
            </w:r>
          </w:p>
        </w:tc>
        <w:tc>
          <w:tcPr>
            <w:tcW w:w="804" w:type="pct"/>
            <w:tcBorders>
              <w:top w:val="nil"/>
              <w:left w:val="nil"/>
              <w:bottom w:val="nil"/>
              <w:right w:val="nil"/>
            </w:tcBorders>
            <w:shd w:val="clear" w:color="auto" w:fill="FFFFFF"/>
            <w:vAlign w:val="center"/>
          </w:tcPr>
          <w:p w:rsidR="00505114" w:rsidRPr="00BA6C49" w:rsidRDefault="00505114" w:rsidP="00AA5AEC">
            <w:pPr>
              <w:pStyle w:val="CETBodytext"/>
              <w:jc w:val="left"/>
              <w:rPr>
                <w:shd w:val="clear" w:color="auto" w:fill="FFFFFF"/>
              </w:rPr>
            </w:pPr>
            <w:r w:rsidRPr="00A04211">
              <w:rPr>
                <w:lang w:eastAsia="pt-BR"/>
              </w:rPr>
              <w:t>−</w:t>
            </w:r>
          </w:p>
        </w:tc>
        <w:tc>
          <w:tcPr>
            <w:tcW w:w="893" w:type="pct"/>
            <w:tcBorders>
              <w:top w:val="nil"/>
              <w:left w:val="nil"/>
              <w:bottom w:val="nil"/>
              <w:right w:val="nil"/>
            </w:tcBorders>
            <w:shd w:val="clear" w:color="auto" w:fill="FFFFFF"/>
            <w:vAlign w:val="center"/>
          </w:tcPr>
          <w:p w:rsidR="00505114" w:rsidRPr="00BA6C49" w:rsidRDefault="00505114" w:rsidP="00AA5AEC">
            <w:pPr>
              <w:pStyle w:val="CETBodytext"/>
              <w:jc w:val="left"/>
              <w:rPr>
                <w:shd w:val="clear" w:color="auto" w:fill="FFFFFF"/>
              </w:rPr>
            </w:pPr>
            <w:r w:rsidRPr="00A04211">
              <w:rPr>
                <w:lang w:eastAsia="pt-BR"/>
              </w:rPr>
              <w:t>22</w:t>
            </w:r>
            <w:r>
              <w:rPr>
                <w:lang w:eastAsia="pt-BR"/>
              </w:rPr>
              <w:t>.</w:t>
            </w:r>
            <w:r w:rsidRPr="00A04211">
              <w:rPr>
                <w:lang w:eastAsia="pt-BR"/>
              </w:rPr>
              <w:t>0-27</w:t>
            </w:r>
            <w:r>
              <w:rPr>
                <w:lang w:eastAsia="pt-BR"/>
              </w:rPr>
              <w:t>.</w:t>
            </w:r>
            <w:r w:rsidRPr="00A04211">
              <w:rPr>
                <w:lang w:eastAsia="pt-BR"/>
              </w:rPr>
              <w:t>1</w:t>
            </w:r>
          </w:p>
        </w:tc>
        <w:tc>
          <w:tcPr>
            <w:tcW w:w="892" w:type="pct"/>
            <w:tcBorders>
              <w:top w:val="nil"/>
              <w:left w:val="nil"/>
              <w:bottom w:val="nil"/>
              <w:right w:val="nil"/>
            </w:tcBorders>
            <w:shd w:val="clear" w:color="auto" w:fill="FFFFFF"/>
            <w:vAlign w:val="center"/>
          </w:tcPr>
          <w:p w:rsidR="00505114" w:rsidRPr="00BA6C49" w:rsidRDefault="00505114" w:rsidP="00AA5AEC">
            <w:pPr>
              <w:pStyle w:val="CETBodytext"/>
              <w:jc w:val="left"/>
              <w:rPr>
                <w:shd w:val="clear" w:color="auto" w:fill="FFFFFF"/>
              </w:rPr>
            </w:pPr>
            <w:r w:rsidRPr="00A04211">
              <w:rPr>
                <w:lang w:eastAsia="pt-BR"/>
              </w:rPr>
              <w:t>−</w:t>
            </w:r>
          </w:p>
        </w:tc>
      </w:tr>
      <w:tr w:rsidR="00505114" w:rsidTr="00BF6BC5">
        <w:tc>
          <w:tcPr>
            <w:tcW w:w="1518" w:type="pct"/>
            <w:tcBorders>
              <w:top w:val="nil"/>
              <w:left w:val="nil"/>
              <w:bottom w:val="nil"/>
              <w:right w:val="nil"/>
            </w:tcBorders>
            <w:shd w:val="clear" w:color="auto" w:fill="FFFFFF"/>
            <w:vAlign w:val="center"/>
          </w:tcPr>
          <w:p w:rsidR="00505114" w:rsidRDefault="00505114" w:rsidP="00AA5AEC">
            <w:pPr>
              <w:pStyle w:val="CETBodytext"/>
              <w:jc w:val="left"/>
              <w:rPr>
                <w:lang w:val="en-GB"/>
              </w:rPr>
            </w:pPr>
            <w:r w:rsidRPr="00A04211">
              <w:rPr>
                <w:lang w:eastAsia="pt-BR"/>
              </w:rPr>
              <w:t>Zinc (mgZn L</w:t>
            </w:r>
            <w:r w:rsidRPr="00A04211">
              <w:rPr>
                <w:vertAlign w:val="superscript"/>
                <w:lang w:eastAsia="pt-BR"/>
              </w:rPr>
              <w:t>-1</w:t>
            </w:r>
            <w:r w:rsidRPr="00A04211">
              <w:rPr>
                <w:lang w:eastAsia="pt-BR"/>
              </w:rPr>
              <w:t>)</w:t>
            </w:r>
          </w:p>
        </w:tc>
        <w:tc>
          <w:tcPr>
            <w:tcW w:w="893" w:type="pct"/>
            <w:tcBorders>
              <w:top w:val="nil"/>
              <w:left w:val="nil"/>
              <w:bottom w:val="nil"/>
              <w:right w:val="nil"/>
            </w:tcBorders>
            <w:shd w:val="clear" w:color="auto" w:fill="FFFFFF"/>
            <w:vAlign w:val="center"/>
          </w:tcPr>
          <w:p w:rsidR="00505114" w:rsidRPr="00BA6C49" w:rsidRDefault="00505114" w:rsidP="00AA5AEC">
            <w:pPr>
              <w:pStyle w:val="CETBodytext"/>
              <w:jc w:val="left"/>
              <w:rPr>
                <w:shd w:val="clear" w:color="auto" w:fill="FFFFFF"/>
              </w:rPr>
            </w:pPr>
            <w:r w:rsidRPr="00A04211">
              <w:rPr>
                <w:lang w:eastAsia="pt-BR"/>
              </w:rPr>
              <w:t>0</w:t>
            </w:r>
            <w:r>
              <w:rPr>
                <w:lang w:eastAsia="pt-BR"/>
              </w:rPr>
              <w:t>.</w:t>
            </w:r>
            <w:r w:rsidRPr="00A04211">
              <w:rPr>
                <w:lang w:eastAsia="pt-BR"/>
              </w:rPr>
              <w:t>345</w:t>
            </w:r>
          </w:p>
        </w:tc>
        <w:tc>
          <w:tcPr>
            <w:tcW w:w="804" w:type="pct"/>
            <w:tcBorders>
              <w:top w:val="nil"/>
              <w:left w:val="nil"/>
              <w:bottom w:val="nil"/>
              <w:right w:val="nil"/>
            </w:tcBorders>
            <w:shd w:val="clear" w:color="auto" w:fill="FFFFFF"/>
            <w:vAlign w:val="center"/>
          </w:tcPr>
          <w:p w:rsidR="00505114" w:rsidRPr="00BA6C49" w:rsidRDefault="00505114" w:rsidP="00AA5AEC">
            <w:pPr>
              <w:pStyle w:val="CETBodytext"/>
              <w:jc w:val="left"/>
              <w:rPr>
                <w:shd w:val="clear" w:color="auto" w:fill="FFFFFF"/>
              </w:rPr>
            </w:pPr>
            <w:r w:rsidRPr="00A04211">
              <w:rPr>
                <w:lang w:eastAsia="pt-BR"/>
              </w:rPr>
              <w:t>0</w:t>
            </w:r>
            <w:r>
              <w:rPr>
                <w:lang w:eastAsia="pt-BR"/>
              </w:rPr>
              <w:t>.</w:t>
            </w:r>
            <w:r w:rsidRPr="00A04211">
              <w:rPr>
                <w:lang w:eastAsia="pt-BR"/>
              </w:rPr>
              <w:t>962</w:t>
            </w:r>
          </w:p>
        </w:tc>
        <w:tc>
          <w:tcPr>
            <w:tcW w:w="893" w:type="pct"/>
            <w:tcBorders>
              <w:top w:val="nil"/>
              <w:left w:val="nil"/>
              <w:bottom w:val="nil"/>
              <w:right w:val="nil"/>
            </w:tcBorders>
            <w:shd w:val="clear" w:color="auto" w:fill="FFFFFF"/>
            <w:vAlign w:val="center"/>
          </w:tcPr>
          <w:p w:rsidR="00505114" w:rsidRPr="00BA6C49" w:rsidRDefault="00505114" w:rsidP="00AA5AEC">
            <w:pPr>
              <w:pStyle w:val="CETBodytext"/>
              <w:jc w:val="left"/>
              <w:rPr>
                <w:shd w:val="clear" w:color="auto" w:fill="FFFFFF"/>
              </w:rPr>
            </w:pPr>
            <w:r w:rsidRPr="00A04211">
              <w:rPr>
                <w:lang w:eastAsia="pt-BR"/>
              </w:rPr>
              <w:t>−</w:t>
            </w:r>
          </w:p>
        </w:tc>
        <w:tc>
          <w:tcPr>
            <w:tcW w:w="892" w:type="pct"/>
            <w:tcBorders>
              <w:top w:val="nil"/>
              <w:left w:val="nil"/>
              <w:bottom w:val="nil"/>
              <w:right w:val="nil"/>
            </w:tcBorders>
            <w:shd w:val="clear" w:color="auto" w:fill="FFFFFF"/>
            <w:vAlign w:val="center"/>
          </w:tcPr>
          <w:p w:rsidR="00505114" w:rsidRPr="00BA6C49" w:rsidRDefault="00505114" w:rsidP="00AA5AEC">
            <w:pPr>
              <w:pStyle w:val="CETBodytext"/>
              <w:jc w:val="left"/>
              <w:rPr>
                <w:shd w:val="clear" w:color="auto" w:fill="FFFFFF"/>
              </w:rPr>
            </w:pPr>
            <w:r w:rsidRPr="00A04211">
              <w:rPr>
                <w:lang w:eastAsia="pt-BR"/>
              </w:rPr>
              <w:t>3</w:t>
            </w:r>
            <w:r>
              <w:rPr>
                <w:lang w:eastAsia="pt-BR"/>
              </w:rPr>
              <w:t>.</w:t>
            </w:r>
            <w:r w:rsidRPr="00A04211">
              <w:rPr>
                <w:lang w:eastAsia="pt-BR"/>
              </w:rPr>
              <w:t>7</w:t>
            </w:r>
          </w:p>
        </w:tc>
      </w:tr>
      <w:tr w:rsidR="00505114" w:rsidTr="00BF6BC5">
        <w:tc>
          <w:tcPr>
            <w:tcW w:w="1518" w:type="pct"/>
            <w:tcBorders>
              <w:top w:val="nil"/>
              <w:left w:val="nil"/>
              <w:bottom w:val="nil"/>
              <w:right w:val="nil"/>
            </w:tcBorders>
            <w:shd w:val="clear" w:color="auto" w:fill="FFFFFF"/>
            <w:vAlign w:val="center"/>
          </w:tcPr>
          <w:p w:rsidR="00505114" w:rsidRDefault="00505114" w:rsidP="00AA5AEC">
            <w:pPr>
              <w:pStyle w:val="CETBodytext"/>
              <w:jc w:val="left"/>
              <w:rPr>
                <w:lang w:val="en-GB"/>
              </w:rPr>
            </w:pPr>
            <w:r w:rsidRPr="00E155CD">
              <w:rPr>
                <w:lang w:val="en-GB"/>
              </w:rPr>
              <w:t>Cadmium</w:t>
            </w:r>
            <w:r w:rsidRPr="00A04211">
              <w:rPr>
                <w:lang w:eastAsia="pt-BR"/>
              </w:rPr>
              <w:t xml:space="preserve"> (mgCd L</w:t>
            </w:r>
            <w:r w:rsidRPr="00A04211">
              <w:rPr>
                <w:vertAlign w:val="superscript"/>
                <w:lang w:eastAsia="pt-BR"/>
              </w:rPr>
              <w:t>-1</w:t>
            </w:r>
            <w:r w:rsidRPr="00A04211">
              <w:rPr>
                <w:lang w:eastAsia="pt-BR"/>
              </w:rPr>
              <w:t>)</w:t>
            </w:r>
          </w:p>
        </w:tc>
        <w:tc>
          <w:tcPr>
            <w:tcW w:w="893" w:type="pct"/>
            <w:tcBorders>
              <w:top w:val="nil"/>
              <w:left w:val="nil"/>
              <w:bottom w:val="nil"/>
              <w:right w:val="nil"/>
            </w:tcBorders>
            <w:shd w:val="clear" w:color="auto" w:fill="FFFFFF"/>
            <w:vAlign w:val="center"/>
          </w:tcPr>
          <w:p w:rsidR="00505114" w:rsidRPr="00BA6C49" w:rsidRDefault="00505114" w:rsidP="00AA5AEC">
            <w:pPr>
              <w:pStyle w:val="CETBodytext"/>
              <w:jc w:val="left"/>
              <w:rPr>
                <w:shd w:val="clear" w:color="auto" w:fill="FFFFFF"/>
              </w:rPr>
            </w:pPr>
            <w:r w:rsidRPr="00A04211">
              <w:rPr>
                <w:lang w:eastAsia="pt-BR"/>
              </w:rPr>
              <w:t>0</w:t>
            </w:r>
            <w:r>
              <w:rPr>
                <w:lang w:eastAsia="pt-BR"/>
              </w:rPr>
              <w:t>.</w:t>
            </w:r>
            <w:r w:rsidRPr="00A04211">
              <w:rPr>
                <w:lang w:eastAsia="pt-BR"/>
              </w:rPr>
              <w:t>01</w:t>
            </w:r>
          </w:p>
        </w:tc>
        <w:tc>
          <w:tcPr>
            <w:tcW w:w="804" w:type="pct"/>
            <w:tcBorders>
              <w:top w:val="nil"/>
              <w:left w:val="nil"/>
              <w:bottom w:val="nil"/>
              <w:right w:val="nil"/>
            </w:tcBorders>
            <w:shd w:val="clear" w:color="auto" w:fill="FFFFFF"/>
            <w:vAlign w:val="center"/>
          </w:tcPr>
          <w:p w:rsidR="00505114" w:rsidRPr="00BA6C49" w:rsidRDefault="00505114" w:rsidP="00AA5AEC">
            <w:pPr>
              <w:pStyle w:val="CETBodytext"/>
              <w:jc w:val="left"/>
              <w:rPr>
                <w:shd w:val="clear" w:color="auto" w:fill="FFFFFF"/>
              </w:rPr>
            </w:pPr>
            <w:r w:rsidRPr="00A04211">
              <w:rPr>
                <w:lang w:eastAsia="pt-BR"/>
              </w:rPr>
              <w:t>0</w:t>
            </w:r>
            <w:r>
              <w:rPr>
                <w:lang w:eastAsia="pt-BR"/>
              </w:rPr>
              <w:t>.</w:t>
            </w:r>
            <w:r w:rsidRPr="00A04211">
              <w:rPr>
                <w:lang w:eastAsia="pt-BR"/>
              </w:rPr>
              <w:t>041</w:t>
            </w:r>
          </w:p>
        </w:tc>
        <w:tc>
          <w:tcPr>
            <w:tcW w:w="893" w:type="pct"/>
            <w:tcBorders>
              <w:top w:val="nil"/>
              <w:left w:val="nil"/>
              <w:bottom w:val="nil"/>
              <w:right w:val="nil"/>
            </w:tcBorders>
            <w:shd w:val="clear" w:color="auto" w:fill="FFFFFF"/>
            <w:vAlign w:val="center"/>
          </w:tcPr>
          <w:p w:rsidR="00505114" w:rsidRPr="00BA6C49" w:rsidRDefault="00505114" w:rsidP="00AA5AEC">
            <w:pPr>
              <w:pStyle w:val="CETBodytext"/>
              <w:jc w:val="left"/>
              <w:rPr>
                <w:shd w:val="clear" w:color="auto" w:fill="FFFFFF"/>
              </w:rPr>
            </w:pPr>
            <w:r w:rsidRPr="00A04211">
              <w:rPr>
                <w:lang w:eastAsia="pt-BR"/>
              </w:rPr>
              <w:t>−</w:t>
            </w:r>
          </w:p>
        </w:tc>
        <w:tc>
          <w:tcPr>
            <w:tcW w:w="892" w:type="pct"/>
            <w:tcBorders>
              <w:top w:val="nil"/>
              <w:left w:val="nil"/>
              <w:bottom w:val="nil"/>
              <w:right w:val="nil"/>
            </w:tcBorders>
            <w:shd w:val="clear" w:color="auto" w:fill="FFFFFF"/>
            <w:vAlign w:val="center"/>
          </w:tcPr>
          <w:p w:rsidR="00505114" w:rsidRPr="00BA6C49" w:rsidRDefault="00505114" w:rsidP="00AA5AEC">
            <w:pPr>
              <w:pStyle w:val="CETBodytext"/>
              <w:jc w:val="left"/>
              <w:rPr>
                <w:shd w:val="clear" w:color="auto" w:fill="FFFFFF"/>
              </w:rPr>
            </w:pPr>
            <w:r w:rsidRPr="00A04211">
              <w:rPr>
                <w:lang w:eastAsia="pt-BR"/>
              </w:rPr>
              <w:t>−</w:t>
            </w:r>
          </w:p>
        </w:tc>
      </w:tr>
      <w:tr w:rsidR="00505114" w:rsidTr="00BF6BC5">
        <w:tc>
          <w:tcPr>
            <w:tcW w:w="1518" w:type="pct"/>
            <w:tcBorders>
              <w:top w:val="nil"/>
              <w:left w:val="nil"/>
              <w:bottom w:val="nil"/>
              <w:right w:val="nil"/>
            </w:tcBorders>
            <w:shd w:val="clear" w:color="auto" w:fill="FFFFFF"/>
            <w:vAlign w:val="center"/>
          </w:tcPr>
          <w:p w:rsidR="00505114" w:rsidRDefault="00505114" w:rsidP="00AA5AEC">
            <w:pPr>
              <w:pStyle w:val="CETBodytext"/>
              <w:jc w:val="left"/>
              <w:rPr>
                <w:lang w:val="en-GB"/>
              </w:rPr>
            </w:pPr>
            <w:r w:rsidRPr="00A04211">
              <w:rPr>
                <w:lang w:eastAsia="pt-BR"/>
              </w:rPr>
              <w:t>Co</w:t>
            </w:r>
            <w:r>
              <w:rPr>
                <w:lang w:eastAsia="pt-BR"/>
              </w:rPr>
              <w:t>pper</w:t>
            </w:r>
            <w:r w:rsidRPr="00A04211">
              <w:rPr>
                <w:lang w:eastAsia="pt-BR"/>
              </w:rPr>
              <w:t xml:space="preserve"> (mgCu L</w:t>
            </w:r>
            <w:r w:rsidRPr="00A04211">
              <w:rPr>
                <w:vertAlign w:val="superscript"/>
                <w:lang w:eastAsia="pt-BR"/>
              </w:rPr>
              <w:t>-1</w:t>
            </w:r>
            <w:r w:rsidRPr="00A04211">
              <w:rPr>
                <w:lang w:eastAsia="pt-BR"/>
              </w:rPr>
              <w:t>)</w:t>
            </w:r>
          </w:p>
        </w:tc>
        <w:tc>
          <w:tcPr>
            <w:tcW w:w="893" w:type="pct"/>
            <w:tcBorders>
              <w:top w:val="nil"/>
              <w:left w:val="nil"/>
              <w:bottom w:val="nil"/>
              <w:right w:val="nil"/>
            </w:tcBorders>
            <w:shd w:val="clear" w:color="auto" w:fill="FFFFFF"/>
            <w:vAlign w:val="center"/>
          </w:tcPr>
          <w:p w:rsidR="00505114" w:rsidRPr="00BA6C49" w:rsidRDefault="00505114" w:rsidP="00AA5AEC">
            <w:pPr>
              <w:pStyle w:val="CETBodytext"/>
              <w:jc w:val="left"/>
              <w:rPr>
                <w:shd w:val="clear" w:color="auto" w:fill="FFFFFF"/>
              </w:rPr>
            </w:pPr>
            <w:r w:rsidRPr="00A04211">
              <w:rPr>
                <w:lang w:eastAsia="pt-BR"/>
              </w:rPr>
              <w:t>0</w:t>
            </w:r>
            <w:r>
              <w:rPr>
                <w:lang w:eastAsia="pt-BR"/>
              </w:rPr>
              <w:t>.</w:t>
            </w:r>
            <w:r w:rsidRPr="00A04211">
              <w:rPr>
                <w:lang w:eastAsia="pt-BR"/>
              </w:rPr>
              <w:t>01</w:t>
            </w:r>
          </w:p>
        </w:tc>
        <w:tc>
          <w:tcPr>
            <w:tcW w:w="804" w:type="pct"/>
            <w:tcBorders>
              <w:top w:val="nil"/>
              <w:left w:val="nil"/>
              <w:bottom w:val="nil"/>
              <w:right w:val="nil"/>
            </w:tcBorders>
            <w:shd w:val="clear" w:color="auto" w:fill="FFFFFF"/>
            <w:vAlign w:val="center"/>
          </w:tcPr>
          <w:p w:rsidR="00505114" w:rsidRPr="00BA6C49" w:rsidRDefault="00505114" w:rsidP="00AA5AEC">
            <w:pPr>
              <w:pStyle w:val="CETBodytext"/>
              <w:jc w:val="left"/>
              <w:rPr>
                <w:shd w:val="clear" w:color="auto" w:fill="FFFFFF"/>
              </w:rPr>
            </w:pPr>
            <w:r w:rsidRPr="00A04211">
              <w:rPr>
                <w:lang w:eastAsia="pt-BR"/>
              </w:rPr>
              <w:t>0</w:t>
            </w:r>
            <w:r>
              <w:rPr>
                <w:lang w:eastAsia="pt-BR"/>
              </w:rPr>
              <w:t>.</w:t>
            </w:r>
            <w:r w:rsidRPr="00A04211">
              <w:rPr>
                <w:lang w:eastAsia="pt-BR"/>
              </w:rPr>
              <w:t>259</w:t>
            </w:r>
          </w:p>
        </w:tc>
        <w:tc>
          <w:tcPr>
            <w:tcW w:w="893" w:type="pct"/>
            <w:tcBorders>
              <w:top w:val="nil"/>
              <w:left w:val="nil"/>
              <w:bottom w:val="nil"/>
              <w:right w:val="nil"/>
            </w:tcBorders>
            <w:shd w:val="clear" w:color="auto" w:fill="FFFFFF"/>
            <w:vAlign w:val="center"/>
          </w:tcPr>
          <w:p w:rsidR="00505114" w:rsidRPr="00BA6C49" w:rsidRDefault="00505114" w:rsidP="00AA5AEC">
            <w:pPr>
              <w:pStyle w:val="CETBodytext"/>
              <w:jc w:val="left"/>
              <w:rPr>
                <w:shd w:val="clear" w:color="auto" w:fill="FFFFFF"/>
              </w:rPr>
            </w:pPr>
            <w:r w:rsidRPr="00A04211">
              <w:rPr>
                <w:lang w:eastAsia="pt-BR"/>
              </w:rPr>
              <w:t>−</w:t>
            </w:r>
          </w:p>
        </w:tc>
        <w:tc>
          <w:tcPr>
            <w:tcW w:w="892" w:type="pct"/>
            <w:tcBorders>
              <w:top w:val="nil"/>
              <w:left w:val="nil"/>
              <w:bottom w:val="nil"/>
              <w:right w:val="nil"/>
            </w:tcBorders>
            <w:shd w:val="clear" w:color="auto" w:fill="FFFFFF"/>
            <w:vAlign w:val="center"/>
          </w:tcPr>
          <w:p w:rsidR="00505114" w:rsidRPr="00BA6C49" w:rsidRDefault="00505114" w:rsidP="00AA5AEC">
            <w:pPr>
              <w:pStyle w:val="CETBodytext"/>
              <w:jc w:val="left"/>
              <w:rPr>
                <w:shd w:val="clear" w:color="auto" w:fill="FFFFFF"/>
              </w:rPr>
            </w:pPr>
            <w:r w:rsidRPr="00A04211">
              <w:rPr>
                <w:lang w:eastAsia="pt-BR"/>
              </w:rPr>
              <w:t>0</w:t>
            </w:r>
            <w:r>
              <w:rPr>
                <w:lang w:eastAsia="pt-BR"/>
              </w:rPr>
              <w:t>.</w:t>
            </w:r>
            <w:r w:rsidRPr="00A04211">
              <w:rPr>
                <w:lang w:eastAsia="pt-BR"/>
              </w:rPr>
              <w:t>9</w:t>
            </w:r>
          </w:p>
        </w:tc>
      </w:tr>
      <w:tr w:rsidR="00505114" w:rsidTr="00BF6BC5">
        <w:tc>
          <w:tcPr>
            <w:tcW w:w="1518" w:type="pct"/>
            <w:tcBorders>
              <w:top w:val="nil"/>
              <w:left w:val="nil"/>
              <w:bottom w:val="single" w:sz="12" w:space="0" w:color="008000"/>
              <w:right w:val="nil"/>
            </w:tcBorders>
            <w:shd w:val="clear" w:color="auto" w:fill="FFFFFF"/>
            <w:vAlign w:val="center"/>
          </w:tcPr>
          <w:p w:rsidR="00505114" w:rsidRDefault="00505114" w:rsidP="00AA5AEC">
            <w:pPr>
              <w:pStyle w:val="CETBodytext"/>
              <w:jc w:val="left"/>
              <w:rPr>
                <w:lang w:val="en-GB"/>
              </w:rPr>
            </w:pPr>
            <w:r>
              <w:rPr>
                <w:lang w:eastAsia="pt-BR"/>
              </w:rPr>
              <w:t>Iron</w:t>
            </w:r>
            <w:r w:rsidRPr="00A04211">
              <w:rPr>
                <w:lang w:eastAsia="pt-BR"/>
              </w:rPr>
              <w:t xml:space="preserve"> (mgFe L</w:t>
            </w:r>
            <w:r w:rsidRPr="00A04211">
              <w:rPr>
                <w:vertAlign w:val="superscript"/>
                <w:lang w:eastAsia="pt-BR"/>
              </w:rPr>
              <w:t>-1</w:t>
            </w:r>
            <w:r w:rsidRPr="00A04211">
              <w:rPr>
                <w:lang w:eastAsia="pt-BR"/>
              </w:rPr>
              <w:t>)</w:t>
            </w:r>
          </w:p>
        </w:tc>
        <w:tc>
          <w:tcPr>
            <w:tcW w:w="893" w:type="pct"/>
            <w:tcBorders>
              <w:top w:val="nil"/>
              <w:left w:val="nil"/>
              <w:bottom w:val="single" w:sz="12" w:space="0" w:color="008000"/>
              <w:right w:val="nil"/>
            </w:tcBorders>
            <w:shd w:val="clear" w:color="auto" w:fill="FFFFFF"/>
            <w:vAlign w:val="center"/>
          </w:tcPr>
          <w:p w:rsidR="00505114" w:rsidRDefault="00505114" w:rsidP="00AA5AEC">
            <w:pPr>
              <w:pStyle w:val="CETBodytext"/>
              <w:jc w:val="left"/>
              <w:rPr>
                <w:lang w:val="en-GB"/>
              </w:rPr>
            </w:pPr>
            <w:r w:rsidRPr="00A04211">
              <w:rPr>
                <w:lang w:eastAsia="pt-BR"/>
              </w:rPr>
              <w:t>7</w:t>
            </w:r>
            <w:r>
              <w:rPr>
                <w:lang w:eastAsia="pt-BR"/>
              </w:rPr>
              <w:t>.</w:t>
            </w:r>
            <w:r w:rsidRPr="00A04211">
              <w:rPr>
                <w:lang w:eastAsia="pt-BR"/>
              </w:rPr>
              <w:t>456</w:t>
            </w:r>
          </w:p>
        </w:tc>
        <w:tc>
          <w:tcPr>
            <w:tcW w:w="804" w:type="pct"/>
            <w:tcBorders>
              <w:top w:val="nil"/>
              <w:left w:val="nil"/>
              <w:bottom w:val="single" w:sz="12" w:space="0" w:color="008000"/>
              <w:right w:val="nil"/>
            </w:tcBorders>
            <w:shd w:val="clear" w:color="auto" w:fill="FFFFFF"/>
            <w:vAlign w:val="center"/>
          </w:tcPr>
          <w:p w:rsidR="00505114" w:rsidRPr="00BA6C49" w:rsidRDefault="00505114" w:rsidP="00AA5AEC">
            <w:pPr>
              <w:pStyle w:val="CETBodytext"/>
              <w:jc w:val="left"/>
              <w:rPr>
                <w:shd w:val="clear" w:color="auto" w:fill="FFFFFF"/>
              </w:rPr>
            </w:pPr>
            <w:r w:rsidRPr="00A04211">
              <w:rPr>
                <w:lang w:eastAsia="pt-BR"/>
              </w:rPr>
              <w:t>−</w:t>
            </w:r>
          </w:p>
        </w:tc>
        <w:tc>
          <w:tcPr>
            <w:tcW w:w="893" w:type="pct"/>
            <w:tcBorders>
              <w:top w:val="nil"/>
              <w:left w:val="nil"/>
              <w:bottom w:val="single" w:sz="12" w:space="0" w:color="008000"/>
              <w:right w:val="nil"/>
            </w:tcBorders>
            <w:shd w:val="clear" w:color="auto" w:fill="FFFFFF"/>
            <w:vAlign w:val="center"/>
          </w:tcPr>
          <w:p w:rsidR="00505114" w:rsidRPr="00BA6C49" w:rsidRDefault="00505114" w:rsidP="00AA5AEC">
            <w:pPr>
              <w:pStyle w:val="CETBodytext"/>
              <w:jc w:val="left"/>
              <w:rPr>
                <w:shd w:val="clear" w:color="auto" w:fill="FFFFFF"/>
              </w:rPr>
            </w:pPr>
            <w:r w:rsidRPr="00A04211">
              <w:rPr>
                <w:lang w:eastAsia="pt-BR"/>
              </w:rPr>
              <w:t>−</w:t>
            </w:r>
          </w:p>
        </w:tc>
        <w:tc>
          <w:tcPr>
            <w:tcW w:w="892" w:type="pct"/>
            <w:tcBorders>
              <w:top w:val="nil"/>
              <w:left w:val="nil"/>
              <w:bottom w:val="single" w:sz="12" w:space="0" w:color="008000"/>
              <w:right w:val="nil"/>
            </w:tcBorders>
            <w:shd w:val="clear" w:color="auto" w:fill="FFFFFF"/>
            <w:vAlign w:val="center"/>
          </w:tcPr>
          <w:p w:rsidR="00505114" w:rsidRDefault="00505114" w:rsidP="00AA5AEC">
            <w:pPr>
              <w:pStyle w:val="CETBodytext"/>
              <w:jc w:val="left"/>
              <w:rPr>
                <w:lang w:val="en-GB"/>
              </w:rPr>
            </w:pPr>
            <w:r w:rsidRPr="00A04211">
              <w:rPr>
                <w:lang w:eastAsia="pt-BR"/>
              </w:rPr>
              <w:t>16</w:t>
            </w:r>
            <w:r>
              <w:rPr>
                <w:lang w:eastAsia="pt-BR"/>
              </w:rPr>
              <w:t>.</w:t>
            </w:r>
            <w:r w:rsidRPr="00A04211">
              <w:rPr>
                <w:lang w:eastAsia="pt-BR"/>
              </w:rPr>
              <w:t>6</w:t>
            </w:r>
          </w:p>
        </w:tc>
      </w:tr>
    </w:tbl>
    <w:p w:rsidR="00505114" w:rsidRDefault="00505114" w:rsidP="00505114">
      <w:pPr>
        <w:pStyle w:val="CETBodytext"/>
      </w:pPr>
    </w:p>
    <w:p w:rsidR="00505114" w:rsidRDefault="00505114" w:rsidP="00505114">
      <w:pPr>
        <w:pStyle w:val="CETBodytext"/>
      </w:pPr>
      <w:r w:rsidRPr="00DA7CD3">
        <w:lastRenderedPageBreak/>
        <w:t>According to Fioretto (2001) the</w:t>
      </w:r>
      <w:r>
        <w:t xml:space="preserve"> cassava starch</w:t>
      </w:r>
      <w:r w:rsidRPr="00DA7CD3">
        <w:t xml:space="preserve"> composition is variable, depending on the</w:t>
      </w:r>
      <w:r>
        <w:t xml:space="preserve"> cassava</w:t>
      </w:r>
      <w:r w:rsidRPr="00DA7CD3">
        <w:t xml:space="preserve"> variety used, which is correlated with the edaphoclimatic conditions of the place where it is cultivated. Therefore, the differences observed in Table 2 are expected as a function of this characteristic.</w:t>
      </w:r>
    </w:p>
    <w:p w:rsidR="00505114" w:rsidRDefault="00505114" w:rsidP="00505114">
      <w:pPr>
        <w:pStyle w:val="CETBodytext"/>
      </w:pPr>
      <w:r w:rsidRPr="00302049">
        <w:t xml:space="preserve">The </w:t>
      </w:r>
      <w:r>
        <w:t xml:space="preserve">samples </w:t>
      </w:r>
      <w:r w:rsidRPr="00302049">
        <w:t xml:space="preserve">pH </w:t>
      </w:r>
      <w:r w:rsidR="00927E31">
        <w:t xml:space="preserve">values were </w:t>
      </w:r>
      <w:r>
        <w:t>found</w:t>
      </w:r>
      <w:r w:rsidRPr="00302049">
        <w:t xml:space="preserve"> in the range of 4.1 to 4.8. Fioretto (2001) found a close result, with a mean pH of 4.03. According to Hess (1962), the low pH of the effluent is due to fermentation, with formation of carbon dioxide, mainly. The biochemical decomposition of glucose produces organic acids, especially pyruvic acid, lactic acid, acetic acid and others, also responsible for</w:t>
      </w:r>
      <w:r>
        <w:t xml:space="preserve"> the</w:t>
      </w:r>
      <w:r w:rsidRPr="00302049">
        <w:t xml:space="preserve"> pH </w:t>
      </w:r>
      <w:r>
        <w:t>decrease.</w:t>
      </w:r>
    </w:p>
    <w:p w:rsidR="00505114" w:rsidRPr="00302049" w:rsidRDefault="00505114" w:rsidP="00505114">
      <w:pPr>
        <w:pStyle w:val="CETBodytext"/>
        <w:rPr>
          <w:lang w:val="en-GB"/>
        </w:rPr>
      </w:pPr>
      <w:r>
        <w:rPr>
          <w:lang w:val="en-GB"/>
        </w:rPr>
        <w:t>Results</w:t>
      </w:r>
      <w:r w:rsidRPr="00302049">
        <w:rPr>
          <w:lang w:val="en-GB"/>
        </w:rPr>
        <w:t xml:space="preserve"> obtained based on the experimental design in terms of the final concentration and reduction percentage</w:t>
      </w:r>
      <w:r>
        <w:rPr>
          <w:lang w:val="en-GB"/>
        </w:rPr>
        <w:t xml:space="preserve"> are shown in Table 3</w:t>
      </w:r>
      <w:r w:rsidRPr="00302049">
        <w:rPr>
          <w:lang w:val="en-GB"/>
        </w:rPr>
        <w:t>.</w:t>
      </w:r>
    </w:p>
    <w:p w:rsidR="00505114" w:rsidRPr="00302049" w:rsidRDefault="00505114" w:rsidP="00505114">
      <w:pPr>
        <w:pStyle w:val="CETTabletitle"/>
      </w:pPr>
      <w:r w:rsidRPr="00302049">
        <w:t>Table 3: Final concentration after treatment through Coagulation/Flocculation.</w:t>
      </w:r>
    </w:p>
    <w:tbl>
      <w:tblPr>
        <w:tblW w:w="5000" w:type="pct"/>
        <w:tblBorders>
          <w:top w:val="single" w:sz="12" w:space="0" w:color="008000"/>
          <w:bottom w:val="single" w:sz="12" w:space="0" w:color="008000"/>
        </w:tblBorders>
        <w:shd w:val="clear" w:color="auto" w:fill="FFFFFF"/>
        <w:tblLayout w:type="fixed"/>
        <w:tblCellMar>
          <w:left w:w="0" w:type="dxa"/>
          <w:right w:w="0" w:type="dxa"/>
        </w:tblCellMar>
        <w:tblLook w:val="00A0" w:firstRow="1" w:lastRow="0" w:firstColumn="1" w:lastColumn="0" w:noHBand="0" w:noVBand="0"/>
      </w:tblPr>
      <w:tblGrid>
        <w:gridCol w:w="988"/>
        <w:gridCol w:w="431"/>
        <w:gridCol w:w="142"/>
        <w:gridCol w:w="708"/>
        <w:gridCol w:w="708"/>
        <w:gridCol w:w="852"/>
        <w:gridCol w:w="1274"/>
        <w:gridCol w:w="1134"/>
        <w:gridCol w:w="1448"/>
        <w:gridCol w:w="1102"/>
      </w:tblGrid>
      <w:tr w:rsidR="00505114" w:rsidRPr="00155FF8" w:rsidTr="00BF6BC5">
        <w:trPr>
          <w:trHeight w:val="160"/>
        </w:trPr>
        <w:tc>
          <w:tcPr>
            <w:tcW w:w="562" w:type="pct"/>
            <w:vMerge w:val="restart"/>
            <w:tcBorders>
              <w:top w:val="single" w:sz="12" w:space="0" w:color="008000"/>
              <w:left w:val="nil"/>
              <w:right w:val="nil"/>
            </w:tcBorders>
            <w:shd w:val="clear" w:color="auto" w:fill="FFFFFF"/>
            <w:vAlign w:val="center"/>
            <w:hideMark/>
          </w:tcPr>
          <w:p w:rsidR="00505114" w:rsidRPr="00155FF8" w:rsidRDefault="00505114" w:rsidP="00BF6BC5">
            <w:pPr>
              <w:pStyle w:val="CETBodytext"/>
              <w:rPr>
                <w:lang w:val="en-GB"/>
              </w:rPr>
            </w:pPr>
            <w:r>
              <w:t>Assay</w:t>
            </w:r>
          </w:p>
        </w:tc>
        <w:tc>
          <w:tcPr>
            <w:tcW w:w="1617" w:type="pct"/>
            <w:gridSpan w:val="5"/>
            <w:tcBorders>
              <w:top w:val="single" w:sz="12" w:space="0" w:color="008000"/>
              <w:left w:val="nil"/>
              <w:bottom w:val="single" w:sz="6" w:space="0" w:color="008000"/>
              <w:right w:val="nil"/>
            </w:tcBorders>
            <w:shd w:val="clear" w:color="auto" w:fill="FFFFFF"/>
            <w:vAlign w:val="center"/>
            <w:hideMark/>
          </w:tcPr>
          <w:p w:rsidR="00505114" w:rsidRPr="00155FF8" w:rsidRDefault="00505114" w:rsidP="00BF6BC5">
            <w:pPr>
              <w:pStyle w:val="CETBodytext"/>
              <w:jc w:val="center"/>
              <w:rPr>
                <w:lang w:val="en-GB"/>
              </w:rPr>
            </w:pPr>
            <w:r w:rsidRPr="00302049">
              <w:rPr>
                <w:lang w:eastAsia="pt-BR"/>
              </w:rPr>
              <w:t>Independent variables</w:t>
            </w:r>
          </w:p>
        </w:tc>
        <w:tc>
          <w:tcPr>
            <w:tcW w:w="2821" w:type="pct"/>
            <w:gridSpan w:val="4"/>
            <w:tcBorders>
              <w:top w:val="single" w:sz="12" w:space="0" w:color="008000"/>
              <w:left w:val="nil"/>
              <w:bottom w:val="single" w:sz="12" w:space="0" w:color="008000"/>
              <w:right w:val="nil"/>
            </w:tcBorders>
            <w:shd w:val="clear" w:color="auto" w:fill="FFFFFF"/>
            <w:vAlign w:val="center"/>
          </w:tcPr>
          <w:p w:rsidR="00505114" w:rsidRPr="00155FF8" w:rsidRDefault="00505114" w:rsidP="00BF6BC5">
            <w:pPr>
              <w:pStyle w:val="CETBodytext"/>
              <w:jc w:val="center"/>
              <w:rPr>
                <w:lang w:val="en-GB"/>
              </w:rPr>
            </w:pPr>
            <w:r w:rsidRPr="00302049">
              <w:rPr>
                <w:lang w:val="en-GB"/>
              </w:rPr>
              <w:t xml:space="preserve">Dependent Variables </w:t>
            </w:r>
            <w:r w:rsidRPr="00155FF8">
              <w:rPr>
                <w:lang w:val="en-GB"/>
              </w:rPr>
              <w:t>(</w:t>
            </w:r>
            <w:r w:rsidRPr="00302049">
              <w:rPr>
                <w:lang w:val="en-GB"/>
              </w:rPr>
              <w:t>Final concentration</w:t>
            </w:r>
            <w:r w:rsidRPr="00155FF8">
              <w:rPr>
                <w:lang w:val="en-GB"/>
              </w:rPr>
              <w:t>)</w:t>
            </w:r>
          </w:p>
        </w:tc>
      </w:tr>
      <w:tr w:rsidR="00505114" w:rsidRPr="00155FF8" w:rsidTr="00BF6BC5">
        <w:trPr>
          <w:trHeight w:val="160"/>
        </w:trPr>
        <w:tc>
          <w:tcPr>
            <w:tcW w:w="562" w:type="pct"/>
            <w:vMerge/>
            <w:tcBorders>
              <w:left w:val="nil"/>
              <w:right w:val="nil"/>
            </w:tcBorders>
            <w:shd w:val="clear" w:color="auto" w:fill="FFFFFF"/>
            <w:vAlign w:val="center"/>
          </w:tcPr>
          <w:p w:rsidR="00505114" w:rsidRPr="00155FF8" w:rsidRDefault="00505114" w:rsidP="00BF6BC5">
            <w:pPr>
              <w:pStyle w:val="CETBodytext"/>
              <w:rPr>
                <w:lang w:eastAsia="pt-BR"/>
              </w:rPr>
            </w:pPr>
          </w:p>
        </w:tc>
        <w:tc>
          <w:tcPr>
            <w:tcW w:w="729" w:type="pct"/>
            <w:gridSpan w:val="3"/>
            <w:tcBorders>
              <w:top w:val="single" w:sz="12" w:space="0" w:color="008000"/>
              <w:left w:val="nil"/>
              <w:bottom w:val="single" w:sz="12" w:space="0" w:color="008000"/>
              <w:right w:val="nil"/>
            </w:tcBorders>
            <w:shd w:val="clear" w:color="auto" w:fill="FFFFFF"/>
            <w:vAlign w:val="center"/>
          </w:tcPr>
          <w:p w:rsidR="00505114" w:rsidRPr="00155FF8" w:rsidRDefault="00505114" w:rsidP="00BF6BC5">
            <w:pPr>
              <w:pStyle w:val="CETBodytext"/>
              <w:jc w:val="center"/>
              <w:rPr>
                <w:lang w:eastAsia="pt-BR"/>
              </w:rPr>
            </w:pPr>
            <w:r>
              <w:rPr>
                <w:lang w:eastAsia="pt-BR"/>
              </w:rPr>
              <w:t>Coded</w:t>
            </w:r>
          </w:p>
        </w:tc>
        <w:tc>
          <w:tcPr>
            <w:tcW w:w="888" w:type="pct"/>
            <w:gridSpan w:val="2"/>
            <w:tcBorders>
              <w:top w:val="single" w:sz="12" w:space="0" w:color="008000"/>
              <w:left w:val="nil"/>
              <w:bottom w:val="single" w:sz="12" w:space="0" w:color="008000"/>
              <w:right w:val="nil"/>
            </w:tcBorders>
            <w:shd w:val="clear" w:color="auto" w:fill="FFFFFF"/>
            <w:vAlign w:val="center"/>
          </w:tcPr>
          <w:p w:rsidR="00505114" w:rsidRPr="00155FF8" w:rsidRDefault="00505114" w:rsidP="00BF6BC5">
            <w:pPr>
              <w:pStyle w:val="CETBodytext"/>
              <w:jc w:val="center"/>
              <w:rPr>
                <w:lang w:eastAsia="pt-BR"/>
              </w:rPr>
            </w:pPr>
            <w:r>
              <w:rPr>
                <w:lang w:eastAsia="pt-BR"/>
              </w:rPr>
              <w:t>Real</w:t>
            </w:r>
          </w:p>
        </w:tc>
        <w:tc>
          <w:tcPr>
            <w:tcW w:w="725" w:type="pct"/>
            <w:vMerge w:val="restart"/>
            <w:tcBorders>
              <w:top w:val="single" w:sz="12" w:space="0" w:color="008000"/>
              <w:left w:val="nil"/>
              <w:right w:val="nil"/>
            </w:tcBorders>
            <w:shd w:val="clear" w:color="auto" w:fill="FFFFFF"/>
            <w:vAlign w:val="center"/>
          </w:tcPr>
          <w:p w:rsidR="00505114" w:rsidRPr="00155FF8" w:rsidRDefault="00505114" w:rsidP="00BF6BC5">
            <w:pPr>
              <w:pStyle w:val="CETBodytext"/>
              <w:jc w:val="center"/>
              <w:rPr>
                <w:lang w:eastAsia="pt-BR"/>
              </w:rPr>
            </w:pPr>
            <w:r>
              <w:rPr>
                <w:lang w:eastAsia="pt-BR"/>
              </w:rPr>
              <w:t>COD</w:t>
            </w:r>
          </w:p>
        </w:tc>
        <w:tc>
          <w:tcPr>
            <w:tcW w:w="645" w:type="pct"/>
            <w:vMerge w:val="restart"/>
            <w:tcBorders>
              <w:top w:val="single" w:sz="12" w:space="0" w:color="008000"/>
              <w:left w:val="nil"/>
              <w:right w:val="nil"/>
            </w:tcBorders>
            <w:shd w:val="clear" w:color="auto" w:fill="FFFFFF"/>
            <w:vAlign w:val="center"/>
          </w:tcPr>
          <w:p w:rsidR="00505114" w:rsidRPr="00155FF8" w:rsidRDefault="00505114" w:rsidP="00BF6BC5">
            <w:pPr>
              <w:pStyle w:val="CETBodytext"/>
              <w:jc w:val="center"/>
              <w:rPr>
                <w:lang w:eastAsia="pt-BR"/>
              </w:rPr>
            </w:pPr>
            <w:r w:rsidRPr="00E155CD">
              <w:rPr>
                <w:lang w:val="en-GB"/>
              </w:rPr>
              <w:t>Turbidity</w:t>
            </w:r>
          </w:p>
        </w:tc>
        <w:tc>
          <w:tcPr>
            <w:tcW w:w="824" w:type="pct"/>
            <w:vMerge w:val="restart"/>
            <w:tcBorders>
              <w:top w:val="single" w:sz="12" w:space="0" w:color="008000"/>
              <w:left w:val="nil"/>
              <w:right w:val="nil"/>
            </w:tcBorders>
            <w:shd w:val="clear" w:color="auto" w:fill="FFFFFF"/>
            <w:vAlign w:val="center"/>
          </w:tcPr>
          <w:p w:rsidR="00505114" w:rsidRPr="00155FF8" w:rsidRDefault="00505114" w:rsidP="00BF6BC5">
            <w:pPr>
              <w:pStyle w:val="CETBodytext"/>
              <w:jc w:val="center"/>
              <w:rPr>
                <w:lang w:eastAsia="pt-BR"/>
              </w:rPr>
            </w:pPr>
            <w:r>
              <w:rPr>
                <w:lang w:val="en-GB"/>
              </w:rPr>
              <w:t>A</w:t>
            </w:r>
            <w:r w:rsidRPr="00505626">
              <w:rPr>
                <w:lang w:val="en-GB"/>
              </w:rPr>
              <w:t xml:space="preserve">pparent </w:t>
            </w:r>
            <w:r>
              <w:rPr>
                <w:lang w:val="en-GB"/>
              </w:rPr>
              <w:t>C</w:t>
            </w:r>
            <w:r w:rsidRPr="00505626">
              <w:rPr>
                <w:lang w:val="en-GB"/>
              </w:rPr>
              <w:t>olour</w:t>
            </w:r>
          </w:p>
        </w:tc>
        <w:tc>
          <w:tcPr>
            <w:tcW w:w="627" w:type="pct"/>
            <w:vMerge w:val="restart"/>
            <w:tcBorders>
              <w:top w:val="single" w:sz="12" w:space="0" w:color="008000"/>
              <w:left w:val="nil"/>
              <w:right w:val="nil"/>
            </w:tcBorders>
            <w:shd w:val="clear" w:color="auto" w:fill="FFFFFF"/>
            <w:vAlign w:val="center"/>
          </w:tcPr>
          <w:p w:rsidR="00505114" w:rsidRPr="00155FF8" w:rsidRDefault="00505114" w:rsidP="00BF6BC5">
            <w:pPr>
              <w:pStyle w:val="CETBodytext"/>
              <w:jc w:val="center"/>
              <w:rPr>
                <w:lang w:eastAsia="pt-BR"/>
              </w:rPr>
            </w:pPr>
            <w:r w:rsidRPr="00E155CD">
              <w:rPr>
                <w:lang w:val="en-GB"/>
              </w:rPr>
              <w:t>Cyanide Ion</w:t>
            </w:r>
          </w:p>
        </w:tc>
      </w:tr>
      <w:tr w:rsidR="00505114" w:rsidRPr="00155FF8" w:rsidTr="00BF6BC5">
        <w:trPr>
          <w:trHeight w:val="160"/>
        </w:trPr>
        <w:tc>
          <w:tcPr>
            <w:tcW w:w="562" w:type="pct"/>
            <w:vMerge/>
            <w:tcBorders>
              <w:left w:val="nil"/>
              <w:bottom w:val="single" w:sz="6" w:space="0" w:color="008000"/>
              <w:right w:val="nil"/>
            </w:tcBorders>
            <w:shd w:val="clear" w:color="auto" w:fill="FFFFFF"/>
            <w:vAlign w:val="center"/>
          </w:tcPr>
          <w:p w:rsidR="00505114" w:rsidRPr="00155FF8" w:rsidRDefault="00505114" w:rsidP="00BF6BC5">
            <w:pPr>
              <w:pStyle w:val="CETBodytext"/>
              <w:rPr>
                <w:lang w:eastAsia="pt-BR"/>
              </w:rPr>
            </w:pPr>
          </w:p>
        </w:tc>
        <w:tc>
          <w:tcPr>
            <w:tcW w:w="326" w:type="pct"/>
            <w:gridSpan w:val="2"/>
            <w:tcBorders>
              <w:top w:val="single" w:sz="12" w:space="0" w:color="008000"/>
              <w:left w:val="nil"/>
              <w:bottom w:val="single" w:sz="2" w:space="0" w:color="008000"/>
              <w:right w:val="nil"/>
            </w:tcBorders>
            <w:shd w:val="clear" w:color="auto" w:fill="FFFFFF"/>
            <w:vAlign w:val="center"/>
          </w:tcPr>
          <w:p w:rsidR="00505114" w:rsidRPr="00155FF8" w:rsidRDefault="00505114" w:rsidP="00BF6BC5">
            <w:pPr>
              <w:pStyle w:val="CETBodytext"/>
              <w:rPr>
                <w:lang w:eastAsia="pt-BR"/>
              </w:rPr>
            </w:pPr>
            <w:r w:rsidRPr="00155FF8">
              <w:rPr>
                <w:lang w:eastAsia="pt-BR"/>
              </w:rPr>
              <w:t>X</w:t>
            </w:r>
            <w:r w:rsidRPr="00155FF8">
              <w:rPr>
                <w:vertAlign w:val="subscript"/>
                <w:lang w:eastAsia="pt-BR"/>
              </w:rPr>
              <w:t>1</w:t>
            </w:r>
          </w:p>
        </w:tc>
        <w:tc>
          <w:tcPr>
            <w:tcW w:w="403" w:type="pct"/>
            <w:tcBorders>
              <w:top w:val="single" w:sz="12" w:space="0" w:color="008000"/>
              <w:left w:val="nil"/>
              <w:bottom w:val="single" w:sz="2" w:space="0" w:color="008000"/>
              <w:right w:val="nil"/>
            </w:tcBorders>
            <w:shd w:val="clear" w:color="auto" w:fill="FFFFFF"/>
            <w:vAlign w:val="center"/>
          </w:tcPr>
          <w:p w:rsidR="00505114" w:rsidRPr="00155FF8" w:rsidRDefault="00505114" w:rsidP="00BF6BC5">
            <w:pPr>
              <w:pStyle w:val="CETBodytext"/>
              <w:rPr>
                <w:lang w:eastAsia="pt-BR"/>
              </w:rPr>
            </w:pPr>
            <w:r w:rsidRPr="00155FF8">
              <w:rPr>
                <w:lang w:eastAsia="pt-BR"/>
              </w:rPr>
              <w:t>X</w:t>
            </w:r>
            <w:r w:rsidRPr="00155FF8">
              <w:rPr>
                <w:vertAlign w:val="subscript"/>
                <w:lang w:eastAsia="pt-BR"/>
              </w:rPr>
              <w:t>2</w:t>
            </w:r>
          </w:p>
        </w:tc>
        <w:tc>
          <w:tcPr>
            <w:tcW w:w="403" w:type="pct"/>
            <w:tcBorders>
              <w:top w:val="single" w:sz="12" w:space="0" w:color="008000"/>
              <w:left w:val="nil"/>
              <w:bottom w:val="single" w:sz="2" w:space="0" w:color="008000"/>
              <w:right w:val="nil"/>
            </w:tcBorders>
            <w:shd w:val="clear" w:color="auto" w:fill="FFFFFF"/>
            <w:vAlign w:val="center"/>
          </w:tcPr>
          <w:p w:rsidR="00505114" w:rsidRPr="00155FF8" w:rsidRDefault="00505114" w:rsidP="00BF6BC5">
            <w:pPr>
              <w:pStyle w:val="CETBodytext"/>
              <w:rPr>
                <w:lang w:eastAsia="pt-BR"/>
              </w:rPr>
            </w:pPr>
            <w:r w:rsidRPr="00155FF8">
              <w:rPr>
                <w:lang w:eastAsia="pt-BR"/>
              </w:rPr>
              <w:t>MO</w:t>
            </w:r>
            <w:r>
              <w:rPr>
                <w:lang w:eastAsia="pt-BR"/>
              </w:rPr>
              <w:t xml:space="preserve"> conc.</w:t>
            </w:r>
          </w:p>
        </w:tc>
        <w:tc>
          <w:tcPr>
            <w:tcW w:w="485" w:type="pct"/>
            <w:tcBorders>
              <w:top w:val="single" w:sz="12" w:space="0" w:color="008000"/>
              <w:left w:val="nil"/>
              <w:bottom w:val="single" w:sz="2" w:space="0" w:color="008000"/>
              <w:right w:val="nil"/>
            </w:tcBorders>
            <w:shd w:val="clear" w:color="auto" w:fill="FFFFFF"/>
            <w:vAlign w:val="center"/>
          </w:tcPr>
          <w:p w:rsidR="00505114" w:rsidRPr="00155FF8" w:rsidRDefault="00505114" w:rsidP="00BF6BC5">
            <w:pPr>
              <w:pStyle w:val="CETBodytext"/>
              <w:rPr>
                <w:lang w:eastAsia="pt-BR"/>
              </w:rPr>
            </w:pPr>
            <w:r w:rsidRPr="00155FF8">
              <w:rPr>
                <w:lang w:eastAsia="pt-BR"/>
              </w:rPr>
              <w:t>NaCl</w:t>
            </w:r>
            <w:r>
              <w:rPr>
                <w:lang w:eastAsia="pt-BR"/>
              </w:rPr>
              <w:t xml:space="preserve"> conc.</w:t>
            </w:r>
          </w:p>
        </w:tc>
        <w:tc>
          <w:tcPr>
            <w:tcW w:w="725" w:type="pct"/>
            <w:vMerge/>
            <w:tcBorders>
              <w:left w:val="nil"/>
              <w:bottom w:val="single" w:sz="6" w:space="0" w:color="008000"/>
              <w:right w:val="nil"/>
            </w:tcBorders>
            <w:shd w:val="clear" w:color="auto" w:fill="FFFFFF"/>
            <w:vAlign w:val="center"/>
          </w:tcPr>
          <w:p w:rsidR="00505114" w:rsidRPr="00155FF8" w:rsidRDefault="00505114" w:rsidP="00BF6BC5">
            <w:pPr>
              <w:pStyle w:val="CETBodytext"/>
              <w:rPr>
                <w:lang w:eastAsia="pt-BR"/>
              </w:rPr>
            </w:pPr>
          </w:p>
        </w:tc>
        <w:tc>
          <w:tcPr>
            <w:tcW w:w="645" w:type="pct"/>
            <w:vMerge/>
            <w:tcBorders>
              <w:left w:val="nil"/>
              <w:bottom w:val="single" w:sz="6" w:space="0" w:color="008000"/>
              <w:right w:val="nil"/>
            </w:tcBorders>
            <w:shd w:val="clear" w:color="auto" w:fill="FFFFFF"/>
          </w:tcPr>
          <w:p w:rsidR="00505114" w:rsidRPr="00155FF8" w:rsidRDefault="00505114" w:rsidP="00BF6BC5">
            <w:pPr>
              <w:pStyle w:val="CETBodytext"/>
              <w:rPr>
                <w:lang w:eastAsia="pt-BR"/>
              </w:rPr>
            </w:pPr>
          </w:p>
        </w:tc>
        <w:tc>
          <w:tcPr>
            <w:tcW w:w="824" w:type="pct"/>
            <w:vMerge/>
            <w:tcBorders>
              <w:left w:val="nil"/>
              <w:bottom w:val="single" w:sz="6" w:space="0" w:color="008000"/>
              <w:right w:val="nil"/>
            </w:tcBorders>
            <w:shd w:val="clear" w:color="auto" w:fill="FFFFFF"/>
            <w:vAlign w:val="center"/>
          </w:tcPr>
          <w:p w:rsidR="00505114" w:rsidRPr="00155FF8" w:rsidRDefault="00505114" w:rsidP="00BF6BC5">
            <w:pPr>
              <w:pStyle w:val="CETBodytext"/>
              <w:rPr>
                <w:lang w:eastAsia="pt-BR"/>
              </w:rPr>
            </w:pPr>
          </w:p>
        </w:tc>
        <w:tc>
          <w:tcPr>
            <w:tcW w:w="627" w:type="pct"/>
            <w:vMerge/>
            <w:tcBorders>
              <w:left w:val="nil"/>
              <w:bottom w:val="single" w:sz="6" w:space="0" w:color="008000"/>
              <w:right w:val="nil"/>
            </w:tcBorders>
            <w:shd w:val="clear" w:color="auto" w:fill="FFFFFF"/>
            <w:vAlign w:val="center"/>
          </w:tcPr>
          <w:p w:rsidR="00505114" w:rsidRPr="00155FF8" w:rsidRDefault="00505114" w:rsidP="00BF6BC5">
            <w:pPr>
              <w:pStyle w:val="CETBodytext"/>
              <w:rPr>
                <w:lang w:eastAsia="pt-BR"/>
              </w:rPr>
            </w:pPr>
          </w:p>
        </w:tc>
      </w:tr>
      <w:tr w:rsidR="00505114" w:rsidRPr="00155FF8" w:rsidTr="00BF6BC5">
        <w:tc>
          <w:tcPr>
            <w:tcW w:w="562" w:type="pct"/>
            <w:tcBorders>
              <w:top w:val="nil"/>
              <w:left w:val="nil"/>
              <w:bottom w:val="nil"/>
              <w:right w:val="nil"/>
            </w:tcBorders>
            <w:shd w:val="clear" w:color="auto" w:fill="FFFFFF"/>
            <w:vAlign w:val="center"/>
          </w:tcPr>
          <w:p w:rsidR="00505114" w:rsidRPr="00155FF8" w:rsidRDefault="00505114" w:rsidP="00BF6BC5">
            <w:pPr>
              <w:pStyle w:val="CETBodytext"/>
              <w:rPr>
                <w:lang w:val="en-GB"/>
              </w:rPr>
            </w:pPr>
            <w:r w:rsidRPr="00155FF8">
              <w:rPr>
                <w:lang w:eastAsia="pt-BR"/>
              </w:rPr>
              <w:t>1</w:t>
            </w:r>
          </w:p>
        </w:tc>
        <w:tc>
          <w:tcPr>
            <w:tcW w:w="245" w:type="pct"/>
            <w:tcBorders>
              <w:top w:val="single" w:sz="2" w:space="0" w:color="008000"/>
              <w:left w:val="nil"/>
              <w:bottom w:val="nil"/>
              <w:right w:val="nil"/>
            </w:tcBorders>
            <w:shd w:val="clear" w:color="auto" w:fill="FFFFFF"/>
            <w:vAlign w:val="center"/>
          </w:tcPr>
          <w:p w:rsidR="00505114" w:rsidRPr="00155FF8" w:rsidRDefault="00505114" w:rsidP="00BF6BC5">
            <w:pPr>
              <w:pStyle w:val="CETBodytext"/>
              <w:rPr>
                <w:lang w:val="en-GB"/>
              </w:rPr>
            </w:pPr>
            <w:r w:rsidRPr="00155FF8">
              <w:rPr>
                <w:lang w:eastAsia="pt-BR"/>
              </w:rPr>
              <w:t>-1</w:t>
            </w:r>
          </w:p>
        </w:tc>
        <w:tc>
          <w:tcPr>
            <w:tcW w:w="484" w:type="pct"/>
            <w:gridSpan w:val="2"/>
            <w:tcBorders>
              <w:top w:val="single" w:sz="2" w:space="0" w:color="008000"/>
              <w:left w:val="nil"/>
              <w:bottom w:val="nil"/>
              <w:right w:val="nil"/>
            </w:tcBorders>
            <w:shd w:val="clear" w:color="auto" w:fill="FFFFFF"/>
            <w:vAlign w:val="center"/>
          </w:tcPr>
          <w:p w:rsidR="00505114" w:rsidRPr="00155FF8" w:rsidRDefault="00505114" w:rsidP="00BF6BC5">
            <w:pPr>
              <w:pStyle w:val="CETBodytext"/>
              <w:rPr>
                <w:lang w:val="en-GB"/>
              </w:rPr>
            </w:pPr>
            <w:r w:rsidRPr="00155FF8">
              <w:rPr>
                <w:lang w:eastAsia="pt-BR"/>
              </w:rPr>
              <w:t>-1</w:t>
            </w:r>
          </w:p>
        </w:tc>
        <w:tc>
          <w:tcPr>
            <w:tcW w:w="403" w:type="pct"/>
            <w:tcBorders>
              <w:top w:val="single" w:sz="2" w:space="0" w:color="008000"/>
              <w:left w:val="nil"/>
              <w:bottom w:val="nil"/>
              <w:right w:val="nil"/>
            </w:tcBorders>
            <w:shd w:val="clear" w:color="auto" w:fill="FFFFFF"/>
            <w:vAlign w:val="center"/>
          </w:tcPr>
          <w:p w:rsidR="00505114" w:rsidRPr="00155FF8" w:rsidRDefault="00505114" w:rsidP="00BF6BC5">
            <w:pPr>
              <w:pStyle w:val="CETBodytext"/>
              <w:rPr>
                <w:lang w:val="en-GB"/>
              </w:rPr>
            </w:pPr>
            <w:r w:rsidRPr="00155FF8">
              <w:rPr>
                <w:lang w:eastAsia="pt-BR"/>
              </w:rPr>
              <w:t>2</w:t>
            </w:r>
            <w:r>
              <w:rPr>
                <w:lang w:eastAsia="pt-BR"/>
              </w:rPr>
              <w:t>,</w:t>
            </w:r>
            <w:r w:rsidRPr="00155FF8">
              <w:rPr>
                <w:lang w:eastAsia="pt-BR"/>
              </w:rPr>
              <w:t>100</w:t>
            </w:r>
          </w:p>
        </w:tc>
        <w:tc>
          <w:tcPr>
            <w:tcW w:w="485" w:type="pct"/>
            <w:tcBorders>
              <w:top w:val="single" w:sz="2" w:space="0" w:color="008000"/>
              <w:left w:val="nil"/>
              <w:bottom w:val="nil"/>
              <w:right w:val="nil"/>
            </w:tcBorders>
            <w:shd w:val="clear" w:color="auto" w:fill="FFFFFF"/>
            <w:vAlign w:val="center"/>
          </w:tcPr>
          <w:p w:rsidR="00505114" w:rsidRPr="00155FF8" w:rsidRDefault="00505114" w:rsidP="00BF6BC5">
            <w:pPr>
              <w:pStyle w:val="CETBodytext"/>
              <w:rPr>
                <w:lang w:val="en-GB"/>
              </w:rPr>
            </w:pPr>
            <w:r w:rsidRPr="00155FF8">
              <w:rPr>
                <w:lang w:eastAsia="pt-BR"/>
              </w:rPr>
              <w:t>0</w:t>
            </w:r>
            <w:r>
              <w:rPr>
                <w:lang w:eastAsia="pt-BR"/>
              </w:rPr>
              <w:t>.</w:t>
            </w:r>
            <w:r w:rsidRPr="00155FF8">
              <w:rPr>
                <w:lang w:eastAsia="pt-BR"/>
              </w:rPr>
              <w:t>5</w:t>
            </w:r>
          </w:p>
        </w:tc>
        <w:tc>
          <w:tcPr>
            <w:tcW w:w="725" w:type="pct"/>
            <w:tcBorders>
              <w:top w:val="nil"/>
              <w:left w:val="nil"/>
              <w:bottom w:val="nil"/>
              <w:right w:val="nil"/>
            </w:tcBorders>
            <w:shd w:val="clear" w:color="auto" w:fill="FFFFFF"/>
            <w:vAlign w:val="center"/>
          </w:tcPr>
          <w:p w:rsidR="00505114" w:rsidRPr="00155FF8" w:rsidRDefault="00505114" w:rsidP="00BF6BC5">
            <w:pPr>
              <w:pStyle w:val="CETBodytext"/>
              <w:rPr>
                <w:shd w:val="clear" w:color="auto" w:fill="FFFFFF"/>
              </w:rPr>
            </w:pPr>
            <w:r w:rsidRPr="00155FF8">
              <w:rPr>
                <w:lang w:eastAsia="pt-BR"/>
              </w:rPr>
              <w:t>1</w:t>
            </w:r>
            <w:r>
              <w:rPr>
                <w:lang w:eastAsia="pt-BR"/>
              </w:rPr>
              <w:t>,</w:t>
            </w:r>
            <w:r w:rsidRPr="00155FF8">
              <w:rPr>
                <w:lang w:eastAsia="pt-BR"/>
              </w:rPr>
              <w:t>230 (45</w:t>
            </w:r>
            <w:r>
              <w:rPr>
                <w:lang w:eastAsia="pt-BR"/>
              </w:rPr>
              <w:t>.</w:t>
            </w:r>
            <w:r w:rsidRPr="00155FF8">
              <w:rPr>
                <w:lang w:eastAsia="pt-BR"/>
              </w:rPr>
              <w:t>09</w:t>
            </w:r>
            <w:r>
              <w:rPr>
                <w:lang w:eastAsia="pt-BR"/>
              </w:rPr>
              <w:t xml:space="preserve"> </w:t>
            </w:r>
            <w:r w:rsidRPr="00155FF8">
              <w:rPr>
                <w:lang w:eastAsia="pt-BR"/>
              </w:rPr>
              <w:t>%)</w:t>
            </w:r>
          </w:p>
        </w:tc>
        <w:tc>
          <w:tcPr>
            <w:tcW w:w="645" w:type="pct"/>
            <w:tcBorders>
              <w:top w:val="nil"/>
              <w:left w:val="nil"/>
              <w:bottom w:val="nil"/>
              <w:right w:val="nil"/>
            </w:tcBorders>
            <w:shd w:val="clear" w:color="auto" w:fill="FFFFFF"/>
            <w:vAlign w:val="center"/>
          </w:tcPr>
          <w:p w:rsidR="00505114" w:rsidRPr="00155FF8" w:rsidRDefault="00505114" w:rsidP="00BF6BC5">
            <w:pPr>
              <w:pStyle w:val="CETBodytext"/>
              <w:rPr>
                <w:shd w:val="clear" w:color="auto" w:fill="FFFFFF"/>
              </w:rPr>
            </w:pPr>
            <w:r w:rsidRPr="00155FF8">
              <w:rPr>
                <w:i/>
                <w:iCs/>
                <w:lang w:eastAsia="pt-BR"/>
              </w:rPr>
              <w:t>210 (84</w:t>
            </w:r>
            <w:r>
              <w:rPr>
                <w:i/>
                <w:iCs/>
                <w:lang w:eastAsia="pt-BR"/>
              </w:rPr>
              <w:t>.</w:t>
            </w:r>
            <w:r w:rsidRPr="00155FF8">
              <w:rPr>
                <w:i/>
                <w:iCs/>
                <w:lang w:eastAsia="pt-BR"/>
              </w:rPr>
              <w:t>44</w:t>
            </w:r>
            <w:r>
              <w:rPr>
                <w:i/>
                <w:iCs/>
                <w:lang w:eastAsia="pt-BR"/>
              </w:rPr>
              <w:t xml:space="preserve"> </w:t>
            </w:r>
            <w:r w:rsidRPr="00155FF8">
              <w:rPr>
                <w:i/>
                <w:iCs/>
                <w:lang w:eastAsia="pt-BR"/>
              </w:rPr>
              <w:t>%)</w:t>
            </w:r>
          </w:p>
        </w:tc>
        <w:tc>
          <w:tcPr>
            <w:tcW w:w="824" w:type="pct"/>
            <w:tcBorders>
              <w:top w:val="nil"/>
              <w:left w:val="nil"/>
              <w:bottom w:val="nil"/>
              <w:right w:val="nil"/>
            </w:tcBorders>
            <w:shd w:val="clear" w:color="auto" w:fill="FFFFFF"/>
            <w:vAlign w:val="center"/>
          </w:tcPr>
          <w:p w:rsidR="00505114" w:rsidRPr="00155FF8" w:rsidRDefault="00505114" w:rsidP="00BF6BC5">
            <w:pPr>
              <w:pStyle w:val="CETBodytext"/>
              <w:rPr>
                <w:shd w:val="clear" w:color="auto" w:fill="FFFFFF"/>
              </w:rPr>
            </w:pPr>
            <w:r w:rsidRPr="00155FF8">
              <w:rPr>
                <w:lang w:eastAsia="pt-BR"/>
              </w:rPr>
              <w:t>2</w:t>
            </w:r>
            <w:r>
              <w:rPr>
                <w:lang w:eastAsia="pt-BR"/>
              </w:rPr>
              <w:t>,</w:t>
            </w:r>
            <w:r w:rsidRPr="00155FF8">
              <w:rPr>
                <w:lang w:eastAsia="pt-BR"/>
              </w:rPr>
              <w:t>570 (51</w:t>
            </w:r>
            <w:r>
              <w:rPr>
                <w:lang w:eastAsia="pt-BR"/>
              </w:rPr>
              <w:t>.</w:t>
            </w:r>
            <w:r w:rsidRPr="00155FF8">
              <w:rPr>
                <w:lang w:eastAsia="pt-BR"/>
              </w:rPr>
              <w:t>23</w:t>
            </w:r>
            <w:r>
              <w:rPr>
                <w:lang w:eastAsia="pt-BR"/>
              </w:rPr>
              <w:t xml:space="preserve"> </w:t>
            </w:r>
            <w:r w:rsidRPr="00155FF8">
              <w:rPr>
                <w:lang w:eastAsia="pt-BR"/>
              </w:rPr>
              <w:t>%)</w:t>
            </w:r>
          </w:p>
        </w:tc>
        <w:tc>
          <w:tcPr>
            <w:tcW w:w="627" w:type="pct"/>
            <w:tcBorders>
              <w:top w:val="nil"/>
              <w:left w:val="nil"/>
              <w:bottom w:val="nil"/>
              <w:right w:val="nil"/>
            </w:tcBorders>
            <w:shd w:val="clear" w:color="auto" w:fill="FFFFFF"/>
            <w:vAlign w:val="center"/>
          </w:tcPr>
          <w:p w:rsidR="00505114" w:rsidRPr="00155FF8" w:rsidRDefault="00505114" w:rsidP="00BF6BC5">
            <w:pPr>
              <w:pStyle w:val="CETBodytext"/>
              <w:rPr>
                <w:lang w:val="en-GB"/>
              </w:rPr>
            </w:pPr>
            <w:r w:rsidRPr="00155FF8">
              <w:rPr>
                <w:lang w:eastAsia="pt-BR"/>
              </w:rPr>
              <w:t>21</w:t>
            </w:r>
            <w:r>
              <w:rPr>
                <w:lang w:eastAsia="pt-BR"/>
              </w:rPr>
              <w:t>.</w:t>
            </w:r>
            <w:r w:rsidRPr="00155FF8">
              <w:rPr>
                <w:lang w:eastAsia="pt-BR"/>
              </w:rPr>
              <w:t>9 (4</w:t>
            </w:r>
            <w:r>
              <w:rPr>
                <w:lang w:eastAsia="pt-BR"/>
              </w:rPr>
              <w:t>.</w:t>
            </w:r>
            <w:r w:rsidRPr="00155FF8">
              <w:rPr>
                <w:lang w:eastAsia="pt-BR"/>
              </w:rPr>
              <w:t>78</w:t>
            </w:r>
            <w:r>
              <w:rPr>
                <w:lang w:eastAsia="pt-BR"/>
              </w:rPr>
              <w:t xml:space="preserve"> </w:t>
            </w:r>
            <w:r w:rsidRPr="00155FF8">
              <w:rPr>
                <w:lang w:eastAsia="pt-BR"/>
              </w:rPr>
              <w:t>%)</w:t>
            </w:r>
          </w:p>
        </w:tc>
      </w:tr>
      <w:tr w:rsidR="00505114" w:rsidRPr="00155FF8" w:rsidTr="00BF6BC5">
        <w:tc>
          <w:tcPr>
            <w:tcW w:w="562" w:type="pct"/>
            <w:tcBorders>
              <w:top w:val="nil"/>
              <w:left w:val="nil"/>
              <w:bottom w:val="nil"/>
              <w:right w:val="nil"/>
            </w:tcBorders>
            <w:shd w:val="clear" w:color="auto" w:fill="FFFFFF"/>
            <w:vAlign w:val="center"/>
          </w:tcPr>
          <w:p w:rsidR="00505114" w:rsidRPr="00155FF8" w:rsidRDefault="00505114" w:rsidP="00BF6BC5">
            <w:pPr>
              <w:pStyle w:val="CETBodytext"/>
              <w:rPr>
                <w:lang w:val="en-GB"/>
              </w:rPr>
            </w:pPr>
            <w:r w:rsidRPr="00155FF8">
              <w:rPr>
                <w:lang w:eastAsia="pt-BR"/>
              </w:rPr>
              <w:t>2</w:t>
            </w:r>
          </w:p>
        </w:tc>
        <w:tc>
          <w:tcPr>
            <w:tcW w:w="245" w:type="pct"/>
            <w:tcBorders>
              <w:top w:val="nil"/>
              <w:left w:val="nil"/>
              <w:bottom w:val="nil"/>
              <w:right w:val="nil"/>
            </w:tcBorders>
            <w:shd w:val="clear" w:color="auto" w:fill="FFFFFF"/>
            <w:vAlign w:val="center"/>
          </w:tcPr>
          <w:p w:rsidR="00505114" w:rsidRPr="00155FF8" w:rsidRDefault="00505114" w:rsidP="00BF6BC5">
            <w:pPr>
              <w:pStyle w:val="CETBodytext"/>
              <w:rPr>
                <w:lang w:val="en-GB"/>
              </w:rPr>
            </w:pPr>
            <w:r w:rsidRPr="00155FF8">
              <w:rPr>
                <w:lang w:eastAsia="pt-BR"/>
              </w:rPr>
              <w:t>1</w:t>
            </w:r>
          </w:p>
        </w:tc>
        <w:tc>
          <w:tcPr>
            <w:tcW w:w="484" w:type="pct"/>
            <w:gridSpan w:val="2"/>
            <w:tcBorders>
              <w:top w:val="nil"/>
              <w:left w:val="nil"/>
              <w:bottom w:val="nil"/>
              <w:right w:val="nil"/>
            </w:tcBorders>
            <w:shd w:val="clear" w:color="auto" w:fill="FFFFFF"/>
            <w:vAlign w:val="center"/>
          </w:tcPr>
          <w:p w:rsidR="00505114" w:rsidRPr="00155FF8" w:rsidRDefault="00505114" w:rsidP="00BF6BC5">
            <w:pPr>
              <w:pStyle w:val="CETBodytext"/>
              <w:rPr>
                <w:lang w:val="en-GB"/>
              </w:rPr>
            </w:pPr>
            <w:r w:rsidRPr="00155FF8">
              <w:rPr>
                <w:lang w:eastAsia="pt-BR"/>
              </w:rPr>
              <w:t>-1</w:t>
            </w:r>
          </w:p>
        </w:tc>
        <w:tc>
          <w:tcPr>
            <w:tcW w:w="403" w:type="pct"/>
            <w:tcBorders>
              <w:top w:val="nil"/>
              <w:left w:val="nil"/>
              <w:bottom w:val="nil"/>
              <w:right w:val="nil"/>
            </w:tcBorders>
            <w:shd w:val="clear" w:color="auto" w:fill="FFFFFF"/>
            <w:vAlign w:val="center"/>
          </w:tcPr>
          <w:p w:rsidR="00505114" w:rsidRPr="00155FF8" w:rsidRDefault="00505114" w:rsidP="00BF6BC5">
            <w:pPr>
              <w:pStyle w:val="CETBodytext"/>
              <w:rPr>
                <w:lang w:val="en-GB"/>
              </w:rPr>
            </w:pPr>
            <w:r w:rsidRPr="00155FF8">
              <w:rPr>
                <w:lang w:eastAsia="pt-BR"/>
              </w:rPr>
              <w:t>2</w:t>
            </w:r>
            <w:r>
              <w:rPr>
                <w:lang w:eastAsia="pt-BR"/>
              </w:rPr>
              <w:t>,</w:t>
            </w:r>
            <w:r w:rsidRPr="00155FF8">
              <w:rPr>
                <w:lang w:eastAsia="pt-BR"/>
              </w:rPr>
              <w:t>700</w:t>
            </w:r>
          </w:p>
        </w:tc>
        <w:tc>
          <w:tcPr>
            <w:tcW w:w="485" w:type="pct"/>
            <w:tcBorders>
              <w:top w:val="nil"/>
              <w:left w:val="nil"/>
              <w:bottom w:val="nil"/>
              <w:right w:val="nil"/>
            </w:tcBorders>
            <w:shd w:val="clear" w:color="auto" w:fill="FFFFFF"/>
            <w:vAlign w:val="center"/>
          </w:tcPr>
          <w:p w:rsidR="00505114" w:rsidRPr="00155FF8" w:rsidRDefault="00505114" w:rsidP="00BF6BC5">
            <w:pPr>
              <w:pStyle w:val="CETBodytext"/>
              <w:rPr>
                <w:lang w:val="en-GB"/>
              </w:rPr>
            </w:pPr>
            <w:r w:rsidRPr="00155FF8">
              <w:rPr>
                <w:lang w:eastAsia="pt-BR"/>
              </w:rPr>
              <w:t>0</w:t>
            </w:r>
            <w:r>
              <w:rPr>
                <w:lang w:eastAsia="pt-BR"/>
              </w:rPr>
              <w:t>.</w:t>
            </w:r>
            <w:r w:rsidRPr="00155FF8">
              <w:rPr>
                <w:lang w:eastAsia="pt-BR"/>
              </w:rPr>
              <w:t>5</w:t>
            </w:r>
          </w:p>
        </w:tc>
        <w:tc>
          <w:tcPr>
            <w:tcW w:w="725" w:type="pct"/>
            <w:tcBorders>
              <w:top w:val="nil"/>
              <w:left w:val="nil"/>
              <w:bottom w:val="nil"/>
              <w:right w:val="nil"/>
            </w:tcBorders>
            <w:shd w:val="clear" w:color="auto" w:fill="FFFFFF"/>
            <w:vAlign w:val="center"/>
          </w:tcPr>
          <w:p w:rsidR="00505114" w:rsidRPr="00155FF8" w:rsidRDefault="00505114" w:rsidP="00BF6BC5">
            <w:pPr>
              <w:pStyle w:val="CETBodytext"/>
              <w:rPr>
                <w:shd w:val="clear" w:color="auto" w:fill="FFFFFF"/>
              </w:rPr>
            </w:pPr>
            <w:r w:rsidRPr="00155FF8">
              <w:rPr>
                <w:lang w:eastAsia="pt-BR"/>
              </w:rPr>
              <w:t>1</w:t>
            </w:r>
            <w:r>
              <w:rPr>
                <w:lang w:eastAsia="pt-BR"/>
              </w:rPr>
              <w:t>,</w:t>
            </w:r>
            <w:r w:rsidRPr="00155FF8">
              <w:rPr>
                <w:lang w:eastAsia="pt-BR"/>
              </w:rPr>
              <w:t>170 (47</w:t>
            </w:r>
            <w:r>
              <w:rPr>
                <w:lang w:eastAsia="pt-BR"/>
              </w:rPr>
              <w:t>.</w:t>
            </w:r>
            <w:r w:rsidRPr="00155FF8">
              <w:rPr>
                <w:lang w:eastAsia="pt-BR"/>
              </w:rPr>
              <w:t>77</w:t>
            </w:r>
            <w:r>
              <w:rPr>
                <w:lang w:eastAsia="pt-BR"/>
              </w:rPr>
              <w:t xml:space="preserve"> </w:t>
            </w:r>
            <w:r w:rsidRPr="00155FF8">
              <w:rPr>
                <w:lang w:eastAsia="pt-BR"/>
              </w:rPr>
              <w:t>%)</w:t>
            </w:r>
          </w:p>
        </w:tc>
        <w:tc>
          <w:tcPr>
            <w:tcW w:w="645" w:type="pct"/>
            <w:tcBorders>
              <w:top w:val="nil"/>
              <w:left w:val="nil"/>
              <w:bottom w:val="nil"/>
              <w:right w:val="nil"/>
            </w:tcBorders>
            <w:shd w:val="clear" w:color="auto" w:fill="FFFFFF"/>
            <w:vAlign w:val="center"/>
          </w:tcPr>
          <w:p w:rsidR="00505114" w:rsidRPr="00155FF8" w:rsidRDefault="00505114" w:rsidP="00BF6BC5">
            <w:pPr>
              <w:pStyle w:val="CETBodytext"/>
              <w:rPr>
                <w:shd w:val="clear" w:color="auto" w:fill="FFFFFF"/>
              </w:rPr>
            </w:pPr>
            <w:r w:rsidRPr="00155FF8">
              <w:rPr>
                <w:lang w:eastAsia="pt-BR"/>
              </w:rPr>
              <w:t>198 (85</w:t>
            </w:r>
            <w:r>
              <w:rPr>
                <w:lang w:eastAsia="pt-BR"/>
              </w:rPr>
              <w:t>.</w:t>
            </w:r>
            <w:r w:rsidRPr="00155FF8">
              <w:rPr>
                <w:lang w:eastAsia="pt-BR"/>
              </w:rPr>
              <w:t>33</w:t>
            </w:r>
            <w:r>
              <w:rPr>
                <w:lang w:eastAsia="pt-BR"/>
              </w:rPr>
              <w:t xml:space="preserve"> </w:t>
            </w:r>
            <w:r w:rsidRPr="00155FF8">
              <w:rPr>
                <w:lang w:eastAsia="pt-BR"/>
              </w:rPr>
              <w:t>%)</w:t>
            </w:r>
          </w:p>
        </w:tc>
        <w:tc>
          <w:tcPr>
            <w:tcW w:w="824" w:type="pct"/>
            <w:tcBorders>
              <w:top w:val="nil"/>
              <w:left w:val="nil"/>
              <w:bottom w:val="nil"/>
              <w:right w:val="nil"/>
            </w:tcBorders>
            <w:shd w:val="clear" w:color="auto" w:fill="FFFFFF"/>
            <w:vAlign w:val="center"/>
          </w:tcPr>
          <w:p w:rsidR="00505114" w:rsidRPr="00155FF8" w:rsidRDefault="00505114" w:rsidP="00BF6BC5">
            <w:pPr>
              <w:pStyle w:val="CETBodytext"/>
              <w:rPr>
                <w:shd w:val="clear" w:color="auto" w:fill="FFFFFF"/>
              </w:rPr>
            </w:pPr>
            <w:r w:rsidRPr="00155FF8">
              <w:rPr>
                <w:lang w:eastAsia="pt-BR"/>
              </w:rPr>
              <w:t>2</w:t>
            </w:r>
            <w:r>
              <w:rPr>
                <w:lang w:eastAsia="pt-BR"/>
              </w:rPr>
              <w:t>,</w:t>
            </w:r>
            <w:r w:rsidRPr="00155FF8">
              <w:rPr>
                <w:lang w:eastAsia="pt-BR"/>
              </w:rPr>
              <w:t>680 (49</w:t>
            </w:r>
            <w:r>
              <w:rPr>
                <w:lang w:eastAsia="pt-BR"/>
              </w:rPr>
              <w:t>.</w:t>
            </w:r>
            <w:r w:rsidRPr="00155FF8">
              <w:rPr>
                <w:lang w:eastAsia="pt-BR"/>
              </w:rPr>
              <w:t>15</w:t>
            </w:r>
            <w:r>
              <w:rPr>
                <w:lang w:eastAsia="pt-BR"/>
              </w:rPr>
              <w:t xml:space="preserve"> </w:t>
            </w:r>
            <w:r w:rsidRPr="00155FF8">
              <w:rPr>
                <w:lang w:eastAsia="pt-BR"/>
              </w:rPr>
              <w:t>%)</w:t>
            </w:r>
          </w:p>
        </w:tc>
        <w:tc>
          <w:tcPr>
            <w:tcW w:w="627" w:type="pct"/>
            <w:tcBorders>
              <w:top w:val="nil"/>
              <w:left w:val="nil"/>
              <w:bottom w:val="nil"/>
              <w:right w:val="nil"/>
            </w:tcBorders>
            <w:shd w:val="clear" w:color="auto" w:fill="FFFFFF"/>
            <w:vAlign w:val="center"/>
          </w:tcPr>
          <w:p w:rsidR="00505114" w:rsidRPr="00155FF8" w:rsidRDefault="00505114" w:rsidP="00BF6BC5">
            <w:pPr>
              <w:pStyle w:val="CETBodytext"/>
              <w:rPr>
                <w:lang w:val="en-GB"/>
              </w:rPr>
            </w:pPr>
            <w:r w:rsidRPr="00155FF8">
              <w:rPr>
                <w:lang w:val="es-ES_tradnl" w:eastAsia="pt-BR"/>
              </w:rPr>
              <w:t>21</w:t>
            </w:r>
            <w:r>
              <w:rPr>
                <w:lang w:val="es-ES_tradnl" w:eastAsia="pt-BR"/>
              </w:rPr>
              <w:t>.</w:t>
            </w:r>
            <w:r w:rsidRPr="00155FF8">
              <w:rPr>
                <w:lang w:val="es-ES_tradnl" w:eastAsia="pt-BR"/>
              </w:rPr>
              <w:t>3 (7</w:t>
            </w:r>
            <w:r>
              <w:rPr>
                <w:lang w:val="es-ES_tradnl" w:eastAsia="pt-BR"/>
              </w:rPr>
              <w:t>.</w:t>
            </w:r>
            <w:r w:rsidRPr="00155FF8">
              <w:rPr>
                <w:lang w:val="es-ES_tradnl" w:eastAsia="pt-BR"/>
              </w:rPr>
              <w:t>39</w:t>
            </w:r>
            <w:r>
              <w:rPr>
                <w:lang w:val="es-ES_tradnl" w:eastAsia="pt-BR"/>
              </w:rPr>
              <w:t xml:space="preserve"> </w:t>
            </w:r>
            <w:r w:rsidRPr="00155FF8">
              <w:rPr>
                <w:lang w:val="es-ES_tradnl" w:eastAsia="pt-BR"/>
              </w:rPr>
              <w:t>%)</w:t>
            </w:r>
          </w:p>
        </w:tc>
      </w:tr>
      <w:tr w:rsidR="00505114" w:rsidRPr="00155FF8" w:rsidTr="00BF6BC5">
        <w:tc>
          <w:tcPr>
            <w:tcW w:w="562" w:type="pct"/>
            <w:tcBorders>
              <w:top w:val="nil"/>
              <w:left w:val="nil"/>
              <w:bottom w:val="nil"/>
              <w:right w:val="nil"/>
            </w:tcBorders>
            <w:shd w:val="clear" w:color="auto" w:fill="FFFFFF"/>
            <w:vAlign w:val="center"/>
          </w:tcPr>
          <w:p w:rsidR="00505114" w:rsidRPr="00155FF8" w:rsidRDefault="00505114" w:rsidP="00BF6BC5">
            <w:pPr>
              <w:pStyle w:val="CETBodytext"/>
              <w:rPr>
                <w:lang w:val="pt-BR"/>
              </w:rPr>
            </w:pPr>
            <w:r w:rsidRPr="00155FF8">
              <w:rPr>
                <w:lang w:val="es-ES_tradnl" w:eastAsia="pt-BR"/>
              </w:rPr>
              <w:t>3</w:t>
            </w:r>
          </w:p>
        </w:tc>
        <w:tc>
          <w:tcPr>
            <w:tcW w:w="245" w:type="pct"/>
            <w:tcBorders>
              <w:top w:val="nil"/>
              <w:left w:val="nil"/>
              <w:bottom w:val="nil"/>
              <w:right w:val="nil"/>
            </w:tcBorders>
            <w:shd w:val="clear" w:color="auto" w:fill="FFFFFF"/>
            <w:vAlign w:val="center"/>
          </w:tcPr>
          <w:p w:rsidR="00505114" w:rsidRPr="00155FF8" w:rsidRDefault="00505114" w:rsidP="00BF6BC5">
            <w:pPr>
              <w:pStyle w:val="CETBodytext"/>
              <w:rPr>
                <w:lang w:val="pt-BR"/>
              </w:rPr>
            </w:pPr>
            <w:r w:rsidRPr="00155FF8">
              <w:rPr>
                <w:lang w:eastAsia="pt-BR"/>
              </w:rPr>
              <w:t>-1</w:t>
            </w:r>
          </w:p>
        </w:tc>
        <w:tc>
          <w:tcPr>
            <w:tcW w:w="484" w:type="pct"/>
            <w:gridSpan w:val="2"/>
            <w:tcBorders>
              <w:top w:val="nil"/>
              <w:left w:val="nil"/>
              <w:bottom w:val="nil"/>
              <w:right w:val="nil"/>
            </w:tcBorders>
            <w:shd w:val="clear" w:color="auto" w:fill="FFFFFF"/>
            <w:vAlign w:val="center"/>
          </w:tcPr>
          <w:p w:rsidR="00505114" w:rsidRPr="00155FF8" w:rsidRDefault="00505114" w:rsidP="00BF6BC5">
            <w:pPr>
              <w:pStyle w:val="CETBodytext"/>
              <w:rPr>
                <w:lang w:val="pt-BR"/>
              </w:rPr>
            </w:pPr>
            <w:r w:rsidRPr="00155FF8">
              <w:rPr>
                <w:lang w:eastAsia="pt-BR"/>
              </w:rPr>
              <w:t>1</w:t>
            </w:r>
          </w:p>
        </w:tc>
        <w:tc>
          <w:tcPr>
            <w:tcW w:w="403" w:type="pct"/>
            <w:tcBorders>
              <w:top w:val="nil"/>
              <w:left w:val="nil"/>
              <w:bottom w:val="nil"/>
              <w:right w:val="nil"/>
            </w:tcBorders>
            <w:shd w:val="clear" w:color="auto" w:fill="FFFFFF"/>
            <w:vAlign w:val="center"/>
          </w:tcPr>
          <w:p w:rsidR="00505114" w:rsidRPr="00155FF8" w:rsidRDefault="00505114" w:rsidP="00BF6BC5">
            <w:pPr>
              <w:pStyle w:val="CETBodytext"/>
              <w:rPr>
                <w:lang w:val="pt-BR"/>
              </w:rPr>
            </w:pPr>
            <w:r w:rsidRPr="00155FF8">
              <w:rPr>
                <w:lang w:eastAsia="pt-BR"/>
              </w:rPr>
              <w:t>2</w:t>
            </w:r>
            <w:r>
              <w:rPr>
                <w:lang w:eastAsia="pt-BR"/>
              </w:rPr>
              <w:t>,</w:t>
            </w:r>
            <w:r w:rsidRPr="00155FF8">
              <w:rPr>
                <w:lang w:eastAsia="pt-BR"/>
              </w:rPr>
              <w:t>100</w:t>
            </w:r>
          </w:p>
        </w:tc>
        <w:tc>
          <w:tcPr>
            <w:tcW w:w="485" w:type="pct"/>
            <w:tcBorders>
              <w:top w:val="nil"/>
              <w:left w:val="nil"/>
              <w:bottom w:val="nil"/>
              <w:right w:val="nil"/>
            </w:tcBorders>
            <w:shd w:val="clear" w:color="auto" w:fill="FFFFFF"/>
            <w:vAlign w:val="center"/>
          </w:tcPr>
          <w:p w:rsidR="00505114" w:rsidRPr="00155FF8" w:rsidRDefault="00505114" w:rsidP="00BF6BC5">
            <w:pPr>
              <w:pStyle w:val="CETBodytext"/>
              <w:rPr>
                <w:lang w:val="pt-BR"/>
              </w:rPr>
            </w:pPr>
            <w:r w:rsidRPr="00155FF8">
              <w:rPr>
                <w:lang w:eastAsia="pt-BR"/>
              </w:rPr>
              <w:t>1</w:t>
            </w:r>
            <w:r>
              <w:rPr>
                <w:lang w:eastAsia="pt-BR"/>
              </w:rPr>
              <w:t>.</w:t>
            </w:r>
            <w:r w:rsidRPr="00155FF8">
              <w:rPr>
                <w:lang w:eastAsia="pt-BR"/>
              </w:rPr>
              <w:t>5</w:t>
            </w:r>
          </w:p>
        </w:tc>
        <w:tc>
          <w:tcPr>
            <w:tcW w:w="725" w:type="pct"/>
            <w:tcBorders>
              <w:top w:val="nil"/>
              <w:left w:val="nil"/>
              <w:bottom w:val="nil"/>
              <w:right w:val="nil"/>
            </w:tcBorders>
            <w:shd w:val="clear" w:color="auto" w:fill="FFFFFF"/>
            <w:vAlign w:val="center"/>
          </w:tcPr>
          <w:p w:rsidR="00505114" w:rsidRPr="00155FF8" w:rsidRDefault="00505114" w:rsidP="00BF6BC5">
            <w:pPr>
              <w:pStyle w:val="CETBodytext"/>
              <w:rPr>
                <w:shd w:val="clear" w:color="auto" w:fill="FFFFFF"/>
                <w:lang w:val="pt-BR"/>
              </w:rPr>
            </w:pPr>
            <w:r w:rsidRPr="00155FF8">
              <w:rPr>
                <w:lang w:val="es-ES_tradnl" w:eastAsia="pt-BR"/>
              </w:rPr>
              <w:t>1</w:t>
            </w:r>
            <w:r>
              <w:rPr>
                <w:lang w:val="es-ES_tradnl" w:eastAsia="pt-BR"/>
              </w:rPr>
              <w:t>,</w:t>
            </w:r>
            <w:r w:rsidRPr="00155FF8">
              <w:rPr>
                <w:lang w:val="es-ES_tradnl" w:eastAsia="pt-BR"/>
              </w:rPr>
              <w:t>740 (22</w:t>
            </w:r>
            <w:r>
              <w:rPr>
                <w:lang w:val="es-ES_tradnl" w:eastAsia="pt-BR"/>
              </w:rPr>
              <w:t>.</w:t>
            </w:r>
            <w:r w:rsidRPr="00155FF8">
              <w:rPr>
                <w:lang w:val="es-ES_tradnl" w:eastAsia="pt-BR"/>
              </w:rPr>
              <w:t>32</w:t>
            </w:r>
            <w:r>
              <w:rPr>
                <w:lang w:val="es-ES_tradnl" w:eastAsia="pt-BR"/>
              </w:rPr>
              <w:t xml:space="preserve"> </w:t>
            </w:r>
            <w:r w:rsidRPr="00155FF8">
              <w:rPr>
                <w:lang w:val="es-ES_tradnl" w:eastAsia="pt-BR"/>
              </w:rPr>
              <w:t>%)</w:t>
            </w:r>
          </w:p>
        </w:tc>
        <w:tc>
          <w:tcPr>
            <w:tcW w:w="645" w:type="pct"/>
            <w:tcBorders>
              <w:top w:val="nil"/>
              <w:left w:val="nil"/>
              <w:bottom w:val="nil"/>
              <w:right w:val="nil"/>
            </w:tcBorders>
            <w:shd w:val="clear" w:color="auto" w:fill="FFFFFF"/>
            <w:vAlign w:val="center"/>
          </w:tcPr>
          <w:p w:rsidR="00505114" w:rsidRPr="00155FF8" w:rsidRDefault="00505114" w:rsidP="00BF6BC5">
            <w:pPr>
              <w:pStyle w:val="CETBodytext"/>
              <w:rPr>
                <w:shd w:val="clear" w:color="auto" w:fill="FFFFFF"/>
                <w:lang w:val="pt-BR"/>
              </w:rPr>
            </w:pPr>
            <w:r w:rsidRPr="00155FF8">
              <w:rPr>
                <w:lang w:val="es-ES_tradnl" w:eastAsia="pt-BR"/>
              </w:rPr>
              <w:t>205 (84</w:t>
            </w:r>
            <w:r>
              <w:rPr>
                <w:lang w:val="es-ES_tradnl" w:eastAsia="pt-BR"/>
              </w:rPr>
              <w:t>.</w:t>
            </w:r>
            <w:r w:rsidRPr="00155FF8">
              <w:rPr>
                <w:lang w:val="es-ES_tradnl" w:eastAsia="pt-BR"/>
              </w:rPr>
              <w:t>81</w:t>
            </w:r>
            <w:r>
              <w:rPr>
                <w:lang w:val="es-ES_tradnl" w:eastAsia="pt-BR"/>
              </w:rPr>
              <w:t xml:space="preserve"> </w:t>
            </w:r>
            <w:r w:rsidRPr="00155FF8">
              <w:rPr>
                <w:lang w:val="es-ES_tradnl" w:eastAsia="pt-BR"/>
              </w:rPr>
              <w:t>%)</w:t>
            </w:r>
          </w:p>
        </w:tc>
        <w:tc>
          <w:tcPr>
            <w:tcW w:w="824" w:type="pct"/>
            <w:tcBorders>
              <w:top w:val="nil"/>
              <w:left w:val="nil"/>
              <w:bottom w:val="nil"/>
              <w:right w:val="nil"/>
            </w:tcBorders>
            <w:shd w:val="clear" w:color="auto" w:fill="FFFFFF"/>
            <w:vAlign w:val="center"/>
          </w:tcPr>
          <w:p w:rsidR="00505114" w:rsidRPr="00155FF8" w:rsidRDefault="00505114" w:rsidP="00BF6BC5">
            <w:pPr>
              <w:pStyle w:val="CETBodytext"/>
              <w:rPr>
                <w:shd w:val="clear" w:color="auto" w:fill="FFFFFF"/>
                <w:lang w:val="pt-BR"/>
              </w:rPr>
            </w:pPr>
            <w:r w:rsidRPr="00155FF8">
              <w:rPr>
                <w:lang w:val="es-ES_tradnl" w:eastAsia="pt-BR"/>
              </w:rPr>
              <w:t>3</w:t>
            </w:r>
            <w:r>
              <w:rPr>
                <w:lang w:val="es-ES_tradnl" w:eastAsia="pt-BR"/>
              </w:rPr>
              <w:t>,</w:t>
            </w:r>
            <w:r w:rsidRPr="00155FF8">
              <w:rPr>
                <w:lang w:val="es-ES_tradnl" w:eastAsia="pt-BR"/>
              </w:rPr>
              <w:t>160 (40</w:t>
            </w:r>
            <w:r>
              <w:rPr>
                <w:lang w:val="es-ES_tradnl" w:eastAsia="pt-BR"/>
              </w:rPr>
              <w:t>.</w:t>
            </w:r>
            <w:r w:rsidRPr="00155FF8">
              <w:rPr>
                <w:lang w:val="es-ES_tradnl" w:eastAsia="pt-BR"/>
              </w:rPr>
              <w:t>04</w:t>
            </w:r>
            <w:r>
              <w:rPr>
                <w:lang w:val="es-ES_tradnl" w:eastAsia="pt-BR"/>
              </w:rPr>
              <w:t xml:space="preserve"> </w:t>
            </w:r>
            <w:r w:rsidRPr="00155FF8">
              <w:rPr>
                <w:lang w:val="es-ES_tradnl" w:eastAsia="pt-BR"/>
              </w:rPr>
              <w:t>%)</w:t>
            </w:r>
          </w:p>
        </w:tc>
        <w:tc>
          <w:tcPr>
            <w:tcW w:w="627" w:type="pct"/>
            <w:tcBorders>
              <w:top w:val="nil"/>
              <w:left w:val="nil"/>
              <w:bottom w:val="nil"/>
              <w:right w:val="nil"/>
            </w:tcBorders>
            <w:shd w:val="clear" w:color="auto" w:fill="FFFFFF"/>
            <w:vAlign w:val="center"/>
          </w:tcPr>
          <w:p w:rsidR="00505114" w:rsidRPr="00155FF8" w:rsidRDefault="00505114" w:rsidP="00BF6BC5">
            <w:pPr>
              <w:pStyle w:val="CETBodytext"/>
              <w:rPr>
                <w:lang w:val="pt-BR"/>
              </w:rPr>
            </w:pPr>
            <w:r w:rsidRPr="00155FF8">
              <w:rPr>
                <w:lang w:val="es-ES_tradnl" w:eastAsia="pt-BR"/>
              </w:rPr>
              <w:t>20</w:t>
            </w:r>
            <w:r>
              <w:rPr>
                <w:lang w:val="es-ES_tradnl" w:eastAsia="pt-BR"/>
              </w:rPr>
              <w:t>.</w:t>
            </w:r>
            <w:r w:rsidRPr="00155FF8">
              <w:rPr>
                <w:lang w:val="es-ES_tradnl" w:eastAsia="pt-BR"/>
              </w:rPr>
              <w:t>9 (9</w:t>
            </w:r>
            <w:r>
              <w:rPr>
                <w:lang w:val="es-ES_tradnl" w:eastAsia="pt-BR"/>
              </w:rPr>
              <w:t>.</w:t>
            </w:r>
            <w:r w:rsidRPr="00155FF8">
              <w:rPr>
                <w:lang w:val="es-ES_tradnl" w:eastAsia="pt-BR"/>
              </w:rPr>
              <w:t>13</w:t>
            </w:r>
            <w:r>
              <w:rPr>
                <w:lang w:val="es-ES_tradnl" w:eastAsia="pt-BR"/>
              </w:rPr>
              <w:t xml:space="preserve"> </w:t>
            </w:r>
            <w:r w:rsidRPr="00155FF8">
              <w:rPr>
                <w:lang w:val="es-ES_tradnl" w:eastAsia="pt-BR"/>
              </w:rPr>
              <w:t>%)</w:t>
            </w:r>
          </w:p>
        </w:tc>
      </w:tr>
      <w:tr w:rsidR="00505114" w:rsidRPr="00155FF8" w:rsidTr="00BF6BC5">
        <w:tc>
          <w:tcPr>
            <w:tcW w:w="562" w:type="pct"/>
            <w:tcBorders>
              <w:top w:val="nil"/>
              <w:left w:val="nil"/>
              <w:bottom w:val="nil"/>
              <w:right w:val="nil"/>
            </w:tcBorders>
            <w:shd w:val="clear" w:color="auto" w:fill="FFFFFF"/>
            <w:vAlign w:val="center"/>
          </w:tcPr>
          <w:p w:rsidR="00505114" w:rsidRPr="00155FF8" w:rsidRDefault="00505114" w:rsidP="00BF6BC5">
            <w:pPr>
              <w:pStyle w:val="CETBodytext"/>
              <w:rPr>
                <w:lang w:val="en-GB"/>
              </w:rPr>
            </w:pPr>
            <w:r w:rsidRPr="00155FF8">
              <w:rPr>
                <w:lang w:val="es-ES_tradnl" w:eastAsia="pt-BR"/>
              </w:rPr>
              <w:t>4</w:t>
            </w:r>
          </w:p>
        </w:tc>
        <w:tc>
          <w:tcPr>
            <w:tcW w:w="245" w:type="pct"/>
            <w:tcBorders>
              <w:top w:val="nil"/>
              <w:left w:val="nil"/>
              <w:bottom w:val="nil"/>
              <w:right w:val="nil"/>
            </w:tcBorders>
            <w:shd w:val="clear" w:color="auto" w:fill="FFFFFF"/>
            <w:vAlign w:val="center"/>
          </w:tcPr>
          <w:p w:rsidR="00505114" w:rsidRPr="00155FF8" w:rsidRDefault="00505114" w:rsidP="00BF6BC5">
            <w:pPr>
              <w:pStyle w:val="CETBodytext"/>
              <w:rPr>
                <w:shd w:val="clear" w:color="auto" w:fill="FFFFFF"/>
              </w:rPr>
            </w:pPr>
            <w:r w:rsidRPr="00155FF8">
              <w:rPr>
                <w:lang w:eastAsia="pt-BR"/>
              </w:rPr>
              <w:t>1</w:t>
            </w:r>
          </w:p>
        </w:tc>
        <w:tc>
          <w:tcPr>
            <w:tcW w:w="484" w:type="pct"/>
            <w:gridSpan w:val="2"/>
            <w:tcBorders>
              <w:top w:val="nil"/>
              <w:left w:val="nil"/>
              <w:bottom w:val="nil"/>
              <w:right w:val="nil"/>
            </w:tcBorders>
            <w:shd w:val="clear" w:color="auto" w:fill="FFFFFF"/>
            <w:vAlign w:val="center"/>
          </w:tcPr>
          <w:p w:rsidR="00505114" w:rsidRPr="00155FF8" w:rsidRDefault="00505114" w:rsidP="00BF6BC5">
            <w:pPr>
              <w:pStyle w:val="CETBodytext"/>
              <w:rPr>
                <w:shd w:val="clear" w:color="auto" w:fill="FFFFFF"/>
              </w:rPr>
            </w:pPr>
            <w:r w:rsidRPr="00155FF8">
              <w:rPr>
                <w:lang w:eastAsia="pt-BR"/>
              </w:rPr>
              <w:t>1</w:t>
            </w:r>
          </w:p>
        </w:tc>
        <w:tc>
          <w:tcPr>
            <w:tcW w:w="403" w:type="pct"/>
            <w:tcBorders>
              <w:top w:val="nil"/>
              <w:left w:val="nil"/>
              <w:bottom w:val="nil"/>
              <w:right w:val="nil"/>
            </w:tcBorders>
            <w:shd w:val="clear" w:color="auto" w:fill="FFFFFF"/>
            <w:vAlign w:val="center"/>
          </w:tcPr>
          <w:p w:rsidR="00505114" w:rsidRPr="00155FF8" w:rsidRDefault="00505114" w:rsidP="00BF6BC5">
            <w:pPr>
              <w:pStyle w:val="CETBodytext"/>
              <w:rPr>
                <w:shd w:val="clear" w:color="auto" w:fill="FFFFFF"/>
              </w:rPr>
            </w:pPr>
            <w:r w:rsidRPr="00155FF8">
              <w:rPr>
                <w:lang w:eastAsia="pt-BR"/>
              </w:rPr>
              <w:t>2</w:t>
            </w:r>
            <w:r>
              <w:rPr>
                <w:lang w:eastAsia="pt-BR"/>
              </w:rPr>
              <w:t>,</w:t>
            </w:r>
            <w:r w:rsidRPr="00155FF8">
              <w:rPr>
                <w:lang w:eastAsia="pt-BR"/>
              </w:rPr>
              <w:t>700</w:t>
            </w:r>
          </w:p>
        </w:tc>
        <w:tc>
          <w:tcPr>
            <w:tcW w:w="485" w:type="pct"/>
            <w:tcBorders>
              <w:top w:val="nil"/>
              <w:left w:val="nil"/>
              <w:bottom w:val="nil"/>
              <w:right w:val="nil"/>
            </w:tcBorders>
            <w:shd w:val="clear" w:color="auto" w:fill="FFFFFF"/>
            <w:vAlign w:val="center"/>
          </w:tcPr>
          <w:p w:rsidR="00505114" w:rsidRPr="00155FF8" w:rsidRDefault="00505114" w:rsidP="00BF6BC5">
            <w:pPr>
              <w:pStyle w:val="CETBodytext"/>
              <w:rPr>
                <w:shd w:val="clear" w:color="auto" w:fill="FFFFFF"/>
              </w:rPr>
            </w:pPr>
            <w:r w:rsidRPr="00155FF8">
              <w:rPr>
                <w:lang w:eastAsia="pt-BR"/>
              </w:rPr>
              <w:t>1</w:t>
            </w:r>
            <w:r>
              <w:rPr>
                <w:lang w:eastAsia="pt-BR"/>
              </w:rPr>
              <w:t>.</w:t>
            </w:r>
            <w:r w:rsidRPr="00155FF8">
              <w:rPr>
                <w:lang w:eastAsia="pt-BR"/>
              </w:rPr>
              <w:t>5</w:t>
            </w:r>
          </w:p>
        </w:tc>
        <w:tc>
          <w:tcPr>
            <w:tcW w:w="725" w:type="pct"/>
            <w:tcBorders>
              <w:top w:val="nil"/>
              <w:left w:val="nil"/>
              <w:bottom w:val="nil"/>
              <w:right w:val="nil"/>
            </w:tcBorders>
            <w:shd w:val="clear" w:color="auto" w:fill="FFFFFF"/>
            <w:vAlign w:val="center"/>
          </w:tcPr>
          <w:p w:rsidR="00505114" w:rsidRPr="00155FF8" w:rsidRDefault="00505114" w:rsidP="00BF6BC5">
            <w:pPr>
              <w:pStyle w:val="CETBodytext"/>
              <w:rPr>
                <w:shd w:val="clear" w:color="auto" w:fill="FFFFFF"/>
              </w:rPr>
            </w:pPr>
            <w:r w:rsidRPr="00155FF8">
              <w:rPr>
                <w:i/>
                <w:iCs/>
                <w:lang w:val="es-ES_tradnl" w:eastAsia="pt-BR"/>
              </w:rPr>
              <w:t>1</w:t>
            </w:r>
            <w:r>
              <w:rPr>
                <w:i/>
                <w:iCs/>
                <w:lang w:val="es-ES_tradnl" w:eastAsia="pt-BR"/>
              </w:rPr>
              <w:t>,</w:t>
            </w:r>
            <w:r w:rsidRPr="00155FF8">
              <w:rPr>
                <w:i/>
                <w:iCs/>
                <w:lang w:val="es-ES_tradnl" w:eastAsia="pt-BR"/>
              </w:rPr>
              <w:t>900 (15</w:t>
            </w:r>
            <w:r>
              <w:rPr>
                <w:i/>
                <w:iCs/>
                <w:lang w:val="es-ES_tradnl" w:eastAsia="pt-BR"/>
              </w:rPr>
              <w:t>.</w:t>
            </w:r>
            <w:r w:rsidRPr="00155FF8">
              <w:rPr>
                <w:i/>
                <w:iCs/>
                <w:lang w:val="es-ES_tradnl" w:eastAsia="pt-BR"/>
              </w:rPr>
              <w:t>18</w:t>
            </w:r>
            <w:r>
              <w:rPr>
                <w:i/>
                <w:iCs/>
                <w:lang w:val="es-ES_tradnl" w:eastAsia="pt-BR"/>
              </w:rPr>
              <w:t xml:space="preserve"> </w:t>
            </w:r>
            <w:r w:rsidRPr="00155FF8">
              <w:rPr>
                <w:i/>
                <w:iCs/>
                <w:lang w:val="es-ES_tradnl" w:eastAsia="pt-BR"/>
              </w:rPr>
              <w:t>%)</w:t>
            </w:r>
          </w:p>
        </w:tc>
        <w:tc>
          <w:tcPr>
            <w:tcW w:w="645" w:type="pct"/>
            <w:tcBorders>
              <w:top w:val="nil"/>
              <w:left w:val="nil"/>
              <w:bottom w:val="nil"/>
              <w:right w:val="nil"/>
            </w:tcBorders>
            <w:shd w:val="clear" w:color="auto" w:fill="FFFFFF"/>
            <w:vAlign w:val="center"/>
          </w:tcPr>
          <w:p w:rsidR="00505114" w:rsidRPr="00155FF8" w:rsidRDefault="00505114" w:rsidP="00BF6BC5">
            <w:pPr>
              <w:pStyle w:val="CETBodytext"/>
              <w:rPr>
                <w:shd w:val="clear" w:color="auto" w:fill="FFFFFF"/>
              </w:rPr>
            </w:pPr>
            <w:r w:rsidRPr="00155FF8">
              <w:rPr>
                <w:lang w:val="es-ES_tradnl" w:eastAsia="pt-BR"/>
              </w:rPr>
              <w:t>193 (85</w:t>
            </w:r>
            <w:r>
              <w:rPr>
                <w:lang w:val="es-ES_tradnl" w:eastAsia="pt-BR"/>
              </w:rPr>
              <w:t>.</w:t>
            </w:r>
            <w:r w:rsidRPr="00155FF8">
              <w:rPr>
                <w:lang w:val="es-ES_tradnl" w:eastAsia="pt-BR"/>
              </w:rPr>
              <w:t>70</w:t>
            </w:r>
            <w:r>
              <w:rPr>
                <w:lang w:val="es-ES_tradnl" w:eastAsia="pt-BR"/>
              </w:rPr>
              <w:t xml:space="preserve"> </w:t>
            </w:r>
            <w:r w:rsidRPr="00155FF8">
              <w:rPr>
                <w:lang w:val="es-ES_tradnl" w:eastAsia="pt-BR"/>
              </w:rPr>
              <w:t>%)</w:t>
            </w:r>
          </w:p>
        </w:tc>
        <w:tc>
          <w:tcPr>
            <w:tcW w:w="824" w:type="pct"/>
            <w:tcBorders>
              <w:top w:val="nil"/>
              <w:left w:val="nil"/>
              <w:bottom w:val="nil"/>
              <w:right w:val="nil"/>
            </w:tcBorders>
            <w:shd w:val="clear" w:color="auto" w:fill="FFFFFF"/>
            <w:vAlign w:val="center"/>
          </w:tcPr>
          <w:p w:rsidR="00505114" w:rsidRPr="00155FF8" w:rsidRDefault="00505114" w:rsidP="00BF6BC5">
            <w:pPr>
              <w:pStyle w:val="CETBodytext"/>
              <w:rPr>
                <w:shd w:val="clear" w:color="auto" w:fill="FFFFFF"/>
              </w:rPr>
            </w:pPr>
            <w:r w:rsidRPr="00155FF8">
              <w:rPr>
                <w:i/>
                <w:iCs/>
                <w:lang w:val="es-ES_tradnl" w:eastAsia="pt-BR"/>
              </w:rPr>
              <w:t>3</w:t>
            </w:r>
            <w:r>
              <w:rPr>
                <w:i/>
                <w:iCs/>
                <w:lang w:val="es-ES_tradnl" w:eastAsia="pt-BR"/>
              </w:rPr>
              <w:t>,</w:t>
            </w:r>
            <w:r w:rsidRPr="00155FF8">
              <w:rPr>
                <w:i/>
                <w:iCs/>
                <w:lang w:val="es-ES_tradnl" w:eastAsia="pt-BR"/>
              </w:rPr>
              <w:t>820 (27</w:t>
            </w:r>
            <w:r>
              <w:rPr>
                <w:i/>
                <w:iCs/>
                <w:lang w:val="es-ES_tradnl" w:eastAsia="pt-BR"/>
              </w:rPr>
              <w:t>.</w:t>
            </w:r>
            <w:r w:rsidRPr="00155FF8">
              <w:rPr>
                <w:i/>
                <w:iCs/>
                <w:lang w:val="es-ES_tradnl" w:eastAsia="pt-BR"/>
              </w:rPr>
              <w:t>51</w:t>
            </w:r>
            <w:r>
              <w:rPr>
                <w:i/>
                <w:iCs/>
                <w:lang w:val="es-ES_tradnl" w:eastAsia="pt-BR"/>
              </w:rPr>
              <w:t xml:space="preserve"> </w:t>
            </w:r>
            <w:r w:rsidRPr="00155FF8">
              <w:rPr>
                <w:i/>
                <w:iCs/>
                <w:lang w:val="es-ES_tradnl" w:eastAsia="pt-BR"/>
              </w:rPr>
              <w:t>%)</w:t>
            </w:r>
          </w:p>
        </w:tc>
        <w:tc>
          <w:tcPr>
            <w:tcW w:w="627" w:type="pct"/>
            <w:tcBorders>
              <w:top w:val="nil"/>
              <w:left w:val="nil"/>
              <w:bottom w:val="nil"/>
              <w:right w:val="nil"/>
            </w:tcBorders>
            <w:shd w:val="clear" w:color="auto" w:fill="FFFFFF"/>
            <w:vAlign w:val="center"/>
          </w:tcPr>
          <w:p w:rsidR="00505114" w:rsidRPr="00155FF8" w:rsidRDefault="00505114" w:rsidP="00BF6BC5">
            <w:pPr>
              <w:pStyle w:val="CETBodytext"/>
              <w:rPr>
                <w:shd w:val="clear" w:color="auto" w:fill="FFFFFF"/>
              </w:rPr>
            </w:pPr>
            <w:r w:rsidRPr="00155FF8">
              <w:rPr>
                <w:lang w:val="es-ES_tradnl" w:eastAsia="pt-BR"/>
              </w:rPr>
              <w:t>21</w:t>
            </w:r>
            <w:r>
              <w:rPr>
                <w:lang w:val="es-ES_tradnl" w:eastAsia="pt-BR"/>
              </w:rPr>
              <w:t>.</w:t>
            </w:r>
            <w:r w:rsidRPr="00155FF8">
              <w:rPr>
                <w:lang w:val="es-ES_tradnl" w:eastAsia="pt-BR"/>
              </w:rPr>
              <w:t>8 (5</w:t>
            </w:r>
            <w:r>
              <w:rPr>
                <w:lang w:val="es-ES_tradnl" w:eastAsia="pt-BR"/>
              </w:rPr>
              <w:t>.</w:t>
            </w:r>
            <w:r w:rsidRPr="00155FF8">
              <w:rPr>
                <w:lang w:val="es-ES_tradnl" w:eastAsia="pt-BR"/>
              </w:rPr>
              <w:t>22</w:t>
            </w:r>
            <w:r>
              <w:rPr>
                <w:lang w:val="es-ES_tradnl" w:eastAsia="pt-BR"/>
              </w:rPr>
              <w:t xml:space="preserve"> </w:t>
            </w:r>
            <w:r w:rsidRPr="00155FF8">
              <w:rPr>
                <w:lang w:val="es-ES_tradnl" w:eastAsia="pt-BR"/>
              </w:rPr>
              <w:t>%)</w:t>
            </w:r>
          </w:p>
        </w:tc>
      </w:tr>
      <w:tr w:rsidR="00505114" w:rsidRPr="00155FF8" w:rsidTr="00BF6BC5">
        <w:tc>
          <w:tcPr>
            <w:tcW w:w="562" w:type="pct"/>
            <w:tcBorders>
              <w:top w:val="nil"/>
              <w:left w:val="nil"/>
              <w:bottom w:val="nil"/>
              <w:right w:val="nil"/>
            </w:tcBorders>
            <w:shd w:val="clear" w:color="auto" w:fill="FFFFFF"/>
            <w:vAlign w:val="center"/>
          </w:tcPr>
          <w:p w:rsidR="00505114" w:rsidRPr="00155FF8" w:rsidRDefault="00505114" w:rsidP="00BF6BC5">
            <w:pPr>
              <w:pStyle w:val="CETBodytext"/>
              <w:rPr>
                <w:lang w:val="en-GB"/>
              </w:rPr>
            </w:pPr>
            <w:r w:rsidRPr="00155FF8">
              <w:rPr>
                <w:lang w:val="es-ES_tradnl" w:eastAsia="pt-BR"/>
              </w:rPr>
              <w:t>5</w:t>
            </w:r>
          </w:p>
        </w:tc>
        <w:tc>
          <w:tcPr>
            <w:tcW w:w="245" w:type="pct"/>
            <w:tcBorders>
              <w:top w:val="nil"/>
              <w:left w:val="nil"/>
              <w:bottom w:val="nil"/>
              <w:right w:val="nil"/>
            </w:tcBorders>
            <w:shd w:val="clear" w:color="auto" w:fill="FFFFFF"/>
            <w:vAlign w:val="center"/>
          </w:tcPr>
          <w:p w:rsidR="00505114" w:rsidRPr="00155FF8" w:rsidRDefault="00505114" w:rsidP="00BF6BC5">
            <w:pPr>
              <w:pStyle w:val="CETBodytext"/>
              <w:rPr>
                <w:shd w:val="clear" w:color="auto" w:fill="FFFFFF"/>
              </w:rPr>
            </w:pPr>
            <w:r w:rsidRPr="00155FF8">
              <w:rPr>
                <w:lang w:eastAsia="pt-BR"/>
              </w:rPr>
              <w:t>0</w:t>
            </w:r>
          </w:p>
        </w:tc>
        <w:tc>
          <w:tcPr>
            <w:tcW w:w="484" w:type="pct"/>
            <w:gridSpan w:val="2"/>
            <w:tcBorders>
              <w:top w:val="nil"/>
              <w:left w:val="nil"/>
              <w:bottom w:val="nil"/>
              <w:right w:val="nil"/>
            </w:tcBorders>
            <w:shd w:val="clear" w:color="auto" w:fill="FFFFFF"/>
            <w:vAlign w:val="center"/>
          </w:tcPr>
          <w:p w:rsidR="00505114" w:rsidRPr="00155FF8" w:rsidRDefault="00505114" w:rsidP="00BF6BC5">
            <w:pPr>
              <w:pStyle w:val="CETBodytext"/>
              <w:rPr>
                <w:shd w:val="clear" w:color="auto" w:fill="FFFFFF"/>
              </w:rPr>
            </w:pPr>
            <w:r w:rsidRPr="00155FF8">
              <w:rPr>
                <w:lang w:eastAsia="pt-BR"/>
              </w:rPr>
              <w:t>0</w:t>
            </w:r>
          </w:p>
        </w:tc>
        <w:tc>
          <w:tcPr>
            <w:tcW w:w="403" w:type="pct"/>
            <w:tcBorders>
              <w:top w:val="nil"/>
              <w:left w:val="nil"/>
              <w:bottom w:val="nil"/>
              <w:right w:val="nil"/>
            </w:tcBorders>
            <w:shd w:val="clear" w:color="auto" w:fill="FFFFFF"/>
            <w:vAlign w:val="center"/>
          </w:tcPr>
          <w:p w:rsidR="00505114" w:rsidRPr="00155FF8" w:rsidRDefault="00505114" w:rsidP="00BF6BC5">
            <w:pPr>
              <w:pStyle w:val="CETBodytext"/>
              <w:rPr>
                <w:shd w:val="clear" w:color="auto" w:fill="FFFFFF"/>
              </w:rPr>
            </w:pPr>
            <w:r w:rsidRPr="00155FF8">
              <w:rPr>
                <w:lang w:eastAsia="pt-BR"/>
              </w:rPr>
              <w:t>2</w:t>
            </w:r>
            <w:r>
              <w:rPr>
                <w:lang w:eastAsia="pt-BR"/>
              </w:rPr>
              <w:t>,</w:t>
            </w:r>
            <w:r w:rsidRPr="00155FF8">
              <w:rPr>
                <w:lang w:eastAsia="pt-BR"/>
              </w:rPr>
              <w:t>400</w:t>
            </w:r>
          </w:p>
        </w:tc>
        <w:tc>
          <w:tcPr>
            <w:tcW w:w="485" w:type="pct"/>
            <w:tcBorders>
              <w:top w:val="nil"/>
              <w:left w:val="nil"/>
              <w:bottom w:val="nil"/>
              <w:right w:val="nil"/>
            </w:tcBorders>
            <w:shd w:val="clear" w:color="auto" w:fill="FFFFFF"/>
            <w:vAlign w:val="center"/>
          </w:tcPr>
          <w:p w:rsidR="00505114" w:rsidRPr="00155FF8" w:rsidRDefault="00505114" w:rsidP="00BF6BC5">
            <w:pPr>
              <w:pStyle w:val="CETBodytext"/>
              <w:rPr>
                <w:shd w:val="clear" w:color="auto" w:fill="FFFFFF"/>
              </w:rPr>
            </w:pPr>
            <w:r w:rsidRPr="00155FF8">
              <w:rPr>
                <w:lang w:eastAsia="pt-BR"/>
              </w:rPr>
              <w:t>1</w:t>
            </w:r>
          </w:p>
        </w:tc>
        <w:tc>
          <w:tcPr>
            <w:tcW w:w="725" w:type="pct"/>
            <w:tcBorders>
              <w:top w:val="nil"/>
              <w:left w:val="nil"/>
              <w:bottom w:val="nil"/>
              <w:right w:val="nil"/>
            </w:tcBorders>
            <w:shd w:val="clear" w:color="auto" w:fill="FFFFFF"/>
            <w:vAlign w:val="center"/>
          </w:tcPr>
          <w:p w:rsidR="00505114" w:rsidRPr="00155FF8" w:rsidRDefault="00505114" w:rsidP="00BF6BC5">
            <w:pPr>
              <w:pStyle w:val="CETBodytext"/>
              <w:rPr>
                <w:shd w:val="clear" w:color="auto" w:fill="FFFFFF"/>
              </w:rPr>
            </w:pPr>
            <w:r w:rsidRPr="00155FF8">
              <w:rPr>
                <w:lang w:val="es-ES_tradnl" w:eastAsia="pt-BR"/>
              </w:rPr>
              <w:t>770 (65</w:t>
            </w:r>
            <w:r>
              <w:rPr>
                <w:lang w:val="es-ES_tradnl" w:eastAsia="pt-BR"/>
              </w:rPr>
              <w:t>.</w:t>
            </w:r>
            <w:r w:rsidRPr="00155FF8">
              <w:rPr>
                <w:lang w:val="es-ES_tradnl" w:eastAsia="pt-BR"/>
              </w:rPr>
              <w:t>63</w:t>
            </w:r>
            <w:r>
              <w:rPr>
                <w:lang w:val="es-ES_tradnl" w:eastAsia="pt-BR"/>
              </w:rPr>
              <w:t xml:space="preserve"> </w:t>
            </w:r>
            <w:r w:rsidRPr="00155FF8">
              <w:rPr>
                <w:lang w:val="es-ES_tradnl" w:eastAsia="pt-BR"/>
              </w:rPr>
              <w:t>%)</w:t>
            </w:r>
          </w:p>
        </w:tc>
        <w:tc>
          <w:tcPr>
            <w:tcW w:w="645" w:type="pct"/>
            <w:tcBorders>
              <w:top w:val="nil"/>
              <w:left w:val="nil"/>
              <w:bottom w:val="nil"/>
              <w:right w:val="nil"/>
            </w:tcBorders>
            <w:shd w:val="clear" w:color="auto" w:fill="FFFFFF"/>
            <w:vAlign w:val="center"/>
          </w:tcPr>
          <w:p w:rsidR="00505114" w:rsidRPr="00155FF8" w:rsidRDefault="00505114" w:rsidP="00BF6BC5">
            <w:pPr>
              <w:pStyle w:val="CETBodytext"/>
              <w:rPr>
                <w:shd w:val="clear" w:color="auto" w:fill="FFFFFF"/>
              </w:rPr>
            </w:pPr>
            <w:r w:rsidRPr="00155FF8">
              <w:rPr>
                <w:lang w:val="es-ES_tradnl" w:eastAsia="pt-BR"/>
              </w:rPr>
              <w:t>194 (85</w:t>
            </w:r>
            <w:r>
              <w:rPr>
                <w:lang w:val="es-ES_tradnl" w:eastAsia="pt-BR"/>
              </w:rPr>
              <w:t>.</w:t>
            </w:r>
            <w:r w:rsidRPr="00155FF8">
              <w:rPr>
                <w:lang w:val="es-ES_tradnl" w:eastAsia="pt-BR"/>
              </w:rPr>
              <w:t>63</w:t>
            </w:r>
            <w:r>
              <w:rPr>
                <w:lang w:val="es-ES_tradnl" w:eastAsia="pt-BR"/>
              </w:rPr>
              <w:t xml:space="preserve"> </w:t>
            </w:r>
            <w:r w:rsidRPr="00155FF8">
              <w:rPr>
                <w:lang w:val="es-ES_tradnl" w:eastAsia="pt-BR"/>
              </w:rPr>
              <w:t>%)</w:t>
            </w:r>
          </w:p>
        </w:tc>
        <w:tc>
          <w:tcPr>
            <w:tcW w:w="824" w:type="pct"/>
            <w:tcBorders>
              <w:top w:val="nil"/>
              <w:left w:val="nil"/>
              <w:bottom w:val="nil"/>
              <w:right w:val="nil"/>
            </w:tcBorders>
            <w:shd w:val="clear" w:color="auto" w:fill="FFFFFF"/>
            <w:vAlign w:val="center"/>
          </w:tcPr>
          <w:p w:rsidR="00505114" w:rsidRPr="00155FF8" w:rsidRDefault="00505114" w:rsidP="00BF6BC5">
            <w:pPr>
              <w:pStyle w:val="CETBodytext"/>
              <w:rPr>
                <w:shd w:val="clear" w:color="auto" w:fill="FFFFFF"/>
              </w:rPr>
            </w:pPr>
            <w:r w:rsidRPr="00155FF8">
              <w:rPr>
                <w:lang w:val="es-ES_tradnl" w:eastAsia="pt-BR"/>
              </w:rPr>
              <w:t>2</w:t>
            </w:r>
            <w:r>
              <w:rPr>
                <w:lang w:val="es-ES_tradnl" w:eastAsia="pt-BR"/>
              </w:rPr>
              <w:t>,</w:t>
            </w:r>
            <w:r w:rsidRPr="00155FF8">
              <w:rPr>
                <w:lang w:val="es-ES_tradnl" w:eastAsia="pt-BR"/>
              </w:rPr>
              <w:t>390 (54</w:t>
            </w:r>
            <w:r>
              <w:rPr>
                <w:lang w:val="es-ES_tradnl" w:eastAsia="pt-BR"/>
              </w:rPr>
              <w:t>.</w:t>
            </w:r>
            <w:r w:rsidRPr="00155FF8">
              <w:rPr>
                <w:lang w:val="es-ES_tradnl" w:eastAsia="pt-BR"/>
              </w:rPr>
              <w:t>65</w:t>
            </w:r>
            <w:r>
              <w:rPr>
                <w:lang w:val="es-ES_tradnl" w:eastAsia="pt-BR"/>
              </w:rPr>
              <w:t xml:space="preserve"> </w:t>
            </w:r>
            <w:r w:rsidRPr="00155FF8">
              <w:rPr>
                <w:lang w:val="es-ES_tradnl" w:eastAsia="pt-BR"/>
              </w:rPr>
              <w:t>%)</w:t>
            </w:r>
          </w:p>
        </w:tc>
        <w:tc>
          <w:tcPr>
            <w:tcW w:w="627" w:type="pct"/>
            <w:tcBorders>
              <w:top w:val="nil"/>
              <w:left w:val="nil"/>
              <w:bottom w:val="nil"/>
              <w:right w:val="nil"/>
            </w:tcBorders>
            <w:shd w:val="clear" w:color="auto" w:fill="FFFFFF"/>
            <w:vAlign w:val="center"/>
          </w:tcPr>
          <w:p w:rsidR="00505114" w:rsidRPr="00155FF8" w:rsidRDefault="00505114" w:rsidP="00BF6BC5">
            <w:pPr>
              <w:pStyle w:val="CETBodytext"/>
              <w:rPr>
                <w:shd w:val="clear" w:color="auto" w:fill="FFFFFF"/>
              </w:rPr>
            </w:pPr>
            <w:r w:rsidRPr="00155FF8">
              <w:rPr>
                <w:lang w:val="es-ES_tradnl" w:eastAsia="pt-BR"/>
              </w:rPr>
              <w:t>21 (8</w:t>
            </w:r>
            <w:r>
              <w:rPr>
                <w:lang w:val="es-ES_tradnl" w:eastAsia="pt-BR"/>
              </w:rPr>
              <w:t>.</w:t>
            </w:r>
            <w:r w:rsidRPr="00155FF8">
              <w:rPr>
                <w:lang w:val="es-ES_tradnl" w:eastAsia="pt-BR"/>
              </w:rPr>
              <w:t>70</w:t>
            </w:r>
            <w:r>
              <w:rPr>
                <w:lang w:val="es-ES_tradnl" w:eastAsia="pt-BR"/>
              </w:rPr>
              <w:t xml:space="preserve"> </w:t>
            </w:r>
            <w:r w:rsidRPr="00155FF8">
              <w:rPr>
                <w:lang w:val="es-ES_tradnl" w:eastAsia="pt-BR"/>
              </w:rPr>
              <w:t>%)</w:t>
            </w:r>
          </w:p>
        </w:tc>
      </w:tr>
      <w:tr w:rsidR="00505114" w:rsidRPr="00155FF8" w:rsidTr="00BF6BC5">
        <w:tc>
          <w:tcPr>
            <w:tcW w:w="562" w:type="pct"/>
            <w:tcBorders>
              <w:top w:val="nil"/>
              <w:left w:val="nil"/>
              <w:bottom w:val="nil"/>
              <w:right w:val="nil"/>
            </w:tcBorders>
            <w:shd w:val="clear" w:color="auto" w:fill="FFFFFF"/>
            <w:vAlign w:val="center"/>
          </w:tcPr>
          <w:p w:rsidR="00505114" w:rsidRPr="00155FF8" w:rsidRDefault="00505114" w:rsidP="00BF6BC5">
            <w:pPr>
              <w:pStyle w:val="CETBodytext"/>
              <w:rPr>
                <w:lang w:val="en-GB"/>
              </w:rPr>
            </w:pPr>
            <w:r w:rsidRPr="00155FF8">
              <w:rPr>
                <w:lang w:eastAsia="pt-BR"/>
              </w:rPr>
              <w:t>6</w:t>
            </w:r>
          </w:p>
        </w:tc>
        <w:tc>
          <w:tcPr>
            <w:tcW w:w="245" w:type="pct"/>
            <w:tcBorders>
              <w:top w:val="nil"/>
              <w:left w:val="nil"/>
              <w:bottom w:val="nil"/>
              <w:right w:val="nil"/>
            </w:tcBorders>
            <w:shd w:val="clear" w:color="auto" w:fill="FFFFFF"/>
            <w:vAlign w:val="center"/>
          </w:tcPr>
          <w:p w:rsidR="00505114" w:rsidRPr="00155FF8" w:rsidRDefault="00505114" w:rsidP="00BF6BC5">
            <w:pPr>
              <w:pStyle w:val="CETBodytext"/>
              <w:rPr>
                <w:shd w:val="clear" w:color="auto" w:fill="FFFFFF"/>
              </w:rPr>
            </w:pPr>
            <w:r w:rsidRPr="00155FF8">
              <w:rPr>
                <w:lang w:eastAsia="pt-BR"/>
              </w:rPr>
              <w:t>0</w:t>
            </w:r>
          </w:p>
        </w:tc>
        <w:tc>
          <w:tcPr>
            <w:tcW w:w="484" w:type="pct"/>
            <w:gridSpan w:val="2"/>
            <w:tcBorders>
              <w:top w:val="nil"/>
              <w:left w:val="nil"/>
              <w:bottom w:val="nil"/>
              <w:right w:val="nil"/>
            </w:tcBorders>
            <w:shd w:val="clear" w:color="auto" w:fill="FFFFFF"/>
            <w:vAlign w:val="center"/>
          </w:tcPr>
          <w:p w:rsidR="00505114" w:rsidRPr="00155FF8" w:rsidRDefault="00505114" w:rsidP="00BF6BC5">
            <w:pPr>
              <w:pStyle w:val="CETBodytext"/>
              <w:rPr>
                <w:shd w:val="clear" w:color="auto" w:fill="FFFFFF"/>
              </w:rPr>
            </w:pPr>
            <w:r w:rsidRPr="00155FF8">
              <w:rPr>
                <w:lang w:eastAsia="pt-BR"/>
              </w:rPr>
              <w:t>0</w:t>
            </w:r>
          </w:p>
        </w:tc>
        <w:tc>
          <w:tcPr>
            <w:tcW w:w="403" w:type="pct"/>
            <w:tcBorders>
              <w:top w:val="nil"/>
              <w:left w:val="nil"/>
              <w:bottom w:val="nil"/>
              <w:right w:val="nil"/>
            </w:tcBorders>
            <w:shd w:val="clear" w:color="auto" w:fill="FFFFFF"/>
            <w:vAlign w:val="center"/>
          </w:tcPr>
          <w:p w:rsidR="00505114" w:rsidRPr="00155FF8" w:rsidRDefault="00505114" w:rsidP="00BF6BC5">
            <w:pPr>
              <w:pStyle w:val="CETBodytext"/>
              <w:rPr>
                <w:shd w:val="clear" w:color="auto" w:fill="FFFFFF"/>
              </w:rPr>
            </w:pPr>
            <w:r w:rsidRPr="00155FF8">
              <w:rPr>
                <w:lang w:eastAsia="pt-BR"/>
              </w:rPr>
              <w:t>2</w:t>
            </w:r>
            <w:r>
              <w:rPr>
                <w:lang w:eastAsia="pt-BR"/>
              </w:rPr>
              <w:t>,</w:t>
            </w:r>
            <w:r w:rsidRPr="00155FF8">
              <w:rPr>
                <w:lang w:eastAsia="pt-BR"/>
              </w:rPr>
              <w:t>400</w:t>
            </w:r>
          </w:p>
        </w:tc>
        <w:tc>
          <w:tcPr>
            <w:tcW w:w="485" w:type="pct"/>
            <w:tcBorders>
              <w:top w:val="nil"/>
              <w:left w:val="nil"/>
              <w:bottom w:val="nil"/>
              <w:right w:val="nil"/>
            </w:tcBorders>
            <w:shd w:val="clear" w:color="auto" w:fill="FFFFFF"/>
            <w:vAlign w:val="center"/>
          </w:tcPr>
          <w:p w:rsidR="00505114" w:rsidRPr="00155FF8" w:rsidRDefault="00505114" w:rsidP="00BF6BC5">
            <w:pPr>
              <w:pStyle w:val="CETBodytext"/>
              <w:rPr>
                <w:shd w:val="clear" w:color="auto" w:fill="FFFFFF"/>
              </w:rPr>
            </w:pPr>
            <w:r w:rsidRPr="00155FF8">
              <w:rPr>
                <w:lang w:eastAsia="pt-BR"/>
              </w:rPr>
              <w:t>1</w:t>
            </w:r>
          </w:p>
        </w:tc>
        <w:tc>
          <w:tcPr>
            <w:tcW w:w="725" w:type="pct"/>
            <w:tcBorders>
              <w:top w:val="nil"/>
              <w:left w:val="nil"/>
              <w:bottom w:val="nil"/>
              <w:right w:val="nil"/>
            </w:tcBorders>
            <w:shd w:val="clear" w:color="auto" w:fill="FFFFFF"/>
            <w:vAlign w:val="center"/>
          </w:tcPr>
          <w:p w:rsidR="00505114" w:rsidRPr="00155FF8" w:rsidRDefault="00505114" w:rsidP="00BF6BC5">
            <w:pPr>
              <w:pStyle w:val="CETBodytext"/>
              <w:rPr>
                <w:shd w:val="clear" w:color="auto" w:fill="FFFFFF"/>
              </w:rPr>
            </w:pPr>
            <w:r w:rsidRPr="00155FF8">
              <w:rPr>
                <w:i/>
                <w:iCs/>
                <w:lang w:eastAsia="pt-BR"/>
              </w:rPr>
              <w:t>650 (70</w:t>
            </w:r>
            <w:r>
              <w:rPr>
                <w:i/>
                <w:iCs/>
                <w:lang w:eastAsia="pt-BR"/>
              </w:rPr>
              <w:t>.</w:t>
            </w:r>
            <w:r w:rsidRPr="00155FF8">
              <w:rPr>
                <w:i/>
                <w:iCs/>
                <w:lang w:eastAsia="pt-BR"/>
              </w:rPr>
              <w:t>98</w:t>
            </w:r>
            <w:r>
              <w:rPr>
                <w:i/>
                <w:iCs/>
                <w:lang w:eastAsia="pt-BR"/>
              </w:rPr>
              <w:t xml:space="preserve"> </w:t>
            </w:r>
            <w:r w:rsidRPr="00155FF8">
              <w:rPr>
                <w:i/>
                <w:iCs/>
                <w:lang w:eastAsia="pt-BR"/>
              </w:rPr>
              <w:t>%)</w:t>
            </w:r>
          </w:p>
        </w:tc>
        <w:tc>
          <w:tcPr>
            <w:tcW w:w="645" w:type="pct"/>
            <w:tcBorders>
              <w:top w:val="nil"/>
              <w:left w:val="nil"/>
              <w:bottom w:val="nil"/>
              <w:right w:val="nil"/>
            </w:tcBorders>
            <w:shd w:val="clear" w:color="auto" w:fill="FFFFFF"/>
            <w:vAlign w:val="center"/>
          </w:tcPr>
          <w:p w:rsidR="00505114" w:rsidRPr="00155FF8" w:rsidRDefault="00505114" w:rsidP="00BF6BC5">
            <w:pPr>
              <w:pStyle w:val="CETBodytext"/>
              <w:rPr>
                <w:shd w:val="clear" w:color="auto" w:fill="FFFFFF"/>
              </w:rPr>
            </w:pPr>
            <w:r w:rsidRPr="00155FF8">
              <w:rPr>
                <w:lang w:eastAsia="pt-BR"/>
              </w:rPr>
              <w:t>189 (86</w:t>
            </w:r>
            <w:r>
              <w:rPr>
                <w:lang w:eastAsia="pt-BR"/>
              </w:rPr>
              <w:t>.</w:t>
            </w:r>
            <w:r w:rsidRPr="00155FF8">
              <w:rPr>
                <w:lang w:eastAsia="pt-BR"/>
              </w:rPr>
              <w:t>00</w:t>
            </w:r>
            <w:r>
              <w:rPr>
                <w:lang w:eastAsia="pt-BR"/>
              </w:rPr>
              <w:t xml:space="preserve"> </w:t>
            </w:r>
            <w:r w:rsidRPr="00155FF8">
              <w:rPr>
                <w:lang w:eastAsia="pt-BR"/>
              </w:rPr>
              <w:t>%)</w:t>
            </w:r>
          </w:p>
        </w:tc>
        <w:tc>
          <w:tcPr>
            <w:tcW w:w="824" w:type="pct"/>
            <w:tcBorders>
              <w:top w:val="nil"/>
              <w:left w:val="nil"/>
              <w:bottom w:val="nil"/>
              <w:right w:val="nil"/>
            </w:tcBorders>
            <w:shd w:val="clear" w:color="auto" w:fill="FFFFFF"/>
            <w:vAlign w:val="center"/>
          </w:tcPr>
          <w:p w:rsidR="00505114" w:rsidRPr="00155FF8" w:rsidRDefault="00505114" w:rsidP="00BF6BC5">
            <w:pPr>
              <w:pStyle w:val="CETBodytext"/>
              <w:rPr>
                <w:shd w:val="clear" w:color="auto" w:fill="FFFFFF"/>
              </w:rPr>
            </w:pPr>
            <w:r w:rsidRPr="00155FF8">
              <w:rPr>
                <w:i/>
                <w:iCs/>
                <w:lang w:eastAsia="pt-BR"/>
              </w:rPr>
              <w:t>2</w:t>
            </w:r>
            <w:r>
              <w:rPr>
                <w:i/>
                <w:iCs/>
                <w:lang w:eastAsia="pt-BR"/>
              </w:rPr>
              <w:t>,</w:t>
            </w:r>
            <w:r w:rsidRPr="00155FF8">
              <w:rPr>
                <w:i/>
                <w:iCs/>
                <w:lang w:eastAsia="pt-BR"/>
              </w:rPr>
              <w:t>380 (54</w:t>
            </w:r>
            <w:r>
              <w:rPr>
                <w:i/>
                <w:iCs/>
                <w:lang w:eastAsia="pt-BR"/>
              </w:rPr>
              <w:t>.</w:t>
            </w:r>
            <w:r w:rsidRPr="00155FF8">
              <w:rPr>
                <w:i/>
                <w:iCs/>
                <w:lang w:eastAsia="pt-BR"/>
              </w:rPr>
              <w:t>84</w:t>
            </w:r>
            <w:r>
              <w:rPr>
                <w:i/>
                <w:iCs/>
                <w:lang w:eastAsia="pt-BR"/>
              </w:rPr>
              <w:t xml:space="preserve"> </w:t>
            </w:r>
            <w:r w:rsidRPr="00155FF8">
              <w:rPr>
                <w:i/>
                <w:iCs/>
                <w:lang w:eastAsia="pt-BR"/>
              </w:rPr>
              <w:t>%)</w:t>
            </w:r>
          </w:p>
        </w:tc>
        <w:tc>
          <w:tcPr>
            <w:tcW w:w="627" w:type="pct"/>
            <w:tcBorders>
              <w:top w:val="nil"/>
              <w:left w:val="nil"/>
              <w:bottom w:val="nil"/>
              <w:right w:val="nil"/>
            </w:tcBorders>
            <w:shd w:val="clear" w:color="auto" w:fill="FFFFFF"/>
            <w:vAlign w:val="center"/>
          </w:tcPr>
          <w:p w:rsidR="00505114" w:rsidRPr="00155FF8" w:rsidRDefault="00505114" w:rsidP="00BF6BC5">
            <w:pPr>
              <w:pStyle w:val="CETBodytext"/>
              <w:rPr>
                <w:shd w:val="clear" w:color="auto" w:fill="FFFFFF"/>
              </w:rPr>
            </w:pPr>
            <w:r w:rsidRPr="00155FF8">
              <w:rPr>
                <w:lang w:eastAsia="pt-BR"/>
              </w:rPr>
              <w:t>20</w:t>
            </w:r>
            <w:r>
              <w:rPr>
                <w:lang w:eastAsia="pt-BR"/>
              </w:rPr>
              <w:t>.</w:t>
            </w:r>
            <w:r w:rsidRPr="00155FF8">
              <w:rPr>
                <w:lang w:eastAsia="pt-BR"/>
              </w:rPr>
              <w:t>9 (9</w:t>
            </w:r>
            <w:r>
              <w:rPr>
                <w:lang w:eastAsia="pt-BR"/>
              </w:rPr>
              <w:t>.</w:t>
            </w:r>
            <w:r w:rsidRPr="00155FF8">
              <w:rPr>
                <w:lang w:eastAsia="pt-BR"/>
              </w:rPr>
              <w:t>13</w:t>
            </w:r>
            <w:r>
              <w:rPr>
                <w:lang w:eastAsia="pt-BR"/>
              </w:rPr>
              <w:t xml:space="preserve"> </w:t>
            </w:r>
            <w:r w:rsidRPr="00155FF8">
              <w:rPr>
                <w:lang w:eastAsia="pt-BR"/>
              </w:rPr>
              <w:t>%)</w:t>
            </w:r>
          </w:p>
        </w:tc>
      </w:tr>
      <w:tr w:rsidR="00505114" w:rsidRPr="00155FF8" w:rsidTr="00BF6BC5">
        <w:tc>
          <w:tcPr>
            <w:tcW w:w="562" w:type="pct"/>
            <w:tcBorders>
              <w:top w:val="nil"/>
              <w:left w:val="nil"/>
              <w:bottom w:val="nil"/>
              <w:right w:val="nil"/>
            </w:tcBorders>
            <w:shd w:val="clear" w:color="auto" w:fill="FFFFFF"/>
            <w:vAlign w:val="center"/>
          </w:tcPr>
          <w:p w:rsidR="00505114" w:rsidRPr="00155FF8" w:rsidRDefault="00505114" w:rsidP="00BF6BC5">
            <w:pPr>
              <w:pStyle w:val="CETBodytext"/>
              <w:rPr>
                <w:lang w:val="en-GB"/>
              </w:rPr>
            </w:pPr>
            <w:r w:rsidRPr="00155FF8">
              <w:rPr>
                <w:lang w:eastAsia="pt-BR"/>
              </w:rPr>
              <w:t>7</w:t>
            </w:r>
          </w:p>
        </w:tc>
        <w:tc>
          <w:tcPr>
            <w:tcW w:w="245" w:type="pct"/>
            <w:tcBorders>
              <w:top w:val="nil"/>
              <w:left w:val="nil"/>
              <w:bottom w:val="nil"/>
              <w:right w:val="nil"/>
            </w:tcBorders>
            <w:shd w:val="clear" w:color="auto" w:fill="FFFFFF"/>
            <w:vAlign w:val="center"/>
          </w:tcPr>
          <w:p w:rsidR="00505114" w:rsidRPr="00155FF8" w:rsidRDefault="00505114" w:rsidP="00BF6BC5">
            <w:pPr>
              <w:pStyle w:val="CETBodytext"/>
              <w:rPr>
                <w:shd w:val="clear" w:color="auto" w:fill="FFFFFF"/>
              </w:rPr>
            </w:pPr>
            <w:r w:rsidRPr="00155FF8">
              <w:rPr>
                <w:lang w:eastAsia="pt-BR"/>
              </w:rPr>
              <w:t>0</w:t>
            </w:r>
          </w:p>
        </w:tc>
        <w:tc>
          <w:tcPr>
            <w:tcW w:w="484" w:type="pct"/>
            <w:gridSpan w:val="2"/>
            <w:tcBorders>
              <w:top w:val="nil"/>
              <w:left w:val="nil"/>
              <w:bottom w:val="nil"/>
              <w:right w:val="nil"/>
            </w:tcBorders>
            <w:shd w:val="clear" w:color="auto" w:fill="FFFFFF"/>
            <w:vAlign w:val="center"/>
          </w:tcPr>
          <w:p w:rsidR="00505114" w:rsidRPr="00155FF8" w:rsidRDefault="00505114" w:rsidP="00BF6BC5">
            <w:pPr>
              <w:pStyle w:val="CETBodytext"/>
              <w:rPr>
                <w:shd w:val="clear" w:color="auto" w:fill="FFFFFF"/>
              </w:rPr>
            </w:pPr>
            <w:r w:rsidRPr="00155FF8">
              <w:rPr>
                <w:lang w:eastAsia="pt-BR"/>
              </w:rPr>
              <w:t>0</w:t>
            </w:r>
          </w:p>
        </w:tc>
        <w:tc>
          <w:tcPr>
            <w:tcW w:w="403" w:type="pct"/>
            <w:tcBorders>
              <w:top w:val="nil"/>
              <w:left w:val="nil"/>
              <w:bottom w:val="nil"/>
              <w:right w:val="nil"/>
            </w:tcBorders>
            <w:shd w:val="clear" w:color="auto" w:fill="FFFFFF"/>
            <w:vAlign w:val="center"/>
          </w:tcPr>
          <w:p w:rsidR="00505114" w:rsidRPr="00155FF8" w:rsidRDefault="00505114" w:rsidP="00BF6BC5">
            <w:pPr>
              <w:pStyle w:val="CETBodytext"/>
              <w:rPr>
                <w:shd w:val="clear" w:color="auto" w:fill="FFFFFF"/>
              </w:rPr>
            </w:pPr>
            <w:r w:rsidRPr="00155FF8">
              <w:rPr>
                <w:lang w:eastAsia="pt-BR"/>
              </w:rPr>
              <w:t>2</w:t>
            </w:r>
            <w:r>
              <w:rPr>
                <w:lang w:eastAsia="pt-BR"/>
              </w:rPr>
              <w:t>,</w:t>
            </w:r>
            <w:r w:rsidRPr="00155FF8">
              <w:rPr>
                <w:lang w:eastAsia="pt-BR"/>
              </w:rPr>
              <w:t>400</w:t>
            </w:r>
          </w:p>
        </w:tc>
        <w:tc>
          <w:tcPr>
            <w:tcW w:w="485" w:type="pct"/>
            <w:tcBorders>
              <w:top w:val="nil"/>
              <w:left w:val="nil"/>
              <w:bottom w:val="nil"/>
              <w:right w:val="nil"/>
            </w:tcBorders>
            <w:shd w:val="clear" w:color="auto" w:fill="FFFFFF"/>
            <w:vAlign w:val="center"/>
          </w:tcPr>
          <w:p w:rsidR="00505114" w:rsidRPr="00155FF8" w:rsidRDefault="00505114" w:rsidP="00BF6BC5">
            <w:pPr>
              <w:pStyle w:val="CETBodytext"/>
              <w:rPr>
                <w:shd w:val="clear" w:color="auto" w:fill="FFFFFF"/>
              </w:rPr>
            </w:pPr>
            <w:r w:rsidRPr="00155FF8">
              <w:rPr>
                <w:lang w:eastAsia="pt-BR"/>
              </w:rPr>
              <w:t>1</w:t>
            </w:r>
          </w:p>
        </w:tc>
        <w:tc>
          <w:tcPr>
            <w:tcW w:w="725" w:type="pct"/>
            <w:tcBorders>
              <w:top w:val="nil"/>
              <w:left w:val="nil"/>
              <w:bottom w:val="nil"/>
              <w:right w:val="nil"/>
            </w:tcBorders>
            <w:shd w:val="clear" w:color="auto" w:fill="FFFFFF"/>
            <w:vAlign w:val="center"/>
          </w:tcPr>
          <w:p w:rsidR="00505114" w:rsidRPr="00155FF8" w:rsidRDefault="00505114" w:rsidP="00BF6BC5">
            <w:pPr>
              <w:pStyle w:val="CETBodytext"/>
              <w:rPr>
                <w:shd w:val="clear" w:color="auto" w:fill="FFFFFF"/>
              </w:rPr>
            </w:pPr>
            <w:r w:rsidRPr="00155FF8">
              <w:rPr>
                <w:lang w:eastAsia="pt-BR"/>
              </w:rPr>
              <w:t>800 (64</w:t>
            </w:r>
            <w:r>
              <w:rPr>
                <w:lang w:eastAsia="pt-BR"/>
              </w:rPr>
              <w:t>.</w:t>
            </w:r>
            <w:r w:rsidRPr="00155FF8">
              <w:rPr>
                <w:lang w:eastAsia="pt-BR"/>
              </w:rPr>
              <w:t>29</w:t>
            </w:r>
            <w:r>
              <w:rPr>
                <w:lang w:eastAsia="pt-BR"/>
              </w:rPr>
              <w:t xml:space="preserve"> </w:t>
            </w:r>
            <w:r w:rsidRPr="00155FF8">
              <w:rPr>
                <w:lang w:eastAsia="pt-BR"/>
              </w:rPr>
              <w:t>%)</w:t>
            </w:r>
          </w:p>
        </w:tc>
        <w:tc>
          <w:tcPr>
            <w:tcW w:w="645" w:type="pct"/>
            <w:tcBorders>
              <w:top w:val="nil"/>
              <w:left w:val="nil"/>
              <w:bottom w:val="nil"/>
              <w:right w:val="nil"/>
            </w:tcBorders>
            <w:shd w:val="clear" w:color="auto" w:fill="FFFFFF"/>
            <w:vAlign w:val="center"/>
          </w:tcPr>
          <w:p w:rsidR="00505114" w:rsidRPr="00155FF8" w:rsidRDefault="00505114" w:rsidP="00BF6BC5">
            <w:pPr>
              <w:pStyle w:val="CETBodytext"/>
              <w:rPr>
                <w:shd w:val="clear" w:color="auto" w:fill="FFFFFF"/>
              </w:rPr>
            </w:pPr>
            <w:r w:rsidRPr="00155FF8">
              <w:rPr>
                <w:lang w:eastAsia="pt-BR"/>
              </w:rPr>
              <w:t>186 (86</w:t>
            </w:r>
            <w:r>
              <w:rPr>
                <w:lang w:eastAsia="pt-BR"/>
              </w:rPr>
              <w:t>.</w:t>
            </w:r>
            <w:r w:rsidRPr="00155FF8">
              <w:rPr>
                <w:lang w:eastAsia="pt-BR"/>
              </w:rPr>
              <w:t>22</w:t>
            </w:r>
            <w:r>
              <w:rPr>
                <w:lang w:eastAsia="pt-BR"/>
              </w:rPr>
              <w:t xml:space="preserve"> </w:t>
            </w:r>
            <w:r w:rsidRPr="00155FF8">
              <w:rPr>
                <w:lang w:eastAsia="pt-BR"/>
              </w:rPr>
              <w:t>%)</w:t>
            </w:r>
          </w:p>
        </w:tc>
        <w:tc>
          <w:tcPr>
            <w:tcW w:w="824" w:type="pct"/>
            <w:tcBorders>
              <w:top w:val="nil"/>
              <w:left w:val="nil"/>
              <w:bottom w:val="nil"/>
              <w:right w:val="nil"/>
            </w:tcBorders>
            <w:shd w:val="clear" w:color="auto" w:fill="FFFFFF"/>
            <w:vAlign w:val="center"/>
          </w:tcPr>
          <w:p w:rsidR="00505114" w:rsidRPr="00155FF8" w:rsidRDefault="00505114" w:rsidP="00BF6BC5">
            <w:pPr>
              <w:pStyle w:val="CETBodytext"/>
              <w:rPr>
                <w:shd w:val="clear" w:color="auto" w:fill="FFFFFF"/>
              </w:rPr>
            </w:pPr>
            <w:r w:rsidRPr="00155FF8">
              <w:rPr>
                <w:lang w:eastAsia="pt-BR"/>
              </w:rPr>
              <w:t>2</w:t>
            </w:r>
            <w:r>
              <w:rPr>
                <w:lang w:eastAsia="pt-BR"/>
              </w:rPr>
              <w:t>,</w:t>
            </w:r>
            <w:r w:rsidRPr="00155FF8">
              <w:rPr>
                <w:lang w:eastAsia="pt-BR"/>
              </w:rPr>
              <w:t>440 (53</w:t>
            </w:r>
            <w:r>
              <w:rPr>
                <w:lang w:eastAsia="pt-BR"/>
              </w:rPr>
              <w:t>.</w:t>
            </w:r>
            <w:r w:rsidRPr="00155FF8">
              <w:rPr>
                <w:lang w:eastAsia="pt-BR"/>
              </w:rPr>
              <w:t>70</w:t>
            </w:r>
            <w:r>
              <w:rPr>
                <w:lang w:eastAsia="pt-BR"/>
              </w:rPr>
              <w:t xml:space="preserve"> </w:t>
            </w:r>
            <w:r w:rsidRPr="00155FF8">
              <w:rPr>
                <w:lang w:eastAsia="pt-BR"/>
              </w:rPr>
              <w:t>%)</w:t>
            </w:r>
          </w:p>
        </w:tc>
        <w:tc>
          <w:tcPr>
            <w:tcW w:w="627" w:type="pct"/>
            <w:tcBorders>
              <w:top w:val="nil"/>
              <w:left w:val="nil"/>
              <w:bottom w:val="nil"/>
              <w:right w:val="nil"/>
            </w:tcBorders>
            <w:shd w:val="clear" w:color="auto" w:fill="FFFFFF"/>
            <w:vAlign w:val="center"/>
          </w:tcPr>
          <w:p w:rsidR="00505114" w:rsidRPr="00155FF8" w:rsidRDefault="00505114" w:rsidP="00BF6BC5">
            <w:pPr>
              <w:pStyle w:val="CETBodytext"/>
              <w:rPr>
                <w:shd w:val="clear" w:color="auto" w:fill="FFFFFF"/>
              </w:rPr>
            </w:pPr>
            <w:r w:rsidRPr="00155FF8">
              <w:rPr>
                <w:i/>
                <w:iCs/>
                <w:lang w:eastAsia="pt-BR"/>
              </w:rPr>
              <w:t>20 (13</w:t>
            </w:r>
            <w:r>
              <w:rPr>
                <w:i/>
                <w:iCs/>
                <w:lang w:eastAsia="pt-BR"/>
              </w:rPr>
              <w:t>.</w:t>
            </w:r>
            <w:r w:rsidRPr="00155FF8">
              <w:rPr>
                <w:i/>
                <w:iCs/>
                <w:lang w:eastAsia="pt-BR"/>
              </w:rPr>
              <w:t>04</w:t>
            </w:r>
            <w:r>
              <w:rPr>
                <w:i/>
                <w:iCs/>
                <w:lang w:eastAsia="pt-BR"/>
              </w:rPr>
              <w:t xml:space="preserve"> </w:t>
            </w:r>
            <w:r w:rsidRPr="00155FF8">
              <w:rPr>
                <w:i/>
                <w:iCs/>
                <w:lang w:eastAsia="pt-BR"/>
              </w:rPr>
              <w:t>%)</w:t>
            </w:r>
          </w:p>
        </w:tc>
      </w:tr>
      <w:tr w:rsidR="00505114" w:rsidRPr="00155FF8" w:rsidTr="00BF6BC5">
        <w:tc>
          <w:tcPr>
            <w:tcW w:w="562" w:type="pct"/>
            <w:tcBorders>
              <w:top w:val="nil"/>
              <w:left w:val="nil"/>
              <w:bottom w:val="nil"/>
              <w:right w:val="nil"/>
            </w:tcBorders>
            <w:shd w:val="clear" w:color="auto" w:fill="FFFFFF"/>
            <w:vAlign w:val="center"/>
          </w:tcPr>
          <w:p w:rsidR="00505114" w:rsidRPr="00155FF8" w:rsidRDefault="00505114" w:rsidP="00BF6BC5">
            <w:pPr>
              <w:pStyle w:val="CETBodytext"/>
              <w:rPr>
                <w:lang w:val="en-GB"/>
              </w:rPr>
            </w:pPr>
            <w:r w:rsidRPr="00155FF8">
              <w:rPr>
                <w:lang w:eastAsia="pt-BR"/>
              </w:rPr>
              <w:t>8</w:t>
            </w:r>
          </w:p>
        </w:tc>
        <w:tc>
          <w:tcPr>
            <w:tcW w:w="245" w:type="pct"/>
            <w:tcBorders>
              <w:top w:val="nil"/>
              <w:left w:val="nil"/>
              <w:bottom w:val="nil"/>
              <w:right w:val="nil"/>
            </w:tcBorders>
            <w:shd w:val="clear" w:color="auto" w:fill="FFFFFF"/>
            <w:vAlign w:val="center"/>
          </w:tcPr>
          <w:p w:rsidR="00505114" w:rsidRPr="00155FF8" w:rsidRDefault="00505114" w:rsidP="00BF6BC5">
            <w:pPr>
              <w:pStyle w:val="CETBodytext"/>
              <w:rPr>
                <w:shd w:val="clear" w:color="auto" w:fill="FFFFFF"/>
              </w:rPr>
            </w:pPr>
            <w:r w:rsidRPr="00155FF8">
              <w:rPr>
                <w:lang w:eastAsia="pt-BR"/>
              </w:rPr>
              <w:t>-1</w:t>
            </w:r>
            <w:r>
              <w:rPr>
                <w:lang w:eastAsia="pt-BR"/>
              </w:rPr>
              <w:t>.</w:t>
            </w:r>
            <w:r w:rsidRPr="00155FF8">
              <w:rPr>
                <w:lang w:eastAsia="pt-BR"/>
              </w:rPr>
              <w:t>41</w:t>
            </w:r>
          </w:p>
        </w:tc>
        <w:tc>
          <w:tcPr>
            <w:tcW w:w="484" w:type="pct"/>
            <w:gridSpan w:val="2"/>
            <w:tcBorders>
              <w:top w:val="nil"/>
              <w:left w:val="nil"/>
              <w:bottom w:val="nil"/>
              <w:right w:val="nil"/>
            </w:tcBorders>
            <w:shd w:val="clear" w:color="auto" w:fill="FFFFFF"/>
            <w:vAlign w:val="center"/>
          </w:tcPr>
          <w:p w:rsidR="00505114" w:rsidRPr="00155FF8" w:rsidRDefault="00505114" w:rsidP="00BF6BC5">
            <w:pPr>
              <w:pStyle w:val="CETBodytext"/>
              <w:rPr>
                <w:shd w:val="clear" w:color="auto" w:fill="FFFFFF"/>
              </w:rPr>
            </w:pPr>
            <w:r w:rsidRPr="00155FF8">
              <w:rPr>
                <w:lang w:eastAsia="pt-BR"/>
              </w:rPr>
              <w:t>0</w:t>
            </w:r>
          </w:p>
        </w:tc>
        <w:tc>
          <w:tcPr>
            <w:tcW w:w="403" w:type="pct"/>
            <w:tcBorders>
              <w:top w:val="nil"/>
              <w:left w:val="nil"/>
              <w:bottom w:val="nil"/>
              <w:right w:val="nil"/>
            </w:tcBorders>
            <w:shd w:val="clear" w:color="auto" w:fill="FFFFFF"/>
            <w:vAlign w:val="center"/>
          </w:tcPr>
          <w:p w:rsidR="00505114" w:rsidRPr="00155FF8" w:rsidRDefault="00505114" w:rsidP="00BF6BC5">
            <w:pPr>
              <w:pStyle w:val="CETBodytext"/>
              <w:rPr>
                <w:shd w:val="clear" w:color="auto" w:fill="FFFFFF"/>
              </w:rPr>
            </w:pPr>
            <w:r w:rsidRPr="00155FF8">
              <w:rPr>
                <w:lang w:eastAsia="pt-BR"/>
              </w:rPr>
              <w:t>1</w:t>
            </w:r>
            <w:r>
              <w:rPr>
                <w:lang w:eastAsia="pt-BR"/>
              </w:rPr>
              <w:t>,</w:t>
            </w:r>
            <w:r w:rsidRPr="00155FF8">
              <w:rPr>
                <w:lang w:eastAsia="pt-BR"/>
              </w:rPr>
              <w:t>977</w:t>
            </w:r>
          </w:p>
        </w:tc>
        <w:tc>
          <w:tcPr>
            <w:tcW w:w="485" w:type="pct"/>
            <w:tcBorders>
              <w:top w:val="nil"/>
              <w:left w:val="nil"/>
              <w:bottom w:val="nil"/>
              <w:right w:val="nil"/>
            </w:tcBorders>
            <w:shd w:val="clear" w:color="auto" w:fill="FFFFFF"/>
            <w:vAlign w:val="center"/>
          </w:tcPr>
          <w:p w:rsidR="00505114" w:rsidRPr="00155FF8" w:rsidRDefault="00505114" w:rsidP="00BF6BC5">
            <w:pPr>
              <w:pStyle w:val="CETBodytext"/>
              <w:rPr>
                <w:shd w:val="clear" w:color="auto" w:fill="FFFFFF"/>
              </w:rPr>
            </w:pPr>
            <w:r w:rsidRPr="00155FF8">
              <w:rPr>
                <w:lang w:eastAsia="pt-BR"/>
              </w:rPr>
              <w:t>1</w:t>
            </w:r>
          </w:p>
        </w:tc>
        <w:tc>
          <w:tcPr>
            <w:tcW w:w="725" w:type="pct"/>
            <w:tcBorders>
              <w:top w:val="nil"/>
              <w:left w:val="nil"/>
              <w:bottom w:val="nil"/>
              <w:right w:val="nil"/>
            </w:tcBorders>
            <w:shd w:val="clear" w:color="auto" w:fill="FFFFFF"/>
            <w:vAlign w:val="center"/>
          </w:tcPr>
          <w:p w:rsidR="00505114" w:rsidRPr="00155FF8" w:rsidRDefault="00505114" w:rsidP="00BF6BC5">
            <w:pPr>
              <w:pStyle w:val="CETBodytext"/>
              <w:rPr>
                <w:shd w:val="clear" w:color="auto" w:fill="FFFFFF"/>
              </w:rPr>
            </w:pPr>
            <w:r w:rsidRPr="00155FF8">
              <w:rPr>
                <w:lang w:eastAsia="pt-BR"/>
              </w:rPr>
              <w:t>1</w:t>
            </w:r>
            <w:r>
              <w:rPr>
                <w:lang w:eastAsia="pt-BR"/>
              </w:rPr>
              <w:t>,</w:t>
            </w:r>
            <w:r w:rsidRPr="00155FF8">
              <w:rPr>
                <w:lang w:eastAsia="pt-BR"/>
              </w:rPr>
              <w:t>510 (32</w:t>
            </w:r>
            <w:r>
              <w:rPr>
                <w:lang w:eastAsia="pt-BR"/>
              </w:rPr>
              <w:t>.</w:t>
            </w:r>
            <w:r w:rsidRPr="00155FF8">
              <w:rPr>
                <w:lang w:eastAsia="pt-BR"/>
              </w:rPr>
              <w:t>59</w:t>
            </w:r>
            <w:r>
              <w:rPr>
                <w:lang w:eastAsia="pt-BR"/>
              </w:rPr>
              <w:t xml:space="preserve"> </w:t>
            </w:r>
            <w:r w:rsidRPr="00155FF8">
              <w:rPr>
                <w:lang w:eastAsia="pt-BR"/>
              </w:rPr>
              <w:t>%)</w:t>
            </w:r>
          </w:p>
        </w:tc>
        <w:tc>
          <w:tcPr>
            <w:tcW w:w="645" w:type="pct"/>
            <w:tcBorders>
              <w:top w:val="nil"/>
              <w:left w:val="nil"/>
              <w:bottom w:val="nil"/>
              <w:right w:val="nil"/>
            </w:tcBorders>
            <w:shd w:val="clear" w:color="auto" w:fill="FFFFFF"/>
            <w:vAlign w:val="center"/>
          </w:tcPr>
          <w:p w:rsidR="00505114" w:rsidRPr="00155FF8" w:rsidRDefault="00505114" w:rsidP="00BF6BC5">
            <w:pPr>
              <w:pStyle w:val="CETBodytext"/>
              <w:rPr>
                <w:shd w:val="clear" w:color="auto" w:fill="FFFFFF"/>
              </w:rPr>
            </w:pPr>
            <w:r w:rsidRPr="00155FF8">
              <w:rPr>
                <w:lang w:eastAsia="pt-BR"/>
              </w:rPr>
              <w:t>191 (85</w:t>
            </w:r>
            <w:r>
              <w:rPr>
                <w:lang w:eastAsia="pt-BR"/>
              </w:rPr>
              <w:t>.</w:t>
            </w:r>
            <w:r w:rsidRPr="00155FF8">
              <w:rPr>
                <w:lang w:eastAsia="pt-BR"/>
              </w:rPr>
              <w:t>85</w:t>
            </w:r>
            <w:r>
              <w:rPr>
                <w:lang w:eastAsia="pt-BR"/>
              </w:rPr>
              <w:t xml:space="preserve"> </w:t>
            </w:r>
            <w:r w:rsidRPr="00155FF8">
              <w:rPr>
                <w:lang w:eastAsia="pt-BR"/>
              </w:rPr>
              <w:t>%)</w:t>
            </w:r>
          </w:p>
        </w:tc>
        <w:tc>
          <w:tcPr>
            <w:tcW w:w="824" w:type="pct"/>
            <w:tcBorders>
              <w:top w:val="nil"/>
              <w:left w:val="nil"/>
              <w:bottom w:val="nil"/>
              <w:right w:val="nil"/>
            </w:tcBorders>
            <w:shd w:val="clear" w:color="auto" w:fill="FFFFFF"/>
            <w:vAlign w:val="center"/>
          </w:tcPr>
          <w:p w:rsidR="00505114" w:rsidRPr="00155FF8" w:rsidRDefault="00505114" w:rsidP="00BF6BC5">
            <w:pPr>
              <w:pStyle w:val="CETBodytext"/>
              <w:rPr>
                <w:shd w:val="clear" w:color="auto" w:fill="FFFFFF"/>
              </w:rPr>
            </w:pPr>
            <w:r w:rsidRPr="00155FF8">
              <w:rPr>
                <w:lang w:eastAsia="pt-BR"/>
              </w:rPr>
              <w:t>2</w:t>
            </w:r>
            <w:r>
              <w:rPr>
                <w:lang w:eastAsia="pt-BR"/>
              </w:rPr>
              <w:t>,</w:t>
            </w:r>
            <w:r w:rsidRPr="00155FF8">
              <w:rPr>
                <w:lang w:eastAsia="pt-BR"/>
              </w:rPr>
              <w:t>730 (48</w:t>
            </w:r>
            <w:r>
              <w:rPr>
                <w:lang w:eastAsia="pt-BR"/>
              </w:rPr>
              <w:t>.</w:t>
            </w:r>
            <w:r w:rsidRPr="00155FF8">
              <w:rPr>
                <w:lang w:eastAsia="pt-BR"/>
              </w:rPr>
              <w:t>20</w:t>
            </w:r>
            <w:r>
              <w:rPr>
                <w:lang w:eastAsia="pt-BR"/>
              </w:rPr>
              <w:t xml:space="preserve"> </w:t>
            </w:r>
            <w:r w:rsidRPr="00155FF8">
              <w:rPr>
                <w:lang w:eastAsia="pt-BR"/>
              </w:rPr>
              <w:t>%)</w:t>
            </w:r>
          </w:p>
        </w:tc>
        <w:tc>
          <w:tcPr>
            <w:tcW w:w="627" w:type="pct"/>
            <w:tcBorders>
              <w:top w:val="nil"/>
              <w:left w:val="nil"/>
              <w:bottom w:val="nil"/>
              <w:right w:val="nil"/>
            </w:tcBorders>
            <w:shd w:val="clear" w:color="auto" w:fill="FFFFFF"/>
            <w:vAlign w:val="center"/>
          </w:tcPr>
          <w:p w:rsidR="00505114" w:rsidRPr="00155FF8" w:rsidRDefault="00505114" w:rsidP="00BF6BC5">
            <w:pPr>
              <w:pStyle w:val="CETBodytext"/>
              <w:rPr>
                <w:shd w:val="clear" w:color="auto" w:fill="FFFFFF"/>
              </w:rPr>
            </w:pPr>
            <w:r w:rsidRPr="00155FF8">
              <w:rPr>
                <w:lang w:eastAsia="pt-BR"/>
              </w:rPr>
              <w:t>21</w:t>
            </w:r>
            <w:r>
              <w:rPr>
                <w:lang w:eastAsia="pt-BR"/>
              </w:rPr>
              <w:t>.</w:t>
            </w:r>
            <w:r w:rsidRPr="00155FF8">
              <w:rPr>
                <w:lang w:eastAsia="pt-BR"/>
              </w:rPr>
              <w:t>2 (7</w:t>
            </w:r>
            <w:r>
              <w:rPr>
                <w:lang w:eastAsia="pt-BR"/>
              </w:rPr>
              <w:t>.</w:t>
            </w:r>
            <w:r w:rsidRPr="00155FF8">
              <w:rPr>
                <w:lang w:eastAsia="pt-BR"/>
              </w:rPr>
              <w:t>83</w:t>
            </w:r>
            <w:r>
              <w:rPr>
                <w:lang w:eastAsia="pt-BR"/>
              </w:rPr>
              <w:t xml:space="preserve"> </w:t>
            </w:r>
            <w:r w:rsidRPr="00155FF8">
              <w:rPr>
                <w:lang w:eastAsia="pt-BR"/>
              </w:rPr>
              <w:t>%)</w:t>
            </w:r>
          </w:p>
        </w:tc>
      </w:tr>
      <w:tr w:rsidR="00505114" w:rsidRPr="00155FF8" w:rsidTr="00BF6BC5">
        <w:tc>
          <w:tcPr>
            <w:tcW w:w="562" w:type="pct"/>
            <w:tcBorders>
              <w:top w:val="nil"/>
              <w:left w:val="nil"/>
              <w:bottom w:val="nil"/>
              <w:right w:val="nil"/>
            </w:tcBorders>
            <w:shd w:val="clear" w:color="auto" w:fill="FFFFFF"/>
            <w:vAlign w:val="center"/>
          </w:tcPr>
          <w:p w:rsidR="00505114" w:rsidRPr="00155FF8" w:rsidRDefault="00505114" w:rsidP="00BF6BC5">
            <w:pPr>
              <w:pStyle w:val="CETBodytext"/>
              <w:rPr>
                <w:lang w:val="en-GB"/>
              </w:rPr>
            </w:pPr>
            <w:r w:rsidRPr="00155FF8">
              <w:rPr>
                <w:lang w:eastAsia="pt-BR"/>
              </w:rPr>
              <w:t>9</w:t>
            </w:r>
          </w:p>
        </w:tc>
        <w:tc>
          <w:tcPr>
            <w:tcW w:w="245" w:type="pct"/>
            <w:tcBorders>
              <w:top w:val="nil"/>
              <w:left w:val="nil"/>
              <w:bottom w:val="nil"/>
              <w:right w:val="nil"/>
            </w:tcBorders>
            <w:shd w:val="clear" w:color="auto" w:fill="FFFFFF"/>
            <w:vAlign w:val="center"/>
          </w:tcPr>
          <w:p w:rsidR="00505114" w:rsidRPr="00155FF8" w:rsidRDefault="00505114" w:rsidP="00BF6BC5">
            <w:pPr>
              <w:pStyle w:val="CETBodytext"/>
              <w:rPr>
                <w:shd w:val="clear" w:color="auto" w:fill="FFFFFF"/>
              </w:rPr>
            </w:pPr>
            <w:r w:rsidRPr="00155FF8">
              <w:rPr>
                <w:lang w:eastAsia="pt-BR"/>
              </w:rPr>
              <w:t>1</w:t>
            </w:r>
            <w:r>
              <w:rPr>
                <w:lang w:eastAsia="pt-BR"/>
              </w:rPr>
              <w:t>.</w:t>
            </w:r>
            <w:r w:rsidRPr="00155FF8">
              <w:rPr>
                <w:lang w:eastAsia="pt-BR"/>
              </w:rPr>
              <w:t>41</w:t>
            </w:r>
          </w:p>
        </w:tc>
        <w:tc>
          <w:tcPr>
            <w:tcW w:w="484" w:type="pct"/>
            <w:gridSpan w:val="2"/>
            <w:tcBorders>
              <w:top w:val="nil"/>
              <w:left w:val="nil"/>
              <w:bottom w:val="nil"/>
              <w:right w:val="nil"/>
            </w:tcBorders>
            <w:shd w:val="clear" w:color="auto" w:fill="FFFFFF"/>
            <w:vAlign w:val="center"/>
          </w:tcPr>
          <w:p w:rsidR="00505114" w:rsidRPr="00155FF8" w:rsidRDefault="00505114" w:rsidP="00BF6BC5">
            <w:pPr>
              <w:pStyle w:val="CETBodytext"/>
              <w:rPr>
                <w:shd w:val="clear" w:color="auto" w:fill="FFFFFF"/>
              </w:rPr>
            </w:pPr>
            <w:r w:rsidRPr="00155FF8">
              <w:rPr>
                <w:lang w:eastAsia="pt-BR"/>
              </w:rPr>
              <w:t>0</w:t>
            </w:r>
          </w:p>
        </w:tc>
        <w:tc>
          <w:tcPr>
            <w:tcW w:w="403" w:type="pct"/>
            <w:tcBorders>
              <w:top w:val="nil"/>
              <w:left w:val="nil"/>
              <w:bottom w:val="nil"/>
              <w:right w:val="nil"/>
            </w:tcBorders>
            <w:shd w:val="clear" w:color="auto" w:fill="FFFFFF"/>
            <w:vAlign w:val="center"/>
          </w:tcPr>
          <w:p w:rsidR="00505114" w:rsidRPr="00155FF8" w:rsidRDefault="00505114" w:rsidP="00BF6BC5">
            <w:pPr>
              <w:pStyle w:val="CETBodytext"/>
              <w:rPr>
                <w:shd w:val="clear" w:color="auto" w:fill="FFFFFF"/>
              </w:rPr>
            </w:pPr>
            <w:r w:rsidRPr="00155FF8">
              <w:rPr>
                <w:lang w:eastAsia="pt-BR"/>
              </w:rPr>
              <w:t>2</w:t>
            </w:r>
            <w:r>
              <w:rPr>
                <w:lang w:eastAsia="pt-BR"/>
              </w:rPr>
              <w:t>,</w:t>
            </w:r>
            <w:r w:rsidRPr="00155FF8">
              <w:rPr>
                <w:lang w:eastAsia="pt-BR"/>
              </w:rPr>
              <w:t>823</w:t>
            </w:r>
          </w:p>
        </w:tc>
        <w:tc>
          <w:tcPr>
            <w:tcW w:w="485" w:type="pct"/>
            <w:tcBorders>
              <w:top w:val="nil"/>
              <w:left w:val="nil"/>
              <w:bottom w:val="nil"/>
              <w:right w:val="nil"/>
            </w:tcBorders>
            <w:shd w:val="clear" w:color="auto" w:fill="FFFFFF"/>
            <w:vAlign w:val="center"/>
          </w:tcPr>
          <w:p w:rsidR="00505114" w:rsidRPr="00155FF8" w:rsidRDefault="00505114" w:rsidP="00BF6BC5">
            <w:pPr>
              <w:pStyle w:val="CETBodytext"/>
              <w:rPr>
                <w:shd w:val="clear" w:color="auto" w:fill="FFFFFF"/>
              </w:rPr>
            </w:pPr>
            <w:r w:rsidRPr="00155FF8">
              <w:rPr>
                <w:lang w:eastAsia="pt-BR"/>
              </w:rPr>
              <w:t>1</w:t>
            </w:r>
          </w:p>
        </w:tc>
        <w:tc>
          <w:tcPr>
            <w:tcW w:w="725" w:type="pct"/>
            <w:tcBorders>
              <w:top w:val="nil"/>
              <w:left w:val="nil"/>
              <w:bottom w:val="nil"/>
              <w:right w:val="nil"/>
            </w:tcBorders>
            <w:shd w:val="clear" w:color="auto" w:fill="FFFFFF"/>
            <w:vAlign w:val="center"/>
          </w:tcPr>
          <w:p w:rsidR="00505114" w:rsidRPr="00155FF8" w:rsidRDefault="00505114" w:rsidP="00BF6BC5">
            <w:pPr>
              <w:pStyle w:val="CETBodytext"/>
              <w:rPr>
                <w:shd w:val="clear" w:color="auto" w:fill="FFFFFF"/>
              </w:rPr>
            </w:pPr>
            <w:r w:rsidRPr="00155FF8">
              <w:rPr>
                <w:lang w:eastAsia="pt-BR"/>
              </w:rPr>
              <w:t>1</w:t>
            </w:r>
            <w:r>
              <w:rPr>
                <w:lang w:eastAsia="pt-BR"/>
              </w:rPr>
              <w:t>,</w:t>
            </w:r>
            <w:r w:rsidRPr="00155FF8">
              <w:rPr>
                <w:lang w:eastAsia="pt-BR"/>
              </w:rPr>
              <w:t>470 (34</w:t>
            </w:r>
            <w:r>
              <w:rPr>
                <w:lang w:eastAsia="pt-BR"/>
              </w:rPr>
              <w:t>.</w:t>
            </w:r>
            <w:r w:rsidRPr="00155FF8">
              <w:rPr>
                <w:lang w:eastAsia="pt-BR"/>
              </w:rPr>
              <w:t>38</w:t>
            </w:r>
            <w:r>
              <w:rPr>
                <w:lang w:eastAsia="pt-BR"/>
              </w:rPr>
              <w:t xml:space="preserve"> </w:t>
            </w:r>
            <w:r w:rsidRPr="00155FF8">
              <w:rPr>
                <w:lang w:eastAsia="pt-BR"/>
              </w:rPr>
              <w:t>%)</w:t>
            </w:r>
          </w:p>
        </w:tc>
        <w:tc>
          <w:tcPr>
            <w:tcW w:w="645" w:type="pct"/>
            <w:tcBorders>
              <w:top w:val="nil"/>
              <w:left w:val="nil"/>
              <w:bottom w:val="nil"/>
              <w:right w:val="nil"/>
            </w:tcBorders>
            <w:shd w:val="clear" w:color="auto" w:fill="FFFFFF"/>
            <w:vAlign w:val="center"/>
          </w:tcPr>
          <w:p w:rsidR="00505114" w:rsidRPr="00155FF8" w:rsidRDefault="00505114" w:rsidP="00BF6BC5">
            <w:pPr>
              <w:pStyle w:val="CETBodytext"/>
              <w:rPr>
                <w:shd w:val="clear" w:color="auto" w:fill="FFFFFF"/>
              </w:rPr>
            </w:pPr>
            <w:r w:rsidRPr="00155FF8">
              <w:rPr>
                <w:i/>
                <w:iCs/>
                <w:lang w:eastAsia="pt-BR"/>
              </w:rPr>
              <w:t>146 (89</w:t>
            </w:r>
            <w:r>
              <w:rPr>
                <w:i/>
                <w:iCs/>
                <w:lang w:eastAsia="pt-BR"/>
              </w:rPr>
              <w:t>.</w:t>
            </w:r>
            <w:r w:rsidRPr="00155FF8">
              <w:rPr>
                <w:i/>
                <w:iCs/>
                <w:lang w:eastAsia="pt-BR"/>
              </w:rPr>
              <w:t>19</w:t>
            </w:r>
            <w:r>
              <w:rPr>
                <w:i/>
                <w:iCs/>
                <w:lang w:eastAsia="pt-BR"/>
              </w:rPr>
              <w:t xml:space="preserve"> </w:t>
            </w:r>
            <w:r w:rsidRPr="00155FF8">
              <w:rPr>
                <w:i/>
                <w:iCs/>
                <w:lang w:eastAsia="pt-BR"/>
              </w:rPr>
              <w:t>%)</w:t>
            </w:r>
          </w:p>
        </w:tc>
        <w:tc>
          <w:tcPr>
            <w:tcW w:w="824" w:type="pct"/>
            <w:tcBorders>
              <w:top w:val="nil"/>
              <w:left w:val="nil"/>
              <w:bottom w:val="nil"/>
              <w:right w:val="nil"/>
            </w:tcBorders>
            <w:shd w:val="clear" w:color="auto" w:fill="FFFFFF"/>
            <w:vAlign w:val="center"/>
          </w:tcPr>
          <w:p w:rsidR="00505114" w:rsidRPr="00155FF8" w:rsidRDefault="00505114" w:rsidP="00BF6BC5">
            <w:pPr>
              <w:pStyle w:val="CETBodytext"/>
              <w:rPr>
                <w:shd w:val="clear" w:color="auto" w:fill="FFFFFF"/>
              </w:rPr>
            </w:pPr>
            <w:r w:rsidRPr="00155FF8">
              <w:rPr>
                <w:lang w:eastAsia="pt-BR"/>
              </w:rPr>
              <w:t>3</w:t>
            </w:r>
            <w:r>
              <w:rPr>
                <w:lang w:eastAsia="pt-BR"/>
              </w:rPr>
              <w:t>,</w:t>
            </w:r>
            <w:r w:rsidRPr="00155FF8">
              <w:rPr>
                <w:lang w:eastAsia="pt-BR"/>
              </w:rPr>
              <w:t>200 (39</w:t>
            </w:r>
            <w:r>
              <w:rPr>
                <w:lang w:eastAsia="pt-BR"/>
              </w:rPr>
              <w:t>.</w:t>
            </w:r>
            <w:r w:rsidRPr="00155FF8">
              <w:rPr>
                <w:lang w:eastAsia="pt-BR"/>
              </w:rPr>
              <w:t>28</w:t>
            </w:r>
            <w:r>
              <w:rPr>
                <w:lang w:eastAsia="pt-BR"/>
              </w:rPr>
              <w:t xml:space="preserve"> </w:t>
            </w:r>
            <w:r w:rsidRPr="00155FF8">
              <w:rPr>
                <w:lang w:eastAsia="pt-BR"/>
              </w:rPr>
              <w:t>%)</w:t>
            </w:r>
          </w:p>
        </w:tc>
        <w:tc>
          <w:tcPr>
            <w:tcW w:w="627" w:type="pct"/>
            <w:tcBorders>
              <w:top w:val="nil"/>
              <w:left w:val="nil"/>
              <w:bottom w:val="nil"/>
              <w:right w:val="nil"/>
            </w:tcBorders>
            <w:shd w:val="clear" w:color="auto" w:fill="FFFFFF"/>
            <w:vAlign w:val="center"/>
          </w:tcPr>
          <w:p w:rsidR="00505114" w:rsidRPr="00155FF8" w:rsidRDefault="00505114" w:rsidP="00BF6BC5">
            <w:pPr>
              <w:pStyle w:val="CETBodytext"/>
              <w:rPr>
                <w:shd w:val="clear" w:color="auto" w:fill="FFFFFF"/>
              </w:rPr>
            </w:pPr>
            <w:r w:rsidRPr="00155FF8">
              <w:rPr>
                <w:lang w:eastAsia="pt-BR"/>
              </w:rPr>
              <w:t>21</w:t>
            </w:r>
            <w:r>
              <w:rPr>
                <w:lang w:eastAsia="pt-BR"/>
              </w:rPr>
              <w:t>.</w:t>
            </w:r>
            <w:r w:rsidRPr="00155FF8">
              <w:rPr>
                <w:lang w:eastAsia="pt-BR"/>
              </w:rPr>
              <w:t>9 (4</w:t>
            </w:r>
            <w:r>
              <w:rPr>
                <w:lang w:eastAsia="pt-BR"/>
              </w:rPr>
              <w:t>.</w:t>
            </w:r>
            <w:r w:rsidRPr="00155FF8">
              <w:rPr>
                <w:lang w:eastAsia="pt-BR"/>
              </w:rPr>
              <w:t>78</w:t>
            </w:r>
            <w:r>
              <w:rPr>
                <w:lang w:eastAsia="pt-BR"/>
              </w:rPr>
              <w:t xml:space="preserve"> </w:t>
            </w:r>
            <w:r w:rsidRPr="00155FF8">
              <w:rPr>
                <w:lang w:eastAsia="pt-BR"/>
              </w:rPr>
              <w:t>%)</w:t>
            </w:r>
          </w:p>
        </w:tc>
      </w:tr>
      <w:tr w:rsidR="00505114" w:rsidRPr="00155FF8" w:rsidTr="00BF6BC5">
        <w:tc>
          <w:tcPr>
            <w:tcW w:w="562" w:type="pct"/>
            <w:tcBorders>
              <w:top w:val="nil"/>
              <w:left w:val="nil"/>
              <w:bottom w:val="nil"/>
              <w:right w:val="nil"/>
            </w:tcBorders>
            <w:shd w:val="clear" w:color="auto" w:fill="FFFFFF"/>
            <w:vAlign w:val="center"/>
          </w:tcPr>
          <w:p w:rsidR="00505114" w:rsidRPr="00155FF8" w:rsidRDefault="00505114" w:rsidP="00BF6BC5">
            <w:pPr>
              <w:pStyle w:val="CETBodytext"/>
              <w:rPr>
                <w:lang w:val="en-GB"/>
              </w:rPr>
            </w:pPr>
            <w:r w:rsidRPr="00155FF8">
              <w:rPr>
                <w:lang w:eastAsia="pt-BR"/>
              </w:rPr>
              <w:t>10</w:t>
            </w:r>
          </w:p>
        </w:tc>
        <w:tc>
          <w:tcPr>
            <w:tcW w:w="245" w:type="pct"/>
            <w:tcBorders>
              <w:top w:val="nil"/>
              <w:left w:val="nil"/>
              <w:bottom w:val="nil"/>
              <w:right w:val="nil"/>
            </w:tcBorders>
            <w:shd w:val="clear" w:color="auto" w:fill="FFFFFF"/>
            <w:vAlign w:val="center"/>
          </w:tcPr>
          <w:p w:rsidR="00505114" w:rsidRPr="00155FF8" w:rsidRDefault="00505114" w:rsidP="00BF6BC5">
            <w:pPr>
              <w:pStyle w:val="CETBodytext"/>
              <w:rPr>
                <w:shd w:val="clear" w:color="auto" w:fill="FFFFFF"/>
              </w:rPr>
            </w:pPr>
            <w:r w:rsidRPr="00155FF8">
              <w:rPr>
                <w:lang w:eastAsia="pt-BR"/>
              </w:rPr>
              <w:t>0</w:t>
            </w:r>
          </w:p>
        </w:tc>
        <w:tc>
          <w:tcPr>
            <w:tcW w:w="484" w:type="pct"/>
            <w:gridSpan w:val="2"/>
            <w:tcBorders>
              <w:top w:val="nil"/>
              <w:left w:val="nil"/>
              <w:bottom w:val="nil"/>
              <w:right w:val="nil"/>
            </w:tcBorders>
            <w:shd w:val="clear" w:color="auto" w:fill="FFFFFF"/>
            <w:vAlign w:val="center"/>
          </w:tcPr>
          <w:p w:rsidR="00505114" w:rsidRPr="00155FF8" w:rsidRDefault="00505114" w:rsidP="00BF6BC5">
            <w:pPr>
              <w:pStyle w:val="CETBodytext"/>
              <w:rPr>
                <w:shd w:val="clear" w:color="auto" w:fill="FFFFFF"/>
              </w:rPr>
            </w:pPr>
            <w:r w:rsidRPr="00155FF8">
              <w:rPr>
                <w:lang w:eastAsia="pt-BR"/>
              </w:rPr>
              <w:t>-1</w:t>
            </w:r>
            <w:r>
              <w:rPr>
                <w:lang w:eastAsia="pt-BR"/>
              </w:rPr>
              <w:t>.</w:t>
            </w:r>
            <w:r w:rsidRPr="00155FF8">
              <w:rPr>
                <w:lang w:eastAsia="pt-BR"/>
              </w:rPr>
              <w:t>41</w:t>
            </w:r>
          </w:p>
        </w:tc>
        <w:tc>
          <w:tcPr>
            <w:tcW w:w="403" w:type="pct"/>
            <w:tcBorders>
              <w:top w:val="nil"/>
              <w:left w:val="nil"/>
              <w:bottom w:val="nil"/>
              <w:right w:val="nil"/>
            </w:tcBorders>
            <w:shd w:val="clear" w:color="auto" w:fill="FFFFFF"/>
            <w:vAlign w:val="center"/>
          </w:tcPr>
          <w:p w:rsidR="00505114" w:rsidRPr="00155FF8" w:rsidRDefault="00505114" w:rsidP="00BF6BC5">
            <w:pPr>
              <w:pStyle w:val="CETBodytext"/>
              <w:rPr>
                <w:shd w:val="clear" w:color="auto" w:fill="FFFFFF"/>
              </w:rPr>
            </w:pPr>
            <w:r w:rsidRPr="00155FF8">
              <w:rPr>
                <w:lang w:eastAsia="pt-BR"/>
              </w:rPr>
              <w:t>2</w:t>
            </w:r>
            <w:r>
              <w:rPr>
                <w:lang w:eastAsia="pt-BR"/>
              </w:rPr>
              <w:t>,</w:t>
            </w:r>
            <w:r w:rsidRPr="00155FF8">
              <w:rPr>
                <w:lang w:eastAsia="pt-BR"/>
              </w:rPr>
              <w:t>400</w:t>
            </w:r>
          </w:p>
        </w:tc>
        <w:tc>
          <w:tcPr>
            <w:tcW w:w="485" w:type="pct"/>
            <w:tcBorders>
              <w:top w:val="nil"/>
              <w:left w:val="nil"/>
              <w:bottom w:val="nil"/>
              <w:right w:val="nil"/>
            </w:tcBorders>
            <w:shd w:val="clear" w:color="auto" w:fill="FFFFFF"/>
            <w:vAlign w:val="center"/>
          </w:tcPr>
          <w:p w:rsidR="00505114" w:rsidRPr="00155FF8" w:rsidRDefault="00505114" w:rsidP="00BF6BC5">
            <w:pPr>
              <w:pStyle w:val="CETBodytext"/>
              <w:rPr>
                <w:shd w:val="clear" w:color="auto" w:fill="FFFFFF"/>
              </w:rPr>
            </w:pPr>
            <w:r w:rsidRPr="00155FF8">
              <w:rPr>
                <w:lang w:eastAsia="pt-BR"/>
              </w:rPr>
              <w:t>0</w:t>
            </w:r>
            <w:r>
              <w:rPr>
                <w:lang w:eastAsia="pt-BR"/>
              </w:rPr>
              <w:t>.</w:t>
            </w:r>
            <w:r w:rsidRPr="00155FF8">
              <w:rPr>
                <w:lang w:eastAsia="pt-BR"/>
              </w:rPr>
              <w:t>3</w:t>
            </w:r>
          </w:p>
        </w:tc>
        <w:tc>
          <w:tcPr>
            <w:tcW w:w="725" w:type="pct"/>
            <w:tcBorders>
              <w:top w:val="nil"/>
              <w:left w:val="nil"/>
              <w:bottom w:val="nil"/>
              <w:right w:val="nil"/>
            </w:tcBorders>
            <w:shd w:val="clear" w:color="auto" w:fill="FFFFFF"/>
            <w:vAlign w:val="center"/>
          </w:tcPr>
          <w:p w:rsidR="00505114" w:rsidRPr="00155FF8" w:rsidRDefault="00505114" w:rsidP="00BF6BC5">
            <w:pPr>
              <w:pStyle w:val="CETBodytext"/>
              <w:rPr>
                <w:shd w:val="clear" w:color="auto" w:fill="FFFFFF"/>
              </w:rPr>
            </w:pPr>
            <w:r w:rsidRPr="00155FF8">
              <w:rPr>
                <w:lang w:eastAsia="pt-BR"/>
              </w:rPr>
              <w:t>1</w:t>
            </w:r>
            <w:r>
              <w:rPr>
                <w:lang w:eastAsia="pt-BR"/>
              </w:rPr>
              <w:t>,</w:t>
            </w:r>
            <w:r w:rsidRPr="00155FF8">
              <w:rPr>
                <w:lang w:eastAsia="pt-BR"/>
              </w:rPr>
              <w:t>600 (28</w:t>
            </w:r>
            <w:r>
              <w:rPr>
                <w:lang w:eastAsia="pt-BR"/>
              </w:rPr>
              <w:t>.</w:t>
            </w:r>
            <w:r w:rsidRPr="00155FF8">
              <w:rPr>
                <w:lang w:eastAsia="pt-BR"/>
              </w:rPr>
              <w:t>57</w:t>
            </w:r>
            <w:r>
              <w:rPr>
                <w:lang w:eastAsia="pt-BR"/>
              </w:rPr>
              <w:t xml:space="preserve"> </w:t>
            </w:r>
            <w:r w:rsidRPr="00155FF8">
              <w:rPr>
                <w:lang w:eastAsia="pt-BR"/>
              </w:rPr>
              <w:t>%)</w:t>
            </w:r>
          </w:p>
        </w:tc>
        <w:tc>
          <w:tcPr>
            <w:tcW w:w="645" w:type="pct"/>
            <w:tcBorders>
              <w:top w:val="nil"/>
              <w:left w:val="nil"/>
              <w:bottom w:val="nil"/>
              <w:right w:val="nil"/>
            </w:tcBorders>
            <w:shd w:val="clear" w:color="auto" w:fill="FFFFFF"/>
            <w:vAlign w:val="center"/>
          </w:tcPr>
          <w:p w:rsidR="00505114" w:rsidRPr="00155FF8" w:rsidRDefault="00505114" w:rsidP="00BF6BC5">
            <w:pPr>
              <w:pStyle w:val="CETBodytext"/>
              <w:rPr>
                <w:shd w:val="clear" w:color="auto" w:fill="FFFFFF"/>
              </w:rPr>
            </w:pPr>
            <w:r w:rsidRPr="00155FF8">
              <w:rPr>
                <w:lang w:eastAsia="pt-BR"/>
              </w:rPr>
              <w:t>194 (85</w:t>
            </w:r>
            <w:r>
              <w:rPr>
                <w:lang w:eastAsia="pt-BR"/>
              </w:rPr>
              <w:t>.</w:t>
            </w:r>
            <w:r w:rsidRPr="00155FF8">
              <w:rPr>
                <w:lang w:eastAsia="pt-BR"/>
              </w:rPr>
              <w:t>63</w:t>
            </w:r>
            <w:r>
              <w:rPr>
                <w:lang w:eastAsia="pt-BR"/>
              </w:rPr>
              <w:t xml:space="preserve"> </w:t>
            </w:r>
            <w:r w:rsidRPr="00155FF8">
              <w:rPr>
                <w:lang w:eastAsia="pt-BR"/>
              </w:rPr>
              <w:t>%)</w:t>
            </w:r>
          </w:p>
        </w:tc>
        <w:tc>
          <w:tcPr>
            <w:tcW w:w="824" w:type="pct"/>
            <w:tcBorders>
              <w:top w:val="nil"/>
              <w:left w:val="nil"/>
              <w:bottom w:val="nil"/>
              <w:right w:val="nil"/>
            </w:tcBorders>
            <w:shd w:val="clear" w:color="auto" w:fill="FFFFFF"/>
            <w:vAlign w:val="center"/>
          </w:tcPr>
          <w:p w:rsidR="00505114" w:rsidRPr="00155FF8" w:rsidRDefault="00505114" w:rsidP="00BF6BC5">
            <w:pPr>
              <w:pStyle w:val="CETBodytext"/>
              <w:rPr>
                <w:shd w:val="clear" w:color="auto" w:fill="FFFFFF"/>
              </w:rPr>
            </w:pPr>
            <w:r w:rsidRPr="00155FF8">
              <w:rPr>
                <w:lang w:eastAsia="pt-BR"/>
              </w:rPr>
              <w:t>2</w:t>
            </w:r>
            <w:r>
              <w:rPr>
                <w:lang w:eastAsia="pt-BR"/>
              </w:rPr>
              <w:t>,</w:t>
            </w:r>
            <w:r w:rsidRPr="00155FF8">
              <w:rPr>
                <w:lang w:eastAsia="pt-BR"/>
              </w:rPr>
              <w:t>530 (50</w:t>
            </w:r>
            <w:r>
              <w:rPr>
                <w:lang w:eastAsia="pt-BR"/>
              </w:rPr>
              <w:t>.</w:t>
            </w:r>
            <w:r w:rsidRPr="00155FF8">
              <w:rPr>
                <w:lang w:eastAsia="pt-BR"/>
              </w:rPr>
              <w:t>02</w:t>
            </w:r>
            <w:r>
              <w:rPr>
                <w:lang w:eastAsia="pt-BR"/>
              </w:rPr>
              <w:t xml:space="preserve"> </w:t>
            </w:r>
            <w:r w:rsidRPr="00155FF8">
              <w:rPr>
                <w:lang w:eastAsia="pt-BR"/>
              </w:rPr>
              <w:t>%)</w:t>
            </w:r>
          </w:p>
        </w:tc>
        <w:tc>
          <w:tcPr>
            <w:tcW w:w="627" w:type="pct"/>
            <w:tcBorders>
              <w:top w:val="nil"/>
              <w:left w:val="nil"/>
              <w:bottom w:val="nil"/>
              <w:right w:val="nil"/>
            </w:tcBorders>
            <w:shd w:val="clear" w:color="auto" w:fill="FFFFFF"/>
            <w:vAlign w:val="center"/>
          </w:tcPr>
          <w:p w:rsidR="00505114" w:rsidRPr="00155FF8" w:rsidRDefault="00505114" w:rsidP="00BF6BC5">
            <w:pPr>
              <w:pStyle w:val="CETBodytext"/>
              <w:rPr>
                <w:shd w:val="clear" w:color="auto" w:fill="FFFFFF"/>
              </w:rPr>
            </w:pPr>
            <w:r w:rsidRPr="00155FF8">
              <w:rPr>
                <w:lang w:eastAsia="pt-BR"/>
              </w:rPr>
              <w:t>22</w:t>
            </w:r>
            <w:r>
              <w:rPr>
                <w:lang w:eastAsia="pt-BR"/>
              </w:rPr>
              <w:t>.</w:t>
            </w:r>
            <w:r w:rsidRPr="00155FF8">
              <w:rPr>
                <w:lang w:eastAsia="pt-BR"/>
              </w:rPr>
              <w:t>1 (3</w:t>
            </w:r>
            <w:r>
              <w:rPr>
                <w:lang w:eastAsia="pt-BR"/>
              </w:rPr>
              <w:t>.</w:t>
            </w:r>
            <w:r w:rsidRPr="00155FF8">
              <w:rPr>
                <w:lang w:eastAsia="pt-BR"/>
              </w:rPr>
              <w:t>91</w:t>
            </w:r>
            <w:r>
              <w:rPr>
                <w:lang w:eastAsia="pt-BR"/>
              </w:rPr>
              <w:t xml:space="preserve"> </w:t>
            </w:r>
            <w:r w:rsidRPr="00155FF8">
              <w:rPr>
                <w:lang w:eastAsia="pt-BR"/>
              </w:rPr>
              <w:t>%)</w:t>
            </w:r>
          </w:p>
        </w:tc>
      </w:tr>
      <w:tr w:rsidR="00505114" w:rsidRPr="00155FF8" w:rsidTr="00BF6BC5">
        <w:tc>
          <w:tcPr>
            <w:tcW w:w="562" w:type="pct"/>
            <w:tcBorders>
              <w:top w:val="nil"/>
              <w:left w:val="nil"/>
              <w:bottom w:val="single" w:sz="12" w:space="0" w:color="008000"/>
              <w:right w:val="nil"/>
            </w:tcBorders>
            <w:shd w:val="clear" w:color="auto" w:fill="FFFFFF"/>
            <w:vAlign w:val="center"/>
          </w:tcPr>
          <w:p w:rsidR="00505114" w:rsidRPr="00155FF8" w:rsidRDefault="00505114" w:rsidP="00BF6BC5">
            <w:pPr>
              <w:pStyle w:val="CETBodytext"/>
              <w:rPr>
                <w:lang w:val="en-GB"/>
              </w:rPr>
            </w:pPr>
            <w:r w:rsidRPr="00155FF8">
              <w:rPr>
                <w:lang w:eastAsia="pt-BR"/>
              </w:rPr>
              <w:t>11</w:t>
            </w:r>
          </w:p>
        </w:tc>
        <w:tc>
          <w:tcPr>
            <w:tcW w:w="245" w:type="pct"/>
            <w:tcBorders>
              <w:top w:val="nil"/>
              <w:left w:val="nil"/>
              <w:bottom w:val="single" w:sz="12" w:space="0" w:color="008000"/>
              <w:right w:val="nil"/>
            </w:tcBorders>
            <w:shd w:val="clear" w:color="auto" w:fill="FFFFFF"/>
            <w:vAlign w:val="center"/>
          </w:tcPr>
          <w:p w:rsidR="00505114" w:rsidRPr="00155FF8" w:rsidRDefault="00505114" w:rsidP="00BF6BC5">
            <w:pPr>
              <w:pStyle w:val="CETBodytext"/>
              <w:rPr>
                <w:lang w:val="en-GB"/>
              </w:rPr>
            </w:pPr>
            <w:r w:rsidRPr="00155FF8">
              <w:rPr>
                <w:lang w:eastAsia="pt-BR"/>
              </w:rPr>
              <w:t>0</w:t>
            </w:r>
          </w:p>
        </w:tc>
        <w:tc>
          <w:tcPr>
            <w:tcW w:w="484" w:type="pct"/>
            <w:gridSpan w:val="2"/>
            <w:tcBorders>
              <w:top w:val="nil"/>
              <w:left w:val="nil"/>
              <w:bottom w:val="single" w:sz="12" w:space="0" w:color="008000"/>
              <w:right w:val="nil"/>
            </w:tcBorders>
            <w:shd w:val="clear" w:color="auto" w:fill="FFFFFF"/>
            <w:vAlign w:val="center"/>
          </w:tcPr>
          <w:p w:rsidR="00505114" w:rsidRPr="00155FF8" w:rsidRDefault="00505114" w:rsidP="00BF6BC5">
            <w:pPr>
              <w:pStyle w:val="CETBodytext"/>
              <w:rPr>
                <w:lang w:val="en-GB"/>
              </w:rPr>
            </w:pPr>
            <w:r w:rsidRPr="00155FF8">
              <w:rPr>
                <w:lang w:eastAsia="pt-BR"/>
              </w:rPr>
              <w:t>1</w:t>
            </w:r>
            <w:r>
              <w:rPr>
                <w:lang w:eastAsia="pt-BR"/>
              </w:rPr>
              <w:t>.</w:t>
            </w:r>
            <w:r w:rsidRPr="00155FF8">
              <w:rPr>
                <w:lang w:eastAsia="pt-BR"/>
              </w:rPr>
              <w:t>41</w:t>
            </w:r>
          </w:p>
        </w:tc>
        <w:tc>
          <w:tcPr>
            <w:tcW w:w="403" w:type="pct"/>
            <w:tcBorders>
              <w:top w:val="nil"/>
              <w:left w:val="nil"/>
              <w:bottom w:val="single" w:sz="12" w:space="0" w:color="008000"/>
              <w:right w:val="nil"/>
            </w:tcBorders>
            <w:shd w:val="clear" w:color="auto" w:fill="FFFFFF"/>
            <w:vAlign w:val="center"/>
          </w:tcPr>
          <w:p w:rsidR="00505114" w:rsidRPr="00155FF8" w:rsidRDefault="00505114" w:rsidP="00BF6BC5">
            <w:pPr>
              <w:pStyle w:val="CETBodytext"/>
              <w:rPr>
                <w:lang w:val="en-GB"/>
              </w:rPr>
            </w:pPr>
            <w:r w:rsidRPr="00155FF8">
              <w:rPr>
                <w:lang w:eastAsia="pt-BR"/>
              </w:rPr>
              <w:t>2</w:t>
            </w:r>
            <w:r>
              <w:rPr>
                <w:lang w:eastAsia="pt-BR"/>
              </w:rPr>
              <w:t>,</w:t>
            </w:r>
            <w:r w:rsidRPr="00155FF8">
              <w:rPr>
                <w:lang w:eastAsia="pt-BR"/>
              </w:rPr>
              <w:t>400</w:t>
            </w:r>
          </w:p>
        </w:tc>
        <w:tc>
          <w:tcPr>
            <w:tcW w:w="485" w:type="pct"/>
            <w:tcBorders>
              <w:top w:val="nil"/>
              <w:left w:val="nil"/>
              <w:bottom w:val="single" w:sz="12" w:space="0" w:color="008000"/>
              <w:right w:val="nil"/>
            </w:tcBorders>
            <w:shd w:val="clear" w:color="auto" w:fill="FFFFFF"/>
            <w:vAlign w:val="center"/>
          </w:tcPr>
          <w:p w:rsidR="00505114" w:rsidRPr="00155FF8" w:rsidRDefault="00505114" w:rsidP="00BF6BC5">
            <w:pPr>
              <w:pStyle w:val="CETBodytext"/>
              <w:rPr>
                <w:lang w:val="en-GB"/>
              </w:rPr>
            </w:pPr>
            <w:r w:rsidRPr="00155FF8">
              <w:rPr>
                <w:lang w:eastAsia="pt-BR"/>
              </w:rPr>
              <w:t>1</w:t>
            </w:r>
            <w:r>
              <w:rPr>
                <w:lang w:eastAsia="pt-BR"/>
              </w:rPr>
              <w:t>.</w:t>
            </w:r>
            <w:r w:rsidRPr="00155FF8">
              <w:rPr>
                <w:lang w:eastAsia="pt-BR"/>
              </w:rPr>
              <w:t>7</w:t>
            </w:r>
          </w:p>
        </w:tc>
        <w:tc>
          <w:tcPr>
            <w:tcW w:w="725" w:type="pct"/>
            <w:tcBorders>
              <w:top w:val="nil"/>
              <w:left w:val="nil"/>
              <w:bottom w:val="single" w:sz="12" w:space="0" w:color="008000"/>
              <w:right w:val="nil"/>
            </w:tcBorders>
            <w:shd w:val="clear" w:color="auto" w:fill="FFFFFF"/>
            <w:vAlign w:val="center"/>
          </w:tcPr>
          <w:p w:rsidR="00505114" w:rsidRPr="00155FF8" w:rsidRDefault="00505114" w:rsidP="00BF6BC5">
            <w:pPr>
              <w:pStyle w:val="CETBodytext"/>
              <w:rPr>
                <w:shd w:val="clear" w:color="auto" w:fill="FFFFFF"/>
              </w:rPr>
            </w:pPr>
            <w:r w:rsidRPr="00155FF8">
              <w:rPr>
                <w:lang w:eastAsia="pt-BR"/>
              </w:rPr>
              <w:t>1</w:t>
            </w:r>
            <w:r>
              <w:rPr>
                <w:lang w:eastAsia="pt-BR"/>
              </w:rPr>
              <w:t>,</w:t>
            </w:r>
            <w:r w:rsidRPr="00155FF8">
              <w:rPr>
                <w:lang w:eastAsia="pt-BR"/>
              </w:rPr>
              <w:t>630 (27</w:t>
            </w:r>
            <w:r>
              <w:rPr>
                <w:lang w:eastAsia="pt-BR"/>
              </w:rPr>
              <w:t>.</w:t>
            </w:r>
            <w:r w:rsidRPr="00155FF8">
              <w:rPr>
                <w:lang w:eastAsia="pt-BR"/>
              </w:rPr>
              <w:t>23</w:t>
            </w:r>
            <w:r>
              <w:rPr>
                <w:lang w:eastAsia="pt-BR"/>
              </w:rPr>
              <w:t xml:space="preserve"> </w:t>
            </w:r>
            <w:r w:rsidRPr="00155FF8">
              <w:rPr>
                <w:lang w:eastAsia="pt-BR"/>
              </w:rPr>
              <w:t>%)</w:t>
            </w:r>
          </w:p>
        </w:tc>
        <w:tc>
          <w:tcPr>
            <w:tcW w:w="645" w:type="pct"/>
            <w:tcBorders>
              <w:top w:val="nil"/>
              <w:left w:val="nil"/>
              <w:bottom w:val="single" w:sz="12" w:space="0" w:color="008000"/>
              <w:right w:val="nil"/>
            </w:tcBorders>
            <w:shd w:val="clear" w:color="auto" w:fill="FFFFFF"/>
            <w:vAlign w:val="center"/>
          </w:tcPr>
          <w:p w:rsidR="00505114" w:rsidRPr="00155FF8" w:rsidRDefault="00505114" w:rsidP="00BF6BC5">
            <w:pPr>
              <w:pStyle w:val="CETBodytext"/>
              <w:rPr>
                <w:shd w:val="clear" w:color="auto" w:fill="FFFFFF"/>
              </w:rPr>
            </w:pPr>
            <w:r w:rsidRPr="00155FF8">
              <w:rPr>
                <w:lang w:eastAsia="pt-BR"/>
              </w:rPr>
              <w:t>199 (85</w:t>
            </w:r>
            <w:r>
              <w:rPr>
                <w:lang w:eastAsia="pt-BR"/>
              </w:rPr>
              <w:t>.</w:t>
            </w:r>
            <w:r w:rsidRPr="00155FF8">
              <w:rPr>
                <w:lang w:eastAsia="pt-BR"/>
              </w:rPr>
              <w:t>26</w:t>
            </w:r>
            <w:r>
              <w:rPr>
                <w:lang w:eastAsia="pt-BR"/>
              </w:rPr>
              <w:t xml:space="preserve"> </w:t>
            </w:r>
            <w:r w:rsidRPr="00155FF8">
              <w:rPr>
                <w:lang w:eastAsia="pt-BR"/>
              </w:rPr>
              <w:t>%)</w:t>
            </w:r>
          </w:p>
        </w:tc>
        <w:tc>
          <w:tcPr>
            <w:tcW w:w="824" w:type="pct"/>
            <w:tcBorders>
              <w:top w:val="nil"/>
              <w:left w:val="nil"/>
              <w:bottom w:val="single" w:sz="12" w:space="0" w:color="008000"/>
              <w:right w:val="nil"/>
            </w:tcBorders>
            <w:shd w:val="clear" w:color="auto" w:fill="FFFFFF"/>
            <w:vAlign w:val="center"/>
          </w:tcPr>
          <w:p w:rsidR="00505114" w:rsidRPr="00155FF8" w:rsidRDefault="00505114" w:rsidP="00BF6BC5">
            <w:pPr>
              <w:pStyle w:val="CETBodytext"/>
              <w:rPr>
                <w:shd w:val="clear" w:color="auto" w:fill="FFFFFF"/>
              </w:rPr>
            </w:pPr>
            <w:r w:rsidRPr="00155FF8">
              <w:rPr>
                <w:lang w:eastAsia="pt-BR"/>
              </w:rPr>
              <w:t>3</w:t>
            </w:r>
            <w:r>
              <w:rPr>
                <w:lang w:eastAsia="pt-BR"/>
              </w:rPr>
              <w:t>,</w:t>
            </w:r>
            <w:r w:rsidRPr="00155FF8">
              <w:rPr>
                <w:lang w:eastAsia="pt-BR"/>
              </w:rPr>
              <w:t>740 (29</w:t>
            </w:r>
            <w:r>
              <w:rPr>
                <w:lang w:eastAsia="pt-BR"/>
              </w:rPr>
              <w:t>.</w:t>
            </w:r>
            <w:r w:rsidRPr="00155FF8">
              <w:rPr>
                <w:lang w:eastAsia="pt-BR"/>
              </w:rPr>
              <w:t>03</w:t>
            </w:r>
            <w:r>
              <w:rPr>
                <w:lang w:eastAsia="pt-BR"/>
              </w:rPr>
              <w:t xml:space="preserve"> </w:t>
            </w:r>
            <w:r w:rsidRPr="00155FF8">
              <w:rPr>
                <w:lang w:eastAsia="pt-BR"/>
              </w:rPr>
              <w:t>%)</w:t>
            </w:r>
          </w:p>
        </w:tc>
        <w:tc>
          <w:tcPr>
            <w:tcW w:w="627" w:type="pct"/>
            <w:tcBorders>
              <w:top w:val="nil"/>
              <w:left w:val="nil"/>
              <w:bottom w:val="single" w:sz="12" w:space="0" w:color="008000"/>
              <w:right w:val="nil"/>
            </w:tcBorders>
            <w:shd w:val="clear" w:color="auto" w:fill="FFFFFF"/>
            <w:vAlign w:val="center"/>
          </w:tcPr>
          <w:p w:rsidR="00505114" w:rsidRPr="00155FF8" w:rsidRDefault="00505114" w:rsidP="00BF6BC5">
            <w:pPr>
              <w:pStyle w:val="CETBodytext"/>
              <w:rPr>
                <w:lang w:val="en-GB"/>
              </w:rPr>
            </w:pPr>
            <w:r w:rsidRPr="00155FF8">
              <w:rPr>
                <w:i/>
                <w:iCs/>
                <w:lang w:eastAsia="pt-BR"/>
              </w:rPr>
              <w:t>22</w:t>
            </w:r>
            <w:r>
              <w:rPr>
                <w:i/>
                <w:iCs/>
                <w:lang w:eastAsia="pt-BR"/>
              </w:rPr>
              <w:t>.</w:t>
            </w:r>
            <w:r w:rsidRPr="00155FF8">
              <w:rPr>
                <w:i/>
                <w:iCs/>
                <w:lang w:eastAsia="pt-BR"/>
              </w:rPr>
              <w:t>2 (3</w:t>
            </w:r>
            <w:r>
              <w:rPr>
                <w:i/>
                <w:iCs/>
                <w:lang w:eastAsia="pt-BR"/>
              </w:rPr>
              <w:t>.</w:t>
            </w:r>
            <w:r w:rsidRPr="00155FF8">
              <w:rPr>
                <w:i/>
                <w:iCs/>
                <w:lang w:eastAsia="pt-BR"/>
              </w:rPr>
              <w:t>48</w:t>
            </w:r>
            <w:r>
              <w:rPr>
                <w:i/>
                <w:iCs/>
                <w:lang w:eastAsia="pt-BR"/>
              </w:rPr>
              <w:t xml:space="preserve"> </w:t>
            </w:r>
            <w:r w:rsidRPr="00155FF8">
              <w:rPr>
                <w:i/>
                <w:iCs/>
                <w:lang w:eastAsia="pt-BR"/>
              </w:rPr>
              <w:t>%)</w:t>
            </w:r>
          </w:p>
        </w:tc>
      </w:tr>
    </w:tbl>
    <w:p w:rsidR="00505114" w:rsidRPr="00D94B2F" w:rsidRDefault="00505114" w:rsidP="00505114">
      <w:pPr>
        <w:pStyle w:val="CETBodytext"/>
      </w:pPr>
      <w:r w:rsidRPr="00E96C35">
        <w:t>No</w:t>
      </w:r>
      <w:r>
        <w:t>te</w:t>
      </w:r>
      <w:r w:rsidRPr="00D94B2F">
        <w:t xml:space="preserve">: </w:t>
      </w:r>
      <w:r w:rsidRPr="00E96C35">
        <w:t>In parentheses are the respective reduction percentages</w:t>
      </w:r>
      <w:r w:rsidRPr="00D94B2F">
        <w:t>.</w:t>
      </w:r>
    </w:p>
    <w:p w:rsidR="00505114" w:rsidRDefault="00505114" w:rsidP="00505114">
      <w:pPr>
        <w:tabs>
          <w:tab w:val="clear" w:pos="7100"/>
          <w:tab w:val="left" w:pos="3345"/>
        </w:tabs>
        <w:autoSpaceDE w:val="0"/>
        <w:autoSpaceDN w:val="0"/>
        <w:adjustRightInd w:val="0"/>
        <w:rPr>
          <w:rFonts w:cs="Arial"/>
          <w:szCs w:val="18"/>
          <w:lang w:val="en-US"/>
        </w:rPr>
      </w:pPr>
    </w:p>
    <w:p w:rsidR="00505114" w:rsidRDefault="00505114" w:rsidP="00505114">
      <w:pPr>
        <w:pStyle w:val="CETBodytext"/>
      </w:pPr>
      <w:r>
        <w:t xml:space="preserve">As can be seen in Table 3 results show that the highest </w:t>
      </w:r>
      <w:r w:rsidRPr="00E155CD">
        <w:t>turbidity</w:t>
      </w:r>
      <w:r>
        <w:t xml:space="preserve"> reduction was 89.19 %</w:t>
      </w:r>
      <w:r w:rsidRPr="008C3177">
        <w:t xml:space="preserve"> corresponding to assay </w:t>
      </w:r>
      <w:r>
        <w:t xml:space="preserve">number </w:t>
      </w:r>
      <w:r w:rsidRPr="008C3177">
        <w:t>9 (coagulant concentration of 2</w:t>
      </w:r>
      <w:r>
        <w:t>,</w:t>
      </w:r>
      <w:r w:rsidRPr="008C3177">
        <w:t>823 mg L</w:t>
      </w:r>
      <w:r w:rsidRPr="008C3177">
        <w:rPr>
          <w:vertAlign w:val="superscript"/>
        </w:rPr>
        <w:t>-1</w:t>
      </w:r>
      <w:r w:rsidRPr="008C3177">
        <w:t xml:space="preserve"> and molar concentration 1 mol L</w:t>
      </w:r>
      <w:r w:rsidRPr="008C3177">
        <w:rPr>
          <w:vertAlign w:val="superscript"/>
        </w:rPr>
        <w:t>-1</w:t>
      </w:r>
      <w:r w:rsidRPr="008C3177">
        <w:t xml:space="preserve"> NaCl solution). The lowest reduction for this parameter was assigned to </w:t>
      </w:r>
      <w:r>
        <w:t>assay number</w:t>
      </w:r>
      <w:r w:rsidRPr="008C3177">
        <w:t xml:space="preserve"> 1 (2</w:t>
      </w:r>
      <w:r>
        <w:t>,</w:t>
      </w:r>
      <w:r w:rsidRPr="008C3177">
        <w:t>100 mg L</w:t>
      </w:r>
      <w:r w:rsidRPr="008C3177">
        <w:rPr>
          <w:vertAlign w:val="superscript"/>
        </w:rPr>
        <w:t>-1</w:t>
      </w:r>
      <w:r w:rsidRPr="008C3177">
        <w:t xml:space="preserve"> and 0.5 mol L</w:t>
      </w:r>
      <w:r w:rsidRPr="008C3177">
        <w:rPr>
          <w:vertAlign w:val="superscript"/>
        </w:rPr>
        <w:t>-1</w:t>
      </w:r>
      <w:r w:rsidRPr="008C3177">
        <w:t>), with 84.44</w:t>
      </w:r>
      <w:r>
        <w:t xml:space="preserve"> </w:t>
      </w:r>
      <w:r w:rsidRPr="008C3177">
        <w:t>%. The use of chitosan to obtain a percentage of turbidity reduction of 71.6</w:t>
      </w:r>
      <w:r>
        <w:t xml:space="preserve"> </w:t>
      </w:r>
      <w:r w:rsidRPr="008C3177">
        <w:t>%, using 170 mg L</w:t>
      </w:r>
      <w:r w:rsidRPr="008C3177">
        <w:rPr>
          <w:vertAlign w:val="superscript"/>
        </w:rPr>
        <w:t>-1</w:t>
      </w:r>
      <w:r w:rsidRPr="008C3177">
        <w:t xml:space="preserve"> of chitosan under acidic pH, was observed by Souza &amp; Pawlowsky (2011). The</w:t>
      </w:r>
      <w:r w:rsidRPr="00846829">
        <w:t xml:space="preserve"> </w:t>
      </w:r>
      <w:r w:rsidRPr="008C3177">
        <w:t xml:space="preserve">sufficient time for </w:t>
      </w:r>
      <w:r>
        <w:t xml:space="preserve">the flakes </w:t>
      </w:r>
      <w:r w:rsidRPr="008C3177">
        <w:t xml:space="preserve">sedimentation was 20 minutes. For this </w:t>
      </w:r>
      <w:r w:rsidR="00474CAF">
        <w:t xml:space="preserve">removal </w:t>
      </w:r>
      <w:r w:rsidRPr="008C3177">
        <w:t>percentage in the present study it would be necessary around 30 minutes to obtain similar results using a concentration of 2</w:t>
      </w:r>
      <w:r>
        <w:t>,</w:t>
      </w:r>
      <w:r w:rsidRPr="008C3177">
        <w:t>823 mg L</w:t>
      </w:r>
      <w:r w:rsidRPr="00846829">
        <w:rPr>
          <w:vertAlign w:val="superscript"/>
        </w:rPr>
        <w:t>-1</w:t>
      </w:r>
      <w:r w:rsidRPr="008C3177">
        <w:t xml:space="preserve"> of Moringa.</w:t>
      </w:r>
    </w:p>
    <w:p w:rsidR="00505114" w:rsidRDefault="00505114" w:rsidP="00505114">
      <w:pPr>
        <w:pStyle w:val="CETBodytext"/>
      </w:pPr>
      <w:r w:rsidRPr="00D4763B">
        <w:t>Lima et al. (2009) added tannin and flocculation auxiliaries. The authors, through a factorial design, evaluated the effect of pH (4</w:t>
      </w:r>
      <w:r>
        <w:t>.</w:t>
      </w:r>
      <w:r w:rsidRPr="00D4763B">
        <w:t>6</w:t>
      </w:r>
      <w:r>
        <w:t>;</w:t>
      </w:r>
      <w:r w:rsidRPr="00D4763B">
        <w:t xml:space="preserve"> 6</w:t>
      </w:r>
      <w:r>
        <w:t>.</w:t>
      </w:r>
      <w:r w:rsidRPr="00D4763B">
        <w:t>3 and 8</w:t>
      </w:r>
      <w:r>
        <w:t>.</w:t>
      </w:r>
      <w:r w:rsidRPr="00D4763B">
        <w:t xml:space="preserve">0) on turbidity removal process. </w:t>
      </w:r>
      <w:r>
        <w:t>R</w:t>
      </w:r>
      <w:r w:rsidRPr="00D4763B">
        <w:t>esults of the tests showed that the maximum reduction efficiency achieved was 50</w:t>
      </w:r>
      <w:r>
        <w:t xml:space="preserve"> </w:t>
      </w:r>
      <w:r w:rsidRPr="00D4763B">
        <w:t>% (from 800 to 400 NTU) under the conditions of basic pH (8.0) and tannin concentration of 0.2 mL L</w:t>
      </w:r>
      <w:r w:rsidRPr="00D4763B">
        <w:rPr>
          <w:vertAlign w:val="superscript"/>
        </w:rPr>
        <w:t>-1</w:t>
      </w:r>
      <w:r w:rsidRPr="00D4763B">
        <w:t>, while the present study worked under acidic pH conditions, without any adjustments, obtaining a significantly higher removal percentage.</w:t>
      </w:r>
    </w:p>
    <w:p w:rsidR="00505114" w:rsidRPr="008877BE" w:rsidRDefault="00505114" w:rsidP="00505114">
      <w:pPr>
        <w:pStyle w:val="CETBodytext"/>
        <w:rPr>
          <w:lang w:val="en-GB"/>
        </w:rPr>
      </w:pPr>
      <w:r w:rsidRPr="00796187">
        <w:rPr>
          <w:lang w:val="en-GB"/>
        </w:rPr>
        <w:t xml:space="preserve">As already pointed out in previous items, pH of the wastewater used in </w:t>
      </w:r>
      <w:r>
        <w:rPr>
          <w:lang w:val="en-GB"/>
        </w:rPr>
        <w:t>this</w:t>
      </w:r>
      <w:r w:rsidRPr="00796187">
        <w:rPr>
          <w:lang w:val="en-GB"/>
        </w:rPr>
        <w:t xml:space="preserve"> study </w:t>
      </w:r>
      <w:r>
        <w:rPr>
          <w:lang w:val="en-GB"/>
        </w:rPr>
        <w:t>was</w:t>
      </w:r>
      <w:r w:rsidRPr="00796187">
        <w:rPr>
          <w:lang w:val="en-GB"/>
        </w:rPr>
        <w:t xml:space="preserve"> in the range of 4.1 to 4.8. This pH range could justify the lower removals observed for apparent colour in this study in relation to the other ones found in the literature. This consideration is made based on Madrona et al. (2010), so that the authors found better results under pH 8.0 using surface water sample, while in pH range from 4.0 to 6.0 the colour removal was significantly lower. The mean pH values of Formentini-Schmitt et al. (2013) and Paterniani et al. (2009) were 7.2 and 6.5, respectively, all above the current study range.</w:t>
      </w:r>
    </w:p>
    <w:p w:rsidR="00505114" w:rsidRPr="008877BE" w:rsidRDefault="00505114" w:rsidP="00505114">
      <w:pPr>
        <w:pStyle w:val="CETBodytext"/>
        <w:rPr>
          <w:lang w:val="en-GB"/>
        </w:rPr>
      </w:pPr>
      <w:r w:rsidRPr="008877BE">
        <w:rPr>
          <w:lang w:val="en-GB"/>
        </w:rPr>
        <w:t xml:space="preserve">The coagulation </w:t>
      </w:r>
      <w:r>
        <w:rPr>
          <w:lang w:val="en-GB"/>
        </w:rPr>
        <w:t>assays</w:t>
      </w:r>
      <w:r w:rsidRPr="008877BE">
        <w:rPr>
          <w:lang w:val="en-GB"/>
        </w:rPr>
        <w:t xml:space="preserve"> point to the great capacity </w:t>
      </w:r>
      <w:r>
        <w:rPr>
          <w:lang w:val="en-GB"/>
        </w:rPr>
        <w:t xml:space="preserve">of </w:t>
      </w:r>
      <w:r w:rsidRPr="008877BE">
        <w:rPr>
          <w:lang w:val="en-GB"/>
        </w:rPr>
        <w:t>organic load remova</w:t>
      </w:r>
      <w:r>
        <w:rPr>
          <w:lang w:val="en-GB"/>
        </w:rPr>
        <w:t>l</w:t>
      </w:r>
      <w:r w:rsidRPr="008877BE">
        <w:rPr>
          <w:lang w:val="en-GB"/>
        </w:rPr>
        <w:t>, expressed here by the COD parameter. This is confirmed by assay</w:t>
      </w:r>
      <w:r>
        <w:rPr>
          <w:lang w:val="en-GB"/>
        </w:rPr>
        <w:t xml:space="preserve"> number</w:t>
      </w:r>
      <w:r w:rsidRPr="008877BE">
        <w:rPr>
          <w:lang w:val="en-GB"/>
        </w:rPr>
        <w:t xml:space="preserve"> 6 (2</w:t>
      </w:r>
      <w:r>
        <w:rPr>
          <w:lang w:val="en-GB"/>
        </w:rPr>
        <w:t>,</w:t>
      </w:r>
      <w:r w:rsidRPr="008877BE">
        <w:rPr>
          <w:lang w:val="en-GB"/>
        </w:rPr>
        <w:t>400 mg L</w:t>
      </w:r>
      <w:r w:rsidRPr="008877BE">
        <w:rPr>
          <w:vertAlign w:val="superscript"/>
          <w:lang w:val="en-GB"/>
        </w:rPr>
        <w:t>-1</w:t>
      </w:r>
      <w:r w:rsidRPr="008877BE">
        <w:rPr>
          <w:lang w:val="en-GB"/>
        </w:rPr>
        <w:t xml:space="preserve"> and 1 mol L</w:t>
      </w:r>
      <w:r w:rsidRPr="008877BE">
        <w:rPr>
          <w:vertAlign w:val="superscript"/>
          <w:lang w:val="en-GB"/>
        </w:rPr>
        <w:t>-1</w:t>
      </w:r>
      <w:r w:rsidRPr="008877BE">
        <w:rPr>
          <w:lang w:val="en-GB"/>
        </w:rPr>
        <w:t>), which presented a percentage of 70.98</w:t>
      </w:r>
      <w:r>
        <w:rPr>
          <w:lang w:val="en-GB"/>
        </w:rPr>
        <w:t xml:space="preserve"> </w:t>
      </w:r>
      <w:r w:rsidRPr="008877BE">
        <w:rPr>
          <w:lang w:val="en-GB"/>
        </w:rPr>
        <w:t xml:space="preserve">%. The lowest removal was performed in assay </w:t>
      </w:r>
      <w:r>
        <w:rPr>
          <w:lang w:val="en-GB"/>
        </w:rPr>
        <w:t xml:space="preserve">number </w:t>
      </w:r>
      <w:r w:rsidRPr="008877BE">
        <w:rPr>
          <w:lang w:val="en-GB"/>
        </w:rPr>
        <w:t>4 (2</w:t>
      </w:r>
      <w:r>
        <w:rPr>
          <w:lang w:val="en-GB"/>
        </w:rPr>
        <w:t>,</w:t>
      </w:r>
      <w:r w:rsidRPr="008877BE">
        <w:rPr>
          <w:lang w:val="en-GB"/>
        </w:rPr>
        <w:t>700 mg L</w:t>
      </w:r>
      <w:r w:rsidRPr="008877BE">
        <w:rPr>
          <w:vertAlign w:val="superscript"/>
          <w:lang w:val="en-GB"/>
        </w:rPr>
        <w:t>-1</w:t>
      </w:r>
      <w:r w:rsidRPr="008877BE">
        <w:rPr>
          <w:lang w:val="en-GB"/>
        </w:rPr>
        <w:t xml:space="preserve"> and 1.5 mol L</w:t>
      </w:r>
      <w:r w:rsidRPr="008877BE">
        <w:rPr>
          <w:vertAlign w:val="superscript"/>
          <w:lang w:val="en-GB"/>
        </w:rPr>
        <w:t>-1</w:t>
      </w:r>
      <w:r w:rsidRPr="008877BE">
        <w:rPr>
          <w:lang w:val="en-GB"/>
        </w:rPr>
        <w:t>), with 15.18</w:t>
      </w:r>
      <w:r>
        <w:rPr>
          <w:lang w:val="en-GB"/>
        </w:rPr>
        <w:t xml:space="preserve"> </w:t>
      </w:r>
      <w:r w:rsidRPr="008877BE">
        <w:rPr>
          <w:lang w:val="en-GB"/>
        </w:rPr>
        <w:t xml:space="preserve">% efficiency. </w:t>
      </w:r>
      <w:r>
        <w:rPr>
          <w:lang w:val="en-GB"/>
        </w:rPr>
        <w:t>T</w:t>
      </w:r>
      <w:r w:rsidRPr="008877BE">
        <w:rPr>
          <w:lang w:val="en-GB"/>
        </w:rPr>
        <w:t>he mathematical model that describes the behaviour of the process is presented</w:t>
      </w:r>
      <w:r>
        <w:rPr>
          <w:lang w:val="en-GB"/>
        </w:rPr>
        <w:t xml:space="preserve"> in Equation 1</w:t>
      </w:r>
      <w:r w:rsidRPr="008877BE">
        <w:rPr>
          <w:lang w:val="en-GB"/>
        </w:rPr>
        <w:t>:</w:t>
      </w:r>
    </w:p>
    <w:tbl>
      <w:tblPr>
        <w:tblW w:w="5000" w:type="pct"/>
        <w:tblLook w:val="04A0" w:firstRow="1" w:lastRow="0" w:firstColumn="1" w:lastColumn="0" w:noHBand="0" w:noVBand="1"/>
      </w:tblPr>
      <w:tblGrid>
        <w:gridCol w:w="7983"/>
        <w:gridCol w:w="804"/>
      </w:tblGrid>
      <w:tr w:rsidR="00505114" w:rsidRPr="00B57B36" w:rsidTr="00BF6BC5">
        <w:tc>
          <w:tcPr>
            <w:tcW w:w="7983" w:type="dxa"/>
            <w:shd w:val="clear" w:color="auto" w:fill="auto"/>
            <w:vAlign w:val="center"/>
          </w:tcPr>
          <w:p w:rsidR="00505114" w:rsidRPr="00D74385" w:rsidRDefault="00505114" w:rsidP="00BF6BC5">
            <w:pPr>
              <w:pStyle w:val="CETEquation"/>
            </w:pPr>
            <m:oMath>
              <m:r>
                <m:rPr>
                  <m:sty m:val="p"/>
                </m:rPr>
                <w:rPr>
                  <w:rFonts w:ascii="Cambria Math" w:hAnsi="Cambria Math"/>
                  <w:lang w:val="pt-BR"/>
                </w:rPr>
                <m:t xml:space="preserve">COD </m:t>
              </m:r>
              <m:d>
                <m:dPr>
                  <m:ctrlPr>
                    <w:rPr>
                      <w:rFonts w:ascii="Cambria Math" w:hAnsi="Cambria Math"/>
                    </w:rPr>
                  </m:ctrlPr>
                </m:dPr>
                <m:e>
                  <m:r>
                    <m:rPr>
                      <m:sty m:val="p"/>
                    </m:rPr>
                    <w:rPr>
                      <w:rFonts w:ascii="Cambria Math" w:hAnsi="Cambria Math"/>
                      <w:lang w:val="pt-BR"/>
                    </w:rPr>
                    <m:t>%</m:t>
                  </m:r>
                </m:e>
              </m:d>
              <m:r>
                <m:rPr>
                  <m:sty m:val="p"/>
                </m:rPr>
                <w:rPr>
                  <w:rFonts w:ascii="Cambria Math" w:hAnsi="Cambria Math"/>
                  <w:lang w:val="pt-BR"/>
                </w:rPr>
                <m:t>=0,67-0,072NaCl-0,162</m:t>
              </m:r>
              <m:sSup>
                <m:sSupPr>
                  <m:ctrlPr>
                    <w:rPr>
                      <w:rFonts w:ascii="Cambria Math" w:hAnsi="Cambria Math"/>
                    </w:rPr>
                  </m:ctrlPr>
                </m:sSupPr>
                <m:e>
                  <m:r>
                    <m:rPr>
                      <m:sty m:val="p"/>
                    </m:rPr>
                    <w:rPr>
                      <w:rFonts w:ascii="Cambria Math" w:hAnsi="Cambria Math"/>
                      <w:lang w:val="pt-BR"/>
                    </w:rPr>
                    <m:t>MO</m:t>
                  </m:r>
                </m:e>
                <m:sup>
                  <m:r>
                    <m:rPr>
                      <m:sty m:val="p"/>
                    </m:rPr>
                    <w:rPr>
                      <w:rFonts w:ascii="Cambria Math" w:hAnsi="Cambria Math"/>
                      <w:lang w:val="pt-BR"/>
                    </w:rPr>
                    <m:t>2</m:t>
                  </m:r>
                </m:sup>
              </m:sSup>
              <m:r>
                <m:rPr>
                  <m:sty m:val="p"/>
                </m:rPr>
                <w:rPr>
                  <w:rFonts w:ascii="Cambria Math" w:hAnsi="Cambria Math"/>
                  <w:lang w:val="pt-BR"/>
                </w:rPr>
                <m:t>-0,193</m:t>
              </m:r>
              <m:sSup>
                <m:sSupPr>
                  <m:ctrlPr>
                    <w:rPr>
                      <w:rFonts w:ascii="Cambria Math" w:hAnsi="Cambria Math"/>
                    </w:rPr>
                  </m:ctrlPr>
                </m:sSupPr>
                <m:e>
                  <m:r>
                    <m:rPr>
                      <m:sty m:val="p"/>
                    </m:rPr>
                    <w:rPr>
                      <w:rFonts w:ascii="Cambria Math" w:hAnsi="Cambria Math"/>
                      <w:lang w:val="pt-BR"/>
                    </w:rPr>
                    <m:t>NaCl</m:t>
                  </m:r>
                </m:e>
                <m:sup>
                  <m:r>
                    <m:rPr>
                      <m:sty m:val="p"/>
                    </m:rPr>
                    <w:rPr>
                      <w:rFonts w:ascii="Cambria Math" w:hAnsi="Cambria Math"/>
                      <w:lang w:val="pt-BR"/>
                    </w:rPr>
                    <m:t>2</m:t>
                  </m:r>
                </m:sup>
              </m:sSup>
            </m:oMath>
            <w:r w:rsidRPr="00D74385">
              <w:rPr>
                <w:lang w:val="pt-BR"/>
              </w:rPr>
              <w:t xml:space="preserve">         </w:t>
            </w:r>
          </w:p>
        </w:tc>
        <w:tc>
          <w:tcPr>
            <w:tcW w:w="804" w:type="dxa"/>
            <w:shd w:val="clear" w:color="auto" w:fill="auto"/>
            <w:vAlign w:val="center"/>
          </w:tcPr>
          <w:p w:rsidR="00505114" w:rsidRPr="00B57B36" w:rsidRDefault="00505114" w:rsidP="00BF6BC5">
            <w:pPr>
              <w:pStyle w:val="CETEquation"/>
              <w:jc w:val="right"/>
            </w:pPr>
            <w:r w:rsidRPr="00B57B36">
              <w:t>(1)</w:t>
            </w:r>
          </w:p>
        </w:tc>
      </w:tr>
    </w:tbl>
    <w:p w:rsidR="00505114" w:rsidRPr="004662CB" w:rsidRDefault="00505114" w:rsidP="00505114">
      <w:pPr>
        <w:pStyle w:val="CETBodytext"/>
        <w:rPr>
          <w:lang w:val="en-GB"/>
        </w:rPr>
      </w:pPr>
      <w:r w:rsidRPr="004662CB">
        <w:rPr>
          <w:lang w:val="en-GB"/>
        </w:rPr>
        <w:t xml:space="preserve">The explanation for the good results of COD removal </w:t>
      </w:r>
      <w:r>
        <w:rPr>
          <w:lang w:val="en-GB"/>
        </w:rPr>
        <w:t>through</w:t>
      </w:r>
      <w:r w:rsidRPr="004662CB">
        <w:rPr>
          <w:lang w:val="en-GB"/>
        </w:rPr>
        <w:t xml:space="preserve"> coagulation process finds consistent grounds in Hess's (1962) considerations. The author states that most of the organic matter in these </w:t>
      </w:r>
      <w:r>
        <w:rPr>
          <w:lang w:val="en-GB"/>
        </w:rPr>
        <w:t>wastewaters</w:t>
      </w:r>
      <w:r w:rsidRPr="004662CB">
        <w:rPr>
          <w:lang w:val="en-GB"/>
        </w:rPr>
        <w:t xml:space="preserve"> is in the form of dissolved or colloidal suspension, so that the adoption of simple or natural decantation treatment techniques do not achieve desired effects, which in turn are possible by coagulation/flocculation techniques.</w:t>
      </w:r>
    </w:p>
    <w:p w:rsidR="00505114" w:rsidRPr="00922723" w:rsidRDefault="00505114" w:rsidP="00505114">
      <w:pPr>
        <w:pStyle w:val="CETBodytext"/>
        <w:rPr>
          <w:lang w:val="en-GB"/>
        </w:rPr>
      </w:pPr>
      <w:r w:rsidRPr="00922723">
        <w:rPr>
          <w:lang w:val="en-GB"/>
        </w:rPr>
        <w:lastRenderedPageBreak/>
        <w:t>In one of the studies that denote the ability to remove COD by coagulation is the investigation developed by Lima et al. (2009). The authors were able to obtain a COD reduction efficiency of 91</w:t>
      </w:r>
      <w:r>
        <w:rPr>
          <w:lang w:val="en-GB"/>
        </w:rPr>
        <w:t xml:space="preserve"> </w:t>
      </w:r>
      <w:r w:rsidRPr="00922723">
        <w:rPr>
          <w:lang w:val="en-GB"/>
        </w:rPr>
        <w:t xml:space="preserve">% </w:t>
      </w:r>
      <w:r>
        <w:rPr>
          <w:lang w:val="en-GB"/>
        </w:rPr>
        <w:t>for the treated cassava starch wastewater</w:t>
      </w:r>
      <w:r w:rsidRPr="00922723">
        <w:rPr>
          <w:lang w:val="en-GB"/>
        </w:rPr>
        <w:t xml:space="preserve"> (from 33,440 to 3,040 mgO</w:t>
      </w:r>
      <w:r w:rsidRPr="004549DA">
        <w:rPr>
          <w:vertAlign w:val="subscript"/>
          <w:lang w:val="en-GB"/>
        </w:rPr>
        <w:t>2</w:t>
      </w:r>
      <w:r w:rsidRPr="00922723">
        <w:rPr>
          <w:lang w:val="en-GB"/>
        </w:rPr>
        <w:t xml:space="preserve"> L</w:t>
      </w:r>
      <w:r w:rsidRPr="00922723">
        <w:rPr>
          <w:vertAlign w:val="superscript"/>
          <w:lang w:val="en-GB"/>
        </w:rPr>
        <w:t>-1</w:t>
      </w:r>
      <w:r w:rsidRPr="00922723">
        <w:rPr>
          <w:lang w:val="en-GB"/>
        </w:rPr>
        <w:t>) under conditions of pH 8 and in the presence of tannin 1.0 mL L</w:t>
      </w:r>
      <w:r w:rsidRPr="00922723">
        <w:rPr>
          <w:vertAlign w:val="superscript"/>
          <w:lang w:val="en-GB"/>
        </w:rPr>
        <w:t>-1</w:t>
      </w:r>
      <w:r w:rsidRPr="00922723">
        <w:rPr>
          <w:lang w:val="en-GB"/>
        </w:rPr>
        <w:t xml:space="preserve"> and Polipan 0.030 mg L </w:t>
      </w:r>
      <w:r w:rsidRPr="00922723">
        <w:rPr>
          <w:vertAlign w:val="superscript"/>
          <w:lang w:val="en-GB"/>
        </w:rPr>
        <w:t>-1</w:t>
      </w:r>
      <w:r w:rsidRPr="00922723">
        <w:rPr>
          <w:lang w:val="en-GB"/>
        </w:rPr>
        <w:t>.</w:t>
      </w:r>
    </w:p>
    <w:p w:rsidR="00505114" w:rsidRDefault="00505114" w:rsidP="00505114">
      <w:pPr>
        <w:pStyle w:val="CETBodytext"/>
        <w:rPr>
          <w:lang w:val="en-GB"/>
        </w:rPr>
      </w:pPr>
      <w:r>
        <w:rPr>
          <w:lang w:val="en-GB"/>
        </w:rPr>
        <w:t>The r</w:t>
      </w:r>
      <w:r w:rsidRPr="00D74385">
        <w:rPr>
          <w:lang w:val="en-GB"/>
        </w:rPr>
        <w:t>esponse surface and contour plot for the COD removal process are shown in Figures 1 (a) and (b).</w:t>
      </w:r>
    </w:p>
    <w:p w:rsidR="00505114" w:rsidRPr="00D74385" w:rsidRDefault="00505114" w:rsidP="00505114">
      <w:pPr>
        <w:pStyle w:val="CETBodytext"/>
        <w:rPr>
          <w:lang w:val="en-GB"/>
        </w:rPr>
      </w:pPr>
    </w:p>
    <w:p w:rsidR="00505114" w:rsidRPr="00A04211" w:rsidRDefault="00505114" w:rsidP="00505114">
      <w:pPr>
        <w:pStyle w:val="CETBodytext"/>
      </w:pPr>
      <w:r w:rsidRPr="00A04211">
        <w:rPr>
          <w:noProof/>
          <w:lang w:val="pt-BR" w:eastAsia="pt-BR"/>
        </w:rPr>
        <mc:AlternateContent>
          <mc:Choice Requires="wps">
            <w:drawing>
              <wp:anchor distT="45720" distB="45720" distL="114300" distR="114300" simplePos="0" relativeHeight="251660288" behindDoc="0" locked="0" layoutInCell="1" allowOverlap="1" wp14:anchorId="70E7B230" wp14:editId="03ABD460">
                <wp:simplePos x="0" y="0"/>
                <wp:positionH relativeFrom="column">
                  <wp:posOffset>5172075</wp:posOffset>
                </wp:positionH>
                <wp:positionV relativeFrom="paragraph">
                  <wp:posOffset>9525</wp:posOffset>
                </wp:positionV>
                <wp:extent cx="360000" cy="252000"/>
                <wp:effectExtent l="0" t="0" r="0" b="0"/>
                <wp:wrapNone/>
                <wp:docPr id="21"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00" cy="252000"/>
                        </a:xfrm>
                        <a:prstGeom prst="rect">
                          <a:avLst/>
                        </a:prstGeom>
                        <a:noFill/>
                        <a:ln w="9525">
                          <a:noFill/>
                          <a:miter lim="800000"/>
                          <a:headEnd/>
                          <a:tailEnd/>
                        </a:ln>
                      </wps:spPr>
                      <wps:txbx>
                        <w:txbxContent>
                          <w:p w:rsidR="00BF6BC5" w:rsidRDefault="00BF6BC5" w:rsidP="00505114">
                            <w:r>
                              <w:t>(b)</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0E7B230" id="_x0000_t202" coordsize="21600,21600" o:spt="202" path="m,l,21600r21600,l21600,xe">
                <v:stroke joinstyle="miter"/>
                <v:path gradientshapeok="t" o:connecttype="rect"/>
              </v:shapetype>
              <v:shape id="Caixa de Texto 2" o:spid="_x0000_s1026" type="#_x0000_t202" style="position:absolute;left:0;text-align:left;margin-left:407.25pt;margin-top:.75pt;width:28.35pt;height:19.8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" filled="f" stroked="f">
                <v:textbox>
                  <w:txbxContent>
                    <w:p w:rsidR="00BF6BC5" w:rsidRDefault="00BF6BC5" w:rsidP="00505114">
                      <w:r>
                        <w:t>(b)</w:t>
                      </w:r>
                    </w:p>
                  </w:txbxContent>
                </v:textbox>
              </v:shape>
            </w:pict>
          </mc:Fallback>
        </mc:AlternateContent>
      </w:r>
      <w:r w:rsidRPr="00A04211">
        <w:rPr>
          <w:noProof/>
          <w:lang w:val="pt-BR" w:eastAsia="pt-BR"/>
        </w:rPr>
        <mc:AlternateContent>
          <mc:Choice Requires="wps">
            <w:drawing>
              <wp:anchor distT="45720" distB="45720" distL="114300" distR="114300" simplePos="0" relativeHeight="251659264" behindDoc="0" locked="0" layoutInCell="1" allowOverlap="1" wp14:anchorId="71FF20F1" wp14:editId="639FB4FC">
                <wp:simplePos x="0" y="0"/>
                <wp:positionH relativeFrom="column">
                  <wp:posOffset>2381250</wp:posOffset>
                </wp:positionH>
                <wp:positionV relativeFrom="paragraph">
                  <wp:posOffset>13335</wp:posOffset>
                </wp:positionV>
                <wp:extent cx="360000" cy="252000"/>
                <wp:effectExtent l="0" t="0" r="0" b="0"/>
                <wp:wrapNone/>
                <wp:docPr id="20"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00" cy="252000"/>
                        </a:xfrm>
                        <a:prstGeom prst="rect">
                          <a:avLst/>
                        </a:prstGeom>
                        <a:noFill/>
                        <a:ln w="9525">
                          <a:noFill/>
                          <a:miter lim="800000"/>
                          <a:headEnd/>
                          <a:tailEnd/>
                        </a:ln>
                      </wps:spPr>
                      <wps:txbx>
                        <w:txbxContent>
                          <w:p w:rsidR="00BF6BC5" w:rsidRDefault="00BF6BC5" w:rsidP="00505114">
                            <w:r>
                              <w:t>(a)</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1FF20F1" id="_x0000_s1027" type="#_x0000_t202" style="position:absolute;left:0;text-align:left;margin-left:187.5pt;margin-top:1.05pt;width:28.35pt;height:19.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" filled="f" stroked="f">
                <v:textbox>
                  <w:txbxContent>
                    <w:p w:rsidR="00BF6BC5" w:rsidRDefault="00BF6BC5" w:rsidP="00505114">
                      <w:r>
                        <w:t>(a)</w:t>
                      </w:r>
                    </w:p>
                  </w:txbxContent>
                </v:textbox>
              </v:shape>
            </w:pict>
          </mc:Fallback>
        </mc:AlternateContent>
      </w:r>
      <w:r w:rsidR="00197063" w:rsidRPr="00197063">
        <w:rPr>
          <w:noProof/>
          <w:lang w:val="pt-BR" w:eastAsia="pt-BR"/>
        </w:rPr>
        <w:drawing>
          <wp:inline distT="0" distB="0" distL="0" distR="0" wp14:anchorId="7E64FFD6" wp14:editId="3B91039F">
            <wp:extent cx="2638800" cy="2087982"/>
            <wp:effectExtent l="0" t="0" r="9525" b="7620"/>
            <wp:docPr id="9"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m 8"/>
                    <pic:cNvPicPr>
                      <a:picLocks noChangeAspect="1"/>
                    </pic:cNvPicPr>
                  </pic:nvPicPr>
                  <pic:blipFill>
                    <a:blip r:embed="rId10"/>
                    <a:stretch>
                      <a:fillRect/>
                    </a:stretch>
                  </pic:blipFill>
                  <pic:spPr>
                    <a:xfrm>
                      <a:off x="0" y="0"/>
                      <a:ext cx="2638800" cy="2087982"/>
                    </a:xfrm>
                    <a:prstGeom prst="rect">
                      <a:avLst/>
                    </a:prstGeom>
                  </pic:spPr>
                </pic:pic>
              </a:graphicData>
            </a:graphic>
          </wp:inline>
        </w:drawing>
      </w:r>
      <w:r w:rsidR="00197063" w:rsidRPr="00197063">
        <w:rPr>
          <w:noProof/>
          <w:lang w:val="pt-BR" w:eastAsia="pt-BR"/>
        </w:rPr>
        <w:drawing>
          <wp:inline distT="0" distB="0" distL="0" distR="0" wp14:anchorId="578E99F8" wp14:editId="16B8AEFD">
            <wp:extent cx="2687143" cy="1980000"/>
            <wp:effectExtent l="0" t="0" r="0" b="1270"/>
            <wp:docPr id="1"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m 8"/>
                    <pic:cNvPicPr>
                      <a:picLocks noChangeAspect="1"/>
                    </pic:cNvPicPr>
                  </pic:nvPicPr>
                  <pic:blipFill>
                    <a:blip r:embed="rId11"/>
                    <a:stretch>
                      <a:fillRect/>
                    </a:stretch>
                  </pic:blipFill>
                  <pic:spPr>
                    <a:xfrm>
                      <a:off x="0" y="0"/>
                      <a:ext cx="2687143" cy="1980000"/>
                    </a:xfrm>
                    <a:prstGeom prst="rect">
                      <a:avLst/>
                    </a:prstGeom>
                  </pic:spPr>
                </pic:pic>
              </a:graphicData>
            </a:graphic>
          </wp:inline>
        </w:drawing>
      </w:r>
    </w:p>
    <w:p w:rsidR="00505114" w:rsidRPr="006E7EDD" w:rsidRDefault="00505114" w:rsidP="00505114">
      <w:pPr>
        <w:pStyle w:val="CETCaption"/>
        <w:rPr>
          <w:b/>
        </w:rPr>
      </w:pPr>
      <w:bookmarkStart w:id="7" w:name="_Toc298882438"/>
      <w:bookmarkStart w:id="8" w:name="_Toc314494722"/>
      <w:r w:rsidRPr="006E7EDD">
        <w:t>Figure 1: (a) Response surface a (b) contour plot for COD remova</w:t>
      </w:r>
      <w:r>
        <w:t>l</w:t>
      </w:r>
      <w:r w:rsidRPr="006E7EDD">
        <w:t>.</w:t>
      </w:r>
      <w:bookmarkEnd w:id="7"/>
      <w:bookmarkEnd w:id="8"/>
    </w:p>
    <w:p w:rsidR="00505114" w:rsidRPr="006A59C6" w:rsidRDefault="00505114" w:rsidP="00505114">
      <w:pPr>
        <w:pStyle w:val="CETBodytext"/>
        <w:rPr>
          <w:lang w:val="en-GB"/>
        </w:rPr>
      </w:pPr>
      <w:r w:rsidRPr="006A59C6">
        <w:rPr>
          <w:lang w:val="en-GB"/>
        </w:rPr>
        <w:t xml:space="preserve">Oliveira et al. (2001) using </w:t>
      </w:r>
      <w:r>
        <w:rPr>
          <w:lang w:val="en-GB"/>
        </w:rPr>
        <w:t>A</w:t>
      </w:r>
      <w:r w:rsidRPr="006A59C6">
        <w:rPr>
          <w:lang w:val="en-GB"/>
        </w:rPr>
        <w:t xml:space="preserve">luminium </w:t>
      </w:r>
      <w:r>
        <w:rPr>
          <w:lang w:val="en-GB"/>
        </w:rPr>
        <w:t>P</w:t>
      </w:r>
      <w:r w:rsidRPr="006A59C6">
        <w:rPr>
          <w:lang w:val="en-GB"/>
        </w:rPr>
        <w:t>olychloride (50 mg L</w:t>
      </w:r>
      <w:r w:rsidRPr="006A59C6">
        <w:rPr>
          <w:vertAlign w:val="superscript"/>
          <w:lang w:val="en-GB"/>
        </w:rPr>
        <w:t>-1</w:t>
      </w:r>
      <w:r w:rsidRPr="006A59C6">
        <w:rPr>
          <w:lang w:val="en-GB"/>
        </w:rPr>
        <w:t>) as a coagulant</w:t>
      </w:r>
      <w:r>
        <w:rPr>
          <w:lang w:val="en-GB"/>
        </w:rPr>
        <w:t>,</w:t>
      </w:r>
      <w:r w:rsidRPr="006A59C6">
        <w:rPr>
          <w:lang w:val="en-GB"/>
        </w:rPr>
        <w:t xml:space="preserve"> obtained a COD reduction rate of around 86</w:t>
      </w:r>
      <w:r>
        <w:rPr>
          <w:lang w:val="en-GB"/>
        </w:rPr>
        <w:t xml:space="preserve"> </w:t>
      </w:r>
      <w:r w:rsidRPr="006A59C6">
        <w:rPr>
          <w:lang w:val="en-GB"/>
        </w:rPr>
        <w:t>% (from 14,866 to 1,960 mg L</w:t>
      </w:r>
      <w:r w:rsidRPr="006A59C6">
        <w:rPr>
          <w:vertAlign w:val="superscript"/>
          <w:lang w:val="en-GB"/>
        </w:rPr>
        <w:t>-1</w:t>
      </w:r>
      <w:r w:rsidRPr="006A59C6">
        <w:rPr>
          <w:lang w:val="en-GB"/>
        </w:rPr>
        <w:t xml:space="preserve"> COD), a percentage considerably closer to that of the present study. It is important to </w:t>
      </w:r>
      <w:r>
        <w:rPr>
          <w:lang w:val="en-GB"/>
        </w:rPr>
        <w:t>highlight</w:t>
      </w:r>
      <w:r w:rsidRPr="006A59C6">
        <w:rPr>
          <w:lang w:val="en-GB"/>
        </w:rPr>
        <w:t xml:space="preserve"> that for coagulation assays Oliveira et al. (2001) have used flocculation auxiliaries, specifically a natural polyelectrolyte used at a concentration of 2.5 mg L</w:t>
      </w:r>
      <w:r w:rsidRPr="006A59C6">
        <w:rPr>
          <w:vertAlign w:val="superscript"/>
          <w:lang w:val="en-GB"/>
        </w:rPr>
        <w:t>-1</w:t>
      </w:r>
      <w:r w:rsidRPr="006A59C6">
        <w:rPr>
          <w:lang w:val="en-GB"/>
        </w:rPr>
        <w:t>, which represents an additional cost to the process. In addition, it was necessary to adjust the pH of the effluent to 8.0, as a function of the narrower range of performance of this type of coagulant, which is not the case for Moringa, which can be used in a wide range of pH without affecting in large scale its efficiency.</w:t>
      </w:r>
    </w:p>
    <w:p w:rsidR="00505114" w:rsidRPr="004549DA" w:rsidRDefault="00505114" w:rsidP="00505114">
      <w:pPr>
        <w:pStyle w:val="CETBodytext"/>
        <w:rPr>
          <w:lang w:val="en-GB"/>
        </w:rPr>
      </w:pPr>
      <w:r w:rsidRPr="00F16731">
        <w:rPr>
          <w:lang w:val="en-GB"/>
        </w:rPr>
        <w:t xml:space="preserve">Souza &amp; </w:t>
      </w:r>
      <w:r w:rsidRPr="004549DA">
        <w:rPr>
          <w:lang w:val="en-GB"/>
        </w:rPr>
        <w:t>Pawlosky (2011) in their studies of cassava starch wastewater by-products recovery</w:t>
      </w:r>
      <w:r w:rsidR="00ED54C8" w:rsidRPr="004549DA">
        <w:rPr>
          <w:lang w:val="en-GB"/>
        </w:rPr>
        <w:t>,</w:t>
      </w:r>
      <w:r w:rsidRPr="004549DA">
        <w:rPr>
          <w:lang w:val="en-GB"/>
        </w:rPr>
        <w:t xml:space="preserve"> through coagulation using chitosan as a coagulant, found a maximum COD reduction of 23.5 % (from 85,400 to 65,330 mgO</w:t>
      </w:r>
      <w:r w:rsidRPr="004549DA">
        <w:rPr>
          <w:vertAlign w:val="subscript"/>
          <w:lang w:val="en-GB"/>
        </w:rPr>
        <w:t>2</w:t>
      </w:r>
      <w:r w:rsidRPr="004549DA">
        <w:rPr>
          <w:lang w:val="en-GB"/>
        </w:rPr>
        <w:t xml:space="preserve"> L</w:t>
      </w:r>
      <w:r w:rsidRPr="004549DA">
        <w:rPr>
          <w:vertAlign w:val="superscript"/>
          <w:lang w:val="en-GB"/>
        </w:rPr>
        <w:t>-1</w:t>
      </w:r>
      <w:r w:rsidRPr="004549DA">
        <w:rPr>
          <w:lang w:val="en-GB"/>
        </w:rPr>
        <w:t>). To obtain this percentage the required sedimentation time was 20 minutes, which in terms of the present study would represent a removal of approximately 20 %, almost identical to that found by the authors.</w:t>
      </w:r>
    </w:p>
    <w:p w:rsidR="00505114" w:rsidRPr="004549DA" w:rsidRDefault="00505114" w:rsidP="00505114">
      <w:pPr>
        <w:pStyle w:val="CETBodytext"/>
        <w:rPr>
          <w:lang w:val="en-GB"/>
        </w:rPr>
      </w:pPr>
      <w:r w:rsidRPr="004549DA">
        <w:rPr>
          <w:lang w:val="en-GB"/>
        </w:rPr>
        <w:t>According to Bhatia et al. (2007) and Bongiovani et al. (2015), the volume of sludge produced using M.O. coagulant is considerably lower co</w:t>
      </w:r>
      <w:r w:rsidR="00AA5AEC" w:rsidRPr="004549DA">
        <w:rPr>
          <w:lang w:val="en-GB"/>
        </w:rPr>
        <w:t xml:space="preserve">mpared to the aluminium (Oliveira et al., </w:t>
      </w:r>
      <w:r w:rsidRPr="004549DA">
        <w:rPr>
          <w:lang w:val="en-GB"/>
        </w:rPr>
        <w:t>2001) and presents no problem to be discarded, since according to Katayon et al. (2006) and Daza et al. (2016), sludge generated from Moringa and other natural coagulants is easily biodegraded, presenting low environmental risk.</w:t>
      </w:r>
    </w:p>
    <w:p w:rsidR="00505114" w:rsidRPr="004549DA" w:rsidRDefault="00505114" w:rsidP="00505114">
      <w:pPr>
        <w:pStyle w:val="CETBodytext"/>
        <w:rPr>
          <w:lang w:val="en-GB"/>
        </w:rPr>
      </w:pPr>
      <w:r w:rsidRPr="004549DA">
        <w:rPr>
          <w:lang w:val="en-GB"/>
        </w:rPr>
        <w:t xml:space="preserve">Thus, by analysing COD removal values, it </w:t>
      </w:r>
      <w:r w:rsidR="00ED54C8" w:rsidRPr="004549DA">
        <w:rPr>
          <w:lang w:val="en-GB"/>
        </w:rPr>
        <w:t>is</w:t>
      </w:r>
      <w:r w:rsidRPr="004549DA">
        <w:rPr>
          <w:lang w:val="en-GB"/>
        </w:rPr>
        <w:t xml:space="preserve"> seen that Moringa coagulation treatment can be used as the primary treatment for cassava starch effluent. This, according to Souza &amp; Pawlowsky (1998), would significantly reduce the pollutant load of this wastewater and consequently the costs for the treatment, which are due to the need to acquire large areas for the construction of waste stabilization ponds, whose size is also dependent on the organic load of the effluent.</w:t>
      </w:r>
    </w:p>
    <w:p w:rsidR="00505114" w:rsidRPr="004549DA" w:rsidRDefault="00505114" w:rsidP="00505114">
      <w:pPr>
        <w:pStyle w:val="CETBodytext"/>
        <w:rPr>
          <w:lang w:val="en-GB"/>
        </w:rPr>
      </w:pPr>
      <w:r w:rsidRPr="004549DA">
        <w:rPr>
          <w:lang w:val="en-GB"/>
        </w:rPr>
        <w:t>Coagulation assays results indicate that the method used is able to remove the cyanide ion, but not very expressive, presenting a removal range from 3.48 % to 13.04 %. The highest percentage in this reduction was found in assay number 7 (2,400 mg L</w:t>
      </w:r>
      <w:r w:rsidRPr="004549DA">
        <w:rPr>
          <w:vertAlign w:val="superscript"/>
          <w:lang w:val="en-GB"/>
        </w:rPr>
        <w:t>-1</w:t>
      </w:r>
      <w:r w:rsidRPr="004549DA">
        <w:rPr>
          <w:lang w:val="en-GB"/>
        </w:rPr>
        <w:t xml:space="preserve"> and 1 mol L</w:t>
      </w:r>
      <w:r w:rsidRPr="004549DA">
        <w:rPr>
          <w:vertAlign w:val="superscript"/>
          <w:lang w:val="en-GB"/>
        </w:rPr>
        <w:t>-1</w:t>
      </w:r>
      <w:r w:rsidRPr="004549DA">
        <w:rPr>
          <w:lang w:val="en-GB"/>
        </w:rPr>
        <w:t xml:space="preserve">), and the lowest efficiency was found in assay number 11 (2,400 mg L </w:t>
      </w:r>
      <w:r w:rsidRPr="004549DA">
        <w:rPr>
          <w:vertAlign w:val="superscript"/>
          <w:lang w:val="en-GB"/>
        </w:rPr>
        <w:t>-1</w:t>
      </w:r>
      <w:r w:rsidRPr="004549DA">
        <w:rPr>
          <w:lang w:val="en-GB"/>
        </w:rPr>
        <w:t xml:space="preserve"> and 1.7 mol L </w:t>
      </w:r>
      <w:r w:rsidRPr="004549DA">
        <w:rPr>
          <w:vertAlign w:val="superscript"/>
          <w:lang w:val="en-GB"/>
        </w:rPr>
        <w:t>-1</w:t>
      </w:r>
      <w:r w:rsidRPr="004549DA">
        <w:rPr>
          <w:lang w:val="en-GB"/>
        </w:rPr>
        <w:t>).</w:t>
      </w:r>
    </w:p>
    <w:p w:rsidR="00505114" w:rsidRPr="00B606D2" w:rsidRDefault="00505114" w:rsidP="00505114">
      <w:pPr>
        <w:pStyle w:val="CETBodytext"/>
        <w:rPr>
          <w:lang w:val="en-GB"/>
        </w:rPr>
      </w:pPr>
      <w:r w:rsidRPr="00B606D2">
        <w:rPr>
          <w:lang w:val="en-GB"/>
        </w:rPr>
        <w:t xml:space="preserve">Xu et al. (2005) evaluated the removal of free cyanide from praziquantel </w:t>
      </w:r>
      <w:r>
        <w:rPr>
          <w:lang w:val="en-GB"/>
        </w:rPr>
        <w:t>wastewater</w:t>
      </w:r>
      <w:r w:rsidRPr="00B606D2">
        <w:rPr>
          <w:lang w:val="en-GB"/>
        </w:rPr>
        <w:t xml:space="preserve"> (anthelmintic drug). In this study, the authors propose the joint use of two treatment technologies - coagulation/flocculation + GMA (gas membrane absorption). The authors conducted coagulation assays using different concentrations of PAC. At the end of the tests, the following optimal coagulation conditions were observed: 0.5 g L</w:t>
      </w:r>
      <w:r w:rsidRPr="00B606D2">
        <w:rPr>
          <w:vertAlign w:val="superscript"/>
          <w:lang w:val="en-GB"/>
        </w:rPr>
        <w:t>-1</w:t>
      </w:r>
      <w:r w:rsidRPr="00B606D2">
        <w:rPr>
          <w:lang w:val="en-GB"/>
        </w:rPr>
        <w:t xml:space="preserve"> of PAC; pH 10; rapid mixing time </w:t>
      </w:r>
      <w:r>
        <w:rPr>
          <w:lang w:val="en-GB"/>
        </w:rPr>
        <w:t>of</w:t>
      </w:r>
      <w:r w:rsidRPr="00B606D2">
        <w:rPr>
          <w:lang w:val="en-GB"/>
        </w:rPr>
        <w:t xml:space="preserve"> 3 minutes </w:t>
      </w:r>
      <w:r>
        <w:rPr>
          <w:lang w:val="en-GB"/>
        </w:rPr>
        <w:t>with</w:t>
      </w:r>
      <w:r w:rsidRPr="00B606D2">
        <w:rPr>
          <w:lang w:val="en-GB"/>
        </w:rPr>
        <w:t xml:space="preserve"> 140 rpm, slow mixing time at 40 rpm, with a settling time of 15 minutes.</w:t>
      </w:r>
    </w:p>
    <w:p w:rsidR="00505114" w:rsidRPr="00AC4488" w:rsidRDefault="00505114" w:rsidP="00505114">
      <w:pPr>
        <w:pStyle w:val="CETBodytext"/>
        <w:rPr>
          <w:lang w:val="en-GB"/>
        </w:rPr>
      </w:pPr>
      <w:r w:rsidRPr="00AC4488">
        <w:rPr>
          <w:lang w:val="en-GB"/>
        </w:rPr>
        <w:t xml:space="preserve">The free cyanide removal </w:t>
      </w:r>
      <w:r>
        <w:rPr>
          <w:lang w:val="en-GB"/>
        </w:rPr>
        <w:t xml:space="preserve">result </w:t>
      </w:r>
      <w:r w:rsidRPr="00AC4488">
        <w:rPr>
          <w:lang w:val="en-GB"/>
        </w:rPr>
        <w:t>was considered by the authors as not significant, with a final concentration of 3</w:t>
      </w:r>
      <w:r>
        <w:rPr>
          <w:lang w:val="en-GB"/>
        </w:rPr>
        <w:t>,</w:t>
      </w:r>
      <w:r w:rsidRPr="00AC4488">
        <w:rPr>
          <w:lang w:val="en-GB"/>
        </w:rPr>
        <w:t>154 mg L</w:t>
      </w:r>
      <w:r w:rsidRPr="00AC4488">
        <w:rPr>
          <w:vertAlign w:val="superscript"/>
          <w:lang w:val="en-GB"/>
        </w:rPr>
        <w:t>-1</w:t>
      </w:r>
      <w:r w:rsidRPr="00AC4488">
        <w:rPr>
          <w:lang w:val="en-GB"/>
        </w:rPr>
        <w:t xml:space="preserve">, against a concentration of the </w:t>
      </w:r>
      <w:r>
        <w:rPr>
          <w:lang w:val="en-GB"/>
        </w:rPr>
        <w:t>raw</w:t>
      </w:r>
      <w:r w:rsidRPr="00AC4488">
        <w:rPr>
          <w:lang w:val="en-GB"/>
        </w:rPr>
        <w:t xml:space="preserve"> </w:t>
      </w:r>
      <w:r>
        <w:rPr>
          <w:lang w:val="en-GB"/>
        </w:rPr>
        <w:t>wastewater</w:t>
      </w:r>
      <w:r w:rsidRPr="00AC4488">
        <w:rPr>
          <w:lang w:val="en-GB"/>
        </w:rPr>
        <w:t xml:space="preserve"> of 3</w:t>
      </w:r>
      <w:r>
        <w:rPr>
          <w:lang w:val="en-GB"/>
        </w:rPr>
        <w:t>,</w:t>
      </w:r>
      <w:r w:rsidRPr="00AC4488">
        <w:rPr>
          <w:lang w:val="en-GB"/>
        </w:rPr>
        <w:t>180 mg L</w:t>
      </w:r>
      <w:r w:rsidRPr="00AC4488">
        <w:rPr>
          <w:vertAlign w:val="superscript"/>
          <w:lang w:val="en-GB"/>
        </w:rPr>
        <w:t>-1</w:t>
      </w:r>
      <w:r w:rsidRPr="00AC4488">
        <w:rPr>
          <w:lang w:val="en-GB"/>
        </w:rPr>
        <w:t>, that is, a reduction of less than 1</w:t>
      </w:r>
      <w:r>
        <w:rPr>
          <w:lang w:val="en-GB"/>
        </w:rPr>
        <w:t xml:space="preserve"> </w:t>
      </w:r>
      <w:r w:rsidRPr="00AC4488">
        <w:rPr>
          <w:lang w:val="en-GB"/>
        </w:rPr>
        <w:t>%. On the other hand, the GMA system was able to remove 99.9</w:t>
      </w:r>
      <w:r>
        <w:rPr>
          <w:lang w:val="en-GB"/>
        </w:rPr>
        <w:t xml:space="preserve"> </w:t>
      </w:r>
      <w:r w:rsidRPr="00AC4488">
        <w:rPr>
          <w:lang w:val="en-GB"/>
        </w:rPr>
        <w:t>%</w:t>
      </w:r>
      <w:r>
        <w:rPr>
          <w:lang w:val="en-GB"/>
        </w:rPr>
        <w:t xml:space="preserve"> of</w:t>
      </w:r>
      <w:r w:rsidRPr="00AC4488">
        <w:rPr>
          <w:lang w:val="en-GB"/>
        </w:rPr>
        <w:t xml:space="preserve"> free cyanide.</w:t>
      </w:r>
    </w:p>
    <w:p w:rsidR="00505114" w:rsidRDefault="00505114" w:rsidP="00505114">
      <w:pPr>
        <w:pStyle w:val="CETBodytext"/>
        <w:rPr>
          <w:rFonts w:cs="Arial"/>
          <w:szCs w:val="18"/>
          <w:lang w:val="en-GB"/>
        </w:rPr>
      </w:pPr>
      <w:r>
        <w:rPr>
          <w:rFonts w:cs="Arial"/>
          <w:szCs w:val="18"/>
          <w:lang w:val="en-GB"/>
        </w:rPr>
        <w:t>R</w:t>
      </w:r>
      <w:r w:rsidRPr="00F427CB">
        <w:rPr>
          <w:rFonts w:cs="Arial"/>
          <w:szCs w:val="18"/>
          <w:lang w:val="en-GB"/>
        </w:rPr>
        <w:t>esults obtained by Xu et al. (2005), as well as those of the present study, conclude that the influence of coagulation on cyanide ion removal is inefficient.</w:t>
      </w:r>
    </w:p>
    <w:p w:rsidR="00505114" w:rsidRDefault="00505114" w:rsidP="00505114">
      <w:pPr>
        <w:pStyle w:val="CETBodytext"/>
        <w:rPr>
          <w:rFonts w:cs="Arial"/>
          <w:szCs w:val="18"/>
          <w:lang w:val="en-GB"/>
        </w:rPr>
      </w:pPr>
      <w:r w:rsidRPr="00DE68F4">
        <w:rPr>
          <w:rFonts w:cs="Arial"/>
          <w:szCs w:val="18"/>
          <w:lang w:val="en-GB"/>
        </w:rPr>
        <w:lastRenderedPageBreak/>
        <w:t>Because it has more than one response variable - turbidity, apparent colour, COD and cyanide ion - and it is interesting to find the optimum operational values of the independent variables (coagulant concentration and saline solution molar concentration</w:t>
      </w:r>
      <w:r>
        <w:rPr>
          <w:rFonts w:cs="Arial"/>
          <w:szCs w:val="18"/>
          <w:lang w:val="en-GB"/>
        </w:rPr>
        <w:t xml:space="preserve">) </w:t>
      </w:r>
      <w:r w:rsidRPr="00DE68F4">
        <w:rPr>
          <w:rFonts w:cs="Arial"/>
          <w:szCs w:val="18"/>
          <w:lang w:val="en-GB"/>
        </w:rPr>
        <w:t>that simultaneously satisfy all dependent variables, the STATISTICA</w:t>
      </w:r>
      <w:r w:rsidRPr="00DE68F4">
        <w:rPr>
          <w:rFonts w:cs="Arial"/>
          <w:szCs w:val="18"/>
          <w:vertAlign w:val="superscript"/>
          <w:lang w:val="en-GB"/>
        </w:rPr>
        <w:t>TM</w:t>
      </w:r>
      <w:r w:rsidRPr="00DE68F4">
        <w:rPr>
          <w:rFonts w:cs="Arial"/>
          <w:szCs w:val="18"/>
          <w:lang w:val="en-GB"/>
        </w:rPr>
        <w:t xml:space="preserve"> software uses the Desirability function approach. With this artifice, the simultaneous optimization of all response variables is maximized in a single value, called global desirability, as follows:</w:t>
      </w:r>
    </w:p>
    <w:p w:rsidR="00505114" w:rsidRPr="00DE68F4" w:rsidRDefault="00505114" w:rsidP="00505114">
      <w:pPr>
        <w:pStyle w:val="CETBodytext"/>
        <w:rPr>
          <w:rFonts w:cs="Arial"/>
          <w:szCs w:val="18"/>
          <w:lang w:val="en-GB"/>
        </w:rPr>
      </w:pPr>
    </w:p>
    <w:p w:rsidR="00505114" w:rsidRPr="00DE68F4" w:rsidRDefault="00505114" w:rsidP="00505114">
      <w:pPr>
        <w:pStyle w:val="CETBodytext"/>
        <w:numPr>
          <w:ilvl w:val="0"/>
          <w:numId w:val="26"/>
        </w:numPr>
        <w:rPr>
          <w:lang w:val="en-GB"/>
        </w:rPr>
      </w:pPr>
      <w:r w:rsidRPr="00DE68F4">
        <w:rPr>
          <w:lang w:val="en-GB"/>
        </w:rPr>
        <w:t>Coagulant solution concentration: 2</w:t>
      </w:r>
      <w:r w:rsidR="00ED54C8">
        <w:rPr>
          <w:lang w:val="en-GB"/>
        </w:rPr>
        <w:t>,</w:t>
      </w:r>
      <w:r w:rsidRPr="00DE68F4">
        <w:rPr>
          <w:lang w:val="en-GB"/>
        </w:rPr>
        <w:t>484</w:t>
      </w:r>
      <w:r w:rsidR="00ED54C8">
        <w:rPr>
          <w:lang w:val="en-GB"/>
        </w:rPr>
        <w:t>.</w:t>
      </w:r>
      <w:r w:rsidRPr="00DE68F4">
        <w:rPr>
          <w:lang w:val="en-GB"/>
        </w:rPr>
        <w:t>6 mg L</w:t>
      </w:r>
      <w:r w:rsidRPr="00DE68F4">
        <w:rPr>
          <w:vertAlign w:val="superscript"/>
          <w:lang w:val="en-GB"/>
        </w:rPr>
        <w:t>-1</w:t>
      </w:r>
      <w:r w:rsidRPr="00DE68F4">
        <w:rPr>
          <w:lang w:val="en-GB"/>
        </w:rPr>
        <w:t>;</w:t>
      </w:r>
    </w:p>
    <w:p w:rsidR="00505114" w:rsidRPr="00DE68F4" w:rsidRDefault="00505114" w:rsidP="00505114">
      <w:pPr>
        <w:pStyle w:val="CETBodytext"/>
        <w:numPr>
          <w:ilvl w:val="0"/>
          <w:numId w:val="26"/>
        </w:numPr>
        <w:rPr>
          <w:lang w:val="en-GB"/>
        </w:rPr>
      </w:pPr>
      <w:r w:rsidRPr="00DE68F4">
        <w:rPr>
          <w:lang w:val="en-GB"/>
        </w:rPr>
        <w:t>Saline solution concentration (NaCl): approximately 0</w:t>
      </w:r>
      <w:r w:rsidR="00ED54C8">
        <w:rPr>
          <w:lang w:val="en-GB"/>
        </w:rPr>
        <w:t>.</w:t>
      </w:r>
      <w:r w:rsidRPr="00DE68F4">
        <w:rPr>
          <w:lang w:val="en-GB"/>
        </w:rPr>
        <w:t>9 mol L</w:t>
      </w:r>
      <w:r w:rsidRPr="00DE68F4">
        <w:rPr>
          <w:vertAlign w:val="superscript"/>
          <w:lang w:val="en-GB"/>
        </w:rPr>
        <w:t>-1</w:t>
      </w:r>
      <w:r w:rsidRPr="00DE68F4">
        <w:rPr>
          <w:lang w:val="en-GB"/>
        </w:rPr>
        <w:t>.</w:t>
      </w:r>
    </w:p>
    <w:p w:rsidR="00505114" w:rsidRDefault="00505114" w:rsidP="00505114">
      <w:pPr>
        <w:pStyle w:val="CETBodytext"/>
        <w:rPr>
          <w:lang w:val="en-GB"/>
        </w:rPr>
      </w:pPr>
    </w:p>
    <w:p w:rsidR="00505114" w:rsidRDefault="00505114" w:rsidP="00505114">
      <w:pPr>
        <w:pStyle w:val="CETBodytext"/>
      </w:pPr>
      <w:r w:rsidRPr="002652A8">
        <w:t xml:space="preserve">Under these conditions the 4 response variables - turbidity, apparent </w:t>
      </w:r>
      <w:r w:rsidRPr="004549DA">
        <w:rPr>
          <w:lang w:val="en-GB"/>
        </w:rPr>
        <w:t>colour</w:t>
      </w:r>
      <w:r w:rsidRPr="002652A8">
        <w:t>, COD and cyanide</w:t>
      </w:r>
      <w:r>
        <w:t xml:space="preserve"> ion</w:t>
      </w:r>
      <w:r w:rsidRPr="002652A8">
        <w:t xml:space="preserve"> - should show removal values of 89.16</w:t>
      </w:r>
      <w:r>
        <w:t xml:space="preserve"> </w:t>
      </w:r>
      <w:r w:rsidRPr="002652A8">
        <w:t>%, 54.43</w:t>
      </w:r>
      <w:r>
        <w:t xml:space="preserve"> </w:t>
      </w:r>
      <w:r w:rsidRPr="002652A8">
        <w:t>%, 66.39</w:t>
      </w:r>
      <w:r>
        <w:t xml:space="preserve"> </w:t>
      </w:r>
      <w:r w:rsidRPr="002652A8">
        <w:t>% and 9.9</w:t>
      </w:r>
      <w:r>
        <w:t xml:space="preserve"> </w:t>
      </w:r>
      <w:r w:rsidRPr="002652A8">
        <w:t>%, respectively.</w:t>
      </w:r>
    </w:p>
    <w:p w:rsidR="00505114" w:rsidRDefault="00505114" w:rsidP="00505114">
      <w:pPr>
        <w:pStyle w:val="CETBodytext"/>
      </w:pPr>
      <w:r w:rsidRPr="00F93EE8">
        <w:t xml:space="preserve">It has been known that the action of </w:t>
      </w:r>
      <w:r w:rsidRPr="00F93EE8">
        <w:rPr>
          <w:i/>
        </w:rPr>
        <w:t>Moringa oleifera</w:t>
      </w:r>
      <w:r w:rsidRPr="00F93EE8">
        <w:t xml:space="preserve"> as a coagulant is attributed to soluble cationic proteins. However, overdosages of this coagulant may affect the efficiency of the coagulation process. It is possible to observe this trend </w:t>
      </w:r>
      <w:r w:rsidRPr="00B8143C">
        <w:t>in Table 3</w:t>
      </w:r>
      <w:r w:rsidRPr="00F93EE8">
        <w:t xml:space="preserve">, which shows that for the parameters Apparent </w:t>
      </w:r>
      <w:r w:rsidRPr="004549DA">
        <w:rPr>
          <w:lang w:val="en-GB"/>
        </w:rPr>
        <w:t>Colour</w:t>
      </w:r>
      <w:r w:rsidRPr="00F93EE8">
        <w:t>, COD and Cyanide Ion the ideal coagulant concentration was 2</w:t>
      </w:r>
      <w:r>
        <w:t>,</w:t>
      </w:r>
      <w:r w:rsidRPr="00F93EE8">
        <w:t>400 mg L</w:t>
      </w:r>
      <w:r w:rsidRPr="00F93EE8">
        <w:rPr>
          <w:vertAlign w:val="superscript"/>
        </w:rPr>
        <w:t>-1</w:t>
      </w:r>
      <w:r w:rsidRPr="00F93EE8">
        <w:t>, which resides in the central portion of the studied range from 1</w:t>
      </w:r>
      <w:r>
        <w:t>,</w:t>
      </w:r>
      <w:r w:rsidRPr="00F93EE8">
        <w:t>977 to 2</w:t>
      </w:r>
      <w:r>
        <w:t>,</w:t>
      </w:r>
      <w:r w:rsidRPr="00F93EE8">
        <w:t>823 mg L</w:t>
      </w:r>
      <w:r w:rsidRPr="00F93EE8">
        <w:rPr>
          <w:vertAlign w:val="superscript"/>
        </w:rPr>
        <w:t>-1</w:t>
      </w:r>
      <w:r w:rsidRPr="00F93EE8">
        <w:t>, that is, higher values induced a lower efficiency.</w:t>
      </w:r>
    </w:p>
    <w:p w:rsidR="00505114" w:rsidRPr="00894E49" w:rsidRDefault="00505114" w:rsidP="00505114">
      <w:pPr>
        <w:pStyle w:val="CETBodytext"/>
      </w:pPr>
      <w:r w:rsidRPr="00894E49">
        <w:t xml:space="preserve">Ndabigengesere et al. (1995) found that the degree of coagulation, measured by Zeta potential, by the use of </w:t>
      </w:r>
      <w:r w:rsidRPr="00894E49">
        <w:rPr>
          <w:i/>
        </w:rPr>
        <w:t>Moringa</w:t>
      </w:r>
      <w:r w:rsidRPr="00894E49">
        <w:t>-based coagulants may be affected by overdosages. The authors observed that additions above the optimal dosage of 500 mg L</w:t>
      </w:r>
      <w:r w:rsidRPr="00894E49">
        <w:rPr>
          <w:vertAlign w:val="superscript"/>
        </w:rPr>
        <w:t>-1</w:t>
      </w:r>
      <w:r w:rsidRPr="00894E49">
        <w:t xml:space="preserve"> - Zeta potential of 0 mV (maximum degree of coagulation) - resulted in a reversal of the zeta potential to +4 mV, which represents an excess of positive ions in the </w:t>
      </w:r>
      <w:r>
        <w:t>solution</w:t>
      </w:r>
      <w:r w:rsidRPr="00894E49">
        <w:t>, causing the colloids to become positively charged.</w:t>
      </w:r>
    </w:p>
    <w:p w:rsidR="00505114" w:rsidRPr="00894E49" w:rsidRDefault="00505114" w:rsidP="00505114">
      <w:pPr>
        <w:pStyle w:val="CETBodytext"/>
        <w:rPr>
          <w:rStyle w:val="hps"/>
          <w:rFonts w:cs="Arial"/>
          <w:color w:val="000000"/>
          <w:szCs w:val="18"/>
          <w:lang w:val="en-GB"/>
        </w:rPr>
      </w:pPr>
      <w:r w:rsidRPr="00304BE2">
        <w:rPr>
          <w:rStyle w:val="hps"/>
          <w:rFonts w:cs="Arial"/>
          <w:color w:val="000000"/>
          <w:szCs w:val="18"/>
          <w:lang w:val="en-GB"/>
        </w:rPr>
        <w:t>From the</w:t>
      </w:r>
      <w:r w:rsidR="0007227D">
        <w:rPr>
          <w:rStyle w:val="hps"/>
          <w:rFonts w:cs="Arial"/>
          <w:color w:val="000000"/>
          <w:szCs w:val="18"/>
          <w:lang w:val="en-GB"/>
        </w:rPr>
        <w:t xml:space="preserve"> point of view of</w:t>
      </w:r>
      <w:r w:rsidRPr="00304BE2">
        <w:rPr>
          <w:rStyle w:val="hps"/>
          <w:rFonts w:cs="Arial"/>
          <w:color w:val="000000"/>
          <w:szCs w:val="18"/>
          <w:lang w:val="en-GB"/>
        </w:rPr>
        <w:t xml:space="preserve"> </w:t>
      </w:r>
      <w:r w:rsidR="0007227D" w:rsidRPr="00304BE2">
        <w:rPr>
          <w:rStyle w:val="hps"/>
          <w:rFonts w:cs="Arial"/>
          <w:color w:val="000000"/>
          <w:szCs w:val="18"/>
          <w:lang w:val="en-GB"/>
        </w:rPr>
        <w:t xml:space="preserve">saline solution </w:t>
      </w:r>
      <w:r w:rsidRPr="00304BE2">
        <w:rPr>
          <w:rStyle w:val="hps"/>
          <w:rFonts w:cs="Arial"/>
          <w:color w:val="000000"/>
          <w:szCs w:val="18"/>
          <w:lang w:val="en-GB"/>
        </w:rPr>
        <w:t>molar concentration , the fact that 1.0 mol L</w:t>
      </w:r>
      <w:r w:rsidRPr="00304BE2">
        <w:rPr>
          <w:rStyle w:val="hps"/>
          <w:rFonts w:cs="Arial"/>
          <w:color w:val="000000"/>
          <w:szCs w:val="18"/>
          <w:vertAlign w:val="superscript"/>
          <w:lang w:val="en-GB"/>
        </w:rPr>
        <w:t>-1</w:t>
      </w:r>
      <w:r w:rsidRPr="00304BE2">
        <w:rPr>
          <w:rStyle w:val="hps"/>
          <w:rFonts w:cs="Arial"/>
          <w:color w:val="000000"/>
          <w:szCs w:val="18"/>
          <w:lang w:val="en-GB"/>
        </w:rPr>
        <w:t xml:space="preserve"> concentration has been identified as the most efficient in the removal studies for all parameters can be attributed to the salt concentration levels used for extraction of the active </w:t>
      </w:r>
      <w:r>
        <w:rPr>
          <w:rStyle w:val="hps"/>
          <w:rFonts w:cs="Arial"/>
          <w:color w:val="000000"/>
          <w:szCs w:val="18"/>
          <w:lang w:val="en-GB"/>
        </w:rPr>
        <w:t>principle</w:t>
      </w:r>
      <w:r w:rsidRPr="00304BE2">
        <w:rPr>
          <w:rStyle w:val="hps"/>
          <w:rFonts w:cs="Arial"/>
          <w:color w:val="000000"/>
          <w:szCs w:val="18"/>
          <w:lang w:val="en-GB"/>
        </w:rPr>
        <w:t xml:space="preserve"> of Moringa. The explanation for this, according to Prasad (2009), may probably be the effect known as "salting-out", which has the principle that proteins are less soluble in high concentrations of salt.</w:t>
      </w:r>
    </w:p>
    <w:p w:rsidR="00505114" w:rsidRPr="00304BE2" w:rsidRDefault="00505114" w:rsidP="00505114">
      <w:pPr>
        <w:pStyle w:val="CETBodytext"/>
        <w:rPr>
          <w:rStyle w:val="hps"/>
          <w:rFonts w:cs="Arial"/>
          <w:color w:val="000000"/>
          <w:szCs w:val="18"/>
          <w:lang w:val="en-GB"/>
        </w:rPr>
      </w:pPr>
      <w:r w:rsidRPr="00304BE2">
        <w:rPr>
          <w:rStyle w:val="hps"/>
          <w:rFonts w:cs="Arial"/>
          <w:color w:val="000000"/>
          <w:szCs w:val="18"/>
          <w:lang w:val="en-GB"/>
        </w:rPr>
        <w:t>Madrona et al. (2010) analysed different KCL solutions concentrations (0.01, 0.1 and 1.0 mol L</w:t>
      </w:r>
      <w:r w:rsidRPr="00304BE2">
        <w:rPr>
          <w:rStyle w:val="hps"/>
          <w:rFonts w:cs="Arial"/>
          <w:color w:val="000000"/>
          <w:szCs w:val="18"/>
          <w:vertAlign w:val="superscript"/>
          <w:lang w:val="en-GB"/>
        </w:rPr>
        <w:t>-1</w:t>
      </w:r>
      <w:r w:rsidRPr="00304BE2">
        <w:rPr>
          <w:rStyle w:val="hps"/>
          <w:rFonts w:cs="Arial"/>
          <w:color w:val="000000"/>
          <w:szCs w:val="18"/>
          <w:lang w:val="en-GB"/>
        </w:rPr>
        <w:t xml:space="preserve">) in their tests. The authors observed that with </w:t>
      </w:r>
      <w:r>
        <w:rPr>
          <w:rStyle w:val="hps"/>
          <w:rFonts w:cs="Arial"/>
          <w:color w:val="000000"/>
          <w:szCs w:val="18"/>
          <w:lang w:val="en-GB"/>
        </w:rPr>
        <w:t xml:space="preserve">KCL </w:t>
      </w:r>
      <w:r w:rsidRPr="00304BE2">
        <w:rPr>
          <w:rStyle w:val="hps"/>
          <w:rFonts w:cs="Arial"/>
          <w:color w:val="000000"/>
          <w:szCs w:val="18"/>
          <w:lang w:val="en-GB"/>
        </w:rPr>
        <w:t>concentration of 0.1 mol L</w:t>
      </w:r>
      <w:r w:rsidRPr="00304BE2">
        <w:rPr>
          <w:rStyle w:val="hps"/>
          <w:rFonts w:cs="Arial"/>
          <w:color w:val="000000"/>
          <w:szCs w:val="18"/>
          <w:vertAlign w:val="superscript"/>
          <w:lang w:val="en-GB"/>
        </w:rPr>
        <w:t>-1</w:t>
      </w:r>
      <w:r w:rsidRPr="00304BE2">
        <w:rPr>
          <w:rStyle w:val="hps"/>
          <w:rFonts w:cs="Arial"/>
          <w:color w:val="000000"/>
          <w:szCs w:val="18"/>
          <w:lang w:val="en-GB"/>
        </w:rPr>
        <w:t xml:space="preserve"> the M.O. solution had the same amount of protein as in the MO solution extracted with 1.0 mol L </w:t>
      </w:r>
      <w:r w:rsidRPr="00304BE2">
        <w:rPr>
          <w:rStyle w:val="hps"/>
          <w:rFonts w:cs="Arial"/>
          <w:color w:val="000000"/>
          <w:szCs w:val="18"/>
          <w:vertAlign w:val="superscript"/>
          <w:lang w:val="en-GB"/>
        </w:rPr>
        <w:t>-1</w:t>
      </w:r>
      <w:r w:rsidRPr="00304BE2">
        <w:rPr>
          <w:rStyle w:val="hps"/>
          <w:rFonts w:cs="Arial"/>
          <w:color w:val="000000"/>
          <w:szCs w:val="18"/>
          <w:lang w:val="en-GB"/>
        </w:rPr>
        <w:t xml:space="preserve"> KCl, although the one with best results was the MO solution extracted with 1.0 mol L</w:t>
      </w:r>
      <w:r w:rsidRPr="00304BE2">
        <w:rPr>
          <w:rStyle w:val="hps"/>
          <w:rFonts w:cs="Arial"/>
          <w:color w:val="000000"/>
          <w:szCs w:val="18"/>
          <w:vertAlign w:val="superscript"/>
          <w:lang w:val="en-GB"/>
        </w:rPr>
        <w:t>-1</w:t>
      </w:r>
      <w:r w:rsidRPr="00304BE2">
        <w:rPr>
          <w:rStyle w:val="hps"/>
          <w:rFonts w:cs="Arial"/>
          <w:color w:val="000000"/>
          <w:szCs w:val="18"/>
          <w:lang w:val="en-GB"/>
        </w:rPr>
        <w:t xml:space="preserve"> KCl.</w:t>
      </w:r>
    </w:p>
    <w:p w:rsidR="00505114" w:rsidRPr="00DA27C6" w:rsidRDefault="00505114" w:rsidP="00505114">
      <w:pPr>
        <w:pStyle w:val="Ttulo1"/>
      </w:pPr>
      <w:r w:rsidRPr="00DA27C6">
        <w:t>Conclusions</w:t>
      </w:r>
    </w:p>
    <w:p w:rsidR="00505114" w:rsidRPr="003D4D1B" w:rsidRDefault="00505114" w:rsidP="00505114">
      <w:pPr>
        <w:pStyle w:val="CETBodytext"/>
        <w:rPr>
          <w:lang w:val="en-GB"/>
        </w:rPr>
      </w:pPr>
      <w:r w:rsidRPr="003D4D1B">
        <w:rPr>
          <w:lang w:val="en-GB"/>
        </w:rPr>
        <w:t>The main conclusions from the results are:</w:t>
      </w:r>
    </w:p>
    <w:p w:rsidR="00505114" w:rsidRPr="003D4D1B" w:rsidRDefault="00505114" w:rsidP="00505114">
      <w:pPr>
        <w:pStyle w:val="CETBodytext"/>
        <w:numPr>
          <w:ilvl w:val="0"/>
          <w:numId w:val="25"/>
        </w:numPr>
        <w:rPr>
          <w:lang w:val="en-GB"/>
        </w:rPr>
      </w:pPr>
      <w:r>
        <w:rPr>
          <w:lang w:val="en-GB"/>
        </w:rPr>
        <w:t>M</w:t>
      </w:r>
      <w:r w:rsidRPr="003D4D1B">
        <w:rPr>
          <w:lang w:val="en-GB"/>
        </w:rPr>
        <w:t>aximum removals found for the response variables Turbidity, Apparent Colour, Cyanide Ion and COD were 89.19</w:t>
      </w:r>
      <w:r>
        <w:rPr>
          <w:lang w:val="en-GB"/>
        </w:rPr>
        <w:t xml:space="preserve"> </w:t>
      </w:r>
      <w:r w:rsidRPr="003D4D1B">
        <w:rPr>
          <w:lang w:val="en-GB"/>
        </w:rPr>
        <w:t>%, 54.84</w:t>
      </w:r>
      <w:r>
        <w:rPr>
          <w:lang w:val="en-GB"/>
        </w:rPr>
        <w:t xml:space="preserve"> </w:t>
      </w:r>
      <w:r w:rsidRPr="003D4D1B">
        <w:rPr>
          <w:lang w:val="en-GB"/>
        </w:rPr>
        <w:t>%, 13.04</w:t>
      </w:r>
      <w:r>
        <w:rPr>
          <w:lang w:val="en-GB"/>
        </w:rPr>
        <w:t xml:space="preserve"> </w:t>
      </w:r>
      <w:r w:rsidRPr="003D4D1B">
        <w:rPr>
          <w:lang w:val="en-GB"/>
        </w:rPr>
        <w:t>% and 70.98</w:t>
      </w:r>
      <w:r>
        <w:rPr>
          <w:lang w:val="en-GB"/>
        </w:rPr>
        <w:t xml:space="preserve"> </w:t>
      </w:r>
      <w:r w:rsidRPr="003D4D1B">
        <w:rPr>
          <w:lang w:val="en-GB"/>
        </w:rPr>
        <w:t>%, respectively</w:t>
      </w:r>
      <w:r>
        <w:rPr>
          <w:lang w:val="en-GB"/>
        </w:rPr>
        <w:t>.</w:t>
      </w:r>
    </w:p>
    <w:p w:rsidR="00505114" w:rsidRPr="00611F12" w:rsidRDefault="00505114" w:rsidP="00505114">
      <w:pPr>
        <w:pStyle w:val="CETBodytext"/>
        <w:numPr>
          <w:ilvl w:val="0"/>
          <w:numId w:val="25"/>
        </w:numPr>
        <w:rPr>
          <w:lang w:val="en-GB"/>
        </w:rPr>
      </w:pPr>
      <w:r w:rsidRPr="00611F12">
        <w:rPr>
          <w:lang w:val="en-GB"/>
        </w:rPr>
        <w:t>The assay conditions for the maximum removals were: 2</w:t>
      </w:r>
      <w:r>
        <w:rPr>
          <w:lang w:val="en-GB"/>
        </w:rPr>
        <w:t>,</w:t>
      </w:r>
      <w:r w:rsidRPr="00611F12">
        <w:rPr>
          <w:lang w:val="en-GB"/>
        </w:rPr>
        <w:t>400 mg L</w:t>
      </w:r>
      <w:r w:rsidRPr="00611F12">
        <w:rPr>
          <w:vertAlign w:val="superscript"/>
          <w:lang w:val="en-GB"/>
        </w:rPr>
        <w:t>-1</w:t>
      </w:r>
      <w:r w:rsidRPr="00611F12">
        <w:rPr>
          <w:lang w:val="en-GB"/>
        </w:rPr>
        <w:t xml:space="preserve"> M.O.</w:t>
      </w:r>
      <w:r>
        <w:rPr>
          <w:lang w:val="en-GB"/>
        </w:rPr>
        <w:t xml:space="preserve"> concentration</w:t>
      </w:r>
      <w:r w:rsidRPr="00611F12">
        <w:rPr>
          <w:lang w:val="en-GB"/>
        </w:rPr>
        <w:t xml:space="preserve"> for the variables </w:t>
      </w:r>
      <w:r w:rsidRPr="003D4D1B">
        <w:rPr>
          <w:lang w:val="en-GB"/>
        </w:rPr>
        <w:t>Apparent</w:t>
      </w:r>
      <w:r w:rsidRPr="00611F12">
        <w:rPr>
          <w:lang w:val="en-GB"/>
        </w:rPr>
        <w:t xml:space="preserve"> Colour, COD and Cyanide Ion. </w:t>
      </w:r>
      <w:r>
        <w:rPr>
          <w:lang w:val="en-GB"/>
        </w:rPr>
        <w:t>In case of</w:t>
      </w:r>
      <w:r w:rsidRPr="00611F12">
        <w:rPr>
          <w:lang w:val="en-GB"/>
        </w:rPr>
        <w:t xml:space="preserve"> Turbidity the </w:t>
      </w:r>
      <w:r>
        <w:rPr>
          <w:lang w:val="en-GB"/>
        </w:rPr>
        <w:t xml:space="preserve">ideal </w:t>
      </w:r>
      <w:r w:rsidRPr="00611F12">
        <w:rPr>
          <w:lang w:val="en-GB"/>
        </w:rPr>
        <w:t>M.O. concentration for removal within the range studied was 2</w:t>
      </w:r>
      <w:r>
        <w:rPr>
          <w:lang w:val="en-GB"/>
        </w:rPr>
        <w:t>,</w:t>
      </w:r>
      <w:r w:rsidRPr="00611F12">
        <w:rPr>
          <w:lang w:val="en-GB"/>
        </w:rPr>
        <w:t>823 mg L</w:t>
      </w:r>
      <w:r w:rsidRPr="00611F12">
        <w:rPr>
          <w:vertAlign w:val="superscript"/>
          <w:lang w:val="en-GB"/>
        </w:rPr>
        <w:t>-1</w:t>
      </w:r>
      <w:r w:rsidRPr="00611F12">
        <w:rPr>
          <w:lang w:val="en-GB"/>
        </w:rPr>
        <w:t>. In terms of saline solution, the ideal concentration was 1.0 mol L</w:t>
      </w:r>
      <w:r w:rsidRPr="00611F12">
        <w:rPr>
          <w:vertAlign w:val="superscript"/>
          <w:lang w:val="en-GB"/>
        </w:rPr>
        <w:t>-1</w:t>
      </w:r>
      <w:r>
        <w:rPr>
          <w:lang w:val="en-GB"/>
        </w:rPr>
        <w:t>.</w:t>
      </w:r>
    </w:p>
    <w:p w:rsidR="00505114" w:rsidRPr="00A04211" w:rsidRDefault="00505114" w:rsidP="00505114">
      <w:pPr>
        <w:pStyle w:val="CETReference"/>
        <w:rPr>
          <w:lang w:val="en-US"/>
        </w:rPr>
      </w:pPr>
      <w:r w:rsidRPr="00A04211">
        <w:rPr>
          <w:lang w:val="en-US"/>
        </w:rPr>
        <w:t>R</w:t>
      </w:r>
      <w:r>
        <w:rPr>
          <w:lang w:val="en-US"/>
        </w:rPr>
        <w:t>eferences</w:t>
      </w:r>
    </w:p>
    <w:p w:rsidR="00197063" w:rsidRPr="00054FDB" w:rsidRDefault="00197063" w:rsidP="00505114">
      <w:pPr>
        <w:pStyle w:val="CETReferencetext"/>
        <w:rPr>
          <w:lang w:val="en-US"/>
        </w:rPr>
      </w:pPr>
      <w:r w:rsidRPr="00054FDB">
        <w:rPr>
          <w:rStyle w:val="hps"/>
          <w:rFonts w:cs="Arial"/>
          <w:szCs w:val="18"/>
        </w:rPr>
        <w:t>Amagloh F</w:t>
      </w:r>
      <w:r>
        <w:rPr>
          <w:rStyle w:val="hps"/>
          <w:rFonts w:cs="Arial"/>
          <w:szCs w:val="18"/>
        </w:rPr>
        <w:t>.</w:t>
      </w:r>
      <w:r w:rsidRPr="00054FDB">
        <w:rPr>
          <w:rStyle w:val="hps"/>
          <w:rFonts w:cs="Arial"/>
          <w:szCs w:val="18"/>
        </w:rPr>
        <w:t>K., Benang A</w:t>
      </w:r>
      <w:r>
        <w:rPr>
          <w:rStyle w:val="hps"/>
          <w:rFonts w:cs="Arial"/>
          <w:szCs w:val="18"/>
        </w:rPr>
        <w:t>, 2009,</w:t>
      </w:r>
      <w:r w:rsidRPr="00054FDB">
        <w:rPr>
          <w:rStyle w:val="hps"/>
          <w:rFonts w:cs="Arial"/>
          <w:szCs w:val="18"/>
        </w:rPr>
        <w:t xml:space="preserve"> </w:t>
      </w:r>
      <w:r w:rsidRPr="00054FDB">
        <w:rPr>
          <w:bCs/>
          <w:lang w:val="en-US"/>
        </w:rPr>
        <w:t xml:space="preserve">Effectiveness of </w:t>
      </w:r>
      <w:r w:rsidRPr="00054FDB">
        <w:rPr>
          <w:bCs/>
          <w:i/>
          <w:iCs/>
          <w:lang w:val="en-US"/>
        </w:rPr>
        <w:t xml:space="preserve">Moringa oleifera </w:t>
      </w:r>
      <w:r w:rsidRPr="00054FDB">
        <w:rPr>
          <w:bCs/>
          <w:lang w:val="en-US"/>
        </w:rPr>
        <w:t>seed as c</w:t>
      </w:r>
      <w:r>
        <w:rPr>
          <w:bCs/>
          <w:lang w:val="en-US"/>
        </w:rPr>
        <w:t>oagulant for water purification,</w:t>
      </w:r>
      <w:r w:rsidRPr="00054FDB">
        <w:rPr>
          <w:bCs/>
          <w:lang w:val="en-US"/>
        </w:rPr>
        <w:t xml:space="preserve"> </w:t>
      </w:r>
      <w:r w:rsidRPr="00054FDB">
        <w:rPr>
          <w:lang w:val="en-US"/>
        </w:rPr>
        <w:t>African Jour</w:t>
      </w:r>
      <w:r>
        <w:rPr>
          <w:lang w:val="en-US"/>
        </w:rPr>
        <w:t xml:space="preserve">nal of Agricultural Research, 4, </w:t>
      </w:r>
      <w:r w:rsidRPr="00054FDB">
        <w:rPr>
          <w:lang w:val="en-US"/>
        </w:rPr>
        <w:t xml:space="preserve">119-123. </w:t>
      </w:r>
    </w:p>
    <w:p w:rsidR="00197063" w:rsidRPr="00B8143C" w:rsidRDefault="00197063" w:rsidP="00505114">
      <w:pPr>
        <w:pStyle w:val="CETReferencetext"/>
      </w:pPr>
      <w:r>
        <w:rPr>
          <w:lang w:val="en-US"/>
        </w:rPr>
        <w:t>Bhatia S., Othman Z., Ahmad A.L., 2007,</w:t>
      </w:r>
      <w:r w:rsidRPr="00054FDB">
        <w:rPr>
          <w:lang w:val="en-US"/>
        </w:rPr>
        <w:t xml:space="preserve"> </w:t>
      </w:r>
      <w:r w:rsidRPr="00054FDB">
        <w:rPr>
          <w:bCs/>
          <w:lang w:val="en-US"/>
        </w:rPr>
        <w:t xml:space="preserve">Pretreatment of palm oil mill effluent (POME) using </w:t>
      </w:r>
      <w:r w:rsidRPr="00054FDB">
        <w:rPr>
          <w:bCs/>
          <w:i/>
          <w:iCs/>
          <w:lang w:val="en-US"/>
        </w:rPr>
        <w:t xml:space="preserve">Moringa oleifera </w:t>
      </w:r>
      <w:r w:rsidRPr="00054FDB">
        <w:rPr>
          <w:bCs/>
          <w:lang w:val="en-US"/>
        </w:rPr>
        <w:t>seed’s as natural coagulant</w:t>
      </w:r>
      <w:r>
        <w:rPr>
          <w:lang w:val="en-US"/>
        </w:rPr>
        <w:t xml:space="preserve">, </w:t>
      </w:r>
      <w:r w:rsidRPr="00B8143C">
        <w:rPr>
          <w:iCs/>
        </w:rPr>
        <w:t>Journal of Hazardous Materials</w:t>
      </w:r>
      <w:r w:rsidRPr="00B8143C">
        <w:t>, 145, 120-126.</w:t>
      </w:r>
    </w:p>
    <w:p w:rsidR="00197063" w:rsidRPr="00054FDB" w:rsidRDefault="00197063" w:rsidP="00505114">
      <w:pPr>
        <w:pStyle w:val="CETReferencetext"/>
        <w:rPr>
          <w:rStyle w:val="fontstyle01"/>
          <w:rFonts w:ascii="Arial" w:hAnsi="Arial" w:cs="Arial"/>
          <w:color w:val="auto"/>
          <w:sz w:val="18"/>
          <w:szCs w:val="18"/>
        </w:rPr>
      </w:pPr>
      <w:r w:rsidRPr="00054FDB">
        <w:rPr>
          <w:rStyle w:val="fontstyle01"/>
          <w:rFonts w:ascii="Arial" w:hAnsi="Arial" w:cs="Arial"/>
          <w:color w:val="auto"/>
          <w:sz w:val="18"/>
          <w:szCs w:val="18"/>
        </w:rPr>
        <w:t>Bongiovani M.C., Pereira Camacho F., Cardoso Valverde K., Rhuna Tonial Dos Santos T., Nishi L., Bergamasco R., 2015, Evaluation of trihalomethanes formation using combined process coagulation/floculation/membranes in water treatment, Chemical Engineering Transactions, 43, 2323-2328 DOI: 10.3303/CET1543388</w:t>
      </w:r>
    </w:p>
    <w:p w:rsidR="00197063" w:rsidRPr="00054FDB" w:rsidRDefault="00197063" w:rsidP="00505114">
      <w:pPr>
        <w:pStyle w:val="CETReferencetext"/>
        <w:rPr>
          <w:rStyle w:val="fontstyle01"/>
          <w:rFonts w:ascii="Arial" w:hAnsi="Arial" w:cs="Arial"/>
          <w:color w:val="auto"/>
          <w:sz w:val="18"/>
          <w:szCs w:val="18"/>
        </w:rPr>
      </w:pPr>
      <w:r w:rsidRPr="00054FDB">
        <w:rPr>
          <w:rStyle w:val="fontstyle01"/>
          <w:rFonts w:ascii="Arial" w:hAnsi="Arial" w:cs="Arial"/>
          <w:color w:val="auto"/>
          <w:sz w:val="18"/>
          <w:szCs w:val="18"/>
        </w:rPr>
        <w:t>Camacho F.P., Bongiovani M.C., Dusserre G., Silva M.O., Coldebella P.F., Bergamasco R., 2015,</w:t>
      </w:r>
      <w:r w:rsidRPr="00054FDB">
        <w:br/>
      </w:r>
      <w:r w:rsidRPr="00054FDB">
        <w:rPr>
          <w:rStyle w:val="fontstyle01"/>
          <w:rFonts w:ascii="Arial" w:hAnsi="Arial" w:cs="Arial"/>
          <w:color w:val="auto"/>
          <w:sz w:val="18"/>
          <w:szCs w:val="18"/>
        </w:rPr>
        <w:t>Coagulation/flocculation/flotation/nanofiltration processes using moringa oleifera as coagulant of eutrophized river, Chemical Engineering Transactions, 43, 1123-1128 DOI: 10.3303/CET1543188</w:t>
      </w:r>
    </w:p>
    <w:p w:rsidR="00197063" w:rsidRPr="00054FDB" w:rsidRDefault="00197063" w:rsidP="00505114">
      <w:pPr>
        <w:pStyle w:val="CETReferencetext"/>
        <w:rPr>
          <w:lang w:val="en-US"/>
        </w:rPr>
      </w:pPr>
      <w:r w:rsidRPr="00054FDB">
        <w:rPr>
          <w:lang w:val="en-US"/>
        </w:rPr>
        <w:t>Carvalho J</w:t>
      </w:r>
      <w:r>
        <w:rPr>
          <w:lang w:val="en-US"/>
        </w:rPr>
        <w:t>.</w:t>
      </w:r>
      <w:r w:rsidRPr="00054FDB">
        <w:rPr>
          <w:lang w:val="en-US"/>
        </w:rPr>
        <w:t>C</w:t>
      </w:r>
      <w:r>
        <w:rPr>
          <w:lang w:val="en-US"/>
        </w:rPr>
        <w:t>.</w:t>
      </w:r>
      <w:r w:rsidRPr="00054FDB">
        <w:rPr>
          <w:lang w:val="en-US"/>
        </w:rPr>
        <w:t>, Borghetti I</w:t>
      </w:r>
      <w:r>
        <w:rPr>
          <w:lang w:val="en-US"/>
        </w:rPr>
        <w:t>.</w:t>
      </w:r>
      <w:r w:rsidRPr="00054FDB">
        <w:rPr>
          <w:lang w:val="en-US"/>
        </w:rPr>
        <w:t>A</w:t>
      </w:r>
      <w:r>
        <w:rPr>
          <w:lang w:val="en-US"/>
        </w:rPr>
        <w:t>.</w:t>
      </w:r>
      <w:r w:rsidRPr="00054FDB">
        <w:rPr>
          <w:lang w:val="en-US"/>
        </w:rPr>
        <w:t>, Cartas L</w:t>
      </w:r>
      <w:r>
        <w:rPr>
          <w:lang w:val="en-US"/>
        </w:rPr>
        <w:t>.</w:t>
      </w:r>
      <w:r w:rsidRPr="00054FDB">
        <w:rPr>
          <w:lang w:val="en-US"/>
        </w:rPr>
        <w:t>C</w:t>
      </w:r>
      <w:r>
        <w:rPr>
          <w:lang w:val="en-US"/>
        </w:rPr>
        <w:t>.</w:t>
      </w:r>
      <w:r w:rsidRPr="00054FDB">
        <w:rPr>
          <w:lang w:val="en-US"/>
        </w:rPr>
        <w:t xml:space="preserve">, </w:t>
      </w:r>
      <w:r w:rsidRPr="00054FDB">
        <w:rPr>
          <w:bdr w:val="none" w:sz="0" w:space="0" w:color="auto" w:frame="1"/>
          <w:shd w:val="clear" w:color="auto" w:fill="FFFFFF"/>
          <w:lang w:val="en-US"/>
        </w:rPr>
        <w:t>Woiciechowski</w:t>
      </w:r>
      <w:r w:rsidRPr="00054FDB">
        <w:rPr>
          <w:lang w:val="en-US"/>
        </w:rPr>
        <w:t xml:space="preserve"> A</w:t>
      </w:r>
      <w:r>
        <w:rPr>
          <w:lang w:val="en-US"/>
        </w:rPr>
        <w:t>.</w:t>
      </w:r>
      <w:r w:rsidRPr="00054FDB">
        <w:rPr>
          <w:lang w:val="en-US"/>
        </w:rPr>
        <w:t>L</w:t>
      </w:r>
      <w:r>
        <w:rPr>
          <w:lang w:val="en-US"/>
        </w:rPr>
        <w:t>.</w:t>
      </w:r>
      <w:r w:rsidRPr="00054FDB">
        <w:rPr>
          <w:lang w:val="en-US"/>
        </w:rPr>
        <w:t>, Soccol V</w:t>
      </w:r>
      <w:r>
        <w:rPr>
          <w:lang w:val="en-US"/>
        </w:rPr>
        <w:t>.</w:t>
      </w:r>
      <w:r w:rsidRPr="00054FDB">
        <w:rPr>
          <w:lang w:val="en-US"/>
        </w:rPr>
        <w:t>T</w:t>
      </w:r>
      <w:r>
        <w:rPr>
          <w:lang w:val="en-US"/>
        </w:rPr>
        <w:t>.</w:t>
      </w:r>
      <w:r w:rsidRPr="00054FDB">
        <w:rPr>
          <w:lang w:val="en-US"/>
        </w:rPr>
        <w:t>, Soccol C</w:t>
      </w:r>
      <w:r>
        <w:rPr>
          <w:lang w:val="en-US"/>
        </w:rPr>
        <w:t>.</w:t>
      </w:r>
      <w:r w:rsidRPr="00054FDB">
        <w:rPr>
          <w:lang w:val="en-US"/>
        </w:rPr>
        <w:t>R</w:t>
      </w:r>
      <w:r>
        <w:rPr>
          <w:lang w:val="en-US"/>
        </w:rPr>
        <w:t>., 2017,</w:t>
      </w:r>
      <w:r w:rsidRPr="00054FDB">
        <w:rPr>
          <w:lang w:val="en-US"/>
        </w:rPr>
        <w:t xml:space="preserve"> Biorefinery Integration of Microalgae Production into Cassava Processing Industry: Potential and Persp</w:t>
      </w:r>
      <w:r>
        <w:rPr>
          <w:lang w:val="en-US"/>
        </w:rPr>
        <w:t>ectives, Bioresource Technology, 247, 1165-1172</w:t>
      </w:r>
      <w:r w:rsidRPr="00054FDB">
        <w:rPr>
          <w:lang w:val="en-US"/>
        </w:rPr>
        <w:t xml:space="preserve"> &lt;</w:t>
      </w:r>
      <w:hyperlink r:id="rId12" w:tgtFrame="doilink" w:history="1">
        <w:r w:rsidRPr="00054FDB">
          <w:rPr>
            <w:rStyle w:val="Hyperlink"/>
            <w:rFonts w:cs="Arial"/>
            <w:color w:val="auto"/>
            <w:szCs w:val="18"/>
            <w:lang w:val="en-US"/>
          </w:rPr>
          <w:t>https://doi.org/10.1016/j.biortech.2017.09.213</w:t>
        </w:r>
      </w:hyperlink>
      <w:r w:rsidRPr="00054FDB">
        <w:rPr>
          <w:lang w:val="en-US"/>
        </w:rPr>
        <w:t xml:space="preserve">&gt; </w:t>
      </w:r>
    </w:p>
    <w:p w:rsidR="00197063" w:rsidRPr="004549DA" w:rsidRDefault="00197063" w:rsidP="00505114">
      <w:pPr>
        <w:pStyle w:val="CETReferencetext"/>
        <w:rPr>
          <w:rStyle w:val="fontstyle01"/>
          <w:rFonts w:ascii="Arial" w:hAnsi="Arial" w:cs="Arial"/>
          <w:color w:val="auto"/>
          <w:sz w:val="18"/>
          <w:szCs w:val="18"/>
        </w:rPr>
      </w:pPr>
      <w:r w:rsidRPr="00054FDB">
        <w:rPr>
          <w:rStyle w:val="fontstyle01"/>
          <w:rFonts w:ascii="Arial" w:hAnsi="Arial" w:cs="Arial"/>
          <w:color w:val="auto"/>
          <w:sz w:val="18"/>
          <w:szCs w:val="18"/>
        </w:rPr>
        <w:lastRenderedPageBreak/>
        <w:t>Daza-</w:t>
      </w:r>
      <w:r w:rsidRPr="004549DA">
        <w:rPr>
          <w:rStyle w:val="fontstyle01"/>
          <w:rFonts w:ascii="Arial" w:hAnsi="Arial" w:cs="Arial"/>
          <w:color w:val="auto"/>
          <w:sz w:val="18"/>
          <w:szCs w:val="18"/>
        </w:rPr>
        <w:t>Gamez R., Barajas-Solano A., Epalza-Contreras M., 2016, Evaluation of the efficiency of bio-polymers derived from desertic plants as flocculation agents, Chemical Engineering Transactions, 49, 361-366 DOI: 10.3303/CET1649061</w:t>
      </w:r>
    </w:p>
    <w:p w:rsidR="00197063" w:rsidRPr="004549DA" w:rsidRDefault="00197063" w:rsidP="00505114">
      <w:pPr>
        <w:pStyle w:val="CETReferencetext"/>
        <w:rPr>
          <w:shd w:val="clear" w:color="auto" w:fill="FFFFFF"/>
          <w:lang w:val="pt-BR"/>
        </w:rPr>
      </w:pPr>
      <w:r w:rsidRPr="004549DA">
        <w:rPr>
          <w:lang w:val="pt-BR"/>
        </w:rPr>
        <w:t xml:space="preserve">Fioretto R.A., 2001, Uso direto da manipueira em fertirrigação. </w:t>
      </w:r>
      <w:r w:rsidRPr="004549DA">
        <w:rPr>
          <w:lang w:val="en-US"/>
        </w:rPr>
        <w:t xml:space="preserve">In: CEREDA, M. P. (Coord.) </w:t>
      </w:r>
      <w:r w:rsidRPr="004549DA">
        <w:rPr>
          <w:lang w:val="pt-BR"/>
        </w:rPr>
        <w:t>Manejo, uso e tratamento de subprodutos da industrialização da mandioca. São Paulo: Fundação Cargill. 320p. (Série Culturas de Tuberosas Amiláceas Latino Americanas, v.4)</w:t>
      </w:r>
      <w:r w:rsidRPr="004549DA">
        <w:rPr>
          <w:shd w:val="clear" w:color="auto" w:fill="FFFFFF"/>
          <w:lang w:val="pt-BR"/>
        </w:rPr>
        <w:t xml:space="preserve"> </w:t>
      </w:r>
    </w:p>
    <w:p w:rsidR="00197063" w:rsidRPr="004549DA" w:rsidRDefault="00197063" w:rsidP="00505114">
      <w:pPr>
        <w:pStyle w:val="CETReferencetext"/>
        <w:rPr>
          <w:lang w:val="en-US"/>
        </w:rPr>
      </w:pPr>
      <w:r w:rsidRPr="004549DA">
        <w:rPr>
          <w:lang w:val="en-US"/>
        </w:rPr>
        <w:t>Formentini-Schmitt D., Alves A., Veit M., Bergamasco R., Fagundes-Klen M.R., 2013, Ultrafiltration Combined with Coagulation/Flocculation/Sedimentation Using Moringa oleifera as Coagulant to Treat Dairy Industry Wastewater, Water, Air and Soil Pollution (Dordrecht. Online), 224, 1682-1692.</w:t>
      </w:r>
    </w:p>
    <w:p w:rsidR="00197063" w:rsidRPr="004549DA" w:rsidRDefault="00197063" w:rsidP="00505114">
      <w:pPr>
        <w:pStyle w:val="CETReferencetext"/>
      </w:pPr>
      <w:r w:rsidRPr="004549DA">
        <w:rPr>
          <w:lang w:val="en-US"/>
        </w:rPr>
        <w:t xml:space="preserve">Hasan S.D.M., Limons R.S., Silva F.M., Klen M.R.F., 2014, Nonliving macrophyte Salvinia sp. application for nutrient removal in starchy wastewater treatment of cassava industry, </w:t>
      </w:r>
      <w:r w:rsidRPr="004549DA">
        <w:t>Desalination and Water Treatment (Print), 54, 1-8.</w:t>
      </w:r>
    </w:p>
    <w:p w:rsidR="00197063" w:rsidRPr="004549DA" w:rsidRDefault="00197063" w:rsidP="00505114">
      <w:pPr>
        <w:pStyle w:val="CETReferencetext"/>
        <w:rPr>
          <w:lang w:val="pt-BR"/>
        </w:rPr>
      </w:pPr>
      <w:r w:rsidRPr="004549DA">
        <w:rPr>
          <w:lang w:val="pt-BR"/>
        </w:rPr>
        <w:t xml:space="preserve">Hess M.L., 1962, Tratamento de despejos de fecularias de mandioca por oxidação biológica, </w:t>
      </w:r>
      <w:r w:rsidRPr="004549DA">
        <w:rPr>
          <w:i/>
          <w:lang w:val="pt-BR"/>
        </w:rPr>
        <w:t>Revista DAE</w:t>
      </w:r>
      <w:r w:rsidRPr="004549DA">
        <w:rPr>
          <w:lang w:val="pt-BR"/>
        </w:rPr>
        <w:t>, São Paulo, 23, 29-35.</w:t>
      </w:r>
    </w:p>
    <w:p w:rsidR="00197063" w:rsidRPr="004549DA" w:rsidRDefault="004549DA" w:rsidP="00505114">
      <w:pPr>
        <w:pStyle w:val="CETReferencetext"/>
      </w:pPr>
      <w:r>
        <w:t xml:space="preserve">Jun L.E.F., </w:t>
      </w:r>
      <w:bookmarkStart w:id="9" w:name="_GoBack"/>
      <w:bookmarkEnd w:id="9"/>
      <w:r w:rsidR="00197063" w:rsidRPr="004549DA">
        <w:t>Ahmad A.L., 2015, Natural, biodegradable and non-toxic coagulant from g. hylocereus</w:t>
      </w:r>
      <w:r w:rsidR="00197063" w:rsidRPr="004549DA">
        <w:br/>
        <w:t>foliage: optimisation on coagulant preparation, Chemical Engineering Transactions, 45, 1477-1482</w:t>
      </w:r>
      <w:r w:rsidR="00197063" w:rsidRPr="004549DA">
        <w:br/>
        <w:t>DOI:10.3303/CET1545247</w:t>
      </w:r>
    </w:p>
    <w:p w:rsidR="00197063" w:rsidRPr="004549DA" w:rsidRDefault="00197063" w:rsidP="00505114">
      <w:pPr>
        <w:pStyle w:val="CETReferencetext"/>
        <w:rPr>
          <w:shd w:val="clear" w:color="auto" w:fill="FFFFFF"/>
        </w:rPr>
      </w:pPr>
      <w:r w:rsidRPr="004549DA">
        <w:rPr>
          <w:shd w:val="clear" w:color="auto" w:fill="FFFFFF"/>
        </w:rPr>
        <w:t>Katayon S., Noor M.J.M., Asma M., Ghani L.A.A., Thamer A.M., Azni I., 2006, Effects of storage conditions of Moringa oleifera seeds on its performance in coagulation. Bioresource Technology, v. 97, p. 1455-1460.</w:t>
      </w:r>
    </w:p>
    <w:p w:rsidR="00197063" w:rsidRPr="004549DA" w:rsidRDefault="00197063" w:rsidP="00505114">
      <w:pPr>
        <w:pStyle w:val="CETReferencetext"/>
        <w:rPr>
          <w:lang w:val="en-US"/>
        </w:rPr>
      </w:pPr>
      <w:bookmarkStart w:id="10" w:name="bau0010"/>
      <w:r w:rsidRPr="004549DA">
        <w:rPr>
          <w:lang w:val="en-US"/>
        </w:rPr>
        <w:t>Kuczman O.,Tavares M.H.F</w:t>
      </w:r>
      <w:bookmarkStart w:id="11" w:name="bau0015"/>
      <w:bookmarkEnd w:id="10"/>
      <w:r w:rsidRPr="004549DA">
        <w:rPr>
          <w:lang w:val="en-US"/>
        </w:rPr>
        <w:t>., Gomes S.D</w:t>
      </w:r>
      <w:bookmarkStart w:id="12" w:name="bau0025"/>
      <w:bookmarkEnd w:id="11"/>
      <w:r w:rsidRPr="004549DA">
        <w:rPr>
          <w:lang w:val="en-US"/>
        </w:rPr>
        <w:t xml:space="preserve">., Guedes L.P.C., </w:t>
      </w:r>
      <w:bookmarkEnd w:id="12"/>
      <w:r w:rsidRPr="004549DA">
        <w:rPr>
          <w:lang w:val="en-US"/>
        </w:rPr>
        <w:t>Grisotti G., 2017, Effects of stirring on cassava effluent treatment in an anaerobic horizontal tubular pilot reactor with support medium – A Review, Renewable and Sustainable Energy Reviews, 77, 984-989</w:t>
      </w:r>
    </w:p>
    <w:p w:rsidR="00197063" w:rsidRPr="004549DA" w:rsidRDefault="00197063" w:rsidP="00505114">
      <w:pPr>
        <w:pStyle w:val="CETReferencetext"/>
        <w:rPr>
          <w:lang w:val="pt-BR"/>
        </w:rPr>
      </w:pPr>
      <w:r w:rsidRPr="004549DA">
        <w:rPr>
          <w:lang w:val="pt-BR"/>
        </w:rPr>
        <w:t>Lamo P.R., Menezes T.J.B., 1979, Bioconversão das águas residuais do processamento da mandioca para a produção de biomassa, Col. ITAL., 10, 1–14.</w:t>
      </w:r>
    </w:p>
    <w:p w:rsidR="00197063" w:rsidRPr="004549DA" w:rsidRDefault="00197063" w:rsidP="00505114">
      <w:pPr>
        <w:pStyle w:val="CETReferencetext"/>
        <w:rPr>
          <w:lang w:val="pt-BR"/>
        </w:rPr>
      </w:pPr>
      <w:r w:rsidRPr="004549DA">
        <w:rPr>
          <w:lang w:val="es-ES_tradnl"/>
        </w:rPr>
        <w:t xml:space="preserve">Lédo P.G.S., Lima R.F.S., Paula J.B.A., Duarte M.A.C., 2009, </w:t>
      </w:r>
      <w:r w:rsidRPr="004549DA">
        <w:rPr>
          <w:bCs/>
          <w:lang w:val="es-ES_tradnl"/>
        </w:rPr>
        <w:t xml:space="preserve">Estudio Comparativo de Sulfato de Aluminio y Semillas de </w:t>
      </w:r>
      <w:r w:rsidRPr="004549DA">
        <w:rPr>
          <w:bCs/>
          <w:i/>
          <w:iCs/>
          <w:lang w:val="es-ES_tradnl"/>
        </w:rPr>
        <w:t xml:space="preserve">Moringa oleifera </w:t>
      </w:r>
      <w:r w:rsidRPr="004549DA">
        <w:rPr>
          <w:bCs/>
          <w:lang w:val="es-ES_tradnl"/>
        </w:rPr>
        <w:t xml:space="preserve">para la Depuración de Aguas con Baja Turbiedad, </w:t>
      </w:r>
      <w:r w:rsidRPr="004549DA">
        <w:rPr>
          <w:lang w:val="pt-BR"/>
        </w:rPr>
        <w:t>Información Tecnológica, 20(5), 3-12.</w:t>
      </w:r>
    </w:p>
    <w:p w:rsidR="00197063" w:rsidRPr="004549DA" w:rsidRDefault="00197063" w:rsidP="00505114">
      <w:pPr>
        <w:pStyle w:val="CETReferencetext"/>
        <w:rPr>
          <w:bCs/>
          <w:lang w:val="pt-BR"/>
        </w:rPr>
      </w:pPr>
      <w:r w:rsidRPr="004549DA">
        <w:rPr>
          <w:lang w:val="pt-BR"/>
        </w:rPr>
        <w:t xml:space="preserve">Lima R.A. et al., 2009, </w:t>
      </w:r>
      <w:r w:rsidRPr="004549DA">
        <w:rPr>
          <w:bCs/>
          <w:lang w:val="pt-BR"/>
        </w:rPr>
        <w:t>Tratamento Físico-Químico da Manipueira, In: XIII Congresso Brasileiro da Mandioca, 1210-1216.</w:t>
      </w:r>
    </w:p>
    <w:p w:rsidR="00197063" w:rsidRPr="004549DA" w:rsidRDefault="00197063" w:rsidP="00505114">
      <w:pPr>
        <w:pStyle w:val="CETReferencetext"/>
        <w:rPr>
          <w:rStyle w:val="articlecitationpages"/>
          <w:rFonts w:cs="Arial"/>
          <w:spacing w:val="4"/>
          <w:szCs w:val="18"/>
          <w:shd w:val="clear" w:color="auto" w:fill="FCFCFC"/>
        </w:rPr>
      </w:pPr>
      <w:r w:rsidRPr="004549DA">
        <w:rPr>
          <w:lang w:val="en-US"/>
        </w:rPr>
        <w:t xml:space="preserve">Madrona G.S., Serpelloni G.B., Vieira A., Bergamasco R., Nishi L., Cardoso K.C., et al., 2010, Study of the effect of saline solution on the extration of the </w:t>
      </w:r>
      <w:r w:rsidRPr="004549DA">
        <w:rPr>
          <w:i/>
          <w:iCs/>
          <w:lang w:val="en-US"/>
        </w:rPr>
        <w:t xml:space="preserve">Moringa oleifera </w:t>
      </w:r>
      <w:r w:rsidRPr="004549DA">
        <w:rPr>
          <w:lang w:val="en-US"/>
        </w:rPr>
        <w:t xml:space="preserve">seed’s active component for water treatment, </w:t>
      </w:r>
      <w:r w:rsidRPr="004549DA">
        <w:rPr>
          <w:i/>
          <w:lang w:val="en-US"/>
        </w:rPr>
        <w:t>Water Air Soil Pollut</w:t>
      </w:r>
      <w:r w:rsidRPr="004549DA">
        <w:rPr>
          <w:lang w:val="en-US"/>
        </w:rPr>
        <w:t xml:space="preserve">, </w:t>
      </w:r>
      <w:r w:rsidRPr="004549DA">
        <w:rPr>
          <w:rStyle w:val="articlecitationvolume"/>
          <w:rFonts w:cs="Arial"/>
          <w:spacing w:val="4"/>
          <w:szCs w:val="18"/>
          <w:shd w:val="clear" w:color="auto" w:fill="FCFCFC"/>
        </w:rPr>
        <w:t>211</w:t>
      </w:r>
      <w:r w:rsidRPr="004549DA">
        <w:rPr>
          <w:spacing w:val="4"/>
          <w:shd w:val="clear" w:color="auto" w:fill="FCFCFC"/>
        </w:rPr>
        <w:t xml:space="preserve">, </w:t>
      </w:r>
      <w:r w:rsidRPr="004549DA">
        <w:rPr>
          <w:rStyle w:val="articlecitationpages"/>
          <w:rFonts w:cs="Arial"/>
          <w:spacing w:val="4"/>
          <w:szCs w:val="18"/>
          <w:shd w:val="clear" w:color="auto" w:fill="FCFCFC"/>
        </w:rPr>
        <w:t>409–415.</w:t>
      </w:r>
    </w:p>
    <w:p w:rsidR="00197063" w:rsidRPr="004549DA" w:rsidRDefault="00197063" w:rsidP="00505114">
      <w:pPr>
        <w:pStyle w:val="CETReferencetext"/>
        <w:rPr>
          <w:rStyle w:val="fontstyle01"/>
          <w:rFonts w:ascii="Arial" w:hAnsi="Arial" w:cs="Arial"/>
          <w:color w:val="auto"/>
          <w:sz w:val="18"/>
          <w:szCs w:val="18"/>
        </w:rPr>
      </w:pPr>
      <w:r w:rsidRPr="004549DA">
        <w:rPr>
          <w:rStyle w:val="fontstyle01"/>
          <w:rFonts w:ascii="Arial" w:hAnsi="Arial" w:cs="Arial"/>
          <w:color w:val="auto"/>
          <w:sz w:val="18"/>
          <w:szCs w:val="18"/>
        </w:rPr>
        <w:t>Mohamed Hizam Mohamed Noor, Norzita Ngadi, Wong Syie Luing, 2018, Synthesis of magnetic cellulose as flocculant for pre- treatment of anaerobically treated palm oil mill effluent, Chemical Engineering Transactions, 63, 589-594 DOI:10.3303/CET1863099</w:t>
      </w:r>
    </w:p>
    <w:p w:rsidR="002A588F" w:rsidRPr="004549DA" w:rsidRDefault="002A588F" w:rsidP="00505114">
      <w:pPr>
        <w:pStyle w:val="CETReferencetext"/>
        <w:rPr>
          <w:rStyle w:val="fontstyle01"/>
          <w:rFonts w:ascii="Arial" w:hAnsi="Arial" w:cs="Arial"/>
          <w:color w:val="auto"/>
          <w:sz w:val="18"/>
          <w:szCs w:val="18"/>
        </w:rPr>
      </w:pPr>
      <w:r w:rsidRPr="004549DA">
        <w:rPr>
          <w:rFonts w:cs="Arial"/>
          <w:szCs w:val="18"/>
        </w:rPr>
        <w:t>Ndabigengesere A., Narasiah K. S., 1998, Quality of water treated by coagulation using Moringa oleifera seeds, Water Research, 32, 781-791.</w:t>
      </w:r>
    </w:p>
    <w:p w:rsidR="00197063" w:rsidRPr="004549DA" w:rsidRDefault="00197063" w:rsidP="00505114">
      <w:pPr>
        <w:pStyle w:val="CETReferencetext"/>
        <w:rPr>
          <w:lang w:val="en-US"/>
        </w:rPr>
      </w:pPr>
      <w:r w:rsidRPr="004549DA">
        <w:rPr>
          <w:lang w:val="en-US"/>
        </w:rPr>
        <w:t xml:space="preserve">Ndabigengesere A., Narasiah K.S., Talbot B.G., 1995, </w:t>
      </w:r>
      <w:r w:rsidRPr="004549DA">
        <w:rPr>
          <w:bCs/>
          <w:lang w:val="en-US"/>
        </w:rPr>
        <w:t xml:space="preserve">Active agents and mechanism of coagulation of the turbid water using </w:t>
      </w:r>
      <w:r w:rsidRPr="004549DA">
        <w:rPr>
          <w:bCs/>
          <w:i/>
          <w:iCs/>
          <w:lang w:val="en-US"/>
        </w:rPr>
        <w:t>Moringa oleifera</w:t>
      </w:r>
      <w:r w:rsidRPr="004549DA">
        <w:rPr>
          <w:lang w:val="en-US"/>
        </w:rPr>
        <w:t xml:space="preserve">, </w:t>
      </w:r>
      <w:r w:rsidRPr="004549DA">
        <w:rPr>
          <w:i/>
          <w:iCs/>
          <w:lang w:val="en-US"/>
        </w:rPr>
        <w:t>Water Research</w:t>
      </w:r>
      <w:r w:rsidRPr="004549DA">
        <w:rPr>
          <w:lang w:val="en-US"/>
        </w:rPr>
        <w:t>, 29, 703-710.</w:t>
      </w:r>
    </w:p>
    <w:p w:rsidR="00197063" w:rsidRPr="004549DA" w:rsidRDefault="00197063" w:rsidP="00505114">
      <w:pPr>
        <w:pStyle w:val="CETReferencetext"/>
      </w:pPr>
      <w:r w:rsidRPr="004549DA">
        <w:rPr>
          <w:lang w:val="en-US"/>
        </w:rPr>
        <w:t xml:space="preserve">Oliveira M.A., Reis E.M., Nozaki J., 2001, Biological Treatment of Wastewater from the Cassava Meal Industry, </w:t>
      </w:r>
      <w:r w:rsidRPr="004549DA">
        <w:rPr>
          <w:i/>
        </w:rPr>
        <w:t>Environment Research Section</w:t>
      </w:r>
      <w:r w:rsidRPr="004549DA">
        <w:t>, 85, 177-183.</w:t>
      </w:r>
    </w:p>
    <w:p w:rsidR="00197063" w:rsidRPr="004549DA" w:rsidRDefault="00197063" w:rsidP="00505114">
      <w:pPr>
        <w:pStyle w:val="CETReferencetext"/>
        <w:rPr>
          <w:rFonts w:cs="Arial"/>
          <w:szCs w:val="18"/>
        </w:rPr>
      </w:pPr>
      <w:r w:rsidRPr="004549DA">
        <w:rPr>
          <w:rStyle w:val="fontstyle01"/>
          <w:rFonts w:ascii="Arial" w:hAnsi="Arial" w:cs="Arial"/>
          <w:color w:val="auto"/>
          <w:sz w:val="18"/>
          <w:szCs w:val="18"/>
        </w:rPr>
        <w:t>Padilha R.S., Ferrari-Lima A.M., Lini Seixas F., Batistela V., Favaro S., Hioka N., Fernandes-Machado N.R.C., 2013, Evaluation of ZnO catalyst supported on zeolite NaA in the photocatalytic degradation of vinasse pretreated by coagulation/flocculation, Chemical Engineering Transactions, 32, 823-828 DOI: 10.3303/CET1332138</w:t>
      </w:r>
    </w:p>
    <w:p w:rsidR="00197063" w:rsidRPr="004549DA" w:rsidRDefault="00197063" w:rsidP="00505114">
      <w:pPr>
        <w:pStyle w:val="CETReferencetext"/>
        <w:rPr>
          <w:lang w:val="pt-BR"/>
        </w:rPr>
      </w:pPr>
      <w:r w:rsidRPr="004549DA">
        <w:rPr>
          <w:lang w:val="pt-BR"/>
        </w:rPr>
        <w:t xml:space="preserve">Paterniani J.E.S., Mantovani M.C., Sant’Anna M.R., 2009, </w:t>
      </w:r>
      <w:r w:rsidRPr="004549DA">
        <w:rPr>
          <w:bCs/>
          <w:lang w:val="pt-BR"/>
        </w:rPr>
        <w:t xml:space="preserve">Uso de sementes de </w:t>
      </w:r>
      <w:r w:rsidRPr="004549DA">
        <w:rPr>
          <w:bCs/>
          <w:i/>
          <w:iCs/>
          <w:lang w:val="pt-BR"/>
        </w:rPr>
        <w:t xml:space="preserve">Moringa oleifera </w:t>
      </w:r>
      <w:r w:rsidRPr="004549DA">
        <w:rPr>
          <w:bCs/>
          <w:lang w:val="pt-BR"/>
        </w:rPr>
        <w:t>para tratamento de águas superficiais</w:t>
      </w:r>
      <w:r w:rsidRPr="004549DA">
        <w:rPr>
          <w:lang w:val="pt-BR"/>
        </w:rPr>
        <w:t xml:space="preserve">, </w:t>
      </w:r>
      <w:r w:rsidRPr="004549DA">
        <w:rPr>
          <w:i/>
          <w:iCs/>
          <w:lang w:val="pt-BR"/>
        </w:rPr>
        <w:t>Revista Brasileira de Engenharia Agrícola e Ambiental</w:t>
      </w:r>
      <w:r w:rsidRPr="004549DA">
        <w:rPr>
          <w:lang w:val="pt-BR"/>
        </w:rPr>
        <w:t xml:space="preserve">, 13, 765-771. </w:t>
      </w:r>
    </w:p>
    <w:p w:rsidR="00197063" w:rsidRPr="004549DA" w:rsidRDefault="00197063" w:rsidP="00505114">
      <w:pPr>
        <w:pStyle w:val="CETReferencetext"/>
      </w:pPr>
      <w:r w:rsidRPr="004549DA">
        <w:rPr>
          <w:lang w:val="en-US"/>
        </w:rPr>
        <w:t xml:space="preserve">Prasad R.K, 2009, </w:t>
      </w:r>
      <w:r w:rsidRPr="004549DA">
        <w:rPr>
          <w:bCs/>
          <w:lang w:val="en-US"/>
        </w:rPr>
        <w:t xml:space="preserve">Color removal from distillery spent wash through coagulation using </w:t>
      </w:r>
      <w:r w:rsidRPr="004549DA">
        <w:rPr>
          <w:bCs/>
          <w:i/>
          <w:iCs/>
          <w:lang w:val="en-US"/>
        </w:rPr>
        <w:t xml:space="preserve">Moringa oleifera </w:t>
      </w:r>
      <w:r w:rsidRPr="004549DA">
        <w:rPr>
          <w:bCs/>
          <w:lang w:val="en-US"/>
        </w:rPr>
        <w:t>seeds: Use of optimum response surface methodology</w:t>
      </w:r>
      <w:r w:rsidRPr="004549DA">
        <w:rPr>
          <w:lang w:val="en-US"/>
        </w:rPr>
        <w:t xml:space="preserve">, </w:t>
      </w:r>
      <w:r w:rsidRPr="004549DA">
        <w:rPr>
          <w:i/>
          <w:iCs/>
        </w:rPr>
        <w:t>Journal of Hazardous Materials</w:t>
      </w:r>
      <w:r w:rsidRPr="004549DA">
        <w:t>, 165, 804-811.</w:t>
      </w:r>
    </w:p>
    <w:p w:rsidR="00197063" w:rsidRPr="004549DA" w:rsidRDefault="00197063" w:rsidP="00505114">
      <w:pPr>
        <w:pStyle w:val="CETReferencetext"/>
        <w:rPr>
          <w:lang w:val="pt-BR"/>
        </w:rPr>
      </w:pPr>
      <w:r w:rsidRPr="004549DA">
        <w:rPr>
          <w:lang w:val="pt-BR"/>
        </w:rPr>
        <w:t xml:space="preserve">Souza A.B., Pawlowsky U., 2011, </w:t>
      </w:r>
      <w:r w:rsidRPr="004549DA">
        <w:rPr>
          <w:bCs/>
          <w:lang w:val="pt-BR"/>
        </w:rPr>
        <w:t>Recuperação de Sub-Produtos da Manipueira por Coagulação e Floculação com Quitosana, &lt;</w:t>
      </w:r>
      <w:hyperlink r:id="rId13" w:history="1">
        <w:r w:rsidRPr="004549DA">
          <w:rPr>
            <w:rStyle w:val="Hyperlink"/>
            <w:rFonts w:cs="Arial"/>
            <w:color w:val="auto"/>
            <w:szCs w:val="18"/>
            <w:lang w:val="pt-BR"/>
          </w:rPr>
          <w:t>http://www.bvsde.paho.org/bvsaidis/tratagua/peru/braapa024.pdf</w:t>
        </w:r>
      </w:hyperlink>
      <w:r w:rsidRPr="004549DA">
        <w:rPr>
          <w:lang w:val="pt-BR"/>
        </w:rPr>
        <w:t xml:space="preserve">&gt; </w:t>
      </w:r>
    </w:p>
    <w:p w:rsidR="00197063" w:rsidRPr="004549DA" w:rsidRDefault="00197063" w:rsidP="00505114">
      <w:pPr>
        <w:pStyle w:val="CETReferencetext"/>
      </w:pPr>
      <w:r w:rsidRPr="004549DA">
        <w:t>Teh C.Y., Wu T.Y., 2014, The potential use of natural coagulants and flocculants in the treatment</w:t>
      </w:r>
      <w:r w:rsidRPr="004549DA">
        <w:br/>
        <w:t>of urban waters, Chemical Engineering Transactions, 39, 1603-1608 DOI:10.3303/CET1439268</w:t>
      </w:r>
    </w:p>
    <w:p w:rsidR="00197063" w:rsidRPr="004549DA" w:rsidRDefault="00197063" w:rsidP="00505114">
      <w:pPr>
        <w:pStyle w:val="CETReferencetext"/>
        <w:rPr>
          <w:rStyle w:val="fontstyle01"/>
          <w:rFonts w:ascii="Arial" w:hAnsi="Arial" w:cs="Arial"/>
          <w:color w:val="auto"/>
          <w:sz w:val="18"/>
          <w:szCs w:val="18"/>
        </w:rPr>
      </w:pPr>
      <w:r w:rsidRPr="004549DA">
        <w:rPr>
          <w:rStyle w:val="fontstyle01"/>
          <w:rFonts w:ascii="Arial" w:hAnsi="Arial" w:cs="Arial"/>
          <w:color w:val="auto"/>
          <w:sz w:val="18"/>
          <w:szCs w:val="18"/>
        </w:rPr>
        <w:t>Wolf G., Schneider R.M., Bongiovani M.C., Morgan Uliana E., Garcia Do Amaral A., 2015, Application of</w:t>
      </w:r>
      <w:r w:rsidRPr="004549DA">
        <w:br/>
      </w:r>
      <w:r w:rsidRPr="004549DA">
        <w:rPr>
          <w:rStyle w:val="fontstyle01"/>
          <w:rFonts w:ascii="Arial" w:hAnsi="Arial" w:cs="Arial"/>
          <w:color w:val="auto"/>
          <w:sz w:val="18"/>
          <w:szCs w:val="18"/>
        </w:rPr>
        <w:t>coagulation/flocculation process of dairy wastewater from conventional treatment using natural coagulant for reuse, Chemical Engineering Transactions, 43, 2041-2046 DOI: 10.3303/CET1543341</w:t>
      </w:r>
    </w:p>
    <w:p w:rsidR="00197063" w:rsidRPr="00054FDB" w:rsidRDefault="00197063" w:rsidP="00505114">
      <w:pPr>
        <w:pStyle w:val="CETReferencetext"/>
        <w:rPr>
          <w:lang w:val="en-US"/>
        </w:rPr>
      </w:pPr>
      <w:r w:rsidRPr="004549DA">
        <w:rPr>
          <w:lang w:val="en-US"/>
        </w:rPr>
        <w:t xml:space="preserve">Xu Z., Li L., Shen Z., 2005, Treatment of praziquantel wastewater using the integrated process of coagulation and gas membrane absorption, </w:t>
      </w:r>
      <w:r w:rsidRPr="004549DA">
        <w:rPr>
          <w:i/>
          <w:lang w:val="en-US"/>
        </w:rPr>
        <w:t>Water Research</w:t>
      </w:r>
      <w:r w:rsidRPr="004549DA">
        <w:rPr>
          <w:lang w:val="en-US"/>
        </w:rPr>
        <w:t xml:space="preserve">, </w:t>
      </w:r>
      <w:r>
        <w:rPr>
          <w:lang w:val="en-US"/>
        </w:rPr>
        <w:t xml:space="preserve">39, </w:t>
      </w:r>
      <w:r w:rsidRPr="00054FDB">
        <w:rPr>
          <w:lang w:val="en-US"/>
        </w:rPr>
        <w:t>2189–2195.</w:t>
      </w:r>
    </w:p>
    <w:sectPr w:rsidR="00197063" w:rsidRPr="00054FDB" w:rsidSect="0077098D">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1E1A" w:rsidRDefault="004D1E1A" w:rsidP="004F5E36">
      <w:r>
        <w:separator/>
      </w:r>
    </w:p>
  </w:endnote>
  <w:endnote w:type="continuationSeparator" w:id="0">
    <w:p w:rsidR="004D1E1A" w:rsidRDefault="004D1E1A"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Times New Roman"/>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1E1A" w:rsidRDefault="004D1E1A" w:rsidP="004F5E36">
      <w:r>
        <w:separator/>
      </w:r>
    </w:p>
  </w:footnote>
  <w:footnote w:type="continuationSeparator" w:id="0">
    <w:p w:rsidR="004D1E1A" w:rsidRDefault="004D1E1A" w:rsidP="004F5E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58AF15E"/>
    <w:lvl w:ilvl="0">
      <w:start w:val="1"/>
      <w:numFmt w:val="decimal"/>
      <w:pStyle w:val="Numerada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ada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ada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ada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Commarcador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Commarcador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Commarcador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Commarcador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ada"/>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Commarcadores"/>
      <w:lvlText w:val=""/>
      <w:lvlJc w:val="left"/>
      <w:pPr>
        <w:tabs>
          <w:tab w:val="num" w:pos="360"/>
        </w:tabs>
        <w:ind w:left="360" w:hanging="360"/>
      </w:pPr>
      <w:rPr>
        <w:rFonts w:ascii="Symbol" w:hAnsi="Symbol" w:hint="default"/>
      </w:rPr>
    </w:lvl>
  </w:abstractNum>
  <w:abstractNum w:abstractNumId="10" w15:restartNumberingAfterBreak="0">
    <w:nsid w:val="18D43031"/>
    <w:multiLevelType w:val="multilevel"/>
    <w:tmpl w:val="0416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22D03A75"/>
    <w:multiLevelType w:val="hybridMultilevel"/>
    <w:tmpl w:val="99781DC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asimples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3"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9" w15:restartNumberingAfterBreak="0">
    <w:nsid w:val="5A7E6B5E"/>
    <w:multiLevelType w:val="hybridMultilevel"/>
    <w:tmpl w:val="8A403E6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7BD60DDB"/>
    <w:multiLevelType w:val="hybridMultilevel"/>
    <w:tmpl w:val="92EE38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7CD30A7D"/>
    <w:multiLevelType w:val="hybridMultilevel"/>
    <w:tmpl w:val="739825C0"/>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8"/>
  </w:num>
  <w:num w:numId="13">
    <w:abstractNumId w:val="14"/>
  </w:num>
  <w:num w:numId="14">
    <w:abstractNumId w:val="20"/>
  </w:num>
  <w:num w:numId="15">
    <w:abstractNumId w:val="22"/>
  </w:num>
  <w:num w:numId="16">
    <w:abstractNumId w:val="21"/>
  </w:num>
  <w:num w:numId="17">
    <w:abstractNumId w:val="13"/>
  </w:num>
  <w:num w:numId="18">
    <w:abstractNumId w:val="14"/>
    <w:lvlOverride w:ilvl="0">
      <w:startOverride w:val="1"/>
    </w:lvlOverride>
  </w:num>
  <w:num w:numId="19">
    <w:abstractNumId w:val="17"/>
  </w:num>
  <w:num w:numId="20">
    <w:abstractNumId w:val="16"/>
  </w:num>
  <w:num w:numId="21">
    <w:abstractNumId w:val="15"/>
  </w:num>
  <w:num w:numId="22">
    <w:abstractNumId w:val="10"/>
  </w:num>
  <w:num w:numId="23">
    <w:abstractNumId w:val="19"/>
  </w:num>
  <w:num w:numId="24">
    <w:abstractNumId w:val="24"/>
  </w:num>
  <w:num w:numId="25">
    <w:abstractNumId w:val="11"/>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10F40"/>
    <w:rsid w:val="000117CB"/>
    <w:rsid w:val="0003148D"/>
    <w:rsid w:val="00047D7F"/>
    <w:rsid w:val="00051566"/>
    <w:rsid w:val="00062A9A"/>
    <w:rsid w:val="00065058"/>
    <w:rsid w:val="0007227D"/>
    <w:rsid w:val="00086C39"/>
    <w:rsid w:val="000A03B2"/>
    <w:rsid w:val="000A3B79"/>
    <w:rsid w:val="000C76C6"/>
    <w:rsid w:val="000D34BE"/>
    <w:rsid w:val="000E102F"/>
    <w:rsid w:val="000E36F1"/>
    <w:rsid w:val="000E3A73"/>
    <w:rsid w:val="000E414A"/>
    <w:rsid w:val="000E5A1A"/>
    <w:rsid w:val="000F093C"/>
    <w:rsid w:val="000F16BD"/>
    <w:rsid w:val="000F787B"/>
    <w:rsid w:val="0012091F"/>
    <w:rsid w:val="00126BC2"/>
    <w:rsid w:val="001308B6"/>
    <w:rsid w:val="0013121F"/>
    <w:rsid w:val="00131FAB"/>
    <w:rsid w:val="00131FE6"/>
    <w:rsid w:val="0013263F"/>
    <w:rsid w:val="00134DE4"/>
    <w:rsid w:val="0014034D"/>
    <w:rsid w:val="00150E59"/>
    <w:rsid w:val="00152DE3"/>
    <w:rsid w:val="001535F0"/>
    <w:rsid w:val="00162642"/>
    <w:rsid w:val="00164CF9"/>
    <w:rsid w:val="00184AD6"/>
    <w:rsid w:val="00197063"/>
    <w:rsid w:val="001B0349"/>
    <w:rsid w:val="001B65C1"/>
    <w:rsid w:val="001C684B"/>
    <w:rsid w:val="001D53FC"/>
    <w:rsid w:val="001F42A5"/>
    <w:rsid w:val="001F7B9D"/>
    <w:rsid w:val="002224B4"/>
    <w:rsid w:val="0023148C"/>
    <w:rsid w:val="002447EF"/>
    <w:rsid w:val="00251550"/>
    <w:rsid w:val="00252C1A"/>
    <w:rsid w:val="00263B05"/>
    <w:rsid w:val="0027221A"/>
    <w:rsid w:val="00275B61"/>
    <w:rsid w:val="00282656"/>
    <w:rsid w:val="00296B83"/>
    <w:rsid w:val="002A588F"/>
    <w:rsid w:val="002B78CE"/>
    <w:rsid w:val="002C2FB6"/>
    <w:rsid w:val="002D5BCD"/>
    <w:rsid w:val="003009B7"/>
    <w:rsid w:val="00300E56"/>
    <w:rsid w:val="0030469C"/>
    <w:rsid w:val="00321CA6"/>
    <w:rsid w:val="00334C09"/>
    <w:rsid w:val="003365E3"/>
    <w:rsid w:val="003723D4"/>
    <w:rsid w:val="003761E6"/>
    <w:rsid w:val="00384CC8"/>
    <w:rsid w:val="003871FD"/>
    <w:rsid w:val="003A1E30"/>
    <w:rsid w:val="003A7D1C"/>
    <w:rsid w:val="003B1E64"/>
    <w:rsid w:val="003B304B"/>
    <w:rsid w:val="003B3146"/>
    <w:rsid w:val="003B60F3"/>
    <w:rsid w:val="003F015E"/>
    <w:rsid w:val="00400414"/>
    <w:rsid w:val="0041446B"/>
    <w:rsid w:val="0044329C"/>
    <w:rsid w:val="004549DA"/>
    <w:rsid w:val="004577FE"/>
    <w:rsid w:val="00457B9C"/>
    <w:rsid w:val="0046164A"/>
    <w:rsid w:val="004628D2"/>
    <w:rsid w:val="00462DCD"/>
    <w:rsid w:val="004648AD"/>
    <w:rsid w:val="004703A9"/>
    <w:rsid w:val="00474CAF"/>
    <w:rsid w:val="004760DE"/>
    <w:rsid w:val="004A004E"/>
    <w:rsid w:val="004A24CF"/>
    <w:rsid w:val="004A53F5"/>
    <w:rsid w:val="004B6721"/>
    <w:rsid w:val="004C3D1D"/>
    <w:rsid w:val="004C7913"/>
    <w:rsid w:val="004D1E1A"/>
    <w:rsid w:val="004D6AC7"/>
    <w:rsid w:val="004E4DD6"/>
    <w:rsid w:val="004F5E36"/>
    <w:rsid w:val="00505114"/>
    <w:rsid w:val="00507B47"/>
    <w:rsid w:val="00507CC9"/>
    <w:rsid w:val="005119A5"/>
    <w:rsid w:val="005278B7"/>
    <w:rsid w:val="00532016"/>
    <w:rsid w:val="005346C8"/>
    <w:rsid w:val="00543E7D"/>
    <w:rsid w:val="00546B05"/>
    <w:rsid w:val="00547A68"/>
    <w:rsid w:val="005531C9"/>
    <w:rsid w:val="005933E9"/>
    <w:rsid w:val="005B2110"/>
    <w:rsid w:val="005B61E6"/>
    <w:rsid w:val="005C77E1"/>
    <w:rsid w:val="005D6A2F"/>
    <w:rsid w:val="005E1A82"/>
    <w:rsid w:val="005E794C"/>
    <w:rsid w:val="005F0A28"/>
    <w:rsid w:val="005F0E5E"/>
    <w:rsid w:val="00600535"/>
    <w:rsid w:val="00610CD6"/>
    <w:rsid w:val="00620DEE"/>
    <w:rsid w:val="00621F92"/>
    <w:rsid w:val="00622140"/>
    <w:rsid w:val="00625639"/>
    <w:rsid w:val="00631B33"/>
    <w:rsid w:val="0064184D"/>
    <w:rsid w:val="006422CC"/>
    <w:rsid w:val="00660E3E"/>
    <w:rsid w:val="00662E74"/>
    <w:rsid w:val="00680C23"/>
    <w:rsid w:val="00693766"/>
    <w:rsid w:val="006A3281"/>
    <w:rsid w:val="006B4888"/>
    <w:rsid w:val="006C2E45"/>
    <w:rsid w:val="006C359C"/>
    <w:rsid w:val="006C5579"/>
    <w:rsid w:val="006E737D"/>
    <w:rsid w:val="0070195D"/>
    <w:rsid w:val="00720A24"/>
    <w:rsid w:val="00732386"/>
    <w:rsid w:val="007447F3"/>
    <w:rsid w:val="0075499F"/>
    <w:rsid w:val="007661C8"/>
    <w:rsid w:val="0077098D"/>
    <w:rsid w:val="007931FA"/>
    <w:rsid w:val="007A7BBA"/>
    <w:rsid w:val="007B0C50"/>
    <w:rsid w:val="007C1A43"/>
    <w:rsid w:val="007E1DC6"/>
    <w:rsid w:val="00813288"/>
    <w:rsid w:val="008168FC"/>
    <w:rsid w:val="00827945"/>
    <w:rsid w:val="00830996"/>
    <w:rsid w:val="008345F1"/>
    <w:rsid w:val="00865B07"/>
    <w:rsid w:val="008667EA"/>
    <w:rsid w:val="0087637F"/>
    <w:rsid w:val="008904B9"/>
    <w:rsid w:val="00892AD5"/>
    <w:rsid w:val="008A1512"/>
    <w:rsid w:val="008B1437"/>
    <w:rsid w:val="008C78C1"/>
    <w:rsid w:val="008D32B9"/>
    <w:rsid w:val="008D433B"/>
    <w:rsid w:val="008E566E"/>
    <w:rsid w:val="0090161A"/>
    <w:rsid w:val="00901EB6"/>
    <w:rsid w:val="00904C62"/>
    <w:rsid w:val="00924DAC"/>
    <w:rsid w:val="00927058"/>
    <w:rsid w:val="00927E31"/>
    <w:rsid w:val="009450CE"/>
    <w:rsid w:val="00947179"/>
    <w:rsid w:val="0095164B"/>
    <w:rsid w:val="00954090"/>
    <w:rsid w:val="009573E7"/>
    <w:rsid w:val="009635B9"/>
    <w:rsid w:val="00963E05"/>
    <w:rsid w:val="00967D54"/>
    <w:rsid w:val="00996483"/>
    <w:rsid w:val="00996F5A"/>
    <w:rsid w:val="009A0A3E"/>
    <w:rsid w:val="009B041A"/>
    <w:rsid w:val="009C7C86"/>
    <w:rsid w:val="009D2FF7"/>
    <w:rsid w:val="009E7884"/>
    <w:rsid w:val="009E788A"/>
    <w:rsid w:val="009F0E08"/>
    <w:rsid w:val="00A1763D"/>
    <w:rsid w:val="00A17CEC"/>
    <w:rsid w:val="00A27EF0"/>
    <w:rsid w:val="00A50B20"/>
    <w:rsid w:val="00A51390"/>
    <w:rsid w:val="00A60D13"/>
    <w:rsid w:val="00A72745"/>
    <w:rsid w:val="00A76EFC"/>
    <w:rsid w:val="00A91010"/>
    <w:rsid w:val="00A93C26"/>
    <w:rsid w:val="00A97F29"/>
    <w:rsid w:val="00AA5AEC"/>
    <w:rsid w:val="00AA702E"/>
    <w:rsid w:val="00AB0964"/>
    <w:rsid w:val="00AB5011"/>
    <w:rsid w:val="00AC7368"/>
    <w:rsid w:val="00AD16B9"/>
    <w:rsid w:val="00AE377D"/>
    <w:rsid w:val="00B17FBD"/>
    <w:rsid w:val="00B315A6"/>
    <w:rsid w:val="00B31813"/>
    <w:rsid w:val="00B33365"/>
    <w:rsid w:val="00B57B36"/>
    <w:rsid w:val="00B80E97"/>
    <w:rsid w:val="00B8686D"/>
    <w:rsid w:val="00BC30C9"/>
    <w:rsid w:val="00BC6E73"/>
    <w:rsid w:val="00BE3E58"/>
    <w:rsid w:val="00BF6BC5"/>
    <w:rsid w:val="00C01616"/>
    <w:rsid w:val="00C0162B"/>
    <w:rsid w:val="00C345B1"/>
    <w:rsid w:val="00C40142"/>
    <w:rsid w:val="00C57182"/>
    <w:rsid w:val="00C57863"/>
    <w:rsid w:val="00C655FD"/>
    <w:rsid w:val="00C870A8"/>
    <w:rsid w:val="00C94434"/>
    <w:rsid w:val="00CA0D75"/>
    <w:rsid w:val="00CA1C95"/>
    <w:rsid w:val="00CA5A9C"/>
    <w:rsid w:val="00CD3517"/>
    <w:rsid w:val="00CD5A00"/>
    <w:rsid w:val="00CD5FE2"/>
    <w:rsid w:val="00CE7C68"/>
    <w:rsid w:val="00D02B4C"/>
    <w:rsid w:val="00D040C4"/>
    <w:rsid w:val="00D57C84"/>
    <w:rsid w:val="00D6057D"/>
    <w:rsid w:val="00D84576"/>
    <w:rsid w:val="00DA1399"/>
    <w:rsid w:val="00DA24C6"/>
    <w:rsid w:val="00DA4D7B"/>
    <w:rsid w:val="00DE264A"/>
    <w:rsid w:val="00E02D18"/>
    <w:rsid w:val="00E041E7"/>
    <w:rsid w:val="00E23CA1"/>
    <w:rsid w:val="00E26995"/>
    <w:rsid w:val="00E409A8"/>
    <w:rsid w:val="00E50C12"/>
    <w:rsid w:val="00E65B91"/>
    <w:rsid w:val="00E705C3"/>
    <w:rsid w:val="00E7209D"/>
    <w:rsid w:val="00E77223"/>
    <w:rsid w:val="00E8528B"/>
    <w:rsid w:val="00E85B94"/>
    <w:rsid w:val="00E978D0"/>
    <w:rsid w:val="00EA4613"/>
    <w:rsid w:val="00EA7F91"/>
    <w:rsid w:val="00EB1523"/>
    <w:rsid w:val="00EC0E49"/>
    <w:rsid w:val="00ED54C8"/>
    <w:rsid w:val="00EE0131"/>
    <w:rsid w:val="00EE225B"/>
    <w:rsid w:val="00F155B2"/>
    <w:rsid w:val="00F30C64"/>
    <w:rsid w:val="00F32CDB"/>
    <w:rsid w:val="00F63A70"/>
    <w:rsid w:val="00FA21D0"/>
    <w:rsid w:val="00FA5F5F"/>
    <w:rsid w:val="00FB730C"/>
    <w:rsid w:val="00FC2695"/>
    <w:rsid w:val="00FC3E03"/>
    <w:rsid w:val="00FC3FC1"/>
  </w:rsids>
  <m:mathPr>
    <m:mathFont m:val="Cambria Math"/>
    <m:brkBin m:val="before"/>
    <m:brkBinSub m:val="--"/>
    <m:smallFrac/>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8833855-4738-4A7F-A6F2-7DBDE782F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tulo1">
    <w:name w:val="heading 1"/>
    <w:basedOn w:val="CETHeading1"/>
    <w:next w:val="Normal"/>
    <w:link w:val="Ttulo1Char"/>
    <w:qFormat/>
    <w:rsid w:val="004F5E36"/>
    <w:pPr>
      <w:tabs>
        <w:tab w:val="clear" w:pos="360"/>
        <w:tab w:val="right" w:pos="7100"/>
      </w:tabs>
      <w:jc w:val="both"/>
      <w:outlineLvl w:val="0"/>
    </w:pPr>
    <w:rPr>
      <w:lang w:val="en-GB"/>
    </w:rPr>
  </w:style>
  <w:style w:type="paragraph" w:styleId="Ttulo2">
    <w:name w:val="heading 2"/>
    <w:basedOn w:val="Normal"/>
    <w:next w:val="Normal"/>
    <w:link w:val="Ttulo2Char"/>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har"/>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asimples1">
    <w:name w:val="Table Simple 1"/>
    <w:basedOn w:val="Tabela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efdecomentrio">
    <w:name w:val="annotation reference"/>
    <w:basedOn w:val="Fontepargpadro"/>
    <w:uiPriority w:val="99"/>
    <w:semiHidden/>
    <w:unhideWhenUsed/>
    <w:rsid w:val="004577FE"/>
    <w:rPr>
      <w:sz w:val="16"/>
      <w:szCs w:val="16"/>
    </w:rPr>
  </w:style>
  <w:style w:type="paragraph" w:styleId="Textodebalo">
    <w:name w:val="Balloon Text"/>
    <w:basedOn w:val="Normal"/>
    <w:link w:val="TextodebaloChar"/>
    <w:uiPriority w:val="99"/>
    <w:semiHidden/>
    <w:unhideWhenUsed/>
    <w:rsid w:val="000D34BE"/>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texto2">
    <w:name w:val="Body Text 2"/>
    <w:basedOn w:val="Normal"/>
    <w:link w:val="Corpodetexto2Char"/>
    <w:uiPriority w:val="99"/>
    <w:semiHidden/>
    <w:unhideWhenUsed/>
    <w:rsid w:val="0003148D"/>
    <w:pPr>
      <w:spacing w:after="120" w:line="480" w:lineRule="auto"/>
    </w:pPr>
  </w:style>
  <w:style w:type="character" w:customStyle="1" w:styleId="Corpodetexto2Char">
    <w:name w:val="Corpo de texto 2 Char"/>
    <w:basedOn w:val="Fontepargpadro"/>
    <w:link w:val="Corpodetexto2"/>
    <w:uiPriority w:val="99"/>
    <w:semiHidden/>
    <w:rsid w:val="0003148D"/>
  </w:style>
  <w:style w:type="paragraph" w:styleId="Corpodetexto3">
    <w:name w:val="Body Text 3"/>
    <w:basedOn w:val="Normal"/>
    <w:link w:val="Corpodetexto3Char"/>
    <w:uiPriority w:val="99"/>
    <w:semiHidden/>
    <w:unhideWhenUsed/>
    <w:rsid w:val="0003148D"/>
    <w:pPr>
      <w:spacing w:after="120"/>
    </w:pPr>
    <w:rPr>
      <w:sz w:val="16"/>
      <w:szCs w:val="16"/>
    </w:rPr>
  </w:style>
  <w:style w:type="character" w:customStyle="1" w:styleId="Corpodetexto3Char">
    <w:name w:val="Corpo de texto 3 Char"/>
    <w:basedOn w:val="Fontepargpadro"/>
    <w:link w:val="Corpodetexto3"/>
    <w:uiPriority w:val="99"/>
    <w:semiHidden/>
    <w:rsid w:val="0003148D"/>
    <w:rPr>
      <w:sz w:val="16"/>
      <w:szCs w:val="16"/>
    </w:rPr>
  </w:style>
  <w:style w:type="paragraph" w:styleId="Corpodetexto">
    <w:name w:val="Body Text"/>
    <w:basedOn w:val="Normal"/>
    <w:link w:val="CorpodetextoChar"/>
    <w:uiPriority w:val="99"/>
    <w:semiHidden/>
    <w:unhideWhenUsed/>
    <w:rsid w:val="0003148D"/>
    <w:pPr>
      <w:spacing w:after="120"/>
    </w:pPr>
  </w:style>
  <w:style w:type="character" w:customStyle="1" w:styleId="CorpodetextoChar">
    <w:name w:val="Corpo de texto Char"/>
    <w:basedOn w:val="Fontepargpadro"/>
    <w:link w:val="Corpodetexto"/>
    <w:uiPriority w:val="99"/>
    <w:semiHidden/>
    <w:rsid w:val="0003148D"/>
  </w:style>
  <w:style w:type="paragraph" w:styleId="Data">
    <w:name w:val="Date"/>
    <w:basedOn w:val="Normal"/>
    <w:next w:val="Normal"/>
    <w:link w:val="DataChar"/>
    <w:uiPriority w:val="99"/>
    <w:semiHidden/>
    <w:unhideWhenUsed/>
    <w:rsid w:val="0003148D"/>
  </w:style>
  <w:style w:type="character" w:customStyle="1" w:styleId="DataChar">
    <w:name w:val="Data Char"/>
    <w:basedOn w:val="Fontepargpadro"/>
    <w:link w:val="Data"/>
    <w:uiPriority w:val="99"/>
    <w:semiHidden/>
    <w:rsid w:val="0003148D"/>
  </w:style>
  <w:style w:type="paragraph" w:styleId="Legenda">
    <w:name w:val="caption"/>
    <w:basedOn w:val="Normal"/>
    <w:next w:val="Normal"/>
    <w:unhideWhenUsed/>
    <w:qFormat/>
    <w:rsid w:val="0003148D"/>
    <w:pPr>
      <w:spacing w:line="240" w:lineRule="auto"/>
    </w:pPr>
    <w:rPr>
      <w:b/>
      <w:bCs/>
      <w:color w:val="4F81BD" w:themeColor="accent1"/>
      <w:szCs w:val="18"/>
    </w:rPr>
  </w:style>
  <w:style w:type="paragraph" w:styleId="Lista">
    <w:name w:val="List"/>
    <w:basedOn w:val="Normal"/>
    <w:uiPriority w:val="99"/>
    <w:semiHidden/>
    <w:unhideWhenUsed/>
    <w:rsid w:val="0003148D"/>
    <w:pPr>
      <w:ind w:left="283" w:hanging="283"/>
      <w:contextualSpacing/>
    </w:pPr>
  </w:style>
  <w:style w:type="paragraph" w:styleId="Lista2">
    <w:name w:val="List 2"/>
    <w:basedOn w:val="Normal"/>
    <w:uiPriority w:val="99"/>
    <w:semiHidden/>
    <w:unhideWhenUsed/>
    <w:rsid w:val="0003148D"/>
    <w:pPr>
      <w:ind w:left="566" w:hanging="283"/>
      <w:contextualSpacing/>
    </w:pPr>
  </w:style>
  <w:style w:type="paragraph" w:styleId="Lista3">
    <w:name w:val="List 3"/>
    <w:basedOn w:val="Normal"/>
    <w:uiPriority w:val="99"/>
    <w:semiHidden/>
    <w:unhideWhenUsed/>
    <w:rsid w:val="0003148D"/>
    <w:pPr>
      <w:ind w:left="849" w:hanging="283"/>
      <w:contextualSpacing/>
    </w:pPr>
  </w:style>
  <w:style w:type="paragraph" w:styleId="Lista4">
    <w:name w:val="List 4"/>
    <w:basedOn w:val="Normal"/>
    <w:uiPriority w:val="99"/>
    <w:semiHidden/>
    <w:unhideWhenUsed/>
    <w:rsid w:val="0003148D"/>
    <w:pPr>
      <w:ind w:left="1132" w:hanging="283"/>
      <w:contextualSpacing/>
    </w:pPr>
  </w:style>
  <w:style w:type="paragraph" w:styleId="Lista5">
    <w:name w:val="List 5"/>
    <w:basedOn w:val="Normal"/>
    <w:uiPriority w:val="99"/>
    <w:semiHidden/>
    <w:unhideWhenUsed/>
    <w:rsid w:val="0003148D"/>
    <w:pPr>
      <w:ind w:left="1415" w:hanging="283"/>
      <w:contextualSpacing/>
    </w:pPr>
  </w:style>
  <w:style w:type="paragraph" w:styleId="Listadecontinuao">
    <w:name w:val="List Continue"/>
    <w:basedOn w:val="Normal"/>
    <w:uiPriority w:val="99"/>
    <w:semiHidden/>
    <w:unhideWhenUsed/>
    <w:rsid w:val="0003148D"/>
    <w:pPr>
      <w:spacing w:after="120"/>
      <w:ind w:left="283"/>
      <w:contextualSpacing/>
    </w:pPr>
  </w:style>
  <w:style w:type="paragraph" w:styleId="Listadecontinuao2">
    <w:name w:val="List Continue 2"/>
    <w:basedOn w:val="Normal"/>
    <w:uiPriority w:val="99"/>
    <w:semiHidden/>
    <w:unhideWhenUsed/>
    <w:rsid w:val="0003148D"/>
    <w:pPr>
      <w:spacing w:after="120"/>
      <w:ind w:left="566"/>
      <w:contextualSpacing/>
    </w:pPr>
  </w:style>
  <w:style w:type="paragraph" w:styleId="Listadecontinuao3">
    <w:name w:val="List Continue 3"/>
    <w:basedOn w:val="Normal"/>
    <w:uiPriority w:val="99"/>
    <w:semiHidden/>
    <w:unhideWhenUsed/>
    <w:rsid w:val="0003148D"/>
    <w:pPr>
      <w:spacing w:after="120"/>
      <w:ind w:left="849"/>
      <w:contextualSpacing/>
    </w:pPr>
  </w:style>
  <w:style w:type="paragraph" w:styleId="Listadecontinuao4">
    <w:name w:val="List Continue 4"/>
    <w:basedOn w:val="Normal"/>
    <w:uiPriority w:val="99"/>
    <w:semiHidden/>
    <w:unhideWhenUsed/>
    <w:rsid w:val="0003148D"/>
    <w:pPr>
      <w:spacing w:after="120"/>
      <w:ind w:left="1132"/>
      <w:contextualSpacing/>
    </w:pPr>
  </w:style>
  <w:style w:type="paragraph" w:styleId="Listadecontinuao5">
    <w:name w:val="List Continue 5"/>
    <w:basedOn w:val="Normal"/>
    <w:uiPriority w:val="99"/>
    <w:semiHidden/>
    <w:unhideWhenUsed/>
    <w:rsid w:val="0003148D"/>
    <w:pPr>
      <w:spacing w:after="120"/>
      <w:ind w:left="1415"/>
      <w:contextualSpacing/>
    </w:pPr>
  </w:style>
  <w:style w:type="paragraph" w:styleId="Assinatura">
    <w:name w:val="Signature"/>
    <w:basedOn w:val="Normal"/>
    <w:link w:val="AssinaturaChar"/>
    <w:uiPriority w:val="99"/>
    <w:semiHidden/>
    <w:unhideWhenUsed/>
    <w:rsid w:val="0003148D"/>
    <w:pPr>
      <w:spacing w:line="240" w:lineRule="auto"/>
      <w:ind w:left="4252"/>
    </w:pPr>
  </w:style>
  <w:style w:type="character" w:customStyle="1" w:styleId="AssinaturaChar">
    <w:name w:val="Assinatura Char"/>
    <w:basedOn w:val="Fontepargpadro"/>
    <w:link w:val="Assinatura"/>
    <w:uiPriority w:val="99"/>
    <w:semiHidden/>
    <w:rsid w:val="0003148D"/>
  </w:style>
  <w:style w:type="paragraph" w:styleId="AssinaturadeEmail">
    <w:name w:val="E-mail Signature"/>
    <w:basedOn w:val="Normal"/>
    <w:link w:val="AssinaturadeEmailChar"/>
    <w:uiPriority w:val="99"/>
    <w:semiHidden/>
    <w:unhideWhenUsed/>
    <w:rsid w:val="0003148D"/>
    <w:pPr>
      <w:spacing w:line="240" w:lineRule="auto"/>
    </w:pPr>
  </w:style>
  <w:style w:type="character" w:customStyle="1" w:styleId="AssinaturadeEmailChar">
    <w:name w:val="Assinatura de Email Char"/>
    <w:basedOn w:val="Fontepargpadro"/>
    <w:link w:val="AssinaturadeEmail"/>
    <w:uiPriority w:val="99"/>
    <w:semiHidden/>
    <w:rsid w:val="0003148D"/>
  </w:style>
  <w:style w:type="paragraph" w:styleId="Saudao">
    <w:name w:val="Salutation"/>
    <w:basedOn w:val="Normal"/>
    <w:next w:val="Normal"/>
    <w:link w:val="SaudaoChar"/>
    <w:uiPriority w:val="99"/>
    <w:semiHidden/>
    <w:unhideWhenUsed/>
    <w:rsid w:val="0003148D"/>
  </w:style>
  <w:style w:type="character" w:customStyle="1" w:styleId="SaudaoChar">
    <w:name w:val="Saudação Char"/>
    <w:basedOn w:val="Fontepargpadro"/>
    <w:link w:val="Saudao"/>
    <w:uiPriority w:val="99"/>
    <w:semiHidden/>
    <w:rsid w:val="0003148D"/>
  </w:style>
  <w:style w:type="paragraph" w:styleId="Encerramento">
    <w:name w:val="Closing"/>
    <w:basedOn w:val="Normal"/>
    <w:link w:val="EncerramentoChar"/>
    <w:uiPriority w:val="99"/>
    <w:semiHidden/>
    <w:unhideWhenUsed/>
    <w:rsid w:val="0003148D"/>
    <w:pPr>
      <w:spacing w:line="240" w:lineRule="auto"/>
      <w:ind w:left="4252"/>
    </w:pPr>
  </w:style>
  <w:style w:type="character" w:customStyle="1" w:styleId="EncerramentoChar">
    <w:name w:val="Encerramento Char"/>
    <w:basedOn w:val="Fontepargpadro"/>
    <w:link w:val="Encerramento"/>
    <w:uiPriority w:val="99"/>
    <w:semiHidden/>
    <w:rsid w:val="0003148D"/>
  </w:style>
  <w:style w:type="paragraph" w:styleId="Remissivo1">
    <w:name w:val="index 1"/>
    <w:basedOn w:val="Normal"/>
    <w:next w:val="Normal"/>
    <w:autoRedefine/>
    <w:uiPriority w:val="99"/>
    <w:semiHidden/>
    <w:unhideWhenUsed/>
    <w:rsid w:val="0003148D"/>
    <w:pPr>
      <w:spacing w:line="240" w:lineRule="auto"/>
      <w:ind w:left="220" w:hanging="220"/>
    </w:pPr>
  </w:style>
  <w:style w:type="paragraph" w:styleId="Remissivo2">
    <w:name w:val="index 2"/>
    <w:basedOn w:val="Normal"/>
    <w:next w:val="Normal"/>
    <w:autoRedefine/>
    <w:uiPriority w:val="99"/>
    <w:semiHidden/>
    <w:unhideWhenUsed/>
    <w:rsid w:val="0003148D"/>
    <w:pPr>
      <w:spacing w:line="240" w:lineRule="auto"/>
      <w:ind w:left="440" w:hanging="220"/>
    </w:pPr>
  </w:style>
  <w:style w:type="paragraph" w:styleId="Remissivo3">
    <w:name w:val="index 3"/>
    <w:basedOn w:val="Normal"/>
    <w:next w:val="Normal"/>
    <w:autoRedefine/>
    <w:uiPriority w:val="99"/>
    <w:semiHidden/>
    <w:unhideWhenUsed/>
    <w:rsid w:val="0003148D"/>
    <w:pPr>
      <w:spacing w:line="240" w:lineRule="auto"/>
      <w:ind w:left="660" w:hanging="220"/>
    </w:pPr>
  </w:style>
  <w:style w:type="paragraph" w:styleId="Remissivo4">
    <w:name w:val="index 4"/>
    <w:basedOn w:val="Normal"/>
    <w:next w:val="Normal"/>
    <w:autoRedefine/>
    <w:uiPriority w:val="99"/>
    <w:semiHidden/>
    <w:unhideWhenUsed/>
    <w:rsid w:val="0003148D"/>
    <w:pPr>
      <w:spacing w:line="240" w:lineRule="auto"/>
      <w:ind w:left="880" w:hanging="220"/>
    </w:pPr>
  </w:style>
  <w:style w:type="paragraph" w:styleId="Remissivo5">
    <w:name w:val="index 5"/>
    <w:basedOn w:val="Normal"/>
    <w:next w:val="Normal"/>
    <w:autoRedefine/>
    <w:uiPriority w:val="99"/>
    <w:semiHidden/>
    <w:unhideWhenUsed/>
    <w:rsid w:val="0003148D"/>
    <w:pPr>
      <w:spacing w:line="240" w:lineRule="auto"/>
      <w:ind w:left="1100" w:hanging="220"/>
    </w:pPr>
  </w:style>
  <w:style w:type="paragraph" w:styleId="Remissivo6">
    <w:name w:val="index 6"/>
    <w:basedOn w:val="Normal"/>
    <w:next w:val="Normal"/>
    <w:autoRedefine/>
    <w:uiPriority w:val="99"/>
    <w:semiHidden/>
    <w:unhideWhenUsed/>
    <w:rsid w:val="0003148D"/>
    <w:pPr>
      <w:spacing w:line="240" w:lineRule="auto"/>
      <w:ind w:left="1320" w:hanging="220"/>
    </w:pPr>
  </w:style>
  <w:style w:type="paragraph" w:styleId="Remissivo7">
    <w:name w:val="index 7"/>
    <w:basedOn w:val="Normal"/>
    <w:next w:val="Normal"/>
    <w:autoRedefine/>
    <w:uiPriority w:val="99"/>
    <w:semiHidden/>
    <w:unhideWhenUsed/>
    <w:rsid w:val="0003148D"/>
    <w:pPr>
      <w:spacing w:line="240" w:lineRule="auto"/>
      <w:ind w:left="1540" w:hanging="220"/>
    </w:pPr>
  </w:style>
  <w:style w:type="paragraph" w:styleId="Remissivo8">
    <w:name w:val="index 8"/>
    <w:basedOn w:val="Normal"/>
    <w:next w:val="Normal"/>
    <w:autoRedefine/>
    <w:uiPriority w:val="99"/>
    <w:semiHidden/>
    <w:unhideWhenUsed/>
    <w:rsid w:val="0003148D"/>
    <w:pPr>
      <w:spacing w:line="240" w:lineRule="auto"/>
      <w:ind w:left="1760" w:hanging="220"/>
    </w:pPr>
  </w:style>
  <w:style w:type="paragraph" w:styleId="Remissivo9">
    <w:name w:val="index 9"/>
    <w:basedOn w:val="Normal"/>
    <w:next w:val="Normal"/>
    <w:autoRedefine/>
    <w:uiPriority w:val="99"/>
    <w:semiHidden/>
    <w:unhideWhenUsed/>
    <w:rsid w:val="0003148D"/>
    <w:pPr>
      <w:spacing w:line="240" w:lineRule="auto"/>
      <w:ind w:left="1980" w:hanging="220"/>
    </w:pPr>
  </w:style>
  <w:style w:type="paragraph" w:styleId="ndicedeilustraes">
    <w:name w:val="table of figures"/>
    <w:basedOn w:val="Normal"/>
    <w:next w:val="Normal"/>
    <w:uiPriority w:val="99"/>
    <w:semiHidden/>
    <w:unhideWhenUsed/>
    <w:rsid w:val="0003148D"/>
  </w:style>
  <w:style w:type="paragraph" w:styleId="ndicedeautoridades">
    <w:name w:val="table of authorities"/>
    <w:basedOn w:val="Normal"/>
    <w:next w:val="Normal"/>
    <w:uiPriority w:val="99"/>
    <w:semiHidden/>
    <w:unhideWhenUsed/>
    <w:rsid w:val="0003148D"/>
    <w:pPr>
      <w:ind w:left="220" w:hanging="220"/>
    </w:pPr>
  </w:style>
  <w:style w:type="paragraph" w:styleId="Destinatrio">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dereoHTML">
    <w:name w:val="HTML Address"/>
    <w:basedOn w:val="Normal"/>
    <w:link w:val="EndereoHTMLChar"/>
    <w:uiPriority w:val="99"/>
    <w:semiHidden/>
    <w:unhideWhenUsed/>
    <w:rsid w:val="0003148D"/>
    <w:pPr>
      <w:spacing w:line="240" w:lineRule="auto"/>
    </w:pPr>
    <w:rPr>
      <w:i/>
      <w:iCs/>
    </w:rPr>
  </w:style>
  <w:style w:type="character" w:customStyle="1" w:styleId="EndereoHTMLChar">
    <w:name w:val="Endereço HTML Char"/>
    <w:basedOn w:val="Fontepargpadro"/>
    <w:link w:val="EndereoHTML"/>
    <w:uiPriority w:val="99"/>
    <w:semiHidden/>
    <w:rsid w:val="0003148D"/>
    <w:rPr>
      <w:i/>
      <w:iCs/>
    </w:rPr>
  </w:style>
  <w:style w:type="paragraph" w:styleId="Remetente">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Cabealhodamensagem">
    <w:name w:val="Message Header"/>
    <w:basedOn w:val="Normal"/>
    <w:link w:val="Cabealhodamensagem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CabealhodamensagemChar">
    <w:name w:val="Cabeçalho da mensagem Char"/>
    <w:basedOn w:val="Fontepargpadro"/>
    <w:link w:val="Cabealhodamensagem"/>
    <w:uiPriority w:val="99"/>
    <w:semiHidden/>
    <w:rsid w:val="0003148D"/>
    <w:rPr>
      <w:rFonts w:asciiTheme="majorHAnsi" w:eastAsiaTheme="majorEastAsia" w:hAnsiTheme="majorHAnsi" w:cstheme="majorBidi"/>
      <w:sz w:val="24"/>
      <w:szCs w:val="24"/>
      <w:shd w:val="pct20" w:color="auto" w:fill="auto"/>
    </w:rPr>
  </w:style>
  <w:style w:type="paragraph" w:styleId="Ttulodanota">
    <w:name w:val="Note Heading"/>
    <w:basedOn w:val="Normal"/>
    <w:next w:val="Normal"/>
    <w:link w:val="TtulodanotaChar"/>
    <w:uiPriority w:val="99"/>
    <w:semiHidden/>
    <w:unhideWhenUsed/>
    <w:rsid w:val="0003148D"/>
    <w:pPr>
      <w:spacing w:line="240" w:lineRule="auto"/>
    </w:pPr>
  </w:style>
  <w:style w:type="character" w:customStyle="1" w:styleId="TtulodanotaChar">
    <w:name w:val="Título da nota Char"/>
    <w:basedOn w:val="Fontepargpadro"/>
    <w:link w:val="Ttulodanota"/>
    <w:uiPriority w:val="99"/>
    <w:semiHidden/>
    <w:rsid w:val="0003148D"/>
  </w:style>
  <w:style w:type="paragraph" w:styleId="MapadoDocumento">
    <w:name w:val="Document Map"/>
    <w:basedOn w:val="Normal"/>
    <w:link w:val="MapadoDocumentoChar"/>
    <w:uiPriority w:val="99"/>
    <w:semiHidden/>
    <w:unhideWhenUsed/>
    <w:rsid w:val="0003148D"/>
    <w:pPr>
      <w:spacing w:line="240" w:lineRule="auto"/>
    </w:pPr>
    <w:rPr>
      <w:rFonts w:ascii="Tahoma" w:hAnsi="Tahoma" w:cs="Tahoma"/>
      <w:sz w:val="16"/>
      <w:szCs w:val="16"/>
    </w:rPr>
  </w:style>
  <w:style w:type="character" w:customStyle="1" w:styleId="MapadoDocumentoChar">
    <w:name w:val="Mapa do Documento Char"/>
    <w:basedOn w:val="Fontepargpadro"/>
    <w:link w:val="MapadoDocumento"/>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Numerada">
    <w:name w:val="List Number"/>
    <w:basedOn w:val="Normal"/>
    <w:uiPriority w:val="99"/>
    <w:semiHidden/>
    <w:unhideWhenUsed/>
    <w:rsid w:val="0003148D"/>
    <w:pPr>
      <w:numPr>
        <w:numId w:val="2"/>
      </w:numPr>
      <w:contextualSpacing/>
    </w:pPr>
  </w:style>
  <w:style w:type="paragraph" w:styleId="Numerada2">
    <w:name w:val="List Number 2"/>
    <w:basedOn w:val="Normal"/>
    <w:uiPriority w:val="99"/>
    <w:semiHidden/>
    <w:unhideWhenUsed/>
    <w:rsid w:val="0003148D"/>
    <w:pPr>
      <w:numPr>
        <w:numId w:val="3"/>
      </w:numPr>
      <w:contextualSpacing/>
    </w:pPr>
  </w:style>
  <w:style w:type="paragraph" w:styleId="Numerada3">
    <w:name w:val="List Number 3"/>
    <w:basedOn w:val="Normal"/>
    <w:uiPriority w:val="99"/>
    <w:semiHidden/>
    <w:unhideWhenUsed/>
    <w:rsid w:val="0003148D"/>
    <w:pPr>
      <w:numPr>
        <w:numId w:val="4"/>
      </w:numPr>
      <w:contextualSpacing/>
    </w:pPr>
  </w:style>
  <w:style w:type="paragraph" w:styleId="Numerada4">
    <w:name w:val="List Number 4"/>
    <w:basedOn w:val="Normal"/>
    <w:uiPriority w:val="99"/>
    <w:semiHidden/>
    <w:unhideWhenUsed/>
    <w:rsid w:val="0003148D"/>
    <w:pPr>
      <w:numPr>
        <w:numId w:val="5"/>
      </w:numPr>
      <w:contextualSpacing/>
    </w:pPr>
  </w:style>
  <w:style w:type="paragraph" w:styleId="Numerada5">
    <w:name w:val="List Number 5"/>
    <w:basedOn w:val="Normal"/>
    <w:uiPriority w:val="99"/>
    <w:semiHidden/>
    <w:unhideWhenUsed/>
    <w:rsid w:val="0003148D"/>
    <w:pPr>
      <w:numPr>
        <w:numId w:val="6"/>
      </w:numPr>
      <w:contextualSpacing/>
    </w:pPr>
  </w:style>
  <w:style w:type="paragraph" w:styleId="Pr-formataoHTML">
    <w:name w:val="HTML Preformatted"/>
    <w:basedOn w:val="Normal"/>
    <w:link w:val="Pr-formataoHTMLChar"/>
    <w:uiPriority w:val="99"/>
    <w:semiHidden/>
    <w:unhideWhenUsed/>
    <w:rsid w:val="0003148D"/>
    <w:pPr>
      <w:spacing w:line="240" w:lineRule="auto"/>
    </w:pPr>
    <w:rPr>
      <w:rFonts w:ascii="Consolas" w:hAnsi="Consolas" w:cs="Consolas"/>
    </w:rPr>
  </w:style>
  <w:style w:type="character" w:customStyle="1" w:styleId="Pr-formataoHTMLChar">
    <w:name w:val="Pré-formatação HTML Char"/>
    <w:basedOn w:val="Fontepargpadro"/>
    <w:link w:val="Pr-formataoHTML"/>
    <w:uiPriority w:val="99"/>
    <w:semiHidden/>
    <w:rsid w:val="0003148D"/>
    <w:rPr>
      <w:rFonts w:ascii="Consolas" w:hAnsi="Consolas" w:cs="Consolas"/>
      <w:sz w:val="20"/>
      <w:szCs w:val="20"/>
    </w:rPr>
  </w:style>
  <w:style w:type="paragraph" w:styleId="Primeirorecuodecorpodetexto">
    <w:name w:val="Body Text First Indent"/>
    <w:basedOn w:val="Corpodetexto"/>
    <w:link w:val="PrimeirorecuodecorpodetextoChar"/>
    <w:uiPriority w:val="99"/>
    <w:semiHidden/>
    <w:unhideWhenUsed/>
    <w:rsid w:val="0003148D"/>
    <w:pPr>
      <w:spacing w:after="200"/>
      <w:ind w:firstLine="360"/>
    </w:pPr>
  </w:style>
  <w:style w:type="character" w:customStyle="1" w:styleId="PrimeirorecuodecorpodetextoChar">
    <w:name w:val="Primeiro recuo de corpo de texto Char"/>
    <w:basedOn w:val="CorpodetextoChar"/>
    <w:link w:val="Primeirorecuodecorpodetexto"/>
    <w:uiPriority w:val="99"/>
    <w:semiHidden/>
    <w:rsid w:val="0003148D"/>
  </w:style>
  <w:style w:type="paragraph" w:styleId="Recuodecorpodetexto">
    <w:name w:val="Body Text Indent"/>
    <w:basedOn w:val="Normal"/>
    <w:link w:val="RecuodecorpodetextoChar"/>
    <w:uiPriority w:val="99"/>
    <w:semiHidden/>
    <w:unhideWhenUsed/>
    <w:rsid w:val="0003148D"/>
    <w:pPr>
      <w:spacing w:after="120"/>
      <w:ind w:left="283"/>
    </w:pPr>
  </w:style>
  <w:style w:type="character" w:customStyle="1" w:styleId="RecuodecorpodetextoChar">
    <w:name w:val="Recuo de corpo de texto Char"/>
    <w:basedOn w:val="Fontepargpadro"/>
    <w:link w:val="Recuodecorpodetexto"/>
    <w:uiPriority w:val="99"/>
    <w:semiHidden/>
    <w:rsid w:val="0003148D"/>
  </w:style>
  <w:style w:type="paragraph" w:styleId="Primeirorecuodecorpodetexto2">
    <w:name w:val="Body Text First Indent 2"/>
    <w:basedOn w:val="Recuodecorpodetexto"/>
    <w:link w:val="Primeirorecuodecorpodetexto2Char"/>
    <w:uiPriority w:val="99"/>
    <w:semiHidden/>
    <w:unhideWhenUsed/>
    <w:rsid w:val="0003148D"/>
    <w:pPr>
      <w:spacing w:after="200"/>
      <w:ind w:left="360" w:firstLine="360"/>
    </w:pPr>
  </w:style>
  <w:style w:type="character" w:customStyle="1" w:styleId="Primeirorecuodecorpodetexto2Char">
    <w:name w:val="Primeiro recuo de corpo de texto 2 Char"/>
    <w:basedOn w:val="RecuodecorpodetextoChar"/>
    <w:link w:val="Primeirorecuodecorpodetexto2"/>
    <w:uiPriority w:val="99"/>
    <w:semiHidden/>
    <w:rsid w:val="0003148D"/>
  </w:style>
  <w:style w:type="paragraph" w:styleId="Commarcadores">
    <w:name w:val="List Bullet"/>
    <w:basedOn w:val="Normal"/>
    <w:uiPriority w:val="99"/>
    <w:semiHidden/>
    <w:unhideWhenUsed/>
    <w:rsid w:val="0003148D"/>
    <w:pPr>
      <w:numPr>
        <w:numId w:val="7"/>
      </w:numPr>
      <w:contextualSpacing/>
    </w:pPr>
  </w:style>
  <w:style w:type="paragraph" w:styleId="Commarcadores2">
    <w:name w:val="List Bullet 2"/>
    <w:basedOn w:val="Normal"/>
    <w:uiPriority w:val="99"/>
    <w:semiHidden/>
    <w:unhideWhenUsed/>
    <w:rsid w:val="0003148D"/>
    <w:pPr>
      <w:numPr>
        <w:numId w:val="8"/>
      </w:numPr>
      <w:contextualSpacing/>
    </w:pPr>
  </w:style>
  <w:style w:type="paragraph" w:styleId="Commarcadores3">
    <w:name w:val="List Bullet 3"/>
    <w:basedOn w:val="Normal"/>
    <w:uiPriority w:val="99"/>
    <w:semiHidden/>
    <w:unhideWhenUsed/>
    <w:rsid w:val="0003148D"/>
    <w:pPr>
      <w:numPr>
        <w:numId w:val="9"/>
      </w:numPr>
      <w:contextualSpacing/>
    </w:pPr>
  </w:style>
  <w:style w:type="paragraph" w:styleId="Commarcadores4">
    <w:name w:val="List Bullet 4"/>
    <w:basedOn w:val="Normal"/>
    <w:uiPriority w:val="99"/>
    <w:semiHidden/>
    <w:unhideWhenUsed/>
    <w:rsid w:val="0003148D"/>
    <w:pPr>
      <w:numPr>
        <w:numId w:val="10"/>
      </w:numPr>
      <w:contextualSpacing/>
    </w:pPr>
  </w:style>
  <w:style w:type="paragraph" w:styleId="Commarcadores5">
    <w:name w:val="List Bullet 5"/>
    <w:basedOn w:val="Normal"/>
    <w:uiPriority w:val="99"/>
    <w:semiHidden/>
    <w:unhideWhenUsed/>
    <w:rsid w:val="0003148D"/>
    <w:pPr>
      <w:numPr>
        <w:numId w:val="11"/>
      </w:numPr>
      <w:contextualSpacing/>
    </w:pPr>
  </w:style>
  <w:style w:type="paragraph" w:styleId="Recuodecorpodetexto2">
    <w:name w:val="Body Text Indent 2"/>
    <w:basedOn w:val="Normal"/>
    <w:link w:val="Recuodecorpodetexto2Char"/>
    <w:uiPriority w:val="99"/>
    <w:semiHidden/>
    <w:unhideWhenUsed/>
    <w:rsid w:val="0003148D"/>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03148D"/>
  </w:style>
  <w:style w:type="paragraph" w:styleId="Recuodecorpodetexto3">
    <w:name w:val="Body Text Indent 3"/>
    <w:basedOn w:val="Normal"/>
    <w:link w:val="Recuodecorpodetexto3Char"/>
    <w:uiPriority w:val="99"/>
    <w:semiHidden/>
    <w:unhideWhenUsed/>
    <w:rsid w:val="0003148D"/>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03148D"/>
    <w:rPr>
      <w:sz w:val="16"/>
      <w:szCs w:val="16"/>
    </w:rPr>
  </w:style>
  <w:style w:type="paragraph" w:styleId="Recuonormal">
    <w:name w:val="Normal Indent"/>
    <w:basedOn w:val="Normal"/>
    <w:uiPriority w:val="99"/>
    <w:semiHidden/>
    <w:unhideWhenUsed/>
    <w:rsid w:val="0003148D"/>
    <w:pPr>
      <w:ind w:left="720"/>
    </w:pPr>
  </w:style>
  <w:style w:type="paragraph" w:styleId="Textodecomentrio">
    <w:name w:val="annotation text"/>
    <w:basedOn w:val="Normal"/>
    <w:link w:val="TextodecomentrioChar"/>
    <w:uiPriority w:val="99"/>
    <w:unhideWhenUsed/>
    <w:rsid w:val="0003148D"/>
    <w:pPr>
      <w:spacing w:line="240" w:lineRule="auto"/>
    </w:pPr>
  </w:style>
  <w:style w:type="character" w:customStyle="1" w:styleId="TextodecomentrioChar">
    <w:name w:val="Texto de comentário Char"/>
    <w:basedOn w:val="Fontepargpadro"/>
    <w:link w:val="Textodecomentrio"/>
    <w:uiPriority w:val="99"/>
    <w:rsid w:val="0003148D"/>
    <w:rPr>
      <w:sz w:val="20"/>
      <w:szCs w:val="20"/>
    </w:rPr>
  </w:style>
  <w:style w:type="paragraph" w:styleId="Assuntodocomentrio">
    <w:name w:val="annotation subject"/>
    <w:basedOn w:val="Textodecomentrio"/>
    <w:next w:val="Textodecomentrio"/>
    <w:link w:val="AssuntodocomentrioChar"/>
    <w:uiPriority w:val="99"/>
    <w:semiHidden/>
    <w:unhideWhenUsed/>
    <w:rsid w:val="0003148D"/>
    <w:rPr>
      <w:b/>
      <w:bCs/>
    </w:rPr>
  </w:style>
  <w:style w:type="character" w:customStyle="1" w:styleId="AssuntodocomentrioChar">
    <w:name w:val="Assunto do comentário Char"/>
    <w:basedOn w:val="TextodecomentrioChar"/>
    <w:link w:val="Assuntodocomentrio"/>
    <w:uiPriority w:val="99"/>
    <w:semiHidden/>
    <w:rsid w:val="0003148D"/>
    <w:rPr>
      <w:b/>
      <w:bCs/>
      <w:sz w:val="20"/>
      <w:szCs w:val="20"/>
    </w:rPr>
  </w:style>
  <w:style w:type="paragraph" w:styleId="Sumrio1">
    <w:name w:val="toc 1"/>
    <w:basedOn w:val="Normal"/>
    <w:next w:val="Normal"/>
    <w:autoRedefine/>
    <w:uiPriority w:val="39"/>
    <w:semiHidden/>
    <w:unhideWhenUsed/>
    <w:rsid w:val="0003148D"/>
    <w:pPr>
      <w:spacing w:after="100"/>
    </w:pPr>
  </w:style>
  <w:style w:type="paragraph" w:styleId="Sumrio2">
    <w:name w:val="toc 2"/>
    <w:basedOn w:val="Normal"/>
    <w:next w:val="Normal"/>
    <w:autoRedefine/>
    <w:uiPriority w:val="39"/>
    <w:semiHidden/>
    <w:unhideWhenUsed/>
    <w:rsid w:val="0003148D"/>
    <w:pPr>
      <w:spacing w:after="100"/>
      <w:ind w:left="220"/>
    </w:pPr>
  </w:style>
  <w:style w:type="paragraph" w:styleId="Sumrio3">
    <w:name w:val="toc 3"/>
    <w:basedOn w:val="Normal"/>
    <w:next w:val="Normal"/>
    <w:autoRedefine/>
    <w:uiPriority w:val="39"/>
    <w:semiHidden/>
    <w:unhideWhenUsed/>
    <w:rsid w:val="0003148D"/>
    <w:pPr>
      <w:spacing w:after="100"/>
      <w:ind w:left="440"/>
    </w:pPr>
  </w:style>
  <w:style w:type="paragraph" w:styleId="Sumrio4">
    <w:name w:val="toc 4"/>
    <w:basedOn w:val="Normal"/>
    <w:next w:val="Normal"/>
    <w:autoRedefine/>
    <w:uiPriority w:val="39"/>
    <w:semiHidden/>
    <w:unhideWhenUsed/>
    <w:rsid w:val="0003148D"/>
    <w:pPr>
      <w:spacing w:after="100"/>
      <w:ind w:left="660"/>
    </w:pPr>
  </w:style>
  <w:style w:type="paragraph" w:styleId="Sumrio5">
    <w:name w:val="toc 5"/>
    <w:basedOn w:val="Normal"/>
    <w:next w:val="Normal"/>
    <w:autoRedefine/>
    <w:uiPriority w:val="39"/>
    <w:semiHidden/>
    <w:unhideWhenUsed/>
    <w:rsid w:val="0003148D"/>
    <w:pPr>
      <w:spacing w:after="100"/>
      <w:ind w:left="880"/>
    </w:pPr>
  </w:style>
  <w:style w:type="paragraph" w:styleId="Sumrio6">
    <w:name w:val="toc 6"/>
    <w:basedOn w:val="Normal"/>
    <w:next w:val="Normal"/>
    <w:autoRedefine/>
    <w:uiPriority w:val="39"/>
    <w:semiHidden/>
    <w:unhideWhenUsed/>
    <w:rsid w:val="0003148D"/>
    <w:pPr>
      <w:spacing w:after="100"/>
      <w:ind w:left="1100"/>
    </w:pPr>
  </w:style>
  <w:style w:type="paragraph" w:styleId="Sumrio7">
    <w:name w:val="toc 7"/>
    <w:basedOn w:val="Normal"/>
    <w:next w:val="Normal"/>
    <w:autoRedefine/>
    <w:uiPriority w:val="39"/>
    <w:semiHidden/>
    <w:unhideWhenUsed/>
    <w:rsid w:val="0003148D"/>
    <w:pPr>
      <w:spacing w:after="100"/>
      <w:ind w:left="1320"/>
    </w:pPr>
  </w:style>
  <w:style w:type="paragraph" w:styleId="Sumrio8">
    <w:name w:val="toc 8"/>
    <w:basedOn w:val="Normal"/>
    <w:next w:val="Normal"/>
    <w:autoRedefine/>
    <w:uiPriority w:val="39"/>
    <w:semiHidden/>
    <w:unhideWhenUsed/>
    <w:rsid w:val="0003148D"/>
    <w:pPr>
      <w:spacing w:after="100"/>
      <w:ind w:left="1540"/>
    </w:pPr>
  </w:style>
  <w:style w:type="paragraph" w:styleId="Sumrio9">
    <w:name w:val="toc 9"/>
    <w:basedOn w:val="Normal"/>
    <w:next w:val="Normal"/>
    <w:autoRedefine/>
    <w:uiPriority w:val="39"/>
    <w:semiHidden/>
    <w:unhideWhenUsed/>
    <w:rsid w:val="0003148D"/>
    <w:pPr>
      <w:spacing w:after="100"/>
      <w:ind w:left="1760"/>
    </w:pPr>
  </w:style>
  <w:style w:type="paragraph" w:styleId="Textoembloco">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odemacro">
    <w:name w:val="macro"/>
    <w:link w:val="Textodemacro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odemacroChar">
    <w:name w:val="Texto de macro Char"/>
    <w:basedOn w:val="Fontepargpadro"/>
    <w:link w:val="Textodemacro"/>
    <w:uiPriority w:val="99"/>
    <w:semiHidden/>
    <w:rsid w:val="0003148D"/>
    <w:rPr>
      <w:rFonts w:ascii="Consolas" w:hAnsi="Consolas" w:cs="Consolas"/>
      <w:sz w:val="20"/>
      <w:szCs w:val="20"/>
    </w:rPr>
  </w:style>
  <w:style w:type="paragraph" w:styleId="TextosemFormatao">
    <w:name w:val="Plain Text"/>
    <w:basedOn w:val="Normal"/>
    <w:link w:val="TextosemFormataoChar"/>
    <w:uiPriority w:val="99"/>
    <w:semiHidden/>
    <w:unhideWhenUsed/>
    <w:rsid w:val="0003148D"/>
    <w:pPr>
      <w:spacing w:line="240" w:lineRule="auto"/>
    </w:pPr>
    <w:rPr>
      <w:rFonts w:ascii="Consolas" w:hAnsi="Consolas" w:cs="Consolas"/>
      <w:sz w:val="21"/>
      <w:szCs w:val="21"/>
    </w:rPr>
  </w:style>
  <w:style w:type="character" w:customStyle="1" w:styleId="TextosemFormataoChar">
    <w:name w:val="Texto sem Formatação Char"/>
    <w:basedOn w:val="Fontepargpadro"/>
    <w:link w:val="TextosemFormatao"/>
    <w:uiPriority w:val="99"/>
    <w:semiHidden/>
    <w:rsid w:val="0003148D"/>
    <w:rPr>
      <w:rFonts w:ascii="Consolas" w:hAnsi="Consolas" w:cs="Consolas"/>
      <w:sz w:val="21"/>
      <w:szCs w:val="21"/>
    </w:rPr>
  </w:style>
  <w:style w:type="paragraph" w:styleId="Textodenotaderodap">
    <w:name w:val="footnote text"/>
    <w:basedOn w:val="Normal"/>
    <w:link w:val="TextodenotaderodapChar"/>
    <w:uiPriority w:val="99"/>
    <w:semiHidden/>
    <w:unhideWhenUsed/>
    <w:rsid w:val="0003148D"/>
    <w:pPr>
      <w:spacing w:line="240" w:lineRule="auto"/>
    </w:pPr>
  </w:style>
  <w:style w:type="character" w:customStyle="1" w:styleId="TextodenotaderodapChar">
    <w:name w:val="Texto de nota de rodapé Char"/>
    <w:basedOn w:val="Fontepargpadro"/>
    <w:link w:val="Textodenotaderodap"/>
    <w:uiPriority w:val="99"/>
    <w:semiHidden/>
    <w:rsid w:val="0003148D"/>
    <w:rPr>
      <w:sz w:val="20"/>
      <w:szCs w:val="20"/>
    </w:rPr>
  </w:style>
  <w:style w:type="paragraph" w:styleId="Textodenotadefim">
    <w:name w:val="endnote text"/>
    <w:basedOn w:val="Normal"/>
    <w:link w:val="TextodenotadefimChar"/>
    <w:uiPriority w:val="99"/>
    <w:semiHidden/>
    <w:unhideWhenUsed/>
    <w:rsid w:val="0003148D"/>
    <w:pPr>
      <w:spacing w:line="240" w:lineRule="auto"/>
    </w:pPr>
  </w:style>
  <w:style w:type="character" w:customStyle="1" w:styleId="TextodenotadefimChar">
    <w:name w:val="Texto de nota de fim Char"/>
    <w:basedOn w:val="Fontepargpadro"/>
    <w:link w:val="Textodenotadefim"/>
    <w:uiPriority w:val="99"/>
    <w:semiHidden/>
    <w:rsid w:val="0003148D"/>
    <w:rPr>
      <w:sz w:val="20"/>
      <w:szCs w:val="20"/>
    </w:rPr>
  </w:style>
  <w:style w:type="character" w:customStyle="1" w:styleId="Ttulo1Char">
    <w:name w:val="Título 1 Char"/>
    <w:basedOn w:val="Fontepargpadro"/>
    <w:link w:val="Ttulo1"/>
    <w:rsid w:val="004F5E36"/>
    <w:rPr>
      <w:rFonts w:ascii="Arial" w:eastAsia="Times New Roman" w:hAnsi="Arial" w:cs="Times New Roman"/>
      <w:b/>
      <w:sz w:val="20"/>
      <w:szCs w:val="20"/>
      <w:lang w:val="en-GB"/>
    </w:rPr>
  </w:style>
  <w:style w:type="character" w:customStyle="1" w:styleId="Ttulo2Char">
    <w:name w:val="Título 2 Char"/>
    <w:basedOn w:val="Fontepargpadro"/>
    <w:link w:val="Ttulo2"/>
    <w:rsid w:val="0003148D"/>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rsid w:val="0003148D"/>
    <w:rPr>
      <w:rFonts w:asciiTheme="majorHAnsi" w:eastAsiaTheme="majorEastAsia" w:hAnsiTheme="majorHAnsi" w:cstheme="majorBidi"/>
      <w:b/>
      <w:bCs/>
      <w:color w:val="4F81BD" w:themeColor="accent1"/>
    </w:rPr>
  </w:style>
  <w:style w:type="character" w:customStyle="1" w:styleId="Ttulo4Char">
    <w:name w:val="Título 4 Char"/>
    <w:basedOn w:val="Fontepargpadro"/>
    <w:link w:val="Ttulo4"/>
    <w:rsid w:val="0003148D"/>
    <w:rPr>
      <w:rFonts w:asciiTheme="majorHAnsi" w:eastAsiaTheme="majorEastAsia" w:hAnsiTheme="majorHAnsi" w:cstheme="majorBidi"/>
      <w:b/>
      <w:bCs/>
      <w:i/>
      <w:iCs/>
      <w:color w:val="4F81BD" w:themeColor="accent1"/>
    </w:rPr>
  </w:style>
  <w:style w:type="character" w:customStyle="1" w:styleId="Ttulo5Char">
    <w:name w:val="Título 5 Char"/>
    <w:basedOn w:val="Fontepargpadro"/>
    <w:link w:val="Ttulo5"/>
    <w:rsid w:val="0003148D"/>
    <w:rPr>
      <w:rFonts w:asciiTheme="majorHAnsi" w:eastAsiaTheme="majorEastAsia" w:hAnsiTheme="majorHAnsi" w:cstheme="majorBidi"/>
      <w:color w:val="243F60" w:themeColor="accent1" w:themeShade="7F"/>
    </w:rPr>
  </w:style>
  <w:style w:type="character" w:customStyle="1" w:styleId="Ttulo6Char">
    <w:name w:val="Título 6 Char"/>
    <w:basedOn w:val="Fontepargpadro"/>
    <w:link w:val="Ttulo6"/>
    <w:rsid w:val="0003148D"/>
    <w:rPr>
      <w:rFonts w:asciiTheme="majorHAnsi" w:eastAsiaTheme="majorEastAsia" w:hAnsiTheme="majorHAnsi" w:cstheme="majorBidi"/>
      <w:i/>
      <w:iCs/>
      <w:color w:val="243F60" w:themeColor="accent1" w:themeShade="7F"/>
    </w:rPr>
  </w:style>
  <w:style w:type="character" w:customStyle="1" w:styleId="Ttulo7Char">
    <w:name w:val="Título 7 Char"/>
    <w:basedOn w:val="Fontepargpadro"/>
    <w:link w:val="Ttulo7"/>
    <w:rsid w:val="0003148D"/>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rsid w:val="0003148D"/>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rsid w:val="0003148D"/>
    <w:rPr>
      <w:rFonts w:asciiTheme="majorHAnsi" w:eastAsiaTheme="majorEastAsia" w:hAnsiTheme="majorHAnsi" w:cstheme="majorBidi"/>
      <w:i/>
      <w:iCs/>
      <w:color w:val="404040" w:themeColor="text1" w:themeTint="BF"/>
      <w:sz w:val="20"/>
      <w:szCs w:val="20"/>
    </w:rPr>
  </w:style>
  <w:style w:type="paragraph" w:styleId="Ttulodendiceremissivo">
    <w:name w:val="index heading"/>
    <w:basedOn w:val="Normal"/>
    <w:next w:val="Remissivo1"/>
    <w:uiPriority w:val="99"/>
    <w:semiHidden/>
    <w:unhideWhenUsed/>
    <w:rsid w:val="0003148D"/>
    <w:rPr>
      <w:rFonts w:asciiTheme="majorHAnsi" w:eastAsiaTheme="majorEastAsia" w:hAnsiTheme="majorHAnsi" w:cstheme="majorBidi"/>
      <w:b/>
      <w:bCs/>
    </w:rPr>
  </w:style>
  <w:style w:type="paragraph" w:styleId="Ttulodendicedeautoridades">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CabealhodoSumrio">
    <w:name w:val="TOC Heading"/>
    <w:basedOn w:val="Ttulo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Fontepargpadr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Cabealho">
    <w:name w:val="header"/>
    <w:basedOn w:val="Normal"/>
    <w:link w:val="CabealhoChar"/>
    <w:uiPriority w:val="99"/>
    <w:unhideWhenUsed/>
    <w:rsid w:val="005278B7"/>
    <w:pPr>
      <w:tabs>
        <w:tab w:val="clear" w:pos="7100"/>
        <w:tab w:val="center" w:pos="4819"/>
        <w:tab w:val="right" w:pos="9638"/>
      </w:tabs>
      <w:spacing w:line="240" w:lineRule="auto"/>
    </w:pPr>
  </w:style>
  <w:style w:type="character" w:customStyle="1" w:styleId="CabealhoChar">
    <w:name w:val="Cabeçalho Char"/>
    <w:basedOn w:val="Fontepargpadro"/>
    <w:link w:val="Cabealho"/>
    <w:uiPriority w:val="99"/>
    <w:rsid w:val="005278B7"/>
    <w:rPr>
      <w:rFonts w:ascii="Arial" w:eastAsia="Times New Roman" w:hAnsi="Arial" w:cs="Times New Roman"/>
      <w:sz w:val="18"/>
      <w:szCs w:val="20"/>
      <w:lang w:val="en-GB"/>
    </w:rPr>
  </w:style>
  <w:style w:type="paragraph" w:styleId="Rodap">
    <w:name w:val="footer"/>
    <w:basedOn w:val="Normal"/>
    <w:link w:val="RodapChar"/>
    <w:uiPriority w:val="99"/>
    <w:unhideWhenUsed/>
    <w:rsid w:val="005278B7"/>
    <w:pPr>
      <w:tabs>
        <w:tab w:val="clear" w:pos="7100"/>
        <w:tab w:val="center" w:pos="4819"/>
        <w:tab w:val="right" w:pos="9638"/>
      </w:tabs>
      <w:spacing w:line="240" w:lineRule="auto"/>
    </w:pPr>
  </w:style>
  <w:style w:type="character" w:customStyle="1" w:styleId="RodapChar">
    <w:name w:val="Rodapé Char"/>
    <w:basedOn w:val="Fontepargpadro"/>
    <w:link w:val="Rodap"/>
    <w:uiPriority w:val="99"/>
    <w:rsid w:val="005278B7"/>
    <w:rPr>
      <w:rFonts w:ascii="Arial" w:eastAsia="Times New Roman" w:hAnsi="Arial" w:cs="Times New Roman"/>
      <w:sz w:val="18"/>
      <w:szCs w:val="20"/>
      <w:lang w:val="en-GB"/>
    </w:rPr>
  </w:style>
  <w:style w:type="table" w:styleId="Tabelacomgrade">
    <w:name w:val="Table Grid"/>
    <w:basedOn w:val="Tabela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904C62"/>
    <w:rPr>
      <w:color w:val="0000FF" w:themeColor="hyperlink"/>
      <w:u w:val="single"/>
    </w:rPr>
  </w:style>
  <w:style w:type="character" w:customStyle="1" w:styleId="eudoraheader">
    <w:name w:val="eudoraheader"/>
    <w:basedOn w:val="Fontepargpadr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252C1A"/>
    <w:pPr>
      <w:numPr>
        <w:ilvl w:val="0"/>
        <w:numId w:val="0"/>
      </w:numPr>
      <w:spacing w:after="0"/>
    </w:pPr>
  </w:style>
  <w:style w:type="character" w:customStyle="1" w:styleId="CETHeadingxxChar">
    <w:name w:val="CET Headingxx Char"/>
    <w:basedOn w:val="CETheadingxCarattere"/>
    <w:link w:val="CETHeadingxx"/>
    <w:rsid w:val="00252C1A"/>
    <w:rPr>
      <w:rFonts w:ascii="Arial" w:eastAsia="Times New Roman" w:hAnsi="Arial" w:cs="Times New Roman"/>
      <w:b/>
      <w:sz w:val="18"/>
      <w:szCs w:val="20"/>
      <w:lang w:val="en-US"/>
    </w:rPr>
  </w:style>
  <w:style w:type="character" w:customStyle="1" w:styleId="hps">
    <w:name w:val="hps"/>
    <w:basedOn w:val="Fontepargpadro"/>
    <w:rsid w:val="00505114"/>
  </w:style>
  <w:style w:type="character" w:styleId="TextodoEspaoReservado">
    <w:name w:val="Placeholder Text"/>
    <w:basedOn w:val="Fontepargpadro"/>
    <w:uiPriority w:val="99"/>
    <w:semiHidden/>
    <w:rsid w:val="00505114"/>
    <w:rPr>
      <w:color w:val="808080"/>
    </w:rPr>
  </w:style>
  <w:style w:type="character" w:customStyle="1" w:styleId="atn">
    <w:name w:val="atn"/>
    <w:basedOn w:val="Fontepargpadro"/>
    <w:rsid w:val="00505114"/>
  </w:style>
  <w:style w:type="paragraph" w:customStyle="1" w:styleId="Default">
    <w:name w:val="Default"/>
    <w:rsid w:val="00505114"/>
    <w:pPr>
      <w:autoSpaceDE w:val="0"/>
      <w:autoSpaceDN w:val="0"/>
      <w:adjustRightInd w:val="0"/>
      <w:spacing w:after="0" w:line="240" w:lineRule="auto"/>
    </w:pPr>
    <w:rPr>
      <w:rFonts w:ascii="Arial" w:eastAsia="Times New Roman" w:hAnsi="Arial" w:cs="Arial"/>
      <w:color w:val="000000"/>
      <w:sz w:val="24"/>
      <w:szCs w:val="24"/>
      <w:lang w:val="pt-BR" w:eastAsia="pt-BR"/>
    </w:rPr>
  </w:style>
  <w:style w:type="character" w:styleId="Nmerodelinha">
    <w:name w:val="line number"/>
    <w:basedOn w:val="Fontepargpadro"/>
    <w:uiPriority w:val="99"/>
    <w:semiHidden/>
    <w:unhideWhenUsed/>
    <w:rsid w:val="00505114"/>
  </w:style>
  <w:style w:type="character" w:customStyle="1" w:styleId="articlecitationvolume">
    <w:name w:val="articlecitation_volume"/>
    <w:basedOn w:val="Fontepargpadro"/>
    <w:rsid w:val="00505114"/>
  </w:style>
  <w:style w:type="character" w:customStyle="1" w:styleId="articlecitationpages">
    <w:name w:val="articlecitation_pages"/>
    <w:basedOn w:val="Fontepargpadro"/>
    <w:rsid w:val="00505114"/>
  </w:style>
  <w:style w:type="character" w:customStyle="1" w:styleId="size-xl">
    <w:name w:val="size-xl"/>
    <w:basedOn w:val="Fontepargpadro"/>
    <w:rsid w:val="00505114"/>
  </w:style>
  <w:style w:type="character" w:customStyle="1" w:styleId="size-m">
    <w:name w:val="size-m"/>
    <w:basedOn w:val="Fontepargpadro"/>
    <w:rsid w:val="00505114"/>
  </w:style>
  <w:style w:type="character" w:customStyle="1" w:styleId="text">
    <w:name w:val="text"/>
    <w:basedOn w:val="Fontepargpadro"/>
    <w:rsid w:val="00505114"/>
  </w:style>
  <w:style w:type="character" w:customStyle="1" w:styleId="author-ref">
    <w:name w:val="author-ref"/>
    <w:basedOn w:val="Fontepargpadro"/>
    <w:rsid w:val="00505114"/>
  </w:style>
  <w:style w:type="character" w:customStyle="1" w:styleId="fontstyle01">
    <w:name w:val="fontstyle01"/>
    <w:basedOn w:val="Fontepargpadro"/>
    <w:rsid w:val="00505114"/>
    <w:rPr>
      <w:rFonts w:ascii="Tahoma" w:hAnsi="Tahoma" w:cs="Tahoma" w:hint="default"/>
      <w:b w:val="0"/>
      <w:bCs w:val="0"/>
      <w:i w:val="0"/>
      <w:iCs w:val="0"/>
      <w:color w:val="000000"/>
      <w:sz w:val="14"/>
      <w:szCs w:val="14"/>
    </w:rPr>
  </w:style>
  <w:style w:type="character" w:customStyle="1" w:styleId="3oh-">
    <w:name w:val="_3oh-"/>
    <w:basedOn w:val="Fontepargpadro"/>
    <w:rsid w:val="005051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bvsde.paho.org/bvsaidis/tratagua/peru/braapa024.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016/j.biortech.2017.09.21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460A44-404A-4F2A-80AD-F6936CB73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3828</Words>
  <Characters>20673</Characters>
  <Application>Microsoft Office Word</Application>
  <DocSecurity>0</DocSecurity>
  <Lines>172</Lines>
  <Paragraphs>48</Paragraphs>
  <ScaleCrop>false</ScaleCrop>
  <HeadingPairs>
    <vt:vector size="6" baseType="variant">
      <vt:variant>
        <vt:lpstr>Título</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Dipartimento CMIC - Politecnico di Milano</Company>
  <LinksUpToDate>false</LinksUpToDate>
  <CharactersWithSpaces>24453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USER</cp:lastModifiedBy>
  <cp:revision>2</cp:revision>
  <cp:lastPrinted>2015-05-12T18:31:00Z</cp:lastPrinted>
  <dcterms:created xsi:type="dcterms:W3CDTF">2019-04-15T18:06:00Z</dcterms:created>
  <dcterms:modified xsi:type="dcterms:W3CDTF">2019-04-15T18:06:00Z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