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1C670C" w14:paraId="256E9B97" w14:textId="77777777">
        <w:trPr>
          <w:trHeight w:val="852"/>
          <w:jc w:val="center"/>
        </w:trPr>
        <w:tc>
          <w:tcPr>
            <w:tcW w:w="6946" w:type="dxa"/>
            <w:vMerge w:val="restart"/>
            <w:tcBorders>
              <w:right w:val="single" w:sz="4" w:space="0" w:color="auto"/>
            </w:tcBorders>
          </w:tcPr>
          <w:p w14:paraId="03A02B81" w14:textId="77777777" w:rsidR="000A03B2" w:rsidRPr="00230275" w:rsidRDefault="000A03B2" w:rsidP="00DE264A">
            <w:pPr>
              <w:tabs>
                <w:tab w:val="left" w:pos="-108"/>
              </w:tabs>
              <w:ind w:left="-108"/>
              <w:jc w:val="left"/>
              <w:rPr>
                <w:rFonts w:cs="Arial"/>
                <w:b/>
                <w:bCs/>
                <w:i/>
                <w:iCs/>
                <w:color w:val="000066"/>
                <w:sz w:val="12"/>
                <w:szCs w:val="12"/>
                <w:lang w:val="en-US" w:eastAsia="it-IT"/>
              </w:rPr>
            </w:pPr>
            <w:r w:rsidRPr="00230275">
              <w:rPr>
                <w:rFonts w:ascii="AdvP6960" w:hAnsi="AdvP6960" w:cs="AdvP6960"/>
                <w:noProof/>
                <w:color w:val="241F20"/>
                <w:szCs w:val="18"/>
                <w:lang w:val="it-IT" w:eastAsia="it-IT"/>
              </w:rPr>
              <w:drawing>
                <wp:inline distT="0" distB="0" distL="0" distR="0" wp14:anchorId="5C59FDAE" wp14:editId="0365E4B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30275">
              <w:rPr>
                <w:rFonts w:ascii="AdvP6960" w:hAnsi="AdvP6960" w:cs="AdvP6960"/>
                <w:color w:val="241F20"/>
                <w:szCs w:val="18"/>
                <w:lang w:val="en-US" w:eastAsia="it-IT"/>
              </w:rPr>
              <w:t xml:space="preserve"> </w:t>
            </w:r>
            <w:r w:rsidRPr="00230275">
              <w:rPr>
                <w:rFonts w:cs="Arial"/>
                <w:b/>
                <w:bCs/>
                <w:i/>
                <w:iCs/>
                <w:color w:val="000066"/>
                <w:sz w:val="24"/>
                <w:szCs w:val="24"/>
                <w:lang w:val="en-US" w:eastAsia="it-IT"/>
              </w:rPr>
              <w:t>CHEMICAL ENGINEERING</w:t>
            </w:r>
            <w:r w:rsidRPr="00230275">
              <w:rPr>
                <w:rFonts w:cs="Arial"/>
                <w:b/>
                <w:bCs/>
                <w:i/>
                <w:iCs/>
                <w:color w:val="0033FF"/>
                <w:sz w:val="24"/>
                <w:szCs w:val="24"/>
                <w:lang w:val="en-US" w:eastAsia="it-IT"/>
              </w:rPr>
              <w:t xml:space="preserve"> </w:t>
            </w:r>
            <w:r w:rsidRPr="00230275">
              <w:rPr>
                <w:rFonts w:cs="Arial"/>
                <w:b/>
                <w:bCs/>
                <w:i/>
                <w:iCs/>
                <w:color w:val="666666"/>
                <w:sz w:val="24"/>
                <w:szCs w:val="24"/>
                <w:lang w:val="en-US" w:eastAsia="it-IT"/>
              </w:rPr>
              <w:t>TRANSACTIONS</w:t>
            </w:r>
            <w:r w:rsidRPr="00230275">
              <w:rPr>
                <w:color w:val="333333"/>
                <w:sz w:val="24"/>
                <w:szCs w:val="24"/>
                <w:lang w:val="en-US" w:eastAsia="it-IT"/>
              </w:rPr>
              <w:t xml:space="preserve"> </w:t>
            </w:r>
            <w:r w:rsidRPr="00230275">
              <w:rPr>
                <w:rFonts w:cs="Arial"/>
                <w:b/>
                <w:bCs/>
                <w:i/>
                <w:iCs/>
                <w:color w:val="000066"/>
                <w:sz w:val="27"/>
                <w:szCs w:val="27"/>
                <w:lang w:val="en-US" w:eastAsia="it-IT"/>
              </w:rPr>
              <w:br/>
            </w:r>
          </w:p>
          <w:p w14:paraId="32B19EBA" w14:textId="77777777" w:rsidR="000A03B2" w:rsidRPr="00230275" w:rsidRDefault="00A76EFC" w:rsidP="009635B9">
            <w:pPr>
              <w:tabs>
                <w:tab w:val="left" w:pos="-108"/>
              </w:tabs>
              <w:ind w:left="-108"/>
              <w:rPr>
                <w:rFonts w:cs="Arial"/>
                <w:b/>
                <w:bCs/>
                <w:i/>
                <w:iCs/>
                <w:color w:val="000066"/>
                <w:sz w:val="22"/>
                <w:szCs w:val="22"/>
                <w:lang w:val="en-US" w:eastAsia="it-IT"/>
              </w:rPr>
            </w:pPr>
            <w:r w:rsidRPr="00230275">
              <w:rPr>
                <w:rFonts w:cs="Arial"/>
                <w:b/>
                <w:bCs/>
                <w:i/>
                <w:iCs/>
                <w:color w:val="000066"/>
                <w:sz w:val="22"/>
                <w:szCs w:val="22"/>
                <w:lang w:val="en-US" w:eastAsia="it-IT"/>
              </w:rPr>
              <w:t xml:space="preserve">VOL. </w:t>
            </w:r>
            <w:r w:rsidR="007931FA" w:rsidRPr="00230275">
              <w:rPr>
                <w:rFonts w:cs="Arial"/>
                <w:b/>
                <w:bCs/>
                <w:i/>
                <w:iCs/>
                <w:color w:val="000066"/>
                <w:sz w:val="22"/>
                <w:szCs w:val="22"/>
                <w:lang w:val="en-US" w:eastAsia="it-IT"/>
              </w:rPr>
              <w:t>7</w:t>
            </w:r>
            <w:r w:rsidR="009635B9" w:rsidRPr="00230275">
              <w:rPr>
                <w:rFonts w:cs="Arial"/>
                <w:b/>
                <w:bCs/>
                <w:i/>
                <w:iCs/>
                <w:color w:val="000066"/>
                <w:sz w:val="22"/>
                <w:szCs w:val="22"/>
                <w:lang w:val="en-US" w:eastAsia="it-IT"/>
              </w:rPr>
              <w:t>6</w:t>
            </w:r>
            <w:r w:rsidR="00FA5F5F" w:rsidRPr="00230275">
              <w:rPr>
                <w:rFonts w:cs="Arial"/>
                <w:b/>
                <w:bCs/>
                <w:i/>
                <w:iCs/>
                <w:color w:val="000066"/>
                <w:sz w:val="22"/>
                <w:szCs w:val="22"/>
                <w:lang w:val="en-US" w:eastAsia="it-IT"/>
              </w:rPr>
              <w:t>, 201</w:t>
            </w:r>
            <w:r w:rsidR="007931FA" w:rsidRPr="00230275">
              <w:rPr>
                <w:rFonts w:cs="Arial"/>
                <w:b/>
                <w:bCs/>
                <w:i/>
                <w:iCs/>
                <w:color w:val="000066"/>
                <w:sz w:val="22"/>
                <w:szCs w:val="22"/>
                <w:lang w:val="en-US" w:eastAsia="it-IT"/>
              </w:rPr>
              <w:t>9</w:t>
            </w:r>
          </w:p>
        </w:tc>
        <w:tc>
          <w:tcPr>
            <w:tcW w:w="1843" w:type="dxa"/>
            <w:tcBorders>
              <w:left w:val="single" w:sz="4" w:space="0" w:color="auto"/>
              <w:bottom w:val="nil"/>
              <w:right w:val="single" w:sz="4" w:space="0" w:color="auto"/>
            </w:tcBorders>
          </w:tcPr>
          <w:p w14:paraId="632302CE" w14:textId="77777777" w:rsidR="000A03B2" w:rsidRPr="00230275" w:rsidRDefault="000A03B2" w:rsidP="00CD5FE2">
            <w:pPr>
              <w:spacing w:line="140" w:lineRule="atLeast"/>
              <w:jc w:val="right"/>
              <w:rPr>
                <w:rFonts w:cs="Arial"/>
                <w:sz w:val="14"/>
                <w:szCs w:val="14"/>
                <w:lang w:val="en-US"/>
              </w:rPr>
            </w:pPr>
            <w:r w:rsidRPr="00230275">
              <w:rPr>
                <w:rFonts w:cs="Arial"/>
                <w:sz w:val="14"/>
                <w:szCs w:val="14"/>
                <w:lang w:val="en-US"/>
              </w:rPr>
              <w:t>A publication of</w:t>
            </w:r>
          </w:p>
          <w:p w14:paraId="512F7A2B" w14:textId="77777777" w:rsidR="000A03B2" w:rsidRPr="00230275" w:rsidRDefault="000A03B2" w:rsidP="00CD5FE2">
            <w:pPr>
              <w:jc w:val="right"/>
              <w:rPr>
                <w:lang w:val="en-US"/>
              </w:rPr>
            </w:pPr>
            <w:r w:rsidRPr="00230275">
              <w:rPr>
                <w:noProof/>
                <w:lang w:val="it-IT" w:eastAsia="it-IT"/>
              </w:rPr>
              <w:drawing>
                <wp:inline distT="0" distB="0" distL="0" distR="0" wp14:anchorId="7704E90B" wp14:editId="126D48A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C670C" w14:paraId="2A9DDABD" w14:textId="77777777">
        <w:trPr>
          <w:trHeight w:val="567"/>
          <w:jc w:val="center"/>
        </w:trPr>
        <w:tc>
          <w:tcPr>
            <w:tcW w:w="6946" w:type="dxa"/>
            <w:vMerge/>
            <w:tcBorders>
              <w:right w:val="single" w:sz="4" w:space="0" w:color="auto"/>
            </w:tcBorders>
          </w:tcPr>
          <w:p w14:paraId="1F53ACC6" w14:textId="77777777" w:rsidR="000A03B2" w:rsidRPr="00230275"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6817F541" w14:textId="77777777" w:rsidR="000A03B2" w:rsidRPr="00230275" w:rsidRDefault="000A03B2" w:rsidP="00CD5FE2">
            <w:pPr>
              <w:spacing w:line="140" w:lineRule="atLeast"/>
              <w:jc w:val="right"/>
              <w:rPr>
                <w:rFonts w:cs="Arial"/>
                <w:sz w:val="14"/>
                <w:szCs w:val="14"/>
                <w:lang w:val="en-US"/>
              </w:rPr>
            </w:pPr>
            <w:r w:rsidRPr="00230275">
              <w:rPr>
                <w:rFonts w:cs="Arial"/>
                <w:sz w:val="14"/>
                <w:szCs w:val="14"/>
                <w:lang w:val="en-US"/>
              </w:rPr>
              <w:t>The Italian Association</w:t>
            </w:r>
          </w:p>
          <w:p w14:paraId="7A28A9D5" w14:textId="77777777" w:rsidR="000A03B2" w:rsidRPr="00230275" w:rsidRDefault="000A03B2" w:rsidP="00CD5FE2">
            <w:pPr>
              <w:spacing w:line="140" w:lineRule="atLeast"/>
              <w:jc w:val="right"/>
              <w:rPr>
                <w:rFonts w:cs="Arial"/>
                <w:sz w:val="14"/>
                <w:szCs w:val="14"/>
                <w:lang w:val="en-US"/>
              </w:rPr>
            </w:pPr>
            <w:r w:rsidRPr="00230275">
              <w:rPr>
                <w:rFonts w:cs="Arial"/>
                <w:sz w:val="14"/>
                <w:szCs w:val="14"/>
                <w:lang w:val="en-US"/>
              </w:rPr>
              <w:t>of Chemical Engineering</w:t>
            </w:r>
          </w:p>
          <w:p w14:paraId="05084DD0" w14:textId="77777777" w:rsidR="000A03B2" w:rsidRPr="00230275" w:rsidRDefault="000A03B2" w:rsidP="00162642">
            <w:pPr>
              <w:spacing w:line="140" w:lineRule="atLeast"/>
              <w:jc w:val="right"/>
              <w:rPr>
                <w:rFonts w:cs="Arial"/>
                <w:sz w:val="14"/>
                <w:szCs w:val="14"/>
                <w:lang w:val="en-US"/>
              </w:rPr>
            </w:pPr>
            <w:r w:rsidRPr="00230275">
              <w:rPr>
                <w:rFonts w:cs="Arial"/>
                <w:sz w:val="14"/>
                <w:szCs w:val="14"/>
                <w:lang w:val="en-US"/>
              </w:rPr>
              <w:t xml:space="preserve">Online at </w:t>
            </w:r>
            <w:r w:rsidR="00162642" w:rsidRPr="00230275">
              <w:rPr>
                <w:rFonts w:cs="Arial"/>
                <w:sz w:val="14"/>
                <w:szCs w:val="14"/>
                <w:lang w:val="en-US"/>
              </w:rPr>
              <w:t>www.cetjournal.it</w:t>
            </w:r>
          </w:p>
        </w:tc>
      </w:tr>
      <w:tr w:rsidR="000A03B2" w:rsidRPr="001C670C" w14:paraId="7B038B17" w14:textId="77777777">
        <w:trPr>
          <w:trHeight w:val="68"/>
          <w:jc w:val="center"/>
        </w:trPr>
        <w:tc>
          <w:tcPr>
            <w:tcW w:w="8789" w:type="dxa"/>
            <w:gridSpan w:val="2"/>
          </w:tcPr>
          <w:p w14:paraId="04DD44A7" w14:textId="77777777" w:rsidR="00300E56" w:rsidRPr="00230275" w:rsidRDefault="00300E56" w:rsidP="003365E3">
            <w:pPr>
              <w:ind w:left="-107"/>
              <w:rPr>
                <w:lang w:val="it-IT"/>
              </w:rPr>
            </w:pPr>
            <w:r w:rsidRPr="00230275">
              <w:rPr>
                <w:rFonts w:ascii="Tahoma" w:hAnsi="Tahoma" w:cs="Tahoma"/>
                <w:iCs/>
                <w:color w:val="333333"/>
                <w:sz w:val="14"/>
                <w:szCs w:val="14"/>
                <w:lang w:val="it-IT" w:eastAsia="it-IT"/>
              </w:rPr>
              <w:t>Guest Editors:</w:t>
            </w:r>
            <w:r w:rsidR="00904C62" w:rsidRPr="00230275">
              <w:rPr>
                <w:rFonts w:ascii="Tahoma" w:hAnsi="Tahoma" w:cs="Tahoma"/>
                <w:iCs/>
                <w:color w:val="333333"/>
                <w:sz w:val="14"/>
                <w:szCs w:val="14"/>
                <w:lang w:val="it-IT" w:eastAsia="it-IT"/>
              </w:rPr>
              <w:t xml:space="preserve"> </w:t>
            </w:r>
            <w:r w:rsidR="009635B9" w:rsidRPr="00230275">
              <w:rPr>
                <w:rFonts w:ascii="Tahoma" w:hAnsi="Tahoma" w:cs="Tahoma"/>
                <w:sz w:val="14"/>
                <w:szCs w:val="14"/>
                <w:lang w:val="it-IT"/>
              </w:rPr>
              <w:t>Sauro Pierucci,</w:t>
            </w:r>
            <w:r w:rsidR="003B60F3" w:rsidRPr="00230275">
              <w:rPr>
                <w:rFonts w:ascii="Tahoma" w:hAnsi="Tahoma" w:cs="Tahoma"/>
                <w:sz w:val="14"/>
                <w:szCs w:val="14"/>
                <w:lang w:val="it-IT"/>
              </w:rPr>
              <w:t xml:space="preserve"> </w:t>
            </w:r>
            <w:proofErr w:type="spellStart"/>
            <w:r w:rsidR="00047D7F" w:rsidRPr="00230275">
              <w:rPr>
                <w:rFonts w:ascii="Tahoma" w:hAnsi="Tahoma" w:cs="Tahoma"/>
                <w:sz w:val="14"/>
                <w:szCs w:val="14"/>
                <w:shd w:val="clear" w:color="auto" w:fill="FFFFFF"/>
                <w:lang w:val="it-IT"/>
              </w:rPr>
              <w:t>Jiří</w:t>
            </w:r>
            <w:proofErr w:type="spellEnd"/>
            <w:r w:rsidR="00047D7F" w:rsidRPr="00230275">
              <w:rPr>
                <w:rFonts w:ascii="Tahoma" w:hAnsi="Tahoma" w:cs="Tahoma"/>
                <w:sz w:val="14"/>
                <w:szCs w:val="14"/>
                <w:shd w:val="clear" w:color="auto" w:fill="FFFFFF"/>
                <w:lang w:val="it-IT"/>
              </w:rPr>
              <w:t xml:space="preserve"> </w:t>
            </w:r>
            <w:proofErr w:type="spellStart"/>
            <w:r w:rsidR="00047D7F" w:rsidRPr="00230275">
              <w:rPr>
                <w:rFonts w:ascii="Tahoma" w:hAnsi="Tahoma" w:cs="Tahoma"/>
                <w:sz w:val="14"/>
                <w:szCs w:val="14"/>
                <w:shd w:val="clear" w:color="auto" w:fill="FFFFFF"/>
                <w:lang w:val="it-IT"/>
              </w:rPr>
              <w:t>Jaromír</w:t>
            </w:r>
            <w:proofErr w:type="spellEnd"/>
            <w:r w:rsidR="00047D7F" w:rsidRPr="00230275">
              <w:rPr>
                <w:rFonts w:ascii="Tahoma" w:hAnsi="Tahoma" w:cs="Tahoma"/>
                <w:sz w:val="14"/>
                <w:szCs w:val="14"/>
                <w:shd w:val="clear" w:color="auto" w:fill="FFFFFF"/>
                <w:lang w:val="it-IT"/>
              </w:rPr>
              <w:t xml:space="preserve"> </w:t>
            </w:r>
            <w:proofErr w:type="spellStart"/>
            <w:r w:rsidR="00047D7F" w:rsidRPr="00230275">
              <w:rPr>
                <w:rFonts w:ascii="Tahoma" w:hAnsi="Tahoma" w:cs="Tahoma"/>
                <w:sz w:val="14"/>
                <w:szCs w:val="14"/>
                <w:shd w:val="clear" w:color="auto" w:fill="FFFFFF"/>
                <w:lang w:val="it-IT"/>
              </w:rPr>
              <w:t>Klemeš</w:t>
            </w:r>
            <w:proofErr w:type="spellEnd"/>
            <w:r w:rsidR="00252C1A" w:rsidRPr="00230275">
              <w:rPr>
                <w:rFonts w:ascii="Tahoma" w:hAnsi="Tahoma" w:cs="Tahoma"/>
                <w:sz w:val="14"/>
                <w:szCs w:val="14"/>
                <w:shd w:val="clear" w:color="auto" w:fill="FFFFFF"/>
                <w:lang w:val="it-IT"/>
              </w:rPr>
              <w:t>, Laura Piazza</w:t>
            </w:r>
          </w:p>
          <w:p w14:paraId="379F72CA" w14:textId="77777777" w:rsidR="000A03B2" w:rsidRPr="00230275" w:rsidRDefault="00FA5F5F" w:rsidP="00131FAB">
            <w:pPr>
              <w:tabs>
                <w:tab w:val="left" w:pos="-108"/>
              </w:tabs>
              <w:spacing w:line="140" w:lineRule="atLeast"/>
              <w:ind w:left="-107"/>
              <w:jc w:val="left"/>
              <w:rPr>
                <w:lang w:val="en-US"/>
              </w:rPr>
            </w:pPr>
            <w:r w:rsidRPr="00230275">
              <w:rPr>
                <w:rFonts w:ascii="Tahoma" w:hAnsi="Tahoma" w:cs="Tahoma"/>
                <w:iCs/>
                <w:color w:val="333333"/>
                <w:sz w:val="14"/>
                <w:szCs w:val="14"/>
                <w:lang w:val="en-US" w:eastAsia="it-IT"/>
              </w:rPr>
              <w:t>Copyright © 201</w:t>
            </w:r>
            <w:r w:rsidR="007931FA" w:rsidRPr="00230275">
              <w:rPr>
                <w:rFonts w:ascii="Tahoma" w:hAnsi="Tahoma" w:cs="Tahoma"/>
                <w:iCs/>
                <w:color w:val="333333"/>
                <w:sz w:val="14"/>
                <w:szCs w:val="14"/>
                <w:lang w:val="en-US" w:eastAsia="it-IT"/>
              </w:rPr>
              <w:t>9</w:t>
            </w:r>
            <w:r w:rsidR="00904C62" w:rsidRPr="00230275">
              <w:rPr>
                <w:rFonts w:ascii="Tahoma" w:hAnsi="Tahoma" w:cs="Tahoma"/>
                <w:iCs/>
                <w:color w:val="333333"/>
                <w:sz w:val="14"/>
                <w:szCs w:val="14"/>
                <w:lang w:val="en-US" w:eastAsia="it-IT"/>
              </w:rPr>
              <w:t xml:space="preserve">, AIDIC </w:t>
            </w:r>
            <w:proofErr w:type="spellStart"/>
            <w:r w:rsidR="00904C62" w:rsidRPr="00230275">
              <w:rPr>
                <w:rFonts w:ascii="Tahoma" w:hAnsi="Tahoma" w:cs="Tahoma"/>
                <w:iCs/>
                <w:color w:val="333333"/>
                <w:sz w:val="14"/>
                <w:szCs w:val="14"/>
                <w:lang w:val="en-US" w:eastAsia="it-IT"/>
              </w:rPr>
              <w:t>Servizi</w:t>
            </w:r>
            <w:proofErr w:type="spellEnd"/>
            <w:r w:rsidR="00904C62" w:rsidRPr="00230275">
              <w:rPr>
                <w:rFonts w:ascii="Tahoma" w:hAnsi="Tahoma" w:cs="Tahoma"/>
                <w:iCs/>
                <w:color w:val="333333"/>
                <w:sz w:val="14"/>
                <w:szCs w:val="14"/>
                <w:lang w:val="en-US" w:eastAsia="it-IT"/>
              </w:rPr>
              <w:t xml:space="preserve"> </w:t>
            </w:r>
            <w:proofErr w:type="spellStart"/>
            <w:r w:rsidR="00904C62" w:rsidRPr="00230275">
              <w:rPr>
                <w:rFonts w:ascii="Tahoma" w:hAnsi="Tahoma" w:cs="Tahoma"/>
                <w:iCs/>
                <w:color w:val="333333"/>
                <w:sz w:val="14"/>
                <w:szCs w:val="14"/>
                <w:lang w:val="en-US" w:eastAsia="it-IT"/>
              </w:rPr>
              <w:t>S.r.l</w:t>
            </w:r>
            <w:proofErr w:type="spellEnd"/>
            <w:r w:rsidR="00904C62" w:rsidRPr="00230275">
              <w:rPr>
                <w:rFonts w:ascii="Tahoma" w:hAnsi="Tahoma" w:cs="Tahoma"/>
                <w:iCs/>
                <w:color w:val="333333"/>
                <w:sz w:val="14"/>
                <w:szCs w:val="14"/>
                <w:lang w:val="en-US" w:eastAsia="it-IT"/>
              </w:rPr>
              <w:t>.</w:t>
            </w:r>
            <w:r w:rsidR="00300E56" w:rsidRPr="00230275">
              <w:rPr>
                <w:rFonts w:ascii="Tahoma" w:hAnsi="Tahoma" w:cs="Tahoma"/>
                <w:iCs/>
                <w:color w:val="333333"/>
                <w:sz w:val="14"/>
                <w:szCs w:val="14"/>
                <w:lang w:val="en-US" w:eastAsia="it-IT"/>
              </w:rPr>
              <w:br/>
            </w:r>
            <w:r w:rsidR="00300E56" w:rsidRPr="00230275">
              <w:rPr>
                <w:rFonts w:ascii="Tahoma" w:hAnsi="Tahoma" w:cs="Tahoma"/>
                <w:b/>
                <w:iCs/>
                <w:color w:val="000000"/>
                <w:sz w:val="14"/>
                <w:szCs w:val="14"/>
                <w:lang w:val="en-US" w:eastAsia="it-IT"/>
              </w:rPr>
              <w:t>ISBN</w:t>
            </w:r>
            <w:r w:rsidR="00300E56" w:rsidRPr="00230275">
              <w:rPr>
                <w:rFonts w:ascii="Tahoma" w:hAnsi="Tahoma" w:cs="Tahoma"/>
                <w:iCs/>
                <w:color w:val="000000"/>
                <w:sz w:val="14"/>
                <w:szCs w:val="14"/>
                <w:lang w:val="en-US" w:eastAsia="it-IT"/>
              </w:rPr>
              <w:t xml:space="preserve"> </w:t>
            </w:r>
            <w:r w:rsidR="008D32B9" w:rsidRPr="00230275">
              <w:rPr>
                <w:rFonts w:ascii="Tahoma" w:hAnsi="Tahoma" w:cs="Tahoma"/>
                <w:sz w:val="14"/>
                <w:szCs w:val="14"/>
                <w:lang w:val="en-US"/>
              </w:rPr>
              <w:t>978-88-95608-</w:t>
            </w:r>
            <w:r w:rsidR="009635B9" w:rsidRPr="00230275">
              <w:rPr>
                <w:rFonts w:ascii="Tahoma" w:hAnsi="Tahoma" w:cs="Tahoma"/>
                <w:sz w:val="14"/>
                <w:szCs w:val="14"/>
                <w:lang w:val="en-US"/>
              </w:rPr>
              <w:t>73</w:t>
            </w:r>
            <w:r w:rsidR="008D32B9" w:rsidRPr="00230275">
              <w:rPr>
                <w:rFonts w:ascii="Tahoma" w:hAnsi="Tahoma" w:cs="Tahoma"/>
                <w:sz w:val="14"/>
                <w:szCs w:val="14"/>
                <w:lang w:val="en-US"/>
              </w:rPr>
              <w:t>-</w:t>
            </w:r>
            <w:r w:rsidR="009635B9" w:rsidRPr="00230275">
              <w:rPr>
                <w:rFonts w:ascii="Tahoma" w:hAnsi="Tahoma" w:cs="Tahoma"/>
                <w:sz w:val="14"/>
                <w:szCs w:val="14"/>
                <w:lang w:val="en-US"/>
              </w:rPr>
              <w:t>0</w:t>
            </w:r>
            <w:r w:rsidR="00300E56" w:rsidRPr="00230275">
              <w:rPr>
                <w:rFonts w:ascii="Tahoma" w:hAnsi="Tahoma" w:cs="Tahoma"/>
                <w:iCs/>
                <w:color w:val="333333"/>
                <w:sz w:val="14"/>
                <w:szCs w:val="14"/>
                <w:lang w:val="en-US" w:eastAsia="it-IT"/>
              </w:rPr>
              <w:t xml:space="preserve">; </w:t>
            </w:r>
            <w:r w:rsidR="00300E56" w:rsidRPr="00230275">
              <w:rPr>
                <w:rFonts w:ascii="Tahoma" w:hAnsi="Tahoma" w:cs="Tahoma"/>
                <w:b/>
                <w:iCs/>
                <w:color w:val="333333"/>
                <w:sz w:val="14"/>
                <w:szCs w:val="14"/>
                <w:lang w:val="en-US" w:eastAsia="it-IT"/>
              </w:rPr>
              <w:t>ISSN</w:t>
            </w:r>
            <w:r w:rsidR="00300E56" w:rsidRPr="00230275">
              <w:rPr>
                <w:rFonts w:ascii="Tahoma" w:hAnsi="Tahoma" w:cs="Tahoma"/>
                <w:iCs/>
                <w:color w:val="333333"/>
                <w:sz w:val="14"/>
                <w:szCs w:val="14"/>
                <w:lang w:val="en-US" w:eastAsia="it-IT"/>
              </w:rPr>
              <w:t xml:space="preserve"> 2283-9216</w:t>
            </w:r>
          </w:p>
        </w:tc>
      </w:tr>
    </w:tbl>
    <w:p w14:paraId="51FBFE25" w14:textId="77777777" w:rsidR="000A03B2" w:rsidRPr="00230275" w:rsidRDefault="000A03B2" w:rsidP="000A03B2">
      <w:pPr>
        <w:pStyle w:val="CETAuthors"/>
        <w:rPr>
          <w:noProof w:val="0"/>
          <w:lang w:val="en-US"/>
        </w:rPr>
        <w:sectPr w:rsidR="000A03B2" w:rsidRPr="00230275">
          <w:type w:val="continuous"/>
          <w:pgSz w:w="11906" w:h="16838" w:code="9"/>
          <w:pgMar w:top="1701" w:right="1418" w:bottom="1701" w:left="1701" w:header="1701" w:footer="0" w:gutter="0"/>
          <w:cols w:space="708"/>
          <w:titlePg/>
          <w:docGrid w:linePitch="360"/>
        </w:sectPr>
      </w:pPr>
    </w:p>
    <w:p w14:paraId="4B51B6F8" w14:textId="1788C2C7" w:rsidR="00E978D0" w:rsidRPr="00230275" w:rsidRDefault="004C723B" w:rsidP="00E978D0">
      <w:pPr>
        <w:pStyle w:val="CETTitle"/>
        <w:rPr>
          <w:lang w:val="en-US"/>
        </w:rPr>
      </w:pPr>
      <w:r w:rsidRPr="00230275">
        <w:rPr>
          <w:lang w:val="en-US"/>
        </w:rPr>
        <w:t xml:space="preserve">Study on the </w:t>
      </w:r>
      <w:r w:rsidR="00ED6552">
        <w:rPr>
          <w:lang w:val="en-US"/>
        </w:rPr>
        <w:t>T</w:t>
      </w:r>
      <w:r w:rsidRPr="00230275">
        <w:rPr>
          <w:lang w:val="en-US"/>
        </w:rPr>
        <w:t xml:space="preserve">hermal </w:t>
      </w:r>
      <w:r w:rsidR="00ED6552">
        <w:rPr>
          <w:lang w:val="en-US"/>
        </w:rPr>
        <w:t>D</w:t>
      </w:r>
      <w:r w:rsidRPr="00230275">
        <w:rPr>
          <w:lang w:val="en-US"/>
        </w:rPr>
        <w:t xml:space="preserve">ecomposition of </w:t>
      </w:r>
      <w:r w:rsidR="00ED6552">
        <w:rPr>
          <w:lang w:val="en-US"/>
        </w:rPr>
        <w:t>P</w:t>
      </w:r>
      <w:r w:rsidRPr="00230275">
        <w:rPr>
          <w:lang w:val="en-US"/>
        </w:rPr>
        <w:t xml:space="preserve">lastic </w:t>
      </w:r>
      <w:r w:rsidR="00ED6552">
        <w:rPr>
          <w:lang w:val="en-US"/>
        </w:rPr>
        <w:t>R</w:t>
      </w:r>
      <w:r w:rsidRPr="00230275">
        <w:rPr>
          <w:lang w:val="en-US"/>
        </w:rPr>
        <w:t>esidues</w:t>
      </w:r>
    </w:p>
    <w:p w14:paraId="18E526A8" w14:textId="20107271" w:rsidR="00E978D0" w:rsidRPr="00230275" w:rsidRDefault="00C77B83" w:rsidP="00AB5011">
      <w:pPr>
        <w:pStyle w:val="CETAuthors"/>
        <w:rPr>
          <w:noProof w:val="0"/>
          <w:lang w:val="it-IT"/>
        </w:rPr>
      </w:pPr>
      <w:r w:rsidRPr="00230275">
        <w:rPr>
          <w:noProof w:val="0"/>
          <w:lang w:val="it-IT"/>
        </w:rPr>
        <w:t>Alessandro A. Casazza</w:t>
      </w:r>
      <w:r w:rsidR="002A1D1E" w:rsidRPr="00230275">
        <w:rPr>
          <w:noProof w:val="0"/>
          <w:lang w:val="it-IT"/>
        </w:rPr>
        <w:t>*</w:t>
      </w:r>
      <w:r w:rsidR="00600535" w:rsidRPr="00230275">
        <w:rPr>
          <w:noProof w:val="0"/>
          <w:lang w:val="it-IT"/>
        </w:rPr>
        <w:t>,</w:t>
      </w:r>
      <w:r w:rsidRPr="00230275">
        <w:rPr>
          <w:noProof w:val="0"/>
          <w:lang w:val="it-IT"/>
        </w:rPr>
        <w:t xml:space="preserve"> </w:t>
      </w:r>
      <w:r w:rsidR="002A1D1E" w:rsidRPr="00230275">
        <w:rPr>
          <w:noProof w:val="0"/>
          <w:lang w:val="it-IT"/>
        </w:rPr>
        <w:t>Elena Spennati</w:t>
      </w:r>
      <w:r w:rsidR="006211EF" w:rsidRPr="00230275">
        <w:rPr>
          <w:noProof w:val="0"/>
          <w:lang w:val="it-IT"/>
        </w:rPr>
        <w:t xml:space="preserve">, </w:t>
      </w:r>
      <w:r w:rsidRPr="00230275">
        <w:rPr>
          <w:noProof w:val="0"/>
          <w:lang w:val="it-IT"/>
        </w:rPr>
        <w:t>Attilio Converti</w:t>
      </w:r>
      <w:r w:rsidR="002A1D1E" w:rsidRPr="00230275">
        <w:rPr>
          <w:noProof w:val="0"/>
          <w:lang w:val="it-IT"/>
        </w:rPr>
        <w:t>, Guido Busca</w:t>
      </w:r>
    </w:p>
    <w:p w14:paraId="2A08B75A" w14:textId="77777777" w:rsidR="00E978D0" w:rsidRPr="00230275" w:rsidRDefault="00E978D0" w:rsidP="00E978D0">
      <w:pPr>
        <w:pStyle w:val="CETAddress"/>
        <w:rPr>
          <w:noProof w:val="0"/>
          <w:lang w:val="en-US"/>
        </w:rPr>
      </w:pPr>
      <w:r w:rsidRPr="00230275">
        <w:rPr>
          <w:noProof w:val="0"/>
          <w:vertAlign w:val="superscript"/>
          <w:lang w:val="en-US"/>
        </w:rPr>
        <w:t>a</w:t>
      </w:r>
      <w:r w:rsidR="00C77B83" w:rsidRPr="00230275">
        <w:rPr>
          <w:noProof w:val="0"/>
          <w:lang w:val="en-US"/>
        </w:rPr>
        <w:t xml:space="preserve"> Department of Civil, Chemical and Environmental Engineering (DICCA), University of Genoa, via Opera Pia 15,16145 Genoa, Italy</w:t>
      </w:r>
    </w:p>
    <w:p w14:paraId="2B6EB3A4" w14:textId="77777777" w:rsidR="00E978D0" w:rsidRPr="00230275" w:rsidRDefault="002A1D1E" w:rsidP="00E978D0">
      <w:pPr>
        <w:pStyle w:val="CETemail"/>
        <w:rPr>
          <w:noProof w:val="0"/>
          <w:lang w:val="en-US"/>
        </w:rPr>
      </w:pPr>
      <w:r w:rsidRPr="00230275">
        <w:rPr>
          <w:noProof w:val="0"/>
          <w:lang w:val="en-US"/>
        </w:rPr>
        <w:t>alessandro</w:t>
      </w:r>
      <w:r w:rsidR="00C77B83" w:rsidRPr="00230275">
        <w:rPr>
          <w:noProof w:val="0"/>
          <w:lang w:val="en-US"/>
        </w:rPr>
        <w:t>.</w:t>
      </w:r>
      <w:r w:rsidRPr="00230275">
        <w:rPr>
          <w:noProof w:val="0"/>
          <w:lang w:val="en-US"/>
        </w:rPr>
        <w:t>casazza</w:t>
      </w:r>
      <w:r w:rsidR="00C77B83" w:rsidRPr="00230275">
        <w:rPr>
          <w:noProof w:val="0"/>
          <w:lang w:val="en-US"/>
        </w:rPr>
        <w:t xml:space="preserve">@unige.it </w:t>
      </w:r>
    </w:p>
    <w:p w14:paraId="50EE5A0B" w14:textId="3B861DA2" w:rsidR="002A1D1E" w:rsidRPr="00044B9B" w:rsidRDefault="002A1D1E" w:rsidP="002A1D1E">
      <w:pPr>
        <w:pStyle w:val="CETBodytext"/>
      </w:pPr>
      <w:r w:rsidRPr="00044B9B">
        <w:rPr>
          <w:rStyle w:val="CETBodytextCarattere"/>
        </w:rPr>
        <w:t xml:space="preserve">The use of plastics in the last decades significantly increased, thus plastic recycling processes are needed. Generally, </w:t>
      </w:r>
      <w:r w:rsidR="00336048" w:rsidRPr="00044B9B">
        <w:rPr>
          <w:rStyle w:val="CETBodytextCarattere"/>
        </w:rPr>
        <w:t xml:space="preserve">mixtures of </w:t>
      </w:r>
      <w:r w:rsidRPr="00044B9B">
        <w:rPr>
          <w:rStyle w:val="CETBodytextCarattere"/>
        </w:rPr>
        <w:t>plastic material</w:t>
      </w:r>
      <w:r w:rsidR="00336048" w:rsidRPr="00044B9B">
        <w:rPr>
          <w:rStyle w:val="CETBodytextCarattere"/>
        </w:rPr>
        <w:t>s</w:t>
      </w:r>
      <w:r w:rsidRPr="00044B9B">
        <w:rPr>
          <w:rStyle w:val="CETBodytextCarattere"/>
        </w:rPr>
        <w:t xml:space="preserve"> </w:t>
      </w:r>
      <w:r w:rsidR="00336048" w:rsidRPr="00044B9B">
        <w:rPr>
          <w:rStyle w:val="CETBodytextCarattere"/>
        </w:rPr>
        <w:t xml:space="preserve">are </w:t>
      </w:r>
      <w:r w:rsidRPr="00044B9B">
        <w:rPr>
          <w:rStyle w:val="CETBodytextCarattere"/>
        </w:rPr>
        <w:t xml:space="preserve">disposed </w:t>
      </w:r>
      <w:r w:rsidR="00336048" w:rsidRPr="00044B9B">
        <w:rPr>
          <w:rStyle w:val="CETBodytextCarattere"/>
        </w:rPr>
        <w:t>together,</w:t>
      </w:r>
      <w:r w:rsidRPr="00044B9B">
        <w:rPr>
          <w:rStyle w:val="CETBodytextCarattere"/>
        </w:rPr>
        <w:t xml:space="preserve"> </w:t>
      </w:r>
      <w:r w:rsidR="00336048" w:rsidRPr="00044B9B">
        <w:rPr>
          <w:rStyle w:val="CETBodytextCarattere"/>
        </w:rPr>
        <w:t xml:space="preserve">hence </w:t>
      </w:r>
      <w:r w:rsidRPr="00044B9B">
        <w:rPr>
          <w:rStyle w:val="CETBodytextCarattere"/>
        </w:rPr>
        <w:t xml:space="preserve">the recovery of the polymeric material is difficult and expensive. Plastic residues could be valorized by thermal degradation processes </w:t>
      </w:r>
      <w:r w:rsidR="00336048" w:rsidRPr="00044B9B">
        <w:rPr>
          <w:rStyle w:val="CETBodytextCarattere"/>
        </w:rPr>
        <w:t>aimed at</w:t>
      </w:r>
      <w:r w:rsidRPr="00044B9B">
        <w:rPr>
          <w:rStyle w:val="CETBodytextCarattere"/>
        </w:rPr>
        <w:t xml:space="preserve"> </w:t>
      </w:r>
      <w:r w:rsidR="00336048" w:rsidRPr="00044B9B">
        <w:rPr>
          <w:rStyle w:val="CETBodytextCarattere"/>
        </w:rPr>
        <w:t xml:space="preserve">recovering </w:t>
      </w:r>
      <w:r w:rsidRPr="00044B9B">
        <w:rPr>
          <w:rStyle w:val="CETBodytextCarattere"/>
        </w:rPr>
        <w:t xml:space="preserve">energy and/or valuable compounds for chemical industry. The main technologies </w:t>
      </w:r>
      <w:r w:rsidR="00336048" w:rsidRPr="00044B9B">
        <w:rPr>
          <w:rStyle w:val="CETBodytextCarattere"/>
        </w:rPr>
        <w:t xml:space="preserve">used for this purpose </w:t>
      </w:r>
      <w:r w:rsidRPr="00044B9B">
        <w:rPr>
          <w:rStyle w:val="CETBodytextCarattere"/>
        </w:rPr>
        <w:t>are gasification and pyrolysis. The latter is a thermal degradation process that occurs in</w:t>
      </w:r>
      <w:r w:rsidR="00D06E9D" w:rsidRPr="00044B9B">
        <w:rPr>
          <w:rStyle w:val="CETBodytextCarattere"/>
        </w:rPr>
        <w:t xml:space="preserve"> the</w:t>
      </w:r>
      <w:r w:rsidRPr="00044B9B">
        <w:rPr>
          <w:rStyle w:val="CETBodytextCarattere"/>
        </w:rPr>
        <w:t xml:space="preserve"> absence of oxygen at moderate temperature (300-700°C), that could be used to recover the thermal power of biomasses. The reaction products are bio-oil, biogas and biochar. The aim of this work was to </w:t>
      </w:r>
      <w:r w:rsidR="00D06E9D" w:rsidRPr="00044B9B">
        <w:rPr>
          <w:rStyle w:val="CETBodytextCarattere"/>
        </w:rPr>
        <w:t xml:space="preserve">employ </w:t>
      </w:r>
      <w:r w:rsidRPr="00044B9B">
        <w:rPr>
          <w:rStyle w:val="CETBodytextCarattere"/>
        </w:rPr>
        <w:t xml:space="preserve">pyrolysis </w:t>
      </w:r>
      <w:r w:rsidR="00D06E9D" w:rsidRPr="00044B9B">
        <w:rPr>
          <w:rStyle w:val="CETBodytextCarattere"/>
        </w:rPr>
        <w:t xml:space="preserve">to energetically exploit </w:t>
      </w:r>
      <w:r w:rsidRPr="00044B9B">
        <w:rPr>
          <w:rStyle w:val="CETBodytextCarattere"/>
        </w:rPr>
        <w:t>different pure</w:t>
      </w:r>
      <w:r w:rsidR="00283592" w:rsidRPr="00044B9B">
        <w:rPr>
          <w:rStyle w:val="CETBodytextCarattere"/>
        </w:rPr>
        <w:t xml:space="preserve"> </w:t>
      </w:r>
      <w:r w:rsidRPr="00044B9B">
        <w:rPr>
          <w:rStyle w:val="CETBodytextCarattere"/>
        </w:rPr>
        <w:t>plastic material</w:t>
      </w:r>
      <w:r w:rsidR="00D06E9D" w:rsidRPr="00044B9B">
        <w:rPr>
          <w:rStyle w:val="CETBodytextCarattere"/>
        </w:rPr>
        <w:t>s, namely</w:t>
      </w:r>
      <w:r w:rsidRPr="00044B9B">
        <w:rPr>
          <w:rStyle w:val="CETBodytextCarattere"/>
        </w:rPr>
        <w:t xml:space="preserve"> </w:t>
      </w:r>
      <w:r w:rsidR="00BE0EBC">
        <w:rPr>
          <w:rStyle w:val="CETBodytextCarattere"/>
        </w:rPr>
        <w:t>p</w:t>
      </w:r>
      <w:r w:rsidR="00BE0EBC" w:rsidRPr="00044B9B">
        <w:rPr>
          <w:rStyle w:val="CETBodytextCarattere"/>
        </w:rPr>
        <w:t xml:space="preserve">olyethylene </w:t>
      </w:r>
      <w:r w:rsidRPr="00044B9B">
        <w:rPr>
          <w:rStyle w:val="CETBodytextCarattere"/>
        </w:rPr>
        <w:t xml:space="preserve">terephthalate (PET), </w:t>
      </w:r>
      <w:r w:rsidR="00BE0EBC">
        <w:rPr>
          <w:rStyle w:val="CETBodytextCarattere"/>
        </w:rPr>
        <w:t>p</w:t>
      </w:r>
      <w:r w:rsidR="00BE0EBC" w:rsidRPr="00044B9B">
        <w:rPr>
          <w:rStyle w:val="CETBodytextCarattere"/>
        </w:rPr>
        <w:t xml:space="preserve">olyamide </w:t>
      </w:r>
      <w:r w:rsidRPr="00044B9B">
        <w:rPr>
          <w:rStyle w:val="CETBodytextCarattere"/>
        </w:rPr>
        <w:t>(Nylon</w:t>
      </w:r>
      <w:r w:rsidR="00A7612B" w:rsidRPr="00044B9B">
        <w:rPr>
          <w:rStyle w:val="CETBodytextCarattere"/>
        </w:rPr>
        <w:t>-</w:t>
      </w:r>
      <w:r w:rsidRPr="00044B9B">
        <w:rPr>
          <w:rStyle w:val="CETBodytextCarattere"/>
        </w:rPr>
        <w:t xml:space="preserve">6), </w:t>
      </w:r>
      <w:r w:rsidR="00BE0EBC">
        <w:rPr>
          <w:rStyle w:val="CETBodytextCarattere"/>
        </w:rPr>
        <w:t>p</w:t>
      </w:r>
      <w:r w:rsidR="00BE0EBC" w:rsidRPr="00044B9B">
        <w:rPr>
          <w:rStyle w:val="CETBodytextCarattere"/>
        </w:rPr>
        <w:t xml:space="preserve">olyvinyl </w:t>
      </w:r>
      <w:r w:rsidRPr="00044B9B">
        <w:rPr>
          <w:rStyle w:val="CETBodytextCarattere"/>
        </w:rPr>
        <w:t>chloride (PVC</w:t>
      </w:r>
      <w:r w:rsidR="00BE0EBC" w:rsidRPr="00044B9B">
        <w:rPr>
          <w:rStyle w:val="CETBodytextCarattere"/>
        </w:rPr>
        <w:t>)</w:t>
      </w:r>
      <w:r w:rsidR="00BE0EBC">
        <w:rPr>
          <w:rStyle w:val="CETBodytextCarattere"/>
        </w:rPr>
        <w:t xml:space="preserve"> and</w:t>
      </w:r>
      <w:r w:rsidR="00BE0EBC" w:rsidRPr="00044B9B">
        <w:rPr>
          <w:rStyle w:val="CETBodytextCarattere"/>
        </w:rPr>
        <w:t xml:space="preserve"> </w:t>
      </w:r>
      <w:r w:rsidRPr="00044B9B">
        <w:rPr>
          <w:rStyle w:val="CETBodytextCarattere"/>
        </w:rPr>
        <w:t>polyurethane (PU)</w:t>
      </w:r>
      <w:r w:rsidR="00BE0EBC">
        <w:rPr>
          <w:rStyle w:val="CETBodytextCarattere"/>
        </w:rPr>
        <w:t>,</w:t>
      </w:r>
      <w:r w:rsidRPr="00044B9B">
        <w:rPr>
          <w:rStyle w:val="CETBodytextCarattere"/>
        </w:rPr>
        <w:t xml:space="preserve"> </w:t>
      </w:r>
      <w:r w:rsidR="00BE0EBC">
        <w:rPr>
          <w:rStyle w:val="CETBodytextCarattere"/>
        </w:rPr>
        <w:t>as well as a complex one such as</w:t>
      </w:r>
      <w:r w:rsidRPr="00044B9B">
        <w:rPr>
          <w:rStyle w:val="CETBodytextCarattere"/>
        </w:rPr>
        <w:t xml:space="preserve"> </w:t>
      </w:r>
      <w:r w:rsidR="00BE0EBC">
        <w:rPr>
          <w:rStyle w:val="CETBodytextCarattere"/>
        </w:rPr>
        <w:t>e</w:t>
      </w:r>
      <w:r w:rsidR="00BE0EBC" w:rsidRPr="00044B9B">
        <w:rPr>
          <w:rStyle w:val="CETBodytextCarattere"/>
        </w:rPr>
        <w:t xml:space="preserve">nd </w:t>
      </w:r>
      <w:r w:rsidRPr="00044B9B">
        <w:rPr>
          <w:rStyle w:val="CETBodytextCarattere"/>
        </w:rPr>
        <w:t xml:space="preserve">of </w:t>
      </w:r>
      <w:r w:rsidR="00BE0EBC">
        <w:rPr>
          <w:rStyle w:val="CETBodytextCarattere"/>
        </w:rPr>
        <w:t>l</w:t>
      </w:r>
      <w:r w:rsidR="00BE0EBC" w:rsidRPr="00044B9B">
        <w:rPr>
          <w:rStyle w:val="CETBodytextCarattere"/>
        </w:rPr>
        <w:t xml:space="preserve">ife </w:t>
      </w:r>
      <w:proofErr w:type="spellStart"/>
      <w:r w:rsidR="00BE0EBC">
        <w:rPr>
          <w:rStyle w:val="CETBodytextCarattere"/>
        </w:rPr>
        <w:t>t</w:t>
      </w:r>
      <w:r w:rsidR="00BE0EBC" w:rsidRPr="00044B9B">
        <w:rPr>
          <w:rStyle w:val="CETBodytextCarattere"/>
        </w:rPr>
        <w:t>yres</w:t>
      </w:r>
      <w:proofErr w:type="spellEnd"/>
      <w:r w:rsidR="00BE0EBC" w:rsidRPr="00044B9B">
        <w:rPr>
          <w:rStyle w:val="CETBodytextCarattere"/>
        </w:rPr>
        <w:t xml:space="preserve"> </w:t>
      </w:r>
      <w:r w:rsidRPr="00044B9B">
        <w:rPr>
          <w:rStyle w:val="CETBodytextCarattere"/>
        </w:rPr>
        <w:t xml:space="preserve">(ELT). The reaction was performed at 400 °C for 90 min. The pyrolysis system was composed by a tubular quartz reactor heated with a tubular vertical oven. An integrated condenser was used to separate the liquid reaction products, while the incondensable gases were collected in a latex balloon. The reaction products were quantified gravimetrically and, in order to evaluate the functional groups, characterized by FTIR analysis. The reaction gases </w:t>
      </w:r>
      <w:r w:rsidR="00A7612B" w:rsidRPr="00044B9B">
        <w:rPr>
          <w:rStyle w:val="CETBodytextCarattere"/>
        </w:rPr>
        <w:t xml:space="preserve">were </w:t>
      </w:r>
      <w:r w:rsidRPr="00044B9B">
        <w:rPr>
          <w:rStyle w:val="CETBodytextCarattere"/>
        </w:rPr>
        <w:t xml:space="preserve">also analyzed by GC-MS to </w:t>
      </w:r>
      <w:r w:rsidR="00D06E9D" w:rsidRPr="00044B9B">
        <w:rPr>
          <w:rStyle w:val="CETBodytextCarattere"/>
        </w:rPr>
        <w:t xml:space="preserve">determine </w:t>
      </w:r>
      <w:r w:rsidRPr="00044B9B">
        <w:rPr>
          <w:rStyle w:val="CETBodytextCarattere"/>
        </w:rPr>
        <w:t>the composition of th</w:t>
      </w:r>
      <w:r w:rsidR="00A7612B" w:rsidRPr="00044B9B">
        <w:rPr>
          <w:rStyle w:val="CETBodytextCarattere"/>
        </w:rPr>
        <w:t>is</w:t>
      </w:r>
      <w:r w:rsidRPr="00044B9B">
        <w:rPr>
          <w:rStyle w:val="CETBodytextCarattere"/>
        </w:rPr>
        <w:t xml:space="preserve"> fraction. Results obtained from the different plastics were significantly different in terms of distribution and composition. </w:t>
      </w:r>
      <w:proofErr w:type="gramStart"/>
      <w:r w:rsidRPr="00044B9B">
        <w:rPr>
          <w:rStyle w:val="CETBodytextCarattere"/>
        </w:rPr>
        <w:t>In particular, PET</w:t>
      </w:r>
      <w:proofErr w:type="gramEnd"/>
      <w:r w:rsidRPr="00044B9B">
        <w:rPr>
          <w:rStyle w:val="CETBodytextCarattere"/>
        </w:rPr>
        <w:t xml:space="preserve"> produced a biogas </w:t>
      </w:r>
      <w:r w:rsidR="00D06E9D" w:rsidRPr="00044B9B">
        <w:rPr>
          <w:rStyle w:val="CETBodytextCarattere"/>
        </w:rPr>
        <w:t>consisting mainly of</w:t>
      </w:r>
      <w:r w:rsidRPr="00044B9B">
        <w:rPr>
          <w:rStyle w:val="CETBodytextCarattere"/>
        </w:rPr>
        <w:t xml:space="preserve"> acetaldehyde and hydrocarbons, while the liquid fraction was composed </w:t>
      </w:r>
      <w:r w:rsidR="00D06E9D" w:rsidRPr="00044B9B">
        <w:rPr>
          <w:rStyle w:val="CETBodytextCarattere"/>
        </w:rPr>
        <w:t xml:space="preserve">of </w:t>
      </w:r>
      <w:r w:rsidRPr="00044B9B">
        <w:rPr>
          <w:rStyle w:val="CETBodytextCarattere"/>
        </w:rPr>
        <w:t>benzoic and terephthalic acids.  Nylon</w:t>
      </w:r>
      <w:r w:rsidR="00A7612B" w:rsidRPr="00044B9B">
        <w:rPr>
          <w:rStyle w:val="CETBodytextCarattere"/>
        </w:rPr>
        <w:t>-</w:t>
      </w:r>
      <w:r w:rsidRPr="00044B9B">
        <w:rPr>
          <w:rStyle w:val="CETBodytextCarattere"/>
        </w:rPr>
        <w:t>6 degraded producing a large amount of reaction gas (65</w:t>
      </w:r>
      <w:r w:rsidR="00361282">
        <w:rPr>
          <w:rStyle w:val="CETBodytextCarattere"/>
        </w:rPr>
        <w:t xml:space="preserve"> </w:t>
      </w:r>
      <w:r w:rsidR="00361282" w:rsidRPr="00230275">
        <w:rPr>
          <w:rFonts w:cs="Arial"/>
          <w:szCs w:val="18"/>
        </w:rPr>
        <w:t>g/100g</w:t>
      </w:r>
      <w:r w:rsidRPr="00044B9B">
        <w:rPr>
          <w:rStyle w:val="CETBodytextCarattere"/>
        </w:rPr>
        <w:t xml:space="preserve">) composed </w:t>
      </w:r>
      <w:r w:rsidR="00D06E9D" w:rsidRPr="00044B9B">
        <w:rPr>
          <w:rStyle w:val="CETBodytextCarattere"/>
        </w:rPr>
        <w:t xml:space="preserve">of </w:t>
      </w:r>
      <w:r w:rsidRPr="00044B9B">
        <w:rPr>
          <w:rStyle w:val="CETBodytextCarattere"/>
        </w:rPr>
        <w:t>ammonia and light hydrocarbons</w:t>
      </w:r>
      <w:r w:rsidR="00D06E9D" w:rsidRPr="00044B9B">
        <w:rPr>
          <w:rStyle w:val="CETBodytextCarattere"/>
        </w:rPr>
        <w:t>,</w:t>
      </w:r>
      <w:r w:rsidRPr="00044B9B">
        <w:rPr>
          <w:rStyle w:val="CETBodytextCarattere"/>
        </w:rPr>
        <w:t xml:space="preserve"> while the reaction liquid was mainly caprolactam. Around 53 </w:t>
      </w:r>
      <w:r w:rsidR="00361282" w:rsidRPr="00230275">
        <w:rPr>
          <w:rFonts w:cs="Arial"/>
          <w:szCs w:val="18"/>
        </w:rPr>
        <w:t>g/100g</w:t>
      </w:r>
      <w:r w:rsidRPr="00044B9B">
        <w:rPr>
          <w:rStyle w:val="CETBodytextCarattere"/>
        </w:rPr>
        <w:t xml:space="preserve"> of PVC reaction </w:t>
      </w:r>
      <w:r w:rsidRPr="00240903">
        <w:rPr>
          <w:rStyle w:val="CETBodytextCarattere"/>
        </w:rPr>
        <w:t xml:space="preserve">products </w:t>
      </w:r>
      <w:r w:rsidR="004D7F68" w:rsidRPr="00240903">
        <w:rPr>
          <w:rStyle w:val="CETBodytextCarattere"/>
        </w:rPr>
        <w:t>were gaseous</w:t>
      </w:r>
      <w:r w:rsidRPr="00240903">
        <w:rPr>
          <w:rStyle w:val="CETBodytextCarattere"/>
        </w:rPr>
        <w:t>, mainly hydrochloric acid, followed by toluene and benzene</w:t>
      </w:r>
      <w:r w:rsidR="002132AE" w:rsidRPr="00240903">
        <w:rPr>
          <w:rStyle w:val="CETBodytextCarattere"/>
        </w:rPr>
        <w:t xml:space="preserve"> at high concentrations</w:t>
      </w:r>
      <w:r w:rsidR="004D7F68" w:rsidRPr="00240903">
        <w:rPr>
          <w:rStyle w:val="CETBodytextCarattere"/>
        </w:rPr>
        <w:t xml:space="preserve">. </w:t>
      </w:r>
      <w:r w:rsidR="00E14BD2" w:rsidRPr="00240903">
        <w:rPr>
          <w:rStyle w:val="CETBodytextCarattere"/>
        </w:rPr>
        <w:t>The degradation of PU produced a reaction gas, mainly composed by formic and acetic aldehydes</w:t>
      </w:r>
      <w:r w:rsidRPr="00240903">
        <w:rPr>
          <w:rStyle w:val="CETBodytextCarattere"/>
        </w:rPr>
        <w:t>. ELT pyrolysis</w:t>
      </w:r>
      <w:r w:rsidR="002132AE" w:rsidRPr="00240903">
        <w:rPr>
          <w:rStyle w:val="CETBodytextCarattere"/>
        </w:rPr>
        <w:t xml:space="preserve"> was responsible for </w:t>
      </w:r>
      <w:r w:rsidRPr="00240903">
        <w:rPr>
          <w:rStyle w:val="CETBodytextCarattere"/>
        </w:rPr>
        <w:t>the production of high amounts of solid residue, while reaction gas and liquid seemed</w:t>
      </w:r>
      <w:r w:rsidRPr="00044B9B">
        <w:rPr>
          <w:rStyle w:val="CETBodytextCarattere"/>
        </w:rPr>
        <w:t xml:space="preserve"> to be mainly constituted by hydrocarbons. In general, the study of pure plastic pyrolysis could </w:t>
      </w:r>
      <w:r w:rsidR="002132AE" w:rsidRPr="00044B9B">
        <w:rPr>
          <w:rStyle w:val="CETBodytextCarattere"/>
        </w:rPr>
        <w:t>help to</w:t>
      </w:r>
      <w:r w:rsidRPr="00044B9B">
        <w:rPr>
          <w:rStyle w:val="CETBodytextCarattere"/>
        </w:rPr>
        <w:t xml:space="preserve"> better understand the thermal decomposition of complex plastic residues such a</w:t>
      </w:r>
      <w:r w:rsidR="00A7612B" w:rsidRPr="00044B9B">
        <w:rPr>
          <w:rStyle w:val="CETBodytextCarattere"/>
        </w:rPr>
        <w:t xml:space="preserve">s </w:t>
      </w:r>
      <w:r w:rsidRPr="00044B9B">
        <w:rPr>
          <w:rStyle w:val="CETBodytextCarattere"/>
        </w:rPr>
        <w:t>ELT</w:t>
      </w:r>
      <w:r w:rsidRPr="00044B9B">
        <w:t>.</w:t>
      </w:r>
    </w:p>
    <w:p w14:paraId="3F045A5F" w14:textId="77777777" w:rsidR="00600535" w:rsidRPr="006A42F5" w:rsidRDefault="00600535" w:rsidP="006A42F5">
      <w:pPr>
        <w:pStyle w:val="CETHeading1"/>
      </w:pPr>
      <w:r w:rsidRPr="006A42F5">
        <w:t>Introduction</w:t>
      </w:r>
    </w:p>
    <w:p w14:paraId="250BD251" w14:textId="285DFBD4" w:rsidR="008933FC" w:rsidRPr="00230275" w:rsidRDefault="00A71268" w:rsidP="00EB198A">
      <w:pPr>
        <w:pStyle w:val="CETBodytext"/>
      </w:pPr>
      <w:r w:rsidRPr="00230275">
        <w:t xml:space="preserve">In the last decades the </w:t>
      </w:r>
      <w:r w:rsidR="00BF166A" w:rsidRPr="00230275">
        <w:t>plastic consumption is continuously increasing, because it plays a fundamental role in many products in various sector</w:t>
      </w:r>
      <w:r w:rsidR="002132AE" w:rsidRPr="00230275">
        <w:t>s such as</w:t>
      </w:r>
      <w:r w:rsidR="00BF166A" w:rsidRPr="00230275">
        <w:t xml:space="preserve"> packaging, healthcare, construction</w:t>
      </w:r>
      <w:r w:rsidR="00240903">
        <w:t>,</w:t>
      </w:r>
      <w:r w:rsidR="00BF166A" w:rsidRPr="00230275">
        <w:t xml:space="preserve"> etc. </w:t>
      </w:r>
      <w:r w:rsidR="00111068" w:rsidRPr="00230275">
        <w:t>On the market there are several plastic material</w:t>
      </w:r>
      <w:r w:rsidR="008933FC" w:rsidRPr="00230275">
        <w:t>s</w:t>
      </w:r>
      <w:r w:rsidR="00111068" w:rsidRPr="00230275">
        <w:t xml:space="preserve">, with different properties and applications </w:t>
      </w:r>
      <w:r w:rsidR="002132AE" w:rsidRPr="00230275">
        <w:t>depending on</w:t>
      </w:r>
      <w:r w:rsidR="00111068" w:rsidRPr="00230275">
        <w:t xml:space="preserve"> </w:t>
      </w:r>
      <w:r w:rsidR="008933FC" w:rsidRPr="00230275">
        <w:t>their</w:t>
      </w:r>
      <w:r w:rsidR="00111068" w:rsidRPr="00230275">
        <w:t xml:space="preserve"> use </w:t>
      </w:r>
      <w:r w:rsidR="00111068" w:rsidRPr="00230275">
        <w:fldChar w:fldCharType="begin" w:fldLock="1"/>
      </w:r>
      <w:r w:rsidR="00FE5218" w:rsidRPr="00230275">
        <w:instrText>ADDIN CSL_CITATION {"citationItems":[{"id":"ITEM-1","itemData":{"author":[{"dropping-particle":"","family":"Williams","given":"Elizabeth A","non-dropping-particle":"","parse-names":false,"suffix":""},{"dropping-particle":"","family":"Williams","given":"Paul T","non-dropping-particle":"","parse-names":false,"suffix":""}],"id":"ITEM-1","issued":{"date-parts":[["1997"]]},"page":"347-363","title":"Analysis of products derived from the fast pyrolysis of plastic waste","type":"article-journal","volume":"41"},"uris":["http://www.mendeley.com/documents/?uuid=2012f2f8-b4ba-4075-9dfc-3944b6a282db"]}],"mendeley":{"formattedCitation":"(Williams and Williams, 1997)","manualFormatting":"(Williams et al., 1997)","plainTextFormattedCitation":"(Williams and Williams, 1997)","previouslyFormattedCitation":"(Williams and Williams, 1997)"},"properties":{"noteIndex":0},"schema":"https://github.com/citation-style-language/schema/raw/master/csl-citation.json"}</w:instrText>
      </w:r>
      <w:r w:rsidR="00111068" w:rsidRPr="00230275">
        <w:fldChar w:fldCharType="separate"/>
      </w:r>
      <w:r w:rsidR="00111068" w:rsidRPr="00230275">
        <w:t>(Williams et al., 1997)</w:t>
      </w:r>
      <w:r w:rsidR="00111068" w:rsidRPr="00230275">
        <w:fldChar w:fldCharType="end"/>
      </w:r>
      <w:r w:rsidR="00FE5218" w:rsidRPr="00230275">
        <w:t>. Polyethylene terephthalate (PET),</w:t>
      </w:r>
      <w:r w:rsidR="001C670C" w:rsidRPr="00230275">
        <w:t xml:space="preserve"> which</w:t>
      </w:r>
      <w:r w:rsidR="00FE5218" w:rsidRPr="00230275">
        <w:t xml:space="preserve"> is the standard plastic with the highest consumption, is used especially in </w:t>
      </w:r>
      <w:r w:rsidR="001C670C" w:rsidRPr="00230275">
        <w:t xml:space="preserve">the </w:t>
      </w:r>
      <w:r w:rsidR="00FE5218" w:rsidRPr="00230275">
        <w:t xml:space="preserve">packing sector </w:t>
      </w:r>
      <w:r w:rsidR="00FE5218" w:rsidRPr="00230275">
        <w:fldChar w:fldCharType="begin" w:fldLock="1"/>
      </w:r>
      <w:r w:rsidR="00C95C70" w:rsidRPr="00230275">
        <w:instrText>ADDIN CSL_CITATION {"citationItems":[{"id":"ITEM-1","itemData":{"DOI":"10.1016/j.cej.2010.11.010","ISSN":"1385-8947","author":[{"dropping-particle":"","family":"Grause","given":"Guido","non-dropping-particle":"","parse-names":false,"suffix":""},{"dropping-particle":"","family":"Handa","given":"Tomohiko","non-dropping-particle":"","parse-names":false,"suffix":""},{"dropping-particle":"","family":"Kameda","given":"Tomohito","non-dropping-particle":"","parse-names":false,"suffix":""},{"dropping-particle":"","family":"Mizoguchi","given":"Tadaaki","non-dropping-particle":"","parse-names":false,"suffix":""},{"dropping-particle":"","family":"Yoshioka","given":"Toshiaki","non-dropping-particle":"","parse-names":false,"suffix":""}],"container-title":"Chemical Engineering Journal","id":"ITEM-1","issue":"2","issued":{"date-parts":[["2011"]]},"page":"523-528","publisher":"Elsevier B.V.","title":"Effect of temperature management on the hydrolytic degradation of PET in a calcium oxide filled tube reactor Terephthalic acid","type":"article-journal","volume":"166"},"uris":["http://www.mendeley.com/documents/?uuid=76d9a405-86bf-40ef-9b43-e4a3c1bc1c2d"]}],"mendeley":{"formattedCitation":"(Grause &lt;i&gt;et al.&lt;/i&gt;, 2011)","plainTextFormattedCitation":"(Grause et al., 2011)","previouslyFormattedCitation":"(Grause &lt;i&gt;et al.&lt;/i&gt;, 2011)"},"properties":{"noteIndex":0},"schema":"https://github.com/citation-style-language/schema/raw/master/csl-citation.json"}</w:instrText>
      </w:r>
      <w:r w:rsidR="00FE5218" w:rsidRPr="00230275">
        <w:fldChar w:fldCharType="separate"/>
      </w:r>
      <w:r w:rsidR="00FE5218" w:rsidRPr="00230275">
        <w:t>(Grause et al., 2011)</w:t>
      </w:r>
      <w:r w:rsidR="00FE5218" w:rsidRPr="00230275">
        <w:fldChar w:fldCharType="end"/>
      </w:r>
      <w:r w:rsidR="00FE5218" w:rsidRPr="00230275">
        <w:t xml:space="preserve">. Nylon-6 </w:t>
      </w:r>
      <w:r w:rsidR="0096031F" w:rsidRPr="00230275">
        <w:t>is generally used for products that need high resistance, like wheels, connections and bearing</w:t>
      </w:r>
      <w:r w:rsidR="00C95C70" w:rsidRPr="00230275">
        <w:t xml:space="preserve"> </w:t>
      </w:r>
      <w:r w:rsidR="00C95C70" w:rsidRPr="00230275">
        <w:fldChar w:fldCharType="begin" w:fldLock="1"/>
      </w:r>
      <w:r w:rsidR="00C95C70" w:rsidRPr="00230275">
        <w:instrText>ADDIN CSL_CITATION {"citationItems":[{"id":"ITEM-1","itemData":{"DOI":"10.1016/S0032-3861(96)00450-8","ISSN":"00323861","abstract":"Nylon 6-polyethersulfone (PES)-nylon 6 block copolymers were synthesized by anionic polymerization of ϵ-caprolactam using chlorine-terminated PES, a polymeric activator. The structure and properties of these block polymers were examined using infra-red, nuclear magnetic resonance, differential scanning calorimetry, transmission electron microscopy, and thermogravimetric analysis. The compatibilizing effects of this block copolymer on PES/nylon 6 blends were investigated by examining thermal properties, morphology and dynamic mechanical characteristics. When the block copolymer was added, the size of dispersed phase in the blend decreased dramatically, and the glass transition temperatures of the constituent polymers converge. The improvement of dynamic tensile modulus and thermal resistance due to the dispersed PES phase were enhanced by the added block copolymer.","author":[{"dropping-particle":"","family":"Ahn","given":"Tae Oan","non-dropping-particle":"","parse-names":false,"suffix":""},{"dropping-particle":"","family":"Hong","given":"Sung Chul","non-dropping-particle":"","parse-names":false,"suffix":""},{"dropping-particle":"","family":"Jeong","given":"Han Mo","non-dropping-particle":"","parse-names":false,"suffix":""},{"dropping-particle":"","family":"Kim","given":"Jung Ho","non-dropping-particle":"","parse-names":false,"suffix":""}],"container-title":"Polymer","id":"ITEM-1","issue":"1","issued":{"date-parts":[["1997"]]},"page":"207-215","title":"Nylon 6-polyethersulfone-nylon 6 block copolymer: synthesis and application as compatibilizer for polyethersulfone/nylon 6 blend","type":"article-journal","volume":"38"},"uris":["http://www.mendeley.com/documents/?uuid=bb3aa7f8-2af2-401d-a618-d34525e71465"]}],"mendeley":{"formattedCitation":"(Ahn &lt;i&gt;et al.&lt;/i&gt;, 1997)","plainTextFormattedCitation":"(Ahn et al., 1997)","previouslyFormattedCitation":"(Ahn &lt;i&gt;et al.&lt;/i&gt;, 1997)"},"properties":{"noteIndex":0},"schema":"https://github.com/citation-style-language/schema/raw/master/csl-citation.json"}</w:instrText>
      </w:r>
      <w:r w:rsidR="00C95C70" w:rsidRPr="00230275">
        <w:fldChar w:fldCharType="separate"/>
      </w:r>
      <w:r w:rsidR="00C95C70" w:rsidRPr="00230275">
        <w:t>(Ahn et al., 1997)</w:t>
      </w:r>
      <w:r w:rsidR="00C95C70" w:rsidRPr="00230275">
        <w:fldChar w:fldCharType="end"/>
      </w:r>
      <w:r w:rsidR="0096031F" w:rsidRPr="00230275">
        <w:t>. Polyvinylchloride (PVC) is a polymer with high chemical resistance</w:t>
      </w:r>
      <w:r w:rsidR="001C670C" w:rsidRPr="00230275">
        <w:t xml:space="preserve"> that</w:t>
      </w:r>
      <w:r w:rsidR="0096031F" w:rsidRPr="00230275">
        <w:t xml:space="preserve"> can be mixed with several additives, allowing the production of plastic material with several chemical and physical </w:t>
      </w:r>
      <w:r w:rsidR="001C670C" w:rsidRPr="00230275">
        <w:t xml:space="preserve">properties </w:t>
      </w:r>
      <w:r w:rsidR="00C95C70" w:rsidRPr="00230275">
        <w:fldChar w:fldCharType="begin" w:fldLock="1"/>
      </w:r>
      <w:r w:rsidR="00C95C70" w:rsidRPr="00230275">
        <w:instrText>ADDIN CSL_CITATION {"citationItems":[{"id":"ITEM-1","itemData":{"DOI":"10.1016/S0376-7388(02)00261-2","ISSN":"03767388","abstract":"Using poly(vinyl pyrrolidone) (PVP 40,000) or poly(ethylene glycol) (PEG) with different molecular weights (PEG 600, PEG 800, PEG 1000) as additives and N,N-dimethylacetamide (DMAc) as a solvent, asymmetric poly(vinyl chloride) (PVC) hollow fiber ultrafiltration membranes were prepared by phase inversion technique from 14 to 20wt.% solids including PVC and additives. The 95/5 DMAc/water and pure water were used as the bore fluid to investigate the effect of gelation bath. The dope solutions, membrane structure, separation performance and mechanical properties of PVC hollow fiber membranes were studied. The membrane structures of PVC hollow fiber membranes including external surface, internal surface and cross-section were characterized by scanning electron microscopy (SEM), and the mechanical properties of PVC hollow fiber membranes were discussed. It was found that using PVP or PEG as additives can increase the membrane porosity and enhance the permeation flux by changing the membrane morphology. Three kinds of proteins having different molecular weights were applied for the measurement of rejection. Based on the experimental results, pure water permeation fluxes of PVC/additives/DMAc hollow fiber membranes might reach 100-200l/(m2hbar) while the molecular weight cut-off of PVC hollow fiber membranes is approximately 50,000. © 2002 Elsevier Science B.V. All rights reserved.","author":[{"dropping-particle":"","family":"Xu","given":"Jian","non-dropping-particle":"","parse-names":false,"suffix":""},{"dropping-particle":"","family":"Xu","given":"Zhen Liang","non-dropping-particle":"","parse-names":false,"suffix":""}],"container-title":"Journal of Membrane Science","id":"ITEM-1","issue":"1-2","issued":{"date-parts":[["2002"]]},"page":"203-212","title":"Poly(vinyl chloride) (PVC) hollow fiber ultrafiltration membranes prepared from PVC/additives/solvent","type":"article-journal","volume":"208"},"uris":["http://www.mendeley.com/documents/?uuid=6137ab8b-4c83-4e0a-91a3-7d797af9d96c"]}],"mendeley":{"formattedCitation":"(Xu and Xu, 2002)","manualFormatting":"(Xu et al., 2002)","plainTextFormattedCitation":"(Xu and Xu, 2002)","previouslyFormattedCitation":"(Xu and Xu, 2002)"},"properties":{"noteIndex":0},"schema":"https://github.com/citation-style-language/schema/raw/master/csl-citation.json"}</w:instrText>
      </w:r>
      <w:r w:rsidR="00C95C70" w:rsidRPr="00230275">
        <w:fldChar w:fldCharType="separate"/>
      </w:r>
      <w:r w:rsidR="00C95C70" w:rsidRPr="00230275">
        <w:t>(Xu et al., 2002)</w:t>
      </w:r>
      <w:r w:rsidR="00C95C70" w:rsidRPr="00230275">
        <w:fldChar w:fldCharType="end"/>
      </w:r>
      <w:r w:rsidR="0096031F" w:rsidRPr="00230275">
        <w:t xml:space="preserve">.  </w:t>
      </w:r>
      <w:r w:rsidR="001C670C">
        <w:t>P</w:t>
      </w:r>
      <w:r w:rsidR="001C670C" w:rsidRPr="00230275">
        <w:t xml:space="preserve">olyurethane </w:t>
      </w:r>
      <w:r w:rsidR="0096031F" w:rsidRPr="00230275">
        <w:t xml:space="preserve">(PU) is </w:t>
      </w:r>
      <w:r w:rsidR="0096031F" w:rsidRPr="00240903">
        <w:t xml:space="preserve">widely used </w:t>
      </w:r>
      <w:r w:rsidR="008933FC" w:rsidRPr="00240903">
        <w:t xml:space="preserve">because it can be expanded as foam and can be utilized as filler in different sectors </w:t>
      </w:r>
      <w:r w:rsidR="00C95C70" w:rsidRPr="00240903">
        <w:fldChar w:fldCharType="begin" w:fldLock="1"/>
      </w:r>
      <w:r w:rsidR="00C95C70" w:rsidRPr="00240903">
        <w:instrText>ADDIN CSL_CITATION {"citationItems":[{"id":"ITEM-1","itemData":{"DOI":"10.1016/j.msea.2007.06.060","ISBN":"0921-5093","ISSN":"09215093","PMID":"23012521","abstract":"Nanotechnology is presently seen as one of the most promising approaches in the field of materials science towards the development of advanced materials for future engineering applications. Recent and ongoing researches on polymer/inorganic nanocomposite have shown dramatic enhancements in thermal, mechanical and chemical properties over the neat polymer without compromising density, toughness, and processibility. This study investigates the effects of different types of nanoparticles on thermal and mechanical performance of rigid polyurethane (PUR) foam. Three different types of nanoparticles, namely spherical TiO2, platelet nanoclay, and rod-shaped carbon nanofibers (CNFs) are considered. A sonication technique is used to disperse the nanoparticles into part-A of the PUR foam precursor followed by mechanical mixing into part-B and then the whole mixture is poured into a preheated aluminum mold and cured inside the oven. In all cases only 1 wt.% nanoparticles are used, and have found significant thermal and mechanical properties enhancement of the nanophased foam. Among nanoparticles, CNFs infused PUR foam shows maximum enhancement, whereas TiO2 infused PUR foam shows the minimum. © 2007 Elsevier B.V. All rights reserved.","author":[{"dropping-particle":"","family":"Saha","given":"M. C.","non-dropping-particle":"","parse-names":false,"suffix":""},{"dropping-particle":"","family":"Kabir","given":"Md E.","non-dropping-particle":"","parse-names":false,"suffix":""},{"dropping-particle":"","family":"Jeelani","given":"S.","non-dropping-particle":"","parse-names":false,"suffix":""}],"container-title":"Materials Science and Engineering A","id":"ITEM-1","issue":"1-2","issued":{"date-parts":[["2008"]]},"page":"213-222","title":"Enhancement in thermal and mechanical properties of polyurethane foam infused with nanoparticles","type":"article-journal","volume":"479"},"uris":["http://www.mendeley.com/documents/?uuid=138d0108-3d0f-40f1-b904-11c9854d7737"]}],"mendeley":{"formattedCitation":"(Saha, Kabir and Jeelani, 2008)","manualFormatting":"(Saha et al., 2008)","plainTextFormattedCitation":"(Saha, Kabir and Jeelani, 2008)","previouslyFormattedCitation":"(Saha, Kabir and Jeelani, 2008)"},"properties":{"noteIndex":0},"schema":"https://github.com/citation-style-language/schema/raw/master/csl-citation.json"}</w:instrText>
      </w:r>
      <w:r w:rsidR="00C95C70" w:rsidRPr="00240903">
        <w:fldChar w:fldCharType="separate"/>
      </w:r>
      <w:r w:rsidR="00C95C70" w:rsidRPr="00240903">
        <w:t>(Saha et al., 2008)</w:t>
      </w:r>
      <w:r w:rsidR="00C95C70" w:rsidRPr="00240903">
        <w:fldChar w:fldCharType="end"/>
      </w:r>
      <w:r w:rsidR="008933FC" w:rsidRPr="00240903">
        <w:t xml:space="preserve">. </w:t>
      </w:r>
      <w:r w:rsidR="00E14BD2" w:rsidRPr="00240903">
        <w:t>ELT are mainly composed by hydrocarbons and they are considered as non-hazardous wastes</w:t>
      </w:r>
      <w:r w:rsidR="0093758E" w:rsidRPr="00240903">
        <w:t xml:space="preserve"> (Antoniou</w:t>
      </w:r>
      <w:r w:rsidR="0093758E">
        <w:t xml:space="preserve"> and </w:t>
      </w:r>
      <w:proofErr w:type="spellStart"/>
      <w:r w:rsidR="0093758E">
        <w:t>Zabaniotou</w:t>
      </w:r>
      <w:proofErr w:type="spellEnd"/>
      <w:r w:rsidR="0093758E">
        <w:t>, 2015)</w:t>
      </w:r>
      <w:r w:rsidR="00E14BD2">
        <w:t>.</w:t>
      </w:r>
      <w:r w:rsidR="008933FC" w:rsidRPr="00230275">
        <w:t xml:space="preserve"> </w:t>
      </w:r>
    </w:p>
    <w:p w14:paraId="5190452B" w14:textId="63AF611F" w:rsidR="00EB198A" w:rsidRPr="00044B9B" w:rsidRDefault="00BF166A" w:rsidP="00EB198A">
      <w:pPr>
        <w:pStyle w:val="CETBodytext"/>
        <w:rPr>
          <w:rStyle w:val="CETBodytextCarattere"/>
        </w:rPr>
      </w:pPr>
      <w:r w:rsidRPr="00230275">
        <w:t xml:space="preserve">The huge plastic demand led to growing </w:t>
      </w:r>
      <w:r w:rsidR="001C670C">
        <w:t>accumulation of</w:t>
      </w:r>
      <w:r w:rsidR="001C670C" w:rsidRPr="00230275">
        <w:t xml:space="preserve"> </w:t>
      </w:r>
      <w:r w:rsidRPr="00230275">
        <w:t>plastic waste</w:t>
      </w:r>
      <w:r w:rsidR="001C670C">
        <w:t>s</w:t>
      </w:r>
      <w:r w:rsidRPr="00230275">
        <w:t xml:space="preserve">, </w:t>
      </w:r>
      <w:r w:rsidR="001C670C">
        <w:t>which take very long</w:t>
      </w:r>
      <w:r w:rsidRPr="00230275">
        <w:t xml:space="preserve"> to degrade naturally. </w:t>
      </w:r>
      <w:r w:rsidR="001C670C">
        <w:t>Therefore,</w:t>
      </w:r>
      <w:r w:rsidRPr="00230275">
        <w:t xml:space="preserve"> the continuous disposal of plastic</w:t>
      </w:r>
      <w:r w:rsidR="001C670C">
        <w:t>s</w:t>
      </w:r>
      <w:r w:rsidRPr="00230275">
        <w:t xml:space="preserve"> in landfill </w:t>
      </w:r>
      <w:r w:rsidR="001C670C">
        <w:t>is a false solution</w:t>
      </w:r>
      <w:r w:rsidR="000C71A8" w:rsidRPr="00230275">
        <w:t xml:space="preserve"> </w:t>
      </w:r>
      <w:r w:rsidR="00515076" w:rsidRPr="00230275">
        <w:rPr>
          <w:rStyle w:val="Rimandonotaapidipagina"/>
        </w:rPr>
        <w:fldChar w:fldCharType="begin" w:fldLock="1"/>
      </w:r>
      <w:r w:rsidR="003C289F" w:rsidRPr="00230275">
        <w:instrText>ADDIN CSL_CITATION {"citationItems":[{"id":"ITEM-1","itemData":{"author":[{"dropping-particle":"","family":"Pinto","given":"F","non-dropping-particle":"","parse-names":false,"suffix":""},{"dropping-particle":"","family":"Costa","given":"P","non-dropping-particle":"","parse-names":false,"suffix":""},{"dropping-particle":"","family":"Gulyurtlu","given":"I","non-dropping-particle":"","parse-names":false,"suffix":""},{"dropping-particle":"","family":"Cabrita","given":"I","non-dropping-particle":"","parse-names":false,"suffix":""}],"id":"ITEM-1","issued":{"date-parts":[["1999"]]},"page":"39-55","title":"Pyrolysis of plastic wastes . 1 . Effect of plastic waste composition on product yield","type":"article-journal","volume":"51"},"uris":["http://www.mendeley.com/documents/?uuid=7a2eff6f-976b-4dae-80ef-a1c62c9dd79c"]}],"mendeley":{"formattedCitation":"(Pinto &lt;i&gt;et al.&lt;/i&gt;, 1999)","plainTextFormattedCitation":"(Pinto et al., 1999)","previouslyFormattedCitation":"(Pinto &lt;i&gt;et al.&lt;/i&gt;, 1999)"},"properties":{"noteIndex":0},"schema":"https://github.com/citation-style-language/schema/raw/master/csl-citation.json"}</w:instrText>
      </w:r>
      <w:r w:rsidR="00515076" w:rsidRPr="00230275">
        <w:rPr>
          <w:rStyle w:val="Rimandonotaapidipagina"/>
        </w:rPr>
        <w:fldChar w:fldCharType="separate"/>
      </w:r>
      <w:r w:rsidR="00515076" w:rsidRPr="00230275">
        <w:rPr>
          <w:bCs/>
        </w:rPr>
        <w:t>(Pinto et al., 1999)</w:t>
      </w:r>
      <w:r w:rsidR="00515076" w:rsidRPr="00230275">
        <w:rPr>
          <w:rStyle w:val="Rimandonotaapidipagina"/>
        </w:rPr>
        <w:fldChar w:fldCharType="end"/>
      </w:r>
      <w:r w:rsidR="00EB198A" w:rsidRPr="00230275">
        <w:t xml:space="preserve">. One of the possible </w:t>
      </w:r>
      <w:r w:rsidR="001C670C">
        <w:t>means</w:t>
      </w:r>
      <w:r w:rsidR="001C670C" w:rsidRPr="00230275">
        <w:t xml:space="preserve"> </w:t>
      </w:r>
      <w:r w:rsidR="00EB198A" w:rsidRPr="00230275">
        <w:t xml:space="preserve">to mitigate </w:t>
      </w:r>
      <w:r w:rsidR="000C71A8" w:rsidRPr="00230275">
        <w:t>this problem</w:t>
      </w:r>
      <w:r w:rsidR="00EB198A" w:rsidRPr="00230275">
        <w:t xml:space="preserve"> is to </w:t>
      </w:r>
      <w:r w:rsidR="000C71A8" w:rsidRPr="00230275">
        <w:t xml:space="preserve">increase plastic recycling. </w:t>
      </w:r>
      <w:r w:rsidR="00015CA1" w:rsidRPr="00044B9B">
        <w:rPr>
          <w:rStyle w:val="CETBodytextCarattere"/>
        </w:rPr>
        <w:t xml:space="preserve">Generally, </w:t>
      </w:r>
      <w:r w:rsidR="001C670C">
        <w:rPr>
          <w:rStyle w:val="CETBodytextCarattere"/>
        </w:rPr>
        <w:t xml:space="preserve"> mixtures of </w:t>
      </w:r>
      <w:r w:rsidR="00015CA1" w:rsidRPr="00044B9B">
        <w:rPr>
          <w:rStyle w:val="CETBodytextCarattere"/>
        </w:rPr>
        <w:t xml:space="preserve">plastic </w:t>
      </w:r>
      <w:r w:rsidR="00015CA1" w:rsidRPr="00044B9B">
        <w:rPr>
          <w:rStyle w:val="CETBodytextCarattere"/>
        </w:rPr>
        <w:lastRenderedPageBreak/>
        <w:t>material</w:t>
      </w:r>
      <w:r w:rsidR="001C670C">
        <w:rPr>
          <w:rStyle w:val="CETBodytextCarattere"/>
        </w:rPr>
        <w:t>s</w:t>
      </w:r>
      <w:r w:rsidR="00015CA1" w:rsidRPr="00044B9B">
        <w:rPr>
          <w:rStyle w:val="CETBodytextCarattere"/>
        </w:rPr>
        <w:t xml:space="preserve"> </w:t>
      </w:r>
      <w:r w:rsidR="001C670C">
        <w:rPr>
          <w:rStyle w:val="CETBodytextCarattere"/>
        </w:rPr>
        <w:t>are</w:t>
      </w:r>
      <w:r w:rsidR="001C670C" w:rsidRPr="00044B9B">
        <w:rPr>
          <w:rStyle w:val="CETBodytextCarattere"/>
        </w:rPr>
        <w:t xml:space="preserve"> </w:t>
      </w:r>
      <w:r w:rsidR="00015CA1" w:rsidRPr="00044B9B">
        <w:rPr>
          <w:rStyle w:val="CETBodytextCarattere"/>
        </w:rPr>
        <w:t xml:space="preserve">disposed </w:t>
      </w:r>
      <w:r w:rsidR="001C670C">
        <w:rPr>
          <w:rStyle w:val="CETBodytextCarattere"/>
        </w:rPr>
        <w:t>together</w:t>
      </w:r>
      <w:r w:rsidR="00044B9B">
        <w:rPr>
          <w:rStyle w:val="CETBodytextCarattere"/>
        </w:rPr>
        <w:t>,</w:t>
      </w:r>
      <w:r w:rsidR="001C670C" w:rsidRPr="00044B9B">
        <w:rPr>
          <w:rStyle w:val="CETBodytextCarattere"/>
        </w:rPr>
        <w:t xml:space="preserve"> </w:t>
      </w:r>
      <w:r w:rsidR="00015CA1" w:rsidRPr="00044B9B">
        <w:rPr>
          <w:rStyle w:val="CETBodytextCarattere"/>
        </w:rPr>
        <w:t>and the recovery of the polymeric material is difficult and expensive</w:t>
      </w:r>
      <w:r w:rsidR="00375788" w:rsidRPr="00044B9B">
        <w:rPr>
          <w:rStyle w:val="CETBodytextCarattere"/>
        </w:rPr>
        <w:t xml:space="preserve"> </w:t>
      </w:r>
      <w:r w:rsidR="00375788" w:rsidRPr="00044B9B">
        <w:rPr>
          <w:rStyle w:val="CETBodytextCarattere"/>
        </w:rPr>
        <w:fldChar w:fldCharType="begin" w:fldLock="1"/>
      </w:r>
      <w:r w:rsidR="003C289F" w:rsidRPr="00044B9B">
        <w:rPr>
          <w:rStyle w:val="CETBodytextCarattere"/>
        </w:rPr>
        <w:instrText>ADDIN CSL_CITATION {"citationItems":[{"id":"ITEM-1","itemData":{"author":[{"dropping-particle":"","family":"Perugini","given":"Floriana","non-dropping-particle":"","parse-names":false,"suffix":""},{"dropping-particle":"","family":"Vivaldi","given":"Via","non-dropping-particle":"","parse-names":false,"suffix":""}],"id":"ITEM-1","issue":"2","issued":{"date-parts":[["2003"]]},"page":"92-98","title":"Life Cycle Assessment of a Plastic Packaging Recycling System","type":"article-journal","volume":"8"},"uris":["http://www.mendeley.com/documents/?uuid=b1e3b405-da3d-4d83-84db-f27fcbb3ed9b"]}],"mendeley":{"formattedCitation":"(Perugini and Vivaldi, 2003)","manualFormatting":"(Arena et al., 2003)","plainTextFormattedCitation":"(Perugini and Vivaldi, 2003)","previouslyFormattedCitation":"(Perugini and Vivaldi, 2003)"},"properties":{"noteIndex":0},"schema":"https://github.com/citation-style-language/schema/raw/master/csl-citation.json"}</w:instrText>
      </w:r>
      <w:r w:rsidR="00375788" w:rsidRPr="00044B9B">
        <w:rPr>
          <w:rStyle w:val="CETBodytextCarattere"/>
        </w:rPr>
        <w:fldChar w:fldCharType="separate"/>
      </w:r>
      <w:r w:rsidR="00375788" w:rsidRPr="00230275">
        <w:rPr>
          <w:rStyle w:val="CETBodytextCarattere"/>
        </w:rPr>
        <w:t>(Arena et al., 2003)</w:t>
      </w:r>
      <w:r w:rsidR="00375788" w:rsidRPr="00044B9B">
        <w:rPr>
          <w:rStyle w:val="CETBodytextCarattere"/>
        </w:rPr>
        <w:fldChar w:fldCharType="end"/>
      </w:r>
      <w:r w:rsidR="00015CA1" w:rsidRPr="00044B9B">
        <w:rPr>
          <w:rStyle w:val="CETBodytextCarattere"/>
        </w:rPr>
        <w:t>.</w:t>
      </w:r>
      <w:r w:rsidR="003463C7" w:rsidRPr="00044B9B">
        <w:rPr>
          <w:rStyle w:val="CETBodytextCarattere"/>
        </w:rPr>
        <w:t xml:space="preserve"> </w:t>
      </w:r>
      <w:r w:rsidR="00044B9B">
        <w:rPr>
          <w:rStyle w:val="CETBodytextCarattere"/>
        </w:rPr>
        <w:t>A promising alternative is the</w:t>
      </w:r>
      <w:r w:rsidR="003463C7" w:rsidRPr="00044B9B">
        <w:rPr>
          <w:rStyle w:val="CETBodytextCarattere"/>
        </w:rPr>
        <w:t xml:space="preserve"> recover</w:t>
      </w:r>
      <w:r w:rsidR="00044B9B">
        <w:rPr>
          <w:rStyle w:val="CETBodytextCarattere"/>
        </w:rPr>
        <w:t>y of</w:t>
      </w:r>
      <w:r w:rsidR="003463C7" w:rsidRPr="00044B9B">
        <w:rPr>
          <w:rStyle w:val="CETBodytextCarattere"/>
        </w:rPr>
        <w:t xml:space="preserve"> the energetic potential of the polymeric material through thermal degradation </w:t>
      </w:r>
      <w:r w:rsidR="00044B9B">
        <w:rPr>
          <w:rStyle w:val="CETBodytextCarattere"/>
        </w:rPr>
        <w:t>processes</w:t>
      </w:r>
      <w:r w:rsidR="00044B9B" w:rsidRPr="00044B9B">
        <w:rPr>
          <w:rStyle w:val="CETBodytextCarattere"/>
        </w:rPr>
        <w:t xml:space="preserve"> </w:t>
      </w:r>
      <w:r w:rsidR="003463C7" w:rsidRPr="00044B9B">
        <w:rPr>
          <w:rStyle w:val="CETBodytextCarattere"/>
        </w:rPr>
        <w:fldChar w:fldCharType="begin" w:fldLock="1"/>
      </w:r>
      <w:r w:rsidR="003C289F" w:rsidRPr="00044B9B">
        <w:rPr>
          <w:rStyle w:val="CETBodytextCarattere"/>
        </w:rPr>
        <w:instrText>ADDIN CSL_CITATION {"citationItems":[{"id":"ITEM-1","itemData":{"DOI":"10.1016/j.wasman.2009.10.014","ISSN":"0956-053X","author":[{"dropping-particle":"","family":"López","given":"A","non-dropping-particle":"","parse-names":false,"suffix":""},{"dropping-particle":"De","family":"Marco","given":"I","non-dropping-particle":"","parse-names":false,"suffix":""},{"dropping-particle":"","family":"Caballero","given":"B M","non-dropping-particle":"","parse-names":false,"suffix":""},{"dropping-particle":"","family":"Laresgoiti","given":"M F","non-dropping-particle":"","parse-names":false,"suffix":""},{"dropping-particle":"","family":"Adrados","given":"A","non-dropping-particle":"","parse-names":false,"suffix":""}],"container-title":"Waste Management","id":"ITEM-1","issue":"4","issued":{"date-parts":[["2010"]]},"page":"620-627","publisher":"Elsevier Ltd","title":"Pyrolysis of municipal plastic wastes : Influence of raw material composition","type":"article-journal","volume":"30"},"uris":["http://www.mendeley.com/documents/?uuid=22739914-e231-4b87-8fa1-1736a0d27460"]}],"mendeley":{"formattedCitation":"(López &lt;i&gt;et al.&lt;/i&gt;, 2010)","plainTextFormattedCitation":"(López et al., 2010)","previouslyFormattedCitation":"(López &lt;i&gt;et al.&lt;/i&gt;, 2010)"},"properties":{"noteIndex":0},"schema":"https://github.com/citation-style-language/schema/raw/master/csl-citation.json"}</w:instrText>
      </w:r>
      <w:r w:rsidR="003463C7" w:rsidRPr="00044B9B">
        <w:rPr>
          <w:rStyle w:val="CETBodytextCarattere"/>
        </w:rPr>
        <w:fldChar w:fldCharType="separate"/>
      </w:r>
      <w:r w:rsidR="003463C7" w:rsidRPr="00230275">
        <w:rPr>
          <w:rStyle w:val="CETBodytextCarattere"/>
        </w:rPr>
        <w:t>(López</w:t>
      </w:r>
      <w:r w:rsidR="003463C7" w:rsidRPr="004D7F68">
        <w:rPr>
          <w:rStyle w:val="CETBodytextCarattere"/>
        </w:rPr>
        <w:t xml:space="preserve"> et al</w:t>
      </w:r>
      <w:r w:rsidR="003463C7" w:rsidRPr="00230275">
        <w:rPr>
          <w:rStyle w:val="CETBodytextCarattere"/>
          <w:i/>
        </w:rPr>
        <w:t>.</w:t>
      </w:r>
      <w:r w:rsidR="003463C7" w:rsidRPr="00230275">
        <w:rPr>
          <w:rStyle w:val="CETBodytextCarattere"/>
        </w:rPr>
        <w:t>, 2010)</w:t>
      </w:r>
      <w:r w:rsidR="003463C7" w:rsidRPr="00044B9B">
        <w:rPr>
          <w:rStyle w:val="CETBodytextCarattere"/>
        </w:rPr>
        <w:fldChar w:fldCharType="end"/>
      </w:r>
      <w:r w:rsidR="003463C7" w:rsidRPr="00044B9B">
        <w:rPr>
          <w:rStyle w:val="CETBodytextCarattere"/>
        </w:rPr>
        <w:t xml:space="preserve">. </w:t>
      </w:r>
    </w:p>
    <w:p w14:paraId="26BA50FF" w14:textId="6DBE2A71" w:rsidR="003C289F" w:rsidRPr="00230275" w:rsidRDefault="003463C7" w:rsidP="00EB198A">
      <w:pPr>
        <w:pStyle w:val="CETBodytext"/>
      </w:pPr>
      <w:r w:rsidRPr="00230275">
        <w:t xml:space="preserve">Pyrolysis is a </w:t>
      </w:r>
      <w:r w:rsidR="007F7709" w:rsidRPr="00230275">
        <w:t xml:space="preserve">thermochemical process carried out in absence of oxygen, </w:t>
      </w:r>
      <w:r w:rsidR="00044B9B">
        <w:t>whose</w:t>
      </w:r>
      <w:r w:rsidR="00044B9B" w:rsidRPr="00230275">
        <w:t xml:space="preserve"> </w:t>
      </w:r>
      <w:r w:rsidR="007F7709" w:rsidRPr="00230275">
        <w:t xml:space="preserve">resulting products are a </w:t>
      </w:r>
      <w:r w:rsidR="00393CE8" w:rsidRPr="00230275">
        <w:t xml:space="preserve">liquid </w:t>
      </w:r>
      <w:r w:rsidR="007F7709" w:rsidRPr="00230275">
        <w:t xml:space="preserve">fuel, a gas and </w:t>
      </w:r>
      <w:r w:rsidR="00393CE8" w:rsidRPr="00230275">
        <w:t xml:space="preserve">a </w:t>
      </w:r>
      <w:r w:rsidR="007F7709" w:rsidRPr="00230275">
        <w:t xml:space="preserve">char </w:t>
      </w:r>
      <w:r w:rsidR="00BE0EBC">
        <w:t>with</w:t>
      </w:r>
      <w:r w:rsidR="00BE0EBC" w:rsidRPr="00230275">
        <w:t xml:space="preserve"> </w:t>
      </w:r>
      <w:r w:rsidR="007F7709" w:rsidRPr="00230275">
        <w:t>composition and proportion</w:t>
      </w:r>
      <w:r w:rsidR="00BE0EBC">
        <w:t>s</w:t>
      </w:r>
      <w:r w:rsidR="007F7709" w:rsidRPr="00230275">
        <w:t xml:space="preserve"> </w:t>
      </w:r>
      <w:r w:rsidR="00BE0EBC" w:rsidRPr="00230275">
        <w:t>depend</w:t>
      </w:r>
      <w:r w:rsidR="00BE0EBC">
        <w:t>ing</w:t>
      </w:r>
      <w:r w:rsidR="00BE0EBC" w:rsidRPr="00230275">
        <w:t xml:space="preserve"> </w:t>
      </w:r>
      <w:r w:rsidR="007F7709" w:rsidRPr="00230275">
        <w:t>on process condition</w:t>
      </w:r>
      <w:r w:rsidR="00BE0EBC">
        <w:t>s</w:t>
      </w:r>
      <w:r w:rsidR="007F7709" w:rsidRPr="00230275">
        <w:t xml:space="preserve"> and feedstock characteristic</w:t>
      </w:r>
      <w:r w:rsidR="007F7709" w:rsidRPr="004D7F68">
        <w:t xml:space="preserve">s </w:t>
      </w:r>
      <w:r w:rsidR="007F7709" w:rsidRPr="004D7F68">
        <w:fldChar w:fldCharType="begin" w:fldLock="1"/>
      </w:r>
      <w:r w:rsidR="003C289F" w:rsidRPr="004D7F68">
        <w:instrText>ADDIN CSL_CITATION {"citationItems":[{"id":"ITEM-1","itemData":{"DOI":"10.1016/S0165-2370(03)00027-5","author":[{"dropping-particle":"","family":"Bhaskar","given":"Thallada","non-dropping-particle":"","parse-names":false,"suffix":""},{"dropping-particle":"","family":"Uddin","given":"Azhar","non-dropping-particle":"","parse-names":false,"suffix":""},{"dropping-particle":"","family":"Murai","given":"Kazuya","non-dropping-particle":"","parse-names":false,"suffix":""},{"dropping-particle":"","family":"Kaneko","given":"Jun","non-dropping-particle":"","parse-names":false,"suffix":""},{"dropping-particle":"","family":"Hamano","given":"Kenji","non-dropping-particle":"","parse-names":false,"suffix":""},{"dropping-particle":"","family":"Kusaba","given":"Toshiaki","non-dropping-particle":"","parse-names":false,"suffix":""},{"dropping-particle":"","family":"Muto","given":"Akinori","non-dropping-particle":"","parse-names":false,"suffix":""},{"dropping-particle":"","family":"Sakata","given":"Yusaku","non-dropping-particle":"","parse-names":false,"suffix":""}],"id":"ITEM-1","issued":{"date-parts":[["2003"]]},"page":"579-587","title":"Comparison of thermal degradation products from real municipal waste plastic and model mixed plastics","type":"article-journal","volume":"70"},"uris":["http://www.mendeley.com/documents/?uuid=c81d8074-b4b8-4f00-8922-f777719190bf"]}],"mendeley":{"formattedCitation":"(Bhaskar &lt;i&gt;et al.&lt;/i&gt;, 2003)","plainTextFormattedCitation":"(Bhaskar et al., 2003)","previouslyFormattedCitation":"(Bhaskar &lt;i&gt;et al.&lt;/i&gt;, 2003)"},"properties":{"noteIndex":0},"schema":"https://github.com/citation-style-language/schema/raw/master/csl-citation.json"}</w:instrText>
      </w:r>
      <w:r w:rsidR="007F7709" w:rsidRPr="004D7F68">
        <w:fldChar w:fldCharType="separate"/>
      </w:r>
      <w:r w:rsidR="007F7709" w:rsidRPr="004D7F68">
        <w:t>(Bhaskar et al., 2003)</w:t>
      </w:r>
      <w:r w:rsidR="007F7709" w:rsidRPr="004D7F68">
        <w:fldChar w:fldCharType="end"/>
      </w:r>
      <w:r w:rsidR="007F7709" w:rsidRPr="00230275">
        <w:t xml:space="preserve">. </w:t>
      </w:r>
      <w:r w:rsidR="00BE0EBC">
        <w:t>P</w:t>
      </w:r>
      <w:r w:rsidR="007F7709" w:rsidRPr="00230275">
        <w:t>yrolysis of plastic residue</w:t>
      </w:r>
      <w:r w:rsidR="00393CE8" w:rsidRPr="00230275">
        <w:t>s</w:t>
      </w:r>
      <w:r w:rsidR="007F7709" w:rsidRPr="00230275">
        <w:t xml:space="preserve"> </w:t>
      </w:r>
      <w:r w:rsidR="00666399" w:rsidRPr="00230275">
        <w:t>enables</w:t>
      </w:r>
      <w:r w:rsidR="007F7709" w:rsidRPr="00230275">
        <w:t xml:space="preserve"> the thermal degradation of long chain polymer</w:t>
      </w:r>
      <w:r w:rsidR="00393CE8" w:rsidRPr="00230275">
        <w:t>ic</w:t>
      </w:r>
      <w:r w:rsidR="007F7709" w:rsidRPr="00230275">
        <w:t xml:space="preserve"> molecule</w:t>
      </w:r>
      <w:r w:rsidR="00BE0EBC">
        <w:t>s</w:t>
      </w:r>
      <w:r w:rsidR="007F7709" w:rsidRPr="00230275">
        <w:t xml:space="preserve"> into smaller</w:t>
      </w:r>
      <w:r w:rsidR="00BE0EBC">
        <w:t xml:space="preserve"> ones;</w:t>
      </w:r>
      <w:r w:rsidR="00BE0EBC" w:rsidRPr="00230275">
        <w:t xml:space="preserve"> </w:t>
      </w:r>
      <w:r w:rsidR="008E7C1A" w:rsidRPr="00230275">
        <w:t xml:space="preserve">moreover it is considered a green </w:t>
      </w:r>
      <w:r w:rsidR="00393CE8" w:rsidRPr="00230275">
        <w:t>technology</w:t>
      </w:r>
      <w:r w:rsidR="008E7C1A" w:rsidRPr="00230275">
        <w:t xml:space="preserve"> when the pyrolysis by-products have a calorific value that can be reuse</w:t>
      </w:r>
      <w:r w:rsidR="00BE0EBC">
        <w:t>d</w:t>
      </w:r>
      <w:r w:rsidR="008E7C1A" w:rsidRPr="00230275">
        <w:t xml:space="preserve"> to compensate the overall energy demand of the process </w:t>
      </w:r>
      <w:r w:rsidR="003C289F" w:rsidRPr="004D7F68">
        <w:fldChar w:fldCharType="begin" w:fldLock="1"/>
      </w:r>
      <w:r w:rsidR="00111068" w:rsidRPr="004D7F68">
        <w:instrText>ADDIN CSL_CITATION {"citationItems":[{"id":"ITEM-1","itemData":{"DOI":"10.1016/j.enconman.2016.02.037","ISSN":"0196-8904","author":[{"dropping-particle":"","family":"Dayana","given":"Shafferina","non-dropping-particle":"","parse-names":false,"suffix":""},{"dropping-particle":"","family":"Sharuddin","given":"Anuar","non-dropping-particle":"","parse-names":false,"suffix":""},{"dropping-particle":"","family":"Abnisa","given":"Faisal","non-dropping-particle":"","parse-names":false,"suffix":""},{"dropping-particle":"","family":"Mohd","given":"Wan","non-dropping-particle":"","parse-names":false,"suffix":""},{"dropping-particle":"","family":"Wan","given":"Ashri","non-dropping-particle":"","parse-names":false,"suffix":""}],"container-title":"Energy Conversion and Management","id":"ITEM-1","issued":{"date-parts":[["2016"]]},"page":"308-326","publisher":"Elsevier Ltd","title":"A review on pyrolysis of plastic wastes","type":"article-journal","volume":"115"},"uris":["http://www.mendeley.com/documents/?uuid=3e94e416-667a-425f-966e-f1fb4c038d09"]}],"mendeley":{"formattedCitation":"(Dayana &lt;i&gt;et al.&lt;/i&gt;, 2016)","manualFormatting":"(Sharrudin et al., 2016)","plainTextFormattedCitation":"(Dayana et al., 2016)","previouslyFormattedCitation":"(Dayana &lt;i&gt;et al.&lt;/i&gt;, 2016)"},"properties":{"noteIndex":0},"schema":"https://github.com/citation-style-language/schema/raw/master/csl-citation.json"}</w:instrText>
      </w:r>
      <w:r w:rsidR="003C289F" w:rsidRPr="004D7F68">
        <w:fldChar w:fldCharType="separate"/>
      </w:r>
      <w:r w:rsidR="003C289F" w:rsidRPr="004D7F68">
        <w:t>(Sharrudin et al., 2016)</w:t>
      </w:r>
      <w:r w:rsidR="003C289F" w:rsidRPr="004D7F68">
        <w:fldChar w:fldCharType="end"/>
      </w:r>
      <w:r w:rsidR="008E7C1A" w:rsidRPr="004D7F68">
        <w:t xml:space="preserve">. </w:t>
      </w:r>
    </w:p>
    <w:p w14:paraId="54C22053" w14:textId="124F792B" w:rsidR="003463C7" w:rsidRPr="00230275" w:rsidRDefault="003C289F" w:rsidP="00EB198A">
      <w:pPr>
        <w:pStyle w:val="CETBodytext"/>
      </w:pPr>
      <w:r w:rsidRPr="00044B9B">
        <w:rPr>
          <w:rStyle w:val="CETBodytextCarattere"/>
        </w:rPr>
        <w:t xml:space="preserve">The aim of this work was to </w:t>
      </w:r>
      <w:r w:rsidR="00393CE8" w:rsidRPr="00044B9B">
        <w:rPr>
          <w:rStyle w:val="CETBodytextCarattere"/>
        </w:rPr>
        <w:t xml:space="preserve">investigate the </w:t>
      </w:r>
      <w:r w:rsidRPr="00044B9B">
        <w:rPr>
          <w:rStyle w:val="CETBodytextCarattere"/>
        </w:rPr>
        <w:t xml:space="preserve">pyrolysis </w:t>
      </w:r>
      <w:r w:rsidR="00BE0EBC">
        <w:rPr>
          <w:rStyle w:val="CETBodytextCarattere"/>
        </w:rPr>
        <w:t>of</w:t>
      </w:r>
      <w:r w:rsidRPr="00044B9B">
        <w:rPr>
          <w:rStyle w:val="CETBodytextCarattere"/>
        </w:rPr>
        <w:t xml:space="preserve"> different pure plastic material</w:t>
      </w:r>
      <w:r w:rsidR="00393CE8" w:rsidRPr="00044B9B">
        <w:rPr>
          <w:rStyle w:val="CETBodytextCarattere"/>
        </w:rPr>
        <w:t>s</w:t>
      </w:r>
      <w:r w:rsidR="00BE0EBC">
        <w:rPr>
          <w:rStyle w:val="CETBodytextCarattere"/>
        </w:rPr>
        <w:t xml:space="preserve"> such as</w:t>
      </w:r>
      <w:r w:rsidRPr="00044B9B">
        <w:rPr>
          <w:rStyle w:val="CETBodytextCarattere"/>
        </w:rPr>
        <w:t xml:space="preserve"> PET, Nylon-6, PVC</w:t>
      </w:r>
      <w:r w:rsidR="00BE0EBC">
        <w:rPr>
          <w:rStyle w:val="CETBodytextCarattere"/>
        </w:rPr>
        <w:t xml:space="preserve"> and</w:t>
      </w:r>
      <w:r w:rsidRPr="00044B9B">
        <w:rPr>
          <w:rStyle w:val="CETBodytextCarattere"/>
        </w:rPr>
        <w:t xml:space="preserve"> PU </w:t>
      </w:r>
      <w:r w:rsidR="00BE0EBC">
        <w:rPr>
          <w:rStyle w:val="CETBodytextCarattere"/>
        </w:rPr>
        <w:t>as well as of a complex one like</w:t>
      </w:r>
      <w:r w:rsidRPr="00044B9B">
        <w:rPr>
          <w:rStyle w:val="CETBodytextCarattere"/>
        </w:rPr>
        <w:t xml:space="preserve"> </w:t>
      </w:r>
      <w:r w:rsidR="00393CE8" w:rsidRPr="00044B9B">
        <w:rPr>
          <w:rStyle w:val="CETBodytextCarattere"/>
        </w:rPr>
        <w:t xml:space="preserve">end </w:t>
      </w:r>
      <w:r w:rsidRPr="00044B9B">
        <w:rPr>
          <w:rStyle w:val="CETBodytextCarattere"/>
        </w:rPr>
        <w:t xml:space="preserve">of </w:t>
      </w:r>
      <w:r w:rsidR="00393CE8" w:rsidRPr="00044B9B">
        <w:rPr>
          <w:rStyle w:val="CETBodytextCarattere"/>
        </w:rPr>
        <w:t>life t</w:t>
      </w:r>
      <w:r w:rsidR="00D63D05" w:rsidRPr="00044B9B">
        <w:rPr>
          <w:rStyle w:val="CETBodytextCarattere"/>
        </w:rPr>
        <w:t>i</w:t>
      </w:r>
      <w:r w:rsidR="00393CE8" w:rsidRPr="00044B9B">
        <w:rPr>
          <w:rStyle w:val="CETBodytextCarattere"/>
        </w:rPr>
        <w:t>res</w:t>
      </w:r>
      <w:r w:rsidRPr="00044B9B">
        <w:rPr>
          <w:rStyle w:val="CETBodytextCarattere"/>
        </w:rPr>
        <w:t>.</w:t>
      </w:r>
    </w:p>
    <w:p w14:paraId="74B34AE1" w14:textId="77777777" w:rsidR="001821B1" w:rsidRPr="006A42F5" w:rsidRDefault="00C77B83" w:rsidP="006A42F5">
      <w:pPr>
        <w:pStyle w:val="CETHeading1"/>
      </w:pPr>
      <w:r w:rsidRPr="006A42F5">
        <w:t>Materials and methods</w:t>
      </w:r>
    </w:p>
    <w:p w14:paraId="1D4C8D94" w14:textId="77777777" w:rsidR="00C77B83" w:rsidRPr="00044B9B" w:rsidRDefault="002A1D1E" w:rsidP="00ED6552">
      <w:pPr>
        <w:pStyle w:val="CETheadingx"/>
      </w:pPr>
      <w:r w:rsidRPr="00044B9B">
        <w:t>Polymeric materials</w:t>
      </w:r>
    </w:p>
    <w:p w14:paraId="1CE039B7" w14:textId="74A51545" w:rsidR="002A1D1E" w:rsidRPr="00044B9B" w:rsidRDefault="002A1D1E" w:rsidP="002A1D1E">
      <w:pPr>
        <w:pStyle w:val="CETBodytext"/>
      </w:pPr>
      <w:r w:rsidRPr="00044B9B">
        <w:t xml:space="preserve">The pyrolysis reaction was performed on different pure plastic </w:t>
      </w:r>
      <w:r w:rsidR="003C289F" w:rsidRPr="00044B9B">
        <w:t>residue</w:t>
      </w:r>
      <w:r w:rsidR="00BE0EBC">
        <w:t>s</w:t>
      </w:r>
      <w:r w:rsidRPr="00044B9B">
        <w:t xml:space="preserve"> </w:t>
      </w:r>
      <w:r w:rsidR="00652BB2">
        <w:t xml:space="preserve">such as </w:t>
      </w:r>
      <w:r w:rsidR="00393CE8" w:rsidRPr="00044B9B">
        <w:t xml:space="preserve">polyethylene </w:t>
      </w:r>
      <w:r w:rsidRPr="00044B9B">
        <w:t xml:space="preserve">terephthalate (PET), </w:t>
      </w:r>
      <w:r w:rsidR="00393CE8" w:rsidRPr="00044B9B">
        <w:t xml:space="preserve">polyamide </w:t>
      </w:r>
      <w:r w:rsidRPr="00044B9B">
        <w:t>(</w:t>
      </w:r>
      <w:r w:rsidR="003F77AA" w:rsidRPr="00044B9B">
        <w:t>Nylon</w:t>
      </w:r>
      <w:r w:rsidR="003F77AA">
        <w:t>-</w:t>
      </w:r>
      <w:r w:rsidRPr="00044B9B">
        <w:t xml:space="preserve">6), </w:t>
      </w:r>
      <w:r w:rsidR="00393CE8" w:rsidRPr="00044B9B">
        <w:t xml:space="preserve">polyvinyl </w:t>
      </w:r>
      <w:r w:rsidRPr="00044B9B">
        <w:t>chloride (PVC)</w:t>
      </w:r>
      <w:r w:rsidR="00652BB2">
        <w:t xml:space="preserve"> and</w:t>
      </w:r>
      <w:r w:rsidRPr="00044B9B">
        <w:t xml:space="preserve"> polyurethane (PU))</w:t>
      </w:r>
      <w:r w:rsidR="00652BB2">
        <w:t>, as well as</w:t>
      </w:r>
      <w:r w:rsidRPr="00044B9B">
        <w:t xml:space="preserve"> </w:t>
      </w:r>
      <w:r w:rsidR="00652BB2">
        <w:t>a complex one like</w:t>
      </w:r>
      <w:r w:rsidRPr="00044B9B">
        <w:t xml:space="preserve"> </w:t>
      </w:r>
      <w:r w:rsidR="00393CE8" w:rsidRPr="00044B9B">
        <w:t xml:space="preserve">end </w:t>
      </w:r>
      <w:r w:rsidRPr="00044B9B">
        <w:t xml:space="preserve">of </w:t>
      </w:r>
      <w:r w:rsidR="00393CE8" w:rsidRPr="00044B9B">
        <w:t xml:space="preserve">life </w:t>
      </w:r>
      <w:proofErr w:type="spellStart"/>
      <w:r w:rsidR="00393CE8" w:rsidRPr="00044B9B">
        <w:t>tyres</w:t>
      </w:r>
      <w:proofErr w:type="spellEnd"/>
      <w:r w:rsidR="00393CE8" w:rsidRPr="00044B9B">
        <w:t xml:space="preserve"> </w:t>
      </w:r>
      <w:r w:rsidRPr="00044B9B">
        <w:t>(ELT).</w:t>
      </w:r>
    </w:p>
    <w:p w14:paraId="6112D7E0" w14:textId="77777777" w:rsidR="001821B1" w:rsidRPr="00044B9B" w:rsidRDefault="001821B1" w:rsidP="00ED6552">
      <w:pPr>
        <w:pStyle w:val="CETheadingx"/>
      </w:pPr>
      <w:r w:rsidRPr="00044B9B">
        <w:t>Experimental design</w:t>
      </w:r>
    </w:p>
    <w:p w14:paraId="2AF0A7A2" w14:textId="698776DC" w:rsidR="002A1D1E" w:rsidRPr="00044B9B" w:rsidRDefault="00E51A7C" w:rsidP="002A1D1E">
      <w:pPr>
        <w:pStyle w:val="CETBodytext"/>
      </w:pPr>
      <w:r>
        <w:t>T</w:t>
      </w:r>
      <w:r w:rsidR="002A1D1E" w:rsidRPr="00044B9B">
        <w:t>hermal pyrolysis was performed in a tubular</w:t>
      </w:r>
      <w:r w:rsidR="002A1D1E" w:rsidRPr="00044B9B">
        <w:rPr>
          <w:spacing w:val="-8"/>
        </w:rPr>
        <w:t xml:space="preserve"> </w:t>
      </w:r>
      <w:r w:rsidR="002A1D1E" w:rsidRPr="00044B9B">
        <w:t>quartz</w:t>
      </w:r>
      <w:r w:rsidR="002A1D1E" w:rsidRPr="00044B9B">
        <w:rPr>
          <w:spacing w:val="-5"/>
        </w:rPr>
        <w:t xml:space="preserve"> </w:t>
      </w:r>
      <w:r w:rsidR="002A1D1E" w:rsidRPr="00044B9B">
        <w:t>reactor</w:t>
      </w:r>
      <w:r w:rsidR="002A1D1E" w:rsidRPr="00044B9B">
        <w:rPr>
          <w:spacing w:val="-6"/>
        </w:rPr>
        <w:t xml:space="preserve"> </w:t>
      </w:r>
      <w:r w:rsidR="002A1D1E" w:rsidRPr="00044B9B">
        <w:t>connected</w:t>
      </w:r>
      <w:r w:rsidR="002A1D1E" w:rsidRPr="00044B9B">
        <w:rPr>
          <w:spacing w:val="-8"/>
        </w:rPr>
        <w:t xml:space="preserve"> </w:t>
      </w:r>
      <w:r w:rsidR="002A1D1E" w:rsidRPr="00044B9B">
        <w:t>to</w:t>
      </w:r>
      <w:r w:rsidR="002A1D1E" w:rsidRPr="00044B9B">
        <w:rPr>
          <w:spacing w:val="-7"/>
        </w:rPr>
        <w:t xml:space="preserve"> </w:t>
      </w:r>
      <w:r w:rsidR="002A1D1E" w:rsidRPr="00044B9B">
        <w:t>a</w:t>
      </w:r>
      <w:r w:rsidR="002A1D1E" w:rsidRPr="00044B9B">
        <w:rPr>
          <w:spacing w:val="-7"/>
        </w:rPr>
        <w:t xml:space="preserve"> </w:t>
      </w:r>
      <w:r w:rsidR="002A1D1E" w:rsidRPr="00044B9B">
        <w:t>condenser</w:t>
      </w:r>
      <w:r w:rsidR="002A1D1E" w:rsidRPr="00044B9B">
        <w:rPr>
          <w:spacing w:val="-7"/>
        </w:rPr>
        <w:t xml:space="preserve"> </w:t>
      </w:r>
      <w:r w:rsidR="002A1D1E" w:rsidRPr="00044B9B">
        <w:t>able</w:t>
      </w:r>
      <w:r w:rsidR="002A1D1E" w:rsidRPr="00044B9B">
        <w:rPr>
          <w:spacing w:val="-7"/>
        </w:rPr>
        <w:t xml:space="preserve"> </w:t>
      </w:r>
      <w:r w:rsidR="002A1D1E" w:rsidRPr="00044B9B">
        <w:t>to</w:t>
      </w:r>
      <w:r w:rsidR="002A1D1E" w:rsidRPr="00044B9B">
        <w:rPr>
          <w:spacing w:val="-7"/>
        </w:rPr>
        <w:t xml:space="preserve"> </w:t>
      </w:r>
      <w:r w:rsidR="002A1D1E" w:rsidRPr="00044B9B">
        <w:t>separate</w:t>
      </w:r>
      <w:r w:rsidR="002A1D1E" w:rsidRPr="00044B9B">
        <w:rPr>
          <w:spacing w:val="-8"/>
        </w:rPr>
        <w:t xml:space="preserve"> </w:t>
      </w:r>
      <w:r w:rsidR="002A1D1E" w:rsidRPr="00044B9B">
        <w:t>liquid</w:t>
      </w:r>
      <w:r w:rsidR="002A1D1E" w:rsidRPr="00044B9B">
        <w:rPr>
          <w:spacing w:val="-5"/>
        </w:rPr>
        <w:t xml:space="preserve"> </w:t>
      </w:r>
      <w:r w:rsidR="002A1D1E" w:rsidRPr="00044B9B">
        <w:t>from</w:t>
      </w:r>
      <w:r w:rsidR="002A1D1E" w:rsidRPr="00044B9B">
        <w:rPr>
          <w:spacing w:val="-7"/>
        </w:rPr>
        <w:t xml:space="preserve"> </w:t>
      </w:r>
      <w:r w:rsidR="002A1D1E" w:rsidRPr="00044B9B">
        <w:t>gaseous</w:t>
      </w:r>
      <w:r w:rsidR="002A1D1E" w:rsidRPr="00044B9B">
        <w:rPr>
          <w:spacing w:val="-5"/>
        </w:rPr>
        <w:t xml:space="preserve"> </w:t>
      </w:r>
      <w:r w:rsidR="002A1D1E" w:rsidRPr="00044B9B">
        <w:t xml:space="preserve">products, </w:t>
      </w:r>
      <w:r>
        <w:t>connected at the top to</w:t>
      </w:r>
      <w:r w:rsidRPr="00044B9B">
        <w:t xml:space="preserve"> </w:t>
      </w:r>
      <w:r w:rsidR="002A1D1E" w:rsidRPr="00044B9B">
        <w:t xml:space="preserve">a reflux condenser </w:t>
      </w:r>
      <w:r w:rsidR="00393CE8" w:rsidRPr="00044B9B">
        <w:t>(Figure 1)</w:t>
      </w:r>
      <w:r w:rsidR="002A1D1E" w:rsidRPr="00044B9B">
        <w:t>. Briefly, about 10 g of sample were charged into the reactor, and then the system was purged</w:t>
      </w:r>
      <w:r w:rsidR="002A1D1E" w:rsidRPr="00044B9B">
        <w:rPr>
          <w:spacing w:val="-35"/>
        </w:rPr>
        <w:t xml:space="preserve"> </w:t>
      </w:r>
      <w:r w:rsidR="002A1D1E" w:rsidRPr="00044B9B">
        <w:t>with nitrogen</w:t>
      </w:r>
      <w:r w:rsidR="00A65C35" w:rsidRPr="00044B9B">
        <w:t xml:space="preserve">. </w:t>
      </w:r>
      <w:r w:rsidR="002A1D1E" w:rsidRPr="00044B9B">
        <w:t>The rector was put into an oven (</w:t>
      </w:r>
      <w:proofErr w:type="spellStart"/>
      <w:r w:rsidR="002A1D1E" w:rsidRPr="00044B9B">
        <w:t>Carbolite</w:t>
      </w:r>
      <w:proofErr w:type="spellEnd"/>
      <w:r w:rsidR="002A1D1E" w:rsidRPr="00044B9B">
        <w:t>, MTF 10/25/130, Pocklington,</w:t>
      </w:r>
      <w:r w:rsidR="002A1D1E" w:rsidRPr="00044B9B">
        <w:rPr>
          <w:spacing w:val="-4"/>
        </w:rPr>
        <w:t xml:space="preserve"> </w:t>
      </w:r>
      <w:r w:rsidR="002A1D1E" w:rsidRPr="00044B9B">
        <w:t>UK),</w:t>
      </w:r>
      <w:r w:rsidR="002A1D1E" w:rsidRPr="00044B9B">
        <w:rPr>
          <w:spacing w:val="-4"/>
        </w:rPr>
        <w:t xml:space="preserve"> </w:t>
      </w:r>
      <w:r w:rsidR="002A1D1E" w:rsidRPr="00044B9B">
        <w:t>and</w:t>
      </w:r>
      <w:r w:rsidR="002A1D1E" w:rsidRPr="00044B9B">
        <w:rPr>
          <w:spacing w:val="-5"/>
        </w:rPr>
        <w:t xml:space="preserve"> </w:t>
      </w:r>
      <w:r w:rsidR="002A1D1E" w:rsidRPr="00044B9B">
        <w:t>the</w:t>
      </w:r>
      <w:r w:rsidR="002A1D1E" w:rsidRPr="00044B9B">
        <w:rPr>
          <w:spacing w:val="-4"/>
        </w:rPr>
        <w:t xml:space="preserve"> </w:t>
      </w:r>
      <w:r w:rsidR="002A1D1E" w:rsidRPr="00044B9B">
        <w:t>reaction</w:t>
      </w:r>
      <w:r w:rsidR="002A1D1E" w:rsidRPr="00044B9B">
        <w:rPr>
          <w:spacing w:val="-5"/>
        </w:rPr>
        <w:t xml:space="preserve"> </w:t>
      </w:r>
      <w:r w:rsidR="002A1D1E" w:rsidRPr="00044B9B">
        <w:t>temperature</w:t>
      </w:r>
      <w:r w:rsidR="002A1D1E" w:rsidRPr="00044B9B">
        <w:rPr>
          <w:spacing w:val="-5"/>
        </w:rPr>
        <w:t xml:space="preserve"> </w:t>
      </w:r>
      <w:r w:rsidR="002A1D1E" w:rsidRPr="00044B9B">
        <w:t>set</w:t>
      </w:r>
      <w:r w:rsidR="002A1D1E" w:rsidRPr="00044B9B">
        <w:rPr>
          <w:spacing w:val="-4"/>
        </w:rPr>
        <w:t xml:space="preserve"> </w:t>
      </w:r>
      <w:r w:rsidR="002A1D1E" w:rsidRPr="00044B9B">
        <w:t>at</w:t>
      </w:r>
      <w:r w:rsidR="002A1D1E" w:rsidRPr="00044B9B">
        <w:rPr>
          <w:spacing w:val="-3"/>
        </w:rPr>
        <w:t xml:space="preserve"> </w:t>
      </w:r>
      <w:r w:rsidR="002A1D1E" w:rsidRPr="00044B9B">
        <w:t>6</w:t>
      </w:r>
      <w:r w:rsidR="009E10D0" w:rsidRPr="00044B9B">
        <w:t>7</w:t>
      </w:r>
      <w:r w:rsidR="002A1D1E" w:rsidRPr="00044B9B">
        <w:t>3</w:t>
      </w:r>
      <w:r w:rsidR="002A1D1E" w:rsidRPr="00044B9B">
        <w:rPr>
          <w:spacing w:val="-4"/>
        </w:rPr>
        <w:t xml:space="preserve"> </w:t>
      </w:r>
      <w:r w:rsidR="002A1D1E" w:rsidRPr="00044B9B">
        <w:t>K</w:t>
      </w:r>
      <w:r w:rsidR="002A1D1E" w:rsidRPr="00044B9B">
        <w:rPr>
          <w:spacing w:val="-5"/>
        </w:rPr>
        <w:t xml:space="preserve"> </w:t>
      </w:r>
      <w:r w:rsidR="002A1D1E" w:rsidRPr="00044B9B">
        <w:t>for</w:t>
      </w:r>
      <w:r w:rsidR="002A1D1E" w:rsidRPr="00044B9B">
        <w:rPr>
          <w:spacing w:val="-5"/>
        </w:rPr>
        <w:t xml:space="preserve"> </w:t>
      </w:r>
      <w:r w:rsidR="001B0A68" w:rsidRPr="00044B9B">
        <w:t>90 min</w:t>
      </w:r>
      <w:r w:rsidR="002A1D1E" w:rsidRPr="00044B9B">
        <w:t xml:space="preserve">. The incondensable gases, </w:t>
      </w:r>
      <w:r>
        <w:t xml:space="preserve">called </w:t>
      </w:r>
      <w:r w:rsidR="002A1D1E" w:rsidRPr="00044B9B">
        <w:t xml:space="preserve">reaction gas (RG), were collected into latex balloons located on the top of the reflux condenser and after the condenser. The condensable gases, </w:t>
      </w:r>
      <w:r>
        <w:t xml:space="preserve">called </w:t>
      </w:r>
      <w:r w:rsidR="002A1D1E" w:rsidRPr="00044B9B">
        <w:t xml:space="preserve">bio-oil </w:t>
      </w:r>
      <w:r w:rsidR="001B0A68" w:rsidRPr="00044B9B">
        <w:t>(RL)</w:t>
      </w:r>
      <w:r>
        <w:t>,</w:t>
      </w:r>
      <w:r w:rsidR="002A1D1E" w:rsidRPr="00044B9B">
        <w:t xml:space="preserve"> were condensed and collected in a flask. After pyrolysis, the solid residue (SR) was collected and washed with ethanol to recover the heavy bio-oil fraction. </w:t>
      </w:r>
    </w:p>
    <w:p w14:paraId="6D5BC3F8" w14:textId="77777777" w:rsidR="004E613E" w:rsidRPr="00230275" w:rsidRDefault="004E613E" w:rsidP="002A1D1E">
      <w:pPr>
        <w:pStyle w:val="CETBodytext"/>
      </w:pPr>
    </w:p>
    <w:p w14:paraId="747A044A" w14:textId="77777777" w:rsidR="004E613E" w:rsidRPr="00044B9B" w:rsidRDefault="004E613E" w:rsidP="002A1D1E">
      <w:pPr>
        <w:pStyle w:val="CETBodytext"/>
      </w:pPr>
      <w:r w:rsidRPr="00230275">
        <w:rPr>
          <w:noProof/>
          <w:lang w:val="it-IT" w:eastAsia="it-IT"/>
        </w:rPr>
        <w:drawing>
          <wp:inline distT="0" distB="0" distL="0" distR="0" wp14:anchorId="0588F9AD" wp14:editId="72DF0E81">
            <wp:extent cx="1032933" cy="1525569"/>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attore.jpg"/>
                    <pic:cNvPicPr/>
                  </pic:nvPicPr>
                  <pic:blipFill rotWithShape="1">
                    <a:blip r:embed="rId10" cstate="print">
                      <a:extLst>
                        <a:ext uri="{28A0092B-C50C-407E-A947-70E740481C1C}">
                          <a14:useLocalDpi xmlns:a14="http://schemas.microsoft.com/office/drawing/2010/main" val="0"/>
                        </a:ext>
                      </a:extLst>
                    </a:blip>
                    <a:srcRect r="50539"/>
                    <a:stretch/>
                  </pic:blipFill>
                  <pic:spPr bwMode="auto">
                    <a:xfrm>
                      <a:off x="0" y="0"/>
                      <a:ext cx="1090782" cy="1611007"/>
                    </a:xfrm>
                    <a:prstGeom prst="rect">
                      <a:avLst/>
                    </a:prstGeom>
                    <a:ln>
                      <a:noFill/>
                    </a:ln>
                    <a:extLst>
                      <a:ext uri="{53640926-AAD7-44D8-BBD7-CCE9431645EC}">
                        <a14:shadowObscured xmlns:a14="http://schemas.microsoft.com/office/drawing/2010/main"/>
                      </a:ext>
                    </a:extLst>
                  </pic:spPr>
                </pic:pic>
              </a:graphicData>
            </a:graphic>
          </wp:inline>
        </w:drawing>
      </w:r>
    </w:p>
    <w:p w14:paraId="08038D30" w14:textId="3892B820" w:rsidR="006C1D45" w:rsidRPr="00230275" w:rsidRDefault="004E613E" w:rsidP="006C1D45">
      <w:pPr>
        <w:pStyle w:val="CETCaption"/>
        <w:rPr>
          <w:lang w:val="en-US"/>
        </w:rPr>
      </w:pPr>
      <w:r w:rsidRPr="00230275">
        <w:rPr>
          <w:lang w:val="en-US"/>
        </w:rPr>
        <w:t>Figure 1: Pyrolysis reaction system. 1</w:t>
      </w:r>
      <w:r w:rsidR="00393CE8" w:rsidRPr="00230275">
        <w:rPr>
          <w:lang w:val="en-US"/>
        </w:rPr>
        <w:t xml:space="preserve">) </w:t>
      </w:r>
      <w:r w:rsidR="00E51A7C">
        <w:rPr>
          <w:lang w:val="en-US"/>
        </w:rPr>
        <w:t>O</w:t>
      </w:r>
      <w:r w:rsidR="00E51A7C" w:rsidRPr="00230275">
        <w:rPr>
          <w:lang w:val="en-US"/>
        </w:rPr>
        <w:t xml:space="preserve">ven </w:t>
      </w:r>
      <w:r w:rsidRPr="00230275">
        <w:rPr>
          <w:lang w:val="en-US"/>
        </w:rPr>
        <w:t>with temperature control, 2</w:t>
      </w:r>
      <w:r w:rsidR="00393CE8" w:rsidRPr="00230275">
        <w:rPr>
          <w:lang w:val="en-US"/>
        </w:rPr>
        <w:t xml:space="preserve">) </w:t>
      </w:r>
      <w:r w:rsidRPr="00230275">
        <w:rPr>
          <w:lang w:val="en-US"/>
        </w:rPr>
        <w:t>quartz reactor,</w:t>
      </w:r>
      <w:r w:rsidR="006C1D45" w:rsidRPr="00230275">
        <w:rPr>
          <w:lang w:val="en-US"/>
        </w:rPr>
        <w:t xml:space="preserve"> 3</w:t>
      </w:r>
      <w:r w:rsidR="00393CE8" w:rsidRPr="00230275">
        <w:rPr>
          <w:lang w:val="en-US"/>
        </w:rPr>
        <w:t xml:space="preserve">) </w:t>
      </w:r>
      <w:r w:rsidR="006C1D45" w:rsidRPr="00230275">
        <w:rPr>
          <w:lang w:val="en-US"/>
        </w:rPr>
        <w:t>flask (bio-oil collector)</w:t>
      </w:r>
      <w:r w:rsidR="00E51A7C">
        <w:rPr>
          <w:lang w:val="en-US"/>
        </w:rPr>
        <w:t>,</w:t>
      </w:r>
      <w:r w:rsidR="006C1D45" w:rsidRPr="00230275">
        <w:rPr>
          <w:lang w:val="en-US"/>
        </w:rPr>
        <w:t xml:space="preserve"> </w:t>
      </w:r>
      <w:r w:rsidRPr="00230275">
        <w:rPr>
          <w:lang w:val="en-US"/>
        </w:rPr>
        <w:t>4</w:t>
      </w:r>
      <w:r w:rsidR="00393CE8" w:rsidRPr="00230275">
        <w:rPr>
          <w:lang w:val="en-US"/>
        </w:rPr>
        <w:t xml:space="preserve">) </w:t>
      </w:r>
      <w:r w:rsidR="006C1D45" w:rsidRPr="00230275">
        <w:rPr>
          <w:lang w:val="en-US"/>
        </w:rPr>
        <w:t>condenser</w:t>
      </w:r>
      <w:r w:rsidRPr="00230275">
        <w:rPr>
          <w:lang w:val="en-US"/>
        </w:rPr>
        <w:t>, 5</w:t>
      </w:r>
      <w:r w:rsidR="00393CE8" w:rsidRPr="00230275">
        <w:rPr>
          <w:lang w:val="en-US"/>
        </w:rPr>
        <w:t xml:space="preserve">) </w:t>
      </w:r>
      <w:r w:rsidR="006C1D45" w:rsidRPr="00230275">
        <w:rPr>
          <w:lang w:val="en-US"/>
        </w:rPr>
        <w:t>reflux condenser</w:t>
      </w:r>
      <w:r w:rsidRPr="00230275">
        <w:rPr>
          <w:lang w:val="en-US"/>
        </w:rPr>
        <w:t>,</w:t>
      </w:r>
      <w:r w:rsidR="008652B1">
        <w:rPr>
          <w:lang w:val="en-US"/>
        </w:rPr>
        <w:t xml:space="preserve"> </w:t>
      </w:r>
      <w:r w:rsidR="006C1D45" w:rsidRPr="00230275">
        <w:rPr>
          <w:lang w:val="en-US"/>
        </w:rPr>
        <w:t>6</w:t>
      </w:r>
      <w:r w:rsidR="00393CE8" w:rsidRPr="00230275">
        <w:rPr>
          <w:lang w:val="en-US"/>
        </w:rPr>
        <w:t xml:space="preserve">) </w:t>
      </w:r>
      <w:r w:rsidR="006C1D45" w:rsidRPr="00230275">
        <w:rPr>
          <w:lang w:val="en-US"/>
        </w:rPr>
        <w:t>t</w:t>
      </w:r>
      <w:r w:rsidR="00E51A7C">
        <w:rPr>
          <w:lang w:val="en-US"/>
        </w:rPr>
        <w:t>h</w:t>
      </w:r>
      <w:r w:rsidR="006C1D45" w:rsidRPr="00230275">
        <w:rPr>
          <w:lang w:val="en-US"/>
        </w:rPr>
        <w:t>ermometer,</w:t>
      </w:r>
      <w:r w:rsidRPr="00230275">
        <w:rPr>
          <w:lang w:val="en-US"/>
        </w:rPr>
        <w:t xml:space="preserve"> </w:t>
      </w:r>
      <w:r w:rsidR="006C1D45" w:rsidRPr="00230275">
        <w:rPr>
          <w:lang w:val="en-US"/>
        </w:rPr>
        <w:t>7</w:t>
      </w:r>
      <w:r w:rsidR="00393CE8" w:rsidRPr="00230275">
        <w:rPr>
          <w:lang w:val="en-US"/>
        </w:rPr>
        <w:t xml:space="preserve">) </w:t>
      </w:r>
      <w:r w:rsidRPr="00230275">
        <w:rPr>
          <w:lang w:val="en-US"/>
        </w:rPr>
        <w:t>latex balloon (reaction gas collector</w:t>
      </w:r>
      <w:r w:rsidR="006C1D45" w:rsidRPr="00230275">
        <w:rPr>
          <w:lang w:val="en-US"/>
        </w:rPr>
        <w:t>).</w:t>
      </w:r>
    </w:p>
    <w:p w14:paraId="0B4C191F" w14:textId="77777777" w:rsidR="00785D44" w:rsidRPr="00044B9B" w:rsidRDefault="002A1D1E" w:rsidP="00ED6552">
      <w:pPr>
        <w:pStyle w:val="CETheadingx"/>
      </w:pPr>
      <w:r w:rsidRPr="00044B9B">
        <w:t>FTIR analysis</w:t>
      </w:r>
    </w:p>
    <w:p w14:paraId="016C73F6" w14:textId="25B2501E" w:rsidR="002A1D1E" w:rsidRPr="00044B9B" w:rsidRDefault="002A1D1E" w:rsidP="002A1D1E">
      <w:pPr>
        <w:pStyle w:val="CETBodytext"/>
      </w:pPr>
      <w:r w:rsidRPr="00044B9B">
        <w:t xml:space="preserve">The polymeric materials (PET, Nylon 6, PVC, PU and ELT) and the reaction products of thermal pyrolysis (RG, </w:t>
      </w:r>
      <w:r w:rsidR="009E10D0" w:rsidRPr="00044B9B">
        <w:t>RL</w:t>
      </w:r>
      <w:r w:rsidRPr="00044B9B">
        <w:t xml:space="preserve">, RS) were analyzed by Fourier Transform Infrared Spectroscopy (FTIR) using a Nicolet 380 Spectrometer (Thermo Scientific, Madison, WA, USA). All the spectra were elaborated </w:t>
      </w:r>
      <w:r w:rsidR="00393CE8" w:rsidRPr="00044B9B">
        <w:t xml:space="preserve">by </w:t>
      </w:r>
      <w:r w:rsidRPr="00044B9B">
        <w:t xml:space="preserve">the </w:t>
      </w:r>
      <w:proofErr w:type="spellStart"/>
      <w:r w:rsidRPr="00044B9B">
        <w:t>Omnic</w:t>
      </w:r>
      <w:proofErr w:type="spellEnd"/>
      <w:r w:rsidRPr="00044B9B">
        <w:t xml:space="preserve"> Lite Software (Thermo Electron Corporation, Madison, WA, USA). To analyze </w:t>
      </w:r>
      <w:r w:rsidR="00393CE8" w:rsidRPr="00044B9B">
        <w:t>the solid residues</w:t>
      </w:r>
      <w:r w:rsidRPr="00044B9B">
        <w:t xml:space="preserve">, samples were mixed </w:t>
      </w:r>
      <w:r w:rsidR="00393CE8" w:rsidRPr="00044B9B">
        <w:t xml:space="preserve">with </w:t>
      </w:r>
      <w:proofErr w:type="spellStart"/>
      <w:r w:rsidR="00393CE8" w:rsidRPr="00044B9B">
        <w:t>KBr</w:t>
      </w:r>
      <w:proofErr w:type="spellEnd"/>
      <w:r w:rsidR="00393CE8" w:rsidRPr="00044B9B">
        <w:t xml:space="preserve"> </w:t>
      </w:r>
      <w:r w:rsidRPr="00044B9B">
        <w:t>(1:50</w:t>
      </w:r>
      <w:r w:rsidR="00E51A7C">
        <w:t xml:space="preserve"> w/w</w:t>
      </w:r>
      <w:r w:rsidRPr="00044B9B">
        <w:t xml:space="preserve">) and pressed, while liquid samples were deposited on a </w:t>
      </w:r>
      <w:proofErr w:type="spellStart"/>
      <w:r w:rsidRPr="00044B9B">
        <w:t>KBr</w:t>
      </w:r>
      <w:proofErr w:type="spellEnd"/>
      <w:r w:rsidRPr="00044B9B">
        <w:t xml:space="preserve"> pressed disk. RG were forced to pass through an IR glass cell with </w:t>
      </w:r>
      <w:proofErr w:type="spellStart"/>
      <w:r w:rsidRPr="00044B9B">
        <w:t>KBr</w:t>
      </w:r>
      <w:proofErr w:type="spellEnd"/>
      <w:r w:rsidRPr="00044B9B">
        <w:t xml:space="preserve"> windows and analyzed by the same spectrometer.</w:t>
      </w:r>
    </w:p>
    <w:p w14:paraId="38A95299" w14:textId="77777777" w:rsidR="00785D44" w:rsidRPr="00044B9B" w:rsidRDefault="002A1D1E" w:rsidP="00ED6552">
      <w:pPr>
        <w:pStyle w:val="CETheadingx"/>
      </w:pPr>
      <w:r w:rsidRPr="00044B9B">
        <w:t>GC and GC-MS analyses</w:t>
      </w:r>
    </w:p>
    <w:p w14:paraId="52D29432" w14:textId="51DE0BB4" w:rsidR="002A1D1E" w:rsidRPr="00044B9B" w:rsidRDefault="002A1D1E" w:rsidP="002A1D1E">
      <w:pPr>
        <w:pStyle w:val="CETBodytext"/>
      </w:pPr>
      <w:r w:rsidRPr="00044B9B">
        <w:t xml:space="preserve">All RG samples were analyzed using a gas chromatograph, model 4890 (Agilent Technologies, Santa Clara, CA, USA), with FID detector. The instrument was equipped with a Varian capillary column, model </w:t>
      </w:r>
      <w:proofErr w:type="spellStart"/>
      <w:r w:rsidRPr="00044B9B">
        <w:t>Molsieve</w:t>
      </w:r>
      <w:proofErr w:type="spellEnd"/>
      <w:r w:rsidRPr="00044B9B">
        <w:t xml:space="preserve"> 5A/</w:t>
      </w:r>
      <w:proofErr w:type="spellStart"/>
      <w:r w:rsidRPr="00044B9B">
        <w:t>Porabond</w:t>
      </w:r>
      <w:proofErr w:type="spellEnd"/>
      <w:r w:rsidRPr="00044B9B">
        <w:t xml:space="preserve"> Q Tandem (Agilent). Helium (purity &gt; 99.9%) was used as a carrier gas at a flow rate of 1.6 mL min</w:t>
      </w:r>
      <w:r w:rsidRPr="00044B9B">
        <w:rPr>
          <w:vertAlign w:val="superscript"/>
        </w:rPr>
        <w:t>-1</w:t>
      </w:r>
      <w:r w:rsidRPr="00044B9B">
        <w:t xml:space="preserve">. The column temperature was initially set at 343 K, increased </w:t>
      </w:r>
      <w:r w:rsidR="00230275">
        <w:t xml:space="preserve">up </w:t>
      </w:r>
      <w:r w:rsidRPr="00044B9B">
        <w:t>to</w:t>
      </w:r>
      <w:r w:rsidR="00230275">
        <w:t xml:space="preserve"> 503 K at </w:t>
      </w:r>
      <w:r w:rsidRPr="00044B9B">
        <w:t>10 K min</w:t>
      </w:r>
      <w:r w:rsidRPr="00044B9B">
        <w:rPr>
          <w:vertAlign w:val="superscript"/>
        </w:rPr>
        <w:t>-1</w:t>
      </w:r>
      <w:r w:rsidRPr="00044B9B">
        <w:t xml:space="preserve">. Using a 500 µL gas chromatography syringe, 400 µL of sample were injected with a split ratio of 1:10. </w:t>
      </w:r>
      <w:r w:rsidR="001B0A68" w:rsidRPr="00044B9B">
        <w:t>RL</w:t>
      </w:r>
      <w:r w:rsidRPr="00044B9B">
        <w:t xml:space="preserve"> samples were </w:t>
      </w:r>
      <w:r w:rsidRPr="00044B9B">
        <w:lastRenderedPageBreak/>
        <w:t>diluted with CHCl</w:t>
      </w:r>
      <w:r w:rsidRPr="00044B9B">
        <w:rPr>
          <w:vertAlign w:val="subscript"/>
        </w:rPr>
        <w:t>3</w:t>
      </w:r>
      <w:r w:rsidRPr="00044B9B">
        <w:t xml:space="preserve"> up to a ratio of 1:10 (v/v) and analyzed by a gas chromatography-mass spectrometer (GC-MS), model Focus-ISQ (Thermo Scientific, Milan, Italy)</w:t>
      </w:r>
      <w:r w:rsidR="007173C4">
        <w:t xml:space="preserve"> (Romero et al., 2018)</w:t>
      </w:r>
      <w:r w:rsidRPr="00044B9B">
        <w:t>.</w:t>
      </w:r>
    </w:p>
    <w:p w14:paraId="738C1495" w14:textId="77777777" w:rsidR="008418E5" w:rsidRPr="006A42F5" w:rsidRDefault="001464E4" w:rsidP="006A42F5">
      <w:pPr>
        <w:pStyle w:val="CETHeading1"/>
      </w:pPr>
      <w:r w:rsidRPr="006A42F5">
        <w:t>Results and discussion</w:t>
      </w:r>
    </w:p>
    <w:p w14:paraId="5FFE90D6" w14:textId="77777777" w:rsidR="001464E4" w:rsidRPr="00044B9B" w:rsidRDefault="001B0A68" w:rsidP="00ED6552">
      <w:pPr>
        <w:pStyle w:val="CETheadingx"/>
      </w:pPr>
      <w:r w:rsidRPr="00044B9B">
        <w:t>Reaction yields</w:t>
      </w:r>
    </w:p>
    <w:p w14:paraId="4407538F" w14:textId="3B777634" w:rsidR="001B0A68" w:rsidRPr="00044B9B" w:rsidRDefault="00CC4DD7" w:rsidP="001B0A68">
      <w:pPr>
        <w:pStyle w:val="CETBodytext"/>
      </w:pPr>
      <w:r>
        <w:t>T</w:t>
      </w:r>
      <w:r w:rsidR="001B0A68" w:rsidRPr="00044B9B">
        <w:t>hermal pyrolysis was performed at 673 K for 90 min,</w:t>
      </w:r>
      <w:r>
        <w:t xml:space="preserve"> and</w:t>
      </w:r>
      <w:r w:rsidR="001B0A68" w:rsidRPr="00044B9B">
        <w:t xml:space="preserve"> the reaction products were classified as reaction gas (RG), reaction liquid (RL) and solid residue (</w:t>
      </w:r>
      <w:r w:rsidR="005B2429" w:rsidRPr="00044B9B">
        <w:t>SR</w:t>
      </w:r>
      <w:r w:rsidR="001B0A68" w:rsidRPr="00044B9B">
        <w:t>). Table 1</w:t>
      </w:r>
      <w:r w:rsidR="0045547A" w:rsidRPr="00044B9B">
        <w:t xml:space="preserve"> </w:t>
      </w:r>
      <w:r>
        <w:t>lists</w:t>
      </w:r>
      <w:r w:rsidR="0045547A" w:rsidRPr="00044B9B">
        <w:t xml:space="preserve"> the reaction yields</w:t>
      </w:r>
      <w:r w:rsidR="003F77AA">
        <w:t xml:space="preserve"> of these fractions</w:t>
      </w:r>
      <w:r w:rsidR="0045547A" w:rsidRPr="00044B9B">
        <w:t xml:space="preserve"> obtained from </w:t>
      </w:r>
      <w:r w:rsidR="003F77AA">
        <w:t>each</w:t>
      </w:r>
      <w:r w:rsidR="0045547A" w:rsidRPr="00044B9B">
        <w:t xml:space="preserve"> of the </w:t>
      </w:r>
      <w:r w:rsidR="003F77AA">
        <w:t>selected</w:t>
      </w:r>
      <w:r w:rsidR="003F77AA" w:rsidRPr="00044B9B">
        <w:t xml:space="preserve"> </w:t>
      </w:r>
      <w:r w:rsidR="0045547A" w:rsidRPr="00044B9B">
        <w:t>plastic residues</w:t>
      </w:r>
      <w:r w:rsidR="003F77AA">
        <w:t xml:space="preserve">, namely </w:t>
      </w:r>
      <w:r w:rsidR="003F77AA" w:rsidRPr="00044B9B">
        <w:t>polyethylene terephthalate (PET), polyamide (Nylon</w:t>
      </w:r>
      <w:r w:rsidR="003F77AA">
        <w:t>-</w:t>
      </w:r>
      <w:r w:rsidR="003F77AA" w:rsidRPr="00044B9B">
        <w:t>6), polyvinyl chloride (PVC)</w:t>
      </w:r>
      <w:r w:rsidR="003F77AA">
        <w:t xml:space="preserve"> and</w:t>
      </w:r>
      <w:r w:rsidR="003F77AA" w:rsidRPr="00044B9B">
        <w:t xml:space="preserve"> polyurethane (PU)</w:t>
      </w:r>
      <w:r w:rsidR="0045547A" w:rsidRPr="00044B9B">
        <w:t xml:space="preserve">. </w:t>
      </w:r>
      <w:r w:rsidR="00A65C35" w:rsidRPr="00044B9B">
        <w:t xml:space="preserve">It is </w:t>
      </w:r>
      <w:r w:rsidR="005B2429" w:rsidRPr="00044B9B">
        <w:t xml:space="preserve">possible to observe that the polymer residue that </w:t>
      </w:r>
      <w:r w:rsidR="003F77AA">
        <w:t>led to</w:t>
      </w:r>
      <w:r w:rsidR="003F77AA" w:rsidRPr="00044B9B">
        <w:t xml:space="preserve"> </w:t>
      </w:r>
      <w:r w:rsidR="005B2429" w:rsidRPr="00044B9B">
        <w:t>the highest RG</w:t>
      </w:r>
      <w:r w:rsidR="003F77AA">
        <w:t xml:space="preserve"> yield</w:t>
      </w:r>
      <w:r w:rsidR="001B00C5" w:rsidRPr="00044B9B">
        <w:t xml:space="preserve"> was Nylon-6 </w:t>
      </w:r>
      <w:r w:rsidR="003F5A3C" w:rsidRPr="00044B9B">
        <w:t>(</w:t>
      </w:r>
      <w:r w:rsidR="001B00C5" w:rsidRPr="00044B9B">
        <w:t>65</w:t>
      </w:r>
      <w:r w:rsidR="00A2344B">
        <w:t>.69</w:t>
      </w:r>
      <w:r w:rsidR="003F5A3C" w:rsidRPr="00044B9B">
        <w:t xml:space="preserve"> </w:t>
      </w:r>
      <w:r w:rsidR="00A2344B">
        <w:t>g/100g</w:t>
      </w:r>
      <w:r w:rsidR="00A2344B" w:rsidRPr="00044B9B">
        <w:t xml:space="preserve">), </w:t>
      </w:r>
      <w:r w:rsidR="001B00C5" w:rsidRPr="00044B9B">
        <w:t xml:space="preserve">followed by PVC </w:t>
      </w:r>
      <w:r w:rsidR="003F5A3C" w:rsidRPr="00044B9B">
        <w:t>(</w:t>
      </w:r>
      <w:r w:rsidR="001B00C5" w:rsidRPr="00044B9B">
        <w:t>53</w:t>
      </w:r>
      <w:r w:rsidR="00A2344B">
        <w:t>.01</w:t>
      </w:r>
      <w:r w:rsidR="003F5A3C" w:rsidRPr="00044B9B">
        <w:t xml:space="preserve"> </w:t>
      </w:r>
      <w:r w:rsidR="00A2344B">
        <w:t>g/100g</w:t>
      </w:r>
      <w:r w:rsidR="00A2344B" w:rsidRPr="00044B9B">
        <w:t xml:space="preserve">), </w:t>
      </w:r>
      <w:r w:rsidR="001B00C5" w:rsidRPr="00044B9B">
        <w:t xml:space="preserve">while the lowest </w:t>
      </w:r>
      <w:r w:rsidR="003F77AA">
        <w:t>yield</w:t>
      </w:r>
      <w:r w:rsidR="003F77AA" w:rsidRPr="00044B9B">
        <w:t xml:space="preserve"> </w:t>
      </w:r>
      <w:r w:rsidR="001B00C5" w:rsidRPr="00044B9B">
        <w:t xml:space="preserve">of RG was produced by </w:t>
      </w:r>
      <w:r w:rsidR="00CE1056" w:rsidRPr="00044B9B">
        <w:t>PFU (13</w:t>
      </w:r>
      <w:r w:rsidR="003F5A3C" w:rsidRPr="00044B9B">
        <w:t xml:space="preserve"> </w:t>
      </w:r>
      <w:r w:rsidR="00A2344B">
        <w:t>g/100g</w:t>
      </w:r>
      <w:r w:rsidR="00A2344B" w:rsidRPr="00044B9B">
        <w:t>)</w:t>
      </w:r>
      <w:r w:rsidR="00A2344B">
        <w:t xml:space="preserve">, </w:t>
      </w:r>
      <w:r w:rsidR="003F77AA">
        <w:t>while</w:t>
      </w:r>
      <w:r w:rsidR="001B00C5" w:rsidRPr="00044B9B">
        <w:t xml:space="preserve"> </w:t>
      </w:r>
      <w:r w:rsidR="003F77AA">
        <w:t>a</w:t>
      </w:r>
      <w:r w:rsidR="003F77AA" w:rsidRPr="00044B9B">
        <w:t xml:space="preserve"> </w:t>
      </w:r>
      <w:r w:rsidR="001B00C5" w:rsidRPr="00044B9B">
        <w:t xml:space="preserve">mixture of </w:t>
      </w:r>
      <w:r w:rsidR="003F77AA">
        <w:t>them showed</w:t>
      </w:r>
      <w:r w:rsidR="001B00C5" w:rsidRPr="00044B9B">
        <w:t xml:space="preserve"> </w:t>
      </w:r>
      <w:r w:rsidR="00A2344B">
        <w:t>a much lower</w:t>
      </w:r>
      <w:r w:rsidR="001B00C5" w:rsidRPr="00044B9B">
        <w:t xml:space="preserve"> conversion</w:t>
      </w:r>
      <w:r w:rsidR="00A2344B">
        <w:t xml:space="preserve"> (</w:t>
      </w:r>
      <w:r w:rsidR="00A2344B" w:rsidRPr="00044B9B">
        <w:t>SR</w:t>
      </w:r>
      <w:r w:rsidR="00A2344B">
        <w:t xml:space="preserve"> =</w:t>
      </w:r>
      <w:r w:rsidR="00A2344B" w:rsidRPr="00044B9B">
        <w:t xml:space="preserve"> </w:t>
      </w:r>
      <w:r w:rsidR="001B00C5" w:rsidRPr="00044B9B">
        <w:t xml:space="preserve">82 </w:t>
      </w:r>
      <w:r w:rsidR="00A2344B">
        <w:t>g/100g)</w:t>
      </w:r>
      <w:r w:rsidR="00A2344B" w:rsidRPr="00044B9B">
        <w:t xml:space="preserve">. </w:t>
      </w:r>
    </w:p>
    <w:p w14:paraId="681D6B6A" w14:textId="77777777" w:rsidR="0045547A" w:rsidRPr="00230275" w:rsidRDefault="0045547A" w:rsidP="0045547A">
      <w:pPr>
        <w:pStyle w:val="CETTabletitle"/>
        <w:rPr>
          <w:lang w:val="en-US"/>
        </w:rPr>
      </w:pPr>
      <w:r w:rsidRPr="00230275">
        <w:rPr>
          <w:lang w:val="en-US"/>
        </w:rPr>
        <w:t xml:space="preserve">Table 1: </w:t>
      </w:r>
      <w:r w:rsidR="005B2429" w:rsidRPr="00230275">
        <w:rPr>
          <w:lang w:val="en-US"/>
        </w:rPr>
        <w:t>Yields (%) of reaction gas (RG), reaction liquids (RL) and solid residue (SR)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851"/>
      </w:tblGrid>
      <w:tr w:rsidR="0045547A" w:rsidRPr="001C670C" w14:paraId="5E33E673" w14:textId="77777777" w:rsidTr="00E27EE5">
        <w:tc>
          <w:tcPr>
            <w:tcW w:w="1134" w:type="dxa"/>
            <w:tcBorders>
              <w:top w:val="single" w:sz="12" w:space="0" w:color="008000"/>
              <w:bottom w:val="single" w:sz="6" w:space="0" w:color="008000"/>
            </w:tcBorders>
            <w:shd w:val="clear" w:color="auto" w:fill="FFFFFF"/>
          </w:tcPr>
          <w:p w14:paraId="4BAEB2E0" w14:textId="77777777" w:rsidR="0045547A" w:rsidRPr="00230275" w:rsidRDefault="0045547A" w:rsidP="002640DD">
            <w:pPr>
              <w:pStyle w:val="CETBodytext"/>
              <w:rPr>
                <w:rFonts w:cs="Arial"/>
                <w:szCs w:val="18"/>
              </w:rPr>
            </w:pPr>
          </w:p>
        </w:tc>
        <w:tc>
          <w:tcPr>
            <w:tcW w:w="1134" w:type="dxa"/>
            <w:tcBorders>
              <w:top w:val="single" w:sz="12" w:space="0" w:color="008000"/>
              <w:bottom w:val="single" w:sz="6" w:space="0" w:color="008000"/>
            </w:tcBorders>
            <w:shd w:val="clear" w:color="auto" w:fill="FFFFFF"/>
          </w:tcPr>
          <w:p w14:paraId="08110E66" w14:textId="77777777" w:rsidR="0045547A" w:rsidRPr="00230275" w:rsidRDefault="0045547A" w:rsidP="002640DD">
            <w:pPr>
              <w:pStyle w:val="CETBodytext"/>
              <w:rPr>
                <w:rFonts w:cs="Arial"/>
                <w:szCs w:val="18"/>
              </w:rPr>
            </w:pPr>
            <w:r w:rsidRPr="00230275">
              <w:rPr>
                <w:rFonts w:cs="Arial"/>
                <w:szCs w:val="18"/>
              </w:rPr>
              <w:t>RG</w:t>
            </w:r>
          </w:p>
          <w:p w14:paraId="11621C6D" w14:textId="77777777" w:rsidR="0045547A" w:rsidRPr="00230275" w:rsidRDefault="0045547A" w:rsidP="002640DD">
            <w:pPr>
              <w:pStyle w:val="CETBodytext"/>
              <w:rPr>
                <w:rFonts w:cs="Arial"/>
                <w:szCs w:val="18"/>
              </w:rPr>
            </w:pPr>
            <w:r w:rsidRPr="00230275">
              <w:rPr>
                <w:rFonts w:cs="Arial"/>
                <w:szCs w:val="18"/>
              </w:rPr>
              <w:t>(g/100g)</w:t>
            </w:r>
          </w:p>
        </w:tc>
        <w:tc>
          <w:tcPr>
            <w:tcW w:w="1134" w:type="dxa"/>
            <w:tcBorders>
              <w:top w:val="single" w:sz="12" w:space="0" w:color="008000"/>
              <w:bottom w:val="single" w:sz="6" w:space="0" w:color="008000"/>
            </w:tcBorders>
            <w:shd w:val="clear" w:color="auto" w:fill="FFFFFF"/>
          </w:tcPr>
          <w:p w14:paraId="7BE92C01" w14:textId="77777777" w:rsidR="0045547A" w:rsidRPr="00230275" w:rsidRDefault="0045547A" w:rsidP="002640DD">
            <w:pPr>
              <w:pStyle w:val="CETBodytext"/>
              <w:rPr>
                <w:rFonts w:cs="Arial"/>
                <w:szCs w:val="18"/>
              </w:rPr>
            </w:pPr>
            <w:r w:rsidRPr="00230275">
              <w:rPr>
                <w:rFonts w:cs="Arial"/>
                <w:szCs w:val="18"/>
              </w:rPr>
              <w:t>RL</w:t>
            </w:r>
          </w:p>
          <w:p w14:paraId="3B4A1B39" w14:textId="77777777" w:rsidR="0045547A" w:rsidRPr="00230275" w:rsidRDefault="0045547A" w:rsidP="002640DD">
            <w:pPr>
              <w:pStyle w:val="CETBodytext"/>
              <w:rPr>
                <w:rFonts w:cs="Arial"/>
                <w:szCs w:val="18"/>
              </w:rPr>
            </w:pPr>
            <w:r w:rsidRPr="00230275">
              <w:rPr>
                <w:rFonts w:cs="Arial"/>
                <w:szCs w:val="18"/>
              </w:rPr>
              <w:t>(g/100g)</w:t>
            </w:r>
          </w:p>
        </w:tc>
        <w:tc>
          <w:tcPr>
            <w:tcW w:w="851" w:type="dxa"/>
            <w:tcBorders>
              <w:top w:val="single" w:sz="12" w:space="0" w:color="008000"/>
              <w:bottom w:val="single" w:sz="6" w:space="0" w:color="008000"/>
            </w:tcBorders>
            <w:shd w:val="clear" w:color="auto" w:fill="FFFFFF"/>
          </w:tcPr>
          <w:p w14:paraId="25033319" w14:textId="77777777" w:rsidR="0045547A" w:rsidRPr="00230275" w:rsidRDefault="0045547A" w:rsidP="002640DD">
            <w:pPr>
              <w:pStyle w:val="CETBodytext"/>
              <w:ind w:right="-1"/>
              <w:rPr>
                <w:rFonts w:cs="Arial"/>
                <w:szCs w:val="18"/>
              </w:rPr>
            </w:pPr>
            <w:r w:rsidRPr="00230275">
              <w:rPr>
                <w:rFonts w:cs="Arial"/>
                <w:szCs w:val="18"/>
              </w:rPr>
              <w:t>S</w:t>
            </w:r>
            <w:r w:rsidR="005B2429" w:rsidRPr="00230275">
              <w:rPr>
                <w:rFonts w:cs="Arial"/>
                <w:szCs w:val="18"/>
              </w:rPr>
              <w:t>R</w:t>
            </w:r>
          </w:p>
          <w:p w14:paraId="06CC1450" w14:textId="77777777" w:rsidR="0045547A" w:rsidRPr="00230275" w:rsidRDefault="0045547A" w:rsidP="002640DD">
            <w:pPr>
              <w:pStyle w:val="CETBodytext"/>
              <w:ind w:right="-1"/>
              <w:rPr>
                <w:rFonts w:cs="Arial"/>
                <w:szCs w:val="18"/>
              </w:rPr>
            </w:pPr>
            <w:r w:rsidRPr="00230275">
              <w:rPr>
                <w:rFonts w:cs="Arial"/>
                <w:szCs w:val="18"/>
              </w:rPr>
              <w:t>(g/100g)</w:t>
            </w:r>
          </w:p>
        </w:tc>
      </w:tr>
      <w:tr w:rsidR="0045547A" w:rsidRPr="001C670C" w14:paraId="4FBD8E5A" w14:textId="77777777" w:rsidTr="00E27EE5">
        <w:tc>
          <w:tcPr>
            <w:tcW w:w="1134" w:type="dxa"/>
            <w:shd w:val="clear" w:color="auto" w:fill="FFFFFF"/>
          </w:tcPr>
          <w:p w14:paraId="081CBC1F" w14:textId="77777777" w:rsidR="0045547A" w:rsidRPr="00230275" w:rsidRDefault="0045547A" w:rsidP="002640DD">
            <w:pPr>
              <w:pStyle w:val="CETBodytext"/>
              <w:rPr>
                <w:rFonts w:cs="Arial"/>
                <w:szCs w:val="18"/>
              </w:rPr>
            </w:pPr>
            <w:r w:rsidRPr="00230275">
              <w:rPr>
                <w:rFonts w:cs="Arial"/>
                <w:szCs w:val="18"/>
              </w:rPr>
              <w:t>PET</w:t>
            </w:r>
          </w:p>
        </w:tc>
        <w:tc>
          <w:tcPr>
            <w:tcW w:w="1134" w:type="dxa"/>
            <w:shd w:val="clear" w:color="auto" w:fill="FFFFFF"/>
          </w:tcPr>
          <w:p w14:paraId="5169ABC8" w14:textId="77777777" w:rsidR="0045547A" w:rsidRPr="00230275" w:rsidRDefault="0045547A" w:rsidP="002640DD">
            <w:pPr>
              <w:pStyle w:val="CETBodytext"/>
              <w:jc w:val="left"/>
              <w:rPr>
                <w:rFonts w:cs="Arial"/>
                <w:szCs w:val="18"/>
              </w:rPr>
            </w:pPr>
            <w:r w:rsidRPr="00230275">
              <w:rPr>
                <w:rFonts w:cs="Arial"/>
                <w:szCs w:val="18"/>
              </w:rPr>
              <w:t>28.02</w:t>
            </w:r>
          </w:p>
        </w:tc>
        <w:tc>
          <w:tcPr>
            <w:tcW w:w="1134" w:type="dxa"/>
            <w:shd w:val="clear" w:color="auto" w:fill="FFFFFF"/>
          </w:tcPr>
          <w:p w14:paraId="5DEFEC2D" w14:textId="77777777" w:rsidR="0045547A" w:rsidRPr="00230275" w:rsidRDefault="0045547A" w:rsidP="002640DD">
            <w:pPr>
              <w:pStyle w:val="CETBodytext"/>
              <w:jc w:val="left"/>
              <w:rPr>
                <w:rFonts w:cs="Arial"/>
                <w:szCs w:val="18"/>
              </w:rPr>
            </w:pPr>
            <w:r w:rsidRPr="00230275">
              <w:rPr>
                <w:rFonts w:cs="Arial"/>
                <w:szCs w:val="18"/>
              </w:rPr>
              <w:t>23.00</w:t>
            </w:r>
          </w:p>
        </w:tc>
        <w:tc>
          <w:tcPr>
            <w:tcW w:w="851" w:type="dxa"/>
            <w:shd w:val="clear" w:color="auto" w:fill="FFFFFF"/>
          </w:tcPr>
          <w:p w14:paraId="58444FFD" w14:textId="77777777" w:rsidR="0045547A" w:rsidRPr="00230275" w:rsidRDefault="0045547A" w:rsidP="002640DD">
            <w:pPr>
              <w:pStyle w:val="CETBodytext"/>
              <w:ind w:right="-1"/>
              <w:jc w:val="left"/>
              <w:rPr>
                <w:rFonts w:cs="Arial"/>
                <w:szCs w:val="18"/>
              </w:rPr>
            </w:pPr>
            <w:r w:rsidRPr="00230275">
              <w:rPr>
                <w:rFonts w:cs="Arial"/>
                <w:szCs w:val="18"/>
              </w:rPr>
              <w:t>48.80</w:t>
            </w:r>
          </w:p>
        </w:tc>
      </w:tr>
      <w:tr w:rsidR="0045547A" w:rsidRPr="001C670C" w14:paraId="5F4C3848" w14:textId="77777777" w:rsidTr="00E27EE5">
        <w:tc>
          <w:tcPr>
            <w:tcW w:w="1134" w:type="dxa"/>
            <w:tcBorders>
              <w:bottom w:val="nil"/>
            </w:tcBorders>
            <w:shd w:val="clear" w:color="auto" w:fill="FFFFFF"/>
          </w:tcPr>
          <w:p w14:paraId="360AECAF" w14:textId="77777777" w:rsidR="0045547A" w:rsidRPr="00230275" w:rsidRDefault="0045547A" w:rsidP="002640DD">
            <w:pPr>
              <w:pStyle w:val="CETBodytext"/>
              <w:ind w:right="-1"/>
              <w:rPr>
                <w:rFonts w:cs="Arial"/>
                <w:szCs w:val="18"/>
              </w:rPr>
            </w:pPr>
            <w:r w:rsidRPr="00230275">
              <w:rPr>
                <w:rFonts w:cs="Arial"/>
                <w:szCs w:val="18"/>
              </w:rPr>
              <w:t>PVC</w:t>
            </w:r>
          </w:p>
        </w:tc>
        <w:tc>
          <w:tcPr>
            <w:tcW w:w="1134" w:type="dxa"/>
            <w:tcBorders>
              <w:bottom w:val="nil"/>
            </w:tcBorders>
            <w:shd w:val="clear" w:color="auto" w:fill="FFFFFF"/>
          </w:tcPr>
          <w:p w14:paraId="5C26D52E" w14:textId="77777777" w:rsidR="0045547A" w:rsidRPr="00230275" w:rsidRDefault="0045547A" w:rsidP="002640DD">
            <w:pPr>
              <w:pStyle w:val="CETBodytext"/>
              <w:ind w:right="-1"/>
              <w:jc w:val="left"/>
              <w:rPr>
                <w:rFonts w:cs="Arial"/>
                <w:szCs w:val="18"/>
              </w:rPr>
            </w:pPr>
            <w:r w:rsidRPr="00230275">
              <w:rPr>
                <w:rFonts w:cs="Arial"/>
                <w:szCs w:val="18"/>
              </w:rPr>
              <w:t>53.01</w:t>
            </w:r>
          </w:p>
        </w:tc>
        <w:tc>
          <w:tcPr>
            <w:tcW w:w="1134" w:type="dxa"/>
            <w:tcBorders>
              <w:bottom w:val="nil"/>
            </w:tcBorders>
            <w:shd w:val="clear" w:color="auto" w:fill="FFFFFF"/>
          </w:tcPr>
          <w:p w14:paraId="58CD3D38" w14:textId="77777777" w:rsidR="0045547A" w:rsidRPr="00230275" w:rsidRDefault="0045547A" w:rsidP="002640DD">
            <w:pPr>
              <w:pStyle w:val="CETBodytext"/>
              <w:ind w:right="-1"/>
              <w:jc w:val="left"/>
              <w:rPr>
                <w:rFonts w:cs="Arial"/>
                <w:szCs w:val="18"/>
              </w:rPr>
            </w:pPr>
            <w:r w:rsidRPr="00230275">
              <w:rPr>
                <w:rFonts w:cs="Arial"/>
                <w:szCs w:val="18"/>
              </w:rPr>
              <w:t>6.71</w:t>
            </w:r>
          </w:p>
        </w:tc>
        <w:tc>
          <w:tcPr>
            <w:tcW w:w="851" w:type="dxa"/>
            <w:tcBorders>
              <w:bottom w:val="nil"/>
            </w:tcBorders>
            <w:shd w:val="clear" w:color="auto" w:fill="FFFFFF"/>
          </w:tcPr>
          <w:p w14:paraId="54B282AE" w14:textId="77777777" w:rsidR="0045547A" w:rsidRPr="00044B9B" w:rsidRDefault="0045547A" w:rsidP="002640DD">
            <w:pPr>
              <w:spacing w:line="240" w:lineRule="auto"/>
              <w:jc w:val="left"/>
              <w:rPr>
                <w:rFonts w:cs="Arial"/>
                <w:szCs w:val="18"/>
                <w:lang w:val="en-US"/>
              </w:rPr>
            </w:pPr>
            <w:r w:rsidRPr="00044B9B">
              <w:rPr>
                <w:rFonts w:cs="Arial"/>
                <w:szCs w:val="18"/>
                <w:lang w:val="en-US"/>
              </w:rPr>
              <w:t>40.28</w:t>
            </w:r>
          </w:p>
        </w:tc>
      </w:tr>
      <w:tr w:rsidR="0045547A" w:rsidRPr="001C670C" w14:paraId="673FC498" w14:textId="77777777" w:rsidTr="00E27EE5">
        <w:tc>
          <w:tcPr>
            <w:tcW w:w="1134" w:type="dxa"/>
            <w:tcBorders>
              <w:top w:val="nil"/>
              <w:bottom w:val="nil"/>
            </w:tcBorders>
            <w:shd w:val="clear" w:color="auto" w:fill="FFFFFF"/>
          </w:tcPr>
          <w:p w14:paraId="0A1811A7" w14:textId="77777777" w:rsidR="0045547A" w:rsidRPr="00230275" w:rsidRDefault="0045547A" w:rsidP="002640DD">
            <w:pPr>
              <w:pStyle w:val="CETBodytext"/>
              <w:ind w:right="-1"/>
              <w:rPr>
                <w:rFonts w:cs="Arial"/>
                <w:szCs w:val="18"/>
              </w:rPr>
            </w:pPr>
            <w:r w:rsidRPr="00230275">
              <w:rPr>
                <w:rFonts w:cs="Arial"/>
                <w:szCs w:val="18"/>
              </w:rPr>
              <w:t>PU</w:t>
            </w:r>
          </w:p>
        </w:tc>
        <w:tc>
          <w:tcPr>
            <w:tcW w:w="1134" w:type="dxa"/>
            <w:tcBorders>
              <w:top w:val="nil"/>
              <w:bottom w:val="nil"/>
            </w:tcBorders>
            <w:shd w:val="clear" w:color="auto" w:fill="FFFFFF"/>
          </w:tcPr>
          <w:p w14:paraId="5869F1EF" w14:textId="77777777" w:rsidR="0045547A" w:rsidRPr="00230275" w:rsidRDefault="0045547A" w:rsidP="002640DD">
            <w:pPr>
              <w:pStyle w:val="CETBodytext"/>
              <w:ind w:right="-1"/>
              <w:jc w:val="left"/>
              <w:rPr>
                <w:rFonts w:cs="Arial"/>
                <w:szCs w:val="18"/>
              </w:rPr>
            </w:pPr>
            <w:r w:rsidRPr="00230275">
              <w:rPr>
                <w:rFonts w:cs="Arial"/>
                <w:szCs w:val="18"/>
              </w:rPr>
              <w:t>25.11</w:t>
            </w:r>
          </w:p>
        </w:tc>
        <w:tc>
          <w:tcPr>
            <w:tcW w:w="1134" w:type="dxa"/>
            <w:tcBorders>
              <w:top w:val="nil"/>
              <w:bottom w:val="nil"/>
            </w:tcBorders>
            <w:shd w:val="clear" w:color="auto" w:fill="FFFFFF"/>
          </w:tcPr>
          <w:p w14:paraId="7373357D" w14:textId="77777777" w:rsidR="0045547A" w:rsidRPr="00044B9B" w:rsidRDefault="0045547A" w:rsidP="002640DD">
            <w:pPr>
              <w:spacing w:line="240" w:lineRule="auto"/>
              <w:jc w:val="left"/>
              <w:rPr>
                <w:rFonts w:cs="Arial"/>
                <w:szCs w:val="18"/>
                <w:lang w:val="en-US"/>
              </w:rPr>
            </w:pPr>
            <w:r w:rsidRPr="00044B9B">
              <w:rPr>
                <w:rFonts w:cs="Arial"/>
                <w:szCs w:val="18"/>
                <w:lang w:val="en-US"/>
              </w:rPr>
              <w:t>19.00</w:t>
            </w:r>
          </w:p>
        </w:tc>
        <w:tc>
          <w:tcPr>
            <w:tcW w:w="851" w:type="dxa"/>
            <w:tcBorders>
              <w:top w:val="nil"/>
              <w:bottom w:val="nil"/>
            </w:tcBorders>
            <w:shd w:val="clear" w:color="auto" w:fill="FFFFFF"/>
          </w:tcPr>
          <w:p w14:paraId="25D7EA2F" w14:textId="77777777" w:rsidR="0045547A" w:rsidRPr="00044B9B" w:rsidRDefault="0045547A" w:rsidP="002640DD">
            <w:pPr>
              <w:spacing w:line="240" w:lineRule="auto"/>
              <w:jc w:val="left"/>
              <w:rPr>
                <w:rFonts w:cs="Arial"/>
                <w:szCs w:val="18"/>
                <w:lang w:val="en-US"/>
              </w:rPr>
            </w:pPr>
            <w:r w:rsidRPr="00044B9B">
              <w:rPr>
                <w:rFonts w:cs="Arial"/>
                <w:szCs w:val="18"/>
                <w:lang w:val="en-US"/>
              </w:rPr>
              <w:t>55.89</w:t>
            </w:r>
          </w:p>
        </w:tc>
      </w:tr>
      <w:tr w:rsidR="0045547A" w:rsidRPr="001C670C" w14:paraId="3730E07D" w14:textId="77777777" w:rsidTr="00F455C0">
        <w:tc>
          <w:tcPr>
            <w:tcW w:w="1134" w:type="dxa"/>
            <w:tcBorders>
              <w:top w:val="nil"/>
              <w:bottom w:val="nil"/>
            </w:tcBorders>
            <w:shd w:val="clear" w:color="auto" w:fill="FFFFFF"/>
          </w:tcPr>
          <w:p w14:paraId="1465EBEA" w14:textId="77777777" w:rsidR="0045547A" w:rsidRPr="00230275" w:rsidRDefault="0045547A" w:rsidP="002640DD">
            <w:pPr>
              <w:pStyle w:val="CETBodytext"/>
              <w:ind w:right="-1"/>
              <w:rPr>
                <w:rFonts w:cs="Arial"/>
                <w:szCs w:val="18"/>
              </w:rPr>
            </w:pPr>
            <w:r w:rsidRPr="00230275">
              <w:rPr>
                <w:rFonts w:cs="Arial"/>
                <w:szCs w:val="18"/>
              </w:rPr>
              <w:t>Nylon</w:t>
            </w:r>
            <w:r w:rsidR="001B00C5" w:rsidRPr="00230275">
              <w:rPr>
                <w:rFonts w:cs="Arial"/>
                <w:szCs w:val="18"/>
              </w:rPr>
              <w:t>-</w:t>
            </w:r>
            <w:r w:rsidRPr="00230275">
              <w:rPr>
                <w:rFonts w:cs="Arial"/>
                <w:szCs w:val="18"/>
              </w:rPr>
              <w:t>6</w:t>
            </w:r>
          </w:p>
        </w:tc>
        <w:tc>
          <w:tcPr>
            <w:tcW w:w="1134" w:type="dxa"/>
            <w:tcBorders>
              <w:top w:val="nil"/>
              <w:bottom w:val="nil"/>
            </w:tcBorders>
            <w:shd w:val="clear" w:color="auto" w:fill="FFFFFF"/>
          </w:tcPr>
          <w:p w14:paraId="25182AAE" w14:textId="77777777" w:rsidR="0045547A" w:rsidRPr="00044B9B" w:rsidRDefault="0045547A" w:rsidP="002640DD">
            <w:pPr>
              <w:pStyle w:val="CETBodytext"/>
              <w:ind w:right="-1"/>
              <w:jc w:val="left"/>
              <w:rPr>
                <w:rFonts w:cs="Arial"/>
                <w:szCs w:val="18"/>
              </w:rPr>
            </w:pPr>
            <w:r w:rsidRPr="00044B9B">
              <w:rPr>
                <w:rFonts w:cs="Arial"/>
                <w:szCs w:val="18"/>
              </w:rPr>
              <w:t>65.69</w:t>
            </w:r>
          </w:p>
        </w:tc>
        <w:tc>
          <w:tcPr>
            <w:tcW w:w="1134" w:type="dxa"/>
            <w:tcBorders>
              <w:top w:val="nil"/>
              <w:bottom w:val="nil"/>
            </w:tcBorders>
            <w:shd w:val="clear" w:color="auto" w:fill="FFFFFF"/>
          </w:tcPr>
          <w:p w14:paraId="2B2A114E" w14:textId="77777777" w:rsidR="0045547A" w:rsidRPr="00044B9B" w:rsidRDefault="0045547A" w:rsidP="002640DD">
            <w:pPr>
              <w:spacing w:line="240" w:lineRule="auto"/>
              <w:jc w:val="left"/>
              <w:rPr>
                <w:rFonts w:cs="Arial"/>
                <w:szCs w:val="18"/>
                <w:lang w:val="en-US"/>
              </w:rPr>
            </w:pPr>
            <w:r w:rsidRPr="00044B9B">
              <w:rPr>
                <w:rFonts w:cs="Arial"/>
                <w:szCs w:val="18"/>
                <w:lang w:val="en-US"/>
              </w:rPr>
              <w:t>13.73</w:t>
            </w:r>
          </w:p>
        </w:tc>
        <w:tc>
          <w:tcPr>
            <w:tcW w:w="851" w:type="dxa"/>
            <w:tcBorders>
              <w:top w:val="nil"/>
              <w:bottom w:val="nil"/>
            </w:tcBorders>
            <w:shd w:val="clear" w:color="auto" w:fill="FFFFFF"/>
          </w:tcPr>
          <w:p w14:paraId="07E6AABE" w14:textId="77777777" w:rsidR="0045547A" w:rsidRPr="00044B9B" w:rsidRDefault="0045547A" w:rsidP="002640DD">
            <w:pPr>
              <w:spacing w:line="240" w:lineRule="auto"/>
              <w:jc w:val="left"/>
              <w:rPr>
                <w:rFonts w:cs="Arial"/>
                <w:szCs w:val="18"/>
                <w:lang w:val="en-US"/>
              </w:rPr>
            </w:pPr>
            <w:r w:rsidRPr="00044B9B">
              <w:rPr>
                <w:rFonts w:cs="Arial"/>
                <w:szCs w:val="18"/>
                <w:lang w:val="en-US"/>
              </w:rPr>
              <w:t>20.59</w:t>
            </w:r>
          </w:p>
        </w:tc>
      </w:tr>
      <w:tr w:rsidR="005C34DC" w:rsidRPr="001C670C" w14:paraId="1D1BE201" w14:textId="77777777" w:rsidTr="00F455C0">
        <w:tc>
          <w:tcPr>
            <w:tcW w:w="1134" w:type="dxa"/>
            <w:tcBorders>
              <w:top w:val="nil"/>
              <w:bottom w:val="single" w:sz="12" w:space="0" w:color="008000"/>
            </w:tcBorders>
            <w:shd w:val="clear" w:color="auto" w:fill="FFFFFF"/>
          </w:tcPr>
          <w:p w14:paraId="6920EE5B" w14:textId="77777777" w:rsidR="005C34DC" w:rsidRPr="00230275" w:rsidRDefault="005C34DC" w:rsidP="005C34DC">
            <w:pPr>
              <w:pStyle w:val="CETBodytext"/>
              <w:ind w:right="-1"/>
              <w:rPr>
                <w:rFonts w:cs="Arial"/>
                <w:szCs w:val="18"/>
              </w:rPr>
            </w:pPr>
            <w:r w:rsidRPr="00230275">
              <w:rPr>
                <w:rFonts w:cs="Arial"/>
                <w:szCs w:val="18"/>
              </w:rPr>
              <w:t>ELT</w:t>
            </w:r>
          </w:p>
        </w:tc>
        <w:tc>
          <w:tcPr>
            <w:tcW w:w="1134" w:type="dxa"/>
            <w:tcBorders>
              <w:top w:val="nil"/>
              <w:bottom w:val="single" w:sz="12" w:space="0" w:color="008000"/>
            </w:tcBorders>
            <w:shd w:val="clear" w:color="auto" w:fill="FFFFFF"/>
          </w:tcPr>
          <w:p w14:paraId="2F64F5D2" w14:textId="4FDE62D0" w:rsidR="005C34DC" w:rsidRPr="00044B9B" w:rsidRDefault="00E14BD2" w:rsidP="005C34DC">
            <w:pPr>
              <w:pStyle w:val="CETBodytext"/>
              <w:ind w:right="-1"/>
              <w:jc w:val="left"/>
              <w:rPr>
                <w:rFonts w:cs="Arial"/>
                <w:szCs w:val="18"/>
              </w:rPr>
            </w:pPr>
            <w:r>
              <w:rPr>
                <w:rFonts w:cs="Arial"/>
                <w:szCs w:val="18"/>
              </w:rPr>
              <w:t>12.89</w:t>
            </w:r>
          </w:p>
        </w:tc>
        <w:tc>
          <w:tcPr>
            <w:tcW w:w="1134" w:type="dxa"/>
            <w:tcBorders>
              <w:top w:val="nil"/>
              <w:bottom w:val="single" w:sz="12" w:space="0" w:color="008000"/>
            </w:tcBorders>
            <w:shd w:val="clear" w:color="auto" w:fill="FFFFFF"/>
          </w:tcPr>
          <w:p w14:paraId="4F374E2F" w14:textId="77777777" w:rsidR="005C34DC" w:rsidRPr="00044B9B" w:rsidRDefault="005C34DC" w:rsidP="005C34DC">
            <w:pPr>
              <w:spacing w:line="240" w:lineRule="auto"/>
              <w:jc w:val="left"/>
              <w:rPr>
                <w:rFonts w:cs="Arial"/>
                <w:szCs w:val="18"/>
                <w:lang w:val="en-US"/>
              </w:rPr>
            </w:pPr>
            <w:r w:rsidRPr="00044B9B">
              <w:rPr>
                <w:rFonts w:cs="Arial"/>
                <w:szCs w:val="18"/>
                <w:lang w:val="en-US"/>
              </w:rPr>
              <w:t>3.91</w:t>
            </w:r>
          </w:p>
        </w:tc>
        <w:tc>
          <w:tcPr>
            <w:tcW w:w="851" w:type="dxa"/>
            <w:tcBorders>
              <w:top w:val="nil"/>
              <w:bottom w:val="single" w:sz="12" w:space="0" w:color="008000"/>
            </w:tcBorders>
            <w:shd w:val="clear" w:color="auto" w:fill="FFFFFF"/>
          </w:tcPr>
          <w:p w14:paraId="17BF3333" w14:textId="2BED2379" w:rsidR="005C34DC" w:rsidRPr="00044B9B" w:rsidRDefault="00E14BD2" w:rsidP="005C34DC">
            <w:pPr>
              <w:spacing w:line="240" w:lineRule="auto"/>
              <w:jc w:val="left"/>
              <w:rPr>
                <w:rFonts w:cs="Arial"/>
                <w:szCs w:val="18"/>
                <w:lang w:val="en-US"/>
              </w:rPr>
            </w:pPr>
            <w:r>
              <w:rPr>
                <w:rFonts w:cs="Arial"/>
                <w:szCs w:val="18"/>
                <w:lang w:val="en-US"/>
              </w:rPr>
              <w:t>8</w:t>
            </w:r>
            <w:r>
              <w:rPr>
                <w:rFonts w:cs="Arial"/>
                <w:szCs w:val="18"/>
              </w:rPr>
              <w:t>2.20</w:t>
            </w:r>
          </w:p>
        </w:tc>
      </w:tr>
    </w:tbl>
    <w:p w14:paraId="51B9F5DD" w14:textId="77777777" w:rsidR="00CE1056" w:rsidRPr="00044B9B" w:rsidRDefault="00CE1056" w:rsidP="001B0A68">
      <w:pPr>
        <w:pStyle w:val="CETBodytext"/>
      </w:pPr>
    </w:p>
    <w:p w14:paraId="6619ED49" w14:textId="77777777" w:rsidR="00CE1056" w:rsidRPr="00044B9B" w:rsidRDefault="00CE1056" w:rsidP="00ED6552">
      <w:pPr>
        <w:pStyle w:val="CETheadingx"/>
      </w:pPr>
      <w:r w:rsidRPr="00044B9B">
        <w:t>Reaction gas characterization</w:t>
      </w:r>
    </w:p>
    <w:p w14:paraId="0BB0E6BC" w14:textId="4327EC96" w:rsidR="00EE1D13" w:rsidRPr="00044B9B" w:rsidRDefault="00E73DD5" w:rsidP="0065171C">
      <w:pPr>
        <w:pStyle w:val="CETBodytext"/>
      </w:pPr>
      <w:r w:rsidRPr="00044B9B">
        <w:t>F</w:t>
      </w:r>
      <w:r w:rsidR="0065171C" w:rsidRPr="00044B9B">
        <w:t xml:space="preserve">igure 2 </w:t>
      </w:r>
      <w:r w:rsidR="00A2344B" w:rsidRPr="00044B9B">
        <w:t>show</w:t>
      </w:r>
      <w:r w:rsidR="00A2344B">
        <w:t>s</w:t>
      </w:r>
      <w:r w:rsidR="00A2344B" w:rsidRPr="00044B9B">
        <w:t xml:space="preserve"> </w:t>
      </w:r>
      <w:r w:rsidRPr="00044B9B">
        <w:t>the FTIR spectra of the reaction gases</w:t>
      </w:r>
      <w:r w:rsidR="000E5034">
        <w:t xml:space="preserve"> from thermal pyrolysis of the selected plastic materials</w:t>
      </w:r>
      <w:r w:rsidRPr="00044B9B">
        <w:t xml:space="preserve">. All the spectra </w:t>
      </w:r>
      <w:r w:rsidR="00A2344B">
        <w:t>displayed</w:t>
      </w:r>
      <w:r w:rsidR="00A2344B" w:rsidRPr="00044B9B">
        <w:t xml:space="preserve"> </w:t>
      </w:r>
      <w:r w:rsidRPr="00044B9B">
        <w:t>the typical band of the asymmetric stretching of carbon dioxide at 2342 cm</w:t>
      </w:r>
      <w:r w:rsidRPr="00044B9B">
        <w:rPr>
          <w:vertAlign w:val="superscript"/>
        </w:rPr>
        <w:t>-1</w:t>
      </w:r>
      <w:r w:rsidRPr="00044B9B">
        <w:t>, its ro</w:t>
      </w:r>
      <w:r w:rsidR="00A2344B">
        <w:t>to-</w:t>
      </w:r>
      <w:r w:rsidRPr="00044B9B">
        <w:t>vibrational deformation</w:t>
      </w:r>
      <w:r w:rsidR="00535C0D" w:rsidRPr="00044B9B">
        <w:t xml:space="preserve"> (O-C-O)</w:t>
      </w:r>
      <w:r w:rsidRPr="00044B9B">
        <w:t xml:space="preserve"> at 669 cm</w:t>
      </w:r>
      <w:r w:rsidRPr="00044B9B">
        <w:rPr>
          <w:vertAlign w:val="superscript"/>
        </w:rPr>
        <w:t>-1</w:t>
      </w:r>
      <w:r w:rsidRPr="00044B9B">
        <w:t xml:space="preserve"> and its overtones at 3726 and 3627</w:t>
      </w:r>
      <w:r w:rsidR="00535C0D" w:rsidRPr="00044B9B">
        <w:t xml:space="preserve"> cm</w:t>
      </w:r>
      <w:r w:rsidR="00535C0D" w:rsidRPr="00044B9B">
        <w:rPr>
          <w:vertAlign w:val="superscript"/>
        </w:rPr>
        <w:t>-1</w:t>
      </w:r>
      <w:r w:rsidRPr="00044B9B">
        <w:t>.</w:t>
      </w:r>
      <w:r w:rsidR="00535C0D" w:rsidRPr="00044B9B">
        <w:t xml:space="preserve"> The roto</w:t>
      </w:r>
      <w:r w:rsidR="00887DC1" w:rsidRPr="00044B9B">
        <w:t>-</w:t>
      </w:r>
      <w:r w:rsidR="00535C0D" w:rsidRPr="00044B9B">
        <w:t xml:space="preserve">vibrational band of </w:t>
      </w:r>
      <w:r w:rsidR="00A2344B">
        <w:t>CO</w:t>
      </w:r>
      <w:r w:rsidR="00535C0D" w:rsidRPr="00044B9B">
        <w:t xml:space="preserve"> stretching mode </w:t>
      </w:r>
      <w:r w:rsidR="00A65C35" w:rsidRPr="00044B9B">
        <w:t>was</w:t>
      </w:r>
      <w:r w:rsidR="00535C0D" w:rsidRPr="00044B9B">
        <w:t xml:space="preserve"> </w:t>
      </w:r>
      <w:r w:rsidR="00A65C35" w:rsidRPr="00044B9B">
        <w:t>visible</w:t>
      </w:r>
      <w:r w:rsidR="00535C0D" w:rsidRPr="00044B9B">
        <w:t xml:space="preserve"> at 2143 cm</w:t>
      </w:r>
      <w:r w:rsidR="00535C0D" w:rsidRPr="00044B9B">
        <w:rPr>
          <w:vertAlign w:val="superscript"/>
        </w:rPr>
        <w:t>-1</w:t>
      </w:r>
      <w:r w:rsidR="00535C0D" w:rsidRPr="00044B9B">
        <w:t>. Moreover, all the spectra present</w:t>
      </w:r>
      <w:r w:rsidR="00A65C35" w:rsidRPr="00044B9B">
        <w:t>ed</w:t>
      </w:r>
      <w:r w:rsidR="00535C0D" w:rsidRPr="00044B9B">
        <w:t xml:space="preserve"> the band</w:t>
      </w:r>
      <w:r w:rsidR="00A2344B">
        <w:t>s</w:t>
      </w:r>
      <w:r w:rsidR="00535C0D" w:rsidRPr="00044B9B">
        <w:t xml:space="preserve"> of methane </w:t>
      </w:r>
      <w:r w:rsidR="00A2344B" w:rsidRPr="00044B9B">
        <w:t>st</w:t>
      </w:r>
      <w:r w:rsidR="00A2344B">
        <w:t>ret</w:t>
      </w:r>
      <w:r w:rsidR="00A2344B" w:rsidRPr="00044B9B">
        <w:t xml:space="preserve">ching </w:t>
      </w:r>
      <w:r w:rsidR="00535C0D" w:rsidRPr="00044B9B">
        <w:t>deformation at 3016 and 1304 cm</w:t>
      </w:r>
      <w:r w:rsidR="00535C0D" w:rsidRPr="00044B9B">
        <w:rPr>
          <w:vertAlign w:val="superscript"/>
        </w:rPr>
        <w:t>-1</w:t>
      </w:r>
      <w:r w:rsidR="00535C0D" w:rsidRPr="00044B9B">
        <w:t>, and the characteristic one of ethylene at 949 cm</w:t>
      </w:r>
      <w:r w:rsidR="00535C0D" w:rsidRPr="00044B9B">
        <w:rPr>
          <w:vertAlign w:val="superscript"/>
        </w:rPr>
        <w:t>-1</w:t>
      </w:r>
      <w:r w:rsidR="00535C0D" w:rsidRPr="00044B9B">
        <w:t xml:space="preserve">. </w:t>
      </w:r>
    </w:p>
    <w:p w14:paraId="1C906C47" w14:textId="77777777" w:rsidR="00EE1D13" w:rsidRPr="00044B9B" w:rsidRDefault="00EE1D13" w:rsidP="0065171C">
      <w:pPr>
        <w:pStyle w:val="CETBodytext"/>
      </w:pPr>
    </w:p>
    <w:p w14:paraId="6B969930" w14:textId="77777777" w:rsidR="00CE1056" w:rsidRPr="00044B9B" w:rsidRDefault="00E73D65" w:rsidP="00CE1056">
      <w:pPr>
        <w:pStyle w:val="CETBodytext"/>
      </w:pPr>
      <w:r w:rsidRPr="00230275">
        <w:rPr>
          <w:noProof/>
          <w:lang w:val="it-IT" w:eastAsia="it-IT"/>
        </w:rPr>
        <w:drawing>
          <wp:inline distT="0" distB="0" distL="0" distR="0" wp14:anchorId="723C4E97" wp14:editId="0A794DC1">
            <wp:extent cx="2685482" cy="1710000"/>
            <wp:effectExtent l="0" t="0" r="63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s reazio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5482" cy="1710000"/>
                    </a:xfrm>
                    <a:prstGeom prst="rect">
                      <a:avLst/>
                    </a:prstGeom>
                  </pic:spPr>
                </pic:pic>
              </a:graphicData>
            </a:graphic>
          </wp:inline>
        </w:drawing>
      </w:r>
    </w:p>
    <w:p w14:paraId="0B7FA586" w14:textId="7D9E516F" w:rsidR="00CA2403" w:rsidRPr="00044B9B" w:rsidRDefault="00EE1D13" w:rsidP="00DF02CC">
      <w:pPr>
        <w:pStyle w:val="CETCaption"/>
        <w:rPr>
          <w:rFonts w:cs="Arial"/>
          <w:lang w:val="en-US"/>
        </w:rPr>
      </w:pPr>
      <w:r w:rsidRPr="00230275">
        <w:rPr>
          <w:rFonts w:cs="Arial"/>
          <w:lang w:val="en-US"/>
        </w:rPr>
        <w:t xml:space="preserve">Figure 2: </w:t>
      </w:r>
      <w:r w:rsidR="002B7C7C" w:rsidRPr="00044B9B">
        <w:rPr>
          <w:rFonts w:cs="Arial"/>
          <w:lang w:val="en-US"/>
        </w:rPr>
        <w:t xml:space="preserve">FTIR </w:t>
      </w:r>
      <w:r w:rsidR="00A83F64">
        <w:rPr>
          <w:rFonts w:cs="Arial"/>
          <w:lang w:val="en-US"/>
        </w:rPr>
        <w:t>spectra</w:t>
      </w:r>
      <w:r w:rsidR="00A83F64" w:rsidRPr="00044B9B">
        <w:rPr>
          <w:rFonts w:cs="Arial"/>
          <w:lang w:val="en-US"/>
        </w:rPr>
        <w:t xml:space="preserve"> </w:t>
      </w:r>
      <w:r w:rsidR="002B7C7C" w:rsidRPr="00044B9B">
        <w:rPr>
          <w:rFonts w:cs="Arial"/>
          <w:lang w:val="en-US"/>
        </w:rPr>
        <w:t>of reaction gases</w:t>
      </w:r>
      <w:r w:rsidR="00A83F64">
        <w:rPr>
          <w:rFonts w:cs="Arial"/>
          <w:lang w:val="en-US"/>
        </w:rPr>
        <w:t xml:space="preserve"> from thermal pyrolysis of</w:t>
      </w:r>
      <w:r w:rsidR="00230275">
        <w:rPr>
          <w:rFonts w:cs="Arial"/>
          <w:lang w:val="en-US"/>
        </w:rPr>
        <w:t xml:space="preserve"> </w:t>
      </w:r>
      <w:r w:rsidR="001541A0" w:rsidRPr="00044B9B">
        <w:rPr>
          <w:rFonts w:cs="Arial"/>
          <w:lang w:val="en-US"/>
        </w:rPr>
        <w:t>a) Nylon-6, b) PET, c) PVC, d) PU and e) ELT</w:t>
      </w:r>
      <w:r w:rsidR="002B7C7C" w:rsidRPr="00044B9B">
        <w:rPr>
          <w:rFonts w:cs="Arial"/>
          <w:lang w:val="en-US"/>
        </w:rPr>
        <w:t>.</w:t>
      </w:r>
    </w:p>
    <w:p w14:paraId="7F0F269F" w14:textId="0349A677" w:rsidR="00ED6552" w:rsidRDefault="00ED6552" w:rsidP="00DF02CC">
      <w:pPr>
        <w:pStyle w:val="CETBodytext"/>
      </w:pPr>
      <w:r w:rsidRPr="00044B9B">
        <w:t xml:space="preserve">Analyzing the PET spectrum, </w:t>
      </w:r>
      <w:r>
        <w:t xml:space="preserve">it </w:t>
      </w:r>
      <w:r w:rsidRPr="00044B9B">
        <w:t>was possible to observe the characteristic bands of acetaldehyde at 3483 cm</w:t>
      </w:r>
      <w:r w:rsidRPr="00044B9B">
        <w:rPr>
          <w:vertAlign w:val="superscript"/>
        </w:rPr>
        <w:t>-1</w:t>
      </w:r>
      <w:r w:rsidRPr="00044B9B">
        <w:t>, the C-H stretching of aldehydes at 2821 and 2730 cm</w:t>
      </w:r>
      <w:r w:rsidRPr="00044B9B">
        <w:rPr>
          <w:vertAlign w:val="superscript"/>
        </w:rPr>
        <w:t>-1</w:t>
      </w:r>
      <w:r w:rsidRPr="00044B9B">
        <w:t>, the C=O stretching at 1759 cm</w:t>
      </w:r>
      <w:r w:rsidRPr="00044B9B">
        <w:rPr>
          <w:vertAlign w:val="superscript"/>
        </w:rPr>
        <w:t>-1</w:t>
      </w:r>
      <w:r w:rsidRPr="00044B9B">
        <w:t xml:space="preserve"> and the -CH</w:t>
      </w:r>
      <w:r w:rsidRPr="00044B9B">
        <w:rPr>
          <w:vertAlign w:val="subscript"/>
        </w:rPr>
        <w:t>2</w:t>
      </w:r>
      <w:r w:rsidRPr="00044B9B">
        <w:t xml:space="preserve"> deformation at 1411 cm</w:t>
      </w:r>
      <w:r w:rsidRPr="00044B9B">
        <w:rPr>
          <w:vertAlign w:val="superscript"/>
        </w:rPr>
        <w:t>-1</w:t>
      </w:r>
      <w:r w:rsidRPr="00044B9B">
        <w:t xml:space="preserve"> </w:t>
      </w:r>
      <w:r>
        <w:t>likely</w:t>
      </w:r>
      <w:r w:rsidRPr="00044B9B">
        <w:t xml:space="preserve"> due to the presence of monomer</w:t>
      </w:r>
      <w:r>
        <w:t>ic</w:t>
      </w:r>
      <w:r w:rsidRPr="00044B9B">
        <w:t xml:space="preserve"> ethylene glycol in the reaction gas. The presence of hydrochloric acid </w:t>
      </w:r>
      <w:r>
        <w:t>can be</w:t>
      </w:r>
      <w:r w:rsidRPr="00044B9B">
        <w:t xml:space="preserve"> clearly </w:t>
      </w:r>
      <w:r>
        <w:t>inferred from the</w:t>
      </w:r>
      <w:r w:rsidRPr="00044B9B">
        <w:t xml:space="preserve"> PVC spectrum </w:t>
      </w:r>
      <w:r>
        <w:t>by</w:t>
      </w:r>
      <w:r w:rsidRPr="00044B9B">
        <w:t xml:space="preserve"> the roto-vibrational bands in the region between 3061-2675 cm</w:t>
      </w:r>
      <w:r w:rsidRPr="00044B9B">
        <w:rPr>
          <w:vertAlign w:val="superscript"/>
        </w:rPr>
        <w:t>-1</w:t>
      </w:r>
      <w:r w:rsidRPr="00044B9B">
        <w:t>, the bands</w:t>
      </w:r>
      <w:r>
        <w:t xml:space="preserve"> of</w:t>
      </w:r>
      <w:r w:rsidRPr="00044B9B">
        <w:t xml:space="preserve"> -CH</w:t>
      </w:r>
      <w:r w:rsidRPr="00044B9B">
        <w:rPr>
          <w:vertAlign w:val="subscript"/>
        </w:rPr>
        <w:t>2</w:t>
      </w:r>
      <w:r w:rsidRPr="00044B9B">
        <w:t xml:space="preserve"> scissoring at 1425 cm</w:t>
      </w:r>
      <w:r w:rsidRPr="00044B9B">
        <w:rPr>
          <w:vertAlign w:val="superscript"/>
        </w:rPr>
        <w:t>-1</w:t>
      </w:r>
      <w:r w:rsidRPr="00044B9B">
        <w:t xml:space="preserve"> and </w:t>
      </w:r>
      <w:r>
        <w:t xml:space="preserve">that of </w:t>
      </w:r>
      <w:r w:rsidRPr="00044B9B">
        <w:t xml:space="preserve">H-C-H wagging </w:t>
      </w:r>
      <w:r>
        <w:t xml:space="preserve">mode </w:t>
      </w:r>
      <w:r w:rsidRPr="00044B9B">
        <w:t>at 946 cm</w:t>
      </w:r>
      <w:r w:rsidRPr="00044B9B">
        <w:rPr>
          <w:vertAlign w:val="superscript"/>
        </w:rPr>
        <w:t>-1</w:t>
      </w:r>
      <w:r w:rsidRPr="00044B9B">
        <w:t xml:space="preserve">. The PU spectrum </w:t>
      </w:r>
      <w:r>
        <w:t>exhibi</w:t>
      </w:r>
      <w:r w:rsidRPr="00044B9B">
        <w:t>ted the stretching band of C=O at 1743 cm</w:t>
      </w:r>
      <w:r w:rsidRPr="00044B9B">
        <w:rPr>
          <w:vertAlign w:val="superscript"/>
        </w:rPr>
        <w:t>-1</w:t>
      </w:r>
      <w:r w:rsidRPr="00044B9B">
        <w:t xml:space="preserve"> and</w:t>
      </w:r>
      <w:r>
        <w:t xml:space="preserve"> those of</w:t>
      </w:r>
      <w:r w:rsidRPr="00044B9B">
        <w:t xml:space="preserve"> -CH</w:t>
      </w:r>
      <w:r w:rsidRPr="00044B9B">
        <w:rPr>
          <w:vertAlign w:val="subscript"/>
        </w:rPr>
        <w:t>3</w:t>
      </w:r>
      <w:r w:rsidRPr="00044B9B">
        <w:t xml:space="preserve"> deformation at 1473 and 1377 cm</w:t>
      </w:r>
      <w:r w:rsidRPr="00044B9B">
        <w:rPr>
          <w:vertAlign w:val="superscript"/>
        </w:rPr>
        <w:t xml:space="preserve">-1 </w:t>
      </w:r>
      <w:r w:rsidRPr="00044B9B">
        <w:t>that confirmed the presence of acetone. There were also the -CH weak aromatic band</w:t>
      </w:r>
      <w:r>
        <w:t xml:space="preserve">s </w:t>
      </w:r>
      <w:r w:rsidRPr="00044B9B">
        <w:t>at 3150 and 3016 cm</w:t>
      </w:r>
      <w:r w:rsidRPr="00044B9B">
        <w:rPr>
          <w:vertAlign w:val="superscript"/>
        </w:rPr>
        <w:t>-1</w:t>
      </w:r>
      <w:r>
        <w:t xml:space="preserve"> and</w:t>
      </w:r>
      <w:r w:rsidRPr="00044B9B">
        <w:t xml:space="preserve"> th</w:t>
      </w:r>
      <w:r>
        <w:t>ose of</w:t>
      </w:r>
      <w:r w:rsidRPr="00044B9B">
        <w:t xml:space="preserve"> C=C stretching at 1663 cm</w:t>
      </w:r>
      <w:r w:rsidRPr="00044B9B">
        <w:rPr>
          <w:vertAlign w:val="superscript"/>
        </w:rPr>
        <w:t>-1</w:t>
      </w:r>
      <w:r w:rsidRPr="00044B9B">
        <w:t>, -CH</w:t>
      </w:r>
      <w:r w:rsidRPr="00044B9B">
        <w:rPr>
          <w:vertAlign w:val="subscript"/>
        </w:rPr>
        <w:t>2</w:t>
      </w:r>
      <w:r w:rsidRPr="00044B9B">
        <w:t xml:space="preserve"> deformation of alkanes at 1473 cm</w:t>
      </w:r>
      <w:r w:rsidRPr="00044B9B">
        <w:rPr>
          <w:vertAlign w:val="superscript"/>
        </w:rPr>
        <w:t>-1</w:t>
      </w:r>
      <w:r w:rsidRPr="00044B9B">
        <w:t xml:space="preserve"> and N=O stretching at 1232 and 1216 cm</w:t>
      </w:r>
      <w:r w:rsidRPr="00044B9B">
        <w:rPr>
          <w:vertAlign w:val="superscript"/>
        </w:rPr>
        <w:t>-1</w:t>
      </w:r>
      <w:r w:rsidRPr="00044B9B">
        <w:t>. The Nylon-6 spectrum revealed the presence of ammonia due to the C-N and amide bond</w:t>
      </w:r>
      <w:r>
        <w:t>s</w:t>
      </w:r>
      <w:r w:rsidRPr="00044B9B">
        <w:t xml:space="preserve"> broken, with the symmetric and asymmetric characteristic bands of C-N between 3487 and 3143 cm</w:t>
      </w:r>
      <w:r w:rsidRPr="00044B9B">
        <w:rPr>
          <w:vertAlign w:val="superscript"/>
        </w:rPr>
        <w:t>-1</w:t>
      </w:r>
      <w:r w:rsidRPr="00044B9B">
        <w:t>, the asymmetric H-N-H deformation at 1625 cm</w:t>
      </w:r>
      <w:r w:rsidRPr="00044B9B">
        <w:rPr>
          <w:vertAlign w:val="superscript"/>
        </w:rPr>
        <w:t>-1</w:t>
      </w:r>
      <w:r>
        <w:t xml:space="preserve"> and</w:t>
      </w:r>
      <w:r w:rsidRPr="00044B9B">
        <w:t xml:space="preserve"> the symmetric N-H </w:t>
      </w:r>
      <w:r w:rsidRPr="00044B9B">
        <w:lastRenderedPageBreak/>
        <w:t>deformation at 950 cm</w:t>
      </w:r>
      <w:r w:rsidRPr="00044B9B">
        <w:rPr>
          <w:vertAlign w:val="superscript"/>
        </w:rPr>
        <w:t>-1</w:t>
      </w:r>
      <w:r w:rsidRPr="00044B9B">
        <w:t xml:space="preserve">. The end of life </w:t>
      </w:r>
      <w:proofErr w:type="spellStart"/>
      <w:r w:rsidRPr="00044B9B">
        <w:t>tyres</w:t>
      </w:r>
      <w:proofErr w:type="spellEnd"/>
      <w:r w:rsidRPr="00044B9B">
        <w:t xml:space="preserve"> </w:t>
      </w:r>
      <w:r>
        <w:t>(</w:t>
      </w:r>
      <w:r w:rsidRPr="00044B9B">
        <w:t>ELT</w:t>
      </w:r>
      <w:r>
        <w:t>)</w:t>
      </w:r>
      <w:r w:rsidRPr="00044B9B">
        <w:t xml:space="preserve"> spectrum presented the -CH stretching</w:t>
      </w:r>
      <w:r w:rsidRPr="00240022">
        <w:t xml:space="preserve"> </w:t>
      </w:r>
      <w:r w:rsidRPr="00044B9B">
        <w:t>at 3016</w:t>
      </w:r>
      <w:r>
        <w:t xml:space="preserve"> </w:t>
      </w:r>
      <w:r w:rsidRPr="00044B9B">
        <w:t>cm</w:t>
      </w:r>
      <w:r w:rsidRPr="00044B9B">
        <w:rPr>
          <w:vertAlign w:val="superscript"/>
        </w:rPr>
        <w:t>-1</w:t>
      </w:r>
      <w:r w:rsidRPr="00044B9B">
        <w:t>, the -CH bending at 1303 cm</w:t>
      </w:r>
      <w:r w:rsidRPr="00044B9B">
        <w:rPr>
          <w:vertAlign w:val="superscript"/>
        </w:rPr>
        <w:t>-1</w:t>
      </w:r>
      <w:r w:rsidRPr="00044B9B">
        <w:t>, the C=C stretching at 1650 cm</w:t>
      </w:r>
      <w:r w:rsidRPr="00044B9B">
        <w:rPr>
          <w:vertAlign w:val="superscript"/>
        </w:rPr>
        <w:t xml:space="preserve">-1 </w:t>
      </w:r>
      <w:r w:rsidRPr="00044B9B">
        <w:t>and the -CH</w:t>
      </w:r>
      <w:r w:rsidRPr="00044B9B">
        <w:rPr>
          <w:vertAlign w:val="subscript"/>
        </w:rPr>
        <w:t>2</w:t>
      </w:r>
      <w:r w:rsidRPr="00044B9B">
        <w:t xml:space="preserve"> deformation at 1470 cm</w:t>
      </w:r>
      <w:r w:rsidRPr="00044B9B">
        <w:rPr>
          <w:vertAlign w:val="superscript"/>
        </w:rPr>
        <w:t>-1</w:t>
      </w:r>
      <w:r>
        <w:t xml:space="preserve">, thereby </w:t>
      </w:r>
      <w:r w:rsidRPr="00044B9B">
        <w:t>confirm</w:t>
      </w:r>
      <w:r>
        <w:t>ing</w:t>
      </w:r>
      <w:r w:rsidRPr="00044B9B">
        <w:t xml:space="preserve"> the presence of alkenes in the reaction gas.</w:t>
      </w:r>
    </w:p>
    <w:p w14:paraId="3AFDCC7D" w14:textId="6DAC1E31" w:rsidR="00DF02CC" w:rsidRPr="00044B9B" w:rsidRDefault="00063F63" w:rsidP="00DF02CC">
      <w:pPr>
        <w:pStyle w:val="CETBodytext"/>
      </w:pPr>
      <w:r w:rsidRPr="00044B9B">
        <w:t xml:space="preserve">Table 2 </w:t>
      </w:r>
      <w:r w:rsidR="00711ED6" w:rsidRPr="00044B9B">
        <w:t xml:space="preserve">lists the percentage composition of main </w:t>
      </w:r>
      <w:r w:rsidR="007A0E7D">
        <w:t>compounds identified</w:t>
      </w:r>
      <w:r w:rsidR="007A0E7D" w:rsidRPr="00044B9B">
        <w:t xml:space="preserve"> </w:t>
      </w:r>
      <w:r w:rsidR="007A0E7D">
        <w:t>in the</w:t>
      </w:r>
      <w:r w:rsidR="007A0E7D" w:rsidRPr="00044B9B">
        <w:t xml:space="preserve"> </w:t>
      </w:r>
      <w:r w:rsidR="00711ED6" w:rsidRPr="00044B9B">
        <w:t>reaction gases by GC. The results confirm</w:t>
      </w:r>
      <w:r w:rsidR="00A65C35" w:rsidRPr="00044B9B">
        <w:t>ed</w:t>
      </w:r>
      <w:r w:rsidR="00711ED6" w:rsidRPr="00044B9B">
        <w:t xml:space="preserve"> those of FTIR, in that, the major components for all the plastic residue</w:t>
      </w:r>
      <w:r w:rsidR="007A0E7D">
        <w:t>s</w:t>
      </w:r>
      <w:r w:rsidR="00711ED6" w:rsidRPr="00044B9B">
        <w:t>, except PVC, were carbon dioxide and monoxide, acetal aldehyde and butene</w:t>
      </w:r>
      <w:r w:rsidR="007A0E7D">
        <w:t>,</w:t>
      </w:r>
      <w:r w:rsidR="007A0E7D" w:rsidRPr="00044B9B">
        <w:t xml:space="preserve"> </w:t>
      </w:r>
      <w:r w:rsidR="007A0E7D">
        <w:t>w</w:t>
      </w:r>
      <w:r w:rsidR="007A0E7D" w:rsidRPr="00044B9B">
        <w:t>hile</w:t>
      </w:r>
      <w:r w:rsidR="00711ED6" w:rsidRPr="00044B9B">
        <w:t xml:space="preserve">, </w:t>
      </w:r>
      <w:r w:rsidR="007A0E7D">
        <w:t xml:space="preserve">as expected, </w:t>
      </w:r>
      <w:r w:rsidR="00711ED6" w:rsidRPr="00044B9B">
        <w:t xml:space="preserve">the main RG component </w:t>
      </w:r>
      <w:r w:rsidR="007A0E7D">
        <w:t>from</w:t>
      </w:r>
      <w:r w:rsidR="00711ED6" w:rsidRPr="00044B9B">
        <w:t xml:space="preserve"> PVC pyrolysis was hydrogen chloride. The RGs were </w:t>
      </w:r>
      <w:r w:rsidR="007A0E7D">
        <w:t xml:space="preserve">then </w:t>
      </w:r>
      <w:r w:rsidR="00711ED6" w:rsidRPr="00044B9B">
        <w:t xml:space="preserve">classified in </w:t>
      </w:r>
      <w:r w:rsidR="007A0E7D">
        <w:t xml:space="preserve">five </w:t>
      </w:r>
      <w:r w:rsidR="00711ED6" w:rsidRPr="00044B9B">
        <w:t xml:space="preserve">different classes: </w:t>
      </w:r>
      <w:r w:rsidR="00C655FA" w:rsidRPr="00044B9B">
        <w:t>hydrocarbons, acids, oxygenates, nitrogenates and chlorinates</w:t>
      </w:r>
      <w:r w:rsidR="00E6437B" w:rsidRPr="00044B9B">
        <w:t>.</w:t>
      </w:r>
      <w:r w:rsidR="00C655FA" w:rsidRPr="00044B9B">
        <w:t xml:space="preserve"> </w:t>
      </w:r>
    </w:p>
    <w:p w14:paraId="359AA3D7" w14:textId="37C77B41" w:rsidR="001A52EC" w:rsidRPr="00044B9B" w:rsidRDefault="00C655FA" w:rsidP="00DF02CC">
      <w:pPr>
        <w:pStyle w:val="CETBodytext"/>
      </w:pPr>
      <w:r w:rsidRPr="00044B9B">
        <w:t xml:space="preserve">The </w:t>
      </w:r>
      <w:r w:rsidR="00D34CE1">
        <w:t>larg</w:t>
      </w:r>
      <w:r w:rsidR="001A6BA6">
        <w:t xml:space="preserve">est </w:t>
      </w:r>
      <w:r w:rsidR="0012092B">
        <w:t>fraction</w:t>
      </w:r>
      <w:r w:rsidR="001A6BA6">
        <w:t xml:space="preserve"> of hydrocarbons</w:t>
      </w:r>
      <w:r w:rsidR="004A2B21">
        <w:t xml:space="preserve"> in RG</w:t>
      </w:r>
      <w:r w:rsidR="001A6BA6">
        <w:t xml:space="preserve"> was obtained from </w:t>
      </w:r>
      <w:r w:rsidRPr="00044B9B">
        <w:t xml:space="preserve">pyrolysis of ELT </w:t>
      </w:r>
      <w:r w:rsidR="001A6BA6">
        <w:t>(</w:t>
      </w:r>
      <w:r w:rsidR="002640DD" w:rsidRPr="00044B9B">
        <w:t>65.5</w:t>
      </w:r>
      <w:r w:rsidR="00230275">
        <w:t xml:space="preserve">1 </w:t>
      </w:r>
      <w:r w:rsidR="00230275" w:rsidRPr="00230275">
        <w:rPr>
          <w:rFonts w:cs="Arial"/>
          <w:szCs w:val="18"/>
        </w:rPr>
        <w:t>g/100g</w:t>
      </w:r>
      <w:r w:rsidR="0012092B">
        <w:t>)</w:t>
      </w:r>
      <w:r w:rsidRPr="00044B9B">
        <w:t xml:space="preserve">, </w:t>
      </w:r>
      <w:r w:rsidR="0012092B">
        <w:t xml:space="preserve">of which </w:t>
      </w:r>
      <w:r w:rsidR="00D34CE1">
        <w:t>they</w:t>
      </w:r>
      <w:r w:rsidR="0012092B" w:rsidRPr="00044B9B">
        <w:t xml:space="preserve"> </w:t>
      </w:r>
      <w:r w:rsidRPr="00044B9B">
        <w:t>represent</w:t>
      </w:r>
      <w:r w:rsidR="0012092B">
        <w:t>ed</w:t>
      </w:r>
      <w:r w:rsidR="004470C8" w:rsidRPr="00044B9B">
        <w:t xml:space="preserve"> </w:t>
      </w:r>
      <w:r w:rsidRPr="00044B9B">
        <w:t xml:space="preserve">the </w:t>
      </w:r>
      <w:r w:rsidR="00340AA6">
        <w:t>most abundant class</w:t>
      </w:r>
      <w:r w:rsidRPr="00044B9B">
        <w:t xml:space="preserve">, </w:t>
      </w:r>
      <w:r w:rsidR="004470C8" w:rsidRPr="00044B9B">
        <w:t>followed by</w:t>
      </w:r>
      <w:r w:rsidR="001A6BA6">
        <w:t xml:space="preserve"> that of</w:t>
      </w:r>
      <w:r w:rsidR="004470C8" w:rsidRPr="00044B9B">
        <w:t xml:space="preserve"> PU (63.</w:t>
      </w:r>
      <w:r w:rsidR="001541A0" w:rsidRPr="00044B9B">
        <w:t>2</w:t>
      </w:r>
      <w:r w:rsidR="00230275">
        <w:t xml:space="preserve"> </w:t>
      </w:r>
      <w:r w:rsidR="00230275" w:rsidRPr="00230275">
        <w:rPr>
          <w:rFonts w:cs="Arial"/>
          <w:szCs w:val="18"/>
        </w:rPr>
        <w:t>g/100g</w:t>
      </w:r>
      <w:r w:rsidR="004470C8" w:rsidRPr="00044B9B">
        <w:t>), PVC (24.3</w:t>
      </w:r>
      <w:r w:rsidR="00230275">
        <w:t xml:space="preserve"> </w:t>
      </w:r>
      <w:r w:rsidR="00230275" w:rsidRPr="00230275">
        <w:rPr>
          <w:rFonts w:cs="Arial"/>
          <w:szCs w:val="18"/>
        </w:rPr>
        <w:t>g/100g</w:t>
      </w:r>
      <w:r w:rsidR="004470C8" w:rsidRPr="00044B9B">
        <w:t>), PET (20.</w:t>
      </w:r>
      <w:r w:rsidR="001541A0" w:rsidRPr="00044B9B">
        <w:t xml:space="preserve">8 </w:t>
      </w:r>
      <w:r w:rsidR="00230275" w:rsidRPr="00230275">
        <w:rPr>
          <w:rFonts w:cs="Arial"/>
          <w:szCs w:val="18"/>
        </w:rPr>
        <w:t>g/100g</w:t>
      </w:r>
      <w:r w:rsidR="004470C8" w:rsidRPr="00044B9B">
        <w:t>) and Nylon-6 (8.6</w:t>
      </w:r>
      <w:r w:rsidR="001541A0" w:rsidRPr="00044B9B">
        <w:t xml:space="preserve"> </w:t>
      </w:r>
      <w:r w:rsidR="00230275" w:rsidRPr="00230275">
        <w:rPr>
          <w:rFonts w:cs="Arial"/>
          <w:szCs w:val="18"/>
        </w:rPr>
        <w:t>g/100g</w:t>
      </w:r>
      <w:r w:rsidR="004470C8" w:rsidRPr="00044B9B">
        <w:t>)</w:t>
      </w:r>
      <w:r w:rsidR="00D34CE1">
        <w:t>,</w:t>
      </w:r>
      <w:r w:rsidR="004470C8" w:rsidRPr="00044B9B">
        <w:t xml:space="preserve"> </w:t>
      </w:r>
      <w:r w:rsidR="0012092B">
        <w:t>while t</w:t>
      </w:r>
      <w:r w:rsidR="0012092B" w:rsidRPr="00044B9B">
        <w:t xml:space="preserve">he </w:t>
      </w:r>
      <w:r w:rsidR="004470C8" w:rsidRPr="00044B9B">
        <w:t xml:space="preserve">highest </w:t>
      </w:r>
      <w:r w:rsidR="00D34CE1">
        <w:t>fraction</w:t>
      </w:r>
      <w:r w:rsidR="00D34CE1" w:rsidRPr="00044B9B">
        <w:t xml:space="preserve"> </w:t>
      </w:r>
      <w:r w:rsidR="004470C8" w:rsidRPr="00044B9B">
        <w:t xml:space="preserve">of oxygenates </w:t>
      </w:r>
      <w:r w:rsidR="0012092B">
        <w:t>came from</w:t>
      </w:r>
      <w:r w:rsidR="004470C8" w:rsidRPr="00044B9B">
        <w:t xml:space="preserve"> PET (79.2</w:t>
      </w:r>
      <w:r w:rsidR="001541A0" w:rsidRPr="00044B9B">
        <w:t xml:space="preserve"> </w:t>
      </w:r>
      <w:r w:rsidR="00230275" w:rsidRPr="00230275">
        <w:rPr>
          <w:rFonts w:cs="Arial"/>
          <w:szCs w:val="18"/>
        </w:rPr>
        <w:t>g/100g</w:t>
      </w:r>
      <w:r w:rsidR="004470C8" w:rsidRPr="00044B9B">
        <w:t xml:space="preserve">), followed by </w:t>
      </w:r>
      <w:r w:rsidR="002640DD" w:rsidRPr="00044B9B">
        <w:t>ELT (34.</w:t>
      </w:r>
      <w:r w:rsidR="001541A0" w:rsidRPr="00044B9B">
        <w:t xml:space="preserve">5 </w:t>
      </w:r>
      <w:r w:rsidR="00230275" w:rsidRPr="00230275">
        <w:rPr>
          <w:rFonts w:cs="Arial"/>
          <w:szCs w:val="18"/>
        </w:rPr>
        <w:t>g/100g</w:t>
      </w:r>
      <w:r w:rsidR="002640DD" w:rsidRPr="00044B9B">
        <w:t xml:space="preserve">), </w:t>
      </w:r>
      <w:r w:rsidR="004470C8" w:rsidRPr="00044B9B">
        <w:t>PU (31.</w:t>
      </w:r>
      <w:r w:rsidR="001541A0" w:rsidRPr="00044B9B">
        <w:t xml:space="preserve">5 </w:t>
      </w:r>
      <w:r w:rsidR="00230275" w:rsidRPr="00230275">
        <w:rPr>
          <w:rFonts w:cs="Arial"/>
          <w:szCs w:val="18"/>
        </w:rPr>
        <w:t>g/100g</w:t>
      </w:r>
      <w:r w:rsidR="004470C8" w:rsidRPr="00044B9B">
        <w:t xml:space="preserve">) </w:t>
      </w:r>
      <w:r w:rsidR="006C26D7" w:rsidRPr="00044B9B">
        <w:t xml:space="preserve">and </w:t>
      </w:r>
      <w:r w:rsidR="002640DD" w:rsidRPr="00044B9B">
        <w:t>Nylon-6 (20.9</w:t>
      </w:r>
      <w:r w:rsidR="001541A0" w:rsidRPr="00044B9B">
        <w:t xml:space="preserve"> </w:t>
      </w:r>
      <w:r w:rsidR="00230275" w:rsidRPr="00230275">
        <w:rPr>
          <w:rFonts w:cs="Arial"/>
          <w:szCs w:val="18"/>
        </w:rPr>
        <w:t>g/100g</w:t>
      </w:r>
      <w:r w:rsidR="002640DD" w:rsidRPr="00044B9B">
        <w:t xml:space="preserve">). </w:t>
      </w:r>
      <w:r w:rsidR="006C26D7" w:rsidRPr="00044B9B">
        <w:t xml:space="preserve">The fraction of </w:t>
      </w:r>
      <w:r w:rsidR="00D34CE1">
        <w:t>n</w:t>
      </w:r>
      <w:r w:rsidR="00D34CE1" w:rsidRPr="00044B9B">
        <w:t>itrogenates</w:t>
      </w:r>
      <w:r w:rsidR="00D34CE1">
        <w:t xml:space="preserve"> </w:t>
      </w:r>
      <w:r w:rsidR="0012092B">
        <w:t>in</w:t>
      </w:r>
      <w:r w:rsidR="0012092B" w:rsidRPr="00044B9B">
        <w:t xml:space="preserve"> </w:t>
      </w:r>
      <w:r w:rsidR="006C26D7" w:rsidRPr="00044B9B">
        <w:t>Nylon-6</w:t>
      </w:r>
      <w:r w:rsidR="001541A0" w:rsidRPr="00044B9B">
        <w:t xml:space="preserve"> </w:t>
      </w:r>
      <w:r w:rsidR="0012092B">
        <w:t xml:space="preserve">RG </w:t>
      </w:r>
      <w:r w:rsidR="001541A0" w:rsidRPr="00044B9B">
        <w:t>was</w:t>
      </w:r>
      <w:r w:rsidR="006C26D7" w:rsidRPr="00044B9B">
        <w:t xml:space="preserve"> mainly composed by ammonia (70.4</w:t>
      </w:r>
      <w:r w:rsidR="00361282">
        <w:t xml:space="preserve"> </w:t>
      </w:r>
      <w:r w:rsidR="00361282" w:rsidRPr="00230275">
        <w:rPr>
          <w:rFonts w:cs="Arial"/>
          <w:szCs w:val="18"/>
        </w:rPr>
        <w:t>g/100g</w:t>
      </w:r>
      <w:r w:rsidR="006C26D7" w:rsidRPr="00044B9B">
        <w:t xml:space="preserve">), while </w:t>
      </w:r>
      <w:r w:rsidR="00D34CE1" w:rsidRPr="00044B9B">
        <w:t>th</w:t>
      </w:r>
      <w:r w:rsidR="00D34CE1">
        <w:t>at of</w:t>
      </w:r>
      <w:r w:rsidR="00D34CE1" w:rsidRPr="00044B9B">
        <w:t xml:space="preserve"> </w:t>
      </w:r>
      <w:r w:rsidR="006C26D7" w:rsidRPr="00044B9B">
        <w:t xml:space="preserve">chlorinates </w:t>
      </w:r>
      <w:r w:rsidR="00D34CE1">
        <w:t>in</w:t>
      </w:r>
      <w:r w:rsidR="006C26D7" w:rsidRPr="00044B9B">
        <w:t xml:space="preserve"> PVC </w:t>
      </w:r>
      <w:r w:rsidR="00D34CE1">
        <w:t>RG by</w:t>
      </w:r>
      <w:r w:rsidR="006C26D7" w:rsidRPr="00044B9B">
        <w:t xml:space="preserve"> hydrogen chloride (73.</w:t>
      </w:r>
      <w:r w:rsidR="001541A0" w:rsidRPr="00044B9B">
        <w:t xml:space="preserve">2 </w:t>
      </w:r>
      <w:r w:rsidR="00230275" w:rsidRPr="00230275">
        <w:rPr>
          <w:rFonts w:cs="Arial"/>
          <w:szCs w:val="18"/>
        </w:rPr>
        <w:t>g/100g</w:t>
      </w:r>
      <w:r w:rsidR="006C26D7" w:rsidRPr="00044B9B">
        <w:t xml:space="preserve">). </w:t>
      </w:r>
      <w:r w:rsidR="00D34CE1">
        <w:t>RG</w:t>
      </w:r>
      <w:r w:rsidR="00A65C35" w:rsidRPr="00044B9B">
        <w:t xml:space="preserve"> could be used to produce energy, </w:t>
      </w:r>
      <w:r w:rsidR="00BF4E8A">
        <w:t xml:space="preserve">provided that </w:t>
      </w:r>
      <w:r w:rsidR="00A65C35" w:rsidRPr="00044B9B">
        <w:t>nitrogen</w:t>
      </w:r>
      <w:r w:rsidR="00BF4E8A">
        <w:t>ates</w:t>
      </w:r>
      <w:r w:rsidR="00A65C35" w:rsidRPr="00044B9B">
        <w:t xml:space="preserve"> and chlorinates </w:t>
      </w:r>
      <w:r w:rsidR="00BF4E8A">
        <w:t>are</w:t>
      </w:r>
      <w:r w:rsidR="00A65C35" w:rsidRPr="00044B9B">
        <w:t xml:space="preserve"> removed before </w:t>
      </w:r>
      <w:r w:rsidR="00BF4E8A" w:rsidRPr="00044B9B">
        <w:t>us</w:t>
      </w:r>
      <w:r w:rsidR="00BF4E8A">
        <w:t>e</w:t>
      </w:r>
      <w:r w:rsidR="00A65C35" w:rsidRPr="00044B9B">
        <w:t xml:space="preserve"> </w:t>
      </w:r>
      <w:r w:rsidR="00BF4E8A">
        <w:t>in order to make it cleaner</w:t>
      </w:r>
      <w:r w:rsidR="00A65C35" w:rsidRPr="00044B9B">
        <w:t xml:space="preserve"> </w:t>
      </w:r>
      <w:r w:rsidR="00BF4E8A">
        <w:t>and richer in</w:t>
      </w:r>
      <w:r w:rsidR="00A65C35" w:rsidRPr="00044B9B">
        <w:t xml:space="preserve"> hydrocarbon</w:t>
      </w:r>
      <w:r w:rsidR="00BF4E8A">
        <w:t>s</w:t>
      </w:r>
      <w:r w:rsidR="00A65C35" w:rsidRPr="00044B9B">
        <w:t xml:space="preserve"> </w:t>
      </w:r>
      <w:r w:rsidR="00E6437B" w:rsidRPr="00044B9B">
        <w:fldChar w:fldCharType="begin" w:fldLock="1"/>
      </w:r>
      <w:r w:rsidR="003C289F" w:rsidRPr="00044B9B">
        <w:instrText>ADDIN CSL_CITATION {"citationItems":[{"id":"ITEM-1","itemData":{"DOI":"10.1016/j.biotechadv.2018.01.011","ISSN":"0734-9750","author":[{"dropping-particle":"","family":"Angelidaki","given":"Irini","non-dropping-particle":"","parse-names":false,"suffix":""},{"dropping-particle":"","family":"Treu","given":"Laura","non-dropping-particle":"","parse-names":false,"suffix":""},{"dropping-particle":"","family":"Tsapekos","given":"Panagiotis","non-dropping-particle":"","parse-names":false,"suffix":""},{"dropping-particle":"","family":"Luo","given":"Gang","non-dropping-particle":"","parse-names":false,"suffix":""},{"dropping-particle":"","family":"Campanaro","given":"Stefano","non-dropping-particle":"","parse-names":false,"suffix":""},{"dropping-particle":"","family":"Wenzel","given":"Henrik","non-dropping-particle":"","parse-names":false,"suffix":""},{"dropping-particle":"","family":"Kougias","given":"Panagiotis G","non-dropping-particle":"","parse-names":false,"suffix":""}],"container-title":"Biotechnology Advances","id":"ITEM-1","issue":"2","issued":{"date-parts":[["2018"]]},"page":"452-466","publisher":"Elsevier","title":"Biogas upgrading and utilization : Current status and perspectives","type":"article-journal","volume":"36"},"uris":["http://www.mendeley.com/documents/?uuid=9fc055f6-63ef-4487-87c7-344bbe62f608"]}],"mendeley":{"formattedCitation":"(Angelidaki &lt;i&gt;et al.&lt;/i&gt;, 2018)","plainTextFormattedCitation":"(Angelidaki et al., 2018)","previouslyFormattedCitation":"(Angelidaki &lt;i&gt;et al.&lt;/i&gt;, 2018)"},"properties":{"noteIndex":0},"schema":"https://github.com/citation-style-language/schema/raw/master/csl-citation.json"}</w:instrText>
      </w:r>
      <w:r w:rsidR="00E6437B" w:rsidRPr="00044B9B">
        <w:fldChar w:fldCharType="separate"/>
      </w:r>
      <w:r w:rsidR="00E6437B" w:rsidRPr="00230275">
        <w:t xml:space="preserve">(Angelidaki </w:t>
      </w:r>
      <w:r w:rsidR="00E6437B" w:rsidRPr="004D7F68">
        <w:t>et al</w:t>
      </w:r>
      <w:r w:rsidR="00E6437B" w:rsidRPr="00230275">
        <w:rPr>
          <w:i/>
        </w:rPr>
        <w:t>.</w:t>
      </w:r>
      <w:r w:rsidR="00E6437B" w:rsidRPr="00230275">
        <w:t>, 2018)</w:t>
      </w:r>
      <w:r w:rsidR="00E6437B" w:rsidRPr="00044B9B">
        <w:fldChar w:fldCharType="end"/>
      </w:r>
      <w:r w:rsidR="00A65C35" w:rsidRPr="00044B9B">
        <w:t>.</w:t>
      </w:r>
    </w:p>
    <w:p w14:paraId="04A9EDB3" w14:textId="3B83CAB8" w:rsidR="00CA2403" w:rsidRPr="00044B9B" w:rsidRDefault="00CA2403" w:rsidP="00CA2403">
      <w:pPr>
        <w:pStyle w:val="CETTabletitle"/>
        <w:rPr>
          <w:rFonts w:asciiTheme="majorHAnsi" w:hAnsiTheme="majorHAnsi" w:cstheme="majorHAnsi"/>
          <w:lang w:val="en-US"/>
        </w:rPr>
      </w:pPr>
      <w:r w:rsidRPr="00230275">
        <w:rPr>
          <w:lang w:val="en-US"/>
        </w:rPr>
        <w:t>Table 2:</w:t>
      </w:r>
      <w:r w:rsidR="001541A0" w:rsidRPr="00230275">
        <w:rPr>
          <w:lang w:val="en-US"/>
        </w:rPr>
        <w:t xml:space="preserve"> Main compounds identified</w:t>
      </w:r>
      <w:r w:rsidR="00BF4E8A" w:rsidRPr="00BF4E8A">
        <w:rPr>
          <w:lang w:val="en-US"/>
        </w:rPr>
        <w:t xml:space="preserve"> </w:t>
      </w:r>
      <w:r w:rsidR="00BF4E8A" w:rsidRPr="00564176">
        <w:rPr>
          <w:lang w:val="en-US"/>
        </w:rPr>
        <w:t>by GC analysis</w:t>
      </w:r>
      <w:r w:rsidR="001541A0" w:rsidRPr="00230275">
        <w:rPr>
          <w:lang w:val="en-US"/>
        </w:rPr>
        <w:t xml:space="preserve"> in the reaction gases</w:t>
      </w:r>
      <w:r w:rsidR="00BF4E8A">
        <w:rPr>
          <w:lang w:val="en-US"/>
        </w:rPr>
        <w:t xml:space="preserve"> from thermal pyrolysis of different plastic </w:t>
      </w:r>
      <w:r w:rsidR="001D3746">
        <w:rPr>
          <w:lang w:val="en-US"/>
        </w:rPr>
        <w:t>materials</w:t>
      </w:r>
      <w:r w:rsidR="001541A0" w:rsidRPr="00230275">
        <w:rPr>
          <w:lang w:val="en-US"/>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851"/>
        <w:gridCol w:w="992"/>
        <w:gridCol w:w="851"/>
        <w:gridCol w:w="992"/>
        <w:gridCol w:w="992"/>
      </w:tblGrid>
      <w:tr w:rsidR="00E27EE5" w:rsidRPr="001C670C" w14:paraId="6A2DC8AD" w14:textId="77777777" w:rsidTr="0014642E">
        <w:tc>
          <w:tcPr>
            <w:tcW w:w="1701" w:type="dxa"/>
            <w:tcBorders>
              <w:top w:val="single" w:sz="12" w:space="0" w:color="008000"/>
              <w:bottom w:val="single" w:sz="6" w:space="0" w:color="008000"/>
            </w:tcBorders>
            <w:shd w:val="clear" w:color="auto" w:fill="FFFFFF"/>
          </w:tcPr>
          <w:p w14:paraId="06109D8F" w14:textId="77777777" w:rsidR="00E27EE5" w:rsidRPr="00230275" w:rsidRDefault="00E27EE5" w:rsidP="002640DD">
            <w:pPr>
              <w:pStyle w:val="CETBodytext"/>
              <w:rPr>
                <w:rFonts w:cs="Arial"/>
                <w:szCs w:val="18"/>
              </w:rPr>
            </w:pPr>
          </w:p>
        </w:tc>
        <w:tc>
          <w:tcPr>
            <w:tcW w:w="851" w:type="dxa"/>
            <w:tcBorders>
              <w:top w:val="single" w:sz="12" w:space="0" w:color="008000"/>
              <w:bottom w:val="single" w:sz="6" w:space="0" w:color="008000"/>
            </w:tcBorders>
            <w:shd w:val="clear" w:color="auto" w:fill="FFFFFF"/>
          </w:tcPr>
          <w:p w14:paraId="46792CE6" w14:textId="77777777" w:rsidR="00E27EE5" w:rsidRPr="00230275" w:rsidRDefault="00E27EE5" w:rsidP="002640DD">
            <w:pPr>
              <w:pStyle w:val="CETBodytext"/>
              <w:rPr>
                <w:rFonts w:cs="Arial"/>
                <w:szCs w:val="18"/>
              </w:rPr>
            </w:pPr>
            <w:r w:rsidRPr="00230275">
              <w:rPr>
                <w:rFonts w:cs="Arial"/>
                <w:szCs w:val="18"/>
              </w:rPr>
              <w:t>PET</w:t>
            </w:r>
          </w:p>
          <w:p w14:paraId="31BC4501" w14:textId="77777777" w:rsidR="00E27EE5" w:rsidRPr="00230275" w:rsidRDefault="00E27EE5" w:rsidP="002640DD">
            <w:pPr>
              <w:pStyle w:val="CETBodytext"/>
              <w:rPr>
                <w:rFonts w:cs="Arial"/>
                <w:szCs w:val="18"/>
              </w:rPr>
            </w:pPr>
            <w:r w:rsidRPr="00230275">
              <w:rPr>
                <w:rFonts w:cs="Arial"/>
                <w:szCs w:val="18"/>
              </w:rPr>
              <w:t>(g/100g)</w:t>
            </w:r>
          </w:p>
        </w:tc>
        <w:tc>
          <w:tcPr>
            <w:tcW w:w="992" w:type="dxa"/>
            <w:tcBorders>
              <w:top w:val="single" w:sz="12" w:space="0" w:color="008000"/>
              <w:bottom w:val="single" w:sz="6" w:space="0" w:color="008000"/>
            </w:tcBorders>
            <w:shd w:val="clear" w:color="auto" w:fill="FFFFFF"/>
          </w:tcPr>
          <w:p w14:paraId="1EAFFBDA" w14:textId="77777777" w:rsidR="00E27EE5" w:rsidRPr="00230275" w:rsidRDefault="00E27EE5" w:rsidP="002640DD">
            <w:pPr>
              <w:pStyle w:val="CETBodytext"/>
              <w:rPr>
                <w:rFonts w:cs="Arial"/>
                <w:szCs w:val="18"/>
              </w:rPr>
            </w:pPr>
            <w:r w:rsidRPr="00230275">
              <w:rPr>
                <w:rFonts w:cs="Arial"/>
                <w:szCs w:val="18"/>
              </w:rPr>
              <w:t>PVC</w:t>
            </w:r>
          </w:p>
          <w:p w14:paraId="605D8E6B" w14:textId="77777777" w:rsidR="00E27EE5" w:rsidRPr="00230275" w:rsidRDefault="00E27EE5" w:rsidP="002640DD">
            <w:pPr>
              <w:pStyle w:val="CETBodytext"/>
              <w:rPr>
                <w:rFonts w:cs="Arial"/>
                <w:szCs w:val="18"/>
              </w:rPr>
            </w:pPr>
            <w:r w:rsidRPr="00230275">
              <w:rPr>
                <w:rFonts w:cs="Arial"/>
                <w:szCs w:val="18"/>
              </w:rPr>
              <w:t>(g/100g)</w:t>
            </w:r>
          </w:p>
        </w:tc>
        <w:tc>
          <w:tcPr>
            <w:tcW w:w="851" w:type="dxa"/>
            <w:tcBorders>
              <w:top w:val="single" w:sz="12" w:space="0" w:color="008000"/>
              <w:bottom w:val="single" w:sz="6" w:space="0" w:color="008000"/>
            </w:tcBorders>
            <w:shd w:val="clear" w:color="auto" w:fill="FFFFFF"/>
          </w:tcPr>
          <w:p w14:paraId="002D8FDE" w14:textId="77777777" w:rsidR="00E27EE5" w:rsidRPr="00230275" w:rsidRDefault="00E27EE5" w:rsidP="002640DD">
            <w:pPr>
              <w:pStyle w:val="CETBodytext"/>
              <w:ind w:right="-1"/>
              <w:rPr>
                <w:rFonts w:cs="Arial"/>
                <w:szCs w:val="18"/>
              </w:rPr>
            </w:pPr>
            <w:r w:rsidRPr="00230275">
              <w:rPr>
                <w:rFonts w:cs="Arial"/>
                <w:szCs w:val="18"/>
              </w:rPr>
              <w:t>PU</w:t>
            </w:r>
          </w:p>
          <w:p w14:paraId="6EF4E7D3" w14:textId="77777777" w:rsidR="00E27EE5" w:rsidRPr="00230275" w:rsidRDefault="00E27EE5" w:rsidP="002640DD">
            <w:pPr>
              <w:pStyle w:val="CETBodytext"/>
              <w:ind w:right="-1"/>
              <w:rPr>
                <w:rFonts w:cs="Arial"/>
                <w:szCs w:val="18"/>
              </w:rPr>
            </w:pPr>
            <w:r w:rsidRPr="00230275">
              <w:rPr>
                <w:rFonts w:cs="Arial"/>
                <w:szCs w:val="18"/>
              </w:rPr>
              <w:t>(g/100g)</w:t>
            </w:r>
          </w:p>
        </w:tc>
        <w:tc>
          <w:tcPr>
            <w:tcW w:w="992" w:type="dxa"/>
            <w:tcBorders>
              <w:top w:val="single" w:sz="12" w:space="0" w:color="008000"/>
              <w:bottom w:val="single" w:sz="6" w:space="0" w:color="008000"/>
            </w:tcBorders>
            <w:shd w:val="clear" w:color="auto" w:fill="FFFFFF"/>
          </w:tcPr>
          <w:p w14:paraId="446E81FD" w14:textId="77777777" w:rsidR="00E27EE5" w:rsidRPr="00230275" w:rsidRDefault="00E27EE5" w:rsidP="002640DD">
            <w:pPr>
              <w:pStyle w:val="CETBodytext"/>
              <w:ind w:right="-1"/>
              <w:rPr>
                <w:rFonts w:cs="Arial"/>
                <w:szCs w:val="18"/>
              </w:rPr>
            </w:pPr>
            <w:r w:rsidRPr="00230275">
              <w:rPr>
                <w:rFonts w:cs="Arial"/>
                <w:szCs w:val="18"/>
              </w:rPr>
              <w:t>Nylon-6</w:t>
            </w:r>
          </w:p>
          <w:p w14:paraId="5E7DA432" w14:textId="77777777" w:rsidR="00E27EE5" w:rsidRPr="00230275" w:rsidRDefault="00E27EE5" w:rsidP="002640DD">
            <w:pPr>
              <w:pStyle w:val="CETBodytext"/>
              <w:ind w:right="-1"/>
              <w:rPr>
                <w:rFonts w:cs="Arial"/>
                <w:szCs w:val="18"/>
              </w:rPr>
            </w:pPr>
            <w:r w:rsidRPr="00230275">
              <w:rPr>
                <w:rFonts w:cs="Arial"/>
                <w:szCs w:val="18"/>
              </w:rPr>
              <w:t>(g/100g)</w:t>
            </w:r>
          </w:p>
        </w:tc>
        <w:tc>
          <w:tcPr>
            <w:tcW w:w="992" w:type="dxa"/>
            <w:tcBorders>
              <w:top w:val="single" w:sz="12" w:space="0" w:color="008000"/>
              <w:bottom w:val="single" w:sz="6" w:space="0" w:color="008000"/>
            </w:tcBorders>
            <w:shd w:val="clear" w:color="auto" w:fill="FFFFFF"/>
          </w:tcPr>
          <w:p w14:paraId="1510F17A" w14:textId="77777777" w:rsidR="00E27EE5" w:rsidRPr="00230275" w:rsidRDefault="00E27EE5" w:rsidP="002640DD">
            <w:pPr>
              <w:pStyle w:val="CETBodytext"/>
              <w:ind w:right="-1"/>
              <w:rPr>
                <w:rFonts w:cs="Arial"/>
                <w:szCs w:val="18"/>
              </w:rPr>
            </w:pPr>
            <w:r w:rsidRPr="00230275">
              <w:rPr>
                <w:rFonts w:cs="Arial"/>
                <w:szCs w:val="18"/>
              </w:rPr>
              <w:t>ELT</w:t>
            </w:r>
          </w:p>
          <w:p w14:paraId="460C8A98" w14:textId="77777777" w:rsidR="00E27EE5" w:rsidRPr="00230275" w:rsidRDefault="00E27EE5" w:rsidP="002640DD">
            <w:pPr>
              <w:pStyle w:val="CETBodytext"/>
              <w:ind w:right="-1"/>
              <w:rPr>
                <w:rFonts w:cs="Arial"/>
                <w:szCs w:val="18"/>
              </w:rPr>
            </w:pPr>
            <w:r w:rsidRPr="00230275">
              <w:rPr>
                <w:rFonts w:cs="Arial"/>
                <w:szCs w:val="18"/>
              </w:rPr>
              <w:t>(g/100g)</w:t>
            </w:r>
          </w:p>
        </w:tc>
      </w:tr>
      <w:tr w:rsidR="00E27EE5" w:rsidRPr="001C670C" w14:paraId="1AFD57BE" w14:textId="77777777" w:rsidTr="0014642E">
        <w:tc>
          <w:tcPr>
            <w:tcW w:w="1701" w:type="dxa"/>
            <w:shd w:val="clear" w:color="auto" w:fill="FFFFFF"/>
          </w:tcPr>
          <w:p w14:paraId="79787E6B" w14:textId="77777777" w:rsidR="00E27EE5" w:rsidRPr="00230275" w:rsidRDefault="00063F63" w:rsidP="002640DD">
            <w:pPr>
              <w:pStyle w:val="CETBodytext"/>
              <w:rPr>
                <w:rFonts w:cs="Arial"/>
                <w:szCs w:val="18"/>
              </w:rPr>
            </w:pPr>
            <w:r w:rsidRPr="00230275">
              <w:rPr>
                <w:rFonts w:cs="Arial"/>
                <w:szCs w:val="18"/>
              </w:rPr>
              <w:t>Ammonia</w:t>
            </w:r>
          </w:p>
        </w:tc>
        <w:tc>
          <w:tcPr>
            <w:tcW w:w="851" w:type="dxa"/>
            <w:shd w:val="clear" w:color="auto" w:fill="FFFFFF"/>
          </w:tcPr>
          <w:p w14:paraId="1E96CC74" w14:textId="77777777" w:rsidR="00E27EE5" w:rsidRPr="00230275" w:rsidRDefault="00063F63" w:rsidP="002640DD">
            <w:pPr>
              <w:pStyle w:val="CETBodytext"/>
              <w:jc w:val="left"/>
              <w:rPr>
                <w:rFonts w:cs="Arial"/>
                <w:szCs w:val="18"/>
              </w:rPr>
            </w:pPr>
            <w:r w:rsidRPr="00230275">
              <w:rPr>
                <w:rFonts w:cs="Arial"/>
                <w:szCs w:val="18"/>
              </w:rPr>
              <w:t>-</w:t>
            </w:r>
          </w:p>
        </w:tc>
        <w:tc>
          <w:tcPr>
            <w:tcW w:w="992" w:type="dxa"/>
            <w:shd w:val="clear" w:color="auto" w:fill="FFFFFF"/>
          </w:tcPr>
          <w:p w14:paraId="1A2E421A" w14:textId="77777777" w:rsidR="00E27EE5" w:rsidRPr="00230275" w:rsidRDefault="005E3DEA" w:rsidP="002640DD">
            <w:pPr>
              <w:pStyle w:val="CETBodytext"/>
              <w:jc w:val="left"/>
              <w:rPr>
                <w:rFonts w:cs="Arial"/>
                <w:szCs w:val="18"/>
              </w:rPr>
            </w:pPr>
            <w:r w:rsidRPr="00230275">
              <w:rPr>
                <w:rFonts w:cs="Arial"/>
                <w:szCs w:val="18"/>
              </w:rPr>
              <w:t>-</w:t>
            </w:r>
          </w:p>
        </w:tc>
        <w:tc>
          <w:tcPr>
            <w:tcW w:w="851" w:type="dxa"/>
            <w:shd w:val="clear" w:color="auto" w:fill="FFFFFF"/>
          </w:tcPr>
          <w:p w14:paraId="7BAAAF9E" w14:textId="77777777" w:rsidR="00E27EE5" w:rsidRPr="00230275" w:rsidRDefault="00063F63" w:rsidP="002640DD">
            <w:pPr>
              <w:pStyle w:val="CETBodytext"/>
              <w:ind w:right="-1"/>
              <w:jc w:val="left"/>
              <w:rPr>
                <w:rFonts w:cs="Arial"/>
                <w:szCs w:val="18"/>
              </w:rPr>
            </w:pPr>
            <w:r w:rsidRPr="00230275">
              <w:rPr>
                <w:rFonts w:cs="Arial"/>
                <w:szCs w:val="18"/>
              </w:rPr>
              <w:t>0.95</w:t>
            </w:r>
          </w:p>
        </w:tc>
        <w:tc>
          <w:tcPr>
            <w:tcW w:w="992" w:type="dxa"/>
            <w:shd w:val="clear" w:color="auto" w:fill="FFFFFF"/>
          </w:tcPr>
          <w:p w14:paraId="5E2027DF" w14:textId="77777777" w:rsidR="00E27EE5" w:rsidRPr="00230275" w:rsidRDefault="00063F63" w:rsidP="002640DD">
            <w:pPr>
              <w:pStyle w:val="CETBodytext"/>
              <w:ind w:right="-1"/>
              <w:jc w:val="left"/>
              <w:rPr>
                <w:rFonts w:cs="Arial"/>
                <w:szCs w:val="18"/>
              </w:rPr>
            </w:pPr>
            <w:r w:rsidRPr="00230275">
              <w:rPr>
                <w:rFonts w:cs="Arial"/>
                <w:szCs w:val="18"/>
              </w:rPr>
              <w:t>0.78</w:t>
            </w:r>
          </w:p>
        </w:tc>
        <w:tc>
          <w:tcPr>
            <w:tcW w:w="992" w:type="dxa"/>
            <w:shd w:val="clear" w:color="auto" w:fill="FFFFFF"/>
          </w:tcPr>
          <w:p w14:paraId="12A6905F" w14:textId="77777777" w:rsidR="00E27EE5" w:rsidRPr="00230275" w:rsidRDefault="002640DD" w:rsidP="002640DD">
            <w:pPr>
              <w:pStyle w:val="CETBodytext"/>
              <w:ind w:right="-1"/>
              <w:jc w:val="left"/>
              <w:rPr>
                <w:rFonts w:cs="Arial"/>
                <w:szCs w:val="18"/>
              </w:rPr>
            </w:pPr>
            <w:r w:rsidRPr="00230275">
              <w:rPr>
                <w:rFonts w:cs="Arial"/>
                <w:szCs w:val="18"/>
              </w:rPr>
              <w:t>3.93</w:t>
            </w:r>
          </w:p>
        </w:tc>
      </w:tr>
      <w:tr w:rsidR="00063F63" w:rsidRPr="001C670C" w14:paraId="2D6180A8" w14:textId="77777777" w:rsidTr="0014642E">
        <w:tc>
          <w:tcPr>
            <w:tcW w:w="1701" w:type="dxa"/>
            <w:shd w:val="clear" w:color="auto" w:fill="FFFFFF"/>
          </w:tcPr>
          <w:p w14:paraId="041BD597" w14:textId="77777777" w:rsidR="00063F63" w:rsidRPr="00230275" w:rsidRDefault="00063F63" w:rsidP="002640DD">
            <w:pPr>
              <w:pStyle w:val="CETBodytext"/>
              <w:rPr>
                <w:rFonts w:cs="Arial"/>
                <w:szCs w:val="18"/>
              </w:rPr>
            </w:pPr>
            <w:r w:rsidRPr="00230275">
              <w:rPr>
                <w:rFonts w:cs="Arial"/>
                <w:szCs w:val="18"/>
              </w:rPr>
              <w:t>Methane</w:t>
            </w:r>
          </w:p>
        </w:tc>
        <w:tc>
          <w:tcPr>
            <w:tcW w:w="851" w:type="dxa"/>
            <w:shd w:val="clear" w:color="auto" w:fill="FFFFFF"/>
          </w:tcPr>
          <w:p w14:paraId="3ADDB2DC" w14:textId="77777777" w:rsidR="00063F63" w:rsidRPr="00230275" w:rsidRDefault="00063F63" w:rsidP="002640DD">
            <w:pPr>
              <w:pStyle w:val="CETBodytext"/>
              <w:jc w:val="left"/>
              <w:rPr>
                <w:rFonts w:cs="Arial"/>
                <w:szCs w:val="18"/>
              </w:rPr>
            </w:pPr>
            <w:r w:rsidRPr="00230275">
              <w:rPr>
                <w:rFonts w:cs="Arial"/>
                <w:szCs w:val="18"/>
              </w:rPr>
              <w:t>2.06</w:t>
            </w:r>
          </w:p>
        </w:tc>
        <w:tc>
          <w:tcPr>
            <w:tcW w:w="992" w:type="dxa"/>
            <w:shd w:val="clear" w:color="auto" w:fill="FFFFFF"/>
          </w:tcPr>
          <w:p w14:paraId="662373D1" w14:textId="77777777" w:rsidR="00063F63" w:rsidRPr="00230275" w:rsidRDefault="00063F63" w:rsidP="002640DD">
            <w:pPr>
              <w:pStyle w:val="CETBodytext"/>
              <w:jc w:val="left"/>
              <w:rPr>
                <w:rFonts w:cs="Arial"/>
                <w:szCs w:val="18"/>
              </w:rPr>
            </w:pPr>
            <w:r w:rsidRPr="00230275">
              <w:rPr>
                <w:rFonts w:cs="Arial"/>
                <w:szCs w:val="18"/>
              </w:rPr>
              <w:t>-</w:t>
            </w:r>
          </w:p>
        </w:tc>
        <w:tc>
          <w:tcPr>
            <w:tcW w:w="851" w:type="dxa"/>
            <w:shd w:val="clear" w:color="auto" w:fill="FFFFFF"/>
          </w:tcPr>
          <w:p w14:paraId="791F0738" w14:textId="77777777" w:rsidR="00063F63" w:rsidRPr="00230275" w:rsidRDefault="00063F63" w:rsidP="002640DD">
            <w:pPr>
              <w:pStyle w:val="CETBodytext"/>
              <w:ind w:right="-1"/>
              <w:jc w:val="left"/>
              <w:rPr>
                <w:rFonts w:cs="Arial"/>
                <w:szCs w:val="18"/>
              </w:rPr>
            </w:pPr>
            <w:r w:rsidRPr="00230275">
              <w:rPr>
                <w:rFonts w:cs="Arial"/>
                <w:szCs w:val="18"/>
              </w:rPr>
              <w:t>1.90</w:t>
            </w:r>
          </w:p>
        </w:tc>
        <w:tc>
          <w:tcPr>
            <w:tcW w:w="992" w:type="dxa"/>
            <w:shd w:val="clear" w:color="auto" w:fill="FFFFFF"/>
          </w:tcPr>
          <w:p w14:paraId="3664D792" w14:textId="77777777" w:rsidR="00063F63" w:rsidRPr="00230275" w:rsidRDefault="00063F63" w:rsidP="002640DD">
            <w:pPr>
              <w:pStyle w:val="CETBodytext"/>
              <w:ind w:right="-1"/>
              <w:jc w:val="left"/>
              <w:rPr>
                <w:rFonts w:cs="Arial"/>
                <w:szCs w:val="18"/>
              </w:rPr>
            </w:pPr>
            <w:r w:rsidRPr="00230275">
              <w:rPr>
                <w:rFonts w:cs="Arial"/>
                <w:szCs w:val="18"/>
              </w:rPr>
              <w:t>1.72</w:t>
            </w:r>
          </w:p>
        </w:tc>
        <w:tc>
          <w:tcPr>
            <w:tcW w:w="992" w:type="dxa"/>
            <w:shd w:val="clear" w:color="auto" w:fill="FFFFFF"/>
          </w:tcPr>
          <w:p w14:paraId="55AEC8FD" w14:textId="77777777" w:rsidR="00063F63" w:rsidRPr="00230275" w:rsidRDefault="002640DD" w:rsidP="002640DD">
            <w:pPr>
              <w:pStyle w:val="CETBodytext"/>
              <w:ind w:right="-1"/>
              <w:jc w:val="left"/>
              <w:rPr>
                <w:rFonts w:cs="Arial"/>
                <w:szCs w:val="18"/>
              </w:rPr>
            </w:pPr>
            <w:r w:rsidRPr="00230275">
              <w:rPr>
                <w:rFonts w:cs="Arial"/>
                <w:szCs w:val="18"/>
              </w:rPr>
              <w:t>8.27</w:t>
            </w:r>
          </w:p>
        </w:tc>
      </w:tr>
      <w:tr w:rsidR="00063F63" w:rsidRPr="001C670C" w14:paraId="11469993" w14:textId="77777777" w:rsidTr="0014642E">
        <w:tc>
          <w:tcPr>
            <w:tcW w:w="1701" w:type="dxa"/>
            <w:shd w:val="clear" w:color="auto" w:fill="FFFFFF"/>
          </w:tcPr>
          <w:p w14:paraId="10917258" w14:textId="77777777" w:rsidR="00063F63" w:rsidRPr="00230275" w:rsidRDefault="00063F63" w:rsidP="002640DD">
            <w:pPr>
              <w:pStyle w:val="CETBodytext"/>
              <w:rPr>
                <w:rFonts w:cs="Arial"/>
                <w:szCs w:val="18"/>
              </w:rPr>
            </w:pPr>
            <w:r w:rsidRPr="00230275">
              <w:rPr>
                <w:rFonts w:cs="Arial"/>
                <w:szCs w:val="18"/>
              </w:rPr>
              <w:t>Carbon monoxide</w:t>
            </w:r>
          </w:p>
        </w:tc>
        <w:tc>
          <w:tcPr>
            <w:tcW w:w="851" w:type="dxa"/>
            <w:shd w:val="clear" w:color="auto" w:fill="FFFFFF"/>
          </w:tcPr>
          <w:p w14:paraId="36DC4E1F" w14:textId="77777777" w:rsidR="00063F63" w:rsidRPr="00230275" w:rsidRDefault="00063F63" w:rsidP="002640DD">
            <w:pPr>
              <w:pStyle w:val="CETBodytext"/>
              <w:jc w:val="left"/>
              <w:rPr>
                <w:rFonts w:cs="Arial"/>
                <w:szCs w:val="18"/>
              </w:rPr>
            </w:pPr>
            <w:r w:rsidRPr="00230275">
              <w:rPr>
                <w:rFonts w:cs="Arial"/>
                <w:szCs w:val="18"/>
              </w:rPr>
              <w:t>19.12</w:t>
            </w:r>
          </w:p>
        </w:tc>
        <w:tc>
          <w:tcPr>
            <w:tcW w:w="992" w:type="dxa"/>
            <w:shd w:val="clear" w:color="auto" w:fill="FFFFFF"/>
          </w:tcPr>
          <w:p w14:paraId="3CADBEEC" w14:textId="77777777" w:rsidR="00063F63" w:rsidRPr="00230275" w:rsidRDefault="00063F63" w:rsidP="002640DD">
            <w:pPr>
              <w:pStyle w:val="CETBodytext"/>
              <w:jc w:val="left"/>
              <w:rPr>
                <w:rFonts w:cs="Arial"/>
                <w:szCs w:val="18"/>
              </w:rPr>
            </w:pPr>
            <w:r w:rsidRPr="00230275">
              <w:rPr>
                <w:rFonts w:cs="Arial"/>
                <w:szCs w:val="18"/>
              </w:rPr>
              <w:t>-</w:t>
            </w:r>
          </w:p>
        </w:tc>
        <w:tc>
          <w:tcPr>
            <w:tcW w:w="851" w:type="dxa"/>
            <w:shd w:val="clear" w:color="auto" w:fill="FFFFFF"/>
          </w:tcPr>
          <w:p w14:paraId="70823E65" w14:textId="77777777" w:rsidR="00063F63" w:rsidRPr="00230275" w:rsidRDefault="00063F63" w:rsidP="002640DD">
            <w:pPr>
              <w:pStyle w:val="CETBodytext"/>
              <w:ind w:right="-1"/>
              <w:jc w:val="left"/>
              <w:rPr>
                <w:rFonts w:cs="Arial"/>
                <w:szCs w:val="18"/>
              </w:rPr>
            </w:pPr>
            <w:r w:rsidRPr="00230275">
              <w:rPr>
                <w:rFonts w:cs="Arial"/>
                <w:szCs w:val="18"/>
              </w:rPr>
              <w:t>3.65</w:t>
            </w:r>
          </w:p>
        </w:tc>
        <w:tc>
          <w:tcPr>
            <w:tcW w:w="992" w:type="dxa"/>
            <w:shd w:val="clear" w:color="auto" w:fill="FFFFFF"/>
          </w:tcPr>
          <w:p w14:paraId="4FA0A0A7" w14:textId="77777777" w:rsidR="00063F63" w:rsidRPr="00230275" w:rsidRDefault="00063F63" w:rsidP="002640DD">
            <w:pPr>
              <w:pStyle w:val="CETBodytext"/>
              <w:ind w:right="-1"/>
              <w:jc w:val="left"/>
              <w:rPr>
                <w:rFonts w:cs="Arial"/>
                <w:szCs w:val="18"/>
              </w:rPr>
            </w:pPr>
            <w:r w:rsidRPr="00230275">
              <w:rPr>
                <w:rFonts w:cs="Arial"/>
                <w:szCs w:val="18"/>
              </w:rPr>
              <w:t>4.60</w:t>
            </w:r>
          </w:p>
        </w:tc>
        <w:tc>
          <w:tcPr>
            <w:tcW w:w="992" w:type="dxa"/>
            <w:shd w:val="clear" w:color="auto" w:fill="FFFFFF"/>
          </w:tcPr>
          <w:p w14:paraId="603FF92A" w14:textId="77777777" w:rsidR="00063F63" w:rsidRPr="00230275" w:rsidRDefault="002640DD" w:rsidP="002640DD">
            <w:pPr>
              <w:pStyle w:val="CETBodytext"/>
              <w:ind w:right="-1"/>
              <w:jc w:val="left"/>
              <w:rPr>
                <w:rFonts w:cs="Arial"/>
                <w:szCs w:val="18"/>
              </w:rPr>
            </w:pPr>
            <w:r w:rsidRPr="00230275">
              <w:rPr>
                <w:rFonts w:cs="Arial"/>
                <w:szCs w:val="18"/>
              </w:rPr>
              <w:t>6.65</w:t>
            </w:r>
          </w:p>
        </w:tc>
      </w:tr>
      <w:tr w:rsidR="00063F63" w:rsidRPr="001C670C" w14:paraId="7FED8816" w14:textId="77777777" w:rsidTr="0014642E">
        <w:tc>
          <w:tcPr>
            <w:tcW w:w="1701" w:type="dxa"/>
            <w:shd w:val="clear" w:color="auto" w:fill="FFFFFF"/>
          </w:tcPr>
          <w:p w14:paraId="5C7E63A8" w14:textId="77777777" w:rsidR="00063F63" w:rsidRPr="00230275" w:rsidRDefault="00063F63" w:rsidP="002640DD">
            <w:pPr>
              <w:pStyle w:val="CETBodytext"/>
              <w:rPr>
                <w:rFonts w:cs="Arial"/>
                <w:szCs w:val="18"/>
              </w:rPr>
            </w:pPr>
            <w:r w:rsidRPr="00230275">
              <w:rPr>
                <w:rFonts w:cs="Arial"/>
                <w:szCs w:val="18"/>
              </w:rPr>
              <w:t>Carbon dioxide</w:t>
            </w:r>
          </w:p>
        </w:tc>
        <w:tc>
          <w:tcPr>
            <w:tcW w:w="851" w:type="dxa"/>
            <w:shd w:val="clear" w:color="auto" w:fill="FFFFFF"/>
          </w:tcPr>
          <w:p w14:paraId="77C21A44" w14:textId="77777777" w:rsidR="00063F63" w:rsidRPr="00230275" w:rsidRDefault="00063F63" w:rsidP="002640DD">
            <w:pPr>
              <w:pStyle w:val="CETBodytext"/>
              <w:jc w:val="left"/>
              <w:rPr>
                <w:rFonts w:cs="Arial"/>
                <w:szCs w:val="18"/>
              </w:rPr>
            </w:pPr>
            <w:r w:rsidRPr="00230275">
              <w:rPr>
                <w:rFonts w:cs="Arial"/>
                <w:szCs w:val="18"/>
              </w:rPr>
              <w:t>15.25</w:t>
            </w:r>
          </w:p>
        </w:tc>
        <w:tc>
          <w:tcPr>
            <w:tcW w:w="992" w:type="dxa"/>
            <w:shd w:val="clear" w:color="auto" w:fill="FFFFFF"/>
          </w:tcPr>
          <w:p w14:paraId="6C7694AB" w14:textId="77777777" w:rsidR="00063F63" w:rsidRPr="00230275" w:rsidRDefault="00063F63" w:rsidP="002640DD">
            <w:pPr>
              <w:pStyle w:val="CETBodytext"/>
              <w:jc w:val="left"/>
              <w:rPr>
                <w:rFonts w:cs="Arial"/>
                <w:szCs w:val="18"/>
              </w:rPr>
            </w:pPr>
            <w:r w:rsidRPr="00230275">
              <w:rPr>
                <w:rFonts w:cs="Arial"/>
                <w:szCs w:val="18"/>
              </w:rPr>
              <w:t>-</w:t>
            </w:r>
          </w:p>
        </w:tc>
        <w:tc>
          <w:tcPr>
            <w:tcW w:w="851" w:type="dxa"/>
            <w:shd w:val="clear" w:color="auto" w:fill="FFFFFF"/>
          </w:tcPr>
          <w:p w14:paraId="1C32489A" w14:textId="77777777" w:rsidR="00063F63" w:rsidRPr="00230275" w:rsidRDefault="00063F63" w:rsidP="002640DD">
            <w:pPr>
              <w:pStyle w:val="CETBodytext"/>
              <w:ind w:right="-1"/>
              <w:jc w:val="left"/>
              <w:rPr>
                <w:rFonts w:cs="Arial"/>
                <w:szCs w:val="18"/>
              </w:rPr>
            </w:pPr>
            <w:r w:rsidRPr="00230275">
              <w:rPr>
                <w:rFonts w:cs="Arial"/>
                <w:szCs w:val="18"/>
              </w:rPr>
              <w:t>29.06</w:t>
            </w:r>
          </w:p>
        </w:tc>
        <w:tc>
          <w:tcPr>
            <w:tcW w:w="992" w:type="dxa"/>
            <w:shd w:val="clear" w:color="auto" w:fill="FFFFFF"/>
          </w:tcPr>
          <w:p w14:paraId="501805C0" w14:textId="77777777" w:rsidR="00063F63" w:rsidRPr="00230275" w:rsidRDefault="00063F63" w:rsidP="002640DD">
            <w:pPr>
              <w:pStyle w:val="CETBodytext"/>
              <w:ind w:right="-1"/>
              <w:jc w:val="left"/>
              <w:rPr>
                <w:rFonts w:cs="Arial"/>
                <w:szCs w:val="18"/>
              </w:rPr>
            </w:pPr>
            <w:r w:rsidRPr="00230275">
              <w:rPr>
                <w:rFonts w:cs="Arial"/>
                <w:szCs w:val="18"/>
              </w:rPr>
              <w:t>59.32</w:t>
            </w:r>
          </w:p>
        </w:tc>
        <w:tc>
          <w:tcPr>
            <w:tcW w:w="992" w:type="dxa"/>
            <w:shd w:val="clear" w:color="auto" w:fill="FFFFFF"/>
          </w:tcPr>
          <w:p w14:paraId="44A16D5E" w14:textId="77777777" w:rsidR="00063F63" w:rsidRPr="00230275" w:rsidRDefault="002640DD" w:rsidP="002640DD">
            <w:pPr>
              <w:pStyle w:val="CETBodytext"/>
              <w:ind w:right="-1"/>
              <w:jc w:val="left"/>
              <w:rPr>
                <w:rFonts w:cs="Arial"/>
                <w:szCs w:val="18"/>
              </w:rPr>
            </w:pPr>
            <w:r w:rsidRPr="00230275">
              <w:rPr>
                <w:rFonts w:cs="Arial"/>
                <w:szCs w:val="18"/>
              </w:rPr>
              <w:t>9.71</w:t>
            </w:r>
          </w:p>
        </w:tc>
      </w:tr>
      <w:tr w:rsidR="00063F63" w:rsidRPr="001C670C" w14:paraId="3542E7E5" w14:textId="77777777" w:rsidTr="0014642E">
        <w:tc>
          <w:tcPr>
            <w:tcW w:w="1701" w:type="dxa"/>
            <w:shd w:val="clear" w:color="auto" w:fill="FFFFFF"/>
          </w:tcPr>
          <w:p w14:paraId="568AA522" w14:textId="77777777" w:rsidR="00063F63" w:rsidRPr="00230275" w:rsidRDefault="00063F63" w:rsidP="002640DD">
            <w:pPr>
              <w:pStyle w:val="CETBodytext"/>
              <w:rPr>
                <w:rFonts w:cs="Arial"/>
                <w:szCs w:val="18"/>
              </w:rPr>
            </w:pPr>
            <w:r w:rsidRPr="00230275">
              <w:rPr>
                <w:rFonts w:cs="Arial"/>
                <w:szCs w:val="18"/>
              </w:rPr>
              <w:t>Ethylene</w:t>
            </w:r>
          </w:p>
        </w:tc>
        <w:tc>
          <w:tcPr>
            <w:tcW w:w="851" w:type="dxa"/>
            <w:shd w:val="clear" w:color="auto" w:fill="FFFFFF"/>
          </w:tcPr>
          <w:p w14:paraId="1FEDEDFC" w14:textId="77777777" w:rsidR="00063F63" w:rsidRPr="00230275" w:rsidRDefault="00063F63" w:rsidP="002640DD">
            <w:pPr>
              <w:pStyle w:val="CETBodytext"/>
              <w:jc w:val="left"/>
              <w:rPr>
                <w:rFonts w:cs="Arial"/>
                <w:szCs w:val="18"/>
              </w:rPr>
            </w:pPr>
            <w:r w:rsidRPr="00230275">
              <w:rPr>
                <w:rFonts w:cs="Arial"/>
                <w:szCs w:val="18"/>
              </w:rPr>
              <w:t>4.51</w:t>
            </w:r>
          </w:p>
        </w:tc>
        <w:tc>
          <w:tcPr>
            <w:tcW w:w="992" w:type="dxa"/>
            <w:shd w:val="clear" w:color="auto" w:fill="FFFFFF"/>
          </w:tcPr>
          <w:p w14:paraId="05CF8DDB" w14:textId="77777777" w:rsidR="00063F63" w:rsidRPr="00230275" w:rsidRDefault="00063F63" w:rsidP="002640DD">
            <w:pPr>
              <w:pStyle w:val="CETBodytext"/>
              <w:jc w:val="left"/>
              <w:rPr>
                <w:rFonts w:cs="Arial"/>
                <w:szCs w:val="18"/>
              </w:rPr>
            </w:pPr>
            <w:r w:rsidRPr="00230275">
              <w:rPr>
                <w:rFonts w:cs="Arial"/>
                <w:szCs w:val="18"/>
              </w:rPr>
              <w:t>-</w:t>
            </w:r>
          </w:p>
        </w:tc>
        <w:tc>
          <w:tcPr>
            <w:tcW w:w="851" w:type="dxa"/>
            <w:shd w:val="clear" w:color="auto" w:fill="FFFFFF"/>
          </w:tcPr>
          <w:p w14:paraId="0681AB9B" w14:textId="77777777" w:rsidR="00063F63" w:rsidRPr="00230275" w:rsidRDefault="00063F63" w:rsidP="002640DD">
            <w:pPr>
              <w:pStyle w:val="CETBodytext"/>
              <w:ind w:right="-1"/>
              <w:jc w:val="left"/>
              <w:rPr>
                <w:rFonts w:cs="Arial"/>
                <w:szCs w:val="18"/>
              </w:rPr>
            </w:pPr>
            <w:r w:rsidRPr="00230275">
              <w:rPr>
                <w:rFonts w:cs="Arial"/>
                <w:szCs w:val="18"/>
              </w:rPr>
              <w:t>2.85</w:t>
            </w:r>
          </w:p>
        </w:tc>
        <w:tc>
          <w:tcPr>
            <w:tcW w:w="992" w:type="dxa"/>
            <w:shd w:val="clear" w:color="auto" w:fill="FFFFFF"/>
          </w:tcPr>
          <w:p w14:paraId="37A110C2" w14:textId="77777777" w:rsidR="00063F63" w:rsidRPr="00230275" w:rsidRDefault="00063F63" w:rsidP="002640DD">
            <w:pPr>
              <w:pStyle w:val="CETBodytext"/>
              <w:ind w:right="-1"/>
              <w:jc w:val="left"/>
              <w:rPr>
                <w:rFonts w:cs="Arial"/>
                <w:szCs w:val="18"/>
              </w:rPr>
            </w:pPr>
            <w:r w:rsidRPr="00230275">
              <w:rPr>
                <w:rFonts w:cs="Arial"/>
                <w:szCs w:val="18"/>
              </w:rPr>
              <w:t>2.58</w:t>
            </w:r>
          </w:p>
        </w:tc>
        <w:tc>
          <w:tcPr>
            <w:tcW w:w="992" w:type="dxa"/>
            <w:shd w:val="clear" w:color="auto" w:fill="FFFFFF"/>
          </w:tcPr>
          <w:p w14:paraId="390CA5D6" w14:textId="77777777" w:rsidR="00063F63" w:rsidRPr="00230275" w:rsidRDefault="002640DD" w:rsidP="002640DD">
            <w:pPr>
              <w:pStyle w:val="CETBodytext"/>
              <w:ind w:right="-1"/>
              <w:jc w:val="left"/>
              <w:rPr>
                <w:rFonts w:cs="Arial"/>
                <w:szCs w:val="18"/>
              </w:rPr>
            </w:pPr>
            <w:r w:rsidRPr="00230275">
              <w:rPr>
                <w:rFonts w:cs="Arial"/>
                <w:szCs w:val="18"/>
              </w:rPr>
              <w:t>5.30</w:t>
            </w:r>
          </w:p>
        </w:tc>
      </w:tr>
      <w:tr w:rsidR="0014642E" w:rsidRPr="001C670C" w14:paraId="483D4004" w14:textId="77777777" w:rsidTr="0014642E">
        <w:tc>
          <w:tcPr>
            <w:tcW w:w="1701" w:type="dxa"/>
            <w:shd w:val="clear" w:color="auto" w:fill="FFFFFF"/>
          </w:tcPr>
          <w:p w14:paraId="62C71E45" w14:textId="77777777" w:rsidR="0014642E" w:rsidRPr="00230275" w:rsidRDefault="0014642E" w:rsidP="0014642E">
            <w:pPr>
              <w:pStyle w:val="CETBodytext"/>
              <w:rPr>
                <w:rFonts w:cs="Arial"/>
                <w:szCs w:val="18"/>
              </w:rPr>
            </w:pPr>
            <w:r w:rsidRPr="00230275">
              <w:rPr>
                <w:rFonts w:cs="Arial"/>
                <w:szCs w:val="18"/>
              </w:rPr>
              <w:t>Ethane</w:t>
            </w:r>
          </w:p>
        </w:tc>
        <w:tc>
          <w:tcPr>
            <w:tcW w:w="851" w:type="dxa"/>
            <w:shd w:val="clear" w:color="auto" w:fill="FFFFFF"/>
          </w:tcPr>
          <w:p w14:paraId="0BE1345B" w14:textId="77777777" w:rsidR="0014642E" w:rsidRPr="00230275" w:rsidRDefault="0014642E" w:rsidP="0014642E">
            <w:pPr>
              <w:pStyle w:val="CETBodytext"/>
              <w:ind w:right="-1"/>
              <w:jc w:val="left"/>
              <w:rPr>
                <w:rFonts w:cs="Arial"/>
                <w:szCs w:val="18"/>
              </w:rPr>
            </w:pPr>
            <w:r w:rsidRPr="00230275">
              <w:rPr>
                <w:rFonts w:cs="Arial"/>
                <w:szCs w:val="18"/>
              </w:rPr>
              <w:t>0.36</w:t>
            </w:r>
          </w:p>
        </w:tc>
        <w:tc>
          <w:tcPr>
            <w:tcW w:w="992" w:type="dxa"/>
            <w:shd w:val="clear" w:color="auto" w:fill="FFFFFF"/>
          </w:tcPr>
          <w:p w14:paraId="59A24120" w14:textId="77777777" w:rsidR="0014642E" w:rsidRPr="00230275" w:rsidRDefault="0014642E" w:rsidP="0014642E">
            <w:pPr>
              <w:pStyle w:val="CETBodytext"/>
              <w:jc w:val="left"/>
              <w:rPr>
                <w:rFonts w:cs="Arial"/>
                <w:szCs w:val="18"/>
              </w:rPr>
            </w:pPr>
            <w:r w:rsidRPr="00230275">
              <w:rPr>
                <w:rFonts w:cs="Arial"/>
                <w:szCs w:val="18"/>
              </w:rPr>
              <w:t>-</w:t>
            </w:r>
          </w:p>
        </w:tc>
        <w:tc>
          <w:tcPr>
            <w:tcW w:w="851" w:type="dxa"/>
            <w:shd w:val="clear" w:color="auto" w:fill="FFFFFF"/>
          </w:tcPr>
          <w:p w14:paraId="40A96010" w14:textId="77777777" w:rsidR="0014642E" w:rsidRPr="00230275" w:rsidRDefault="0014642E" w:rsidP="0014642E">
            <w:pPr>
              <w:pStyle w:val="CETBodytext"/>
              <w:ind w:right="-1"/>
              <w:jc w:val="left"/>
              <w:rPr>
                <w:rFonts w:cs="Arial"/>
                <w:szCs w:val="18"/>
              </w:rPr>
            </w:pPr>
            <w:r w:rsidRPr="00230275">
              <w:rPr>
                <w:rFonts w:cs="Arial"/>
                <w:szCs w:val="18"/>
              </w:rPr>
              <w:t>6.20</w:t>
            </w:r>
          </w:p>
        </w:tc>
        <w:tc>
          <w:tcPr>
            <w:tcW w:w="992" w:type="dxa"/>
            <w:shd w:val="clear" w:color="auto" w:fill="FFFFFF"/>
          </w:tcPr>
          <w:p w14:paraId="3CD70DD2" w14:textId="77777777" w:rsidR="0014642E" w:rsidRPr="00044B9B" w:rsidRDefault="0014642E" w:rsidP="0014642E">
            <w:pPr>
              <w:spacing w:line="240" w:lineRule="auto"/>
              <w:jc w:val="left"/>
              <w:rPr>
                <w:rFonts w:cs="Arial"/>
                <w:szCs w:val="18"/>
                <w:lang w:val="en-US"/>
              </w:rPr>
            </w:pPr>
            <w:r w:rsidRPr="00044B9B">
              <w:rPr>
                <w:rFonts w:cs="Arial"/>
                <w:szCs w:val="18"/>
                <w:lang w:val="en-US"/>
              </w:rPr>
              <w:t>2.09</w:t>
            </w:r>
          </w:p>
        </w:tc>
        <w:tc>
          <w:tcPr>
            <w:tcW w:w="992" w:type="dxa"/>
            <w:shd w:val="clear" w:color="auto" w:fill="FFFFFF"/>
          </w:tcPr>
          <w:p w14:paraId="2139FA1F" w14:textId="77777777" w:rsidR="0014642E" w:rsidRPr="00044B9B" w:rsidRDefault="002640DD" w:rsidP="0014642E">
            <w:pPr>
              <w:spacing w:line="240" w:lineRule="auto"/>
              <w:jc w:val="left"/>
              <w:rPr>
                <w:rFonts w:cs="Arial"/>
                <w:szCs w:val="18"/>
                <w:lang w:val="en-US"/>
              </w:rPr>
            </w:pPr>
            <w:r w:rsidRPr="00044B9B">
              <w:rPr>
                <w:rFonts w:cs="Arial"/>
                <w:szCs w:val="18"/>
                <w:lang w:val="en-US"/>
              </w:rPr>
              <w:t>11.41</w:t>
            </w:r>
          </w:p>
        </w:tc>
      </w:tr>
      <w:tr w:rsidR="0014642E" w:rsidRPr="001C670C" w14:paraId="16AC8F63" w14:textId="77777777" w:rsidTr="0014642E">
        <w:tc>
          <w:tcPr>
            <w:tcW w:w="1701" w:type="dxa"/>
            <w:tcBorders>
              <w:bottom w:val="nil"/>
            </w:tcBorders>
            <w:shd w:val="clear" w:color="auto" w:fill="FFFFFF"/>
          </w:tcPr>
          <w:p w14:paraId="70CDC19A" w14:textId="77777777" w:rsidR="0014642E" w:rsidRPr="00230275" w:rsidRDefault="0014642E" w:rsidP="0014642E">
            <w:pPr>
              <w:pStyle w:val="CETBodytext"/>
              <w:ind w:right="-1"/>
              <w:rPr>
                <w:rFonts w:cs="Arial"/>
                <w:szCs w:val="18"/>
              </w:rPr>
            </w:pPr>
            <w:r w:rsidRPr="00230275">
              <w:rPr>
                <w:rFonts w:cs="Arial"/>
                <w:szCs w:val="18"/>
              </w:rPr>
              <w:t xml:space="preserve">Formic aldehyde </w:t>
            </w:r>
          </w:p>
        </w:tc>
        <w:tc>
          <w:tcPr>
            <w:tcW w:w="851" w:type="dxa"/>
            <w:tcBorders>
              <w:bottom w:val="nil"/>
            </w:tcBorders>
            <w:shd w:val="clear" w:color="auto" w:fill="FFFFFF"/>
          </w:tcPr>
          <w:p w14:paraId="20891D38" w14:textId="77777777" w:rsidR="0014642E" w:rsidRPr="00230275" w:rsidRDefault="0014642E" w:rsidP="0014642E">
            <w:pPr>
              <w:pStyle w:val="CETBodytext"/>
              <w:ind w:right="-1"/>
              <w:jc w:val="left"/>
              <w:rPr>
                <w:rFonts w:cs="Arial"/>
                <w:szCs w:val="18"/>
              </w:rPr>
            </w:pPr>
            <w:r w:rsidRPr="00230275">
              <w:rPr>
                <w:rFonts w:cs="Arial"/>
                <w:szCs w:val="18"/>
              </w:rPr>
              <w:t>0.38</w:t>
            </w:r>
          </w:p>
        </w:tc>
        <w:tc>
          <w:tcPr>
            <w:tcW w:w="992" w:type="dxa"/>
            <w:tcBorders>
              <w:bottom w:val="nil"/>
            </w:tcBorders>
            <w:shd w:val="clear" w:color="auto" w:fill="FFFFFF"/>
          </w:tcPr>
          <w:p w14:paraId="4732B2F4" w14:textId="77777777" w:rsidR="0014642E" w:rsidRPr="00230275" w:rsidRDefault="0014642E" w:rsidP="0014642E">
            <w:pPr>
              <w:pStyle w:val="CETBodytext"/>
              <w:ind w:right="-1"/>
              <w:jc w:val="left"/>
              <w:rPr>
                <w:rFonts w:cs="Arial"/>
                <w:szCs w:val="18"/>
              </w:rPr>
            </w:pPr>
            <w:r w:rsidRPr="00230275">
              <w:rPr>
                <w:rFonts w:cs="Arial"/>
                <w:szCs w:val="18"/>
              </w:rPr>
              <w:t>-</w:t>
            </w:r>
          </w:p>
        </w:tc>
        <w:tc>
          <w:tcPr>
            <w:tcW w:w="851" w:type="dxa"/>
            <w:tcBorders>
              <w:bottom w:val="nil"/>
            </w:tcBorders>
            <w:shd w:val="clear" w:color="auto" w:fill="FFFFFF"/>
          </w:tcPr>
          <w:p w14:paraId="7F080AA9" w14:textId="77777777" w:rsidR="0014642E" w:rsidRPr="00044B9B" w:rsidRDefault="0014642E" w:rsidP="0014642E">
            <w:pPr>
              <w:spacing w:line="240" w:lineRule="auto"/>
              <w:jc w:val="left"/>
              <w:rPr>
                <w:rFonts w:cs="Arial"/>
                <w:szCs w:val="18"/>
                <w:lang w:val="en-US"/>
              </w:rPr>
            </w:pPr>
            <w:r w:rsidRPr="00044B9B">
              <w:rPr>
                <w:rFonts w:cs="Arial"/>
                <w:szCs w:val="18"/>
                <w:lang w:val="en-US"/>
              </w:rPr>
              <w:t>18.21</w:t>
            </w:r>
          </w:p>
        </w:tc>
        <w:tc>
          <w:tcPr>
            <w:tcW w:w="992" w:type="dxa"/>
            <w:tcBorders>
              <w:bottom w:val="nil"/>
            </w:tcBorders>
            <w:shd w:val="clear" w:color="auto" w:fill="FFFFFF"/>
          </w:tcPr>
          <w:p w14:paraId="728DF54B" w14:textId="77777777" w:rsidR="0014642E" w:rsidRPr="00044B9B" w:rsidRDefault="0014642E" w:rsidP="0014642E">
            <w:pPr>
              <w:spacing w:line="240" w:lineRule="auto"/>
              <w:jc w:val="left"/>
              <w:rPr>
                <w:rFonts w:cs="Arial"/>
                <w:szCs w:val="18"/>
                <w:lang w:val="en-US"/>
              </w:rPr>
            </w:pPr>
            <w:r w:rsidRPr="00044B9B">
              <w:rPr>
                <w:rFonts w:cs="Arial"/>
                <w:szCs w:val="18"/>
                <w:lang w:val="en-US"/>
              </w:rPr>
              <w:t>2.72</w:t>
            </w:r>
          </w:p>
        </w:tc>
        <w:tc>
          <w:tcPr>
            <w:tcW w:w="992" w:type="dxa"/>
            <w:tcBorders>
              <w:bottom w:val="nil"/>
            </w:tcBorders>
            <w:shd w:val="clear" w:color="auto" w:fill="FFFFFF"/>
          </w:tcPr>
          <w:p w14:paraId="4B0840D9" w14:textId="77777777" w:rsidR="0014642E" w:rsidRPr="00044B9B" w:rsidRDefault="002640DD" w:rsidP="0014642E">
            <w:pPr>
              <w:spacing w:line="240" w:lineRule="auto"/>
              <w:jc w:val="left"/>
              <w:rPr>
                <w:rFonts w:cs="Arial"/>
                <w:szCs w:val="18"/>
                <w:lang w:val="en-US"/>
              </w:rPr>
            </w:pPr>
            <w:r w:rsidRPr="00044B9B">
              <w:rPr>
                <w:rFonts w:cs="Arial"/>
                <w:szCs w:val="18"/>
                <w:lang w:val="en-US"/>
              </w:rPr>
              <w:t>-</w:t>
            </w:r>
          </w:p>
        </w:tc>
      </w:tr>
      <w:tr w:rsidR="0014642E" w:rsidRPr="001C670C" w14:paraId="167FA0C7" w14:textId="77777777" w:rsidTr="0014642E">
        <w:tc>
          <w:tcPr>
            <w:tcW w:w="1701" w:type="dxa"/>
            <w:tcBorders>
              <w:top w:val="nil"/>
              <w:bottom w:val="nil"/>
            </w:tcBorders>
            <w:shd w:val="clear" w:color="auto" w:fill="FFFFFF"/>
          </w:tcPr>
          <w:p w14:paraId="75059889" w14:textId="77777777" w:rsidR="0014642E" w:rsidRPr="00230275" w:rsidRDefault="0014642E" w:rsidP="0014642E">
            <w:pPr>
              <w:pStyle w:val="CETBodytext"/>
              <w:ind w:right="-1"/>
              <w:rPr>
                <w:rFonts w:cs="Arial"/>
                <w:szCs w:val="18"/>
              </w:rPr>
            </w:pPr>
            <w:r w:rsidRPr="00230275">
              <w:rPr>
                <w:rFonts w:cs="Arial"/>
                <w:szCs w:val="18"/>
              </w:rPr>
              <w:t>Methanol</w:t>
            </w:r>
          </w:p>
        </w:tc>
        <w:tc>
          <w:tcPr>
            <w:tcW w:w="851" w:type="dxa"/>
            <w:tcBorders>
              <w:top w:val="nil"/>
              <w:bottom w:val="nil"/>
            </w:tcBorders>
            <w:shd w:val="clear" w:color="auto" w:fill="FFFFFF"/>
          </w:tcPr>
          <w:p w14:paraId="72B9BC39" w14:textId="77777777" w:rsidR="0014642E" w:rsidRPr="00044B9B" w:rsidRDefault="0014642E" w:rsidP="0014642E">
            <w:pPr>
              <w:pStyle w:val="CETBodytext"/>
              <w:ind w:right="-1"/>
              <w:jc w:val="left"/>
              <w:rPr>
                <w:rFonts w:cs="Arial"/>
                <w:szCs w:val="18"/>
              </w:rPr>
            </w:pPr>
            <w:r w:rsidRPr="00044B9B">
              <w:rPr>
                <w:rFonts w:cs="Arial"/>
                <w:szCs w:val="18"/>
              </w:rPr>
              <w:t>0.16</w:t>
            </w:r>
          </w:p>
        </w:tc>
        <w:tc>
          <w:tcPr>
            <w:tcW w:w="992" w:type="dxa"/>
            <w:tcBorders>
              <w:top w:val="nil"/>
              <w:bottom w:val="nil"/>
            </w:tcBorders>
            <w:shd w:val="clear" w:color="auto" w:fill="FFFFFF"/>
          </w:tcPr>
          <w:p w14:paraId="5A76CBAB"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1A704DCB"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61652316" w14:textId="77777777" w:rsidR="0014642E" w:rsidRPr="00044B9B" w:rsidRDefault="0014642E" w:rsidP="0014642E">
            <w:pPr>
              <w:spacing w:line="240" w:lineRule="auto"/>
              <w:jc w:val="left"/>
              <w:rPr>
                <w:rFonts w:cs="Arial"/>
                <w:szCs w:val="18"/>
                <w:lang w:val="en-US"/>
              </w:rPr>
            </w:pPr>
            <w:r w:rsidRPr="00044B9B">
              <w:rPr>
                <w:rFonts w:cs="Arial"/>
                <w:szCs w:val="18"/>
                <w:lang w:val="en-US"/>
              </w:rPr>
              <w:t>1.57</w:t>
            </w:r>
          </w:p>
        </w:tc>
        <w:tc>
          <w:tcPr>
            <w:tcW w:w="992" w:type="dxa"/>
            <w:tcBorders>
              <w:top w:val="nil"/>
              <w:bottom w:val="nil"/>
            </w:tcBorders>
            <w:shd w:val="clear" w:color="auto" w:fill="FFFFFF"/>
          </w:tcPr>
          <w:p w14:paraId="7FFFE19F" w14:textId="77777777" w:rsidR="0014642E" w:rsidRPr="00044B9B" w:rsidRDefault="002640DD" w:rsidP="0014642E">
            <w:pPr>
              <w:spacing w:line="240" w:lineRule="auto"/>
              <w:jc w:val="left"/>
              <w:rPr>
                <w:rFonts w:cs="Arial"/>
                <w:szCs w:val="18"/>
                <w:lang w:val="en-US"/>
              </w:rPr>
            </w:pPr>
            <w:r w:rsidRPr="00044B9B">
              <w:rPr>
                <w:rFonts w:cs="Arial"/>
                <w:szCs w:val="18"/>
                <w:lang w:val="en-US"/>
              </w:rPr>
              <w:t>-</w:t>
            </w:r>
          </w:p>
        </w:tc>
      </w:tr>
      <w:tr w:rsidR="0014642E" w:rsidRPr="001C670C" w14:paraId="6EB851C0" w14:textId="77777777" w:rsidTr="0014642E">
        <w:tc>
          <w:tcPr>
            <w:tcW w:w="1701" w:type="dxa"/>
            <w:tcBorders>
              <w:top w:val="nil"/>
              <w:bottom w:val="nil"/>
            </w:tcBorders>
            <w:shd w:val="clear" w:color="auto" w:fill="FFFFFF"/>
          </w:tcPr>
          <w:p w14:paraId="3947AA44" w14:textId="77777777" w:rsidR="0014642E" w:rsidRPr="00230275" w:rsidRDefault="0014642E" w:rsidP="0014642E">
            <w:pPr>
              <w:pStyle w:val="CETBodytext"/>
              <w:ind w:right="-1"/>
              <w:rPr>
                <w:rFonts w:cs="Arial"/>
                <w:szCs w:val="18"/>
              </w:rPr>
            </w:pPr>
            <w:r w:rsidRPr="00230275">
              <w:rPr>
                <w:rFonts w:cs="Arial"/>
                <w:szCs w:val="18"/>
              </w:rPr>
              <w:t>Acetal aldehyde</w:t>
            </w:r>
          </w:p>
        </w:tc>
        <w:tc>
          <w:tcPr>
            <w:tcW w:w="851" w:type="dxa"/>
            <w:tcBorders>
              <w:top w:val="nil"/>
              <w:bottom w:val="nil"/>
            </w:tcBorders>
            <w:shd w:val="clear" w:color="auto" w:fill="FFFFFF"/>
          </w:tcPr>
          <w:p w14:paraId="0D5BC07B" w14:textId="77777777" w:rsidR="0014642E" w:rsidRPr="00044B9B" w:rsidRDefault="0014642E" w:rsidP="0014642E">
            <w:pPr>
              <w:pStyle w:val="CETBodytext"/>
              <w:ind w:right="-1"/>
              <w:jc w:val="left"/>
              <w:rPr>
                <w:rFonts w:cs="Arial"/>
                <w:szCs w:val="18"/>
              </w:rPr>
            </w:pPr>
            <w:r w:rsidRPr="00044B9B">
              <w:rPr>
                <w:rFonts w:cs="Arial"/>
                <w:szCs w:val="18"/>
              </w:rPr>
              <w:t>52.62</w:t>
            </w:r>
          </w:p>
        </w:tc>
        <w:tc>
          <w:tcPr>
            <w:tcW w:w="992" w:type="dxa"/>
            <w:tcBorders>
              <w:top w:val="nil"/>
              <w:bottom w:val="nil"/>
            </w:tcBorders>
            <w:shd w:val="clear" w:color="auto" w:fill="FFFFFF"/>
          </w:tcPr>
          <w:p w14:paraId="13F3F6FE"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11572C9E" w14:textId="77777777" w:rsidR="0014642E" w:rsidRPr="00044B9B" w:rsidRDefault="0014642E" w:rsidP="0014642E">
            <w:pPr>
              <w:spacing w:line="240" w:lineRule="auto"/>
              <w:jc w:val="left"/>
              <w:rPr>
                <w:rFonts w:cs="Arial"/>
                <w:szCs w:val="18"/>
                <w:lang w:val="en-US"/>
              </w:rPr>
            </w:pPr>
            <w:r w:rsidRPr="00044B9B">
              <w:rPr>
                <w:rFonts w:cs="Arial"/>
                <w:szCs w:val="18"/>
                <w:lang w:val="en-US"/>
              </w:rPr>
              <w:t>21.40</w:t>
            </w:r>
          </w:p>
        </w:tc>
        <w:tc>
          <w:tcPr>
            <w:tcW w:w="992" w:type="dxa"/>
            <w:tcBorders>
              <w:top w:val="nil"/>
              <w:bottom w:val="nil"/>
            </w:tcBorders>
            <w:shd w:val="clear" w:color="auto" w:fill="FFFFFF"/>
          </w:tcPr>
          <w:p w14:paraId="585761AB" w14:textId="77777777" w:rsidR="0014642E" w:rsidRPr="00044B9B" w:rsidRDefault="0014642E" w:rsidP="0014642E">
            <w:pPr>
              <w:spacing w:line="240" w:lineRule="auto"/>
              <w:jc w:val="left"/>
              <w:rPr>
                <w:rFonts w:cs="Arial"/>
                <w:szCs w:val="18"/>
                <w:lang w:val="en-US"/>
              </w:rPr>
            </w:pPr>
            <w:r w:rsidRPr="00044B9B">
              <w:rPr>
                <w:rFonts w:cs="Arial"/>
                <w:szCs w:val="18"/>
                <w:lang w:val="en-US"/>
              </w:rPr>
              <w:t>19.30</w:t>
            </w:r>
          </w:p>
        </w:tc>
        <w:tc>
          <w:tcPr>
            <w:tcW w:w="992" w:type="dxa"/>
            <w:tcBorders>
              <w:top w:val="nil"/>
              <w:bottom w:val="nil"/>
            </w:tcBorders>
            <w:shd w:val="clear" w:color="auto" w:fill="FFFFFF"/>
          </w:tcPr>
          <w:p w14:paraId="2B4AC6C6" w14:textId="77777777" w:rsidR="0014642E" w:rsidRPr="00044B9B" w:rsidRDefault="002640DD" w:rsidP="0014642E">
            <w:pPr>
              <w:spacing w:line="240" w:lineRule="auto"/>
              <w:jc w:val="left"/>
              <w:rPr>
                <w:rFonts w:cs="Arial"/>
                <w:szCs w:val="18"/>
                <w:lang w:val="en-US"/>
              </w:rPr>
            </w:pPr>
            <w:r w:rsidRPr="00044B9B">
              <w:rPr>
                <w:rFonts w:cs="Arial"/>
                <w:szCs w:val="18"/>
                <w:lang w:val="en-US"/>
              </w:rPr>
              <w:t>15.38</w:t>
            </w:r>
          </w:p>
        </w:tc>
      </w:tr>
      <w:tr w:rsidR="0014642E" w:rsidRPr="001C670C" w14:paraId="0BA2D451" w14:textId="77777777" w:rsidTr="0014642E">
        <w:tc>
          <w:tcPr>
            <w:tcW w:w="1701" w:type="dxa"/>
            <w:tcBorders>
              <w:top w:val="nil"/>
              <w:bottom w:val="nil"/>
            </w:tcBorders>
            <w:shd w:val="clear" w:color="auto" w:fill="FFFFFF"/>
          </w:tcPr>
          <w:p w14:paraId="1777431B" w14:textId="77777777" w:rsidR="0014642E" w:rsidRPr="00230275" w:rsidRDefault="0014642E" w:rsidP="0014642E">
            <w:pPr>
              <w:pStyle w:val="CETBodytext"/>
              <w:ind w:right="-1"/>
              <w:rPr>
                <w:rFonts w:cs="Arial"/>
                <w:szCs w:val="18"/>
              </w:rPr>
            </w:pPr>
            <w:r w:rsidRPr="00230275">
              <w:rPr>
                <w:rFonts w:cs="Arial"/>
                <w:szCs w:val="18"/>
              </w:rPr>
              <w:t>Propane</w:t>
            </w:r>
          </w:p>
        </w:tc>
        <w:tc>
          <w:tcPr>
            <w:tcW w:w="851" w:type="dxa"/>
            <w:tcBorders>
              <w:top w:val="nil"/>
              <w:bottom w:val="nil"/>
            </w:tcBorders>
            <w:shd w:val="clear" w:color="auto" w:fill="FFFFFF"/>
          </w:tcPr>
          <w:p w14:paraId="55563408" w14:textId="77777777" w:rsidR="0014642E" w:rsidRPr="00044B9B" w:rsidRDefault="0014642E" w:rsidP="0014642E">
            <w:pPr>
              <w:pStyle w:val="CETBodytext"/>
              <w:ind w:right="-1"/>
              <w:jc w:val="left"/>
              <w:rPr>
                <w:rFonts w:cs="Arial"/>
                <w:szCs w:val="18"/>
              </w:rPr>
            </w:pPr>
            <w:r w:rsidRPr="00044B9B">
              <w:rPr>
                <w:rFonts w:cs="Arial"/>
                <w:szCs w:val="18"/>
              </w:rPr>
              <w:t>0.99</w:t>
            </w:r>
          </w:p>
        </w:tc>
        <w:tc>
          <w:tcPr>
            <w:tcW w:w="992" w:type="dxa"/>
            <w:tcBorders>
              <w:top w:val="nil"/>
              <w:bottom w:val="nil"/>
            </w:tcBorders>
            <w:shd w:val="clear" w:color="auto" w:fill="FFFFFF"/>
          </w:tcPr>
          <w:p w14:paraId="6716ECD9"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758927C8" w14:textId="77777777" w:rsidR="0014642E" w:rsidRPr="00044B9B" w:rsidRDefault="0014642E" w:rsidP="0014642E">
            <w:pPr>
              <w:spacing w:line="240" w:lineRule="auto"/>
              <w:jc w:val="left"/>
              <w:rPr>
                <w:rFonts w:cs="Arial"/>
                <w:szCs w:val="18"/>
                <w:lang w:val="en-US"/>
              </w:rPr>
            </w:pPr>
            <w:r w:rsidRPr="00044B9B">
              <w:rPr>
                <w:rFonts w:cs="Arial"/>
                <w:szCs w:val="18"/>
                <w:lang w:val="en-US"/>
              </w:rPr>
              <w:t>1.61</w:t>
            </w:r>
          </w:p>
        </w:tc>
        <w:tc>
          <w:tcPr>
            <w:tcW w:w="992" w:type="dxa"/>
            <w:tcBorders>
              <w:top w:val="nil"/>
              <w:bottom w:val="nil"/>
            </w:tcBorders>
            <w:shd w:val="clear" w:color="auto" w:fill="FFFFFF"/>
          </w:tcPr>
          <w:p w14:paraId="29C81387"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7BA1DCDC" w14:textId="77777777" w:rsidR="0014642E" w:rsidRPr="00044B9B" w:rsidRDefault="002640DD" w:rsidP="0014642E">
            <w:pPr>
              <w:spacing w:line="240" w:lineRule="auto"/>
              <w:jc w:val="left"/>
              <w:rPr>
                <w:rFonts w:cs="Arial"/>
                <w:szCs w:val="18"/>
                <w:lang w:val="en-US"/>
              </w:rPr>
            </w:pPr>
            <w:r w:rsidRPr="00044B9B">
              <w:rPr>
                <w:rFonts w:cs="Arial"/>
                <w:szCs w:val="18"/>
                <w:lang w:val="en-US"/>
              </w:rPr>
              <w:t>9.91</w:t>
            </w:r>
          </w:p>
        </w:tc>
      </w:tr>
      <w:tr w:rsidR="0014642E" w:rsidRPr="001C670C" w14:paraId="1F0AC451" w14:textId="77777777" w:rsidTr="0014642E">
        <w:tc>
          <w:tcPr>
            <w:tcW w:w="1701" w:type="dxa"/>
            <w:tcBorders>
              <w:top w:val="nil"/>
              <w:bottom w:val="nil"/>
            </w:tcBorders>
            <w:shd w:val="clear" w:color="auto" w:fill="FFFFFF"/>
          </w:tcPr>
          <w:p w14:paraId="00B7EC97" w14:textId="77777777" w:rsidR="0014642E" w:rsidRPr="00230275" w:rsidRDefault="0014642E" w:rsidP="0014642E">
            <w:pPr>
              <w:pStyle w:val="CETBodytext"/>
              <w:ind w:right="-1"/>
              <w:rPr>
                <w:rFonts w:cs="Arial"/>
                <w:szCs w:val="18"/>
              </w:rPr>
            </w:pPr>
            <w:r w:rsidRPr="00230275">
              <w:rPr>
                <w:rFonts w:cs="Arial"/>
                <w:szCs w:val="18"/>
              </w:rPr>
              <w:t>Butene</w:t>
            </w:r>
          </w:p>
        </w:tc>
        <w:tc>
          <w:tcPr>
            <w:tcW w:w="851" w:type="dxa"/>
            <w:tcBorders>
              <w:top w:val="nil"/>
              <w:bottom w:val="nil"/>
            </w:tcBorders>
            <w:shd w:val="clear" w:color="auto" w:fill="FFFFFF"/>
          </w:tcPr>
          <w:p w14:paraId="2AFC0312" w14:textId="77777777" w:rsidR="0014642E" w:rsidRPr="00044B9B" w:rsidRDefault="0014642E" w:rsidP="0014642E">
            <w:pPr>
              <w:pStyle w:val="CETBodytext"/>
              <w:ind w:right="-1"/>
              <w:jc w:val="left"/>
              <w:rPr>
                <w:rFonts w:cs="Arial"/>
                <w:szCs w:val="18"/>
              </w:rPr>
            </w:pPr>
            <w:r w:rsidRPr="00044B9B">
              <w:rPr>
                <w:rFonts w:cs="Arial"/>
                <w:szCs w:val="18"/>
              </w:rPr>
              <w:t>-</w:t>
            </w:r>
          </w:p>
        </w:tc>
        <w:tc>
          <w:tcPr>
            <w:tcW w:w="992" w:type="dxa"/>
            <w:tcBorders>
              <w:top w:val="nil"/>
              <w:bottom w:val="nil"/>
            </w:tcBorders>
            <w:shd w:val="clear" w:color="auto" w:fill="FFFFFF"/>
          </w:tcPr>
          <w:p w14:paraId="210E9572"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4787F577" w14:textId="77777777" w:rsidR="0014642E" w:rsidRPr="00044B9B" w:rsidRDefault="0014642E" w:rsidP="0014642E">
            <w:pPr>
              <w:spacing w:line="240" w:lineRule="auto"/>
              <w:jc w:val="left"/>
              <w:rPr>
                <w:rFonts w:cs="Arial"/>
                <w:szCs w:val="18"/>
                <w:lang w:val="en-US"/>
              </w:rPr>
            </w:pPr>
            <w:r w:rsidRPr="00044B9B">
              <w:rPr>
                <w:rFonts w:cs="Arial"/>
                <w:szCs w:val="18"/>
                <w:lang w:val="en-US"/>
              </w:rPr>
              <w:t>5.69</w:t>
            </w:r>
          </w:p>
        </w:tc>
        <w:tc>
          <w:tcPr>
            <w:tcW w:w="992" w:type="dxa"/>
            <w:tcBorders>
              <w:top w:val="nil"/>
              <w:bottom w:val="nil"/>
            </w:tcBorders>
            <w:shd w:val="clear" w:color="auto" w:fill="FFFFFF"/>
          </w:tcPr>
          <w:p w14:paraId="45E0BD85" w14:textId="77777777" w:rsidR="0014642E" w:rsidRPr="00044B9B" w:rsidRDefault="0014642E" w:rsidP="0014642E">
            <w:pPr>
              <w:spacing w:line="240" w:lineRule="auto"/>
              <w:jc w:val="left"/>
              <w:rPr>
                <w:rFonts w:cs="Arial"/>
                <w:szCs w:val="18"/>
                <w:lang w:val="en-US"/>
              </w:rPr>
            </w:pPr>
            <w:r w:rsidRPr="00044B9B">
              <w:rPr>
                <w:rFonts w:cs="Arial"/>
                <w:szCs w:val="18"/>
                <w:lang w:val="en-US"/>
              </w:rPr>
              <w:t>0.93</w:t>
            </w:r>
          </w:p>
        </w:tc>
        <w:tc>
          <w:tcPr>
            <w:tcW w:w="992" w:type="dxa"/>
            <w:tcBorders>
              <w:top w:val="nil"/>
              <w:bottom w:val="nil"/>
            </w:tcBorders>
            <w:shd w:val="clear" w:color="auto" w:fill="FFFFFF"/>
          </w:tcPr>
          <w:p w14:paraId="59D36D08" w14:textId="77777777" w:rsidR="0014642E" w:rsidRPr="00044B9B" w:rsidRDefault="002640DD" w:rsidP="0014642E">
            <w:pPr>
              <w:spacing w:line="240" w:lineRule="auto"/>
              <w:jc w:val="left"/>
              <w:rPr>
                <w:rFonts w:cs="Arial"/>
                <w:szCs w:val="18"/>
                <w:lang w:val="en-US"/>
              </w:rPr>
            </w:pPr>
            <w:r w:rsidRPr="00044B9B">
              <w:rPr>
                <w:rFonts w:cs="Arial"/>
                <w:szCs w:val="18"/>
                <w:lang w:val="en-US"/>
              </w:rPr>
              <w:t>22.32</w:t>
            </w:r>
          </w:p>
        </w:tc>
      </w:tr>
      <w:tr w:rsidR="0014642E" w:rsidRPr="001C670C" w14:paraId="4D122712" w14:textId="77777777" w:rsidTr="0014642E">
        <w:tc>
          <w:tcPr>
            <w:tcW w:w="1701" w:type="dxa"/>
            <w:tcBorders>
              <w:top w:val="nil"/>
              <w:bottom w:val="nil"/>
            </w:tcBorders>
            <w:shd w:val="clear" w:color="auto" w:fill="FFFFFF"/>
          </w:tcPr>
          <w:p w14:paraId="7B1A2D4A" w14:textId="77777777" w:rsidR="0014642E" w:rsidRPr="00230275" w:rsidRDefault="0014642E" w:rsidP="0014642E">
            <w:pPr>
              <w:pStyle w:val="CETBodytext"/>
              <w:ind w:right="-1"/>
              <w:rPr>
                <w:rFonts w:cs="Arial"/>
                <w:szCs w:val="18"/>
              </w:rPr>
            </w:pPr>
            <w:r w:rsidRPr="00230275">
              <w:rPr>
                <w:rFonts w:cs="Arial"/>
                <w:szCs w:val="18"/>
              </w:rPr>
              <w:t>Acetone</w:t>
            </w:r>
          </w:p>
        </w:tc>
        <w:tc>
          <w:tcPr>
            <w:tcW w:w="851" w:type="dxa"/>
            <w:tcBorders>
              <w:top w:val="nil"/>
              <w:bottom w:val="nil"/>
            </w:tcBorders>
            <w:shd w:val="clear" w:color="auto" w:fill="FFFFFF"/>
          </w:tcPr>
          <w:p w14:paraId="3648763B" w14:textId="77777777" w:rsidR="0014642E" w:rsidRPr="00044B9B" w:rsidRDefault="0014642E" w:rsidP="0014642E">
            <w:pPr>
              <w:pStyle w:val="CETBodytext"/>
              <w:ind w:right="-1"/>
              <w:jc w:val="left"/>
              <w:rPr>
                <w:rFonts w:cs="Arial"/>
                <w:szCs w:val="18"/>
              </w:rPr>
            </w:pPr>
            <w:r w:rsidRPr="00044B9B">
              <w:rPr>
                <w:rFonts w:cs="Arial"/>
                <w:szCs w:val="18"/>
              </w:rPr>
              <w:t>-</w:t>
            </w:r>
          </w:p>
        </w:tc>
        <w:tc>
          <w:tcPr>
            <w:tcW w:w="992" w:type="dxa"/>
            <w:tcBorders>
              <w:top w:val="nil"/>
              <w:bottom w:val="nil"/>
            </w:tcBorders>
            <w:shd w:val="clear" w:color="auto" w:fill="FFFFFF"/>
          </w:tcPr>
          <w:p w14:paraId="14EC8323"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506F970D" w14:textId="77777777" w:rsidR="0014642E" w:rsidRPr="00044B9B" w:rsidRDefault="0014642E" w:rsidP="0014642E">
            <w:pPr>
              <w:spacing w:line="240" w:lineRule="auto"/>
              <w:jc w:val="left"/>
              <w:rPr>
                <w:rFonts w:cs="Arial"/>
                <w:szCs w:val="18"/>
                <w:lang w:val="en-US"/>
              </w:rPr>
            </w:pPr>
            <w:r w:rsidRPr="00044B9B">
              <w:rPr>
                <w:rFonts w:cs="Arial"/>
                <w:szCs w:val="18"/>
                <w:lang w:val="en-US"/>
              </w:rPr>
              <w:t>8.46</w:t>
            </w:r>
          </w:p>
        </w:tc>
        <w:tc>
          <w:tcPr>
            <w:tcW w:w="992" w:type="dxa"/>
            <w:tcBorders>
              <w:top w:val="nil"/>
              <w:bottom w:val="nil"/>
            </w:tcBorders>
            <w:shd w:val="clear" w:color="auto" w:fill="FFFFFF"/>
          </w:tcPr>
          <w:p w14:paraId="6402B68C" w14:textId="77777777" w:rsidR="0014642E" w:rsidRPr="00044B9B" w:rsidRDefault="0014642E" w:rsidP="0014642E">
            <w:pPr>
              <w:spacing w:line="240" w:lineRule="auto"/>
              <w:jc w:val="left"/>
              <w:rPr>
                <w:rFonts w:cs="Arial"/>
                <w:szCs w:val="18"/>
                <w:lang w:val="en-US"/>
              </w:rPr>
            </w:pPr>
            <w:r w:rsidRPr="00044B9B">
              <w:rPr>
                <w:rFonts w:cs="Arial"/>
                <w:szCs w:val="18"/>
                <w:lang w:val="en-US"/>
              </w:rPr>
              <w:t>1.35</w:t>
            </w:r>
          </w:p>
        </w:tc>
        <w:tc>
          <w:tcPr>
            <w:tcW w:w="992" w:type="dxa"/>
            <w:tcBorders>
              <w:top w:val="nil"/>
              <w:bottom w:val="nil"/>
            </w:tcBorders>
            <w:shd w:val="clear" w:color="auto" w:fill="FFFFFF"/>
          </w:tcPr>
          <w:p w14:paraId="5721F71E" w14:textId="77777777" w:rsidR="0014642E" w:rsidRPr="00044B9B" w:rsidRDefault="002640DD" w:rsidP="0014642E">
            <w:pPr>
              <w:spacing w:line="240" w:lineRule="auto"/>
              <w:jc w:val="left"/>
              <w:rPr>
                <w:rFonts w:cs="Arial"/>
                <w:szCs w:val="18"/>
                <w:lang w:val="en-US"/>
              </w:rPr>
            </w:pPr>
            <w:r w:rsidRPr="00044B9B">
              <w:rPr>
                <w:rFonts w:cs="Arial"/>
                <w:szCs w:val="18"/>
                <w:lang w:val="en-US"/>
              </w:rPr>
              <w:t>3.80</w:t>
            </w:r>
          </w:p>
        </w:tc>
      </w:tr>
      <w:tr w:rsidR="0014642E" w:rsidRPr="001C670C" w14:paraId="09CF6513" w14:textId="77777777" w:rsidTr="0014642E">
        <w:tc>
          <w:tcPr>
            <w:tcW w:w="1701" w:type="dxa"/>
            <w:tcBorders>
              <w:top w:val="nil"/>
              <w:bottom w:val="nil"/>
            </w:tcBorders>
            <w:shd w:val="clear" w:color="auto" w:fill="FFFFFF"/>
          </w:tcPr>
          <w:p w14:paraId="4C71A9F7" w14:textId="77777777" w:rsidR="0014642E" w:rsidRPr="00230275" w:rsidRDefault="0014642E" w:rsidP="0014642E">
            <w:pPr>
              <w:pStyle w:val="CETBodytext"/>
              <w:ind w:right="-1"/>
              <w:rPr>
                <w:rFonts w:cs="Arial"/>
                <w:szCs w:val="18"/>
              </w:rPr>
            </w:pPr>
            <w:r w:rsidRPr="00230275">
              <w:rPr>
                <w:rFonts w:cs="Arial"/>
                <w:szCs w:val="18"/>
              </w:rPr>
              <w:t>Hydrogen chloride</w:t>
            </w:r>
          </w:p>
        </w:tc>
        <w:tc>
          <w:tcPr>
            <w:tcW w:w="851" w:type="dxa"/>
            <w:tcBorders>
              <w:top w:val="nil"/>
              <w:bottom w:val="nil"/>
            </w:tcBorders>
            <w:shd w:val="clear" w:color="auto" w:fill="FFFFFF"/>
          </w:tcPr>
          <w:p w14:paraId="3F924D0F" w14:textId="77777777" w:rsidR="0014642E" w:rsidRPr="00044B9B" w:rsidRDefault="0014642E" w:rsidP="0014642E">
            <w:pPr>
              <w:pStyle w:val="CETBodytext"/>
              <w:ind w:right="-1"/>
              <w:jc w:val="left"/>
              <w:rPr>
                <w:rFonts w:cs="Arial"/>
                <w:szCs w:val="18"/>
              </w:rPr>
            </w:pPr>
            <w:r w:rsidRPr="00044B9B">
              <w:rPr>
                <w:rFonts w:cs="Arial"/>
                <w:szCs w:val="18"/>
              </w:rPr>
              <w:t>-</w:t>
            </w:r>
          </w:p>
        </w:tc>
        <w:tc>
          <w:tcPr>
            <w:tcW w:w="992" w:type="dxa"/>
            <w:tcBorders>
              <w:top w:val="nil"/>
              <w:bottom w:val="nil"/>
            </w:tcBorders>
            <w:shd w:val="clear" w:color="auto" w:fill="FFFFFF"/>
          </w:tcPr>
          <w:p w14:paraId="6AA31A9A" w14:textId="77777777" w:rsidR="0014642E" w:rsidRPr="00044B9B" w:rsidRDefault="0014642E" w:rsidP="0014642E">
            <w:pPr>
              <w:spacing w:line="240" w:lineRule="auto"/>
              <w:jc w:val="left"/>
              <w:rPr>
                <w:rFonts w:cs="Arial"/>
                <w:szCs w:val="18"/>
                <w:lang w:val="en-US"/>
              </w:rPr>
            </w:pPr>
            <w:r w:rsidRPr="00044B9B">
              <w:rPr>
                <w:rFonts w:cs="Arial"/>
                <w:szCs w:val="18"/>
                <w:lang w:val="en-US"/>
              </w:rPr>
              <w:t>75.89</w:t>
            </w:r>
          </w:p>
        </w:tc>
        <w:tc>
          <w:tcPr>
            <w:tcW w:w="851" w:type="dxa"/>
            <w:tcBorders>
              <w:top w:val="nil"/>
              <w:bottom w:val="nil"/>
            </w:tcBorders>
            <w:shd w:val="clear" w:color="auto" w:fill="FFFFFF"/>
          </w:tcPr>
          <w:p w14:paraId="0E408434"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5C1C74D6" w14:textId="77777777" w:rsidR="0014642E" w:rsidRPr="00044B9B" w:rsidRDefault="0014642E" w:rsidP="0014642E">
            <w:pPr>
              <w:spacing w:line="240" w:lineRule="auto"/>
              <w:jc w:val="left"/>
              <w:rPr>
                <w:rFonts w:ascii="Arial Nova" w:hAnsi="Arial Nova" w:cs="Arial"/>
                <w:szCs w:val="18"/>
                <w:lang w:val="en-US"/>
              </w:rPr>
            </w:pPr>
            <w:r w:rsidRPr="00044B9B">
              <w:rPr>
                <w:rFonts w:ascii="Arial Nova" w:hAnsi="Arial Nova" w:cs="Arial"/>
                <w:szCs w:val="18"/>
                <w:lang w:val="en-US"/>
              </w:rPr>
              <w:t>-</w:t>
            </w:r>
          </w:p>
        </w:tc>
        <w:tc>
          <w:tcPr>
            <w:tcW w:w="992" w:type="dxa"/>
            <w:tcBorders>
              <w:top w:val="nil"/>
              <w:bottom w:val="nil"/>
            </w:tcBorders>
            <w:shd w:val="clear" w:color="auto" w:fill="FFFFFF"/>
          </w:tcPr>
          <w:p w14:paraId="4ABB2D8D" w14:textId="77777777" w:rsidR="0014642E" w:rsidRPr="00044B9B" w:rsidRDefault="002640DD" w:rsidP="0014642E">
            <w:pPr>
              <w:spacing w:line="240" w:lineRule="auto"/>
              <w:jc w:val="left"/>
              <w:rPr>
                <w:rFonts w:ascii="Arial Nova" w:hAnsi="Arial Nova" w:cs="Arial"/>
                <w:szCs w:val="18"/>
                <w:lang w:val="en-US"/>
              </w:rPr>
            </w:pPr>
            <w:r w:rsidRPr="00044B9B">
              <w:rPr>
                <w:rFonts w:ascii="Arial Nova" w:hAnsi="Arial Nova" w:cs="Arial"/>
                <w:szCs w:val="18"/>
                <w:lang w:val="en-US"/>
              </w:rPr>
              <w:t>-</w:t>
            </w:r>
          </w:p>
        </w:tc>
      </w:tr>
      <w:tr w:rsidR="0014642E" w:rsidRPr="001C670C" w14:paraId="05B7497E" w14:textId="77777777" w:rsidTr="0014642E">
        <w:tc>
          <w:tcPr>
            <w:tcW w:w="1701" w:type="dxa"/>
            <w:tcBorders>
              <w:top w:val="nil"/>
              <w:bottom w:val="nil"/>
            </w:tcBorders>
            <w:shd w:val="clear" w:color="auto" w:fill="FFFFFF"/>
          </w:tcPr>
          <w:p w14:paraId="447F780E" w14:textId="77777777" w:rsidR="0014642E" w:rsidRPr="00230275" w:rsidRDefault="0014642E" w:rsidP="0014642E">
            <w:pPr>
              <w:pStyle w:val="CETBodytext"/>
              <w:ind w:right="-1"/>
              <w:rPr>
                <w:rFonts w:cs="Arial"/>
                <w:szCs w:val="18"/>
              </w:rPr>
            </w:pPr>
            <w:r w:rsidRPr="00230275">
              <w:rPr>
                <w:rFonts w:cs="Arial"/>
                <w:szCs w:val="18"/>
              </w:rPr>
              <w:t>Furan</w:t>
            </w:r>
          </w:p>
        </w:tc>
        <w:tc>
          <w:tcPr>
            <w:tcW w:w="851" w:type="dxa"/>
            <w:tcBorders>
              <w:top w:val="nil"/>
              <w:bottom w:val="nil"/>
            </w:tcBorders>
            <w:shd w:val="clear" w:color="auto" w:fill="FFFFFF"/>
          </w:tcPr>
          <w:p w14:paraId="692D9AE2" w14:textId="77777777" w:rsidR="0014642E" w:rsidRPr="00044B9B" w:rsidRDefault="0014642E" w:rsidP="0014642E">
            <w:pPr>
              <w:pStyle w:val="CETBodytext"/>
              <w:ind w:right="-1"/>
              <w:jc w:val="left"/>
              <w:rPr>
                <w:rFonts w:cs="Arial"/>
                <w:szCs w:val="18"/>
              </w:rPr>
            </w:pPr>
            <w:r w:rsidRPr="00044B9B">
              <w:rPr>
                <w:rFonts w:cs="Arial"/>
                <w:szCs w:val="18"/>
              </w:rPr>
              <w:t>2.88</w:t>
            </w:r>
          </w:p>
        </w:tc>
        <w:tc>
          <w:tcPr>
            <w:tcW w:w="992" w:type="dxa"/>
            <w:tcBorders>
              <w:top w:val="nil"/>
              <w:bottom w:val="nil"/>
            </w:tcBorders>
            <w:shd w:val="clear" w:color="auto" w:fill="FFFFFF"/>
          </w:tcPr>
          <w:p w14:paraId="159BBC3A"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1290B4AC"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546FD56B"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615B46C8" w14:textId="77777777" w:rsidR="0014642E" w:rsidRPr="00044B9B" w:rsidRDefault="002640DD" w:rsidP="0014642E">
            <w:pPr>
              <w:spacing w:line="240" w:lineRule="auto"/>
              <w:jc w:val="left"/>
              <w:rPr>
                <w:rFonts w:cs="Arial"/>
                <w:szCs w:val="18"/>
                <w:lang w:val="en-US"/>
              </w:rPr>
            </w:pPr>
            <w:r w:rsidRPr="00044B9B">
              <w:rPr>
                <w:rFonts w:cs="Arial"/>
                <w:szCs w:val="18"/>
                <w:lang w:val="en-US"/>
              </w:rPr>
              <w:t>-</w:t>
            </w:r>
          </w:p>
        </w:tc>
      </w:tr>
      <w:tr w:rsidR="0014642E" w:rsidRPr="001C670C" w14:paraId="24B8B799" w14:textId="77777777" w:rsidTr="0014642E">
        <w:tc>
          <w:tcPr>
            <w:tcW w:w="1701" w:type="dxa"/>
            <w:tcBorders>
              <w:top w:val="nil"/>
              <w:bottom w:val="nil"/>
            </w:tcBorders>
            <w:shd w:val="clear" w:color="auto" w:fill="FFFFFF"/>
          </w:tcPr>
          <w:p w14:paraId="638B0A4A" w14:textId="77777777" w:rsidR="0014642E" w:rsidRPr="00230275" w:rsidRDefault="0014642E" w:rsidP="0014642E">
            <w:pPr>
              <w:pStyle w:val="CETBodytext"/>
              <w:ind w:right="-1"/>
              <w:rPr>
                <w:rFonts w:cs="Arial"/>
                <w:szCs w:val="18"/>
              </w:rPr>
            </w:pPr>
            <w:r w:rsidRPr="00230275">
              <w:rPr>
                <w:rFonts w:cs="Arial"/>
                <w:szCs w:val="18"/>
              </w:rPr>
              <w:t>Ethyl acetate</w:t>
            </w:r>
          </w:p>
        </w:tc>
        <w:tc>
          <w:tcPr>
            <w:tcW w:w="851" w:type="dxa"/>
            <w:tcBorders>
              <w:top w:val="nil"/>
              <w:bottom w:val="nil"/>
            </w:tcBorders>
            <w:shd w:val="clear" w:color="auto" w:fill="FFFFFF"/>
          </w:tcPr>
          <w:p w14:paraId="68169677" w14:textId="77777777" w:rsidR="0014642E" w:rsidRPr="00044B9B" w:rsidRDefault="0014642E" w:rsidP="0014642E">
            <w:pPr>
              <w:pStyle w:val="CETBodytext"/>
              <w:ind w:right="-1"/>
              <w:jc w:val="left"/>
              <w:rPr>
                <w:rFonts w:cs="Arial"/>
                <w:szCs w:val="18"/>
              </w:rPr>
            </w:pPr>
            <w:r w:rsidRPr="00044B9B">
              <w:rPr>
                <w:rFonts w:cs="Arial"/>
                <w:szCs w:val="18"/>
              </w:rPr>
              <w:t>-</w:t>
            </w:r>
          </w:p>
        </w:tc>
        <w:tc>
          <w:tcPr>
            <w:tcW w:w="992" w:type="dxa"/>
            <w:tcBorders>
              <w:top w:val="nil"/>
              <w:bottom w:val="nil"/>
            </w:tcBorders>
            <w:shd w:val="clear" w:color="auto" w:fill="FFFFFF"/>
          </w:tcPr>
          <w:p w14:paraId="45974E6A"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58A803A9"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40A14B5A" w14:textId="77777777" w:rsidR="0014642E" w:rsidRPr="00044B9B" w:rsidRDefault="0014642E" w:rsidP="0014642E">
            <w:pPr>
              <w:spacing w:line="240" w:lineRule="auto"/>
              <w:jc w:val="left"/>
              <w:rPr>
                <w:rFonts w:cs="Arial"/>
                <w:szCs w:val="18"/>
                <w:lang w:val="en-US"/>
              </w:rPr>
            </w:pPr>
            <w:r w:rsidRPr="00044B9B">
              <w:rPr>
                <w:rFonts w:cs="Arial"/>
                <w:szCs w:val="18"/>
                <w:lang w:val="en-US"/>
              </w:rPr>
              <w:t>0.50</w:t>
            </w:r>
          </w:p>
        </w:tc>
        <w:tc>
          <w:tcPr>
            <w:tcW w:w="992" w:type="dxa"/>
            <w:tcBorders>
              <w:top w:val="nil"/>
              <w:bottom w:val="nil"/>
            </w:tcBorders>
            <w:shd w:val="clear" w:color="auto" w:fill="FFFFFF"/>
          </w:tcPr>
          <w:p w14:paraId="06D49730" w14:textId="77777777" w:rsidR="0014642E" w:rsidRPr="00044B9B" w:rsidRDefault="002640DD" w:rsidP="0014642E">
            <w:pPr>
              <w:spacing w:line="240" w:lineRule="auto"/>
              <w:jc w:val="left"/>
              <w:rPr>
                <w:rFonts w:cs="Arial"/>
                <w:szCs w:val="18"/>
                <w:lang w:val="en-US"/>
              </w:rPr>
            </w:pPr>
            <w:r w:rsidRPr="00044B9B">
              <w:rPr>
                <w:rFonts w:cs="Arial"/>
                <w:szCs w:val="18"/>
                <w:lang w:val="en-US"/>
              </w:rPr>
              <w:t>-</w:t>
            </w:r>
          </w:p>
        </w:tc>
      </w:tr>
      <w:tr w:rsidR="0014642E" w:rsidRPr="001C670C" w14:paraId="62C1F529" w14:textId="77777777" w:rsidTr="0014642E">
        <w:tc>
          <w:tcPr>
            <w:tcW w:w="1701" w:type="dxa"/>
            <w:tcBorders>
              <w:top w:val="nil"/>
              <w:bottom w:val="nil"/>
            </w:tcBorders>
            <w:shd w:val="clear" w:color="auto" w:fill="FFFFFF"/>
          </w:tcPr>
          <w:p w14:paraId="5D683409" w14:textId="77777777" w:rsidR="0014642E" w:rsidRPr="00230275" w:rsidRDefault="0014642E" w:rsidP="0014642E">
            <w:pPr>
              <w:pStyle w:val="CETBodytext"/>
              <w:ind w:right="-1"/>
              <w:rPr>
                <w:rFonts w:cs="Arial"/>
                <w:szCs w:val="18"/>
              </w:rPr>
            </w:pPr>
            <w:r w:rsidRPr="00230275">
              <w:rPr>
                <w:rFonts w:cs="Arial"/>
                <w:szCs w:val="18"/>
              </w:rPr>
              <w:t>Butane</w:t>
            </w:r>
          </w:p>
        </w:tc>
        <w:tc>
          <w:tcPr>
            <w:tcW w:w="851" w:type="dxa"/>
            <w:tcBorders>
              <w:top w:val="nil"/>
              <w:bottom w:val="nil"/>
            </w:tcBorders>
            <w:shd w:val="clear" w:color="auto" w:fill="FFFFFF"/>
          </w:tcPr>
          <w:p w14:paraId="01A113BE" w14:textId="77777777" w:rsidR="0014642E" w:rsidRPr="00044B9B" w:rsidRDefault="0014642E" w:rsidP="0014642E">
            <w:pPr>
              <w:pStyle w:val="CETBodytext"/>
              <w:ind w:right="-1"/>
              <w:jc w:val="left"/>
              <w:rPr>
                <w:rFonts w:cs="Arial"/>
                <w:szCs w:val="18"/>
              </w:rPr>
            </w:pPr>
            <w:r w:rsidRPr="00044B9B">
              <w:rPr>
                <w:rFonts w:cs="Arial"/>
                <w:szCs w:val="18"/>
              </w:rPr>
              <w:t>-</w:t>
            </w:r>
          </w:p>
        </w:tc>
        <w:tc>
          <w:tcPr>
            <w:tcW w:w="992" w:type="dxa"/>
            <w:tcBorders>
              <w:top w:val="nil"/>
              <w:bottom w:val="nil"/>
            </w:tcBorders>
            <w:shd w:val="clear" w:color="auto" w:fill="FFFFFF"/>
          </w:tcPr>
          <w:p w14:paraId="1B7F04AA"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72E2C0C7"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000A8187" w14:textId="77777777" w:rsidR="0014642E" w:rsidRPr="00044B9B" w:rsidRDefault="0014642E" w:rsidP="0014642E">
            <w:pPr>
              <w:spacing w:line="240" w:lineRule="auto"/>
              <w:jc w:val="left"/>
              <w:rPr>
                <w:rFonts w:cs="Arial"/>
                <w:szCs w:val="18"/>
                <w:lang w:val="en-US"/>
              </w:rPr>
            </w:pPr>
          </w:p>
        </w:tc>
        <w:tc>
          <w:tcPr>
            <w:tcW w:w="992" w:type="dxa"/>
            <w:tcBorders>
              <w:top w:val="nil"/>
              <w:bottom w:val="nil"/>
            </w:tcBorders>
            <w:shd w:val="clear" w:color="auto" w:fill="FFFFFF"/>
          </w:tcPr>
          <w:p w14:paraId="2E17D137" w14:textId="77777777" w:rsidR="0014642E" w:rsidRPr="00044B9B" w:rsidRDefault="002640DD" w:rsidP="0014642E">
            <w:pPr>
              <w:spacing w:line="240" w:lineRule="auto"/>
              <w:jc w:val="left"/>
              <w:rPr>
                <w:rFonts w:cs="Arial"/>
                <w:szCs w:val="18"/>
                <w:lang w:val="en-US"/>
              </w:rPr>
            </w:pPr>
            <w:r w:rsidRPr="00044B9B">
              <w:rPr>
                <w:rFonts w:cs="Arial"/>
                <w:szCs w:val="18"/>
                <w:lang w:val="en-US"/>
              </w:rPr>
              <w:t>1.29</w:t>
            </w:r>
          </w:p>
        </w:tc>
      </w:tr>
      <w:tr w:rsidR="0014642E" w:rsidRPr="001C670C" w14:paraId="174EAFC3" w14:textId="77777777" w:rsidTr="0014642E">
        <w:tc>
          <w:tcPr>
            <w:tcW w:w="1701" w:type="dxa"/>
            <w:tcBorders>
              <w:top w:val="nil"/>
              <w:bottom w:val="nil"/>
            </w:tcBorders>
            <w:shd w:val="clear" w:color="auto" w:fill="FFFFFF"/>
          </w:tcPr>
          <w:p w14:paraId="45E706A0" w14:textId="77777777" w:rsidR="0014642E" w:rsidRPr="00230275" w:rsidRDefault="0014642E" w:rsidP="0014642E">
            <w:pPr>
              <w:pStyle w:val="CETBodytext"/>
              <w:ind w:right="-1"/>
              <w:rPr>
                <w:rFonts w:cs="Arial"/>
                <w:szCs w:val="18"/>
              </w:rPr>
            </w:pPr>
            <w:r w:rsidRPr="00230275">
              <w:rPr>
                <w:rFonts w:cs="Arial"/>
                <w:szCs w:val="18"/>
              </w:rPr>
              <w:t>Pentane</w:t>
            </w:r>
          </w:p>
        </w:tc>
        <w:tc>
          <w:tcPr>
            <w:tcW w:w="851" w:type="dxa"/>
            <w:tcBorders>
              <w:top w:val="nil"/>
              <w:bottom w:val="nil"/>
            </w:tcBorders>
            <w:shd w:val="clear" w:color="auto" w:fill="FFFFFF"/>
          </w:tcPr>
          <w:p w14:paraId="4AF61512" w14:textId="77777777" w:rsidR="0014642E" w:rsidRPr="00044B9B" w:rsidRDefault="0014642E" w:rsidP="0014642E">
            <w:pPr>
              <w:pStyle w:val="CETBodytext"/>
              <w:ind w:right="-1"/>
              <w:jc w:val="left"/>
              <w:rPr>
                <w:rFonts w:cs="Arial"/>
                <w:szCs w:val="18"/>
              </w:rPr>
            </w:pPr>
            <w:r w:rsidRPr="00044B9B">
              <w:rPr>
                <w:rFonts w:cs="Arial"/>
                <w:szCs w:val="18"/>
              </w:rPr>
              <w:t>-</w:t>
            </w:r>
          </w:p>
        </w:tc>
        <w:tc>
          <w:tcPr>
            <w:tcW w:w="992" w:type="dxa"/>
            <w:tcBorders>
              <w:top w:val="nil"/>
              <w:bottom w:val="nil"/>
            </w:tcBorders>
            <w:shd w:val="clear" w:color="auto" w:fill="FFFFFF"/>
          </w:tcPr>
          <w:p w14:paraId="5D93316C"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72DBECEC"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7A1D2120"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4A8CD185" w14:textId="77777777" w:rsidR="0014642E" w:rsidRPr="00044B9B" w:rsidRDefault="002640DD" w:rsidP="0014642E">
            <w:pPr>
              <w:spacing w:line="240" w:lineRule="auto"/>
              <w:jc w:val="left"/>
              <w:rPr>
                <w:rFonts w:cs="Arial"/>
                <w:szCs w:val="18"/>
                <w:lang w:val="en-US"/>
              </w:rPr>
            </w:pPr>
            <w:r w:rsidRPr="00044B9B">
              <w:rPr>
                <w:rFonts w:cs="Arial"/>
                <w:szCs w:val="18"/>
                <w:lang w:val="en-US"/>
              </w:rPr>
              <w:t>1.24</w:t>
            </w:r>
          </w:p>
        </w:tc>
      </w:tr>
      <w:tr w:rsidR="0014642E" w:rsidRPr="001C670C" w14:paraId="6CE97EF6" w14:textId="77777777" w:rsidTr="0014642E">
        <w:tc>
          <w:tcPr>
            <w:tcW w:w="1701" w:type="dxa"/>
            <w:tcBorders>
              <w:top w:val="nil"/>
              <w:bottom w:val="nil"/>
            </w:tcBorders>
            <w:shd w:val="clear" w:color="auto" w:fill="FFFFFF"/>
          </w:tcPr>
          <w:p w14:paraId="40B99A84" w14:textId="77777777" w:rsidR="0014642E" w:rsidRPr="00230275" w:rsidRDefault="0014642E" w:rsidP="0014642E">
            <w:pPr>
              <w:pStyle w:val="CETBodytext"/>
              <w:ind w:right="-1"/>
              <w:rPr>
                <w:rFonts w:cs="Arial"/>
                <w:szCs w:val="18"/>
              </w:rPr>
            </w:pPr>
            <w:r w:rsidRPr="00230275">
              <w:rPr>
                <w:rFonts w:cs="Arial"/>
                <w:szCs w:val="18"/>
              </w:rPr>
              <w:t>Benzene</w:t>
            </w:r>
          </w:p>
        </w:tc>
        <w:tc>
          <w:tcPr>
            <w:tcW w:w="851" w:type="dxa"/>
            <w:tcBorders>
              <w:top w:val="nil"/>
              <w:bottom w:val="nil"/>
            </w:tcBorders>
            <w:shd w:val="clear" w:color="auto" w:fill="FFFFFF"/>
          </w:tcPr>
          <w:p w14:paraId="2B698927" w14:textId="77777777" w:rsidR="0014642E" w:rsidRPr="00044B9B" w:rsidRDefault="0014642E" w:rsidP="0014642E">
            <w:pPr>
              <w:pStyle w:val="CETBodytext"/>
              <w:ind w:right="-1"/>
              <w:jc w:val="left"/>
              <w:rPr>
                <w:rFonts w:cs="Arial"/>
                <w:szCs w:val="18"/>
              </w:rPr>
            </w:pPr>
            <w:r w:rsidRPr="00044B9B">
              <w:rPr>
                <w:rFonts w:cs="Arial"/>
                <w:szCs w:val="18"/>
              </w:rPr>
              <w:t>0.91</w:t>
            </w:r>
          </w:p>
        </w:tc>
        <w:tc>
          <w:tcPr>
            <w:tcW w:w="992" w:type="dxa"/>
            <w:tcBorders>
              <w:top w:val="nil"/>
              <w:bottom w:val="nil"/>
            </w:tcBorders>
            <w:shd w:val="clear" w:color="auto" w:fill="FFFFFF"/>
          </w:tcPr>
          <w:p w14:paraId="0ABF76C9" w14:textId="77777777" w:rsidR="0014642E" w:rsidRPr="00044B9B" w:rsidRDefault="0014642E" w:rsidP="0014642E">
            <w:pPr>
              <w:spacing w:line="240" w:lineRule="auto"/>
              <w:jc w:val="left"/>
              <w:rPr>
                <w:rFonts w:cs="Arial"/>
                <w:szCs w:val="18"/>
                <w:lang w:val="en-US"/>
              </w:rPr>
            </w:pPr>
            <w:r w:rsidRPr="00044B9B">
              <w:rPr>
                <w:rFonts w:cs="Arial"/>
                <w:szCs w:val="18"/>
                <w:lang w:val="en-US"/>
              </w:rPr>
              <w:t>22.59</w:t>
            </w:r>
          </w:p>
        </w:tc>
        <w:tc>
          <w:tcPr>
            <w:tcW w:w="851" w:type="dxa"/>
            <w:tcBorders>
              <w:top w:val="nil"/>
              <w:bottom w:val="nil"/>
            </w:tcBorders>
            <w:shd w:val="clear" w:color="auto" w:fill="FFFFFF"/>
          </w:tcPr>
          <w:p w14:paraId="6E3CB9C9"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2AB039C6"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45A52E2E" w14:textId="77777777" w:rsidR="0014642E" w:rsidRPr="00044B9B" w:rsidRDefault="002640DD" w:rsidP="0014642E">
            <w:pPr>
              <w:spacing w:line="240" w:lineRule="auto"/>
              <w:jc w:val="left"/>
              <w:rPr>
                <w:rFonts w:cs="Arial"/>
                <w:szCs w:val="18"/>
                <w:lang w:val="en-US"/>
              </w:rPr>
            </w:pPr>
            <w:r w:rsidRPr="00044B9B">
              <w:rPr>
                <w:rFonts w:cs="Arial"/>
                <w:szCs w:val="18"/>
                <w:lang w:val="en-US"/>
              </w:rPr>
              <w:t>0.81</w:t>
            </w:r>
          </w:p>
        </w:tc>
      </w:tr>
      <w:tr w:rsidR="0014642E" w:rsidRPr="001C670C" w14:paraId="39776744" w14:textId="77777777" w:rsidTr="0014642E">
        <w:tc>
          <w:tcPr>
            <w:tcW w:w="1701" w:type="dxa"/>
            <w:tcBorders>
              <w:top w:val="nil"/>
              <w:bottom w:val="nil"/>
            </w:tcBorders>
            <w:shd w:val="clear" w:color="auto" w:fill="FFFFFF"/>
          </w:tcPr>
          <w:p w14:paraId="54B8A4EB" w14:textId="77777777" w:rsidR="0014642E" w:rsidRPr="00230275" w:rsidRDefault="0014642E" w:rsidP="0014642E">
            <w:pPr>
              <w:pStyle w:val="CETBodytext"/>
              <w:ind w:right="-1"/>
              <w:rPr>
                <w:rFonts w:cs="Arial"/>
                <w:szCs w:val="18"/>
              </w:rPr>
            </w:pPr>
            <w:r w:rsidRPr="00230275">
              <w:rPr>
                <w:rFonts w:cs="Arial"/>
                <w:szCs w:val="18"/>
              </w:rPr>
              <w:t>Styrene</w:t>
            </w:r>
          </w:p>
        </w:tc>
        <w:tc>
          <w:tcPr>
            <w:tcW w:w="851" w:type="dxa"/>
            <w:tcBorders>
              <w:top w:val="nil"/>
              <w:bottom w:val="nil"/>
            </w:tcBorders>
            <w:shd w:val="clear" w:color="auto" w:fill="FFFFFF"/>
          </w:tcPr>
          <w:p w14:paraId="4A9BA775" w14:textId="77777777" w:rsidR="0014642E" w:rsidRPr="00044B9B" w:rsidRDefault="0014642E" w:rsidP="0014642E">
            <w:pPr>
              <w:pStyle w:val="CETBodytext"/>
              <w:ind w:right="-1"/>
              <w:jc w:val="left"/>
              <w:rPr>
                <w:rFonts w:cs="Arial"/>
                <w:szCs w:val="18"/>
              </w:rPr>
            </w:pPr>
            <w:r w:rsidRPr="00044B9B">
              <w:rPr>
                <w:rFonts w:cs="Arial"/>
                <w:szCs w:val="18"/>
              </w:rPr>
              <w:t>0.19</w:t>
            </w:r>
          </w:p>
        </w:tc>
        <w:tc>
          <w:tcPr>
            <w:tcW w:w="992" w:type="dxa"/>
            <w:tcBorders>
              <w:top w:val="nil"/>
              <w:bottom w:val="nil"/>
            </w:tcBorders>
            <w:shd w:val="clear" w:color="auto" w:fill="FFFFFF"/>
          </w:tcPr>
          <w:p w14:paraId="50741669" w14:textId="77777777" w:rsidR="0014642E" w:rsidRPr="00044B9B" w:rsidRDefault="0014642E" w:rsidP="0014642E">
            <w:pPr>
              <w:spacing w:line="240" w:lineRule="auto"/>
              <w:jc w:val="left"/>
              <w:rPr>
                <w:rFonts w:cs="Arial"/>
                <w:szCs w:val="18"/>
                <w:lang w:val="en-US"/>
              </w:rPr>
            </w:pPr>
            <w:r w:rsidRPr="00044B9B">
              <w:rPr>
                <w:rFonts w:cs="Arial"/>
                <w:szCs w:val="18"/>
                <w:lang w:val="en-US"/>
              </w:rPr>
              <w:t>1.52</w:t>
            </w:r>
          </w:p>
        </w:tc>
        <w:tc>
          <w:tcPr>
            <w:tcW w:w="851" w:type="dxa"/>
            <w:tcBorders>
              <w:top w:val="nil"/>
              <w:bottom w:val="nil"/>
            </w:tcBorders>
            <w:shd w:val="clear" w:color="auto" w:fill="FFFFFF"/>
          </w:tcPr>
          <w:p w14:paraId="108C8AFF"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7ABD0BBC"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417826DB" w14:textId="77777777" w:rsidR="0014642E" w:rsidRPr="00044B9B" w:rsidRDefault="002640DD" w:rsidP="0014642E">
            <w:pPr>
              <w:spacing w:line="240" w:lineRule="auto"/>
              <w:jc w:val="left"/>
              <w:rPr>
                <w:rFonts w:cs="Arial"/>
                <w:szCs w:val="18"/>
                <w:lang w:val="en-US"/>
              </w:rPr>
            </w:pPr>
            <w:r w:rsidRPr="00044B9B">
              <w:rPr>
                <w:rFonts w:cs="Arial"/>
                <w:szCs w:val="18"/>
                <w:lang w:val="en-US"/>
              </w:rPr>
              <w:t>-</w:t>
            </w:r>
          </w:p>
        </w:tc>
      </w:tr>
      <w:tr w:rsidR="0014642E" w:rsidRPr="001C670C" w14:paraId="09FAC5CB" w14:textId="77777777" w:rsidTr="0014642E">
        <w:tc>
          <w:tcPr>
            <w:tcW w:w="1701" w:type="dxa"/>
            <w:tcBorders>
              <w:top w:val="nil"/>
              <w:bottom w:val="nil"/>
            </w:tcBorders>
            <w:shd w:val="clear" w:color="auto" w:fill="FFFFFF"/>
          </w:tcPr>
          <w:p w14:paraId="34C16F06" w14:textId="77777777" w:rsidR="0014642E" w:rsidRPr="00230275" w:rsidRDefault="0014642E" w:rsidP="0014642E">
            <w:pPr>
              <w:pStyle w:val="CETBodytext"/>
              <w:ind w:right="-1"/>
              <w:rPr>
                <w:rFonts w:cs="Arial"/>
                <w:szCs w:val="18"/>
              </w:rPr>
            </w:pPr>
            <w:r w:rsidRPr="00230275">
              <w:rPr>
                <w:rFonts w:cs="Arial"/>
                <w:szCs w:val="18"/>
              </w:rPr>
              <w:t>Toluene</w:t>
            </w:r>
          </w:p>
        </w:tc>
        <w:tc>
          <w:tcPr>
            <w:tcW w:w="851" w:type="dxa"/>
            <w:tcBorders>
              <w:top w:val="nil"/>
              <w:bottom w:val="nil"/>
            </w:tcBorders>
            <w:shd w:val="clear" w:color="auto" w:fill="FFFFFF"/>
          </w:tcPr>
          <w:p w14:paraId="7BCD126A" w14:textId="77777777" w:rsidR="0014642E" w:rsidRPr="00044B9B" w:rsidRDefault="0014642E" w:rsidP="0014642E">
            <w:pPr>
              <w:pStyle w:val="CETBodytext"/>
              <w:ind w:right="-1"/>
              <w:jc w:val="left"/>
              <w:rPr>
                <w:rFonts w:cs="Arial"/>
                <w:szCs w:val="18"/>
              </w:rPr>
            </w:pPr>
            <w:r w:rsidRPr="00044B9B">
              <w:rPr>
                <w:rFonts w:cs="Arial"/>
                <w:szCs w:val="18"/>
              </w:rPr>
              <w:t>0.29</w:t>
            </w:r>
          </w:p>
        </w:tc>
        <w:tc>
          <w:tcPr>
            <w:tcW w:w="992" w:type="dxa"/>
            <w:tcBorders>
              <w:top w:val="nil"/>
              <w:bottom w:val="nil"/>
            </w:tcBorders>
            <w:shd w:val="clear" w:color="auto" w:fill="FFFFFF"/>
          </w:tcPr>
          <w:p w14:paraId="05487987"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486ADDD3"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46CCC0D1"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380DF19C" w14:textId="77777777" w:rsidR="0014642E" w:rsidRPr="00044B9B" w:rsidRDefault="002640DD" w:rsidP="0014642E">
            <w:pPr>
              <w:spacing w:line="240" w:lineRule="auto"/>
              <w:jc w:val="left"/>
              <w:rPr>
                <w:rFonts w:cs="Arial"/>
                <w:szCs w:val="18"/>
                <w:lang w:val="en-US"/>
              </w:rPr>
            </w:pPr>
            <w:r w:rsidRPr="00044B9B">
              <w:rPr>
                <w:rFonts w:cs="Arial"/>
                <w:szCs w:val="18"/>
                <w:lang w:val="en-US"/>
              </w:rPr>
              <w:t>0.42</w:t>
            </w:r>
          </w:p>
        </w:tc>
      </w:tr>
      <w:tr w:rsidR="0014642E" w:rsidRPr="001C670C" w14:paraId="1A6D1DA9" w14:textId="77777777" w:rsidTr="0014642E">
        <w:tc>
          <w:tcPr>
            <w:tcW w:w="1701" w:type="dxa"/>
            <w:tcBorders>
              <w:top w:val="nil"/>
              <w:bottom w:val="nil"/>
            </w:tcBorders>
            <w:shd w:val="clear" w:color="auto" w:fill="FFFFFF"/>
          </w:tcPr>
          <w:p w14:paraId="7482A13C" w14:textId="77777777" w:rsidR="0014642E" w:rsidRPr="00230275" w:rsidRDefault="0014642E" w:rsidP="0014642E">
            <w:pPr>
              <w:pStyle w:val="CETBodytext"/>
              <w:ind w:right="-1"/>
              <w:rPr>
                <w:rFonts w:cs="Arial"/>
                <w:szCs w:val="18"/>
              </w:rPr>
            </w:pPr>
            <w:r w:rsidRPr="00230275">
              <w:rPr>
                <w:rFonts w:cs="Arial"/>
                <w:szCs w:val="18"/>
              </w:rPr>
              <w:t>Cyclopentane</w:t>
            </w:r>
          </w:p>
        </w:tc>
        <w:tc>
          <w:tcPr>
            <w:tcW w:w="851" w:type="dxa"/>
            <w:tcBorders>
              <w:top w:val="nil"/>
              <w:bottom w:val="nil"/>
            </w:tcBorders>
            <w:shd w:val="clear" w:color="auto" w:fill="FFFFFF"/>
          </w:tcPr>
          <w:p w14:paraId="5270663E" w14:textId="77777777" w:rsidR="0014642E" w:rsidRPr="00044B9B" w:rsidRDefault="0014642E" w:rsidP="0014642E">
            <w:pPr>
              <w:pStyle w:val="CETBodytext"/>
              <w:ind w:right="-1"/>
              <w:jc w:val="left"/>
              <w:rPr>
                <w:rFonts w:cs="Arial"/>
                <w:szCs w:val="18"/>
              </w:rPr>
            </w:pPr>
            <w:r w:rsidRPr="00044B9B">
              <w:rPr>
                <w:rFonts w:cs="Arial"/>
                <w:szCs w:val="18"/>
              </w:rPr>
              <w:t>-</w:t>
            </w:r>
          </w:p>
        </w:tc>
        <w:tc>
          <w:tcPr>
            <w:tcW w:w="992" w:type="dxa"/>
            <w:tcBorders>
              <w:top w:val="nil"/>
              <w:bottom w:val="nil"/>
            </w:tcBorders>
            <w:shd w:val="clear" w:color="auto" w:fill="FFFFFF"/>
          </w:tcPr>
          <w:p w14:paraId="3D0F44A5"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0DC94BE8"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7E71AE36" w14:textId="77777777" w:rsidR="0014642E" w:rsidRPr="00044B9B" w:rsidRDefault="0014642E" w:rsidP="0014642E">
            <w:pPr>
              <w:spacing w:line="240" w:lineRule="auto"/>
              <w:jc w:val="left"/>
              <w:rPr>
                <w:rFonts w:cs="Arial"/>
                <w:szCs w:val="18"/>
                <w:lang w:val="en-US"/>
              </w:rPr>
            </w:pPr>
            <w:r w:rsidRPr="00044B9B">
              <w:rPr>
                <w:rFonts w:cs="Arial"/>
                <w:szCs w:val="18"/>
                <w:lang w:val="en-US"/>
              </w:rPr>
              <w:t>0.54</w:t>
            </w:r>
          </w:p>
        </w:tc>
        <w:tc>
          <w:tcPr>
            <w:tcW w:w="992" w:type="dxa"/>
            <w:tcBorders>
              <w:top w:val="nil"/>
              <w:bottom w:val="nil"/>
            </w:tcBorders>
            <w:shd w:val="clear" w:color="auto" w:fill="FFFFFF"/>
          </w:tcPr>
          <w:p w14:paraId="6A3550E4" w14:textId="77777777" w:rsidR="0014642E" w:rsidRPr="00044B9B" w:rsidRDefault="002640DD" w:rsidP="0014642E">
            <w:pPr>
              <w:spacing w:line="240" w:lineRule="auto"/>
              <w:jc w:val="left"/>
              <w:rPr>
                <w:rFonts w:cs="Arial"/>
                <w:szCs w:val="18"/>
                <w:lang w:val="en-US"/>
              </w:rPr>
            </w:pPr>
            <w:r w:rsidRPr="00044B9B">
              <w:rPr>
                <w:rFonts w:cs="Arial"/>
                <w:szCs w:val="18"/>
                <w:lang w:val="en-US"/>
              </w:rPr>
              <w:t>-</w:t>
            </w:r>
          </w:p>
        </w:tc>
      </w:tr>
      <w:tr w:rsidR="0014642E" w:rsidRPr="001C670C" w14:paraId="161CB335" w14:textId="77777777" w:rsidTr="00F455C0">
        <w:tc>
          <w:tcPr>
            <w:tcW w:w="1701" w:type="dxa"/>
            <w:tcBorders>
              <w:top w:val="nil"/>
              <w:bottom w:val="nil"/>
            </w:tcBorders>
            <w:shd w:val="clear" w:color="auto" w:fill="FFFFFF"/>
          </w:tcPr>
          <w:p w14:paraId="6717A646" w14:textId="77777777" w:rsidR="0014642E" w:rsidRPr="00230275" w:rsidRDefault="0014642E" w:rsidP="0014642E">
            <w:pPr>
              <w:pStyle w:val="CETBodytext"/>
              <w:ind w:right="-1"/>
              <w:rPr>
                <w:rFonts w:cs="Arial"/>
                <w:szCs w:val="18"/>
              </w:rPr>
            </w:pPr>
            <w:r w:rsidRPr="00230275">
              <w:rPr>
                <w:rFonts w:cs="Arial"/>
                <w:szCs w:val="18"/>
              </w:rPr>
              <w:t>Butanol</w:t>
            </w:r>
          </w:p>
        </w:tc>
        <w:tc>
          <w:tcPr>
            <w:tcW w:w="851" w:type="dxa"/>
            <w:tcBorders>
              <w:top w:val="nil"/>
              <w:bottom w:val="nil"/>
            </w:tcBorders>
            <w:shd w:val="clear" w:color="auto" w:fill="FFFFFF"/>
          </w:tcPr>
          <w:p w14:paraId="1152A905" w14:textId="77777777" w:rsidR="0014642E" w:rsidRPr="00044B9B" w:rsidRDefault="0014642E" w:rsidP="0014642E">
            <w:pPr>
              <w:pStyle w:val="CETBodytext"/>
              <w:ind w:right="-1"/>
              <w:jc w:val="left"/>
              <w:rPr>
                <w:rFonts w:cs="Arial"/>
                <w:szCs w:val="18"/>
              </w:rPr>
            </w:pPr>
            <w:r w:rsidRPr="00044B9B">
              <w:rPr>
                <w:rFonts w:cs="Arial"/>
                <w:szCs w:val="18"/>
              </w:rPr>
              <w:t>-</w:t>
            </w:r>
          </w:p>
        </w:tc>
        <w:tc>
          <w:tcPr>
            <w:tcW w:w="992" w:type="dxa"/>
            <w:tcBorders>
              <w:top w:val="nil"/>
              <w:bottom w:val="nil"/>
            </w:tcBorders>
            <w:shd w:val="clear" w:color="auto" w:fill="FFFFFF"/>
          </w:tcPr>
          <w:p w14:paraId="2B2AD346"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nil"/>
            </w:tcBorders>
            <w:shd w:val="clear" w:color="auto" w:fill="FFFFFF"/>
          </w:tcPr>
          <w:p w14:paraId="24F7EF96"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nil"/>
            </w:tcBorders>
            <w:shd w:val="clear" w:color="auto" w:fill="FFFFFF"/>
          </w:tcPr>
          <w:p w14:paraId="56AF0816" w14:textId="77777777" w:rsidR="0014642E" w:rsidRPr="00044B9B" w:rsidRDefault="0014642E" w:rsidP="0014642E">
            <w:pPr>
              <w:spacing w:line="240" w:lineRule="auto"/>
              <w:jc w:val="left"/>
              <w:rPr>
                <w:rFonts w:cs="Arial"/>
                <w:szCs w:val="18"/>
                <w:lang w:val="en-US"/>
              </w:rPr>
            </w:pPr>
            <w:r w:rsidRPr="00044B9B">
              <w:rPr>
                <w:rFonts w:cs="Arial"/>
                <w:szCs w:val="18"/>
                <w:lang w:val="en-US"/>
              </w:rPr>
              <w:t>2.01</w:t>
            </w:r>
          </w:p>
        </w:tc>
        <w:tc>
          <w:tcPr>
            <w:tcW w:w="992" w:type="dxa"/>
            <w:tcBorders>
              <w:top w:val="nil"/>
              <w:bottom w:val="nil"/>
            </w:tcBorders>
            <w:shd w:val="clear" w:color="auto" w:fill="FFFFFF"/>
          </w:tcPr>
          <w:p w14:paraId="13D60F7C" w14:textId="77777777" w:rsidR="0014642E" w:rsidRPr="00044B9B" w:rsidRDefault="002640DD" w:rsidP="0014642E">
            <w:pPr>
              <w:spacing w:line="240" w:lineRule="auto"/>
              <w:jc w:val="left"/>
              <w:rPr>
                <w:rFonts w:cs="Arial"/>
                <w:szCs w:val="18"/>
                <w:lang w:val="en-US"/>
              </w:rPr>
            </w:pPr>
            <w:r w:rsidRPr="00044B9B">
              <w:rPr>
                <w:rFonts w:cs="Arial"/>
                <w:szCs w:val="18"/>
                <w:lang w:val="en-US"/>
              </w:rPr>
              <w:t>-</w:t>
            </w:r>
          </w:p>
        </w:tc>
      </w:tr>
      <w:tr w:rsidR="0014642E" w:rsidRPr="001C670C" w14:paraId="355DEEEF" w14:textId="77777777" w:rsidTr="00F455C0">
        <w:tc>
          <w:tcPr>
            <w:tcW w:w="1701" w:type="dxa"/>
            <w:tcBorders>
              <w:top w:val="nil"/>
              <w:bottom w:val="single" w:sz="12" w:space="0" w:color="008000"/>
            </w:tcBorders>
            <w:shd w:val="clear" w:color="auto" w:fill="FFFFFF"/>
          </w:tcPr>
          <w:p w14:paraId="6613C3B4" w14:textId="77777777" w:rsidR="0014642E" w:rsidRPr="00230275" w:rsidRDefault="0014642E" w:rsidP="0014642E">
            <w:pPr>
              <w:pStyle w:val="CETBodytext"/>
              <w:ind w:right="-1"/>
              <w:rPr>
                <w:rFonts w:cs="Arial"/>
                <w:szCs w:val="18"/>
              </w:rPr>
            </w:pPr>
            <w:r w:rsidRPr="00230275">
              <w:rPr>
                <w:rFonts w:cs="Arial"/>
                <w:szCs w:val="18"/>
              </w:rPr>
              <w:t>Ethylbenzene</w:t>
            </w:r>
          </w:p>
        </w:tc>
        <w:tc>
          <w:tcPr>
            <w:tcW w:w="851" w:type="dxa"/>
            <w:tcBorders>
              <w:top w:val="nil"/>
              <w:bottom w:val="single" w:sz="12" w:space="0" w:color="008000"/>
            </w:tcBorders>
            <w:shd w:val="clear" w:color="auto" w:fill="FFFFFF"/>
          </w:tcPr>
          <w:p w14:paraId="1F47CD39" w14:textId="77777777" w:rsidR="0014642E" w:rsidRPr="00044B9B" w:rsidRDefault="0014642E" w:rsidP="0014642E">
            <w:pPr>
              <w:pStyle w:val="CETBodytext"/>
              <w:ind w:right="-1"/>
              <w:jc w:val="left"/>
              <w:rPr>
                <w:rFonts w:cs="Arial"/>
                <w:szCs w:val="18"/>
              </w:rPr>
            </w:pPr>
            <w:r w:rsidRPr="00044B9B">
              <w:rPr>
                <w:rFonts w:cs="Arial"/>
                <w:szCs w:val="18"/>
              </w:rPr>
              <w:t>0.27</w:t>
            </w:r>
          </w:p>
        </w:tc>
        <w:tc>
          <w:tcPr>
            <w:tcW w:w="992" w:type="dxa"/>
            <w:tcBorders>
              <w:top w:val="nil"/>
              <w:bottom w:val="single" w:sz="12" w:space="0" w:color="008000"/>
            </w:tcBorders>
            <w:shd w:val="clear" w:color="auto" w:fill="FFFFFF"/>
          </w:tcPr>
          <w:p w14:paraId="2098CEB6"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851" w:type="dxa"/>
            <w:tcBorders>
              <w:top w:val="nil"/>
              <w:bottom w:val="single" w:sz="12" w:space="0" w:color="008000"/>
            </w:tcBorders>
            <w:shd w:val="clear" w:color="auto" w:fill="FFFFFF"/>
          </w:tcPr>
          <w:p w14:paraId="213EEF24"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single" w:sz="12" w:space="0" w:color="008000"/>
            </w:tcBorders>
            <w:shd w:val="clear" w:color="auto" w:fill="FFFFFF"/>
          </w:tcPr>
          <w:p w14:paraId="0668F573" w14:textId="77777777" w:rsidR="0014642E" w:rsidRPr="00044B9B" w:rsidRDefault="0014642E" w:rsidP="0014642E">
            <w:pPr>
              <w:spacing w:line="240" w:lineRule="auto"/>
              <w:jc w:val="left"/>
              <w:rPr>
                <w:rFonts w:cs="Arial"/>
                <w:szCs w:val="18"/>
                <w:lang w:val="en-US"/>
              </w:rPr>
            </w:pPr>
            <w:r w:rsidRPr="00044B9B">
              <w:rPr>
                <w:rFonts w:cs="Arial"/>
                <w:szCs w:val="18"/>
                <w:lang w:val="en-US"/>
              </w:rPr>
              <w:t>-</w:t>
            </w:r>
          </w:p>
        </w:tc>
        <w:tc>
          <w:tcPr>
            <w:tcW w:w="992" w:type="dxa"/>
            <w:tcBorders>
              <w:top w:val="nil"/>
              <w:bottom w:val="single" w:sz="12" w:space="0" w:color="008000"/>
            </w:tcBorders>
            <w:shd w:val="clear" w:color="auto" w:fill="FFFFFF"/>
          </w:tcPr>
          <w:p w14:paraId="039CE731" w14:textId="77777777" w:rsidR="0014642E" w:rsidRPr="00044B9B" w:rsidRDefault="002640DD" w:rsidP="0014642E">
            <w:pPr>
              <w:spacing w:line="240" w:lineRule="auto"/>
              <w:jc w:val="left"/>
              <w:rPr>
                <w:rFonts w:cs="Arial"/>
                <w:szCs w:val="18"/>
                <w:lang w:val="en-US"/>
              </w:rPr>
            </w:pPr>
            <w:r w:rsidRPr="00044B9B">
              <w:rPr>
                <w:rFonts w:cs="Arial"/>
                <w:szCs w:val="18"/>
                <w:lang w:val="en-US"/>
              </w:rPr>
              <w:t>-</w:t>
            </w:r>
          </w:p>
        </w:tc>
      </w:tr>
    </w:tbl>
    <w:p w14:paraId="3B361EB8" w14:textId="77777777" w:rsidR="006A42F5" w:rsidRPr="00044B9B" w:rsidRDefault="006A42F5" w:rsidP="00CE1056">
      <w:pPr>
        <w:pStyle w:val="CETBodytext"/>
      </w:pPr>
    </w:p>
    <w:p w14:paraId="0671CC57" w14:textId="77777777" w:rsidR="005C34DC" w:rsidRPr="00044B9B" w:rsidRDefault="001503A1" w:rsidP="00ED6552">
      <w:pPr>
        <w:pStyle w:val="CETheadingx"/>
      </w:pPr>
      <w:r w:rsidRPr="00044B9B">
        <w:t>Reaction liqui</w:t>
      </w:r>
      <w:r w:rsidR="00E0442F" w:rsidRPr="00044B9B">
        <w:t xml:space="preserve">d </w:t>
      </w:r>
      <w:r w:rsidR="004D31DF" w:rsidRPr="00044B9B">
        <w:t>characterization</w:t>
      </w:r>
    </w:p>
    <w:p w14:paraId="724D2B30" w14:textId="77777777" w:rsidR="006A42F5" w:rsidRPr="00044B9B" w:rsidRDefault="006A42F5" w:rsidP="006A42F5">
      <w:pPr>
        <w:pStyle w:val="CETBodytext"/>
        <w:numPr>
          <w:ilvl w:val="0"/>
          <w:numId w:val="1"/>
        </w:numPr>
      </w:pPr>
      <w:r w:rsidRPr="00044B9B">
        <w:t xml:space="preserve">Figure 3 </w:t>
      </w:r>
      <w:r>
        <w:t>illustrates</w:t>
      </w:r>
      <w:r w:rsidRPr="00044B9B">
        <w:t xml:space="preserve"> the FTIR spectra of reaction liquids</w:t>
      </w:r>
      <w:r w:rsidRPr="000E5034">
        <w:t xml:space="preserve"> </w:t>
      </w:r>
      <w:r>
        <w:t>from thermal pyrolysis of the selected plastic materials</w:t>
      </w:r>
      <w:r w:rsidRPr="00044B9B">
        <w:t xml:space="preserve">. The PET spectrum </w:t>
      </w:r>
      <w:r>
        <w:t>display</w:t>
      </w:r>
      <w:r w:rsidRPr="00044B9B">
        <w:t>ed the characteristic band of -OH stretching between 3100 and 2548 cm</w:t>
      </w:r>
      <w:r w:rsidRPr="00044B9B">
        <w:rPr>
          <w:vertAlign w:val="superscript"/>
        </w:rPr>
        <w:t>-1</w:t>
      </w:r>
      <w:r w:rsidRPr="00044B9B">
        <w:t xml:space="preserve"> </w:t>
      </w:r>
      <w:r>
        <w:t xml:space="preserve">and those of </w:t>
      </w:r>
      <w:r w:rsidRPr="00044B9B">
        <w:t>C=O, O-C-O and aromatic C=C stretching at 1962, 1288 and 1600 cm</w:t>
      </w:r>
      <w:r w:rsidRPr="00044B9B">
        <w:rPr>
          <w:vertAlign w:val="superscript"/>
        </w:rPr>
        <w:t>-1</w:t>
      </w:r>
      <w:r w:rsidRPr="00044B9B">
        <w:t xml:space="preserve">, respectively. </w:t>
      </w:r>
      <w:r>
        <w:t>Similarity of these</w:t>
      </w:r>
      <w:r w:rsidRPr="00044B9B">
        <w:t xml:space="preserve"> bands with the characteristic </w:t>
      </w:r>
      <w:r>
        <w:t>one</w:t>
      </w:r>
      <w:r w:rsidRPr="00044B9B">
        <w:t>s of benzoic acid confirm</w:t>
      </w:r>
      <w:r>
        <w:t>s</w:t>
      </w:r>
      <w:r w:rsidRPr="00044B9B">
        <w:t xml:space="preserve"> the results obtained by </w:t>
      </w:r>
      <w:proofErr w:type="spellStart"/>
      <w:r w:rsidRPr="00044B9B">
        <w:t>Grause</w:t>
      </w:r>
      <w:proofErr w:type="spellEnd"/>
      <w:r w:rsidRPr="00044B9B">
        <w:t xml:space="preserve"> et al. </w:t>
      </w:r>
      <w:r w:rsidRPr="00044B9B">
        <w:fldChar w:fldCharType="begin" w:fldLock="1"/>
      </w:r>
      <w:r w:rsidRPr="00044B9B">
        <w:instrText>ADDIN CSL_CITATION {"citationItems":[{"id":"ITEM-1","itemData":{"DOI":"10.1016/j.cej.2010.11.010","ISSN":"1385-8947","author":[{"dropping-particle":"","family":"Grause","given":"Guido","non-dropping-particle":"","parse-names":false,"suffix":""},{"dropping-particle":"","family":"Handa","given":"Tomohiko","non-dropping-particle":"","parse-names":false,"suffix":""},{"dropping-particle":"","family":"Kameda","given":"Tomohito","non-dropping-particle":"","parse-names":false,"suffix":""},{"dropping-particle":"","family":"Mizoguchi","given":"Tadaaki","non-dropping-particle":"","parse-names":false,"suffix":""},{"dropping-particle":"","family":"Yoshioka","given":"Toshiaki","non-dropping-particle":"","parse-names":false,"suffix":""}],"container-title":"Chemical Engineering Journal","id":"ITEM-1","issue":"2","issued":{"date-parts":[["2011"]]},"page":"523-528","publisher":"Elsevier B.V.","title":"Effect of temperature management on the hydrolytic degradation of PET in a calcium oxide filled tube reactor Terephthalic acid","type":"article-journal","volume":"166"},"uris":["http://www.mendeley.com/documents/?uuid=76d9a405-86bf-40ef-9b43-e4a3c1bc1c2d"]}],"mendeley":{"formattedCitation":"(Grause &lt;i&gt;et al.&lt;/i&gt;, 2011)","manualFormatting":"(2011)","plainTextFormattedCitation":"(Grause et al., 2011)","previouslyFormattedCitation":"(Grause &lt;i&gt;et al.&lt;/i&gt;, 2011)"},"properties":{"noteIndex":0},"schema":"https://github.com/citation-style-language/schema/raw/master/csl-citation.json"}</w:instrText>
      </w:r>
      <w:r w:rsidRPr="00044B9B">
        <w:fldChar w:fldCharType="separate"/>
      </w:r>
      <w:r w:rsidRPr="00230275">
        <w:t>(2011)</w:t>
      </w:r>
      <w:r w:rsidRPr="00044B9B">
        <w:fldChar w:fldCharType="end"/>
      </w:r>
      <w:r w:rsidRPr="00044B9B">
        <w:t>. The PVC spectr</w:t>
      </w:r>
      <w:r>
        <w:t>um</w:t>
      </w:r>
      <w:r w:rsidRPr="00044B9B">
        <w:t xml:space="preserve"> presented aliphatic -CH</w:t>
      </w:r>
      <w:r>
        <w:t xml:space="preserve"> stretching</w:t>
      </w:r>
      <w:r w:rsidRPr="00044B9B">
        <w:t xml:space="preserve"> between 2952 and 2961 cm</w:t>
      </w:r>
      <w:r w:rsidRPr="00044B9B">
        <w:rPr>
          <w:vertAlign w:val="superscript"/>
        </w:rPr>
        <w:t>-1</w:t>
      </w:r>
      <w:r w:rsidRPr="00044B9B">
        <w:t>, C=O stretching at 1698 cm</w:t>
      </w:r>
      <w:r w:rsidRPr="00044B9B">
        <w:rPr>
          <w:vertAlign w:val="superscript"/>
        </w:rPr>
        <w:t>-1</w:t>
      </w:r>
      <w:r w:rsidRPr="00044B9B">
        <w:t>, C-C stretching between 1200-800 cm</w:t>
      </w:r>
      <w:r w:rsidRPr="00044B9B">
        <w:rPr>
          <w:vertAlign w:val="superscript"/>
        </w:rPr>
        <w:t>-1</w:t>
      </w:r>
      <w:r w:rsidRPr="00044B9B">
        <w:t>, aromatic C=C bond between 1589 and 1460 cm</w:t>
      </w:r>
      <w:r w:rsidRPr="00044B9B">
        <w:rPr>
          <w:vertAlign w:val="superscript"/>
        </w:rPr>
        <w:t>-1</w:t>
      </w:r>
      <w:r w:rsidRPr="00044B9B">
        <w:t>, C-Cl deformation at 724 cm</w:t>
      </w:r>
      <w:r w:rsidRPr="00044B9B">
        <w:rPr>
          <w:vertAlign w:val="superscript"/>
        </w:rPr>
        <w:t>-1</w:t>
      </w:r>
      <w:r w:rsidRPr="00044B9B">
        <w:t xml:space="preserve"> and Si-O st</w:t>
      </w:r>
      <w:r>
        <w:t xml:space="preserve">retching at 1116 </w:t>
      </w:r>
      <w:r w:rsidRPr="00044B9B">
        <w:t>cm</w:t>
      </w:r>
      <w:r w:rsidRPr="00044B9B">
        <w:rPr>
          <w:vertAlign w:val="superscript"/>
        </w:rPr>
        <w:t>-1</w:t>
      </w:r>
      <w:r>
        <w:t xml:space="preserve">. </w:t>
      </w:r>
      <w:r w:rsidRPr="00044B9B">
        <w:t>The</w:t>
      </w:r>
      <w:r>
        <w:t>se</w:t>
      </w:r>
      <w:r w:rsidRPr="00044B9B">
        <w:t xml:space="preserve"> bands </w:t>
      </w:r>
      <w:r>
        <w:t>can be</w:t>
      </w:r>
      <w:r w:rsidRPr="00044B9B">
        <w:t xml:space="preserve"> ass</w:t>
      </w:r>
      <w:r>
        <w:t>ign</w:t>
      </w:r>
      <w:r w:rsidRPr="00044B9B">
        <w:t xml:space="preserve">ed to </w:t>
      </w:r>
      <w:r>
        <w:t>the</w:t>
      </w:r>
      <w:r w:rsidRPr="00044B9B">
        <w:t xml:space="preserve"> presence of ketones, aromatic compounds and</w:t>
      </w:r>
      <w:r>
        <w:t xml:space="preserve"> unreacted</w:t>
      </w:r>
      <w:r w:rsidRPr="00044B9B">
        <w:t xml:space="preserve"> PVC, </w:t>
      </w:r>
      <w:r>
        <w:t>except that</w:t>
      </w:r>
      <w:r w:rsidRPr="00044B9B">
        <w:t xml:space="preserve"> </w:t>
      </w:r>
      <w:r>
        <w:t>of</w:t>
      </w:r>
      <w:r w:rsidRPr="00044B9B">
        <w:t xml:space="preserve"> Si-O band probably due to the use of </w:t>
      </w:r>
      <w:r>
        <w:t>s</w:t>
      </w:r>
      <w:r w:rsidRPr="00044B9B">
        <w:t xml:space="preserve">ilicon as polymer filler </w:t>
      </w:r>
      <w:r w:rsidRPr="00044B9B">
        <w:fldChar w:fldCharType="begin" w:fldLock="1"/>
      </w:r>
      <w:r w:rsidRPr="00044B9B">
        <w:instrText>ADDIN CSL_CITATION {"citationItems":[{"id":"ITEM-1","itemData":{"DOI":"10.1016/j.jaap.2005.04.012","author":[{"dropping-particle":"","family":"Karayildirim","given":"Tamer","non-dropping-particle":"","parse-names":false,"suffix":""},{"dropping-particle":"","family":"Yanik","given":"Jale","non-dropping-particle":"","parse-names":false,"suffix":""},{"dropping-particle":"","family":"Yuksel","given":"Mithat","non-dropping-particle":"","parse-names":false,"suffix":""},{"dropping-particle":"","family":"Saglam","given":"Mehmet","non-dropping-particle":"","parse-names":false,"suffix":""}],"id":"ITEM-1","issued":{"date-parts":[["2006"]]},"page":"112-119","title":"The effect of some fillers on PVC degradation","type":"article-journal","volume":"75"},"uris":["http://www.mendeley.com/documents/?uuid=31276645-8ba5-40d0-9e47-7b330165d270"]}],"mendeley":{"formattedCitation":"(Karayildirim &lt;i&gt;et al.&lt;/i&gt;, 2006)","plainTextFormattedCitation":"(Karayildirim et al., 2006)","previouslyFormattedCitation":"(Karayildirim &lt;i&gt;et al.&lt;/i&gt;, 2006)"},"properties":{"noteIndex":0},"schema":"https://github.com/citation-style-language/schema/raw/master/csl-citation.json"}</w:instrText>
      </w:r>
      <w:r w:rsidRPr="00044B9B">
        <w:fldChar w:fldCharType="separate"/>
      </w:r>
      <w:r w:rsidRPr="00230275">
        <w:t>(Karayildirim</w:t>
      </w:r>
      <w:r w:rsidRPr="004D7F68">
        <w:t xml:space="preserve"> et al., </w:t>
      </w:r>
      <w:r w:rsidRPr="00230275">
        <w:t>2006)</w:t>
      </w:r>
      <w:r w:rsidRPr="00044B9B">
        <w:fldChar w:fldCharType="end"/>
      </w:r>
      <w:r w:rsidRPr="00044B9B">
        <w:t>. The PU spectrum presented the</w:t>
      </w:r>
      <w:r>
        <w:t xml:space="preserve"> typical bands of the</w:t>
      </w:r>
      <w:r w:rsidRPr="00044B9B">
        <w:t xml:space="preserve"> aliphatic -CH stretching between 2968 and 2929 cm</w:t>
      </w:r>
      <w:r w:rsidRPr="00044B9B">
        <w:rPr>
          <w:vertAlign w:val="superscript"/>
        </w:rPr>
        <w:t>-1</w:t>
      </w:r>
      <w:r w:rsidRPr="00044B9B">
        <w:t>, the -NH stretching at 3363 cm</w:t>
      </w:r>
      <w:r w:rsidRPr="00044B9B">
        <w:rPr>
          <w:vertAlign w:val="superscript"/>
        </w:rPr>
        <w:t>-1</w:t>
      </w:r>
      <w:r w:rsidRPr="00044B9B">
        <w:t>, the -OH stretching at 3363 cm</w:t>
      </w:r>
      <w:r w:rsidRPr="00044B9B">
        <w:rPr>
          <w:vertAlign w:val="superscript"/>
        </w:rPr>
        <w:t>-1</w:t>
      </w:r>
      <w:r w:rsidRPr="00044B9B">
        <w:t>, the C=O stretching at 1711 cm</w:t>
      </w:r>
      <w:r w:rsidRPr="00044B9B">
        <w:rPr>
          <w:vertAlign w:val="superscript"/>
        </w:rPr>
        <w:t>-1</w:t>
      </w:r>
      <w:r w:rsidRPr="00044B9B">
        <w:t>, the -CH</w:t>
      </w:r>
      <w:r w:rsidRPr="00044B9B">
        <w:rPr>
          <w:vertAlign w:val="subscript"/>
        </w:rPr>
        <w:t>2</w:t>
      </w:r>
      <w:r w:rsidRPr="00044B9B">
        <w:t xml:space="preserve"> bending at 1467 cm</w:t>
      </w:r>
      <w:r w:rsidRPr="00044B9B">
        <w:rPr>
          <w:vertAlign w:val="superscript"/>
        </w:rPr>
        <w:t>-1</w:t>
      </w:r>
      <w:r w:rsidRPr="00044B9B">
        <w:t xml:space="preserve"> and the Si-O bond </w:t>
      </w:r>
      <w:r w:rsidRPr="00230275">
        <w:rPr>
          <w:rStyle w:val="Rimandocommento"/>
          <w:sz w:val="18"/>
          <w:szCs w:val="18"/>
          <w:lang w:val="en-GB"/>
        </w:rPr>
        <w:t xml:space="preserve">stretching </w:t>
      </w:r>
      <w:r w:rsidRPr="00044B9B">
        <w:t xml:space="preserve">between 1094 and </w:t>
      </w:r>
      <w:r w:rsidRPr="00044B9B">
        <w:lastRenderedPageBreak/>
        <w:t>920 cm</w:t>
      </w:r>
      <w:r w:rsidRPr="00044B9B">
        <w:rPr>
          <w:vertAlign w:val="superscript"/>
        </w:rPr>
        <w:t>-1</w:t>
      </w:r>
      <w:r w:rsidRPr="00044B9B">
        <w:t xml:space="preserve"> </w:t>
      </w:r>
      <w:r>
        <w:t xml:space="preserve">likely </w:t>
      </w:r>
      <w:r w:rsidRPr="00044B9B">
        <w:t xml:space="preserve">because of the use of silicon surfactant </w:t>
      </w:r>
      <w:r w:rsidRPr="00044B9B">
        <w:fldChar w:fldCharType="begin" w:fldLock="1"/>
      </w:r>
      <w:r w:rsidRPr="00044B9B">
        <w:instrText>ADDIN CSL_CITATION {"citationItems":[{"id":"ITEM-1","itemData":{"DOI":"10.3144/expresspolymlett.2008.24","author":[{"dropping-particle":"","family":"Lim","given":"H","non-dropping-particle":"","parse-names":false,"suffix":""},{"dropping-particle":"","family":"Kim","given":"S H","non-dropping-particle":"","parse-names":false,"suffix":""},{"dropping-particle":"","family":"Kim","given":"B K","non-dropping-particle":"","parse-names":false,"suffix":""}],"id":"ITEM-1","issue":"3","issued":{"date-parts":[["2008"]]},"page":"194-200","title":"Effects of silicon surfactant in rigid polyurethane foams","type":"article-journal","volume":"2"},"uris":["http://www.mendeley.com/documents/?uuid=61985a3e-5bea-4f93-8c25-5c7173a54b09"]}],"mendeley":{"formattedCitation":"(Lim, Kim and Kim, 2008)","manualFormatting":"(Lim et al., 2008)","plainTextFormattedCitation":"(Lim, Kim and Kim, 2008)","previouslyFormattedCitation":"(Lim, Kim and Kim, 2008)"},"properties":{"noteIndex":0},"schema":"https://github.com/citation-style-language/schema/raw/master/csl-citation.json"}</w:instrText>
      </w:r>
      <w:r w:rsidRPr="00044B9B">
        <w:fldChar w:fldCharType="separate"/>
      </w:r>
      <w:r w:rsidRPr="00230275">
        <w:t>(Lim et al., 2008)</w:t>
      </w:r>
      <w:r w:rsidRPr="00044B9B">
        <w:fldChar w:fldCharType="end"/>
      </w:r>
      <w:r w:rsidRPr="00044B9B">
        <w:t>. The spectrum</w:t>
      </w:r>
      <w:r>
        <w:t xml:space="preserve"> of</w:t>
      </w:r>
      <w:r w:rsidRPr="005B1F14">
        <w:t xml:space="preserve"> </w:t>
      </w:r>
      <w:r w:rsidRPr="00044B9B">
        <w:t xml:space="preserve">Nylon-6  </w:t>
      </w:r>
      <w:r>
        <w:t>exhibi</w:t>
      </w:r>
      <w:r w:rsidRPr="00044B9B">
        <w:t>ted the -NH stretching at 3293 cm</w:t>
      </w:r>
      <w:r w:rsidRPr="00044B9B">
        <w:rPr>
          <w:vertAlign w:val="superscript"/>
        </w:rPr>
        <w:t>-1</w:t>
      </w:r>
      <w:r w:rsidRPr="00044B9B">
        <w:t>, the aliphatic -CH stretching between 2928 and 2856 cm</w:t>
      </w:r>
      <w:r w:rsidRPr="00044B9B">
        <w:rPr>
          <w:vertAlign w:val="superscript"/>
        </w:rPr>
        <w:t>-1</w:t>
      </w:r>
      <w:r w:rsidRPr="00044B9B">
        <w:t xml:space="preserve"> and the deformation of -NH bond and the C=O stretching at 1663 cm</w:t>
      </w:r>
      <w:r w:rsidRPr="00044B9B">
        <w:rPr>
          <w:vertAlign w:val="superscript"/>
        </w:rPr>
        <w:t>-1</w:t>
      </w:r>
      <w:r>
        <w:t>, which</w:t>
      </w:r>
      <w:r w:rsidRPr="00044B9B">
        <w:t xml:space="preserve"> </w:t>
      </w:r>
      <w:r>
        <w:t>can be ascribed</w:t>
      </w:r>
      <w:r w:rsidRPr="00044B9B">
        <w:t xml:space="preserve"> to </w:t>
      </w:r>
      <w:r>
        <w:t>its</w:t>
      </w:r>
      <w:r w:rsidRPr="00044B9B">
        <w:t xml:space="preserve"> complete depolymerization to caprolactone </w:t>
      </w:r>
      <w:r>
        <w:t>(</w:t>
      </w:r>
      <w:proofErr w:type="spellStart"/>
      <w:r w:rsidRPr="00044B9B">
        <w:t>Czernik</w:t>
      </w:r>
      <w:proofErr w:type="spellEnd"/>
      <w:r w:rsidRPr="00044B9B">
        <w:t xml:space="preserve"> et al.</w:t>
      </w:r>
      <w:r>
        <w:t>,</w:t>
      </w:r>
      <w:r w:rsidRPr="00044B9B">
        <w:t xml:space="preserve"> </w:t>
      </w:r>
      <w:r w:rsidRPr="00044B9B">
        <w:fldChar w:fldCharType="begin" w:fldLock="1"/>
      </w:r>
      <w:r w:rsidRPr="00044B9B">
        <w:instrText>ADDIN CSL_CITATION {"citationItems":[{"id":"ITEM-1","itemData":{"author":[{"dropping-particle":"","family":"Czernik","given":"Stefan","non-dropping-particle":"","parse-names":false,"suffix":""},{"dropping-particle":"","family":"Elam","given":"Carolyn C","non-dropping-particle":"","parse-names":false,"suffix":""},{"dropping-particle":"","family":"Evans","given":"Robert J","non-dropping-particle":"","parse-names":false,"suffix":""},{"dropping-particle":"","family":"Meglen","given":"Robert R","non-dropping-particle":"","parse-names":false,"suffix":""},{"dropping-particle":"","family":"Moens","given":"Luc","non-dropping-particle":"","parse-names":false,"suffix":""},{"dropping-particle":"","family":"Tatsumoto","given":"Kuniyasu","non-dropping-particle":"","parse-names":false,"suffix":""}],"id":"ITEM-1","issued":{"date-parts":[["1998"]]},"page":"51-64","title":"Catalytic pyrolysis of nylon-6 to recover caprolactam","type":"article-journal","volume":"46"},"uris":["http://www.mendeley.com/documents/?uuid=4041b45a-c14d-470a-b3b4-c4f232df0d24"]}],"mendeley":{"formattedCitation":"(Czernik &lt;i&gt;et al.&lt;/i&gt;, 1998)","manualFormatting":"(1998)","plainTextFormattedCitation":"(Czernik et al., 1998)","previouslyFormattedCitation":"(Czernik &lt;i&gt;et al.&lt;/i&gt;, 1998)"},"properties":{"noteIndex":0},"schema":"https://github.com/citation-style-language/schema/raw/master/csl-citation.json"}</w:instrText>
      </w:r>
      <w:r w:rsidRPr="00044B9B">
        <w:fldChar w:fldCharType="separate"/>
      </w:r>
      <w:r w:rsidRPr="00230275">
        <w:t>1998)</w:t>
      </w:r>
      <w:r w:rsidRPr="00044B9B">
        <w:fldChar w:fldCharType="end"/>
      </w:r>
      <w:r w:rsidRPr="00044B9B">
        <w:t>. The ELT spectrum presented at</w:t>
      </w:r>
      <w:r>
        <w:t xml:space="preserve"> wavenumbers</w:t>
      </w:r>
      <w:r w:rsidRPr="00044B9B">
        <w:t xml:space="preserve"> </w:t>
      </w:r>
      <w:r>
        <w:t>&gt;</w:t>
      </w:r>
      <w:r w:rsidRPr="00044B9B">
        <w:t xml:space="preserve"> 3000 cm</w:t>
      </w:r>
      <w:r w:rsidRPr="00044B9B">
        <w:rPr>
          <w:vertAlign w:val="superscript"/>
        </w:rPr>
        <w:t>-1</w:t>
      </w:r>
      <w:r w:rsidRPr="00044B9B">
        <w:t xml:space="preserve"> the aromatic -CH stretching and </w:t>
      </w:r>
      <w:r>
        <w:t>&lt;</w:t>
      </w:r>
      <w:r w:rsidRPr="00044B9B">
        <w:t xml:space="preserve"> 3000 cm</w:t>
      </w:r>
      <w:r w:rsidRPr="00044B9B">
        <w:rPr>
          <w:vertAlign w:val="superscript"/>
        </w:rPr>
        <w:t>-1</w:t>
      </w:r>
      <w:r w:rsidRPr="00044B9B">
        <w:t xml:space="preserve"> </w:t>
      </w:r>
      <w:r>
        <w:t xml:space="preserve">the </w:t>
      </w:r>
      <w:r w:rsidRPr="00044B9B">
        <w:t>aliphatic -CH stretching, at 1454 cm</w:t>
      </w:r>
      <w:r w:rsidRPr="00044B9B">
        <w:rPr>
          <w:vertAlign w:val="superscript"/>
        </w:rPr>
        <w:t>-1</w:t>
      </w:r>
      <w:r w:rsidRPr="00044B9B">
        <w:t xml:space="preserve"> the -CH</w:t>
      </w:r>
      <w:r w:rsidRPr="00230275">
        <w:rPr>
          <w:vertAlign w:val="subscript"/>
        </w:rPr>
        <w:t>2</w:t>
      </w:r>
      <w:r w:rsidRPr="00044B9B">
        <w:t xml:space="preserve"> bending, at 1600 cm</w:t>
      </w:r>
      <w:r w:rsidRPr="00044B9B">
        <w:rPr>
          <w:vertAlign w:val="superscript"/>
        </w:rPr>
        <w:t>-1</w:t>
      </w:r>
      <w:r w:rsidRPr="00044B9B">
        <w:t xml:space="preserve"> the aromatic C=C bending and its overtones and at 1029 cm</w:t>
      </w:r>
      <w:r w:rsidRPr="00044B9B">
        <w:rPr>
          <w:vertAlign w:val="superscript"/>
        </w:rPr>
        <w:t>-1</w:t>
      </w:r>
      <w:r w:rsidRPr="00044B9B">
        <w:t xml:space="preserve"> the Si-O bond stretching. </w:t>
      </w:r>
      <w:r>
        <w:t>These bands in t</w:t>
      </w:r>
      <w:r w:rsidRPr="00044B9B">
        <w:t>he ELT spectr</w:t>
      </w:r>
      <w:r>
        <w:t>um</w:t>
      </w:r>
      <w:r w:rsidRPr="00044B9B">
        <w:t xml:space="preserve"> </w:t>
      </w:r>
      <w:r>
        <w:t xml:space="preserve">were likely due to </w:t>
      </w:r>
      <w:r w:rsidRPr="00044B9B">
        <w:t xml:space="preserve">the </w:t>
      </w:r>
      <w:r>
        <w:t>formation</w:t>
      </w:r>
      <w:r w:rsidRPr="00044B9B">
        <w:t xml:space="preserve"> of toluene or i</w:t>
      </w:r>
      <w:r>
        <w:t>ts derivates.</w:t>
      </w:r>
      <w:r w:rsidRPr="00044B9B">
        <w:t xml:space="preserve"> while the Si-O band </w:t>
      </w:r>
      <w:r>
        <w:t>to</w:t>
      </w:r>
      <w:r w:rsidRPr="00044B9B">
        <w:t xml:space="preserve"> </w:t>
      </w:r>
      <w:r>
        <w:t>s</w:t>
      </w:r>
      <w:r w:rsidRPr="00044B9B">
        <w:t>ilicon used as</w:t>
      </w:r>
      <w:r>
        <w:t xml:space="preserve"> a</w:t>
      </w:r>
      <w:r w:rsidRPr="00044B9B">
        <w:t xml:space="preserve"> polymer filler.</w:t>
      </w:r>
    </w:p>
    <w:p w14:paraId="56B8CF31" w14:textId="77777777" w:rsidR="00E6437B" w:rsidRPr="00044B9B" w:rsidRDefault="00E6437B" w:rsidP="00E6437B">
      <w:pPr>
        <w:pStyle w:val="CETBodytext"/>
      </w:pPr>
    </w:p>
    <w:p w14:paraId="0AF15D60" w14:textId="77777777" w:rsidR="004D31DF" w:rsidRPr="00044B9B" w:rsidRDefault="004D31DF" w:rsidP="004D31DF">
      <w:pPr>
        <w:pStyle w:val="CETBodytext"/>
      </w:pPr>
      <w:r w:rsidRPr="00230275">
        <w:rPr>
          <w:noProof/>
          <w:lang w:val="it-IT" w:eastAsia="it-IT"/>
        </w:rPr>
        <w:drawing>
          <wp:inline distT="0" distB="0" distL="0" distR="0" wp14:anchorId="287CDBB8" wp14:editId="5905D7A4">
            <wp:extent cx="2823005" cy="181741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quid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005" cy="1817412"/>
                    </a:xfrm>
                    <a:prstGeom prst="rect">
                      <a:avLst/>
                    </a:prstGeom>
                  </pic:spPr>
                </pic:pic>
              </a:graphicData>
            </a:graphic>
          </wp:inline>
        </w:drawing>
      </w:r>
    </w:p>
    <w:p w14:paraId="05C6248B" w14:textId="4A04C41F" w:rsidR="006A42F5" w:rsidRPr="00ED6552" w:rsidRDefault="002B7C7C" w:rsidP="00ED6552">
      <w:pPr>
        <w:pStyle w:val="CETCaption"/>
        <w:rPr>
          <w:rFonts w:cs="Arial"/>
          <w:lang w:val="en-US"/>
        </w:rPr>
      </w:pPr>
      <w:r w:rsidRPr="00230275">
        <w:rPr>
          <w:rFonts w:cs="Arial"/>
          <w:lang w:val="en-US"/>
        </w:rPr>
        <w:t xml:space="preserve">Figure 3: </w:t>
      </w:r>
      <w:r w:rsidRPr="00044B9B">
        <w:rPr>
          <w:rFonts w:cs="Arial"/>
          <w:lang w:val="en-US"/>
        </w:rPr>
        <w:t>FTIR analysis of reaction liquid</w:t>
      </w:r>
      <w:r w:rsidR="00A6763C">
        <w:rPr>
          <w:rFonts w:cs="Arial"/>
          <w:lang w:val="en-US"/>
        </w:rPr>
        <w:t>s</w:t>
      </w:r>
      <w:r w:rsidR="001D3746">
        <w:rPr>
          <w:rFonts w:cs="Arial"/>
          <w:lang w:val="en-US"/>
        </w:rPr>
        <w:t xml:space="preserve"> from thermal pyrolysis of</w:t>
      </w:r>
      <w:r w:rsidR="001D3746" w:rsidRPr="00044B9B">
        <w:rPr>
          <w:rFonts w:cs="Arial"/>
          <w:lang w:val="en-US"/>
        </w:rPr>
        <w:t xml:space="preserve"> </w:t>
      </w:r>
      <w:r w:rsidR="001541A0" w:rsidRPr="00044B9B">
        <w:rPr>
          <w:rFonts w:cs="Arial"/>
          <w:lang w:val="en-US"/>
        </w:rPr>
        <w:t>a) Nylon-6, b) PET, c) PVC, d) PU and e) ELT.</w:t>
      </w:r>
    </w:p>
    <w:p w14:paraId="06C5EF24" w14:textId="5ACEA986" w:rsidR="002B7C7C" w:rsidRPr="006A42F5" w:rsidRDefault="00ED6552" w:rsidP="00ED6552">
      <w:pPr>
        <w:pStyle w:val="CETheadingx"/>
        <w:numPr>
          <w:ilvl w:val="0"/>
          <w:numId w:val="0"/>
        </w:numPr>
      </w:pPr>
      <w:r>
        <w:t xml:space="preserve">3.4 </w:t>
      </w:r>
      <w:r w:rsidR="002640DD" w:rsidRPr="006A42F5">
        <w:t>Solid residue characterization</w:t>
      </w:r>
    </w:p>
    <w:p w14:paraId="41879771" w14:textId="50820EF4" w:rsidR="006A42F5" w:rsidRPr="006A42F5" w:rsidRDefault="006A42F5" w:rsidP="006A42F5">
      <w:pPr>
        <w:pStyle w:val="CETBodytext"/>
      </w:pPr>
      <w:r w:rsidRPr="006A42F5">
        <w:t>Except for small variations in the intensity of the peaks and the wavenumber, the spectra of Nylon-6, PU and ELT solid residues presented almost the same bands as the liquid almost the same bands as the reaction liquids (Figure 4). While, the PET spectrum presented the -CH aromatic stretching at 3000 cm-1 and the C-O stretching betwe</w:t>
      </w:r>
      <w:bookmarkStart w:id="0" w:name="_GoBack"/>
      <w:bookmarkEnd w:id="0"/>
      <w:r w:rsidRPr="006A42F5">
        <w:t>en 1300 and 1060 cm-1, the last being associated to the formation of polyether from partial depolymerization of PET. In the PVC spectrum it is possible to observe the characteristic bands of water, i.e. those of the -OH asymmetric stretching at 1934 cm-1, the -OH scissoring at 1634 cm-1 and the water release at 534 cm-1. Moreover, there were the bands of -CH stretching between 2952 and 2929 and the -CH bending at 1451 cm-1.</w:t>
      </w:r>
    </w:p>
    <w:p w14:paraId="7273D9CB" w14:textId="77777777" w:rsidR="002640DD" w:rsidRPr="00044B9B" w:rsidRDefault="002640DD" w:rsidP="002640DD">
      <w:pPr>
        <w:pStyle w:val="CETBodytext"/>
      </w:pPr>
      <w:r w:rsidRPr="00230275">
        <w:rPr>
          <w:noProof/>
          <w:lang w:val="it-IT" w:eastAsia="it-IT"/>
        </w:rPr>
        <w:drawing>
          <wp:inline distT="0" distB="0" distL="0" distR="0" wp14:anchorId="502E9873" wp14:editId="269B66DE">
            <wp:extent cx="2880000" cy="185084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ido corrett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850843"/>
                    </a:xfrm>
                    <a:prstGeom prst="rect">
                      <a:avLst/>
                    </a:prstGeom>
                  </pic:spPr>
                </pic:pic>
              </a:graphicData>
            </a:graphic>
          </wp:inline>
        </w:drawing>
      </w:r>
    </w:p>
    <w:p w14:paraId="617736E8" w14:textId="2387B188" w:rsidR="007756CF" w:rsidRPr="00044B9B" w:rsidRDefault="007756CF" w:rsidP="007756CF">
      <w:pPr>
        <w:pStyle w:val="CETCaption"/>
        <w:rPr>
          <w:rFonts w:cs="Arial"/>
          <w:lang w:val="en-US"/>
        </w:rPr>
      </w:pPr>
      <w:r w:rsidRPr="00230275">
        <w:rPr>
          <w:rFonts w:cs="Arial"/>
          <w:lang w:val="en-US"/>
        </w:rPr>
        <w:t xml:space="preserve">Figure </w:t>
      </w:r>
      <w:r w:rsidR="00452A18">
        <w:rPr>
          <w:rFonts w:cs="Arial"/>
          <w:lang w:val="en-US"/>
        </w:rPr>
        <w:t>4</w:t>
      </w:r>
      <w:r w:rsidRPr="00230275">
        <w:rPr>
          <w:rFonts w:cs="Arial"/>
          <w:lang w:val="en-US"/>
        </w:rPr>
        <w:t xml:space="preserve">: </w:t>
      </w:r>
      <w:r w:rsidRPr="00044B9B">
        <w:rPr>
          <w:rFonts w:cs="Arial"/>
          <w:lang w:val="en-US"/>
        </w:rPr>
        <w:t>FTIR analysis of solid residue</w:t>
      </w:r>
      <w:r w:rsidR="005B1F14">
        <w:rPr>
          <w:rFonts w:cs="Arial"/>
          <w:lang w:val="en-US"/>
        </w:rPr>
        <w:t xml:space="preserve"> from thermal pyrolysis of</w:t>
      </w:r>
      <w:r w:rsidR="005B1F14" w:rsidRPr="00044B9B">
        <w:rPr>
          <w:rFonts w:cs="Arial"/>
          <w:lang w:val="en-US"/>
        </w:rPr>
        <w:t xml:space="preserve"> </w:t>
      </w:r>
      <w:r w:rsidR="001541A0" w:rsidRPr="00044B9B">
        <w:rPr>
          <w:rFonts w:cs="Arial"/>
          <w:lang w:val="en-US"/>
        </w:rPr>
        <w:t>a) Nylon-6, b) PET, c) PVC, d) PU and e) ELT.</w:t>
      </w:r>
    </w:p>
    <w:p w14:paraId="62DE6530" w14:textId="642C3D26" w:rsidR="008D4B66" w:rsidRPr="00044B9B" w:rsidRDefault="008D4B66" w:rsidP="006A42F5">
      <w:pPr>
        <w:pStyle w:val="CETHeading1"/>
        <w:numPr>
          <w:ilvl w:val="1"/>
          <w:numId w:val="23"/>
        </w:numPr>
      </w:pPr>
      <w:r w:rsidRPr="006A42F5">
        <w:t>Conclusion</w:t>
      </w:r>
    </w:p>
    <w:p w14:paraId="08DCC712" w14:textId="23C343BA" w:rsidR="004C5025" w:rsidRPr="00044B9B" w:rsidRDefault="00C25C25" w:rsidP="008D4B66">
      <w:pPr>
        <w:pStyle w:val="CETBodytext"/>
      </w:pPr>
      <w:r w:rsidRPr="00044B9B">
        <w:t>The thermal pyrolysis of different polymeric residues was performed to investigate the distribution of reaction products and the</w:t>
      </w:r>
      <w:r w:rsidR="004C5025" w:rsidRPr="00044B9B">
        <w:t>ir</w:t>
      </w:r>
      <w:r w:rsidRPr="00044B9B">
        <w:t xml:space="preserve"> characterization. All the polymeric material</w:t>
      </w:r>
      <w:r w:rsidR="006E100A">
        <w:t>s</w:t>
      </w:r>
      <w:r w:rsidRPr="00044B9B">
        <w:t xml:space="preserve"> </w:t>
      </w:r>
      <w:r w:rsidR="00403ECE" w:rsidRPr="00044B9B">
        <w:t xml:space="preserve">widely decomposed during the pyrolysis </w:t>
      </w:r>
      <w:r w:rsidR="001541A0" w:rsidRPr="00044B9B">
        <w:t>at 673 K</w:t>
      </w:r>
      <w:r w:rsidR="00403ECE" w:rsidRPr="00044B9B">
        <w:t xml:space="preserve">. The reaction gases were mainly composed </w:t>
      </w:r>
      <w:r w:rsidR="006E100A">
        <w:t>of</w:t>
      </w:r>
      <w:r w:rsidR="006E100A" w:rsidRPr="00044B9B">
        <w:t xml:space="preserve"> </w:t>
      </w:r>
      <w:r w:rsidR="00403ECE" w:rsidRPr="00044B9B">
        <w:t xml:space="preserve">combustible compounds; thus, they could be used as </w:t>
      </w:r>
      <w:r w:rsidR="006E100A">
        <w:t xml:space="preserve">a </w:t>
      </w:r>
      <w:r w:rsidR="006E100A" w:rsidRPr="00044B9B">
        <w:t>bio</w:t>
      </w:r>
      <w:r w:rsidR="006E100A">
        <w:t>fuel</w:t>
      </w:r>
      <w:r w:rsidR="006E100A" w:rsidRPr="00044B9B">
        <w:t xml:space="preserve"> </w:t>
      </w:r>
      <w:r w:rsidR="00403ECE" w:rsidRPr="00044B9B">
        <w:t xml:space="preserve">to produce energy. </w:t>
      </w:r>
      <w:r w:rsidR="006E100A">
        <w:t>T</w:t>
      </w:r>
      <w:r w:rsidR="00403ECE" w:rsidRPr="00044B9B">
        <w:t xml:space="preserve">he reaction gases </w:t>
      </w:r>
      <w:r w:rsidR="006E100A">
        <w:t>released</w:t>
      </w:r>
      <w:r w:rsidR="006E100A" w:rsidRPr="00044B9B">
        <w:t xml:space="preserve"> </w:t>
      </w:r>
      <w:r w:rsidR="006E100A">
        <w:t>from the pyrolysis of</w:t>
      </w:r>
      <w:r w:rsidR="006E100A" w:rsidRPr="00044B9B">
        <w:t xml:space="preserve"> </w:t>
      </w:r>
      <w:r w:rsidR="00403ECE" w:rsidRPr="00044B9B">
        <w:t xml:space="preserve">PVC, PU and </w:t>
      </w:r>
      <w:r w:rsidR="004C5025" w:rsidRPr="00044B9B">
        <w:t>N</w:t>
      </w:r>
      <w:r w:rsidR="00403ECE" w:rsidRPr="00044B9B">
        <w:t>ylon</w:t>
      </w:r>
      <w:r w:rsidR="004C5025" w:rsidRPr="00044B9B">
        <w:t>-</w:t>
      </w:r>
      <w:r w:rsidR="00403ECE" w:rsidRPr="00044B9B">
        <w:t xml:space="preserve">6 that contained also chlorine and nitrogen, </w:t>
      </w:r>
      <w:r w:rsidR="006E100A">
        <w:t>should</w:t>
      </w:r>
      <w:r w:rsidR="006E100A" w:rsidRPr="00044B9B">
        <w:t xml:space="preserve"> </w:t>
      </w:r>
      <w:r w:rsidR="00403ECE" w:rsidRPr="00044B9B">
        <w:t xml:space="preserve">be purified </w:t>
      </w:r>
      <w:r w:rsidR="006E100A">
        <w:t>to be</w:t>
      </w:r>
      <w:r w:rsidR="00403ECE" w:rsidRPr="00044B9B">
        <w:t xml:space="preserve"> used as </w:t>
      </w:r>
      <w:r w:rsidR="006E100A">
        <w:t>fuel</w:t>
      </w:r>
      <w:r w:rsidR="006E100A" w:rsidRPr="00044B9B">
        <w:t xml:space="preserve"> </w:t>
      </w:r>
      <w:r w:rsidR="001541A0" w:rsidRPr="00044B9B">
        <w:t>gas</w:t>
      </w:r>
      <w:r w:rsidR="006E100A">
        <w:t>es</w:t>
      </w:r>
      <w:r w:rsidR="00403ECE" w:rsidRPr="00044B9B">
        <w:t xml:space="preserve">. </w:t>
      </w:r>
      <w:r w:rsidR="006E100A">
        <w:t>Moreover, m</w:t>
      </w:r>
      <w:r w:rsidR="004C5025" w:rsidRPr="00044B9B">
        <w:t xml:space="preserve">onomers of the </w:t>
      </w:r>
      <w:r w:rsidR="004C5025" w:rsidRPr="00044B9B">
        <w:lastRenderedPageBreak/>
        <w:t>different polymer resid</w:t>
      </w:r>
      <w:r w:rsidR="006E100A">
        <w:t>u</w:t>
      </w:r>
      <w:r w:rsidR="004C5025" w:rsidRPr="00044B9B">
        <w:t xml:space="preserve">es could be recovered from reaction liquids and solid residues. </w:t>
      </w:r>
      <w:r w:rsidR="00444772" w:rsidRPr="00044B9B">
        <w:t>T</w:t>
      </w:r>
      <w:r w:rsidR="004C5025" w:rsidRPr="00044B9B">
        <w:t xml:space="preserve">herefore, thermal pyrolysis </w:t>
      </w:r>
      <w:r w:rsidR="006E100A">
        <w:t xml:space="preserve">would </w:t>
      </w:r>
      <w:r w:rsidR="004C5025" w:rsidRPr="00044B9B">
        <w:t xml:space="preserve">offer a solution to </w:t>
      </w:r>
      <w:r w:rsidR="00444772" w:rsidRPr="00044B9B">
        <w:t>solve the</w:t>
      </w:r>
      <w:r w:rsidR="006E100A">
        <w:t xml:space="preserve"> problem of</w:t>
      </w:r>
      <w:r w:rsidR="00444772" w:rsidRPr="00044B9B">
        <w:t xml:space="preserve"> </w:t>
      </w:r>
      <w:r w:rsidR="004C5025" w:rsidRPr="00044B9B">
        <w:t>plastic waste</w:t>
      </w:r>
      <w:r w:rsidR="00444772" w:rsidRPr="00044B9B">
        <w:t xml:space="preserve"> </w:t>
      </w:r>
      <w:r w:rsidR="006E100A">
        <w:t>accumulation into the environment</w:t>
      </w:r>
      <w:r w:rsidR="004C5025" w:rsidRPr="00044B9B">
        <w:t xml:space="preserve">, producing energy </w:t>
      </w:r>
      <w:r w:rsidR="00444772" w:rsidRPr="00044B9B">
        <w:t xml:space="preserve">through </w:t>
      </w:r>
      <w:r w:rsidR="006E100A">
        <w:t xml:space="preserve">the </w:t>
      </w:r>
      <w:r w:rsidR="004C5025" w:rsidRPr="00044B9B">
        <w:t xml:space="preserve">reaction gases and </w:t>
      </w:r>
      <w:r w:rsidR="006E100A">
        <w:t>allowing for</w:t>
      </w:r>
      <w:r w:rsidR="006E100A" w:rsidRPr="00044B9B">
        <w:t xml:space="preserve"> </w:t>
      </w:r>
      <w:r w:rsidR="004C5025" w:rsidRPr="00044B9B">
        <w:t>monomer recovery from reaction liquids and solid residue.</w:t>
      </w:r>
    </w:p>
    <w:p w14:paraId="18CDAED8" w14:textId="77777777" w:rsidR="00313149" w:rsidRPr="00044B9B" w:rsidRDefault="00313149" w:rsidP="008D4B66">
      <w:pPr>
        <w:pStyle w:val="CETBodytext"/>
      </w:pPr>
    </w:p>
    <w:p w14:paraId="25B95BE1" w14:textId="77777777" w:rsidR="00313149" w:rsidRPr="00044B9B" w:rsidRDefault="00313149" w:rsidP="00313149">
      <w:pPr>
        <w:widowControl w:val="0"/>
        <w:autoSpaceDE w:val="0"/>
        <w:autoSpaceDN w:val="0"/>
        <w:adjustRightInd w:val="0"/>
        <w:spacing w:before="200" w:after="120" w:line="240" w:lineRule="auto"/>
        <w:rPr>
          <w:b/>
          <w:lang w:val="en-US"/>
        </w:rPr>
      </w:pPr>
      <w:r w:rsidRPr="00044B9B">
        <w:rPr>
          <w:b/>
          <w:lang w:val="en-US"/>
        </w:rPr>
        <w:t>References</w:t>
      </w:r>
    </w:p>
    <w:p w14:paraId="53067E2F" w14:textId="14B3E889" w:rsidR="00C95C70" w:rsidRPr="008652B1" w:rsidRDefault="00C95C70" w:rsidP="00FD0BED">
      <w:pPr>
        <w:pStyle w:val="CETReferencetext"/>
        <w:rPr>
          <w:lang w:val="en-US"/>
        </w:rPr>
      </w:pPr>
      <w:r w:rsidRPr="008652B1">
        <w:rPr>
          <w:b/>
          <w:lang w:val="en-US"/>
        </w:rPr>
        <w:fldChar w:fldCharType="begin" w:fldLock="1"/>
      </w:r>
      <w:r w:rsidRPr="008652B1">
        <w:rPr>
          <w:b/>
          <w:lang w:val="en-US"/>
        </w:rPr>
        <w:instrText xml:space="preserve">ADDIN Mendeley Bibliography CSL_BIBLIOGRAPHY </w:instrText>
      </w:r>
      <w:r w:rsidRPr="008652B1">
        <w:rPr>
          <w:b/>
          <w:lang w:val="en-US"/>
        </w:rPr>
        <w:fldChar w:fldCharType="separate"/>
      </w:r>
      <w:r w:rsidRPr="008652B1">
        <w:rPr>
          <w:lang w:val="en-US"/>
        </w:rPr>
        <w:t>Ahn T. O.</w:t>
      </w:r>
      <w:r w:rsidR="00CB14CC" w:rsidRPr="008652B1">
        <w:rPr>
          <w:lang w:val="en-US"/>
        </w:rPr>
        <w:t>, Hon S. C., Jeong, H. M.</w:t>
      </w:r>
      <w:r w:rsidR="008652B1" w:rsidRPr="008652B1">
        <w:rPr>
          <w:lang w:val="en-US"/>
        </w:rPr>
        <w:t xml:space="preserve">, </w:t>
      </w:r>
      <w:r w:rsidR="00CB14CC" w:rsidRPr="008652B1">
        <w:rPr>
          <w:lang w:val="en-US"/>
        </w:rPr>
        <w:t>Kim, J. H.</w:t>
      </w:r>
      <w:r w:rsidR="0047342D" w:rsidRPr="008652B1">
        <w:rPr>
          <w:lang w:val="en-US"/>
        </w:rPr>
        <w:t>,</w:t>
      </w:r>
      <w:r w:rsidR="00CB14CC" w:rsidRPr="008652B1">
        <w:rPr>
          <w:lang w:val="en-US"/>
        </w:rPr>
        <w:t xml:space="preserve"> </w:t>
      </w:r>
      <w:r w:rsidRPr="008652B1">
        <w:rPr>
          <w:lang w:val="en-US"/>
        </w:rPr>
        <w:t>1997</w:t>
      </w:r>
      <w:r w:rsidR="0047342D" w:rsidRPr="008652B1">
        <w:rPr>
          <w:lang w:val="en-US"/>
        </w:rPr>
        <w:t>,</w:t>
      </w:r>
      <w:r w:rsidRPr="008652B1">
        <w:rPr>
          <w:lang w:val="en-US"/>
        </w:rPr>
        <w:t xml:space="preserve"> Nylon 6-polyethersulfone-nylon 6 block copolymer: </w:t>
      </w:r>
      <w:r w:rsidR="00CB14CC" w:rsidRPr="008652B1">
        <w:rPr>
          <w:lang w:val="en-US"/>
        </w:rPr>
        <w:t xml:space="preserve">Synthesis </w:t>
      </w:r>
      <w:r w:rsidRPr="008652B1">
        <w:rPr>
          <w:lang w:val="en-US"/>
        </w:rPr>
        <w:t xml:space="preserve">and application as compatibilizer for polyethersulfone/nylon 6 blend, </w:t>
      </w:r>
      <w:r w:rsidRPr="008652B1">
        <w:rPr>
          <w:iCs/>
          <w:lang w:val="en-US"/>
        </w:rPr>
        <w:t>Polymer</w:t>
      </w:r>
      <w:r w:rsidRPr="008652B1">
        <w:rPr>
          <w:lang w:val="en-US"/>
        </w:rPr>
        <w:t>, 38 207–215.</w:t>
      </w:r>
    </w:p>
    <w:p w14:paraId="3B23BACC" w14:textId="0D296C61" w:rsidR="00C95C70" w:rsidRPr="008652B1" w:rsidRDefault="00C95C70" w:rsidP="00FD0BED">
      <w:pPr>
        <w:pStyle w:val="CETReferencetext"/>
        <w:rPr>
          <w:lang w:val="en-US"/>
        </w:rPr>
      </w:pPr>
      <w:r w:rsidRPr="008652B1">
        <w:rPr>
          <w:lang w:val="en-US"/>
        </w:rPr>
        <w:t>Angelidaki I.</w:t>
      </w:r>
      <w:r w:rsidR="00733E50" w:rsidRPr="008652B1">
        <w:rPr>
          <w:lang w:val="en-US"/>
        </w:rPr>
        <w:t>, Treu L., Tsapekos P., Luo G., Campanaro S., Wenzel H.</w:t>
      </w:r>
      <w:r w:rsidR="0047342D" w:rsidRPr="008652B1">
        <w:rPr>
          <w:lang w:val="en-US"/>
        </w:rPr>
        <w:t xml:space="preserve">, </w:t>
      </w:r>
      <w:r w:rsidR="00733E50" w:rsidRPr="008652B1">
        <w:rPr>
          <w:lang w:val="en-US"/>
        </w:rPr>
        <w:t>Kougias P. G.</w:t>
      </w:r>
      <w:r w:rsidR="0047342D" w:rsidRPr="008652B1">
        <w:rPr>
          <w:lang w:val="en-US"/>
        </w:rPr>
        <w:t xml:space="preserve">, </w:t>
      </w:r>
      <w:r w:rsidRPr="008652B1">
        <w:rPr>
          <w:lang w:val="en-US"/>
        </w:rPr>
        <w:t xml:space="preserve">2018 </w:t>
      </w:r>
      <w:r w:rsidR="0047342D" w:rsidRPr="008652B1">
        <w:rPr>
          <w:lang w:val="en-US"/>
        </w:rPr>
        <w:t>B</w:t>
      </w:r>
      <w:r w:rsidRPr="008652B1">
        <w:rPr>
          <w:lang w:val="en-US"/>
        </w:rPr>
        <w:t xml:space="preserve">iogas upgrading and utilization: Current status and perspectives, </w:t>
      </w:r>
      <w:r w:rsidRPr="008652B1">
        <w:rPr>
          <w:iCs/>
          <w:lang w:val="en-US"/>
        </w:rPr>
        <w:t>Biotechnology Advances</w:t>
      </w:r>
      <w:r w:rsidRPr="008652B1">
        <w:rPr>
          <w:lang w:val="en-US"/>
        </w:rPr>
        <w:t>, 36,</w:t>
      </w:r>
      <w:r w:rsidR="0047342D" w:rsidRPr="008652B1">
        <w:rPr>
          <w:lang w:val="en-US"/>
        </w:rPr>
        <w:t xml:space="preserve"> </w:t>
      </w:r>
      <w:r w:rsidRPr="008652B1">
        <w:rPr>
          <w:lang w:val="en-US"/>
        </w:rPr>
        <w:t xml:space="preserve">452–466. </w:t>
      </w:r>
    </w:p>
    <w:p w14:paraId="304DC5CC" w14:textId="2901EDD2" w:rsidR="0093758E" w:rsidRPr="008652B1" w:rsidRDefault="0093758E" w:rsidP="00FD0BED">
      <w:pPr>
        <w:pStyle w:val="CETReferencetext"/>
        <w:rPr>
          <w:lang w:val="en-US"/>
        </w:rPr>
      </w:pPr>
      <w:r w:rsidRPr="008652B1">
        <w:rPr>
          <w:lang w:val="en-US"/>
        </w:rPr>
        <w:t>Antoniou</w:t>
      </w:r>
      <w:r w:rsidR="0047342D" w:rsidRPr="008652B1">
        <w:rPr>
          <w:lang w:val="en-US"/>
        </w:rPr>
        <w:t xml:space="preserve"> </w:t>
      </w:r>
      <w:r w:rsidRPr="008652B1">
        <w:rPr>
          <w:lang w:val="en-US"/>
        </w:rPr>
        <w:t>N., Zabaniotou A.</w:t>
      </w:r>
      <w:r w:rsidR="0047342D" w:rsidRPr="008652B1">
        <w:rPr>
          <w:lang w:val="en-US"/>
        </w:rPr>
        <w:t xml:space="preserve">, </w:t>
      </w:r>
      <w:r w:rsidRPr="008652B1">
        <w:rPr>
          <w:lang w:val="en-US"/>
        </w:rPr>
        <w:t>2015</w:t>
      </w:r>
      <w:r w:rsidR="0047342D" w:rsidRPr="008652B1">
        <w:rPr>
          <w:lang w:val="en-US"/>
        </w:rPr>
        <w:t>,</w:t>
      </w:r>
      <w:r w:rsidRPr="008652B1">
        <w:rPr>
          <w:lang w:val="en-US"/>
        </w:rPr>
        <w:t xml:space="preserve"> Experimental proof of concept for a sustainable End of Life Tyres pyrolysis with energy and porous material production</w:t>
      </w:r>
      <w:r w:rsidR="0047342D" w:rsidRPr="008652B1">
        <w:rPr>
          <w:lang w:val="en-US"/>
        </w:rPr>
        <w:t xml:space="preserve">, </w:t>
      </w:r>
      <w:r w:rsidRPr="008652B1">
        <w:rPr>
          <w:lang w:val="en-US"/>
        </w:rPr>
        <w:t xml:space="preserve">Journal of Cleaner production, 101, 323-336. </w:t>
      </w:r>
    </w:p>
    <w:p w14:paraId="64C20943" w14:textId="27FF9B95" w:rsidR="00C95C70" w:rsidRPr="008652B1" w:rsidRDefault="00C95C70" w:rsidP="00FD0BED">
      <w:pPr>
        <w:pStyle w:val="CETReferencetext"/>
        <w:rPr>
          <w:lang w:val="en-US"/>
        </w:rPr>
      </w:pPr>
      <w:r w:rsidRPr="008652B1">
        <w:rPr>
          <w:lang w:val="en-US"/>
        </w:rPr>
        <w:t>Bhaskar T.</w:t>
      </w:r>
      <w:r w:rsidR="00733E50" w:rsidRPr="008652B1">
        <w:rPr>
          <w:lang w:val="en-US"/>
        </w:rPr>
        <w:t>, Uddin M. A., Mura K., Kaneko</w:t>
      </w:r>
      <w:r w:rsidR="0047342D" w:rsidRPr="008652B1">
        <w:rPr>
          <w:lang w:val="en-US"/>
        </w:rPr>
        <w:t xml:space="preserve"> </w:t>
      </w:r>
      <w:r w:rsidR="00733E50" w:rsidRPr="008652B1">
        <w:rPr>
          <w:lang w:val="en-US"/>
        </w:rPr>
        <w:t>J., Hamano K., Kusaba T., Muto A.</w:t>
      </w:r>
      <w:r w:rsidR="0047342D" w:rsidRPr="008652B1">
        <w:rPr>
          <w:lang w:val="en-US"/>
        </w:rPr>
        <w:t xml:space="preserve">, </w:t>
      </w:r>
      <w:r w:rsidR="00733E50" w:rsidRPr="008652B1">
        <w:rPr>
          <w:lang w:val="en-US"/>
        </w:rPr>
        <w:t>Sakata Y.</w:t>
      </w:r>
      <w:r w:rsidR="0047342D" w:rsidRPr="008652B1">
        <w:rPr>
          <w:lang w:val="en-US"/>
        </w:rPr>
        <w:t>,</w:t>
      </w:r>
      <w:r w:rsidRPr="008652B1">
        <w:rPr>
          <w:lang w:val="en-US"/>
        </w:rPr>
        <w:t xml:space="preserve"> </w:t>
      </w:r>
      <w:r w:rsidR="0047342D" w:rsidRPr="008652B1">
        <w:rPr>
          <w:lang w:val="en-US"/>
        </w:rPr>
        <w:t>2</w:t>
      </w:r>
      <w:r w:rsidRPr="008652B1">
        <w:rPr>
          <w:lang w:val="en-US"/>
        </w:rPr>
        <w:t xml:space="preserve">003 Comparison of thermal degradation products from real municipal waste plastic and model mixed plastics’, </w:t>
      </w:r>
      <w:r w:rsidR="00733E50" w:rsidRPr="008652B1">
        <w:rPr>
          <w:lang w:val="en-US"/>
        </w:rPr>
        <w:t xml:space="preserve">Journal of Analytical and Applied Pyrolysis, </w:t>
      </w:r>
      <w:r w:rsidRPr="008652B1">
        <w:rPr>
          <w:lang w:val="en-US"/>
        </w:rPr>
        <w:t>70</w:t>
      </w:r>
      <w:r w:rsidR="00733E50" w:rsidRPr="008652B1">
        <w:rPr>
          <w:lang w:val="en-US"/>
        </w:rPr>
        <w:t>(2)</w:t>
      </w:r>
      <w:r w:rsidRPr="008652B1">
        <w:rPr>
          <w:lang w:val="en-US"/>
        </w:rPr>
        <w:t>, 579–587.</w:t>
      </w:r>
    </w:p>
    <w:p w14:paraId="48B0F7B2" w14:textId="717C4B20" w:rsidR="001E397B" w:rsidRPr="008652B1" w:rsidRDefault="001E397B" w:rsidP="00FD0BED">
      <w:pPr>
        <w:pStyle w:val="CETReferencetext"/>
        <w:rPr>
          <w:lang w:val="en-US"/>
        </w:rPr>
      </w:pPr>
      <w:r w:rsidRPr="008652B1">
        <w:rPr>
          <w:lang w:val="en-US"/>
        </w:rPr>
        <w:t>Borsodi N., Miskolczi N., Angyal A., Gerencser A., Lazar I., Bartha L., 2011, Environmental Saving</w:t>
      </w:r>
      <w:r w:rsidR="00C77198" w:rsidRPr="008652B1">
        <w:rPr>
          <w:lang w:val="en-US"/>
        </w:rPr>
        <w:t xml:space="preserve"> </w:t>
      </w:r>
      <w:r w:rsidRPr="008652B1">
        <w:rPr>
          <w:lang w:val="en-US"/>
        </w:rPr>
        <w:t>Disposal of Contaminated Plastics Wastes by Their Pyrolysis, Chemical Engineering Transactions, 24,1183-1188.</w:t>
      </w:r>
    </w:p>
    <w:p w14:paraId="02EA316D" w14:textId="2C3F8CB3" w:rsidR="00C95C70" w:rsidRPr="008652B1" w:rsidRDefault="00C95C70" w:rsidP="00FD0BED">
      <w:pPr>
        <w:pStyle w:val="CETReferencetext"/>
        <w:rPr>
          <w:lang w:val="en-US"/>
        </w:rPr>
      </w:pPr>
      <w:r w:rsidRPr="008652B1">
        <w:rPr>
          <w:lang w:val="en-US"/>
        </w:rPr>
        <w:t>Czernik S.</w:t>
      </w:r>
      <w:r w:rsidR="00733E50" w:rsidRPr="008652B1">
        <w:rPr>
          <w:lang w:val="en-US"/>
        </w:rPr>
        <w:t>, Elam,C. C</w:t>
      </w:r>
      <w:r w:rsidR="0047342D" w:rsidRPr="008652B1">
        <w:rPr>
          <w:lang w:val="en-US"/>
        </w:rPr>
        <w:t>.,</w:t>
      </w:r>
      <w:r w:rsidR="00733E50" w:rsidRPr="008652B1">
        <w:rPr>
          <w:lang w:val="en-US"/>
        </w:rPr>
        <w:t xml:space="preserve"> Evans R. J., Meglen R. R., Moens L.</w:t>
      </w:r>
      <w:r w:rsidR="0047342D" w:rsidRPr="008652B1">
        <w:rPr>
          <w:lang w:val="en-US"/>
        </w:rPr>
        <w:t xml:space="preserve">, </w:t>
      </w:r>
      <w:r w:rsidR="00733E50" w:rsidRPr="008652B1">
        <w:rPr>
          <w:lang w:val="en-US"/>
        </w:rPr>
        <w:t>Tatsumoto K.</w:t>
      </w:r>
      <w:r w:rsidR="0047342D" w:rsidRPr="008652B1">
        <w:rPr>
          <w:lang w:val="en-US"/>
        </w:rPr>
        <w:t>,</w:t>
      </w:r>
      <w:r w:rsidRPr="008652B1">
        <w:rPr>
          <w:lang w:val="en-US"/>
        </w:rPr>
        <w:t xml:space="preserve"> 1998</w:t>
      </w:r>
      <w:r w:rsidR="0047342D" w:rsidRPr="008652B1">
        <w:rPr>
          <w:lang w:val="en-US"/>
        </w:rPr>
        <w:t>,</w:t>
      </w:r>
      <w:r w:rsidRPr="008652B1">
        <w:rPr>
          <w:lang w:val="en-US"/>
        </w:rPr>
        <w:t xml:space="preserve"> Catalytic pyrolysis of nylon-6 to recover caprolactam, </w:t>
      </w:r>
      <w:r w:rsidR="00733E50" w:rsidRPr="008652B1">
        <w:rPr>
          <w:lang w:val="en-US"/>
        </w:rPr>
        <w:t xml:space="preserve">Journal of Analytical and Applied Pyrolysis, </w:t>
      </w:r>
      <w:r w:rsidRPr="008652B1">
        <w:rPr>
          <w:lang w:val="en-US"/>
        </w:rPr>
        <w:t>46, 51–64.</w:t>
      </w:r>
      <w:r w:rsidR="00733E50" w:rsidRPr="008652B1">
        <w:rPr>
          <w:lang w:val="en-US"/>
        </w:rPr>
        <w:t xml:space="preserve"> </w:t>
      </w:r>
    </w:p>
    <w:p w14:paraId="01A957F8" w14:textId="7FADEA9E" w:rsidR="00C95C70" w:rsidRPr="008652B1" w:rsidRDefault="00C95C70" w:rsidP="00FD0BED">
      <w:pPr>
        <w:pStyle w:val="CETReferencetext"/>
        <w:rPr>
          <w:lang w:val="en-US"/>
        </w:rPr>
      </w:pPr>
      <w:r w:rsidRPr="008652B1">
        <w:rPr>
          <w:lang w:val="en-US"/>
        </w:rPr>
        <w:t>Grause G.</w:t>
      </w:r>
      <w:r w:rsidR="005503BE" w:rsidRPr="008652B1">
        <w:rPr>
          <w:lang w:val="en-US"/>
        </w:rPr>
        <w:t>, Handa T., Kameda T., Mizoguchi T.</w:t>
      </w:r>
      <w:r w:rsidR="0047342D" w:rsidRPr="008652B1">
        <w:rPr>
          <w:lang w:val="en-US"/>
        </w:rPr>
        <w:t>,</w:t>
      </w:r>
      <w:r w:rsidR="005503BE" w:rsidRPr="008652B1">
        <w:t xml:space="preserve"> </w:t>
      </w:r>
      <w:r w:rsidR="005503BE" w:rsidRPr="008652B1">
        <w:rPr>
          <w:lang w:val="en-US"/>
        </w:rPr>
        <w:t>Yoshioka, T.</w:t>
      </w:r>
      <w:r w:rsidR="0047342D" w:rsidRPr="008652B1">
        <w:rPr>
          <w:lang w:val="en-US"/>
        </w:rPr>
        <w:t>,</w:t>
      </w:r>
      <w:r w:rsidR="005503BE" w:rsidRPr="008652B1">
        <w:rPr>
          <w:lang w:val="en-US"/>
        </w:rPr>
        <w:t xml:space="preserve"> </w:t>
      </w:r>
      <w:r w:rsidRPr="008652B1">
        <w:rPr>
          <w:lang w:val="en-US"/>
        </w:rPr>
        <w:t>2011</w:t>
      </w:r>
      <w:r w:rsidR="0047342D" w:rsidRPr="008652B1">
        <w:rPr>
          <w:lang w:val="en-US"/>
        </w:rPr>
        <w:t>,</w:t>
      </w:r>
      <w:r w:rsidRPr="008652B1">
        <w:rPr>
          <w:lang w:val="en-US"/>
        </w:rPr>
        <w:t xml:space="preserve"> Effect of temperature management on the hydrolytic degradation of PET in a calcium oxide filled tube reactor, </w:t>
      </w:r>
      <w:r w:rsidR="005503BE" w:rsidRPr="008652B1">
        <w:rPr>
          <w:lang w:val="en-US"/>
        </w:rPr>
        <w:t xml:space="preserve">The </w:t>
      </w:r>
      <w:r w:rsidRPr="008652B1">
        <w:rPr>
          <w:iCs/>
          <w:lang w:val="en-US"/>
        </w:rPr>
        <w:t>Chemical Engineering Journal</w:t>
      </w:r>
      <w:r w:rsidRPr="008652B1">
        <w:rPr>
          <w:lang w:val="en-US"/>
        </w:rPr>
        <w:t xml:space="preserve">, 166(2), 523–528. </w:t>
      </w:r>
    </w:p>
    <w:p w14:paraId="58A086CE" w14:textId="551F0F6F" w:rsidR="00C95C70" w:rsidRPr="008652B1" w:rsidRDefault="00C95C70" w:rsidP="00FD0BED">
      <w:pPr>
        <w:pStyle w:val="CETReferencetext"/>
        <w:rPr>
          <w:lang w:val="en-US"/>
        </w:rPr>
      </w:pPr>
      <w:r w:rsidRPr="008652B1">
        <w:rPr>
          <w:lang w:val="en-US"/>
        </w:rPr>
        <w:t>Karayildirim T.</w:t>
      </w:r>
      <w:r w:rsidR="005B6048" w:rsidRPr="008652B1">
        <w:rPr>
          <w:lang w:val="en-US"/>
        </w:rPr>
        <w:t>, Janik J., Yuksel M., Saglam M</w:t>
      </w:r>
      <w:r w:rsidR="0047342D" w:rsidRPr="008652B1">
        <w:rPr>
          <w:lang w:val="en-US"/>
        </w:rPr>
        <w:t>.</w:t>
      </w:r>
      <w:r w:rsidR="005B6048" w:rsidRPr="008652B1">
        <w:rPr>
          <w:lang w:val="en-US"/>
        </w:rPr>
        <w:t>, Vasile C.</w:t>
      </w:r>
      <w:r w:rsidR="0047342D" w:rsidRPr="008652B1">
        <w:rPr>
          <w:lang w:val="en-US"/>
        </w:rPr>
        <w:t>,</w:t>
      </w:r>
      <w:r w:rsidR="005B6048" w:rsidRPr="008652B1">
        <w:rPr>
          <w:lang w:val="en-US"/>
        </w:rPr>
        <w:t xml:space="preserve"> Bockhorn H.</w:t>
      </w:r>
      <w:r w:rsidR="0047342D" w:rsidRPr="008652B1">
        <w:rPr>
          <w:lang w:val="en-US"/>
        </w:rPr>
        <w:t>,</w:t>
      </w:r>
      <w:r w:rsidRPr="008652B1">
        <w:rPr>
          <w:lang w:val="en-US"/>
        </w:rPr>
        <w:t xml:space="preserve"> 2006</w:t>
      </w:r>
      <w:r w:rsidR="0047342D" w:rsidRPr="008652B1">
        <w:rPr>
          <w:lang w:val="en-US"/>
        </w:rPr>
        <w:t>,</w:t>
      </w:r>
      <w:r w:rsidRPr="008652B1">
        <w:rPr>
          <w:lang w:val="en-US"/>
        </w:rPr>
        <w:t xml:space="preserve"> The effect of some fillers on PVC degradation’, </w:t>
      </w:r>
      <w:r w:rsidR="005B6048" w:rsidRPr="008652B1">
        <w:rPr>
          <w:lang w:val="en-US"/>
        </w:rPr>
        <w:t>Journal of Analytical and Applied Pyrolysis</w:t>
      </w:r>
      <w:r w:rsidR="0047342D" w:rsidRPr="008652B1">
        <w:rPr>
          <w:lang w:val="en-US"/>
        </w:rPr>
        <w:t>,</w:t>
      </w:r>
      <w:r w:rsidR="005B6048" w:rsidRPr="008652B1">
        <w:rPr>
          <w:lang w:val="en-US"/>
        </w:rPr>
        <w:t xml:space="preserve"> </w:t>
      </w:r>
      <w:r w:rsidRPr="008652B1">
        <w:rPr>
          <w:lang w:val="en-US"/>
        </w:rPr>
        <w:t>75</w:t>
      </w:r>
      <w:r w:rsidR="005B6048" w:rsidRPr="008652B1">
        <w:rPr>
          <w:lang w:val="en-US"/>
        </w:rPr>
        <w:t>(2)</w:t>
      </w:r>
      <w:r w:rsidRPr="008652B1">
        <w:rPr>
          <w:lang w:val="en-US"/>
        </w:rPr>
        <w:t xml:space="preserve">, 12–119. </w:t>
      </w:r>
    </w:p>
    <w:p w14:paraId="21607224" w14:textId="33178F2B" w:rsidR="00C95C70" w:rsidRPr="008652B1" w:rsidRDefault="00C95C70" w:rsidP="00FD0BED">
      <w:pPr>
        <w:pStyle w:val="CETReferencetext"/>
        <w:rPr>
          <w:lang w:val="en-US"/>
        </w:rPr>
      </w:pPr>
      <w:r w:rsidRPr="008652B1">
        <w:rPr>
          <w:lang w:val="en-US"/>
        </w:rPr>
        <w:t>Lim H., Kim S. H.</w:t>
      </w:r>
      <w:r w:rsidR="0047342D" w:rsidRPr="008652B1">
        <w:rPr>
          <w:lang w:val="en-US"/>
        </w:rPr>
        <w:t xml:space="preserve">, </w:t>
      </w:r>
      <w:r w:rsidRPr="008652B1">
        <w:rPr>
          <w:lang w:val="en-US"/>
        </w:rPr>
        <w:t>Kim, B. K.</w:t>
      </w:r>
      <w:r w:rsidR="0047342D" w:rsidRPr="008652B1">
        <w:rPr>
          <w:lang w:val="en-US"/>
        </w:rPr>
        <w:t>,</w:t>
      </w:r>
      <w:r w:rsidRPr="008652B1">
        <w:rPr>
          <w:lang w:val="en-US"/>
        </w:rPr>
        <w:t xml:space="preserve"> 2008</w:t>
      </w:r>
      <w:r w:rsidR="0047342D" w:rsidRPr="008652B1">
        <w:rPr>
          <w:lang w:val="en-US"/>
        </w:rPr>
        <w:t>,</w:t>
      </w:r>
      <w:r w:rsidRPr="008652B1">
        <w:rPr>
          <w:lang w:val="en-US"/>
        </w:rPr>
        <w:t xml:space="preserve"> Effects of silicon surfactant in rigid polyurethane foams, </w:t>
      </w:r>
      <w:r w:rsidR="005B6048" w:rsidRPr="008652B1">
        <w:rPr>
          <w:lang w:val="en-US"/>
        </w:rPr>
        <w:t xml:space="preserve">Express Polymer Letters, </w:t>
      </w:r>
      <w:r w:rsidRPr="008652B1">
        <w:rPr>
          <w:lang w:val="en-US"/>
        </w:rPr>
        <w:t>2(3), 194–200.</w:t>
      </w:r>
    </w:p>
    <w:p w14:paraId="0C07A433" w14:textId="67C8D400" w:rsidR="00C95C70" w:rsidRPr="008652B1" w:rsidRDefault="00C95C70" w:rsidP="00FD0BED">
      <w:pPr>
        <w:pStyle w:val="CETReferencetext"/>
        <w:rPr>
          <w:lang w:val="en-US"/>
        </w:rPr>
      </w:pPr>
      <w:r w:rsidRPr="008652B1">
        <w:rPr>
          <w:lang w:val="en-US"/>
        </w:rPr>
        <w:t>López A.</w:t>
      </w:r>
      <w:r w:rsidR="005B6048" w:rsidRPr="008652B1">
        <w:rPr>
          <w:lang w:val="en-US"/>
        </w:rPr>
        <w:t>, de Marco I., Caballero B. M., Laresgoiti M. F.</w:t>
      </w:r>
      <w:r w:rsidR="0047342D" w:rsidRPr="008652B1">
        <w:rPr>
          <w:lang w:val="en-US"/>
        </w:rPr>
        <w:t xml:space="preserve">, </w:t>
      </w:r>
      <w:r w:rsidR="005B6048" w:rsidRPr="008652B1">
        <w:rPr>
          <w:lang w:val="en-US"/>
        </w:rPr>
        <w:t>Adrados A.</w:t>
      </w:r>
      <w:r w:rsidR="0047342D" w:rsidRPr="008652B1">
        <w:rPr>
          <w:lang w:val="en-US"/>
        </w:rPr>
        <w:t>,</w:t>
      </w:r>
      <w:r w:rsidRPr="008652B1">
        <w:rPr>
          <w:lang w:val="en-US"/>
        </w:rPr>
        <w:t xml:space="preserve"> 2010</w:t>
      </w:r>
      <w:r w:rsidR="0047342D" w:rsidRPr="008652B1">
        <w:rPr>
          <w:lang w:val="en-US"/>
        </w:rPr>
        <w:t>,</w:t>
      </w:r>
      <w:r w:rsidRPr="008652B1">
        <w:rPr>
          <w:lang w:val="en-US"/>
        </w:rPr>
        <w:t xml:space="preserve"> Pyrolysis of municipal plastic wastes: Influence of raw material composition, </w:t>
      </w:r>
      <w:r w:rsidRPr="008652B1">
        <w:rPr>
          <w:iCs/>
          <w:lang w:val="en-US"/>
        </w:rPr>
        <w:t>Waste Management</w:t>
      </w:r>
      <w:r w:rsidRPr="008652B1">
        <w:rPr>
          <w:lang w:val="en-US"/>
        </w:rPr>
        <w:t>, 30(4),</w:t>
      </w:r>
      <w:r w:rsidR="0047342D" w:rsidRPr="008652B1">
        <w:rPr>
          <w:lang w:val="en-US"/>
        </w:rPr>
        <w:t xml:space="preserve"> </w:t>
      </w:r>
      <w:r w:rsidRPr="008652B1">
        <w:rPr>
          <w:lang w:val="en-US"/>
        </w:rPr>
        <w:t xml:space="preserve">620–627. </w:t>
      </w:r>
    </w:p>
    <w:p w14:paraId="1C32F931" w14:textId="3EFE4842" w:rsidR="00C95C70" w:rsidRPr="008652B1" w:rsidRDefault="00C95C70" w:rsidP="00FD0BED">
      <w:pPr>
        <w:pStyle w:val="CETReferencetext"/>
        <w:rPr>
          <w:lang w:val="en-US"/>
        </w:rPr>
      </w:pPr>
      <w:r w:rsidRPr="008652B1">
        <w:rPr>
          <w:lang w:val="en-US"/>
        </w:rPr>
        <w:t>Perugini F.</w:t>
      </w:r>
      <w:r w:rsidR="0047342D" w:rsidRPr="008652B1">
        <w:rPr>
          <w:lang w:val="en-US"/>
        </w:rPr>
        <w:t>,</w:t>
      </w:r>
      <w:r w:rsidRPr="008652B1">
        <w:rPr>
          <w:lang w:val="en-US"/>
        </w:rPr>
        <w:t xml:space="preserve"> Vivaldi V.</w:t>
      </w:r>
      <w:r w:rsidR="0047342D" w:rsidRPr="008652B1">
        <w:rPr>
          <w:lang w:val="en-US"/>
        </w:rPr>
        <w:t xml:space="preserve">, </w:t>
      </w:r>
      <w:r w:rsidRPr="008652B1">
        <w:rPr>
          <w:lang w:val="en-US"/>
        </w:rPr>
        <w:t>2003</w:t>
      </w:r>
      <w:r w:rsidR="0047342D" w:rsidRPr="008652B1">
        <w:rPr>
          <w:lang w:val="en-US"/>
        </w:rPr>
        <w:t>,</w:t>
      </w:r>
      <w:r w:rsidRPr="008652B1">
        <w:rPr>
          <w:lang w:val="en-US"/>
        </w:rPr>
        <w:t xml:space="preserve"> Life Cycle </w:t>
      </w:r>
      <w:r w:rsidR="008652B1">
        <w:rPr>
          <w:lang w:val="en-US"/>
        </w:rPr>
        <w:t>A</w:t>
      </w:r>
      <w:r w:rsidR="008652B1" w:rsidRPr="008652B1">
        <w:rPr>
          <w:lang w:val="en-US"/>
        </w:rPr>
        <w:t>ssessment of a plastic packaging recycling system</w:t>
      </w:r>
      <w:r w:rsidRPr="008652B1">
        <w:rPr>
          <w:lang w:val="en-US"/>
        </w:rPr>
        <w:t xml:space="preserve">, </w:t>
      </w:r>
      <w:r w:rsidR="005B6048" w:rsidRPr="008652B1">
        <w:rPr>
          <w:lang w:val="en-US"/>
        </w:rPr>
        <w:t xml:space="preserve">The International Journal of Life Cycle Assessment, </w:t>
      </w:r>
      <w:r w:rsidRPr="008652B1">
        <w:rPr>
          <w:lang w:val="en-US"/>
        </w:rPr>
        <w:t>8, 92.</w:t>
      </w:r>
    </w:p>
    <w:p w14:paraId="6A8E9D46" w14:textId="4AE0990A" w:rsidR="00C95C70" w:rsidRPr="008652B1" w:rsidRDefault="00C95C70" w:rsidP="00FD0BED">
      <w:pPr>
        <w:pStyle w:val="CETReferencetext"/>
        <w:rPr>
          <w:lang w:val="en-US"/>
        </w:rPr>
      </w:pPr>
      <w:r w:rsidRPr="008652B1">
        <w:rPr>
          <w:lang w:val="en-US"/>
        </w:rPr>
        <w:t>Pinto F.</w:t>
      </w:r>
      <w:r w:rsidR="005B6048" w:rsidRPr="008652B1">
        <w:rPr>
          <w:lang w:val="en-US"/>
        </w:rPr>
        <w:t>, Costa P., Gulyurtlu I.</w:t>
      </w:r>
      <w:r w:rsidR="0047342D" w:rsidRPr="008652B1">
        <w:rPr>
          <w:lang w:val="en-US"/>
        </w:rPr>
        <w:t xml:space="preserve">, </w:t>
      </w:r>
      <w:r w:rsidR="005B6048" w:rsidRPr="008652B1">
        <w:rPr>
          <w:lang w:val="en-US"/>
        </w:rPr>
        <w:t>Cabrita</w:t>
      </w:r>
      <w:r w:rsidR="0047342D" w:rsidRPr="008652B1">
        <w:rPr>
          <w:lang w:val="en-US"/>
        </w:rPr>
        <w:t xml:space="preserve"> </w:t>
      </w:r>
      <w:r w:rsidR="005B6048" w:rsidRPr="008652B1">
        <w:rPr>
          <w:lang w:val="en-US"/>
        </w:rPr>
        <w:t>I.</w:t>
      </w:r>
      <w:r w:rsidR="0047342D" w:rsidRPr="008652B1">
        <w:rPr>
          <w:lang w:val="en-US"/>
        </w:rPr>
        <w:t>,</w:t>
      </w:r>
      <w:r w:rsidRPr="008652B1">
        <w:rPr>
          <w:lang w:val="en-US"/>
        </w:rPr>
        <w:t xml:space="preserve"> 1999</w:t>
      </w:r>
      <w:r w:rsidR="0047342D" w:rsidRPr="008652B1">
        <w:rPr>
          <w:lang w:val="en-US"/>
        </w:rPr>
        <w:t xml:space="preserve">, </w:t>
      </w:r>
      <w:r w:rsidRPr="008652B1">
        <w:rPr>
          <w:lang w:val="en-US"/>
        </w:rPr>
        <w:t>Pyrolysis of plastic wastes</w:t>
      </w:r>
      <w:r w:rsidR="0047342D" w:rsidRPr="008652B1">
        <w:rPr>
          <w:lang w:val="en-US"/>
        </w:rPr>
        <w:t>,</w:t>
      </w:r>
      <w:r w:rsidR="008652B1">
        <w:rPr>
          <w:lang w:val="en-US"/>
        </w:rPr>
        <w:t xml:space="preserve"> e</w:t>
      </w:r>
      <w:r w:rsidRPr="008652B1">
        <w:rPr>
          <w:lang w:val="en-US"/>
        </w:rPr>
        <w:t xml:space="preserve">ffect of plastic waste composition on product yield, </w:t>
      </w:r>
      <w:r w:rsidR="005B6048" w:rsidRPr="008652B1">
        <w:rPr>
          <w:lang w:val="en-US"/>
        </w:rPr>
        <w:t xml:space="preserve">Journal of Analytical and Applied Pyrolysis, </w:t>
      </w:r>
      <w:r w:rsidRPr="008652B1">
        <w:rPr>
          <w:lang w:val="en-US"/>
        </w:rPr>
        <w:t>51</w:t>
      </w:r>
      <w:r w:rsidR="005B6048" w:rsidRPr="008652B1">
        <w:rPr>
          <w:lang w:val="en-US"/>
        </w:rPr>
        <w:t>(1-2)</w:t>
      </w:r>
      <w:r w:rsidRPr="008652B1">
        <w:rPr>
          <w:lang w:val="en-US"/>
        </w:rPr>
        <w:t>, 39–55.</w:t>
      </w:r>
    </w:p>
    <w:p w14:paraId="4B385FE9" w14:textId="0FB0625B" w:rsidR="007173C4" w:rsidRPr="008652B1" w:rsidRDefault="007173C4" w:rsidP="00FD0BED">
      <w:pPr>
        <w:pStyle w:val="CETReferencetext"/>
        <w:rPr>
          <w:lang w:val="en-US"/>
        </w:rPr>
      </w:pPr>
      <w:r w:rsidRPr="008652B1">
        <w:rPr>
          <w:lang w:val="en-US"/>
        </w:rPr>
        <w:t>Romero</w:t>
      </w:r>
      <w:r w:rsidR="00DA7E76" w:rsidRPr="008652B1">
        <w:rPr>
          <w:lang w:val="en-US"/>
        </w:rPr>
        <w:t xml:space="preserve"> M., Pizzi M., Toscano G., Casazza</w:t>
      </w:r>
      <w:r w:rsidR="0047342D" w:rsidRPr="008652B1">
        <w:rPr>
          <w:lang w:val="en-US"/>
        </w:rPr>
        <w:t xml:space="preserve"> </w:t>
      </w:r>
      <w:r w:rsidR="00DA7E76" w:rsidRPr="008652B1">
        <w:rPr>
          <w:lang w:val="en-US"/>
        </w:rPr>
        <w:t>A. A., Busca G., Bosio B., Arato E.</w:t>
      </w:r>
      <w:r w:rsidR="0047342D" w:rsidRPr="008652B1">
        <w:rPr>
          <w:lang w:val="en-US"/>
        </w:rPr>
        <w:t>,</w:t>
      </w:r>
      <w:r w:rsidR="00DA7E76" w:rsidRPr="008652B1">
        <w:rPr>
          <w:lang w:val="en-US"/>
        </w:rPr>
        <w:t xml:space="preserve"> 2018</w:t>
      </w:r>
      <w:r w:rsidR="0047342D" w:rsidRPr="008652B1">
        <w:rPr>
          <w:lang w:val="en-US"/>
        </w:rPr>
        <w:t xml:space="preserve">, </w:t>
      </w:r>
      <w:r w:rsidR="00DA7E76" w:rsidRPr="008652B1">
        <w:rPr>
          <w:lang w:val="en-US"/>
        </w:rPr>
        <w:t xml:space="preserve">Deoxygenation of non-edible vegetable oil to produce hydrocarbons over Mg-Al mixed oxides, </w:t>
      </w:r>
      <w:r w:rsidR="00DA7E76" w:rsidRPr="008652B1">
        <w:t>Chemical Engineering Transactions 64</w:t>
      </w:r>
      <w:r w:rsidR="00CD1EB3" w:rsidRPr="008652B1">
        <w:t xml:space="preserve">, </w:t>
      </w:r>
      <w:r w:rsidR="00DA7E76" w:rsidRPr="008652B1">
        <w:t>121-126</w:t>
      </w:r>
      <w:r w:rsidR="008652B1">
        <w:t>.</w:t>
      </w:r>
    </w:p>
    <w:p w14:paraId="525BE081" w14:textId="77777777" w:rsidR="0058584F" w:rsidRDefault="00C95C70" w:rsidP="00FD0BED">
      <w:pPr>
        <w:pStyle w:val="CETReferencetext"/>
        <w:rPr>
          <w:lang w:val="en-US"/>
        </w:rPr>
      </w:pPr>
      <w:r w:rsidRPr="008652B1">
        <w:rPr>
          <w:lang w:val="en-US"/>
        </w:rPr>
        <w:t>Sah, M. C., Kabir M. E. and Jeelani S.</w:t>
      </w:r>
      <w:r w:rsidR="00CD1EB3" w:rsidRPr="008652B1">
        <w:rPr>
          <w:lang w:val="en-US"/>
        </w:rPr>
        <w:t>,</w:t>
      </w:r>
      <w:r w:rsidRPr="008652B1">
        <w:rPr>
          <w:lang w:val="en-US"/>
        </w:rPr>
        <w:t xml:space="preserve"> 2008</w:t>
      </w:r>
      <w:r w:rsidR="00CD1EB3" w:rsidRPr="008652B1">
        <w:rPr>
          <w:lang w:val="en-US"/>
        </w:rPr>
        <w:t>,</w:t>
      </w:r>
      <w:r w:rsidRPr="008652B1">
        <w:rPr>
          <w:lang w:val="en-US"/>
        </w:rPr>
        <w:t xml:space="preserve"> Enhancement in thermal and mechanical properties of polyurethane foam infused with nanoparticles, </w:t>
      </w:r>
      <w:r w:rsidRPr="008652B1">
        <w:rPr>
          <w:iCs/>
          <w:lang w:val="en-US"/>
        </w:rPr>
        <w:t>Materials Science and Engineering</w:t>
      </w:r>
      <w:r w:rsidRPr="008652B1">
        <w:rPr>
          <w:lang w:val="en-US"/>
        </w:rPr>
        <w:t>, 479(1–2), 213–222.</w:t>
      </w:r>
    </w:p>
    <w:p w14:paraId="7C34636A" w14:textId="33B9AD0D" w:rsidR="00C95C70" w:rsidRPr="008652B1" w:rsidRDefault="0058584F" w:rsidP="0058584F">
      <w:pPr>
        <w:pStyle w:val="CETReferencetext"/>
        <w:rPr>
          <w:lang w:val="en-US"/>
        </w:rPr>
      </w:pPr>
      <w:r w:rsidRPr="008652B1">
        <w:rPr>
          <w:lang w:val="en-US"/>
        </w:rPr>
        <w:t xml:space="preserve">Sharuddin S. D. A., Abnisa F., Wan Daud W. M. A., Aroua M. K., 2016, A review on pyrolysis of plastic wastes, </w:t>
      </w:r>
      <w:r w:rsidRPr="008652B1">
        <w:rPr>
          <w:iCs/>
          <w:lang w:val="en-US"/>
        </w:rPr>
        <w:t>Energy Conversion and Management</w:t>
      </w:r>
      <w:r w:rsidRPr="008652B1">
        <w:rPr>
          <w:lang w:val="en-US"/>
        </w:rPr>
        <w:t>, 115, 308–326.</w:t>
      </w:r>
      <w:r w:rsidR="00C95C70" w:rsidRPr="008652B1">
        <w:rPr>
          <w:lang w:val="en-US"/>
        </w:rPr>
        <w:t xml:space="preserve"> </w:t>
      </w:r>
    </w:p>
    <w:p w14:paraId="00D6C350" w14:textId="5DC3017C" w:rsidR="00C95C70" w:rsidRPr="008652B1" w:rsidRDefault="00C95C70" w:rsidP="00FD0BED">
      <w:pPr>
        <w:pStyle w:val="CETReferencetext"/>
        <w:rPr>
          <w:lang w:val="en-US"/>
        </w:rPr>
      </w:pPr>
      <w:r w:rsidRPr="008652B1">
        <w:rPr>
          <w:lang w:val="en-US"/>
        </w:rPr>
        <w:t>Williams E. A.</w:t>
      </w:r>
      <w:r w:rsidR="00CD1EB3" w:rsidRPr="008652B1">
        <w:rPr>
          <w:lang w:val="en-US"/>
        </w:rPr>
        <w:t xml:space="preserve">, </w:t>
      </w:r>
      <w:r w:rsidRPr="008652B1">
        <w:rPr>
          <w:lang w:val="en-US"/>
        </w:rPr>
        <w:t>Williams, P. T.</w:t>
      </w:r>
      <w:r w:rsidR="00CD1EB3" w:rsidRPr="008652B1">
        <w:rPr>
          <w:lang w:val="en-US"/>
        </w:rPr>
        <w:t>,</w:t>
      </w:r>
      <w:r w:rsidRPr="008652B1">
        <w:rPr>
          <w:lang w:val="en-US"/>
        </w:rPr>
        <w:t>1997</w:t>
      </w:r>
      <w:r w:rsidR="00CD1EB3" w:rsidRPr="008652B1">
        <w:rPr>
          <w:lang w:val="en-US"/>
        </w:rPr>
        <w:t>,</w:t>
      </w:r>
      <w:r w:rsidRPr="008652B1">
        <w:rPr>
          <w:lang w:val="en-US"/>
        </w:rPr>
        <w:t xml:space="preserve"> Analysis of products derived from the fast pyrolysis of plastic waste, </w:t>
      </w:r>
      <w:r w:rsidR="006E100A" w:rsidRPr="008652B1">
        <w:rPr>
          <w:lang w:val="en-US"/>
        </w:rPr>
        <w:t>Journal of Analytical and Applied Pyrolysis</w:t>
      </w:r>
      <w:r w:rsidR="005B6048" w:rsidRPr="008652B1">
        <w:rPr>
          <w:lang w:val="en-US"/>
        </w:rPr>
        <w:t>,</w:t>
      </w:r>
      <w:r w:rsidR="006E100A" w:rsidRPr="008652B1">
        <w:rPr>
          <w:lang w:val="en-US"/>
        </w:rPr>
        <w:t xml:space="preserve"> </w:t>
      </w:r>
      <w:r w:rsidR="005B6048" w:rsidRPr="008652B1">
        <w:rPr>
          <w:lang w:val="en-US"/>
        </w:rPr>
        <w:t>40-</w:t>
      </w:r>
      <w:r w:rsidRPr="008652B1">
        <w:rPr>
          <w:lang w:val="en-US"/>
        </w:rPr>
        <w:t>41, 347–363.</w:t>
      </w:r>
      <w:r w:rsidR="005B6048" w:rsidRPr="008652B1">
        <w:rPr>
          <w:lang w:val="en-US"/>
        </w:rPr>
        <w:t xml:space="preserve"> </w:t>
      </w:r>
    </w:p>
    <w:p w14:paraId="4A0F7375" w14:textId="54EC7E26" w:rsidR="00C95C70" w:rsidRPr="008652B1" w:rsidRDefault="00C95C70" w:rsidP="00FD0BED">
      <w:pPr>
        <w:pStyle w:val="CETReferencetext"/>
        <w:rPr>
          <w:lang w:val="en-US"/>
        </w:rPr>
      </w:pPr>
      <w:r w:rsidRPr="008652B1">
        <w:rPr>
          <w:lang w:val="en-US"/>
        </w:rPr>
        <w:t>Xu J.</w:t>
      </w:r>
      <w:r w:rsidR="00CD1EB3" w:rsidRPr="008652B1">
        <w:rPr>
          <w:lang w:val="en-US"/>
        </w:rPr>
        <w:t xml:space="preserve">, </w:t>
      </w:r>
      <w:r w:rsidRPr="008652B1">
        <w:rPr>
          <w:lang w:val="en-US"/>
        </w:rPr>
        <w:t>Xu, Z. L.</w:t>
      </w:r>
      <w:r w:rsidR="00CD1EB3" w:rsidRPr="008652B1">
        <w:rPr>
          <w:lang w:val="en-US"/>
        </w:rPr>
        <w:t>,</w:t>
      </w:r>
      <w:r w:rsidRPr="008652B1">
        <w:rPr>
          <w:lang w:val="en-US"/>
        </w:rPr>
        <w:t xml:space="preserve"> 2002</w:t>
      </w:r>
      <w:r w:rsidR="00CD1EB3" w:rsidRPr="008652B1">
        <w:rPr>
          <w:lang w:val="en-US"/>
        </w:rPr>
        <w:t>,</w:t>
      </w:r>
      <w:r w:rsidRPr="008652B1">
        <w:rPr>
          <w:lang w:val="en-US"/>
        </w:rPr>
        <w:t xml:space="preserve"> Poly(vinyl chloride) (PVC) hollow fiber ultrafiltration membranes prepared from PVC/additives/solvent, </w:t>
      </w:r>
      <w:r w:rsidRPr="008652B1">
        <w:rPr>
          <w:iCs/>
          <w:lang w:val="en-US"/>
        </w:rPr>
        <w:t>Journal of Membrane Science</w:t>
      </w:r>
      <w:r w:rsidRPr="008652B1">
        <w:rPr>
          <w:lang w:val="en-US"/>
        </w:rPr>
        <w:t xml:space="preserve">, 208, 203–212. </w:t>
      </w:r>
    </w:p>
    <w:p w14:paraId="4DCD2D77" w14:textId="77777777" w:rsidR="00C95C70" w:rsidRPr="00044B9B" w:rsidRDefault="00C95C70" w:rsidP="00FD0BED">
      <w:pPr>
        <w:pStyle w:val="CETReferencetext"/>
        <w:rPr>
          <w:b/>
          <w:lang w:val="en-US"/>
        </w:rPr>
      </w:pPr>
      <w:r w:rsidRPr="008652B1">
        <w:rPr>
          <w:b/>
          <w:lang w:val="en-US"/>
        </w:rPr>
        <w:fldChar w:fldCharType="end"/>
      </w:r>
    </w:p>
    <w:sectPr w:rsidR="00C95C70" w:rsidRPr="00044B9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D6085" w14:textId="77777777" w:rsidR="00070FEA" w:rsidRDefault="00070FEA" w:rsidP="004F5E36">
      <w:r>
        <w:separator/>
      </w:r>
    </w:p>
  </w:endnote>
  <w:endnote w:type="continuationSeparator" w:id="0">
    <w:p w14:paraId="7BB71D85" w14:textId="77777777" w:rsidR="00070FEA" w:rsidRDefault="00070FE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9360" w14:textId="77777777" w:rsidR="00070FEA" w:rsidRDefault="00070FEA" w:rsidP="004F5E36">
      <w:r>
        <w:separator/>
      </w:r>
    </w:p>
  </w:footnote>
  <w:footnote w:type="continuationSeparator" w:id="0">
    <w:p w14:paraId="39DD0E8F" w14:textId="77777777" w:rsidR="00070FEA" w:rsidRDefault="00070FE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4E63C8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3"/>
    </w:lvlOverride>
    <w:lvlOverride w:ilvl="2">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1E"/>
    <w:rsid w:val="000052FB"/>
    <w:rsid w:val="00010F40"/>
    <w:rsid w:val="00011606"/>
    <w:rsid w:val="000117CB"/>
    <w:rsid w:val="00015CA1"/>
    <w:rsid w:val="00024DE4"/>
    <w:rsid w:val="00030A38"/>
    <w:rsid w:val="0003148D"/>
    <w:rsid w:val="00044B9B"/>
    <w:rsid w:val="00047D7F"/>
    <w:rsid w:val="00051566"/>
    <w:rsid w:val="00062A9A"/>
    <w:rsid w:val="00063F63"/>
    <w:rsid w:val="00065058"/>
    <w:rsid w:val="00070FEA"/>
    <w:rsid w:val="0008079A"/>
    <w:rsid w:val="000819BF"/>
    <w:rsid w:val="00086C39"/>
    <w:rsid w:val="000A03B2"/>
    <w:rsid w:val="000A32E4"/>
    <w:rsid w:val="000A3B79"/>
    <w:rsid w:val="000C50D3"/>
    <w:rsid w:val="000C71A8"/>
    <w:rsid w:val="000D34BE"/>
    <w:rsid w:val="000D5AB9"/>
    <w:rsid w:val="000E022D"/>
    <w:rsid w:val="000E102F"/>
    <w:rsid w:val="000E36F1"/>
    <w:rsid w:val="000E3A73"/>
    <w:rsid w:val="000E414A"/>
    <w:rsid w:val="000E5034"/>
    <w:rsid w:val="000F093C"/>
    <w:rsid w:val="000F16BD"/>
    <w:rsid w:val="000F787B"/>
    <w:rsid w:val="001009AB"/>
    <w:rsid w:val="00106EBE"/>
    <w:rsid w:val="00111068"/>
    <w:rsid w:val="0012091F"/>
    <w:rsid w:val="0012092B"/>
    <w:rsid w:val="00122731"/>
    <w:rsid w:val="00126BC2"/>
    <w:rsid w:val="001308B6"/>
    <w:rsid w:val="0013121F"/>
    <w:rsid w:val="00131FAB"/>
    <w:rsid w:val="00131FE6"/>
    <w:rsid w:val="0013263F"/>
    <w:rsid w:val="001344A4"/>
    <w:rsid w:val="00134DE4"/>
    <w:rsid w:val="0014034D"/>
    <w:rsid w:val="0014642E"/>
    <w:rsid w:val="001464E4"/>
    <w:rsid w:val="001503A1"/>
    <w:rsid w:val="00150E59"/>
    <w:rsid w:val="00151EE3"/>
    <w:rsid w:val="00152DE3"/>
    <w:rsid w:val="001541A0"/>
    <w:rsid w:val="00162642"/>
    <w:rsid w:val="00164284"/>
    <w:rsid w:val="00164CF9"/>
    <w:rsid w:val="001821B1"/>
    <w:rsid w:val="00184066"/>
    <w:rsid w:val="00184AD6"/>
    <w:rsid w:val="001A52EC"/>
    <w:rsid w:val="001A6BA6"/>
    <w:rsid w:val="001B00C5"/>
    <w:rsid w:val="001B0349"/>
    <w:rsid w:val="001B0A68"/>
    <w:rsid w:val="001B65C1"/>
    <w:rsid w:val="001C670C"/>
    <w:rsid w:val="001C684B"/>
    <w:rsid w:val="001D3746"/>
    <w:rsid w:val="001D53FC"/>
    <w:rsid w:val="001E2726"/>
    <w:rsid w:val="001E397B"/>
    <w:rsid w:val="001F42A5"/>
    <w:rsid w:val="001F7848"/>
    <w:rsid w:val="001F7B9D"/>
    <w:rsid w:val="002132AE"/>
    <w:rsid w:val="00216C54"/>
    <w:rsid w:val="002224B4"/>
    <w:rsid w:val="00230275"/>
    <w:rsid w:val="002360F5"/>
    <w:rsid w:val="00240022"/>
    <w:rsid w:val="00240903"/>
    <w:rsid w:val="002447EF"/>
    <w:rsid w:val="002502CE"/>
    <w:rsid w:val="00251550"/>
    <w:rsid w:val="00252C1A"/>
    <w:rsid w:val="00252C58"/>
    <w:rsid w:val="00263B05"/>
    <w:rsid w:val="002640DD"/>
    <w:rsid w:val="0027135E"/>
    <w:rsid w:val="0027221A"/>
    <w:rsid w:val="00275B61"/>
    <w:rsid w:val="00282656"/>
    <w:rsid w:val="00283592"/>
    <w:rsid w:val="00296B83"/>
    <w:rsid w:val="002A1442"/>
    <w:rsid w:val="002A1D1E"/>
    <w:rsid w:val="002A436F"/>
    <w:rsid w:val="002B2C8E"/>
    <w:rsid w:val="002B78CE"/>
    <w:rsid w:val="002B7C7C"/>
    <w:rsid w:val="002C2FB6"/>
    <w:rsid w:val="002D5BCD"/>
    <w:rsid w:val="002F060E"/>
    <w:rsid w:val="002F4142"/>
    <w:rsid w:val="003009B7"/>
    <w:rsid w:val="00300E56"/>
    <w:rsid w:val="0030469C"/>
    <w:rsid w:val="00306626"/>
    <w:rsid w:val="00313149"/>
    <w:rsid w:val="00321B8A"/>
    <w:rsid w:val="00321CA6"/>
    <w:rsid w:val="00332020"/>
    <w:rsid w:val="00334C09"/>
    <w:rsid w:val="00336048"/>
    <w:rsid w:val="003365E3"/>
    <w:rsid w:val="00340AA6"/>
    <w:rsid w:val="003463C7"/>
    <w:rsid w:val="00354E5D"/>
    <w:rsid w:val="0036073C"/>
    <w:rsid w:val="00361282"/>
    <w:rsid w:val="003723D4"/>
    <w:rsid w:val="00375788"/>
    <w:rsid w:val="00384CC8"/>
    <w:rsid w:val="003871FD"/>
    <w:rsid w:val="00393CE8"/>
    <w:rsid w:val="003A1E30"/>
    <w:rsid w:val="003A7D1C"/>
    <w:rsid w:val="003B1527"/>
    <w:rsid w:val="003B304B"/>
    <w:rsid w:val="003B3146"/>
    <w:rsid w:val="003B60F3"/>
    <w:rsid w:val="003C289F"/>
    <w:rsid w:val="003D001C"/>
    <w:rsid w:val="003F015E"/>
    <w:rsid w:val="003F5A3C"/>
    <w:rsid w:val="003F77AA"/>
    <w:rsid w:val="00400414"/>
    <w:rsid w:val="00403ECE"/>
    <w:rsid w:val="0041446B"/>
    <w:rsid w:val="0044329C"/>
    <w:rsid w:val="00444772"/>
    <w:rsid w:val="004470C8"/>
    <w:rsid w:val="00452A18"/>
    <w:rsid w:val="00454D96"/>
    <w:rsid w:val="0045547A"/>
    <w:rsid w:val="004577FE"/>
    <w:rsid w:val="00457B9C"/>
    <w:rsid w:val="0046164A"/>
    <w:rsid w:val="004628D2"/>
    <w:rsid w:val="00462DCD"/>
    <w:rsid w:val="004648AD"/>
    <w:rsid w:val="004703A9"/>
    <w:rsid w:val="0047342D"/>
    <w:rsid w:val="004760DE"/>
    <w:rsid w:val="004779E8"/>
    <w:rsid w:val="004959CE"/>
    <w:rsid w:val="004A004E"/>
    <w:rsid w:val="004A24CF"/>
    <w:rsid w:val="004A2B21"/>
    <w:rsid w:val="004A43B2"/>
    <w:rsid w:val="004A496F"/>
    <w:rsid w:val="004B6721"/>
    <w:rsid w:val="004C3D1D"/>
    <w:rsid w:val="004C3D28"/>
    <w:rsid w:val="004C5025"/>
    <w:rsid w:val="004C723B"/>
    <w:rsid w:val="004C7913"/>
    <w:rsid w:val="004D31DF"/>
    <w:rsid w:val="004D7F68"/>
    <w:rsid w:val="004E4DD6"/>
    <w:rsid w:val="004E613E"/>
    <w:rsid w:val="004F051B"/>
    <w:rsid w:val="004F5E36"/>
    <w:rsid w:val="005057A2"/>
    <w:rsid w:val="00507B47"/>
    <w:rsid w:val="00507CC9"/>
    <w:rsid w:val="005119A5"/>
    <w:rsid w:val="00515076"/>
    <w:rsid w:val="00521698"/>
    <w:rsid w:val="005278B7"/>
    <w:rsid w:val="00532016"/>
    <w:rsid w:val="005346C8"/>
    <w:rsid w:val="00535C0D"/>
    <w:rsid w:val="00543E7D"/>
    <w:rsid w:val="00546B05"/>
    <w:rsid w:val="00547A68"/>
    <w:rsid w:val="005503BE"/>
    <w:rsid w:val="005531C9"/>
    <w:rsid w:val="005830E7"/>
    <w:rsid w:val="0058584F"/>
    <w:rsid w:val="005862BA"/>
    <w:rsid w:val="00590D9B"/>
    <w:rsid w:val="005B1F14"/>
    <w:rsid w:val="005B2110"/>
    <w:rsid w:val="005B2429"/>
    <w:rsid w:val="005B6048"/>
    <w:rsid w:val="005B61E6"/>
    <w:rsid w:val="005C34DC"/>
    <w:rsid w:val="005C4D88"/>
    <w:rsid w:val="005C77E1"/>
    <w:rsid w:val="005D1947"/>
    <w:rsid w:val="005D4AAF"/>
    <w:rsid w:val="005D6A2F"/>
    <w:rsid w:val="005E1A82"/>
    <w:rsid w:val="005E3DEA"/>
    <w:rsid w:val="005E794C"/>
    <w:rsid w:val="005F0A28"/>
    <w:rsid w:val="005F0E5E"/>
    <w:rsid w:val="005F522D"/>
    <w:rsid w:val="00600535"/>
    <w:rsid w:val="00606920"/>
    <w:rsid w:val="00610CD6"/>
    <w:rsid w:val="00614749"/>
    <w:rsid w:val="00620DEE"/>
    <w:rsid w:val="006211EF"/>
    <w:rsid w:val="00621F92"/>
    <w:rsid w:val="00625639"/>
    <w:rsid w:val="00631B33"/>
    <w:rsid w:val="0064184D"/>
    <w:rsid w:val="006422CC"/>
    <w:rsid w:val="0065171C"/>
    <w:rsid w:val="00652BB2"/>
    <w:rsid w:val="00660E3E"/>
    <w:rsid w:val="00662E74"/>
    <w:rsid w:val="00666399"/>
    <w:rsid w:val="006709A7"/>
    <w:rsid w:val="00672E42"/>
    <w:rsid w:val="00680C23"/>
    <w:rsid w:val="00684526"/>
    <w:rsid w:val="00693766"/>
    <w:rsid w:val="006A25DF"/>
    <w:rsid w:val="006A3281"/>
    <w:rsid w:val="006A42F5"/>
    <w:rsid w:val="006B1445"/>
    <w:rsid w:val="006B4888"/>
    <w:rsid w:val="006C1D45"/>
    <w:rsid w:val="006C26D7"/>
    <w:rsid w:val="006C2E45"/>
    <w:rsid w:val="006C359C"/>
    <w:rsid w:val="006C5579"/>
    <w:rsid w:val="006D1AC8"/>
    <w:rsid w:val="006E100A"/>
    <w:rsid w:val="006E737D"/>
    <w:rsid w:val="006F2D05"/>
    <w:rsid w:val="0070195D"/>
    <w:rsid w:val="00711ED6"/>
    <w:rsid w:val="007173C4"/>
    <w:rsid w:val="0072040E"/>
    <w:rsid w:val="00720A24"/>
    <w:rsid w:val="00732386"/>
    <w:rsid w:val="00733E50"/>
    <w:rsid w:val="007353BA"/>
    <w:rsid w:val="007447F3"/>
    <w:rsid w:val="0075499F"/>
    <w:rsid w:val="00762AC7"/>
    <w:rsid w:val="007661C8"/>
    <w:rsid w:val="0077098D"/>
    <w:rsid w:val="007756CF"/>
    <w:rsid w:val="00777D24"/>
    <w:rsid w:val="00785D44"/>
    <w:rsid w:val="00787FBC"/>
    <w:rsid w:val="007931FA"/>
    <w:rsid w:val="007A0E7D"/>
    <w:rsid w:val="007A7BBA"/>
    <w:rsid w:val="007B0C50"/>
    <w:rsid w:val="007B3CA3"/>
    <w:rsid w:val="007C1A43"/>
    <w:rsid w:val="007E1DC6"/>
    <w:rsid w:val="007E4725"/>
    <w:rsid w:val="007F7709"/>
    <w:rsid w:val="00813288"/>
    <w:rsid w:val="008168FC"/>
    <w:rsid w:val="00830996"/>
    <w:rsid w:val="008345F1"/>
    <w:rsid w:val="008418E5"/>
    <w:rsid w:val="008652B1"/>
    <w:rsid w:val="00865B07"/>
    <w:rsid w:val="008667EA"/>
    <w:rsid w:val="0087637F"/>
    <w:rsid w:val="00880DCD"/>
    <w:rsid w:val="00887DC1"/>
    <w:rsid w:val="008904B9"/>
    <w:rsid w:val="00892AD5"/>
    <w:rsid w:val="008933FC"/>
    <w:rsid w:val="008A1512"/>
    <w:rsid w:val="008A283A"/>
    <w:rsid w:val="008B72DC"/>
    <w:rsid w:val="008C6F60"/>
    <w:rsid w:val="008C78C1"/>
    <w:rsid w:val="008D32B9"/>
    <w:rsid w:val="008D433B"/>
    <w:rsid w:val="008D4B66"/>
    <w:rsid w:val="008E566E"/>
    <w:rsid w:val="008E7C1A"/>
    <w:rsid w:val="00900DCC"/>
    <w:rsid w:val="0090161A"/>
    <w:rsid w:val="00901EB6"/>
    <w:rsid w:val="00903692"/>
    <w:rsid w:val="00904C62"/>
    <w:rsid w:val="00924DAC"/>
    <w:rsid w:val="00927058"/>
    <w:rsid w:val="0093758E"/>
    <w:rsid w:val="009450CE"/>
    <w:rsid w:val="00947179"/>
    <w:rsid w:val="0095164B"/>
    <w:rsid w:val="00954090"/>
    <w:rsid w:val="009573E7"/>
    <w:rsid w:val="0096031F"/>
    <w:rsid w:val="009635B9"/>
    <w:rsid w:val="00963E05"/>
    <w:rsid w:val="00967D54"/>
    <w:rsid w:val="00996483"/>
    <w:rsid w:val="00996F5A"/>
    <w:rsid w:val="009A0A3E"/>
    <w:rsid w:val="009A32C4"/>
    <w:rsid w:val="009B041A"/>
    <w:rsid w:val="009C7C86"/>
    <w:rsid w:val="009D0C46"/>
    <w:rsid w:val="009D2FF7"/>
    <w:rsid w:val="009E10D0"/>
    <w:rsid w:val="009E7884"/>
    <w:rsid w:val="009E788A"/>
    <w:rsid w:val="009F076E"/>
    <w:rsid w:val="009F0E08"/>
    <w:rsid w:val="00A13F80"/>
    <w:rsid w:val="00A1763D"/>
    <w:rsid w:val="00A17CEC"/>
    <w:rsid w:val="00A2344B"/>
    <w:rsid w:val="00A27EF0"/>
    <w:rsid w:val="00A30C00"/>
    <w:rsid w:val="00A32EF9"/>
    <w:rsid w:val="00A411CD"/>
    <w:rsid w:val="00A50B20"/>
    <w:rsid w:val="00A51046"/>
    <w:rsid w:val="00A51390"/>
    <w:rsid w:val="00A60D13"/>
    <w:rsid w:val="00A65C15"/>
    <w:rsid w:val="00A65C35"/>
    <w:rsid w:val="00A6763C"/>
    <w:rsid w:val="00A71268"/>
    <w:rsid w:val="00A72745"/>
    <w:rsid w:val="00A737E3"/>
    <w:rsid w:val="00A7612B"/>
    <w:rsid w:val="00A76EFC"/>
    <w:rsid w:val="00A83F64"/>
    <w:rsid w:val="00A91010"/>
    <w:rsid w:val="00A97F29"/>
    <w:rsid w:val="00AA1E98"/>
    <w:rsid w:val="00AA59BB"/>
    <w:rsid w:val="00AA702E"/>
    <w:rsid w:val="00AB0964"/>
    <w:rsid w:val="00AB5011"/>
    <w:rsid w:val="00AB7970"/>
    <w:rsid w:val="00AC7368"/>
    <w:rsid w:val="00AD16B9"/>
    <w:rsid w:val="00AD1AED"/>
    <w:rsid w:val="00AD2FDA"/>
    <w:rsid w:val="00AE377D"/>
    <w:rsid w:val="00AF7949"/>
    <w:rsid w:val="00B0571A"/>
    <w:rsid w:val="00B17FBD"/>
    <w:rsid w:val="00B260A4"/>
    <w:rsid w:val="00B2767A"/>
    <w:rsid w:val="00B315A6"/>
    <w:rsid w:val="00B31813"/>
    <w:rsid w:val="00B33365"/>
    <w:rsid w:val="00B47A55"/>
    <w:rsid w:val="00B574BB"/>
    <w:rsid w:val="00B57B36"/>
    <w:rsid w:val="00B72B1A"/>
    <w:rsid w:val="00B72F59"/>
    <w:rsid w:val="00B8686D"/>
    <w:rsid w:val="00BA2352"/>
    <w:rsid w:val="00BA5433"/>
    <w:rsid w:val="00BC30C9"/>
    <w:rsid w:val="00BE0EBC"/>
    <w:rsid w:val="00BE3E58"/>
    <w:rsid w:val="00BE758A"/>
    <w:rsid w:val="00BF166A"/>
    <w:rsid w:val="00BF1A58"/>
    <w:rsid w:val="00BF4E8A"/>
    <w:rsid w:val="00C01616"/>
    <w:rsid w:val="00C0162B"/>
    <w:rsid w:val="00C25C25"/>
    <w:rsid w:val="00C345B1"/>
    <w:rsid w:val="00C40142"/>
    <w:rsid w:val="00C513C3"/>
    <w:rsid w:val="00C52E3C"/>
    <w:rsid w:val="00C57182"/>
    <w:rsid w:val="00C57863"/>
    <w:rsid w:val="00C61641"/>
    <w:rsid w:val="00C64A78"/>
    <w:rsid w:val="00C655FA"/>
    <w:rsid w:val="00C655FD"/>
    <w:rsid w:val="00C77198"/>
    <w:rsid w:val="00C77B83"/>
    <w:rsid w:val="00C870A8"/>
    <w:rsid w:val="00C9289D"/>
    <w:rsid w:val="00C94434"/>
    <w:rsid w:val="00C95C70"/>
    <w:rsid w:val="00CA0D75"/>
    <w:rsid w:val="00CA1C95"/>
    <w:rsid w:val="00CA2403"/>
    <w:rsid w:val="00CA5A9C"/>
    <w:rsid w:val="00CB14CC"/>
    <w:rsid w:val="00CC2EFC"/>
    <w:rsid w:val="00CC4DD7"/>
    <w:rsid w:val="00CC5758"/>
    <w:rsid w:val="00CD1EB3"/>
    <w:rsid w:val="00CD3517"/>
    <w:rsid w:val="00CD5A00"/>
    <w:rsid w:val="00CD5FE2"/>
    <w:rsid w:val="00CE1056"/>
    <w:rsid w:val="00CE51E1"/>
    <w:rsid w:val="00CE7C68"/>
    <w:rsid w:val="00CF0445"/>
    <w:rsid w:val="00CF5F61"/>
    <w:rsid w:val="00D02B4C"/>
    <w:rsid w:val="00D040C4"/>
    <w:rsid w:val="00D06E9D"/>
    <w:rsid w:val="00D16321"/>
    <w:rsid w:val="00D270DB"/>
    <w:rsid w:val="00D34CE1"/>
    <w:rsid w:val="00D57C84"/>
    <w:rsid w:val="00D6057D"/>
    <w:rsid w:val="00D63D05"/>
    <w:rsid w:val="00D84576"/>
    <w:rsid w:val="00D96BDD"/>
    <w:rsid w:val="00DA1399"/>
    <w:rsid w:val="00DA24C6"/>
    <w:rsid w:val="00DA4D7B"/>
    <w:rsid w:val="00DA7E76"/>
    <w:rsid w:val="00DB0325"/>
    <w:rsid w:val="00DE083E"/>
    <w:rsid w:val="00DE264A"/>
    <w:rsid w:val="00DE2F2A"/>
    <w:rsid w:val="00DF02CC"/>
    <w:rsid w:val="00DF7995"/>
    <w:rsid w:val="00E02D18"/>
    <w:rsid w:val="00E041E7"/>
    <w:rsid w:val="00E0442F"/>
    <w:rsid w:val="00E14BD2"/>
    <w:rsid w:val="00E23CA1"/>
    <w:rsid w:val="00E26995"/>
    <w:rsid w:val="00E27EE5"/>
    <w:rsid w:val="00E409A8"/>
    <w:rsid w:val="00E456AC"/>
    <w:rsid w:val="00E50C12"/>
    <w:rsid w:val="00E51A7C"/>
    <w:rsid w:val="00E6437B"/>
    <w:rsid w:val="00E65B91"/>
    <w:rsid w:val="00E7209D"/>
    <w:rsid w:val="00E72243"/>
    <w:rsid w:val="00E73D65"/>
    <w:rsid w:val="00E73DD5"/>
    <w:rsid w:val="00E77223"/>
    <w:rsid w:val="00E8528B"/>
    <w:rsid w:val="00E85B94"/>
    <w:rsid w:val="00E978D0"/>
    <w:rsid w:val="00EA4613"/>
    <w:rsid w:val="00EA7F91"/>
    <w:rsid w:val="00EB1523"/>
    <w:rsid w:val="00EB198A"/>
    <w:rsid w:val="00EC0E49"/>
    <w:rsid w:val="00ED6552"/>
    <w:rsid w:val="00EE0131"/>
    <w:rsid w:val="00EE1D13"/>
    <w:rsid w:val="00F155B2"/>
    <w:rsid w:val="00F30C64"/>
    <w:rsid w:val="00F32CDB"/>
    <w:rsid w:val="00F3764E"/>
    <w:rsid w:val="00F455C0"/>
    <w:rsid w:val="00F533DD"/>
    <w:rsid w:val="00F6251D"/>
    <w:rsid w:val="00F63A70"/>
    <w:rsid w:val="00FA21D0"/>
    <w:rsid w:val="00FA5F5F"/>
    <w:rsid w:val="00FB730C"/>
    <w:rsid w:val="00FC2695"/>
    <w:rsid w:val="00FC3E03"/>
    <w:rsid w:val="00FC3FC1"/>
    <w:rsid w:val="00FD07B7"/>
    <w:rsid w:val="00FD0BED"/>
    <w:rsid w:val="00FE5218"/>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1A60"/>
  <w15:docId w15:val="{BEB3283B-E514-485B-BDCE-52794527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D655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D6552"/>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Nessunaspaziatura">
    <w:name w:val="No Spacing"/>
    <w:uiPriority w:val="1"/>
    <w:qFormat/>
    <w:rsid w:val="001821B1"/>
    <w:pPr>
      <w:spacing w:after="0" w:line="240" w:lineRule="auto"/>
    </w:pPr>
  </w:style>
  <w:style w:type="paragraph" w:styleId="Paragrafoelenco">
    <w:name w:val="List Paragraph"/>
    <w:basedOn w:val="Normale"/>
    <w:uiPriority w:val="34"/>
    <w:rsid w:val="001821B1"/>
    <w:pPr>
      <w:ind w:left="720"/>
      <w:contextualSpacing/>
    </w:pPr>
  </w:style>
  <w:style w:type="character" w:styleId="Testosegnaposto">
    <w:name w:val="Placeholder Text"/>
    <w:basedOn w:val="Carpredefinitoparagrafo"/>
    <w:uiPriority w:val="99"/>
    <w:semiHidden/>
    <w:rsid w:val="001821B1"/>
    <w:rPr>
      <w:color w:val="808080"/>
    </w:rPr>
  </w:style>
  <w:style w:type="character" w:styleId="Rimandonotaapidipagina">
    <w:name w:val="footnote reference"/>
    <w:basedOn w:val="Carpredefinitoparagrafo"/>
    <w:uiPriority w:val="99"/>
    <w:semiHidden/>
    <w:unhideWhenUsed/>
    <w:rsid w:val="00515076"/>
    <w:rPr>
      <w:vertAlign w:val="superscript"/>
    </w:rPr>
  </w:style>
  <w:style w:type="paragraph" w:styleId="Revisione">
    <w:name w:val="Revision"/>
    <w:hidden/>
    <w:uiPriority w:val="99"/>
    <w:semiHidden/>
    <w:rsid w:val="00044B9B"/>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884">
      <w:bodyDiv w:val="1"/>
      <w:marLeft w:val="0"/>
      <w:marRight w:val="0"/>
      <w:marTop w:val="0"/>
      <w:marBottom w:val="0"/>
      <w:divBdr>
        <w:top w:val="none" w:sz="0" w:space="0" w:color="auto"/>
        <w:left w:val="none" w:sz="0" w:space="0" w:color="auto"/>
        <w:bottom w:val="none" w:sz="0" w:space="0" w:color="auto"/>
        <w:right w:val="none" w:sz="0" w:space="0" w:color="auto"/>
      </w:divBdr>
    </w:div>
    <w:div w:id="141318802">
      <w:bodyDiv w:val="1"/>
      <w:marLeft w:val="0"/>
      <w:marRight w:val="0"/>
      <w:marTop w:val="0"/>
      <w:marBottom w:val="0"/>
      <w:divBdr>
        <w:top w:val="none" w:sz="0" w:space="0" w:color="auto"/>
        <w:left w:val="none" w:sz="0" w:space="0" w:color="auto"/>
        <w:bottom w:val="none" w:sz="0" w:space="0" w:color="auto"/>
        <w:right w:val="none" w:sz="0" w:space="0" w:color="auto"/>
      </w:divBdr>
    </w:div>
    <w:div w:id="194805404">
      <w:bodyDiv w:val="1"/>
      <w:marLeft w:val="0"/>
      <w:marRight w:val="0"/>
      <w:marTop w:val="0"/>
      <w:marBottom w:val="0"/>
      <w:divBdr>
        <w:top w:val="none" w:sz="0" w:space="0" w:color="auto"/>
        <w:left w:val="none" w:sz="0" w:space="0" w:color="auto"/>
        <w:bottom w:val="none" w:sz="0" w:space="0" w:color="auto"/>
        <w:right w:val="none" w:sz="0" w:space="0" w:color="auto"/>
      </w:divBdr>
    </w:div>
    <w:div w:id="226918052">
      <w:bodyDiv w:val="1"/>
      <w:marLeft w:val="0"/>
      <w:marRight w:val="0"/>
      <w:marTop w:val="0"/>
      <w:marBottom w:val="0"/>
      <w:divBdr>
        <w:top w:val="none" w:sz="0" w:space="0" w:color="auto"/>
        <w:left w:val="none" w:sz="0" w:space="0" w:color="auto"/>
        <w:bottom w:val="none" w:sz="0" w:space="0" w:color="auto"/>
        <w:right w:val="none" w:sz="0" w:space="0" w:color="auto"/>
      </w:divBdr>
    </w:div>
    <w:div w:id="356665281">
      <w:bodyDiv w:val="1"/>
      <w:marLeft w:val="0"/>
      <w:marRight w:val="0"/>
      <w:marTop w:val="0"/>
      <w:marBottom w:val="0"/>
      <w:divBdr>
        <w:top w:val="none" w:sz="0" w:space="0" w:color="auto"/>
        <w:left w:val="none" w:sz="0" w:space="0" w:color="auto"/>
        <w:bottom w:val="none" w:sz="0" w:space="0" w:color="auto"/>
        <w:right w:val="none" w:sz="0" w:space="0" w:color="auto"/>
      </w:divBdr>
    </w:div>
    <w:div w:id="409081314">
      <w:bodyDiv w:val="1"/>
      <w:marLeft w:val="0"/>
      <w:marRight w:val="0"/>
      <w:marTop w:val="0"/>
      <w:marBottom w:val="0"/>
      <w:divBdr>
        <w:top w:val="none" w:sz="0" w:space="0" w:color="auto"/>
        <w:left w:val="none" w:sz="0" w:space="0" w:color="auto"/>
        <w:bottom w:val="none" w:sz="0" w:space="0" w:color="auto"/>
        <w:right w:val="none" w:sz="0" w:space="0" w:color="auto"/>
      </w:divBdr>
    </w:div>
    <w:div w:id="601037249">
      <w:bodyDiv w:val="1"/>
      <w:marLeft w:val="0"/>
      <w:marRight w:val="0"/>
      <w:marTop w:val="0"/>
      <w:marBottom w:val="0"/>
      <w:divBdr>
        <w:top w:val="none" w:sz="0" w:space="0" w:color="auto"/>
        <w:left w:val="none" w:sz="0" w:space="0" w:color="auto"/>
        <w:bottom w:val="none" w:sz="0" w:space="0" w:color="auto"/>
        <w:right w:val="none" w:sz="0" w:space="0" w:color="auto"/>
      </w:divBdr>
    </w:div>
    <w:div w:id="603465214">
      <w:bodyDiv w:val="1"/>
      <w:marLeft w:val="0"/>
      <w:marRight w:val="0"/>
      <w:marTop w:val="0"/>
      <w:marBottom w:val="0"/>
      <w:divBdr>
        <w:top w:val="none" w:sz="0" w:space="0" w:color="auto"/>
        <w:left w:val="none" w:sz="0" w:space="0" w:color="auto"/>
        <w:bottom w:val="none" w:sz="0" w:space="0" w:color="auto"/>
        <w:right w:val="none" w:sz="0" w:space="0" w:color="auto"/>
      </w:divBdr>
    </w:div>
    <w:div w:id="634797568">
      <w:bodyDiv w:val="1"/>
      <w:marLeft w:val="0"/>
      <w:marRight w:val="0"/>
      <w:marTop w:val="0"/>
      <w:marBottom w:val="0"/>
      <w:divBdr>
        <w:top w:val="none" w:sz="0" w:space="0" w:color="auto"/>
        <w:left w:val="none" w:sz="0" w:space="0" w:color="auto"/>
        <w:bottom w:val="none" w:sz="0" w:space="0" w:color="auto"/>
        <w:right w:val="none" w:sz="0" w:space="0" w:color="auto"/>
      </w:divBdr>
    </w:div>
    <w:div w:id="741411062">
      <w:bodyDiv w:val="1"/>
      <w:marLeft w:val="0"/>
      <w:marRight w:val="0"/>
      <w:marTop w:val="0"/>
      <w:marBottom w:val="0"/>
      <w:divBdr>
        <w:top w:val="none" w:sz="0" w:space="0" w:color="auto"/>
        <w:left w:val="none" w:sz="0" w:space="0" w:color="auto"/>
        <w:bottom w:val="none" w:sz="0" w:space="0" w:color="auto"/>
        <w:right w:val="none" w:sz="0" w:space="0" w:color="auto"/>
      </w:divBdr>
    </w:div>
    <w:div w:id="747729939">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338">
      <w:bodyDiv w:val="1"/>
      <w:marLeft w:val="0"/>
      <w:marRight w:val="0"/>
      <w:marTop w:val="0"/>
      <w:marBottom w:val="0"/>
      <w:divBdr>
        <w:top w:val="none" w:sz="0" w:space="0" w:color="auto"/>
        <w:left w:val="none" w:sz="0" w:space="0" w:color="auto"/>
        <w:bottom w:val="none" w:sz="0" w:space="0" w:color="auto"/>
        <w:right w:val="none" w:sz="0" w:space="0" w:color="auto"/>
      </w:divBdr>
    </w:div>
    <w:div w:id="85846565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868769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948">
      <w:bodyDiv w:val="1"/>
      <w:marLeft w:val="0"/>
      <w:marRight w:val="0"/>
      <w:marTop w:val="0"/>
      <w:marBottom w:val="0"/>
      <w:divBdr>
        <w:top w:val="none" w:sz="0" w:space="0" w:color="auto"/>
        <w:left w:val="none" w:sz="0" w:space="0" w:color="auto"/>
        <w:bottom w:val="none" w:sz="0" w:space="0" w:color="auto"/>
        <w:right w:val="none" w:sz="0" w:space="0" w:color="auto"/>
      </w:divBdr>
    </w:div>
    <w:div w:id="1169760173">
      <w:bodyDiv w:val="1"/>
      <w:marLeft w:val="0"/>
      <w:marRight w:val="0"/>
      <w:marTop w:val="0"/>
      <w:marBottom w:val="0"/>
      <w:divBdr>
        <w:top w:val="none" w:sz="0" w:space="0" w:color="auto"/>
        <w:left w:val="none" w:sz="0" w:space="0" w:color="auto"/>
        <w:bottom w:val="none" w:sz="0" w:space="0" w:color="auto"/>
        <w:right w:val="none" w:sz="0" w:space="0" w:color="auto"/>
      </w:divBdr>
    </w:div>
    <w:div w:id="1323923894">
      <w:bodyDiv w:val="1"/>
      <w:marLeft w:val="0"/>
      <w:marRight w:val="0"/>
      <w:marTop w:val="0"/>
      <w:marBottom w:val="0"/>
      <w:divBdr>
        <w:top w:val="none" w:sz="0" w:space="0" w:color="auto"/>
        <w:left w:val="none" w:sz="0" w:space="0" w:color="auto"/>
        <w:bottom w:val="none" w:sz="0" w:space="0" w:color="auto"/>
        <w:right w:val="none" w:sz="0" w:space="0" w:color="auto"/>
      </w:divBdr>
    </w:div>
    <w:div w:id="1493642825">
      <w:bodyDiv w:val="1"/>
      <w:marLeft w:val="0"/>
      <w:marRight w:val="0"/>
      <w:marTop w:val="0"/>
      <w:marBottom w:val="0"/>
      <w:divBdr>
        <w:top w:val="none" w:sz="0" w:space="0" w:color="auto"/>
        <w:left w:val="none" w:sz="0" w:space="0" w:color="auto"/>
        <w:bottom w:val="none" w:sz="0" w:space="0" w:color="auto"/>
        <w:right w:val="none" w:sz="0" w:space="0" w:color="auto"/>
      </w:divBdr>
    </w:div>
    <w:div w:id="1531642694">
      <w:bodyDiv w:val="1"/>
      <w:marLeft w:val="0"/>
      <w:marRight w:val="0"/>
      <w:marTop w:val="0"/>
      <w:marBottom w:val="0"/>
      <w:divBdr>
        <w:top w:val="none" w:sz="0" w:space="0" w:color="auto"/>
        <w:left w:val="none" w:sz="0" w:space="0" w:color="auto"/>
        <w:bottom w:val="none" w:sz="0" w:space="0" w:color="auto"/>
        <w:right w:val="none" w:sz="0" w:space="0" w:color="auto"/>
      </w:divBdr>
    </w:div>
    <w:div w:id="1559241711">
      <w:bodyDiv w:val="1"/>
      <w:marLeft w:val="0"/>
      <w:marRight w:val="0"/>
      <w:marTop w:val="0"/>
      <w:marBottom w:val="0"/>
      <w:divBdr>
        <w:top w:val="none" w:sz="0" w:space="0" w:color="auto"/>
        <w:left w:val="none" w:sz="0" w:space="0" w:color="auto"/>
        <w:bottom w:val="none" w:sz="0" w:space="0" w:color="auto"/>
        <w:right w:val="none" w:sz="0" w:space="0" w:color="auto"/>
      </w:divBdr>
    </w:div>
    <w:div w:id="1560825121">
      <w:bodyDiv w:val="1"/>
      <w:marLeft w:val="0"/>
      <w:marRight w:val="0"/>
      <w:marTop w:val="0"/>
      <w:marBottom w:val="0"/>
      <w:divBdr>
        <w:top w:val="none" w:sz="0" w:space="0" w:color="auto"/>
        <w:left w:val="none" w:sz="0" w:space="0" w:color="auto"/>
        <w:bottom w:val="none" w:sz="0" w:space="0" w:color="auto"/>
        <w:right w:val="none" w:sz="0" w:space="0" w:color="auto"/>
      </w:divBdr>
    </w:div>
    <w:div w:id="1578781122">
      <w:bodyDiv w:val="1"/>
      <w:marLeft w:val="0"/>
      <w:marRight w:val="0"/>
      <w:marTop w:val="0"/>
      <w:marBottom w:val="0"/>
      <w:divBdr>
        <w:top w:val="none" w:sz="0" w:space="0" w:color="auto"/>
        <w:left w:val="none" w:sz="0" w:space="0" w:color="auto"/>
        <w:bottom w:val="none" w:sz="0" w:space="0" w:color="auto"/>
        <w:right w:val="none" w:sz="0" w:space="0" w:color="auto"/>
      </w:divBdr>
    </w:div>
    <w:div w:id="162951008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0623">
      <w:bodyDiv w:val="1"/>
      <w:marLeft w:val="0"/>
      <w:marRight w:val="0"/>
      <w:marTop w:val="0"/>
      <w:marBottom w:val="0"/>
      <w:divBdr>
        <w:top w:val="none" w:sz="0" w:space="0" w:color="auto"/>
        <w:left w:val="none" w:sz="0" w:space="0" w:color="auto"/>
        <w:bottom w:val="none" w:sz="0" w:space="0" w:color="auto"/>
        <w:right w:val="none" w:sz="0" w:space="0" w:color="auto"/>
      </w:divBdr>
    </w:div>
    <w:div w:id="1789885044">
      <w:bodyDiv w:val="1"/>
      <w:marLeft w:val="0"/>
      <w:marRight w:val="0"/>
      <w:marTop w:val="0"/>
      <w:marBottom w:val="0"/>
      <w:divBdr>
        <w:top w:val="none" w:sz="0" w:space="0" w:color="auto"/>
        <w:left w:val="none" w:sz="0" w:space="0" w:color="auto"/>
        <w:bottom w:val="none" w:sz="0" w:space="0" w:color="auto"/>
        <w:right w:val="none" w:sz="0" w:space="0" w:color="auto"/>
      </w:divBdr>
    </w:div>
    <w:div w:id="1836989788">
      <w:bodyDiv w:val="1"/>
      <w:marLeft w:val="0"/>
      <w:marRight w:val="0"/>
      <w:marTop w:val="0"/>
      <w:marBottom w:val="0"/>
      <w:divBdr>
        <w:top w:val="none" w:sz="0" w:space="0" w:color="auto"/>
        <w:left w:val="none" w:sz="0" w:space="0" w:color="auto"/>
        <w:bottom w:val="none" w:sz="0" w:space="0" w:color="auto"/>
        <w:right w:val="none" w:sz="0" w:space="0" w:color="auto"/>
      </w:divBdr>
    </w:div>
    <w:div w:id="1871532740">
      <w:bodyDiv w:val="1"/>
      <w:marLeft w:val="0"/>
      <w:marRight w:val="0"/>
      <w:marTop w:val="0"/>
      <w:marBottom w:val="0"/>
      <w:divBdr>
        <w:top w:val="none" w:sz="0" w:space="0" w:color="auto"/>
        <w:left w:val="none" w:sz="0" w:space="0" w:color="auto"/>
        <w:bottom w:val="none" w:sz="0" w:space="0" w:color="auto"/>
        <w:right w:val="none" w:sz="0" w:space="0" w:color="auto"/>
      </w:divBdr>
    </w:div>
    <w:div w:id="1881280519">
      <w:bodyDiv w:val="1"/>
      <w:marLeft w:val="0"/>
      <w:marRight w:val="0"/>
      <w:marTop w:val="0"/>
      <w:marBottom w:val="0"/>
      <w:divBdr>
        <w:top w:val="none" w:sz="0" w:space="0" w:color="auto"/>
        <w:left w:val="none" w:sz="0" w:space="0" w:color="auto"/>
        <w:bottom w:val="none" w:sz="0" w:space="0" w:color="auto"/>
        <w:right w:val="none" w:sz="0" w:space="0" w:color="auto"/>
      </w:divBdr>
    </w:div>
    <w:div w:id="1948736474">
      <w:bodyDiv w:val="1"/>
      <w:marLeft w:val="0"/>
      <w:marRight w:val="0"/>
      <w:marTop w:val="0"/>
      <w:marBottom w:val="0"/>
      <w:divBdr>
        <w:top w:val="none" w:sz="0" w:space="0" w:color="auto"/>
        <w:left w:val="none" w:sz="0" w:space="0" w:color="auto"/>
        <w:bottom w:val="none" w:sz="0" w:space="0" w:color="auto"/>
        <w:right w:val="none" w:sz="0" w:space="0" w:color="auto"/>
      </w:divBdr>
    </w:div>
    <w:div w:id="2047289066">
      <w:bodyDiv w:val="1"/>
      <w:marLeft w:val="0"/>
      <w:marRight w:val="0"/>
      <w:marTop w:val="0"/>
      <w:marBottom w:val="0"/>
      <w:divBdr>
        <w:top w:val="none" w:sz="0" w:space="0" w:color="auto"/>
        <w:left w:val="none" w:sz="0" w:space="0" w:color="auto"/>
        <w:bottom w:val="none" w:sz="0" w:space="0" w:color="auto"/>
        <w:right w:val="none" w:sz="0" w:space="0" w:color="auto"/>
      </w:divBdr>
    </w:div>
    <w:div w:id="212168591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641F-9BB9-4B47-B7FE-161FDFC4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6458</Words>
  <Characters>36813</Characters>
  <Application>Microsoft Office Word</Application>
  <DocSecurity>0</DocSecurity>
  <Lines>306</Lines>
  <Paragraphs>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Alessandro Alberto Casazza</cp:lastModifiedBy>
  <cp:revision>11</cp:revision>
  <cp:lastPrinted>2015-05-12T18:31:00Z</cp:lastPrinted>
  <dcterms:created xsi:type="dcterms:W3CDTF">2019-01-30T11:45:00Z</dcterms:created>
  <dcterms:modified xsi:type="dcterms:W3CDTF">2019-04-15T11:09:00Z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http://www.zotero.org/styles/harvard-cite-them-right</vt:lpwstr>
  </property>
  <property fmtid="{D5CDD505-2E9C-101B-9397-08002B2CF9AE}" pid="25" name="Mendeley Document_1">
    <vt:lpwstr>True</vt:lpwstr>
  </property>
  <property fmtid="{D5CDD505-2E9C-101B-9397-08002B2CF9AE}" pid="26" name="Mendeley Unique User Id_1">
    <vt:lpwstr>dca22a47-777e-362c-b516-6e56fd5bc601</vt:lpwstr>
  </property>
</Properties>
</file>