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000"/>
      </w:tblPr>
      <w:tblGrid>
        <w:gridCol w:w="6946"/>
        <w:gridCol w:w="1843"/>
      </w:tblGrid>
      <w:tr w:rsidR="00F00978" w:rsidRPr="00624005">
        <w:trPr>
          <w:cantSplit/>
          <w:trHeight w:val="852"/>
          <w:jc w:val="center"/>
        </w:trPr>
        <w:tc>
          <w:tcPr>
            <w:tcW w:w="6946" w:type="dxa"/>
            <w:vMerge w:val="restart"/>
            <w:tcBorders>
              <w:top w:val="nil"/>
              <w:left w:val="nil"/>
              <w:bottom w:val="nil"/>
              <w:right w:val="single" w:sz="4" w:space="0" w:color="auto"/>
            </w:tcBorders>
          </w:tcPr>
          <w:p w:rsidR="00F00978" w:rsidRPr="00624005" w:rsidRDefault="006D23A8">
            <w:pPr>
              <w:tabs>
                <w:tab w:val="left" w:pos="-108"/>
              </w:tabs>
              <w:ind w:left="-108"/>
              <w:jc w:val="left"/>
              <w:rPr>
                <w:rFonts w:eastAsiaTheme="minorEastAsia"/>
                <w:b/>
                <w:bCs/>
                <w:i/>
                <w:iCs/>
                <w:color w:val="000066"/>
                <w:sz w:val="12"/>
                <w:szCs w:val="12"/>
                <w:lang w:eastAsia="it-IT"/>
              </w:rPr>
            </w:pPr>
            <w:r>
              <w:rPr>
                <w:rFonts w:ascii="AdvP6960" w:eastAsiaTheme="minorEastAsia" w:hAnsi="AdvP6960" w:cs="AdvP6960"/>
                <w:noProof/>
                <w:color w:val="241F20"/>
                <w:lang w:val="cs-CZ" w:eastAsia="cs-CZ"/>
              </w:rPr>
              <w:drawing>
                <wp:inline distT="0" distB="0" distL="0" distR="0">
                  <wp:extent cx="621030" cy="368300"/>
                  <wp:effectExtent l="19050" t="0" r="762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7"/>
                          <a:srcRect/>
                          <a:stretch>
                            <a:fillRect/>
                          </a:stretch>
                        </pic:blipFill>
                        <pic:spPr bwMode="auto">
                          <a:xfrm>
                            <a:off x="0" y="0"/>
                            <a:ext cx="621030" cy="368300"/>
                          </a:xfrm>
                          <a:prstGeom prst="rect">
                            <a:avLst/>
                          </a:prstGeom>
                          <a:noFill/>
                          <a:ln w="9525">
                            <a:noFill/>
                            <a:miter lim="800000"/>
                            <a:headEnd/>
                            <a:tailEnd/>
                          </a:ln>
                        </pic:spPr>
                      </pic:pic>
                    </a:graphicData>
                  </a:graphic>
                </wp:inline>
              </w:drawing>
            </w:r>
            <w:r w:rsidR="00F00978" w:rsidRPr="00624005">
              <w:rPr>
                <w:rFonts w:ascii="AdvP6960" w:eastAsiaTheme="minorEastAsia" w:hAnsi="AdvP6960" w:cs="AdvP6960"/>
                <w:color w:val="241F20"/>
                <w:lang w:eastAsia="it-IT"/>
              </w:rPr>
              <w:t xml:space="preserve"> </w:t>
            </w:r>
            <w:r w:rsidR="00F00978" w:rsidRPr="00624005">
              <w:rPr>
                <w:rFonts w:eastAsiaTheme="minorEastAsia"/>
                <w:b/>
                <w:bCs/>
                <w:i/>
                <w:iCs/>
                <w:color w:val="000066"/>
                <w:sz w:val="24"/>
                <w:szCs w:val="24"/>
                <w:lang w:eastAsia="it-IT"/>
              </w:rPr>
              <w:t>CHEMICAL ENGINEERING</w:t>
            </w:r>
            <w:r w:rsidR="00F00978" w:rsidRPr="00624005">
              <w:rPr>
                <w:rFonts w:eastAsiaTheme="minorEastAsia"/>
                <w:b/>
                <w:bCs/>
                <w:i/>
                <w:iCs/>
                <w:color w:val="0033FF"/>
                <w:sz w:val="24"/>
                <w:szCs w:val="24"/>
                <w:lang w:eastAsia="it-IT"/>
              </w:rPr>
              <w:t xml:space="preserve"> </w:t>
            </w:r>
            <w:r w:rsidR="00F00978" w:rsidRPr="00624005">
              <w:rPr>
                <w:rFonts w:eastAsiaTheme="minorEastAsia"/>
                <w:b/>
                <w:bCs/>
                <w:i/>
                <w:iCs/>
                <w:color w:val="666666"/>
                <w:sz w:val="24"/>
                <w:szCs w:val="24"/>
                <w:lang w:eastAsia="it-IT"/>
              </w:rPr>
              <w:t>TRANSACTIONS</w:t>
            </w:r>
            <w:r w:rsidR="00F00978" w:rsidRPr="00624005">
              <w:rPr>
                <w:rFonts w:ascii="Times New Roman" w:eastAsiaTheme="minorEastAsia" w:hAnsi="Times New Roman" w:cs="Times New Roman"/>
                <w:color w:val="333333"/>
                <w:sz w:val="24"/>
                <w:szCs w:val="24"/>
                <w:lang w:eastAsia="it-IT"/>
              </w:rPr>
              <w:t xml:space="preserve"> </w:t>
            </w:r>
            <w:r w:rsidR="00F00978" w:rsidRPr="00624005">
              <w:rPr>
                <w:rFonts w:eastAsiaTheme="minorEastAsia"/>
                <w:b/>
                <w:bCs/>
                <w:i/>
                <w:iCs/>
                <w:color w:val="000066"/>
                <w:sz w:val="27"/>
                <w:szCs w:val="27"/>
                <w:lang w:eastAsia="it-IT"/>
              </w:rPr>
              <w:br/>
            </w:r>
          </w:p>
          <w:p w:rsidR="00F00978" w:rsidRPr="00624005" w:rsidRDefault="00F00978">
            <w:pPr>
              <w:tabs>
                <w:tab w:val="left" w:pos="-108"/>
              </w:tabs>
              <w:ind w:left="-108"/>
              <w:rPr>
                <w:rFonts w:eastAsiaTheme="minorEastAsia"/>
                <w:b/>
                <w:bCs/>
                <w:i/>
                <w:iCs/>
                <w:color w:val="000066"/>
                <w:sz w:val="22"/>
                <w:szCs w:val="22"/>
                <w:lang w:eastAsia="it-IT"/>
              </w:rPr>
            </w:pPr>
            <w:r w:rsidRPr="00624005">
              <w:rPr>
                <w:rFonts w:eastAsiaTheme="minorEastAsia"/>
                <w:b/>
                <w:bCs/>
                <w:i/>
                <w:iCs/>
                <w:color w:val="000066"/>
                <w:sz w:val="22"/>
                <w:szCs w:val="22"/>
                <w:lang w:eastAsia="it-IT"/>
              </w:rPr>
              <w:t>VOL. 76, 2019</w:t>
            </w:r>
          </w:p>
        </w:tc>
        <w:tc>
          <w:tcPr>
            <w:tcW w:w="1843" w:type="dxa"/>
            <w:tcBorders>
              <w:top w:val="nil"/>
              <w:left w:val="single" w:sz="4" w:space="0" w:color="auto"/>
              <w:bottom w:val="nil"/>
              <w:right w:val="single" w:sz="4" w:space="0" w:color="auto"/>
            </w:tcBorders>
          </w:tcPr>
          <w:p w:rsidR="00F00978" w:rsidRPr="00624005" w:rsidRDefault="00F00978">
            <w:pPr>
              <w:spacing w:line="140" w:lineRule="atLeast"/>
              <w:jc w:val="right"/>
              <w:rPr>
                <w:rFonts w:eastAsiaTheme="minorEastAsia"/>
                <w:sz w:val="14"/>
                <w:szCs w:val="14"/>
              </w:rPr>
            </w:pPr>
            <w:r w:rsidRPr="00624005">
              <w:rPr>
                <w:rFonts w:eastAsiaTheme="minorEastAsia"/>
                <w:sz w:val="14"/>
                <w:szCs w:val="14"/>
              </w:rPr>
              <w:t>A publication of</w:t>
            </w:r>
          </w:p>
          <w:p w:rsidR="00F00978" w:rsidRPr="00624005" w:rsidRDefault="006D23A8">
            <w:pPr>
              <w:jc w:val="right"/>
              <w:rPr>
                <w:rFonts w:ascii="Times New Roman" w:eastAsiaTheme="minorEastAsia" w:hAnsi="Times New Roman" w:cs="Times New Roman"/>
              </w:rPr>
            </w:pPr>
            <w:r>
              <w:rPr>
                <w:rFonts w:ascii="Times New Roman" w:eastAsiaTheme="minorEastAsia" w:hAnsi="Times New Roman" w:cs="Times New Roman"/>
                <w:noProof/>
                <w:lang w:val="cs-CZ" w:eastAsia="cs-CZ"/>
              </w:rPr>
              <w:drawing>
                <wp:inline distT="0" distB="0" distL="0" distR="0">
                  <wp:extent cx="668655" cy="361950"/>
                  <wp:effectExtent l="1905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8"/>
                          <a:srcRect/>
                          <a:stretch>
                            <a:fillRect/>
                          </a:stretch>
                        </pic:blipFill>
                        <pic:spPr bwMode="auto">
                          <a:xfrm>
                            <a:off x="0" y="0"/>
                            <a:ext cx="668655" cy="361950"/>
                          </a:xfrm>
                          <a:prstGeom prst="rect">
                            <a:avLst/>
                          </a:prstGeom>
                          <a:noFill/>
                          <a:ln w="9525">
                            <a:noFill/>
                            <a:miter lim="800000"/>
                            <a:headEnd/>
                            <a:tailEnd/>
                          </a:ln>
                        </pic:spPr>
                      </pic:pic>
                    </a:graphicData>
                  </a:graphic>
                </wp:inline>
              </w:drawing>
            </w:r>
          </w:p>
        </w:tc>
      </w:tr>
      <w:tr w:rsidR="00F00978" w:rsidRPr="00624005">
        <w:trPr>
          <w:cantSplit/>
          <w:trHeight w:val="567"/>
          <w:jc w:val="center"/>
        </w:trPr>
        <w:tc>
          <w:tcPr>
            <w:tcW w:w="6946" w:type="dxa"/>
            <w:vMerge/>
            <w:tcBorders>
              <w:top w:val="nil"/>
              <w:left w:val="nil"/>
              <w:bottom w:val="nil"/>
              <w:right w:val="single" w:sz="4" w:space="0" w:color="auto"/>
            </w:tcBorders>
          </w:tcPr>
          <w:p w:rsidR="00F00978" w:rsidRPr="00624005" w:rsidRDefault="00F00978">
            <w:pPr>
              <w:tabs>
                <w:tab w:val="left" w:pos="-108"/>
              </w:tabs>
              <w:rPr>
                <w:rFonts w:ascii="Times New Roman" w:eastAsiaTheme="minorEastAsia" w:hAnsi="Times New Roman" w:cs="Times New Roman"/>
              </w:rPr>
            </w:pPr>
          </w:p>
        </w:tc>
        <w:tc>
          <w:tcPr>
            <w:tcW w:w="1843" w:type="dxa"/>
            <w:tcBorders>
              <w:top w:val="nil"/>
              <w:left w:val="single" w:sz="4" w:space="0" w:color="auto"/>
              <w:bottom w:val="nil"/>
              <w:right w:val="single" w:sz="4" w:space="0" w:color="auto"/>
            </w:tcBorders>
          </w:tcPr>
          <w:p w:rsidR="00F00978" w:rsidRPr="00624005" w:rsidRDefault="00F00978">
            <w:pPr>
              <w:spacing w:line="140" w:lineRule="atLeast"/>
              <w:jc w:val="right"/>
              <w:rPr>
                <w:rFonts w:eastAsiaTheme="minorEastAsia"/>
                <w:sz w:val="14"/>
                <w:szCs w:val="14"/>
              </w:rPr>
            </w:pPr>
            <w:r w:rsidRPr="00624005">
              <w:rPr>
                <w:rFonts w:eastAsiaTheme="minorEastAsia"/>
                <w:sz w:val="14"/>
                <w:szCs w:val="14"/>
              </w:rPr>
              <w:t>The Italian Association</w:t>
            </w:r>
          </w:p>
          <w:p w:rsidR="00F00978" w:rsidRPr="00624005" w:rsidRDefault="00F00978">
            <w:pPr>
              <w:spacing w:line="140" w:lineRule="atLeast"/>
              <w:jc w:val="right"/>
              <w:rPr>
                <w:rFonts w:eastAsiaTheme="minorEastAsia"/>
                <w:sz w:val="14"/>
                <w:szCs w:val="14"/>
              </w:rPr>
            </w:pPr>
            <w:r w:rsidRPr="00624005">
              <w:rPr>
                <w:rFonts w:eastAsiaTheme="minorEastAsia"/>
                <w:sz w:val="14"/>
                <w:szCs w:val="14"/>
              </w:rPr>
              <w:t>of Chemical Engineering</w:t>
            </w:r>
          </w:p>
          <w:p w:rsidR="00F00978" w:rsidRPr="00624005" w:rsidRDefault="00F00978">
            <w:pPr>
              <w:spacing w:line="140" w:lineRule="atLeast"/>
              <w:jc w:val="right"/>
              <w:rPr>
                <w:rFonts w:eastAsiaTheme="minorEastAsia"/>
                <w:sz w:val="14"/>
                <w:szCs w:val="14"/>
              </w:rPr>
            </w:pPr>
            <w:r w:rsidRPr="00624005">
              <w:rPr>
                <w:rFonts w:eastAsiaTheme="minorEastAsia"/>
                <w:sz w:val="14"/>
                <w:szCs w:val="14"/>
              </w:rPr>
              <w:t>Online at www.aidic.it/cet</w:t>
            </w:r>
          </w:p>
        </w:tc>
      </w:tr>
      <w:tr w:rsidR="00F00978" w:rsidRPr="00624005">
        <w:trPr>
          <w:trHeight w:val="68"/>
          <w:jc w:val="center"/>
        </w:trPr>
        <w:tc>
          <w:tcPr>
            <w:tcW w:w="8789" w:type="dxa"/>
            <w:gridSpan w:val="2"/>
            <w:tcBorders>
              <w:top w:val="nil"/>
              <w:left w:val="nil"/>
              <w:bottom w:val="single" w:sz="4" w:space="0" w:color="auto"/>
              <w:right w:val="nil"/>
            </w:tcBorders>
          </w:tcPr>
          <w:p w:rsidR="00F00978" w:rsidRPr="00624005" w:rsidRDefault="00F00978">
            <w:pPr>
              <w:ind w:left="-107"/>
              <w:rPr>
                <w:rFonts w:ascii="Times New Roman" w:eastAsiaTheme="minorEastAsia" w:hAnsi="Times New Roman" w:cs="Times New Roman"/>
                <w:lang w:val="it-IT"/>
              </w:rPr>
            </w:pPr>
            <w:r w:rsidRPr="00624005">
              <w:rPr>
                <w:rFonts w:ascii="Tahoma" w:eastAsiaTheme="minorEastAsia" w:hAnsi="Tahoma" w:cs="Tahoma"/>
                <w:color w:val="333333"/>
                <w:sz w:val="14"/>
                <w:szCs w:val="14"/>
                <w:lang w:val="it-IT" w:eastAsia="it-IT"/>
              </w:rPr>
              <w:t xml:space="preserve">Guest Editors: </w:t>
            </w:r>
            <w:r w:rsidRPr="00624005">
              <w:rPr>
                <w:rFonts w:ascii="Tahoma" w:eastAsiaTheme="minorEastAsia" w:hAnsi="Tahoma" w:cs="Tahoma"/>
                <w:sz w:val="14"/>
                <w:szCs w:val="14"/>
                <w:lang w:val="it-IT"/>
              </w:rPr>
              <w:t xml:space="preserve">Sauro Pierucci, </w:t>
            </w:r>
            <w:r w:rsidRPr="00624005">
              <w:rPr>
                <w:rFonts w:ascii="Tahoma" w:eastAsiaTheme="minorEastAsia" w:hAnsi="Tahoma" w:cs="Tahoma"/>
                <w:sz w:val="14"/>
                <w:szCs w:val="14"/>
                <w:shd w:val="clear" w:color="auto" w:fill="FFFFFF"/>
                <w:lang w:val="it-IT"/>
              </w:rPr>
              <w:t>Jiří Jaromír Klemeš, Laura Piazza</w:t>
            </w:r>
          </w:p>
          <w:p w:rsidR="00F00978" w:rsidRPr="00624005" w:rsidRDefault="00F00978">
            <w:pPr>
              <w:tabs>
                <w:tab w:val="left" w:pos="-108"/>
              </w:tabs>
              <w:spacing w:line="140" w:lineRule="atLeast"/>
              <w:ind w:left="-107"/>
              <w:jc w:val="left"/>
              <w:rPr>
                <w:rFonts w:ascii="Times New Roman" w:eastAsiaTheme="minorEastAsia" w:hAnsi="Times New Roman" w:cs="Times New Roman"/>
              </w:rPr>
            </w:pPr>
            <w:r w:rsidRPr="00624005">
              <w:rPr>
                <w:rFonts w:ascii="Tahoma" w:eastAsiaTheme="minorEastAsia" w:hAnsi="Tahoma" w:cs="Tahoma"/>
                <w:color w:val="333333"/>
                <w:sz w:val="14"/>
                <w:szCs w:val="14"/>
                <w:lang w:eastAsia="it-IT"/>
              </w:rPr>
              <w:t xml:space="preserve">Copyright © 2019, AIDIC </w:t>
            </w:r>
            <w:proofErr w:type="spellStart"/>
            <w:r w:rsidRPr="00624005">
              <w:rPr>
                <w:rFonts w:ascii="Tahoma" w:eastAsiaTheme="minorEastAsia" w:hAnsi="Tahoma" w:cs="Tahoma"/>
                <w:color w:val="333333"/>
                <w:sz w:val="14"/>
                <w:szCs w:val="14"/>
                <w:lang w:eastAsia="it-IT"/>
              </w:rPr>
              <w:t>Servizi</w:t>
            </w:r>
            <w:proofErr w:type="spellEnd"/>
            <w:r w:rsidRPr="00624005">
              <w:rPr>
                <w:rFonts w:ascii="Tahoma" w:eastAsiaTheme="minorEastAsia" w:hAnsi="Tahoma" w:cs="Tahoma"/>
                <w:color w:val="333333"/>
                <w:sz w:val="14"/>
                <w:szCs w:val="14"/>
                <w:lang w:eastAsia="it-IT"/>
              </w:rPr>
              <w:t xml:space="preserve"> </w:t>
            </w:r>
            <w:proofErr w:type="spellStart"/>
            <w:r w:rsidRPr="00624005">
              <w:rPr>
                <w:rFonts w:ascii="Tahoma" w:eastAsiaTheme="minorEastAsia" w:hAnsi="Tahoma" w:cs="Tahoma"/>
                <w:color w:val="333333"/>
                <w:sz w:val="14"/>
                <w:szCs w:val="14"/>
                <w:lang w:eastAsia="it-IT"/>
              </w:rPr>
              <w:t>S.r.l</w:t>
            </w:r>
            <w:proofErr w:type="spellEnd"/>
            <w:r w:rsidRPr="00624005">
              <w:rPr>
                <w:rFonts w:ascii="Tahoma" w:eastAsiaTheme="minorEastAsia" w:hAnsi="Tahoma" w:cs="Tahoma"/>
                <w:color w:val="333333"/>
                <w:sz w:val="14"/>
                <w:szCs w:val="14"/>
                <w:lang w:eastAsia="it-IT"/>
              </w:rPr>
              <w:t>.</w:t>
            </w:r>
            <w:r w:rsidRPr="00624005">
              <w:rPr>
                <w:rFonts w:ascii="Tahoma" w:eastAsiaTheme="minorEastAsia" w:hAnsi="Tahoma" w:cs="Tahoma"/>
                <w:color w:val="333333"/>
                <w:sz w:val="14"/>
                <w:szCs w:val="14"/>
                <w:lang w:eastAsia="it-IT"/>
              </w:rPr>
              <w:br/>
            </w:r>
            <w:r w:rsidRPr="00624005">
              <w:rPr>
                <w:rFonts w:ascii="Tahoma" w:eastAsiaTheme="minorEastAsia" w:hAnsi="Tahoma" w:cs="Tahoma"/>
                <w:b/>
                <w:bCs/>
                <w:color w:val="000000"/>
                <w:sz w:val="14"/>
                <w:szCs w:val="14"/>
                <w:lang w:eastAsia="it-IT"/>
              </w:rPr>
              <w:t>ISBN</w:t>
            </w:r>
            <w:r w:rsidRPr="00624005">
              <w:rPr>
                <w:rFonts w:ascii="Tahoma" w:eastAsiaTheme="minorEastAsia" w:hAnsi="Tahoma" w:cs="Tahoma"/>
                <w:color w:val="000000"/>
                <w:sz w:val="14"/>
                <w:szCs w:val="14"/>
                <w:lang w:eastAsia="it-IT"/>
              </w:rPr>
              <w:t xml:space="preserve"> </w:t>
            </w:r>
            <w:r w:rsidRPr="00624005">
              <w:rPr>
                <w:rFonts w:ascii="Tahoma" w:eastAsiaTheme="minorEastAsia" w:hAnsi="Tahoma" w:cs="Tahoma"/>
                <w:sz w:val="14"/>
                <w:szCs w:val="14"/>
              </w:rPr>
              <w:t>978-88-95608-73-0</w:t>
            </w:r>
            <w:r w:rsidRPr="00624005">
              <w:rPr>
                <w:rFonts w:ascii="Tahoma" w:eastAsiaTheme="minorEastAsia" w:hAnsi="Tahoma" w:cs="Tahoma"/>
                <w:color w:val="333333"/>
                <w:sz w:val="14"/>
                <w:szCs w:val="14"/>
                <w:lang w:eastAsia="it-IT"/>
              </w:rPr>
              <w:t xml:space="preserve">; </w:t>
            </w:r>
            <w:r w:rsidRPr="00624005">
              <w:rPr>
                <w:rFonts w:ascii="Tahoma" w:eastAsiaTheme="minorEastAsia" w:hAnsi="Tahoma" w:cs="Tahoma"/>
                <w:b/>
                <w:bCs/>
                <w:color w:val="333333"/>
                <w:sz w:val="14"/>
                <w:szCs w:val="14"/>
                <w:lang w:eastAsia="it-IT"/>
              </w:rPr>
              <w:t>ISSN</w:t>
            </w:r>
            <w:r w:rsidRPr="00624005">
              <w:rPr>
                <w:rFonts w:ascii="Tahoma" w:eastAsiaTheme="minorEastAsia" w:hAnsi="Tahoma" w:cs="Tahoma"/>
                <w:color w:val="333333"/>
                <w:sz w:val="14"/>
                <w:szCs w:val="14"/>
                <w:lang w:eastAsia="it-IT"/>
              </w:rPr>
              <w:t xml:space="preserve"> 2283-9216</w:t>
            </w:r>
          </w:p>
        </w:tc>
      </w:tr>
    </w:tbl>
    <w:p w:rsidR="00F00978" w:rsidRDefault="00F00978">
      <w:pPr>
        <w:pStyle w:val="CETAuthors"/>
        <w:rPr>
          <w:rFonts w:ascii="Times New Roman" w:hAnsi="Times New Roman" w:cs="Times New Roman"/>
        </w:rPr>
        <w:sectPr w:rsidR="00F00978">
          <w:type w:val="continuous"/>
          <w:pgSz w:w="11906" w:h="16838" w:code="9"/>
          <w:pgMar w:top="1701" w:right="1418" w:bottom="1701" w:left="1701" w:header="1701" w:footer="0" w:gutter="0"/>
          <w:cols w:space="708"/>
          <w:titlePg/>
          <w:docGrid w:linePitch="360"/>
        </w:sectPr>
      </w:pPr>
    </w:p>
    <w:p w:rsidR="00F00978" w:rsidRPr="00D17043" w:rsidRDefault="00F00978">
      <w:pPr>
        <w:pStyle w:val="CETTitle"/>
      </w:pPr>
      <w:r w:rsidRPr="00D17043">
        <w:lastRenderedPageBreak/>
        <w:t xml:space="preserve">Heat transfer between gas and non-coalescent liquid            in a bubble column  </w:t>
      </w:r>
    </w:p>
    <w:p w:rsidR="00F00978" w:rsidRPr="00D17043" w:rsidRDefault="00F00978">
      <w:pPr>
        <w:pStyle w:val="CETAuthors"/>
      </w:pPr>
      <w:r w:rsidRPr="00D17043">
        <w:t>Martin Žižka</w:t>
      </w:r>
      <w:r w:rsidRPr="00D17043">
        <w:rPr>
          <w:vertAlign w:val="superscript"/>
        </w:rPr>
        <w:t>a</w:t>
      </w:r>
      <w:r w:rsidRPr="00D17043">
        <w:t>, Radek Šulc</w:t>
      </w:r>
      <w:r w:rsidR="00715CDA" w:rsidRPr="00D17043">
        <w:rPr>
          <w:vertAlign w:val="superscript"/>
        </w:rPr>
        <w:t>*</w:t>
      </w:r>
      <w:r w:rsidRPr="00D17043">
        <w:rPr>
          <w:vertAlign w:val="superscript"/>
        </w:rPr>
        <w:t>a</w:t>
      </w:r>
      <w:r w:rsidRPr="00D17043">
        <w:t>, Pavel Ditl</w:t>
      </w:r>
      <w:r w:rsidRPr="00D17043">
        <w:rPr>
          <w:vertAlign w:val="superscript"/>
        </w:rPr>
        <w:t>a</w:t>
      </w:r>
    </w:p>
    <w:p w:rsidR="00F00978" w:rsidRPr="00D17043" w:rsidRDefault="00F00978">
      <w:pPr>
        <w:pStyle w:val="CETAddress"/>
      </w:pPr>
      <w:r w:rsidRPr="00D17043">
        <w:rPr>
          <w:vertAlign w:val="superscript"/>
        </w:rPr>
        <w:t>a</w:t>
      </w:r>
      <w:r w:rsidRPr="00D17043">
        <w:t xml:space="preserve">Czech Technical University in Prague, Faculty of Mechanical Enginering, Department of Process Engineering, Technicka 4, Prague, Czech Republic </w:t>
      </w:r>
    </w:p>
    <w:p w:rsidR="00F00978" w:rsidRPr="00D17043" w:rsidRDefault="00F00978">
      <w:pPr>
        <w:pStyle w:val="CETemail"/>
      </w:pPr>
      <w:r w:rsidRPr="00D17043">
        <w:t>Radek.Sulc@fs.cvut.cz</w:t>
      </w:r>
    </w:p>
    <w:p w:rsidR="00F00978" w:rsidRPr="00D17043" w:rsidRDefault="00F00978">
      <w:pPr>
        <w:pStyle w:val="CETBodytext"/>
        <w:rPr>
          <w:lang w:val="en-GB"/>
        </w:rPr>
      </w:pPr>
      <w:r w:rsidRPr="00D17043">
        <w:rPr>
          <w:lang w:val="en-GB"/>
        </w:rPr>
        <w:t xml:space="preserve">Multiphase contactors, e.g. bubble columns, are often used in operations accompanied by heat transfer between the phases. The effect of multi-orifice aerator for the heat transfer between gas and </w:t>
      </w:r>
      <w:r w:rsidR="00347554">
        <w:rPr>
          <w:lang w:val="en-GB"/>
        </w:rPr>
        <w:t xml:space="preserve">the </w:t>
      </w:r>
      <w:r w:rsidRPr="00D17043">
        <w:rPr>
          <w:lang w:val="en-GB"/>
        </w:rPr>
        <w:t>non-coalescent liquid was investigated for two different aerator patterns. This study was performed on the bubble column 0.15 m in diameter with various liquid levels and for various superficial gas velocities. The aqueous solution of 0.3 M Na</w:t>
      </w:r>
      <w:r w:rsidRPr="00D17043">
        <w:rPr>
          <w:vertAlign w:val="subscript"/>
          <w:lang w:val="en-GB"/>
        </w:rPr>
        <w:t>2</w:t>
      </w:r>
      <w:r w:rsidRPr="00D17043">
        <w:rPr>
          <w:lang w:val="en-GB"/>
        </w:rPr>
        <w:t>SO</w:t>
      </w:r>
      <w:r w:rsidRPr="00D17043">
        <w:rPr>
          <w:vertAlign w:val="subscript"/>
          <w:lang w:val="en-GB"/>
        </w:rPr>
        <w:t>4</w:t>
      </w:r>
      <w:r w:rsidRPr="00D17043">
        <w:rPr>
          <w:lang w:val="en-GB"/>
        </w:rPr>
        <w:t xml:space="preserve"> was used as a non-coalescent batch. The gas-to-liquid heat transfer measurements w</w:t>
      </w:r>
      <w:r w:rsidR="00347554">
        <w:rPr>
          <w:lang w:val="en-GB"/>
        </w:rPr>
        <w:t>ere</w:t>
      </w:r>
      <w:r w:rsidRPr="00D17043">
        <w:rPr>
          <w:lang w:val="en-GB"/>
        </w:rPr>
        <w:t xml:space="preserve"> performed by a non-steady state method based on measurements of the gas- and liquid- temperature in the time for an evaluation of the heat fluxes and heat transfer coefficient.   </w:t>
      </w:r>
      <w:r w:rsidRPr="00D17043">
        <w:rPr>
          <w:color w:val="FF0000"/>
          <w:lang w:val="en-GB"/>
        </w:rPr>
        <w:t xml:space="preserve">  </w:t>
      </w:r>
    </w:p>
    <w:p w:rsidR="00F00978" w:rsidRPr="00D17043" w:rsidRDefault="00BE27B2" w:rsidP="00BE27B2">
      <w:pPr>
        <w:pStyle w:val="CETHeading1"/>
        <w:numPr>
          <w:ilvl w:val="0"/>
          <w:numId w:val="0"/>
        </w:numPr>
        <w:rPr>
          <w:lang w:val="en-GB"/>
        </w:rPr>
      </w:pPr>
      <w:r>
        <w:rPr>
          <w:lang w:val="en-GB"/>
        </w:rPr>
        <w:t xml:space="preserve">1. </w:t>
      </w:r>
      <w:r w:rsidR="00F00978" w:rsidRPr="00D17043">
        <w:rPr>
          <w:lang w:val="en-GB"/>
        </w:rPr>
        <w:t>Introduction</w:t>
      </w:r>
    </w:p>
    <w:p w:rsidR="00F00978" w:rsidRPr="00D17043" w:rsidRDefault="00F00978">
      <w:pPr>
        <w:pStyle w:val="CETBodytext"/>
        <w:rPr>
          <w:lang w:val="en-GB"/>
        </w:rPr>
      </w:pPr>
      <w:r w:rsidRPr="00D17043">
        <w:rPr>
          <w:lang w:val="en-GB"/>
        </w:rPr>
        <w:t xml:space="preserve">Bubble columns are intensively used as multiphase contactors and reactors in the chemical, biochemical and petrochemical industries. In </w:t>
      </w:r>
      <w:r w:rsidR="00347554">
        <w:rPr>
          <w:lang w:val="en-GB"/>
        </w:rPr>
        <w:t xml:space="preserve">the </w:t>
      </w:r>
      <w:r w:rsidRPr="00D17043">
        <w:rPr>
          <w:lang w:val="en-GB"/>
        </w:rPr>
        <w:t xml:space="preserve">chemical industry these columns are used </w:t>
      </w:r>
      <w:r w:rsidR="00347554">
        <w:rPr>
          <w:lang w:val="en-GB"/>
        </w:rPr>
        <w:t>mainly</w:t>
      </w:r>
      <w:r w:rsidRPr="00D17043">
        <w:rPr>
          <w:lang w:val="en-GB"/>
        </w:rPr>
        <w:t xml:space="preserve"> in processes involving reactions such as oxidation, chlorination, alkylation, polymerization and hydrogenation. Some very well-known chemical applications are in the famous Fischer-</w:t>
      </w:r>
      <w:proofErr w:type="spellStart"/>
      <w:r w:rsidRPr="00D17043">
        <w:rPr>
          <w:lang w:val="en-GB"/>
        </w:rPr>
        <w:t>Tropsch</w:t>
      </w:r>
      <w:proofErr w:type="spellEnd"/>
      <w:r w:rsidRPr="00D17043">
        <w:rPr>
          <w:lang w:val="en-GB"/>
        </w:rPr>
        <w:t xml:space="preserve"> process for producing transportation fuels and also in methanol synthesis (</w:t>
      </w:r>
      <w:proofErr w:type="spellStart"/>
      <w:r w:rsidRPr="00D17043">
        <w:rPr>
          <w:lang w:val="en-GB"/>
        </w:rPr>
        <w:t>Kantarci</w:t>
      </w:r>
      <w:proofErr w:type="spellEnd"/>
      <w:r w:rsidRPr="00D17043">
        <w:rPr>
          <w:lang w:val="en-GB"/>
        </w:rPr>
        <w:t xml:space="preserve"> et al., 2005, Shah et al., 1982, </w:t>
      </w:r>
      <w:proofErr w:type="spellStart"/>
      <w:r w:rsidRPr="00D17043">
        <w:rPr>
          <w:lang w:val="en-GB"/>
        </w:rPr>
        <w:t>Prakas</w:t>
      </w:r>
      <w:proofErr w:type="spellEnd"/>
      <w:r w:rsidRPr="00D17043">
        <w:rPr>
          <w:lang w:val="en-GB"/>
        </w:rPr>
        <w:t xml:space="preserve"> et al., 2001). The Fischer-</w:t>
      </w:r>
      <w:proofErr w:type="spellStart"/>
      <w:r w:rsidRPr="00D17043">
        <w:rPr>
          <w:lang w:val="en-GB"/>
        </w:rPr>
        <w:t>Tropsch</w:t>
      </w:r>
      <w:proofErr w:type="spellEnd"/>
      <w:r w:rsidRPr="00D17043">
        <w:rPr>
          <w:lang w:val="en-GB"/>
        </w:rPr>
        <w:t xml:space="preserve"> synthesis is one of carbon capture utili</w:t>
      </w:r>
      <w:r w:rsidR="00347554">
        <w:rPr>
          <w:lang w:val="en-GB"/>
        </w:rPr>
        <w:t>z</w:t>
      </w:r>
      <w:r w:rsidRPr="00D17043">
        <w:rPr>
          <w:lang w:val="en-GB"/>
        </w:rPr>
        <w:t>ation technologies potentially used to decrease emitted CO</w:t>
      </w:r>
      <w:r w:rsidRPr="00D17043">
        <w:rPr>
          <w:vertAlign w:val="subscript"/>
          <w:lang w:val="en-GB"/>
        </w:rPr>
        <w:t>2</w:t>
      </w:r>
      <w:r w:rsidRPr="00D17043">
        <w:rPr>
          <w:lang w:val="en-GB"/>
        </w:rPr>
        <w:t xml:space="preserve"> and producing synthetic fuels which are environmentally much more favo</w:t>
      </w:r>
      <w:r w:rsidR="00347554">
        <w:rPr>
          <w:lang w:val="en-GB"/>
        </w:rPr>
        <w:t>u</w:t>
      </w:r>
      <w:r w:rsidRPr="00D17043">
        <w:rPr>
          <w:lang w:val="en-GB"/>
        </w:rPr>
        <w:t>rable than petroleum-derived fuels (</w:t>
      </w:r>
      <w:proofErr w:type="spellStart"/>
      <w:r w:rsidRPr="00D17043">
        <w:rPr>
          <w:lang w:val="en-GB"/>
        </w:rPr>
        <w:t>Kratky</w:t>
      </w:r>
      <w:proofErr w:type="spellEnd"/>
      <w:r w:rsidRPr="00D17043">
        <w:rPr>
          <w:lang w:val="en-GB"/>
        </w:rPr>
        <w:t>, 2018). In biochemical processes these contactors are used for fermentation, biological wastewater treatment and CO</w:t>
      </w:r>
      <w:r w:rsidRPr="00D17043">
        <w:rPr>
          <w:vertAlign w:val="subscript"/>
          <w:lang w:val="en-GB"/>
        </w:rPr>
        <w:t>2</w:t>
      </w:r>
      <w:r w:rsidRPr="00D17043">
        <w:rPr>
          <w:lang w:val="en-GB"/>
        </w:rPr>
        <w:t xml:space="preserve"> utilization by algae cultivation (</w:t>
      </w:r>
      <w:proofErr w:type="spellStart"/>
      <w:r w:rsidRPr="00D17043">
        <w:rPr>
          <w:lang w:val="en-GB"/>
        </w:rPr>
        <w:t>Bělohlav</w:t>
      </w:r>
      <w:proofErr w:type="spellEnd"/>
      <w:r w:rsidRPr="00D17043">
        <w:rPr>
          <w:lang w:val="en-GB"/>
        </w:rPr>
        <w:t xml:space="preserve"> et al., 2017, </w:t>
      </w:r>
      <w:proofErr w:type="spellStart"/>
      <w:r w:rsidRPr="00D17043">
        <w:rPr>
          <w:lang w:val="en-GB"/>
        </w:rPr>
        <w:t>Žáková</w:t>
      </w:r>
      <w:proofErr w:type="spellEnd"/>
      <w:r w:rsidRPr="00D17043">
        <w:rPr>
          <w:lang w:val="en-GB"/>
        </w:rPr>
        <w:t xml:space="preserve"> et al., 2018).</w:t>
      </w:r>
    </w:p>
    <w:p w:rsidR="00F00978" w:rsidRPr="00D17043" w:rsidRDefault="00F00978">
      <w:pPr>
        <w:pStyle w:val="CETBodytext"/>
        <w:rPr>
          <w:lang w:val="en-GB"/>
        </w:rPr>
      </w:pPr>
      <w:r w:rsidRPr="00D17043">
        <w:rPr>
          <w:lang w:val="en-GB"/>
        </w:rPr>
        <w:t xml:space="preserve">Literature studies published are focused on </w:t>
      </w:r>
      <w:r w:rsidR="00347554">
        <w:rPr>
          <w:lang w:val="en-GB"/>
        </w:rPr>
        <w:t xml:space="preserve">the </w:t>
      </w:r>
      <w:r w:rsidRPr="00D17043">
        <w:rPr>
          <w:lang w:val="en-GB"/>
        </w:rPr>
        <w:t>determination of (</w:t>
      </w:r>
      <w:proofErr w:type="spellStart"/>
      <w:r w:rsidRPr="00D17043">
        <w:rPr>
          <w:lang w:val="en-GB"/>
        </w:rPr>
        <w:t>i</w:t>
      </w:r>
      <w:proofErr w:type="spellEnd"/>
      <w:r w:rsidRPr="00D17043">
        <w:rPr>
          <w:lang w:val="en-GB"/>
        </w:rPr>
        <w:t xml:space="preserve">) bed-to-wall heat transfer coefficients, and (ii) immersed object-to-bed heat transfer coefficients in two- and three-phase systems. In our previous work the gas-to-liquid heat transfer coefficient was determined in </w:t>
      </w:r>
      <w:r w:rsidR="00347554">
        <w:rPr>
          <w:lang w:val="en-GB"/>
        </w:rPr>
        <w:t xml:space="preserve">the </w:t>
      </w:r>
      <w:r w:rsidRPr="00D17043">
        <w:rPr>
          <w:lang w:val="en-GB"/>
        </w:rPr>
        <w:t>air-water system for two different multi-orifice aerators by own proposed non-steady state method (</w:t>
      </w:r>
      <w:proofErr w:type="spellStart"/>
      <w:r w:rsidRPr="00D17043">
        <w:rPr>
          <w:lang w:val="en-GB"/>
        </w:rPr>
        <w:t>Žižka</w:t>
      </w:r>
      <w:proofErr w:type="spellEnd"/>
      <w:r w:rsidRPr="00D17043">
        <w:rPr>
          <w:lang w:val="en-GB"/>
        </w:rPr>
        <w:t xml:space="preserve"> et al., 2017). The coalescence of bubbles is a</w:t>
      </w:r>
      <w:r w:rsidR="00347554">
        <w:rPr>
          <w:lang w:val="en-GB"/>
        </w:rPr>
        <w:t xml:space="preserve"> vital</w:t>
      </w:r>
      <w:r w:rsidRPr="00D17043">
        <w:rPr>
          <w:lang w:val="en-GB"/>
        </w:rPr>
        <w:t xml:space="preserve"> phenomenon affecting process characteristics such as hold-up, mass and heat transfer. Th</w:t>
      </w:r>
      <w:r w:rsidR="00347554">
        <w:rPr>
          <w:lang w:val="en-GB"/>
        </w:rPr>
        <w:t xml:space="preserve">is papers </w:t>
      </w:r>
      <w:r w:rsidRPr="00D17043">
        <w:rPr>
          <w:lang w:val="en-GB"/>
        </w:rPr>
        <w:t>aim</w:t>
      </w:r>
      <w:r w:rsidR="00347554">
        <w:rPr>
          <w:lang w:val="en-GB"/>
        </w:rPr>
        <w:t xml:space="preserve">s </w:t>
      </w:r>
      <w:r w:rsidRPr="00D17043">
        <w:rPr>
          <w:lang w:val="en-GB"/>
        </w:rPr>
        <w:t xml:space="preserve">to determine </w:t>
      </w:r>
      <w:r w:rsidR="00347554">
        <w:rPr>
          <w:lang w:val="en-GB"/>
        </w:rPr>
        <w:t xml:space="preserve">the </w:t>
      </w:r>
      <w:r w:rsidRPr="00D17043">
        <w:rPr>
          <w:lang w:val="en-GB"/>
        </w:rPr>
        <w:t>heat transfer coefficient between gas and non-coalescent liquid for two different aerator patterns. This study was performed on the bubble column 0.15 m in diameter with various liquid levels and for various superficial gas velocities. The aqueous solution of 0.3 M Na</w:t>
      </w:r>
      <w:r w:rsidRPr="00D17043">
        <w:rPr>
          <w:vertAlign w:val="subscript"/>
          <w:lang w:val="en-GB"/>
        </w:rPr>
        <w:t>2</w:t>
      </w:r>
      <w:r w:rsidRPr="00D17043">
        <w:rPr>
          <w:lang w:val="en-GB"/>
        </w:rPr>
        <w:t>SO</w:t>
      </w:r>
      <w:r w:rsidRPr="00D17043">
        <w:rPr>
          <w:vertAlign w:val="subscript"/>
          <w:lang w:val="en-GB"/>
        </w:rPr>
        <w:t>4</w:t>
      </w:r>
      <w:r w:rsidRPr="00D17043">
        <w:rPr>
          <w:lang w:val="en-GB"/>
        </w:rPr>
        <w:t xml:space="preserve"> was used as a non-coalescent batch. The gas-to-liquid heat transfer coefficient was determined by a non-steady state method. The obtained results were compared with gas-to-liquid heat transfer coefficients measured for </w:t>
      </w:r>
      <w:r w:rsidR="00347554">
        <w:rPr>
          <w:lang w:val="en-GB"/>
        </w:rPr>
        <w:t xml:space="preserve">the </w:t>
      </w:r>
      <w:r w:rsidRPr="00D17043">
        <w:rPr>
          <w:lang w:val="en-GB"/>
        </w:rPr>
        <w:t xml:space="preserve">coalescent liquid batch.    </w:t>
      </w:r>
    </w:p>
    <w:p w:rsidR="00F00978" w:rsidRPr="00D17043" w:rsidRDefault="00BE27B2" w:rsidP="00BE27B2">
      <w:pPr>
        <w:pStyle w:val="CETHeading1"/>
        <w:numPr>
          <w:ilvl w:val="0"/>
          <w:numId w:val="0"/>
        </w:numPr>
        <w:rPr>
          <w:lang w:val="en-GB"/>
        </w:rPr>
      </w:pPr>
      <w:r>
        <w:rPr>
          <w:lang w:val="en-GB"/>
        </w:rPr>
        <w:t xml:space="preserve">2. </w:t>
      </w:r>
      <w:r w:rsidR="00F00978" w:rsidRPr="00D17043">
        <w:rPr>
          <w:lang w:val="en-GB"/>
        </w:rPr>
        <w:t xml:space="preserve">Theoretical background </w:t>
      </w:r>
    </w:p>
    <w:p w:rsidR="00F00978" w:rsidRPr="00D17043" w:rsidRDefault="00BE27B2" w:rsidP="00BE27B2">
      <w:pPr>
        <w:pStyle w:val="CETheadingx"/>
      </w:pPr>
      <w:r>
        <w:t xml:space="preserve">2.1 </w:t>
      </w:r>
      <w:r w:rsidR="00F00978" w:rsidRPr="00D17043">
        <w:t>Coalescence</w:t>
      </w:r>
    </w:p>
    <w:p w:rsidR="00F00978" w:rsidRPr="00D17043" w:rsidRDefault="00F00978">
      <w:pPr>
        <w:pStyle w:val="CETBodytext"/>
        <w:rPr>
          <w:lang w:val="en-GB"/>
        </w:rPr>
      </w:pPr>
      <w:r w:rsidRPr="00D17043">
        <w:rPr>
          <w:lang w:val="en-GB"/>
        </w:rPr>
        <w:t xml:space="preserve">Approaching two bubbles to each other the liquid is drained from the space between bubbles and liquid film thickness decreases. If the liquid film is ruptured, the bubbles coalesce and form one bigger bubble. </w:t>
      </w:r>
      <w:r w:rsidR="00FA0F1D" w:rsidRPr="00FA0F1D">
        <w:rPr>
          <w:lang w:val="en-GB"/>
        </w:rPr>
        <w:t>Many authors investigated the effect of the salt ions on bubble coalescence</w:t>
      </w:r>
      <w:r w:rsidRPr="00D17043">
        <w:rPr>
          <w:lang w:val="en-GB"/>
        </w:rPr>
        <w:t xml:space="preserve"> (e.g.</w:t>
      </w:r>
      <w:r w:rsidR="00FA0F1D">
        <w:rPr>
          <w:lang w:val="en-GB"/>
        </w:rPr>
        <w:t>,</w:t>
      </w:r>
      <w:r w:rsidRPr="00D17043">
        <w:rPr>
          <w:lang w:val="en-GB"/>
        </w:rPr>
        <w:t xml:space="preserve"> </w:t>
      </w:r>
      <w:proofErr w:type="spellStart"/>
      <w:r w:rsidRPr="00D17043">
        <w:rPr>
          <w:lang w:val="en-GB"/>
        </w:rPr>
        <w:t>Marrucci</w:t>
      </w:r>
      <w:proofErr w:type="spellEnd"/>
      <w:r w:rsidRPr="00D17043">
        <w:rPr>
          <w:lang w:val="en-GB"/>
        </w:rPr>
        <w:t xml:space="preserve">, 1969, Prince and Blanch, 1990, Craig, 2004, Nguyen et al., 2012). </w:t>
      </w:r>
      <w:proofErr w:type="spellStart"/>
      <w:r w:rsidRPr="00D17043">
        <w:rPr>
          <w:lang w:val="en-GB"/>
        </w:rPr>
        <w:t>Marrucci</w:t>
      </w:r>
      <w:proofErr w:type="spellEnd"/>
      <w:r w:rsidRPr="00D17043">
        <w:rPr>
          <w:lang w:val="en-GB"/>
        </w:rPr>
        <w:t xml:space="preserve"> (1969) found that salts inhibit bubble coalescence by retarding the thinning of the liquid film between bubble pairs. The inhibition effect of salts depends on salt concentration. The salt concentration for which bubble coalescence is dramatically reduced is called molar </w:t>
      </w:r>
      <w:r w:rsidRPr="00D17043">
        <w:rPr>
          <w:lang w:val="en-GB"/>
        </w:rPr>
        <w:lastRenderedPageBreak/>
        <w:t>transition concentration c</w:t>
      </w:r>
      <w:r w:rsidRPr="00D17043">
        <w:rPr>
          <w:vertAlign w:val="subscript"/>
          <w:lang w:val="en-GB"/>
        </w:rPr>
        <w:t>t</w:t>
      </w:r>
      <w:r w:rsidRPr="00D17043">
        <w:rPr>
          <w:lang w:val="en-GB"/>
        </w:rPr>
        <w:t xml:space="preserve">. </w:t>
      </w:r>
      <w:proofErr w:type="spellStart"/>
      <w:r w:rsidRPr="00D17043">
        <w:rPr>
          <w:lang w:val="en-GB"/>
        </w:rPr>
        <w:t>Lessard</w:t>
      </w:r>
      <w:proofErr w:type="spellEnd"/>
      <w:r w:rsidRPr="00D17043">
        <w:rPr>
          <w:lang w:val="en-GB"/>
        </w:rPr>
        <w:t xml:space="preserve"> and </w:t>
      </w:r>
      <w:proofErr w:type="spellStart"/>
      <w:r w:rsidRPr="00D17043">
        <w:rPr>
          <w:lang w:val="en-GB"/>
        </w:rPr>
        <w:t>Zieminski</w:t>
      </w:r>
      <w:proofErr w:type="spellEnd"/>
      <w:r w:rsidRPr="00D17043">
        <w:rPr>
          <w:lang w:val="en-GB"/>
        </w:rPr>
        <w:t xml:space="preserve"> (1971) defined transition concentration as the concentration corresponding to 50 % coalescence. They found that this concentration is unique for each salt. </w:t>
      </w:r>
    </w:p>
    <w:p w:rsidR="00F00978" w:rsidRPr="00D17043" w:rsidRDefault="00F00978">
      <w:pPr>
        <w:pStyle w:val="CETBodytext"/>
        <w:rPr>
          <w:lang w:val="en-GB"/>
        </w:rPr>
      </w:pPr>
      <w:r w:rsidRPr="00D17043">
        <w:rPr>
          <w:lang w:val="en-GB"/>
        </w:rPr>
        <w:t xml:space="preserve">The transition concentration can be estimated for various electrolytes using theoretical relations proposed by </w:t>
      </w:r>
      <w:proofErr w:type="spellStart"/>
      <w:r w:rsidRPr="00D17043">
        <w:rPr>
          <w:lang w:val="en-GB"/>
        </w:rPr>
        <w:t>Marrucci</w:t>
      </w:r>
      <w:proofErr w:type="spellEnd"/>
      <w:r w:rsidRPr="00D17043">
        <w:rPr>
          <w:lang w:val="en-GB"/>
        </w:rPr>
        <w:t xml:space="preserve"> (1969) or Prince and Blanch (1990a).</w:t>
      </w:r>
    </w:p>
    <w:p w:rsidR="00F00978" w:rsidRPr="00D17043" w:rsidRDefault="00F00978">
      <w:pPr>
        <w:pStyle w:val="CETBodytext"/>
        <w:rPr>
          <w:lang w:val="en-GB"/>
        </w:rPr>
      </w:pPr>
      <w:r w:rsidRPr="00D17043">
        <w:rPr>
          <w:lang w:val="en-GB"/>
        </w:rPr>
        <w:t xml:space="preserve">Prince and Blanch (1990b) investigated the bubble coalescence and bubble break-up in turbulent gas-liquid dispersions. The distilled water and solutions of inorganic salts (sodium chloride, sodium sulphate) were used as the </w:t>
      </w:r>
      <w:r w:rsidR="00FA0F1D">
        <w:rPr>
          <w:lang w:val="en-GB"/>
        </w:rPr>
        <w:t>model</w:t>
      </w:r>
      <w:r w:rsidRPr="00D17043">
        <w:rPr>
          <w:lang w:val="en-GB"/>
        </w:rPr>
        <w:t xml:space="preserve"> liquid. The molar concentration of sodium sulphate was changed in the range from 0.004 </w:t>
      </w:r>
      <w:proofErr w:type="gramStart"/>
      <w:r w:rsidRPr="00D17043">
        <w:rPr>
          <w:lang w:val="en-GB"/>
        </w:rPr>
        <w:t>to 0.033 mol/L.</w:t>
      </w:r>
      <w:proofErr w:type="gramEnd"/>
      <w:r w:rsidRPr="00D17043">
        <w:rPr>
          <w:lang w:val="en-GB"/>
        </w:rPr>
        <w:t xml:space="preserve"> The molar concentration of sodium chloride was changed from 0.035 to 0.1 mol/L. Craig (2004) proposed combining rule for various salt ions enabling to estimated the effect of given salt on bubble coalescence. It can explain that some salts inhibit bubble coalescence (e.g. sodium chloride, lithium chloride) and other salts do not inhibit coalescence (e.g.</w:t>
      </w:r>
      <w:r w:rsidR="00FA0F1D">
        <w:rPr>
          <w:lang w:val="en-GB"/>
        </w:rPr>
        <w:t>,</w:t>
      </w:r>
      <w:r w:rsidRPr="00D17043">
        <w:rPr>
          <w:lang w:val="en-GB"/>
        </w:rPr>
        <w:t xml:space="preserve"> sodium chlorate). The similar results were obtained by molecular dynamics simulation (e.g.</w:t>
      </w:r>
      <w:r w:rsidR="00FA0F1D">
        <w:rPr>
          <w:lang w:val="en-GB"/>
        </w:rPr>
        <w:t>,</w:t>
      </w:r>
      <w:r w:rsidRPr="00D17043">
        <w:rPr>
          <w:lang w:val="en-GB"/>
        </w:rPr>
        <w:t xml:space="preserve"> </w:t>
      </w:r>
      <w:proofErr w:type="spellStart"/>
      <w:r w:rsidRPr="00D17043">
        <w:rPr>
          <w:lang w:val="en-GB"/>
        </w:rPr>
        <w:t>Jungwirth</w:t>
      </w:r>
      <w:proofErr w:type="spellEnd"/>
      <w:r w:rsidRPr="00D17043">
        <w:rPr>
          <w:lang w:val="en-GB"/>
        </w:rPr>
        <w:t xml:space="preserve"> and Tobias, 2006).</w:t>
      </w:r>
    </w:p>
    <w:p w:rsidR="00F00978" w:rsidRPr="00D17043" w:rsidRDefault="00F00978">
      <w:pPr>
        <w:pStyle w:val="CETBodytext"/>
        <w:rPr>
          <w:lang w:val="en-GB"/>
        </w:rPr>
      </w:pPr>
      <w:proofErr w:type="spellStart"/>
      <w:r w:rsidRPr="00D17043">
        <w:rPr>
          <w:lang w:val="en-GB"/>
        </w:rPr>
        <w:t>Zahradnik</w:t>
      </w:r>
      <w:proofErr w:type="spellEnd"/>
      <w:r w:rsidRPr="00D17043">
        <w:rPr>
          <w:lang w:val="en-GB"/>
        </w:rPr>
        <w:t xml:space="preserve"> et al. (1999) investigated the coalescence phenomena in aqueous solutions of aliphatic alcohols C1-C8 and electrolytes (</w:t>
      </w:r>
      <w:proofErr w:type="spellStart"/>
      <w:r w:rsidRPr="00D17043">
        <w:rPr>
          <w:lang w:val="en-GB"/>
        </w:rPr>
        <w:t>NaCl</w:t>
      </w:r>
      <w:proofErr w:type="spellEnd"/>
      <w:r w:rsidRPr="00D17043">
        <w:rPr>
          <w:lang w:val="en-GB"/>
        </w:rPr>
        <w:t xml:space="preserve">, </w:t>
      </w:r>
      <w:proofErr w:type="spellStart"/>
      <w:r w:rsidRPr="00D17043">
        <w:rPr>
          <w:lang w:val="en-GB"/>
        </w:rPr>
        <w:t>KCl</w:t>
      </w:r>
      <w:proofErr w:type="spellEnd"/>
      <w:r w:rsidRPr="00D17043">
        <w:rPr>
          <w:lang w:val="en-GB"/>
        </w:rPr>
        <w:t xml:space="preserve">, KI, </w:t>
      </w:r>
      <w:proofErr w:type="spellStart"/>
      <w:r w:rsidRPr="00D17043">
        <w:rPr>
          <w:lang w:val="en-GB"/>
        </w:rPr>
        <w:t>NaSCN</w:t>
      </w:r>
      <w:proofErr w:type="spellEnd"/>
      <w:r w:rsidRPr="00D17043">
        <w:rPr>
          <w:lang w:val="en-GB"/>
        </w:rPr>
        <w:t xml:space="preserve">, </w:t>
      </w:r>
      <w:proofErr w:type="spellStart"/>
      <w:r w:rsidRPr="00D17043">
        <w:rPr>
          <w:lang w:val="en-GB"/>
        </w:rPr>
        <w:t>NaOH</w:t>
      </w:r>
      <w:proofErr w:type="spellEnd"/>
      <w:r w:rsidRPr="00D17043">
        <w:rPr>
          <w:lang w:val="en-GB"/>
        </w:rPr>
        <w:t>, CaCl</w:t>
      </w:r>
      <w:r w:rsidRPr="00D17043">
        <w:rPr>
          <w:vertAlign w:val="subscript"/>
          <w:lang w:val="en-GB"/>
        </w:rPr>
        <w:t>2</w:t>
      </w:r>
      <w:r w:rsidRPr="00D17043">
        <w:rPr>
          <w:lang w:val="en-GB"/>
        </w:rPr>
        <w:t>, BaCl</w:t>
      </w:r>
      <w:r w:rsidRPr="00D17043">
        <w:rPr>
          <w:vertAlign w:val="subscript"/>
          <w:lang w:val="en-GB"/>
        </w:rPr>
        <w:t>2</w:t>
      </w:r>
      <w:r w:rsidRPr="00D17043">
        <w:rPr>
          <w:lang w:val="en-GB"/>
        </w:rPr>
        <w:t>, Na</w:t>
      </w:r>
      <w:r w:rsidRPr="00D17043">
        <w:rPr>
          <w:vertAlign w:val="subscript"/>
          <w:lang w:val="en-GB"/>
        </w:rPr>
        <w:t>2</w:t>
      </w:r>
      <w:r w:rsidRPr="00D17043">
        <w:rPr>
          <w:lang w:val="en-GB"/>
        </w:rPr>
        <w:t>SO</w:t>
      </w:r>
      <w:r w:rsidRPr="00D17043">
        <w:rPr>
          <w:vertAlign w:val="subscript"/>
          <w:lang w:val="en-GB"/>
        </w:rPr>
        <w:t>4</w:t>
      </w:r>
      <w:r w:rsidRPr="00D17043">
        <w:rPr>
          <w:lang w:val="en-GB"/>
        </w:rPr>
        <w:t>, MgSO</w:t>
      </w:r>
      <w:r w:rsidRPr="00D17043">
        <w:rPr>
          <w:vertAlign w:val="subscript"/>
          <w:lang w:val="en-GB"/>
        </w:rPr>
        <w:t>4</w:t>
      </w:r>
      <w:r w:rsidRPr="00D17043">
        <w:rPr>
          <w:lang w:val="en-GB"/>
        </w:rPr>
        <w:t xml:space="preserve">) and in viscous aqueous solutions with Newtonian and non-Newtonian behaviour. For sodium sulphate the transition concentration equal </w:t>
      </w:r>
      <w:proofErr w:type="gramStart"/>
      <w:r w:rsidR="00FA0F1D">
        <w:rPr>
          <w:lang w:val="en-GB"/>
        </w:rPr>
        <w:t xml:space="preserve">to </w:t>
      </w:r>
      <w:r w:rsidRPr="00D17043">
        <w:rPr>
          <w:lang w:val="en-GB"/>
        </w:rPr>
        <w:t>0.051 mol/L</w:t>
      </w:r>
      <w:proofErr w:type="gramEnd"/>
      <w:r w:rsidRPr="00D17043">
        <w:rPr>
          <w:lang w:val="en-GB"/>
        </w:rPr>
        <w:t xml:space="preserve"> was found experimentally. For sodium sulphate the coalescence percentage was found to be in the range from 10 to 15 % for molar concentration in the range from 0.062 to 0.3 mol/L. Nguyen et al. (2012) reported that the transition salt concentration for bubble coalescence and gas holdup depends not only on the salt properties (i.e.</w:t>
      </w:r>
      <w:r w:rsidR="00FA0F1D">
        <w:rPr>
          <w:lang w:val="en-GB"/>
        </w:rPr>
        <w:t>,</w:t>
      </w:r>
      <w:r w:rsidRPr="00D17043">
        <w:rPr>
          <w:lang w:val="en-GB"/>
        </w:rPr>
        <w:t xml:space="preserve"> the ion type and their combination), but also on the hydrodynamic conditions. The effect of gas velocity, salt type (</w:t>
      </w:r>
      <w:proofErr w:type="spellStart"/>
      <w:r w:rsidRPr="00D17043">
        <w:rPr>
          <w:lang w:val="en-GB"/>
        </w:rPr>
        <w:t>NaCl</w:t>
      </w:r>
      <w:proofErr w:type="spellEnd"/>
      <w:r w:rsidRPr="00D17043">
        <w:rPr>
          <w:lang w:val="en-GB"/>
        </w:rPr>
        <w:t xml:space="preserve">, </w:t>
      </w:r>
      <w:proofErr w:type="spellStart"/>
      <w:r w:rsidRPr="00D17043">
        <w:rPr>
          <w:lang w:val="en-GB"/>
        </w:rPr>
        <w:t>NaF</w:t>
      </w:r>
      <w:proofErr w:type="spellEnd"/>
      <w:r w:rsidRPr="00D17043">
        <w:rPr>
          <w:lang w:val="en-GB"/>
        </w:rPr>
        <w:t xml:space="preserve">, </w:t>
      </w:r>
      <w:proofErr w:type="spellStart"/>
      <w:r w:rsidRPr="00D17043">
        <w:rPr>
          <w:lang w:val="en-GB"/>
        </w:rPr>
        <w:t>NaBr</w:t>
      </w:r>
      <w:proofErr w:type="spellEnd"/>
      <w:r w:rsidRPr="00D17043">
        <w:rPr>
          <w:lang w:val="en-GB"/>
        </w:rPr>
        <w:t xml:space="preserve">, </w:t>
      </w:r>
      <w:proofErr w:type="spellStart"/>
      <w:r w:rsidRPr="00D17043">
        <w:rPr>
          <w:lang w:val="en-GB"/>
        </w:rPr>
        <w:t>NaI</w:t>
      </w:r>
      <w:proofErr w:type="spellEnd"/>
      <w:r w:rsidRPr="00D17043">
        <w:rPr>
          <w:lang w:val="en-GB"/>
        </w:rPr>
        <w:t xml:space="preserve"> and </w:t>
      </w:r>
      <w:proofErr w:type="spellStart"/>
      <w:r w:rsidRPr="00D17043">
        <w:rPr>
          <w:lang w:val="en-GB"/>
        </w:rPr>
        <w:t>CsCl</w:t>
      </w:r>
      <w:proofErr w:type="spellEnd"/>
      <w:r w:rsidRPr="00D17043">
        <w:rPr>
          <w:lang w:val="en-GB"/>
        </w:rPr>
        <w:t>) and salt concentration (0.001-3 mol/L) on bubble coalescence was investigated in a bubble column of 45 mm in inner diameter.</w:t>
      </w:r>
    </w:p>
    <w:p w:rsidR="00F00978" w:rsidRPr="00D17043" w:rsidRDefault="00F00978">
      <w:pPr>
        <w:pStyle w:val="CETBodytext"/>
        <w:rPr>
          <w:lang w:val="en-GB"/>
        </w:rPr>
      </w:pPr>
      <w:r w:rsidRPr="00D17043">
        <w:rPr>
          <w:lang w:val="en-GB"/>
        </w:rPr>
        <w:t xml:space="preserve">The effect of salts on gas holdup was investigated e.g. by </w:t>
      </w:r>
      <w:proofErr w:type="spellStart"/>
      <w:r w:rsidRPr="00D17043">
        <w:rPr>
          <w:lang w:val="en-GB"/>
        </w:rPr>
        <w:t>Kelkar</w:t>
      </w:r>
      <w:proofErr w:type="spellEnd"/>
      <w:r w:rsidRPr="00D17043">
        <w:rPr>
          <w:lang w:val="en-GB"/>
        </w:rPr>
        <w:t xml:space="preserve"> et al. (1983), </w:t>
      </w:r>
      <w:proofErr w:type="spellStart"/>
      <w:r w:rsidRPr="00D17043">
        <w:rPr>
          <w:lang w:val="en-GB"/>
        </w:rPr>
        <w:t>Zahradnik</w:t>
      </w:r>
      <w:proofErr w:type="spellEnd"/>
      <w:r w:rsidRPr="00D17043">
        <w:rPr>
          <w:lang w:val="en-GB"/>
        </w:rPr>
        <w:t xml:space="preserve"> et al. (1997), </w:t>
      </w:r>
      <w:proofErr w:type="spellStart"/>
      <w:r w:rsidRPr="00D17043">
        <w:rPr>
          <w:lang w:val="en-GB"/>
        </w:rPr>
        <w:t>Ribeiro</w:t>
      </w:r>
      <w:proofErr w:type="spellEnd"/>
      <w:r w:rsidRPr="00D17043">
        <w:rPr>
          <w:lang w:val="en-GB"/>
        </w:rPr>
        <w:t xml:space="preserve"> and </w:t>
      </w:r>
      <w:proofErr w:type="spellStart"/>
      <w:r w:rsidRPr="00D17043">
        <w:rPr>
          <w:lang w:val="en-GB"/>
        </w:rPr>
        <w:t>Mewes</w:t>
      </w:r>
      <w:proofErr w:type="spellEnd"/>
      <w:r w:rsidRPr="00D17043">
        <w:rPr>
          <w:lang w:val="en-GB"/>
        </w:rPr>
        <w:t xml:space="preserve"> (2007), </w:t>
      </w:r>
      <w:proofErr w:type="spellStart"/>
      <w:r w:rsidRPr="00D17043">
        <w:rPr>
          <w:lang w:val="en-GB"/>
        </w:rPr>
        <w:t>Orvalho</w:t>
      </w:r>
      <w:proofErr w:type="spellEnd"/>
      <w:r w:rsidRPr="00D17043">
        <w:rPr>
          <w:lang w:val="en-GB"/>
        </w:rPr>
        <w:t xml:space="preserve"> et al. (2009). For tested salt solutions authors report that increasing salt concentration gas holdup increases till the transition concentration is reached. Further increase </w:t>
      </w:r>
      <w:r w:rsidR="00FA0F1D">
        <w:rPr>
          <w:lang w:val="en-GB"/>
        </w:rPr>
        <w:t>in</w:t>
      </w:r>
      <w:r w:rsidRPr="00D17043">
        <w:rPr>
          <w:lang w:val="en-GB"/>
        </w:rPr>
        <w:t xml:space="preserve"> salt concentration </w:t>
      </w:r>
      <w:r w:rsidR="00FA0F1D">
        <w:rPr>
          <w:lang w:val="en-GB"/>
        </w:rPr>
        <w:t>does not a</w:t>
      </w:r>
      <w:r w:rsidRPr="00D17043">
        <w:rPr>
          <w:lang w:val="en-GB"/>
        </w:rPr>
        <w:t>ffect gas holdup. The increase of gas holdup observed for salt solutions is caused by two factors: 1) stabilization of homogeneous flow regime, 2) reduced bubble rising velocity (</w:t>
      </w:r>
      <w:proofErr w:type="spellStart"/>
      <w:r w:rsidRPr="00D17043">
        <w:rPr>
          <w:lang w:val="en-GB"/>
        </w:rPr>
        <w:t>Besagni</w:t>
      </w:r>
      <w:proofErr w:type="spellEnd"/>
      <w:r w:rsidRPr="00D17043">
        <w:rPr>
          <w:lang w:val="en-GB"/>
        </w:rPr>
        <w:t xml:space="preserve"> and </w:t>
      </w:r>
      <w:proofErr w:type="spellStart"/>
      <w:r w:rsidRPr="00D17043">
        <w:rPr>
          <w:lang w:val="en-GB"/>
        </w:rPr>
        <w:t>Inzoli</w:t>
      </w:r>
      <w:proofErr w:type="spellEnd"/>
      <w:r w:rsidRPr="00D17043">
        <w:rPr>
          <w:lang w:val="en-GB"/>
        </w:rPr>
        <w:t xml:space="preserve">, 2017). </w:t>
      </w:r>
      <w:proofErr w:type="spellStart"/>
      <w:r w:rsidRPr="00D17043">
        <w:rPr>
          <w:lang w:val="en-GB"/>
        </w:rPr>
        <w:t>Baz-Rodríguez</w:t>
      </w:r>
      <w:proofErr w:type="spellEnd"/>
      <w:r w:rsidRPr="00D17043">
        <w:rPr>
          <w:lang w:val="en-GB"/>
        </w:rPr>
        <w:t xml:space="preserve"> et al. (2014) investigated the effect of salts (</w:t>
      </w:r>
      <w:proofErr w:type="spellStart"/>
      <w:r w:rsidRPr="00D17043">
        <w:rPr>
          <w:lang w:val="en-GB"/>
        </w:rPr>
        <w:t>NaCl</w:t>
      </w:r>
      <w:proofErr w:type="spellEnd"/>
      <w:r w:rsidRPr="00D17043">
        <w:rPr>
          <w:lang w:val="en-GB"/>
        </w:rPr>
        <w:t>, MgCl</w:t>
      </w:r>
      <w:r w:rsidRPr="00D17043">
        <w:rPr>
          <w:vertAlign w:val="subscript"/>
          <w:lang w:val="en-GB"/>
        </w:rPr>
        <w:t>2</w:t>
      </w:r>
      <w:r w:rsidRPr="00D17043">
        <w:rPr>
          <w:lang w:val="en-GB"/>
        </w:rPr>
        <w:t>, CaCl</w:t>
      </w:r>
      <w:r w:rsidRPr="00D17043">
        <w:rPr>
          <w:vertAlign w:val="subscript"/>
          <w:lang w:val="en-GB"/>
        </w:rPr>
        <w:t>2</w:t>
      </w:r>
      <w:r w:rsidRPr="00D17043">
        <w:rPr>
          <w:lang w:val="en-GB"/>
        </w:rPr>
        <w:t xml:space="preserve">) on oxygen transfer in a bubble column of 95 mm in inner diameter. They found that presence of electrolytes reduces the value of mass transfer coefficient </w:t>
      </w:r>
      <w:proofErr w:type="spellStart"/>
      <w:r w:rsidRPr="00D17043">
        <w:rPr>
          <w:lang w:val="en-GB"/>
        </w:rPr>
        <w:t>k</w:t>
      </w:r>
      <w:r w:rsidRPr="00D17043">
        <w:rPr>
          <w:vertAlign w:val="subscript"/>
          <w:lang w:val="en-GB"/>
        </w:rPr>
        <w:t>L</w:t>
      </w:r>
      <w:proofErr w:type="spellEnd"/>
      <w:r w:rsidRPr="00D17043">
        <w:rPr>
          <w:lang w:val="en-GB"/>
        </w:rPr>
        <w:t xml:space="preserve"> and increases value of interfacial surface more intensively thus the volumetric mass transfer coefficient </w:t>
      </w:r>
      <w:proofErr w:type="spellStart"/>
      <w:r w:rsidRPr="00D17043">
        <w:rPr>
          <w:lang w:val="en-GB"/>
        </w:rPr>
        <w:t>k</w:t>
      </w:r>
      <w:r w:rsidRPr="00D17043">
        <w:rPr>
          <w:vertAlign w:val="subscript"/>
          <w:lang w:val="en-GB"/>
        </w:rPr>
        <w:t>L</w:t>
      </w:r>
      <w:r w:rsidRPr="00D17043">
        <w:rPr>
          <w:lang w:val="en-GB"/>
        </w:rPr>
        <w:t>a</w:t>
      </w:r>
      <w:proofErr w:type="spellEnd"/>
      <w:r w:rsidRPr="00D17043">
        <w:rPr>
          <w:lang w:val="en-GB"/>
        </w:rPr>
        <w:t xml:space="preserve"> increases up to 40-50 % </w:t>
      </w:r>
      <w:r w:rsidR="00FA0F1D">
        <w:rPr>
          <w:lang w:val="en-GB"/>
        </w:rPr>
        <w:t>concerning</w:t>
      </w:r>
      <w:r w:rsidRPr="00D17043">
        <w:rPr>
          <w:lang w:val="en-GB"/>
        </w:rPr>
        <w:t xml:space="preserve"> similar experiments in </w:t>
      </w:r>
      <w:r w:rsidR="00322AD7">
        <w:rPr>
          <w:lang w:val="en-GB"/>
        </w:rPr>
        <w:t xml:space="preserve">an </w:t>
      </w:r>
      <w:r w:rsidRPr="00D17043">
        <w:rPr>
          <w:lang w:val="en-GB"/>
        </w:rPr>
        <w:t xml:space="preserve">air-water system. </w:t>
      </w:r>
    </w:p>
    <w:p w:rsidR="00F00978" w:rsidRPr="00D17043" w:rsidRDefault="00BE27B2" w:rsidP="00BE27B2">
      <w:pPr>
        <w:pStyle w:val="CETheadingx"/>
      </w:pPr>
      <w:r>
        <w:t xml:space="preserve">2.2 </w:t>
      </w:r>
      <w:r w:rsidR="00F00978" w:rsidRPr="00D17043">
        <w:t xml:space="preserve">Measurement method </w:t>
      </w:r>
    </w:p>
    <w:p w:rsidR="00F00978" w:rsidRPr="00D17043" w:rsidRDefault="00F00978">
      <w:pPr>
        <w:pStyle w:val="CETBodytext"/>
        <w:rPr>
          <w:lang w:val="en-GB"/>
        </w:rPr>
      </w:pPr>
      <w:r w:rsidRPr="00D17043">
        <w:rPr>
          <w:lang w:val="en-GB"/>
        </w:rPr>
        <w:t xml:space="preserve">The proposed procedure for experimentally determining the heat transfer between gas and liquid in the column is based on transient heat transfer measurements. The principle of the used method can be shortly described as it follows: The column is filled with a given volume of liquid. A gas at a lower temperature than the liquid is bubbled through the liquid at a constant gas flow rate. Due to the different temperatures of the liquid and the gas, there is heat transfer from the liquid to the gas. The gas is heated and the liquid is cooled. The liquid temperature decreases with time. The exhaust gas temperature changes over time. The inlet gas temperature is practically unchanged and remains constant. If the saturated pressure corresponding to the liquid temperature is higher than the partial pressure of the liquid vapours in the gas stream, there is evaporation of the liquid into the gas stream. </w:t>
      </w:r>
      <w:r w:rsidR="00322AD7">
        <w:rPr>
          <w:lang w:val="en-GB"/>
        </w:rPr>
        <w:t>Besides</w:t>
      </w:r>
      <w:r w:rsidRPr="00D17043">
        <w:rPr>
          <w:lang w:val="en-GB"/>
        </w:rPr>
        <w:t>, if the temperature of the system is higher than the temperature of the surroundings, there are heat losses to the surroundings.</w:t>
      </w:r>
    </w:p>
    <w:p w:rsidR="00F00978" w:rsidRPr="00D17043" w:rsidRDefault="00322AD7">
      <w:pPr>
        <w:pStyle w:val="CETBodytext"/>
        <w:rPr>
          <w:lang w:val="en-GB"/>
        </w:rPr>
      </w:pPr>
      <w:r w:rsidRPr="001A3AF3">
        <w:rPr>
          <w:lang w:val="en-GB"/>
        </w:rPr>
        <w:t xml:space="preserve">Volumetric mass transfer coefficient </w:t>
      </w:r>
      <w:proofErr w:type="spellStart"/>
      <w:r w:rsidRPr="001A3AF3">
        <w:rPr>
          <w:lang w:val="en-GB"/>
        </w:rPr>
        <w:t>k</w:t>
      </w:r>
      <w:r w:rsidRPr="00322AD7">
        <w:rPr>
          <w:vertAlign w:val="subscript"/>
          <w:lang w:val="en-GB"/>
        </w:rPr>
        <w:t>L</w:t>
      </w:r>
      <w:r w:rsidRPr="001A3AF3">
        <w:rPr>
          <w:lang w:val="en-GB"/>
        </w:rPr>
        <w:t>.a</w:t>
      </w:r>
      <w:proofErr w:type="spellEnd"/>
      <w:r w:rsidRPr="001A3AF3">
        <w:rPr>
          <w:lang w:val="en-GB"/>
        </w:rPr>
        <w:t xml:space="preserve"> has often described the gas-to-liquid mass transfer due to difficulties in determining the bubble interfacial area S</w:t>
      </w:r>
      <w:r w:rsidRPr="001A3AF3">
        <w:rPr>
          <w:vertAlign w:val="subscript"/>
          <w:lang w:val="en-GB"/>
        </w:rPr>
        <w:t>b</w:t>
      </w:r>
      <w:r w:rsidRPr="001A3AF3">
        <w:rPr>
          <w:lang w:val="en-GB"/>
        </w:rPr>
        <w:t>.</w:t>
      </w:r>
      <w:r w:rsidRPr="00D17043">
        <w:rPr>
          <w:lang w:val="en-GB"/>
        </w:rPr>
        <w:t xml:space="preserve"> </w:t>
      </w:r>
      <w:r w:rsidR="00F00978" w:rsidRPr="00D17043">
        <w:rPr>
          <w:lang w:val="en-GB"/>
        </w:rPr>
        <w:t xml:space="preserve">By analogy, the gas-to-liquid heat transfer can be characterized </w:t>
      </w:r>
      <w:r>
        <w:rPr>
          <w:lang w:val="en-GB"/>
        </w:rPr>
        <w:t xml:space="preserve">employing </w:t>
      </w:r>
      <w:r w:rsidR="00F00978" w:rsidRPr="00D17043">
        <w:rPr>
          <w:lang w:val="en-GB"/>
        </w:rPr>
        <w:t xml:space="preserve">volumetric gas-to-liquid heat transfer coefficient </w:t>
      </w:r>
      <w:r w:rsidR="00F00978" w:rsidRPr="00D17043">
        <w:rPr>
          <w:lang w:val="en-GB"/>
        </w:rPr>
        <w:sym w:font="Symbol" w:char="F061"/>
      </w:r>
      <w:r w:rsidR="00F00978" w:rsidRPr="00D17043">
        <w:rPr>
          <w:lang w:val="en-GB"/>
        </w:rPr>
        <w:t>.a (W m</w:t>
      </w:r>
      <w:r w:rsidR="00F00978" w:rsidRPr="00D17043">
        <w:rPr>
          <w:vertAlign w:val="superscript"/>
          <w:lang w:val="en-GB"/>
        </w:rPr>
        <w:t>-3</w:t>
      </w:r>
      <w:r w:rsidR="00F00978" w:rsidRPr="00D17043">
        <w:rPr>
          <w:lang w:val="en-GB"/>
        </w:rPr>
        <w:t xml:space="preserve"> K</w:t>
      </w:r>
      <w:r w:rsidR="00F00978" w:rsidRPr="00D17043">
        <w:rPr>
          <w:vertAlign w:val="superscript"/>
          <w:lang w:val="en-GB"/>
        </w:rPr>
        <w:t>-1</w:t>
      </w:r>
      <w:r w:rsidR="00F00978" w:rsidRPr="00D17043">
        <w:rPr>
          <w:lang w:val="en-GB"/>
        </w:rPr>
        <w:t>), which is defined as follows:</w:t>
      </w:r>
    </w:p>
    <w:tbl>
      <w:tblPr>
        <w:tblW w:w="4822" w:type="pct"/>
        <w:tblInd w:w="108" w:type="dxa"/>
        <w:tblLook w:val="0000"/>
      </w:tblPr>
      <w:tblGrid>
        <w:gridCol w:w="7513"/>
        <w:gridCol w:w="1169"/>
      </w:tblGrid>
      <w:tr w:rsidR="00F00978" w:rsidRPr="00624005" w:rsidTr="00BE27B2">
        <w:tc>
          <w:tcPr>
            <w:tcW w:w="7513" w:type="dxa"/>
            <w:tcBorders>
              <w:top w:val="nil"/>
              <w:left w:val="nil"/>
              <w:bottom w:val="nil"/>
              <w:right w:val="nil"/>
            </w:tcBorders>
            <w:vAlign w:val="center"/>
          </w:tcPr>
          <w:p w:rsidR="00F00978" w:rsidRPr="00624005" w:rsidRDefault="00F00978">
            <w:pPr>
              <w:pStyle w:val="CETBodytext"/>
              <w:spacing w:before="120" w:after="120"/>
              <w:rPr>
                <w:rFonts w:eastAsiaTheme="minorEastAsia"/>
                <w:lang w:val="en-GB" w:eastAsia="en-US"/>
              </w:rPr>
            </w:pPr>
            <w:r w:rsidRPr="00624005">
              <w:rPr>
                <w:rFonts w:eastAsiaTheme="minorEastAsia"/>
                <w:position w:val="-12"/>
                <w:lang w:val="en-GB" w:eastAsia="en-US"/>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18.25pt" o:ole="">
                  <v:imagedata r:id="rId9" o:title=""/>
                </v:shape>
                <o:OLEObject Type="Embed" ProgID="Equation.3" ShapeID="_x0000_i1025" DrawAspect="Content" ObjectID="_1616601213" r:id="rId10"/>
              </w:object>
            </w:r>
          </w:p>
        </w:tc>
        <w:tc>
          <w:tcPr>
            <w:tcW w:w="1169" w:type="dxa"/>
            <w:tcBorders>
              <w:top w:val="nil"/>
              <w:left w:val="nil"/>
              <w:bottom w:val="nil"/>
              <w:right w:val="nil"/>
            </w:tcBorders>
            <w:vAlign w:val="center"/>
          </w:tcPr>
          <w:p w:rsidR="00F00978" w:rsidRPr="00624005" w:rsidRDefault="00F00978">
            <w:pPr>
              <w:pStyle w:val="CETBodytext"/>
              <w:spacing w:before="120" w:after="120"/>
              <w:jc w:val="right"/>
              <w:rPr>
                <w:rFonts w:eastAsiaTheme="minorEastAsia"/>
                <w:lang w:val="en-GB" w:eastAsia="en-US"/>
              </w:rPr>
            </w:pPr>
            <w:r w:rsidRPr="00624005">
              <w:rPr>
                <w:rFonts w:eastAsiaTheme="minorEastAsia"/>
                <w:lang w:val="en-GB" w:eastAsia="en-US"/>
              </w:rPr>
              <w:t>(1)</w:t>
            </w:r>
          </w:p>
        </w:tc>
      </w:tr>
    </w:tbl>
    <w:p w:rsidR="00F00978" w:rsidRPr="00D17043" w:rsidRDefault="00F00978">
      <w:pPr>
        <w:pStyle w:val="CETBodytext"/>
        <w:rPr>
          <w:lang w:val="en-GB"/>
        </w:rPr>
      </w:pPr>
      <w:proofErr w:type="gramStart"/>
      <w:r w:rsidRPr="00D17043">
        <w:rPr>
          <w:lang w:val="en-GB"/>
        </w:rPr>
        <w:t>where</w:t>
      </w:r>
      <w:proofErr w:type="gramEnd"/>
      <w:r w:rsidRPr="00D17043">
        <w:rPr>
          <w:lang w:val="en-GB"/>
        </w:rPr>
        <w:t xml:space="preserve"> V</w:t>
      </w:r>
      <w:r w:rsidRPr="00D17043">
        <w:rPr>
          <w:vertAlign w:val="subscript"/>
          <w:lang w:val="en-GB"/>
        </w:rPr>
        <w:t>L0</w:t>
      </w:r>
      <w:r w:rsidRPr="00D17043">
        <w:rPr>
          <w:lang w:val="en-GB"/>
        </w:rPr>
        <w:t xml:space="preserve"> is the equipment/bed volume that corresponds to the volume of a non-gassed liquid batch (m</w:t>
      </w:r>
      <w:r w:rsidRPr="00D17043">
        <w:rPr>
          <w:vertAlign w:val="superscript"/>
          <w:lang w:val="en-GB"/>
        </w:rPr>
        <w:t>3</w:t>
      </w:r>
      <w:r w:rsidRPr="00D17043">
        <w:rPr>
          <w:lang w:val="en-GB"/>
        </w:rPr>
        <w:t>).</w:t>
      </w:r>
    </w:p>
    <w:p w:rsidR="00F00978" w:rsidRPr="00D17043" w:rsidRDefault="00BE27B2" w:rsidP="00BE27B2">
      <w:pPr>
        <w:pStyle w:val="CETHeading1"/>
        <w:numPr>
          <w:ilvl w:val="0"/>
          <w:numId w:val="0"/>
        </w:numPr>
        <w:tabs>
          <w:tab w:val="right" w:pos="7100"/>
        </w:tabs>
        <w:jc w:val="both"/>
        <w:rPr>
          <w:lang w:val="en-GB"/>
        </w:rPr>
      </w:pPr>
      <w:r>
        <w:rPr>
          <w:lang w:val="en-GB"/>
        </w:rPr>
        <w:t xml:space="preserve">3. </w:t>
      </w:r>
      <w:r w:rsidR="00F00978" w:rsidRPr="00D17043">
        <w:rPr>
          <w:lang w:val="en-GB"/>
        </w:rPr>
        <w:t xml:space="preserve">Experimental  </w:t>
      </w:r>
    </w:p>
    <w:p w:rsidR="00F00978" w:rsidRDefault="00F00978">
      <w:pPr>
        <w:pStyle w:val="CETBodytext"/>
        <w:rPr>
          <w:lang w:val="en-GB"/>
        </w:rPr>
      </w:pPr>
      <w:r w:rsidRPr="00D17043">
        <w:rPr>
          <w:lang w:val="en-GB"/>
        </w:rPr>
        <w:t xml:space="preserve">The sodium sulphate acting as </w:t>
      </w:r>
      <w:r w:rsidR="00322AD7">
        <w:rPr>
          <w:lang w:val="en-GB"/>
        </w:rPr>
        <w:t xml:space="preserve">a </w:t>
      </w:r>
      <w:r w:rsidRPr="00D17043">
        <w:rPr>
          <w:lang w:val="en-GB"/>
        </w:rPr>
        <w:t>surface active substance was used to obtain non-coalescence liquid behavio</w:t>
      </w:r>
      <w:r w:rsidR="00322AD7">
        <w:rPr>
          <w:lang w:val="en-GB"/>
        </w:rPr>
        <w:t>u</w:t>
      </w:r>
      <w:r w:rsidRPr="00D17043">
        <w:rPr>
          <w:lang w:val="en-GB"/>
        </w:rPr>
        <w:t xml:space="preserve">r. The aqueous solution of sodium sulphate having </w:t>
      </w:r>
      <w:r w:rsidR="00322AD7">
        <w:rPr>
          <w:lang w:val="en-GB"/>
        </w:rPr>
        <w:t xml:space="preserve">a </w:t>
      </w:r>
      <w:r w:rsidRPr="00D17043">
        <w:rPr>
          <w:lang w:val="en-GB"/>
        </w:rPr>
        <w:t xml:space="preserve">molar concentration </w:t>
      </w:r>
      <w:proofErr w:type="gramStart"/>
      <w:r w:rsidRPr="00D17043">
        <w:rPr>
          <w:lang w:val="en-GB"/>
        </w:rPr>
        <w:t>of 0.3 mol/L</w:t>
      </w:r>
      <w:proofErr w:type="gramEnd"/>
      <w:r w:rsidRPr="00D17043">
        <w:rPr>
          <w:lang w:val="en-GB"/>
        </w:rPr>
        <w:t xml:space="preserve"> was prepared from deioni</w:t>
      </w:r>
      <w:r w:rsidR="00322AD7">
        <w:rPr>
          <w:lang w:val="en-GB"/>
        </w:rPr>
        <w:t>s</w:t>
      </w:r>
      <w:r w:rsidRPr="00D17043">
        <w:rPr>
          <w:lang w:val="en-GB"/>
        </w:rPr>
        <w:t xml:space="preserve">ed water and solid sodium sulphate (p.a. quality, </w:t>
      </w:r>
      <w:proofErr w:type="spellStart"/>
      <w:r w:rsidRPr="00D17043">
        <w:rPr>
          <w:lang w:val="en-GB"/>
        </w:rPr>
        <w:t>Lach-Ner</w:t>
      </w:r>
      <w:proofErr w:type="spellEnd"/>
      <w:r w:rsidRPr="00D17043">
        <w:rPr>
          <w:lang w:val="en-GB"/>
        </w:rPr>
        <w:t xml:space="preserve"> Inc., Czech Republic). The transitional concentration of sodium sulphate is 0.050 mol/L according to </w:t>
      </w:r>
      <w:proofErr w:type="spellStart"/>
      <w:r w:rsidRPr="00D17043">
        <w:rPr>
          <w:lang w:val="en-GB"/>
        </w:rPr>
        <w:t>Marrucci</w:t>
      </w:r>
      <w:proofErr w:type="spellEnd"/>
      <w:r w:rsidRPr="00D17043">
        <w:rPr>
          <w:lang w:val="en-GB"/>
        </w:rPr>
        <w:t xml:space="preserve"> (1969), </w:t>
      </w:r>
      <w:proofErr w:type="gramStart"/>
      <w:r w:rsidRPr="00D17043">
        <w:rPr>
          <w:lang w:val="en-GB"/>
        </w:rPr>
        <w:t xml:space="preserve">0.061 mol/L according to </w:t>
      </w:r>
      <w:proofErr w:type="spellStart"/>
      <w:r w:rsidRPr="00D17043">
        <w:rPr>
          <w:lang w:val="en-GB"/>
        </w:rPr>
        <w:t>Lessard</w:t>
      </w:r>
      <w:proofErr w:type="spellEnd"/>
      <w:r w:rsidRPr="00D17043">
        <w:rPr>
          <w:lang w:val="en-GB"/>
        </w:rPr>
        <w:t xml:space="preserve"> a</w:t>
      </w:r>
      <w:r w:rsidR="00184881">
        <w:rPr>
          <w:lang w:val="en-GB"/>
        </w:rPr>
        <w:t>n</w:t>
      </w:r>
      <w:r w:rsidRPr="00D17043">
        <w:rPr>
          <w:lang w:val="en-GB"/>
        </w:rPr>
        <w:t xml:space="preserve">d </w:t>
      </w:r>
      <w:proofErr w:type="spellStart"/>
      <w:r w:rsidRPr="00D17043">
        <w:rPr>
          <w:lang w:val="en-GB"/>
        </w:rPr>
        <w:t>Zieminski</w:t>
      </w:r>
      <w:proofErr w:type="spellEnd"/>
      <w:r w:rsidRPr="00D17043">
        <w:rPr>
          <w:lang w:val="en-GB"/>
        </w:rPr>
        <w:t xml:space="preserve"> (1971)</w:t>
      </w:r>
      <w:proofErr w:type="gramEnd"/>
      <w:r w:rsidRPr="00D17043">
        <w:rPr>
          <w:lang w:val="en-GB"/>
        </w:rPr>
        <w:t xml:space="preserve"> and 0.089 mol/L according to Prince and Blanch (1990a). </w:t>
      </w:r>
      <w:proofErr w:type="spellStart"/>
      <w:r w:rsidRPr="00D17043">
        <w:rPr>
          <w:lang w:val="en-GB"/>
        </w:rPr>
        <w:t>Zahradnik</w:t>
      </w:r>
      <w:proofErr w:type="spellEnd"/>
      <w:r w:rsidRPr="00D17043">
        <w:rPr>
          <w:lang w:val="en-GB"/>
        </w:rPr>
        <w:t xml:space="preserve"> et al. </w:t>
      </w:r>
      <w:r w:rsidRPr="00D17043">
        <w:rPr>
          <w:lang w:val="en-GB"/>
        </w:rPr>
        <w:lastRenderedPageBreak/>
        <w:t xml:space="preserve">(1999) found </w:t>
      </w:r>
      <w:r w:rsidR="00322AD7">
        <w:rPr>
          <w:lang w:val="en-GB"/>
        </w:rPr>
        <w:t xml:space="preserve">the </w:t>
      </w:r>
      <w:r w:rsidR="00322AD7" w:rsidRPr="00D17043">
        <w:rPr>
          <w:lang w:val="en-GB"/>
        </w:rPr>
        <w:t xml:space="preserve">value </w:t>
      </w:r>
      <w:proofErr w:type="gramStart"/>
      <w:r w:rsidR="00322AD7" w:rsidRPr="00D17043">
        <w:rPr>
          <w:lang w:val="en-GB"/>
        </w:rPr>
        <w:t>of 0.051 mol/L</w:t>
      </w:r>
      <w:proofErr w:type="gramEnd"/>
      <w:r w:rsidR="00322AD7" w:rsidRPr="00D17043">
        <w:rPr>
          <w:lang w:val="en-GB"/>
        </w:rPr>
        <w:t xml:space="preserve"> </w:t>
      </w:r>
      <w:r w:rsidRPr="00D17043">
        <w:rPr>
          <w:lang w:val="en-GB"/>
        </w:rPr>
        <w:t>experimentally. For this value, the c/c</w:t>
      </w:r>
      <w:r w:rsidRPr="00D17043">
        <w:rPr>
          <w:vertAlign w:val="subscript"/>
          <w:lang w:val="en-GB"/>
        </w:rPr>
        <w:t>t</w:t>
      </w:r>
      <w:r w:rsidRPr="00D17043">
        <w:rPr>
          <w:lang w:val="en-GB"/>
        </w:rPr>
        <w:t xml:space="preserve"> ratio equal </w:t>
      </w:r>
      <w:r w:rsidR="00B52ED6">
        <w:rPr>
          <w:lang w:val="en-GB"/>
        </w:rPr>
        <w:t xml:space="preserve">to </w:t>
      </w:r>
      <w:r w:rsidRPr="00D17043">
        <w:rPr>
          <w:lang w:val="en-GB"/>
        </w:rPr>
        <w:t>5.9 was used in this work. The air was used as a gaseous phase. The experiments were performed on a PVC tube vertical column 0.15 m in inner diameter in the range of superficial gas velocity from 0.01 m s</w:t>
      </w:r>
      <w:r w:rsidRPr="00D17043">
        <w:rPr>
          <w:vertAlign w:val="superscript"/>
          <w:lang w:val="en-GB"/>
        </w:rPr>
        <w:t>-1</w:t>
      </w:r>
      <w:r w:rsidRPr="00D17043">
        <w:rPr>
          <w:lang w:val="en-GB"/>
        </w:rPr>
        <w:t xml:space="preserve"> to 0.03 m s</w:t>
      </w:r>
      <w:r w:rsidRPr="00D17043">
        <w:rPr>
          <w:vertAlign w:val="superscript"/>
          <w:lang w:val="en-GB"/>
        </w:rPr>
        <w:t>-1</w:t>
      </w:r>
      <w:r w:rsidRPr="00D17043">
        <w:rPr>
          <w:lang w:val="en-GB"/>
        </w:rPr>
        <w:t>. The liquid height was held at four different levels - 0.5 m, 0.65 m, 0.85 and 0.95 m, i.e</w:t>
      </w:r>
      <w:r w:rsidR="007B074A">
        <w:rPr>
          <w:lang w:val="en-GB"/>
        </w:rPr>
        <w:t>.</w:t>
      </w:r>
      <w:r w:rsidRPr="00D17043">
        <w:rPr>
          <w:lang w:val="en-GB"/>
        </w:rPr>
        <w:t xml:space="preserve"> the aspect ratio is in the range from 3.3 to 6.3. </w:t>
      </w:r>
      <w:r w:rsidR="00B45B9A">
        <w:rPr>
          <w:lang w:val="en-GB"/>
        </w:rPr>
        <w:t xml:space="preserve">The scheme of </w:t>
      </w:r>
      <w:r w:rsidR="00B52ED6">
        <w:rPr>
          <w:lang w:val="en-GB"/>
        </w:rPr>
        <w:t xml:space="preserve">the </w:t>
      </w:r>
      <w:r w:rsidR="00B45B9A">
        <w:rPr>
          <w:lang w:val="en-GB"/>
        </w:rPr>
        <w:t xml:space="preserve">experimental apparatus is depicted in Figure 1. </w:t>
      </w:r>
      <w:r w:rsidRPr="00D17043">
        <w:rPr>
          <w:lang w:val="en-GB"/>
        </w:rPr>
        <w:t xml:space="preserve">The two patterns of gas multi-orifice distributor were tested (Figure </w:t>
      </w:r>
      <w:r w:rsidR="00B45B9A">
        <w:rPr>
          <w:lang w:val="en-GB"/>
        </w:rPr>
        <w:t>2</w:t>
      </w:r>
      <w:r w:rsidRPr="00D17043">
        <w:rPr>
          <w:lang w:val="en-GB"/>
        </w:rPr>
        <w:t xml:space="preserve">). The diameter of holes was 1 mm. The </w:t>
      </w:r>
      <w:proofErr w:type="spellStart"/>
      <w:r w:rsidRPr="00D17043">
        <w:rPr>
          <w:lang w:val="en-GB"/>
        </w:rPr>
        <w:t>sparger</w:t>
      </w:r>
      <w:proofErr w:type="spellEnd"/>
      <w:r w:rsidRPr="00D17043">
        <w:rPr>
          <w:lang w:val="en-GB"/>
        </w:rPr>
        <w:t xml:space="preserve"> was located at the bottom of a bubble column. </w:t>
      </w:r>
    </w:p>
    <w:p w:rsidR="00B45B9A" w:rsidRDefault="00B45B9A">
      <w:pPr>
        <w:pStyle w:val="CETBodytext"/>
        <w:rPr>
          <w:lang w:val="en-GB"/>
        </w:rPr>
      </w:pPr>
    </w:p>
    <w:tbl>
      <w:tblPr>
        <w:tblW w:w="0" w:type="auto"/>
        <w:tblInd w:w="108" w:type="dxa"/>
        <w:tblLook w:val="0000"/>
      </w:tblPr>
      <w:tblGrid>
        <w:gridCol w:w="8751"/>
      </w:tblGrid>
      <w:tr w:rsidR="00B45B9A" w:rsidRPr="00624005" w:rsidTr="00B77B92">
        <w:tc>
          <w:tcPr>
            <w:tcW w:w="8751" w:type="dxa"/>
            <w:tcBorders>
              <w:top w:val="nil"/>
              <w:left w:val="nil"/>
              <w:bottom w:val="nil"/>
              <w:right w:val="nil"/>
            </w:tcBorders>
          </w:tcPr>
          <w:p w:rsidR="00B45B9A" w:rsidRPr="00624005" w:rsidRDefault="00B45B9A" w:rsidP="00B77B92">
            <w:pPr>
              <w:pStyle w:val="CETBodytext"/>
              <w:jc w:val="center"/>
              <w:rPr>
                <w:rFonts w:eastAsiaTheme="minorEastAsia"/>
                <w:lang w:val="en-GB" w:eastAsia="en-US"/>
              </w:rPr>
            </w:pPr>
            <w:r>
              <w:rPr>
                <w:rFonts w:eastAsiaTheme="minorEastAsia"/>
                <w:noProof/>
                <w:lang w:val="cs-CZ"/>
              </w:rPr>
              <w:drawing>
                <wp:inline distT="0" distB="0" distL="0" distR="0">
                  <wp:extent cx="2987209" cy="2531660"/>
                  <wp:effectExtent l="19050" t="0" r="3641" b="0"/>
                  <wp:docPr id="19" name="Obrázek 17" descr="ICheAP14_Zizka_SCHEMA-mereni_1904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AP14_Zizka_SCHEMA-mereni_190407.tif"/>
                          <pic:cNvPicPr/>
                        </pic:nvPicPr>
                        <pic:blipFill>
                          <a:blip r:embed="rId11"/>
                          <a:stretch>
                            <a:fillRect/>
                          </a:stretch>
                        </pic:blipFill>
                        <pic:spPr>
                          <a:xfrm>
                            <a:off x="0" y="0"/>
                            <a:ext cx="2989657" cy="2533735"/>
                          </a:xfrm>
                          <a:prstGeom prst="rect">
                            <a:avLst/>
                          </a:prstGeom>
                        </pic:spPr>
                      </pic:pic>
                    </a:graphicData>
                  </a:graphic>
                </wp:inline>
              </w:drawing>
            </w:r>
          </w:p>
        </w:tc>
      </w:tr>
    </w:tbl>
    <w:p w:rsidR="00B45B9A" w:rsidRPr="00D17043" w:rsidRDefault="00B45B9A" w:rsidP="00B45B9A">
      <w:pPr>
        <w:pStyle w:val="CETCaption"/>
      </w:pPr>
      <w:r w:rsidRPr="00D17043">
        <w:t xml:space="preserve">Figure </w:t>
      </w:r>
      <w:r>
        <w:t>1</w:t>
      </w:r>
      <w:r w:rsidRPr="00D17043">
        <w:t xml:space="preserve">: </w:t>
      </w:r>
      <w:r>
        <w:t>Schema of the experimental apparatus</w:t>
      </w:r>
      <w:r w:rsidRPr="00D17043">
        <w:t xml:space="preserve">. </w:t>
      </w:r>
    </w:p>
    <w:tbl>
      <w:tblPr>
        <w:tblW w:w="0" w:type="auto"/>
        <w:tblInd w:w="108" w:type="dxa"/>
        <w:tblLook w:val="0000"/>
      </w:tblPr>
      <w:tblGrid>
        <w:gridCol w:w="4356"/>
        <w:gridCol w:w="4395"/>
      </w:tblGrid>
      <w:tr w:rsidR="00B45B9A" w:rsidRPr="00624005" w:rsidTr="00B45B9A">
        <w:tc>
          <w:tcPr>
            <w:tcW w:w="4356" w:type="dxa"/>
            <w:tcBorders>
              <w:top w:val="nil"/>
              <w:left w:val="nil"/>
              <w:bottom w:val="nil"/>
              <w:right w:val="nil"/>
            </w:tcBorders>
          </w:tcPr>
          <w:p w:rsidR="00B45B9A" w:rsidRPr="00624005" w:rsidRDefault="00B45B9A" w:rsidP="00121764">
            <w:pPr>
              <w:pStyle w:val="CETBodytext"/>
              <w:rPr>
                <w:rFonts w:eastAsiaTheme="minorEastAsia"/>
                <w:lang w:val="en-GB" w:eastAsia="en-US"/>
              </w:rPr>
            </w:pPr>
            <w:r>
              <w:rPr>
                <w:rFonts w:eastAsiaTheme="minorEastAsia"/>
                <w:noProof/>
                <w:lang w:val="cs-CZ"/>
              </w:rPr>
              <w:drawing>
                <wp:inline distT="0" distB="0" distL="0" distR="0">
                  <wp:extent cx="2606675" cy="2265680"/>
                  <wp:effectExtent l="19050" t="0" r="3175"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srcRect/>
                          <a:stretch>
                            <a:fillRect/>
                          </a:stretch>
                        </pic:blipFill>
                        <pic:spPr bwMode="auto">
                          <a:xfrm>
                            <a:off x="0" y="0"/>
                            <a:ext cx="2606675" cy="2265680"/>
                          </a:xfrm>
                          <a:prstGeom prst="rect">
                            <a:avLst/>
                          </a:prstGeom>
                          <a:noFill/>
                          <a:ln w="9525">
                            <a:noFill/>
                            <a:miter lim="800000"/>
                            <a:headEnd/>
                            <a:tailEnd/>
                          </a:ln>
                        </pic:spPr>
                      </pic:pic>
                    </a:graphicData>
                  </a:graphic>
                </wp:inline>
              </w:drawing>
            </w:r>
          </w:p>
        </w:tc>
        <w:tc>
          <w:tcPr>
            <w:tcW w:w="4395" w:type="dxa"/>
            <w:tcBorders>
              <w:top w:val="nil"/>
              <w:left w:val="nil"/>
              <w:bottom w:val="nil"/>
              <w:right w:val="nil"/>
            </w:tcBorders>
          </w:tcPr>
          <w:p w:rsidR="00B45B9A" w:rsidRPr="00624005" w:rsidRDefault="00B45B9A" w:rsidP="00121764">
            <w:pPr>
              <w:pStyle w:val="CETBodytext"/>
              <w:rPr>
                <w:rFonts w:eastAsiaTheme="minorEastAsia"/>
                <w:lang w:val="en-GB" w:eastAsia="en-US"/>
              </w:rPr>
            </w:pPr>
            <w:r>
              <w:rPr>
                <w:rFonts w:eastAsiaTheme="minorEastAsia"/>
                <w:noProof/>
                <w:lang w:val="cs-CZ"/>
              </w:rPr>
              <w:drawing>
                <wp:inline distT="0" distB="0" distL="0" distR="0">
                  <wp:extent cx="2633980" cy="2279015"/>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3"/>
                          <a:srcRect/>
                          <a:stretch>
                            <a:fillRect/>
                          </a:stretch>
                        </pic:blipFill>
                        <pic:spPr bwMode="auto">
                          <a:xfrm>
                            <a:off x="0" y="0"/>
                            <a:ext cx="2633980" cy="2279015"/>
                          </a:xfrm>
                          <a:prstGeom prst="rect">
                            <a:avLst/>
                          </a:prstGeom>
                          <a:noFill/>
                          <a:ln w="9525">
                            <a:noFill/>
                            <a:miter lim="800000"/>
                            <a:headEnd/>
                            <a:tailEnd/>
                          </a:ln>
                        </pic:spPr>
                      </pic:pic>
                    </a:graphicData>
                  </a:graphic>
                </wp:inline>
              </w:drawing>
            </w:r>
          </w:p>
        </w:tc>
      </w:tr>
    </w:tbl>
    <w:p w:rsidR="00B45B9A" w:rsidRPr="00D17043" w:rsidRDefault="00B45B9A" w:rsidP="00B45B9A">
      <w:pPr>
        <w:pStyle w:val="CETCaption"/>
      </w:pPr>
      <w:r w:rsidRPr="00D17043">
        <w:t xml:space="preserve">Figure </w:t>
      </w:r>
      <w:r>
        <w:t>2</w:t>
      </w:r>
      <w:r w:rsidRPr="00D17043">
        <w:t xml:space="preserve">: Tested multi-orifice aerator patterns: a) SC (left) and b) CC3 (right). </w:t>
      </w:r>
    </w:p>
    <w:p w:rsidR="00F00978" w:rsidRPr="00D17043" w:rsidRDefault="00F00978">
      <w:pPr>
        <w:pStyle w:val="CETBodytext"/>
        <w:rPr>
          <w:lang w:val="en-GB"/>
        </w:rPr>
      </w:pPr>
      <w:r w:rsidRPr="00D17043">
        <w:rPr>
          <w:lang w:val="en-GB"/>
        </w:rPr>
        <w:t xml:space="preserve">The column was filled with </w:t>
      </w:r>
      <w:r w:rsidR="00B52ED6">
        <w:rPr>
          <w:lang w:val="en-GB"/>
        </w:rPr>
        <w:t xml:space="preserve">a </w:t>
      </w:r>
      <w:r w:rsidRPr="00D17043">
        <w:rPr>
          <w:lang w:val="en-GB"/>
        </w:rPr>
        <w:t>warm solution (</w:t>
      </w:r>
      <w:r w:rsidRPr="007B074A">
        <w:rPr>
          <w:rFonts w:ascii="Symbol" w:hAnsi="Symbol"/>
          <w:lang w:val="en-GB"/>
        </w:rPr>
        <w:t></w:t>
      </w:r>
      <w:r w:rsidRPr="00D17043">
        <w:rPr>
          <w:lang w:val="en-GB"/>
        </w:rPr>
        <w:t xml:space="preserve"> </w:t>
      </w:r>
      <w:r w:rsidR="00CA6C0D">
        <w:rPr>
          <w:lang w:val="en-GB"/>
        </w:rPr>
        <w:t>50</w:t>
      </w:r>
      <w:r w:rsidRPr="00D17043">
        <w:rPr>
          <w:lang w:val="en-GB"/>
        </w:rPr>
        <w:t>-</w:t>
      </w:r>
      <w:r w:rsidR="00CA6C0D">
        <w:rPr>
          <w:lang w:val="en-GB"/>
        </w:rPr>
        <w:t>6</w:t>
      </w:r>
      <w:r w:rsidRPr="00D17043">
        <w:rPr>
          <w:lang w:val="en-GB"/>
        </w:rPr>
        <w:t xml:space="preserve">0°C). The batch was started bubbled by an air flow having </w:t>
      </w:r>
      <w:r w:rsidR="00B52ED6">
        <w:rPr>
          <w:lang w:val="en-GB"/>
        </w:rPr>
        <w:t xml:space="preserve">a </w:t>
      </w:r>
      <w:r w:rsidRPr="00D17043">
        <w:rPr>
          <w:lang w:val="en-GB"/>
        </w:rPr>
        <w:t>lower temperature (</w:t>
      </w:r>
      <w:r w:rsidRPr="007B074A">
        <w:rPr>
          <w:rFonts w:ascii="Symbol" w:hAnsi="Symbol"/>
          <w:lang w:val="en-GB"/>
        </w:rPr>
        <w:t></w:t>
      </w:r>
      <w:r w:rsidRPr="00D17043">
        <w:rPr>
          <w:lang w:val="en-GB"/>
        </w:rPr>
        <w:t xml:space="preserve"> 20-25 °C). Thus, air passing through liquid batch was warmed up and the liquid was cooled, i.e. liquid temperature decreased with time. The outlet gas temperature changed with time, depending on heat transfer. The heat transfer was also accompanied by simultaneous evaporation of the liquid that was taken into account when </w:t>
      </w:r>
      <w:r w:rsidR="00B52ED6">
        <w:rPr>
          <w:lang w:val="en-GB"/>
        </w:rPr>
        <w:t xml:space="preserve">the </w:t>
      </w:r>
      <w:r w:rsidRPr="00D17043">
        <w:rPr>
          <w:lang w:val="en-GB"/>
        </w:rPr>
        <w:t>heat-transfer coefficient was evaluated. The following experimental data sets were obtained in a discrete form: 1) the liquid batch temperature T</w:t>
      </w:r>
      <w:r w:rsidRPr="00D17043">
        <w:rPr>
          <w:vertAlign w:val="subscript"/>
          <w:lang w:val="en-GB"/>
        </w:rPr>
        <w:t>L</w:t>
      </w:r>
      <w:r w:rsidRPr="00D17043">
        <w:rPr>
          <w:lang w:val="en-GB"/>
        </w:rPr>
        <w:t xml:space="preserve"> (</w:t>
      </w:r>
      <w:proofErr w:type="spellStart"/>
      <w:r w:rsidRPr="00D17043">
        <w:rPr>
          <w:lang w:val="en-GB"/>
        </w:rPr>
        <w:t>t</w:t>
      </w:r>
      <w:r w:rsidRPr="00D17043">
        <w:rPr>
          <w:vertAlign w:val="subscript"/>
          <w:lang w:val="en-GB"/>
        </w:rPr>
        <w:t>i</w:t>
      </w:r>
      <w:proofErr w:type="spellEnd"/>
      <w:r w:rsidRPr="00D17043">
        <w:rPr>
          <w:lang w:val="en-GB"/>
        </w:rPr>
        <w:t xml:space="preserve">), 2) the inlet air temperature </w:t>
      </w:r>
      <w:proofErr w:type="spellStart"/>
      <w:r w:rsidRPr="00D17043">
        <w:rPr>
          <w:lang w:val="en-GB"/>
        </w:rPr>
        <w:t>T</w:t>
      </w:r>
      <w:r w:rsidRPr="00D17043">
        <w:rPr>
          <w:vertAlign w:val="subscript"/>
          <w:lang w:val="en-GB"/>
        </w:rPr>
        <w:t>g</w:t>
      </w:r>
      <w:proofErr w:type="spellEnd"/>
      <w:r w:rsidRPr="00D17043">
        <w:rPr>
          <w:vertAlign w:val="subscript"/>
          <w:lang w:val="en-GB"/>
        </w:rPr>
        <w:t xml:space="preserve"> in</w:t>
      </w:r>
      <w:r w:rsidRPr="00D17043">
        <w:rPr>
          <w:lang w:val="en-GB"/>
        </w:rPr>
        <w:t xml:space="preserve"> (</w:t>
      </w:r>
      <w:proofErr w:type="spellStart"/>
      <w:r w:rsidRPr="00D17043">
        <w:rPr>
          <w:lang w:val="en-GB"/>
        </w:rPr>
        <w:t>t</w:t>
      </w:r>
      <w:r w:rsidRPr="00D17043">
        <w:rPr>
          <w:vertAlign w:val="subscript"/>
          <w:lang w:val="en-GB"/>
        </w:rPr>
        <w:t>i</w:t>
      </w:r>
      <w:proofErr w:type="spellEnd"/>
      <w:r w:rsidRPr="00D17043">
        <w:rPr>
          <w:lang w:val="en-GB"/>
        </w:rPr>
        <w:t xml:space="preserve">), 3) the outlet air temperature at column outlet </w:t>
      </w:r>
      <w:proofErr w:type="spellStart"/>
      <w:r w:rsidRPr="00D17043">
        <w:rPr>
          <w:lang w:val="en-GB"/>
        </w:rPr>
        <w:t>T</w:t>
      </w:r>
      <w:r w:rsidRPr="00D17043">
        <w:rPr>
          <w:vertAlign w:val="subscript"/>
          <w:lang w:val="en-GB"/>
        </w:rPr>
        <w:t>g</w:t>
      </w:r>
      <w:proofErr w:type="spellEnd"/>
      <w:r w:rsidRPr="00D17043">
        <w:rPr>
          <w:vertAlign w:val="subscript"/>
          <w:lang w:val="en-GB"/>
        </w:rPr>
        <w:t xml:space="preserve"> out</w:t>
      </w:r>
      <w:r w:rsidRPr="00D17043">
        <w:rPr>
          <w:lang w:val="en-GB"/>
        </w:rPr>
        <w:t xml:space="preserve"> (</w:t>
      </w:r>
      <w:proofErr w:type="spellStart"/>
      <w:r w:rsidRPr="00D17043">
        <w:rPr>
          <w:lang w:val="en-GB"/>
        </w:rPr>
        <w:t>t</w:t>
      </w:r>
      <w:r w:rsidRPr="00D17043">
        <w:rPr>
          <w:vertAlign w:val="subscript"/>
          <w:lang w:val="en-GB"/>
        </w:rPr>
        <w:t>i</w:t>
      </w:r>
      <w:proofErr w:type="spellEnd"/>
      <w:r w:rsidRPr="00D17043">
        <w:rPr>
          <w:lang w:val="en-GB"/>
        </w:rPr>
        <w:t>), 4) the inlet air pressure p</w:t>
      </w:r>
      <w:r w:rsidRPr="00D17043">
        <w:rPr>
          <w:vertAlign w:val="subscript"/>
          <w:lang w:val="en-GB"/>
        </w:rPr>
        <w:t>g in</w:t>
      </w:r>
      <w:r w:rsidRPr="00D17043">
        <w:rPr>
          <w:lang w:val="en-GB"/>
        </w:rPr>
        <w:t xml:space="preserve"> (</w:t>
      </w:r>
      <w:proofErr w:type="spellStart"/>
      <w:r w:rsidRPr="00D17043">
        <w:rPr>
          <w:lang w:val="en-GB"/>
        </w:rPr>
        <w:t>t</w:t>
      </w:r>
      <w:r w:rsidRPr="00D17043">
        <w:rPr>
          <w:vertAlign w:val="subscript"/>
          <w:lang w:val="en-GB"/>
        </w:rPr>
        <w:t>i</w:t>
      </w:r>
      <w:proofErr w:type="spellEnd"/>
      <w:r w:rsidRPr="00D17043">
        <w:rPr>
          <w:lang w:val="en-GB"/>
        </w:rPr>
        <w:t xml:space="preserve">), 5) the relative humidity of inlet air </w:t>
      </w:r>
      <w:r w:rsidRPr="007B074A">
        <w:rPr>
          <w:rFonts w:ascii="Symbol" w:hAnsi="Symbol"/>
          <w:lang w:val="en-GB"/>
        </w:rPr>
        <w:t></w:t>
      </w:r>
      <w:r w:rsidRPr="00D17043">
        <w:rPr>
          <w:vertAlign w:val="subscript"/>
          <w:lang w:val="en-GB"/>
        </w:rPr>
        <w:t>g</w:t>
      </w:r>
      <w:r w:rsidRPr="00D17043">
        <w:rPr>
          <w:lang w:val="en-GB"/>
        </w:rPr>
        <w:t xml:space="preserve"> </w:t>
      </w:r>
      <w:r w:rsidRPr="00D17043">
        <w:rPr>
          <w:vertAlign w:val="subscript"/>
          <w:lang w:val="en-GB"/>
        </w:rPr>
        <w:t>in</w:t>
      </w:r>
      <w:r w:rsidRPr="00D17043">
        <w:rPr>
          <w:lang w:val="en-GB"/>
        </w:rPr>
        <w:t xml:space="preserve"> (</w:t>
      </w:r>
      <w:proofErr w:type="spellStart"/>
      <w:r w:rsidRPr="00D17043">
        <w:rPr>
          <w:lang w:val="en-GB"/>
        </w:rPr>
        <w:t>t</w:t>
      </w:r>
      <w:r w:rsidRPr="00D17043">
        <w:rPr>
          <w:vertAlign w:val="subscript"/>
          <w:lang w:val="en-GB"/>
        </w:rPr>
        <w:t>i</w:t>
      </w:r>
      <w:proofErr w:type="spellEnd"/>
      <w:r w:rsidRPr="00D17043">
        <w:rPr>
          <w:lang w:val="en-GB"/>
        </w:rPr>
        <w:t xml:space="preserve">), and 6) the relative humidity of outlet air </w:t>
      </w:r>
      <w:r w:rsidRPr="007B074A">
        <w:rPr>
          <w:rFonts w:ascii="Symbol" w:hAnsi="Symbol"/>
          <w:lang w:val="en-GB"/>
        </w:rPr>
        <w:t></w:t>
      </w:r>
      <w:r w:rsidRPr="00D17043">
        <w:rPr>
          <w:vertAlign w:val="subscript"/>
          <w:lang w:val="en-GB"/>
        </w:rPr>
        <w:t>g</w:t>
      </w:r>
      <w:r w:rsidRPr="00D17043">
        <w:rPr>
          <w:lang w:val="en-GB"/>
        </w:rPr>
        <w:t xml:space="preserve"> </w:t>
      </w:r>
      <w:r w:rsidRPr="00D17043">
        <w:rPr>
          <w:vertAlign w:val="subscript"/>
          <w:lang w:val="en-GB"/>
        </w:rPr>
        <w:t>out</w:t>
      </w:r>
      <w:r w:rsidRPr="00D17043">
        <w:rPr>
          <w:lang w:val="en-GB"/>
        </w:rPr>
        <w:t xml:space="preserve"> (</w:t>
      </w:r>
      <w:proofErr w:type="spellStart"/>
      <w:r w:rsidRPr="00D17043">
        <w:rPr>
          <w:lang w:val="en-GB"/>
        </w:rPr>
        <w:t>t</w:t>
      </w:r>
      <w:r w:rsidRPr="00D17043">
        <w:rPr>
          <w:vertAlign w:val="subscript"/>
          <w:lang w:val="en-GB"/>
        </w:rPr>
        <w:t>i</w:t>
      </w:r>
      <w:proofErr w:type="spellEnd"/>
      <w:r w:rsidRPr="00D17043">
        <w:rPr>
          <w:lang w:val="en-GB"/>
        </w:rPr>
        <w:t>). Time of the measurement was about 20 minutes. The inlet air temperature was found to be practically unchanged and constant. The heat losses to the surroundings were found to be negligible.</w:t>
      </w:r>
    </w:p>
    <w:p w:rsidR="00F00978" w:rsidRPr="00D17043" w:rsidRDefault="00BE27B2" w:rsidP="00BE27B2">
      <w:pPr>
        <w:pStyle w:val="CETHeading1"/>
        <w:numPr>
          <w:ilvl w:val="0"/>
          <w:numId w:val="0"/>
        </w:numPr>
        <w:rPr>
          <w:lang w:val="en-GB"/>
        </w:rPr>
      </w:pPr>
      <w:r>
        <w:rPr>
          <w:lang w:val="en-GB"/>
        </w:rPr>
        <w:lastRenderedPageBreak/>
        <w:t xml:space="preserve">4. </w:t>
      </w:r>
      <w:r w:rsidR="00F00978" w:rsidRPr="00D17043">
        <w:rPr>
          <w:lang w:val="en-GB"/>
        </w:rPr>
        <w:t>Results and discussion</w:t>
      </w:r>
    </w:p>
    <w:p w:rsidR="00F00978" w:rsidRPr="00D17043" w:rsidRDefault="00BE27B2" w:rsidP="00BE27B2">
      <w:pPr>
        <w:pStyle w:val="CETheadingx"/>
      </w:pPr>
      <w:r>
        <w:t xml:space="preserve">4.1 </w:t>
      </w:r>
      <w:r w:rsidR="00F00978" w:rsidRPr="00D17043">
        <w:t>Hold up</w:t>
      </w:r>
    </w:p>
    <w:p w:rsidR="00F00978" w:rsidRPr="00D17043" w:rsidRDefault="00F00978">
      <w:pPr>
        <w:pStyle w:val="CETBodytext"/>
        <w:rPr>
          <w:lang w:val="en-GB"/>
        </w:rPr>
      </w:pPr>
      <w:r w:rsidRPr="00D17043">
        <w:rPr>
          <w:lang w:val="en-GB"/>
        </w:rPr>
        <w:t xml:space="preserve">The hold-up </w:t>
      </w:r>
      <w:r w:rsidRPr="00D17043">
        <w:rPr>
          <w:lang w:val="en-GB"/>
        </w:rPr>
        <w:sym w:font="Symbol" w:char="F065"/>
      </w:r>
      <w:r w:rsidRPr="00D17043">
        <w:rPr>
          <w:lang w:val="en-GB"/>
        </w:rPr>
        <w:t xml:space="preserve"> (-) was determined visually and one was obtained as follows: </w:t>
      </w:r>
    </w:p>
    <w:tbl>
      <w:tblPr>
        <w:tblW w:w="4821" w:type="pct"/>
        <w:tblInd w:w="108" w:type="dxa"/>
        <w:tblLook w:val="0000"/>
      </w:tblPr>
      <w:tblGrid>
        <w:gridCol w:w="7513"/>
        <w:gridCol w:w="1168"/>
      </w:tblGrid>
      <w:tr w:rsidR="00F00978" w:rsidRPr="00624005" w:rsidTr="00BE27B2">
        <w:tc>
          <w:tcPr>
            <w:tcW w:w="7513" w:type="dxa"/>
            <w:tcBorders>
              <w:top w:val="nil"/>
              <w:left w:val="nil"/>
              <w:bottom w:val="nil"/>
              <w:right w:val="nil"/>
            </w:tcBorders>
            <w:vAlign w:val="center"/>
          </w:tcPr>
          <w:p w:rsidR="00F00978" w:rsidRPr="00624005" w:rsidRDefault="00F00978">
            <w:pPr>
              <w:pStyle w:val="CETBodytext"/>
              <w:spacing w:before="120" w:after="120"/>
              <w:rPr>
                <w:rFonts w:eastAsiaTheme="minorEastAsia"/>
                <w:lang w:val="en-GB" w:eastAsia="en-US"/>
              </w:rPr>
            </w:pPr>
            <w:r w:rsidRPr="00624005">
              <w:rPr>
                <w:rFonts w:eastAsiaTheme="minorEastAsia"/>
                <w:position w:val="-12"/>
                <w:lang w:val="en-GB" w:eastAsia="en-US"/>
              </w:rPr>
              <w:object w:dxaOrig="2079" w:dyaOrig="360">
                <v:shape id="_x0000_i1026" type="#_x0000_t75" style="width:102.1pt;height:18.25pt" o:ole="">
                  <v:imagedata r:id="rId14" o:title=""/>
                </v:shape>
                <o:OLEObject Type="Embed" ProgID="Equation.3" ShapeID="_x0000_i1026" DrawAspect="Content" ObjectID="_1616601214" r:id="rId15"/>
              </w:object>
            </w:r>
          </w:p>
        </w:tc>
        <w:tc>
          <w:tcPr>
            <w:tcW w:w="1168" w:type="dxa"/>
            <w:tcBorders>
              <w:top w:val="nil"/>
              <w:left w:val="nil"/>
              <w:bottom w:val="nil"/>
              <w:right w:val="nil"/>
            </w:tcBorders>
            <w:vAlign w:val="center"/>
          </w:tcPr>
          <w:p w:rsidR="00F00978" w:rsidRPr="00624005" w:rsidRDefault="00F00978">
            <w:pPr>
              <w:pStyle w:val="CETBodytext"/>
              <w:spacing w:before="120" w:after="120"/>
              <w:jc w:val="right"/>
              <w:rPr>
                <w:rFonts w:eastAsiaTheme="minorEastAsia"/>
                <w:lang w:val="en-GB" w:eastAsia="en-US"/>
              </w:rPr>
            </w:pPr>
            <w:r w:rsidRPr="00624005">
              <w:rPr>
                <w:rFonts w:eastAsiaTheme="minorEastAsia"/>
                <w:lang w:val="en-GB" w:eastAsia="en-US"/>
              </w:rPr>
              <w:t>(2)</w:t>
            </w:r>
          </w:p>
        </w:tc>
      </w:tr>
    </w:tbl>
    <w:p w:rsidR="00F00978" w:rsidRPr="00D17043" w:rsidRDefault="00F00978">
      <w:pPr>
        <w:pStyle w:val="CETBodytext"/>
        <w:rPr>
          <w:lang w:val="en-GB"/>
        </w:rPr>
      </w:pPr>
      <w:proofErr w:type="gramStart"/>
      <w:r w:rsidRPr="00D17043">
        <w:rPr>
          <w:lang w:val="en-GB"/>
        </w:rPr>
        <w:t>where</w:t>
      </w:r>
      <w:proofErr w:type="gramEnd"/>
      <w:r w:rsidRPr="00D17043">
        <w:rPr>
          <w:lang w:val="en-GB"/>
        </w:rPr>
        <w:t xml:space="preserve"> </w:t>
      </w:r>
      <w:proofErr w:type="spellStart"/>
      <w:r w:rsidRPr="00D17043">
        <w:rPr>
          <w:lang w:val="en-GB"/>
        </w:rPr>
        <w:t>H</w:t>
      </w:r>
      <w:r w:rsidRPr="00D17043">
        <w:rPr>
          <w:vertAlign w:val="subscript"/>
          <w:lang w:val="en-GB"/>
        </w:rPr>
        <w:t>b</w:t>
      </w:r>
      <w:proofErr w:type="spellEnd"/>
      <w:r w:rsidRPr="00D17043">
        <w:rPr>
          <w:lang w:val="en-GB"/>
        </w:rPr>
        <w:t xml:space="preserve"> is the height of the bubbled liquid batch (m), and H</w:t>
      </w:r>
      <w:r w:rsidRPr="00D17043">
        <w:rPr>
          <w:vertAlign w:val="subscript"/>
          <w:lang w:val="en-GB"/>
        </w:rPr>
        <w:t>L0</w:t>
      </w:r>
      <w:r w:rsidRPr="00D17043">
        <w:rPr>
          <w:lang w:val="en-GB"/>
        </w:rPr>
        <w:t xml:space="preserve"> is the height of non-gassed liquid batch (m). The dependence of hold up on superficial velocity is depicted for four liquid levels in Figures 2a and 3a for SC and CC3 pattern respectively. This dependence can be expressed by the linear relation regardless of liquid height as follows:</w:t>
      </w:r>
    </w:p>
    <w:tbl>
      <w:tblPr>
        <w:tblW w:w="4821" w:type="pct"/>
        <w:tblInd w:w="108" w:type="dxa"/>
        <w:tblLook w:val="0000"/>
      </w:tblPr>
      <w:tblGrid>
        <w:gridCol w:w="7513"/>
        <w:gridCol w:w="1168"/>
      </w:tblGrid>
      <w:tr w:rsidR="00F00978" w:rsidRPr="00624005" w:rsidTr="00BE27B2">
        <w:tc>
          <w:tcPr>
            <w:tcW w:w="7513" w:type="dxa"/>
            <w:tcBorders>
              <w:top w:val="nil"/>
              <w:left w:val="nil"/>
              <w:bottom w:val="nil"/>
              <w:right w:val="nil"/>
            </w:tcBorders>
            <w:vAlign w:val="center"/>
          </w:tcPr>
          <w:p w:rsidR="00F00978" w:rsidRPr="00624005" w:rsidRDefault="00F00978">
            <w:pPr>
              <w:pStyle w:val="CETBodytext"/>
              <w:spacing w:before="120" w:after="120"/>
              <w:rPr>
                <w:rFonts w:eastAsiaTheme="minorEastAsia"/>
                <w:lang w:val="en-GB" w:eastAsia="en-US"/>
              </w:rPr>
            </w:pPr>
            <w:r w:rsidRPr="00624005">
              <w:rPr>
                <w:rFonts w:eastAsiaTheme="minorEastAsia"/>
                <w:lang w:val="en-GB" w:eastAsia="en-US"/>
              </w:rPr>
              <w:t xml:space="preserve">for SC pattern      </w:t>
            </w:r>
            <w:r w:rsidRPr="00624005">
              <w:rPr>
                <w:rFonts w:eastAsiaTheme="minorEastAsia"/>
                <w:position w:val="-14"/>
                <w:lang w:val="en-GB" w:eastAsia="en-US"/>
              </w:rPr>
              <w:object w:dxaOrig="1400" w:dyaOrig="380">
                <v:shape id="_x0000_i1027" type="#_x0000_t75" style="width:68.25pt;height:18.8pt" o:ole="">
                  <v:imagedata r:id="rId16" o:title=""/>
                </v:shape>
                <o:OLEObject Type="Embed" ProgID="Equation.3" ShapeID="_x0000_i1027" DrawAspect="Content" ObjectID="_1616601215" r:id="rId17"/>
              </w:object>
            </w:r>
            <w:r w:rsidRPr="00624005">
              <w:rPr>
                <w:rFonts w:eastAsiaTheme="minorEastAsia"/>
                <w:lang w:val="en-GB" w:eastAsia="en-US"/>
              </w:rPr>
              <w:t xml:space="preserve">           (R = 0.946)</w:t>
            </w:r>
          </w:p>
        </w:tc>
        <w:tc>
          <w:tcPr>
            <w:tcW w:w="1168" w:type="dxa"/>
            <w:tcBorders>
              <w:top w:val="nil"/>
              <w:left w:val="nil"/>
              <w:bottom w:val="nil"/>
              <w:right w:val="nil"/>
            </w:tcBorders>
            <w:vAlign w:val="center"/>
          </w:tcPr>
          <w:p w:rsidR="00F00978" w:rsidRPr="00624005" w:rsidRDefault="00F00978">
            <w:pPr>
              <w:pStyle w:val="CETBodytext"/>
              <w:spacing w:before="120" w:after="120"/>
              <w:jc w:val="right"/>
              <w:rPr>
                <w:rFonts w:eastAsiaTheme="minorEastAsia"/>
                <w:lang w:val="en-GB" w:eastAsia="en-US"/>
              </w:rPr>
            </w:pPr>
            <w:r w:rsidRPr="00624005">
              <w:rPr>
                <w:rFonts w:eastAsiaTheme="minorEastAsia"/>
                <w:lang w:val="en-GB" w:eastAsia="en-US"/>
              </w:rPr>
              <w:t>(3)</w:t>
            </w:r>
          </w:p>
        </w:tc>
      </w:tr>
      <w:tr w:rsidR="00F00978" w:rsidRPr="00624005" w:rsidTr="00BE27B2">
        <w:tc>
          <w:tcPr>
            <w:tcW w:w="7513" w:type="dxa"/>
            <w:tcBorders>
              <w:top w:val="nil"/>
              <w:left w:val="nil"/>
              <w:bottom w:val="nil"/>
              <w:right w:val="nil"/>
            </w:tcBorders>
            <w:vAlign w:val="center"/>
          </w:tcPr>
          <w:p w:rsidR="00F00978" w:rsidRPr="00624005" w:rsidRDefault="00F00978">
            <w:pPr>
              <w:pStyle w:val="CETBodytext"/>
              <w:spacing w:before="120" w:after="120"/>
              <w:rPr>
                <w:rFonts w:eastAsiaTheme="minorEastAsia"/>
                <w:lang w:val="en-GB" w:eastAsia="en-US"/>
              </w:rPr>
            </w:pPr>
            <w:r w:rsidRPr="00624005">
              <w:rPr>
                <w:rFonts w:eastAsiaTheme="minorEastAsia"/>
                <w:lang w:val="en-GB" w:eastAsia="en-US"/>
              </w:rPr>
              <w:t xml:space="preserve">for CC3 pattern   </w:t>
            </w:r>
            <w:r w:rsidRPr="00624005">
              <w:rPr>
                <w:rFonts w:eastAsiaTheme="minorEastAsia"/>
                <w:position w:val="-14"/>
                <w:lang w:val="en-GB" w:eastAsia="en-US"/>
              </w:rPr>
              <w:object w:dxaOrig="1400" w:dyaOrig="380">
                <v:shape id="_x0000_i1028" type="#_x0000_t75" style="width:68.25pt;height:18.8pt" o:ole="">
                  <v:imagedata r:id="rId18" o:title=""/>
                </v:shape>
                <o:OLEObject Type="Embed" ProgID="Equation.3" ShapeID="_x0000_i1028" DrawAspect="Content" ObjectID="_1616601216" r:id="rId19"/>
              </w:object>
            </w:r>
            <w:r w:rsidRPr="00624005">
              <w:rPr>
                <w:rFonts w:eastAsiaTheme="minorEastAsia"/>
                <w:lang w:val="en-GB" w:eastAsia="en-US"/>
              </w:rPr>
              <w:t xml:space="preserve">             (R = 0.970)</w:t>
            </w:r>
          </w:p>
        </w:tc>
        <w:tc>
          <w:tcPr>
            <w:tcW w:w="1168" w:type="dxa"/>
            <w:tcBorders>
              <w:top w:val="nil"/>
              <w:left w:val="nil"/>
              <w:bottom w:val="nil"/>
              <w:right w:val="nil"/>
            </w:tcBorders>
            <w:vAlign w:val="center"/>
          </w:tcPr>
          <w:p w:rsidR="00F00978" w:rsidRPr="00624005" w:rsidRDefault="00F00978">
            <w:pPr>
              <w:pStyle w:val="CETBodytext"/>
              <w:spacing w:before="120" w:after="120"/>
              <w:jc w:val="right"/>
              <w:rPr>
                <w:rFonts w:eastAsiaTheme="minorEastAsia"/>
                <w:lang w:val="en-GB" w:eastAsia="en-US"/>
              </w:rPr>
            </w:pPr>
            <w:r w:rsidRPr="00624005">
              <w:rPr>
                <w:rFonts w:eastAsiaTheme="minorEastAsia"/>
                <w:lang w:val="en-GB" w:eastAsia="en-US"/>
              </w:rPr>
              <w:t>(4)</w:t>
            </w:r>
          </w:p>
        </w:tc>
      </w:tr>
    </w:tbl>
    <w:p w:rsidR="00F00978" w:rsidRDefault="00F00978">
      <w:pPr>
        <w:pStyle w:val="CETBodytext"/>
        <w:rPr>
          <w:lang w:val="en-GB"/>
        </w:rPr>
      </w:pPr>
      <w:proofErr w:type="gramStart"/>
      <w:r w:rsidRPr="00D17043">
        <w:rPr>
          <w:lang w:val="en-GB"/>
        </w:rPr>
        <w:t>where</w:t>
      </w:r>
      <w:proofErr w:type="gramEnd"/>
      <w:r w:rsidRPr="00D17043">
        <w:rPr>
          <w:lang w:val="en-GB"/>
        </w:rPr>
        <w:t xml:space="preserve"> u</w:t>
      </w:r>
      <w:r w:rsidRPr="00D17043">
        <w:rPr>
          <w:vertAlign w:val="subscript"/>
          <w:lang w:val="en-GB"/>
        </w:rPr>
        <w:t>g0</w:t>
      </w:r>
      <w:r w:rsidRPr="00D17043">
        <w:rPr>
          <w:lang w:val="en-GB"/>
        </w:rPr>
        <w:t xml:space="preserve"> is the superficial gas velocity (m s</w:t>
      </w:r>
      <w:r w:rsidRPr="00D17043">
        <w:rPr>
          <w:vertAlign w:val="superscript"/>
          <w:lang w:val="en-GB"/>
        </w:rPr>
        <w:t>-1</w:t>
      </w:r>
      <w:r w:rsidRPr="00D17043">
        <w:rPr>
          <w:lang w:val="en-GB"/>
        </w:rPr>
        <w:t xml:space="preserve">). The hold up was found to be practically the same regardless of distributor pattern.  Comparing with </w:t>
      </w:r>
      <w:r w:rsidR="00B52ED6">
        <w:rPr>
          <w:lang w:val="en-GB"/>
        </w:rPr>
        <w:t xml:space="preserve">the </w:t>
      </w:r>
      <w:r w:rsidRPr="00D17043">
        <w:rPr>
          <w:lang w:val="en-GB"/>
        </w:rPr>
        <w:t>air-water system (</w:t>
      </w:r>
      <w:proofErr w:type="spellStart"/>
      <w:r w:rsidRPr="00D17043">
        <w:rPr>
          <w:lang w:val="en-GB"/>
        </w:rPr>
        <w:t>Žižka</w:t>
      </w:r>
      <w:proofErr w:type="spellEnd"/>
      <w:r w:rsidRPr="00D17043">
        <w:rPr>
          <w:lang w:val="en-GB"/>
        </w:rPr>
        <w:t xml:space="preserve"> et al., 2017) the gas holdup was practically the same for both patterns (see Fig</w:t>
      </w:r>
      <w:r w:rsidR="00B52ED6">
        <w:rPr>
          <w:lang w:val="en-GB"/>
        </w:rPr>
        <w:t xml:space="preserve">ures </w:t>
      </w:r>
      <w:r w:rsidR="00B34538">
        <w:rPr>
          <w:lang w:val="en-GB"/>
        </w:rPr>
        <w:t>3</w:t>
      </w:r>
      <w:r w:rsidRPr="00D17043">
        <w:rPr>
          <w:lang w:val="en-GB"/>
        </w:rPr>
        <w:t xml:space="preserve">a and </w:t>
      </w:r>
      <w:r w:rsidR="00B34538">
        <w:rPr>
          <w:lang w:val="en-GB"/>
        </w:rPr>
        <w:t>4</w:t>
      </w:r>
      <w:r w:rsidRPr="00D17043">
        <w:rPr>
          <w:lang w:val="en-GB"/>
        </w:rPr>
        <w:t xml:space="preserve">a). This result agrees with </w:t>
      </w:r>
      <w:proofErr w:type="spellStart"/>
      <w:r w:rsidRPr="00D17043">
        <w:rPr>
          <w:lang w:val="en-GB"/>
        </w:rPr>
        <w:t>Zahradnik</w:t>
      </w:r>
      <w:proofErr w:type="spellEnd"/>
      <w:r w:rsidRPr="00D17043">
        <w:rPr>
          <w:lang w:val="en-GB"/>
        </w:rPr>
        <w:t xml:space="preserve"> et al. (1997) for corresponding gas superficial velocity and similar geometry. </w:t>
      </w:r>
    </w:p>
    <w:p w:rsidR="00B45B9A" w:rsidRDefault="00B45B9A">
      <w:pPr>
        <w:pStyle w:val="CETBodytext"/>
        <w:rPr>
          <w:lang w:val="en-GB"/>
        </w:rPr>
      </w:pPr>
    </w:p>
    <w:tbl>
      <w:tblPr>
        <w:tblW w:w="4822" w:type="pct"/>
        <w:tblInd w:w="108" w:type="dxa"/>
        <w:tblLook w:val="0000"/>
      </w:tblPr>
      <w:tblGrid>
        <w:gridCol w:w="4263"/>
        <w:gridCol w:w="4419"/>
      </w:tblGrid>
      <w:tr w:rsidR="00B34538" w:rsidRPr="00624005" w:rsidTr="00121764">
        <w:tc>
          <w:tcPr>
            <w:tcW w:w="4263" w:type="dxa"/>
            <w:tcBorders>
              <w:top w:val="nil"/>
              <w:left w:val="nil"/>
              <w:bottom w:val="nil"/>
              <w:right w:val="nil"/>
            </w:tcBorders>
            <w:vAlign w:val="center"/>
          </w:tcPr>
          <w:p w:rsidR="00B34538" w:rsidRPr="00624005" w:rsidRDefault="00B34538" w:rsidP="00121764">
            <w:pPr>
              <w:pStyle w:val="CETBodytext"/>
              <w:spacing w:before="120" w:after="120"/>
              <w:rPr>
                <w:rFonts w:eastAsiaTheme="minorEastAsia"/>
                <w:lang w:val="en-GB" w:eastAsia="en-US"/>
              </w:rPr>
            </w:pPr>
            <w:r>
              <w:rPr>
                <w:rFonts w:eastAsiaTheme="minorEastAsia"/>
                <w:noProof/>
                <w:lang w:val="cs-CZ"/>
              </w:rPr>
              <w:drawing>
                <wp:inline distT="0" distB="0" distL="0" distR="0">
                  <wp:extent cx="2460912" cy="3240000"/>
                  <wp:effectExtent l="19050" t="0" r="0" b="0"/>
                  <wp:docPr id="20" name="Obrázek 2" descr="ICheAP14_Zizka_SC-E_1904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AP14_Zizka_SC-E_190407.tif"/>
                          <pic:cNvPicPr/>
                        </pic:nvPicPr>
                        <pic:blipFill>
                          <a:blip r:embed="rId20"/>
                          <a:stretch>
                            <a:fillRect/>
                          </a:stretch>
                        </pic:blipFill>
                        <pic:spPr>
                          <a:xfrm>
                            <a:off x="0" y="0"/>
                            <a:ext cx="2460912" cy="3240000"/>
                          </a:xfrm>
                          <a:prstGeom prst="rect">
                            <a:avLst/>
                          </a:prstGeom>
                        </pic:spPr>
                      </pic:pic>
                    </a:graphicData>
                  </a:graphic>
                </wp:inline>
              </w:drawing>
            </w:r>
          </w:p>
        </w:tc>
        <w:tc>
          <w:tcPr>
            <w:tcW w:w="4420" w:type="dxa"/>
            <w:tcBorders>
              <w:top w:val="nil"/>
              <w:left w:val="nil"/>
              <w:bottom w:val="nil"/>
              <w:right w:val="nil"/>
            </w:tcBorders>
            <w:vAlign w:val="center"/>
          </w:tcPr>
          <w:p w:rsidR="00B34538" w:rsidRPr="00624005" w:rsidRDefault="00B34538" w:rsidP="00121764">
            <w:pPr>
              <w:pStyle w:val="CETBodytext"/>
              <w:spacing w:before="120" w:after="120"/>
              <w:jc w:val="left"/>
              <w:rPr>
                <w:rFonts w:eastAsiaTheme="minorEastAsia"/>
                <w:lang w:val="en-GB" w:eastAsia="en-US"/>
              </w:rPr>
            </w:pPr>
            <w:r>
              <w:rPr>
                <w:rFonts w:eastAsiaTheme="minorEastAsia"/>
                <w:noProof/>
                <w:lang w:val="cs-CZ"/>
              </w:rPr>
              <w:drawing>
                <wp:inline distT="0" distB="0" distL="0" distR="0">
                  <wp:extent cx="2464046" cy="3240000"/>
                  <wp:effectExtent l="19050" t="0" r="0" b="0"/>
                  <wp:docPr id="21" name="Obrázek 5" descr="ICheAP14_Zizka_SC-HTC_1904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AP14_Zizka_SC-HTC_190407.tif"/>
                          <pic:cNvPicPr/>
                        </pic:nvPicPr>
                        <pic:blipFill>
                          <a:blip r:embed="rId21"/>
                          <a:stretch>
                            <a:fillRect/>
                          </a:stretch>
                        </pic:blipFill>
                        <pic:spPr>
                          <a:xfrm>
                            <a:off x="0" y="0"/>
                            <a:ext cx="2464046" cy="3240000"/>
                          </a:xfrm>
                          <a:prstGeom prst="rect">
                            <a:avLst/>
                          </a:prstGeom>
                        </pic:spPr>
                      </pic:pic>
                    </a:graphicData>
                  </a:graphic>
                </wp:inline>
              </w:drawing>
            </w:r>
          </w:p>
        </w:tc>
      </w:tr>
    </w:tbl>
    <w:p w:rsidR="00B34538" w:rsidRPr="00D17043" w:rsidRDefault="00B34538" w:rsidP="00B34538">
      <w:pPr>
        <w:pStyle w:val="CETCaption"/>
      </w:pPr>
      <w:r w:rsidRPr="00D17043">
        <w:t xml:space="preserve">Figure </w:t>
      </w:r>
      <w:r>
        <w:t>3</w:t>
      </w:r>
      <w:r w:rsidRPr="00D17043">
        <w:t xml:space="preserve">: SC pattern: a) the hold up </w:t>
      </w:r>
      <w:r w:rsidRPr="00D17043">
        <w:sym w:font="Symbol" w:char="F065"/>
      </w:r>
      <w:r w:rsidRPr="00D17043">
        <w:t xml:space="preserve"> (left), b) the volumetric gas-to-liquid heat transfer coefficient </w:t>
      </w:r>
      <w:r w:rsidRPr="00D17043">
        <w:sym w:font="Symbol" w:char="F061"/>
      </w:r>
      <w:r w:rsidRPr="00D17043">
        <w:t>.a (right</w:t>
      </w:r>
      <w:r>
        <w:t>); (</w:t>
      </w:r>
      <w:r>
        <w:rPr>
          <w:i w:val="0"/>
        </w:rPr>
        <w:t>♦</w:t>
      </w:r>
      <w:r>
        <w:t>) 0.5 m, (■) 0.6 m, (▲) 0.85 m, (</w:t>
      </w:r>
      <w:r w:rsidRPr="006669A0">
        <w:rPr>
          <w:i w:val="0"/>
        </w:rPr>
        <w:sym w:font="Symbol" w:char="F0B7"/>
      </w:r>
      <w:r>
        <w:t>) 0.95 m, (</w:t>
      </w:r>
      <w:r w:rsidRPr="006669A0">
        <w:rPr>
          <w:b/>
        </w:rPr>
        <w:t>―</w:t>
      </w:r>
      <w:r>
        <w:t>) model – 0.3 M Na</w:t>
      </w:r>
      <w:r w:rsidRPr="006669A0">
        <w:rPr>
          <w:vertAlign w:val="subscript"/>
        </w:rPr>
        <w:t>2</w:t>
      </w:r>
      <w:r>
        <w:t>SO</w:t>
      </w:r>
      <w:r w:rsidRPr="006669A0">
        <w:rPr>
          <w:vertAlign w:val="subscript"/>
        </w:rPr>
        <w:t>4</w:t>
      </w:r>
      <w:r>
        <w:t xml:space="preserve">, </w:t>
      </w:r>
      <w:r w:rsidRPr="00D3063F">
        <w:t>(</w:t>
      </w:r>
      <w:r w:rsidRPr="00D3063F">
        <w:rPr>
          <w:b/>
          <w:i w:val="0"/>
        </w:rPr>
        <w:t>- - - -</w:t>
      </w:r>
      <w:r>
        <w:t>) model - water</w:t>
      </w:r>
      <w:r w:rsidRPr="00D17043">
        <w:t xml:space="preserve">. </w:t>
      </w:r>
    </w:p>
    <w:p w:rsidR="00B45B9A" w:rsidRPr="00D17043" w:rsidRDefault="00B45B9A">
      <w:pPr>
        <w:pStyle w:val="CETBodytext"/>
        <w:rPr>
          <w:lang w:val="en-GB"/>
        </w:rPr>
      </w:pPr>
    </w:p>
    <w:p w:rsidR="00F00978" w:rsidRPr="00D17043" w:rsidRDefault="00BE27B2" w:rsidP="00BE27B2">
      <w:pPr>
        <w:pStyle w:val="CETheadingx"/>
      </w:pPr>
      <w:r>
        <w:t xml:space="preserve">4.2 </w:t>
      </w:r>
      <w:r w:rsidR="00F00978" w:rsidRPr="00D17043">
        <w:t>Volumetric gas-to-liquid heat transfer coefficient</w:t>
      </w:r>
    </w:p>
    <w:p w:rsidR="00F00978" w:rsidRPr="00D17043" w:rsidRDefault="00F00978">
      <w:pPr>
        <w:pStyle w:val="CETBodytext"/>
        <w:rPr>
          <w:lang w:val="en-GB"/>
        </w:rPr>
      </w:pPr>
      <w:r w:rsidRPr="00D17043">
        <w:rPr>
          <w:lang w:val="en-GB"/>
        </w:rPr>
        <w:t xml:space="preserve">For </w:t>
      </w:r>
      <w:r w:rsidR="00B52ED6">
        <w:rPr>
          <w:lang w:val="en-GB"/>
        </w:rPr>
        <w:t xml:space="preserve">the </w:t>
      </w:r>
      <w:r w:rsidRPr="00D17043">
        <w:rPr>
          <w:lang w:val="en-GB"/>
        </w:rPr>
        <w:t>air-water system</w:t>
      </w:r>
      <w:r w:rsidR="00B52ED6">
        <w:rPr>
          <w:lang w:val="en-GB"/>
        </w:rPr>
        <w:t>,</w:t>
      </w:r>
      <w:r w:rsidRPr="00D17043">
        <w:rPr>
          <w:lang w:val="en-GB"/>
        </w:rPr>
        <w:t xml:space="preserve"> we found in our previous work that the effect of the liquid height on the volumetric gas-to-liquid heat transfer coefficient </w:t>
      </w:r>
      <w:r w:rsidRPr="00D17043">
        <w:rPr>
          <w:lang w:val="en-GB"/>
        </w:rPr>
        <w:sym w:font="Symbol" w:char="F061"/>
      </w:r>
      <w:r w:rsidRPr="00D17043">
        <w:rPr>
          <w:lang w:val="en-GB"/>
        </w:rPr>
        <w:t>.a can be compensated using aeration VVM as a measure of air flow (</w:t>
      </w:r>
      <w:proofErr w:type="spellStart"/>
      <w:r w:rsidRPr="00D17043">
        <w:rPr>
          <w:lang w:val="en-GB"/>
        </w:rPr>
        <w:t>Žižka</w:t>
      </w:r>
      <w:proofErr w:type="spellEnd"/>
      <w:r w:rsidRPr="00D17043">
        <w:rPr>
          <w:lang w:val="en-GB"/>
        </w:rPr>
        <w:t xml:space="preserve"> et al., 2017). The dependence of volumetric heat transfer coefficient </w:t>
      </w:r>
      <w:r w:rsidRPr="00D17043">
        <w:rPr>
          <w:lang w:val="en-GB"/>
        </w:rPr>
        <w:sym w:font="Symbol" w:char="F061"/>
      </w:r>
      <w:r w:rsidRPr="00D17043">
        <w:rPr>
          <w:lang w:val="en-GB"/>
        </w:rPr>
        <w:t>.a on aeration VVM can be expressed by the linear relation as follows:</w:t>
      </w:r>
    </w:p>
    <w:tbl>
      <w:tblPr>
        <w:tblW w:w="4881" w:type="pct"/>
        <w:tblInd w:w="108" w:type="dxa"/>
        <w:tblLook w:val="0000"/>
      </w:tblPr>
      <w:tblGrid>
        <w:gridCol w:w="7513"/>
        <w:gridCol w:w="1276"/>
      </w:tblGrid>
      <w:tr w:rsidR="00F00978" w:rsidRPr="00624005" w:rsidTr="00BE27B2">
        <w:tc>
          <w:tcPr>
            <w:tcW w:w="7513" w:type="dxa"/>
            <w:tcBorders>
              <w:top w:val="nil"/>
              <w:left w:val="nil"/>
              <w:bottom w:val="nil"/>
              <w:right w:val="nil"/>
            </w:tcBorders>
            <w:vAlign w:val="center"/>
          </w:tcPr>
          <w:p w:rsidR="00F00978" w:rsidRPr="00624005" w:rsidRDefault="00F00978">
            <w:pPr>
              <w:pStyle w:val="CETBodytext"/>
              <w:spacing w:before="120" w:after="120"/>
              <w:rPr>
                <w:rFonts w:eastAsiaTheme="minorEastAsia"/>
                <w:lang w:val="en-GB" w:eastAsia="en-US"/>
              </w:rPr>
            </w:pPr>
            <w:r w:rsidRPr="00624005">
              <w:rPr>
                <w:rFonts w:eastAsiaTheme="minorEastAsia"/>
                <w:lang w:val="en-GB" w:eastAsia="en-US"/>
              </w:rPr>
              <w:t xml:space="preserve">for SC pattern        </w:t>
            </w:r>
            <w:r w:rsidRPr="00624005">
              <w:rPr>
                <w:rFonts w:eastAsiaTheme="minorEastAsia"/>
                <w:position w:val="-6"/>
                <w:lang w:val="en-GB" w:eastAsia="en-US"/>
              </w:rPr>
              <w:object w:dxaOrig="2500" w:dyaOrig="279">
                <v:shape id="_x0000_i1029" type="#_x0000_t75" style="width:123.6pt;height:14.5pt" o:ole="">
                  <v:imagedata r:id="rId22" o:title=""/>
                </v:shape>
                <o:OLEObject Type="Embed" ProgID="Equation.3" ShapeID="_x0000_i1029" DrawAspect="Content" ObjectID="_1616601217" r:id="rId23"/>
              </w:object>
            </w:r>
            <w:r w:rsidRPr="00624005">
              <w:rPr>
                <w:rFonts w:eastAsiaTheme="minorEastAsia"/>
                <w:lang w:val="en-GB" w:eastAsia="en-US"/>
              </w:rPr>
              <w:t xml:space="preserve">          (R = 0.973)</w:t>
            </w:r>
          </w:p>
        </w:tc>
        <w:tc>
          <w:tcPr>
            <w:tcW w:w="1276" w:type="dxa"/>
            <w:tcBorders>
              <w:top w:val="nil"/>
              <w:left w:val="nil"/>
              <w:bottom w:val="nil"/>
              <w:right w:val="nil"/>
            </w:tcBorders>
            <w:vAlign w:val="center"/>
          </w:tcPr>
          <w:p w:rsidR="00F00978" w:rsidRPr="00624005" w:rsidRDefault="00F00978">
            <w:pPr>
              <w:pStyle w:val="CETBodytext"/>
              <w:spacing w:before="120" w:after="120"/>
              <w:jc w:val="right"/>
              <w:rPr>
                <w:rFonts w:eastAsiaTheme="minorEastAsia"/>
                <w:lang w:val="en-GB" w:eastAsia="en-US"/>
              </w:rPr>
            </w:pPr>
            <w:r w:rsidRPr="00624005">
              <w:rPr>
                <w:rFonts w:eastAsiaTheme="minorEastAsia"/>
                <w:lang w:val="en-GB" w:eastAsia="en-US"/>
              </w:rPr>
              <w:t>(5)</w:t>
            </w:r>
          </w:p>
        </w:tc>
      </w:tr>
      <w:tr w:rsidR="00F00978" w:rsidRPr="00624005" w:rsidTr="00BE27B2">
        <w:tc>
          <w:tcPr>
            <w:tcW w:w="7513" w:type="dxa"/>
            <w:tcBorders>
              <w:top w:val="nil"/>
              <w:left w:val="nil"/>
              <w:bottom w:val="nil"/>
              <w:right w:val="nil"/>
            </w:tcBorders>
            <w:vAlign w:val="center"/>
          </w:tcPr>
          <w:p w:rsidR="00F00978" w:rsidRPr="00624005" w:rsidRDefault="00F00978">
            <w:pPr>
              <w:pStyle w:val="CETBodytext"/>
              <w:spacing w:before="120" w:after="120"/>
              <w:rPr>
                <w:rFonts w:eastAsiaTheme="minorEastAsia"/>
                <w:lang w:val="en-GB" w:eastAsia="en-US"/>
              </w:rPr>
            </w:pPr>
            <w:r w:rsidRPr="00624005">
              <w:rPr>
                <w:rFonts w:eastAsiaTheme="minorEastAsia"/>
                <w:lang w:val="en-GB" w:eastAsia="en-US"/>
              </w:rPr>
              <w:lastRenderedPageBreak/>
              <w:t xml:space="preserve">for CC3 pattern      </w:t>
            </w:r>
            <w:r w:rsidRPr="00624005">
              <w:rPr>
                <w:rFonts w:eastAsiaTheme="minorEastAsia"/>
                <w:position w:val="-6"/>
                <w:lang w:val="en-GB" w:eastAsia="en-US"/>
              </w:rPr>
              <w:object w:dxaOrig="2400" w:dyaOrig="279">
                <v:shape id="_x0000_i1030" type="#_x0000_t75" style="width:117.65pt;height:14.5pt" o:ole="">
                  <v:imagedata r:id="rId24" o:title=""/>
                </v:shape>
                <o:OLEObject Type="Embed" ProgID="Equation.3" ShapeID="_x0000_i1030" DrawAspect="Content" ObjectID="_1616601218" r:id="rId25"/>
              </w:object>
            </w:r>
            <w:r w:rsidRPr="00624005">
              <w:rPr>
                <w:rFonts w:eastAsiaTheme="minorEastAsia"/>
                <w:lang w:val="en-GB" w:eastAsia="en-US"/>
              </w:rPr>
              <w:t xml:space="preserve">          (R = 0.609)</w:t>
            </w:r>
          </w:p>
        </w:tc>
        <w:tc>
          <w:tcPr>
            <w:tcW w:w="1276" w:type="dxa"/>
            <w:tcBorders>
              <w:top w:val="nil"/>
              <w:left w:val="nil"/>
              <w:bottom w:val="nil"/>
              <w:right w:val="nil"/>
            </w:tcBorders>
            <w:vAlign w:val="center"/>
          </w:tcPr>
          <w:p w:rsidR="00F00978" w:rsidRPr="00624005" w:rsidRDefault="00F00978">
            <w:pPr>
              <w:pStyle w:val="CETBodytext"/>
              <w:spacing w:before="120" w:after="120"/>
              <w:jc w:val="right"/>
              <w:rPr>
                <w:rFonts w:eastAsiaTheme="minorEastAsia"/>
                <w:lang w:val="en-GB" w:eastAsia="en-US"/>
              </w:rPr>
            </w:pPr>
            <w:r w:rsidRPr="00624005">
              <w:rPr>
                <w:rFonts w:eastAsiaTheme="minorEastAsia"/>
                <w:lang w:val="en-GB" w:eastAsia="en-US"/>
              </w:rPr>
              <w:t>(6)</w:t>
            </w:r>
          </w:p>
        </w:tc>
      </w:tr>
    </w:tbl>
    <w:p w:rsidR="00F00978" w:rsidRPr="00D17043" w:rsidRDefault="00F00978">
      <w:pPr>
        <w:pStyle w:val="CETBodytext"/>
        <w:rPr>
          <w:lang w:val="en-GB"/>
        </w:rPr>
      </w:pPr>
      <w:proofErr w:type="gramStart"/>
      <w:r w:rsidRPr="00D17043">
        <w:rPr>
          <w:lang w:val="en-GB"/>
        </w:rPr>
        <w:t>where</w:t>
      </w:r>
      <w:proofErr w:type="gramEnd"/>
      <w:r w:rsidRPr="00D17043">
        <w:rPr>
          <w:lang w:val="en-GB"/>
        </w:rPr>
        <w:t xml:space="preserve"> </w:t>
      </w:r>
      <w:r w:rsidRPr="00D17043">
        <w:rPr>
          <w:lang w:val="en-GB"/>
        </w:rPr>
        <w:sym w:font="Symbol" w:char="F061"/>
      </w:r>
      <w:r w:rsidRPr="00D17043">
        <w:rPr>
          <w:lang w:val="en-GB"/>
        </w:rPr>
        <w:t>.a is the volumetric gas-to-liquid heat transfer coefficient (W m</w:t>
      </w:r>
      <w:r w:rsidRPr="00D17043">
        <w:rPr>
          <w:vertAlign w:val="superscript"/>
          <w:lang w:val="en-GB"/>
        </w:rPr>
        <w:t>-3</w:t>
      </w:r>
      <w:r w:rsidRPr="00D17043">
        <w:rPr>
          <w:lang w:val="en-GB"/>
        </w:rPr>
        <w:t xml:space="preserve"> K</w:t>
      </w:r>
      <w:r w:rsidRPr="00D17043">
        <w:rPr>
          <w:vertAlign w:val="superscript"/>
          <w:lang w:val="en-GB"/>
        </w:rPr>
        <w:t>-1</w:t>
      </w:r>
      <w:r w:rsidRPr="00D17043">
        <w:rPr>
          <w:lang w:val="en-GB"/>
        </w:rPr>
        <w:t>), VVM is the aeration (s</w:t>
      </w:r>
      <w:r w:rsidRPr="00D17043">
        <w:rPr>
          <w:vertAlign w:val="superscript"/>
          <w:lang w:val="en-GB"/>
        </w:rPr>
        <w:t>-1</w:t>
      </w:r>
      <w:r w:rsidRPr="00D17043">
        <w:rPr>
          <w:lang w:val="en-GB"/>
        </w:rPr>
        <w:t xml:space="preserve">) defined as a ratio of air </w:t>
      </w:r>
      <w:proofErr w:type="spellStart"/>
      <w:r w:rsidRPr="00D17043">
        <w:rPr>
          <w:lang w:val="en-GB"/>
        </w:rPr>
        <w:t>flowrate</w:t>
      </w:r>
      <w:proofErr w:type="spellEnd"/>
      <w:r w:rsidRPr="00D17043">
        <w:rPr>
          <w:lang w:val="en-GB"/>
        </w:rPr>
        <w:t xml:space="preserve"> and the volume of a non-gassed liquid batch, i.e. VVM = </w:t>
      </w:r>
      <w:proofErr w:type="spellStart"/>
      <w:r w:rsidRPr="00D17043">
        <w:rPr>
          <w:lang w:val="en-GB"/>
        </w:rPr>
        <w:t>V</w:t>
      </w:r>
      <w:r w:rsidRPr="00D17043">
        <w:rPr>
          <w:vertAlign w:val="superscript"/>
          <w:lang w:val="en-GB"/>
        </w:rPr>
        <w:t>•</w:t>
      </w:r>
      <w:r w:rsidRPr="00D17043">
        <w:rPr>
          <w:vertAlign w:val="subscript"/>
          <w:lang w:val="en-GB"/>
        </w:rPr>
        <w:t>g</w:t>
      </w:r>
      <w:proofErr w:type="spellEnd"/>
      <w:r w:rsidRPr="00D17043">
        <w:rPr>
          <w:lang w:val="en-GB"/>
        </w:rPr>
        <w:t>/V</w:t>
      </w:r>
      <w:r w:rsidRPr="00D17043">
        <w:rPr>
          <w:vertAlign w:val="subscript"/>
          <w:lang w:val="en-GB"/>
        </w:rPr>
        <w:t>L0</w:t>
      </w:r>
      <w:r w:rsidRPr="00D17043">
        <w:rPr>
          <w:lang w:val="en-GB"/>
        </w:rPr>
        <w:t xml:space="preserve"> = u</w:t>
      </w:r>
      <w:r w:rsidRPr="00D17043">
        <w:rPr>
          <w:vertAlign w:val="subscript"/>
          <w:lang w:val="en-GB"/>
        </w:rPr>
        <w:t>g0</w:t>
      </w:r>
      <w:r w:rsidRPr="00D17043">
        <w:rPr>
          <w:lang w:val="en-GB"/>
        </w:rPr>
        <w:t>/H</w:t>
      </w:r>
      <w:r w:rsidRPr="00D17043">
        <w:rPr>
          <w:vertAlign w:val="subscript"/>
          <w:lang w:val="en-GB"/>
        </w:rPr>
        <w:t>L0</w:t>
      </w:r>
      <w:r w:rsidRPr="00D17043">
        <w:rPr>
          <w:lang w:val="en-GB"/>
        </w:rPr>
        <w:t>. For SC pattern the two data items were excluded from regression (data items for 0.5 m and aeration 0.042 s</w:t>
      </w:r>
      <w:r w:rsidRPr="00D17043">
        <w:rPr>
          <w:vertAlign w:val="superscript"/>
          <w:lang w:val="en-GB"/>
        </w:rPr>
        <w:t>-1</w:t>
      </w:r>
      <w:r w:rsidRPr="00D17043">
        <w:rPr>
          <w:lang w:val="en-GB"/>
        </w:rPr>
        <w:t xml:space="preserve"> and </w:t>
      </w:r>
      <w:proofErr w:type="gramStart"/>
      <w:r w:rsidRPr="00D17043">
        <w:rPr>
          <w:lang w:val="en-GB"/>
        </w:rPr>
        <w:t>0.063 s</w:t>
      </w:r>
      <w:r w:rsidRPr="00D17043">
        <w:rPr>
          <w:vertAlign w:val="superscript"/>
          <w:lang w:val="en-GB"/>
        </w:rPr>
        <w:t>-1</w:t>
      </w:r>
      <w:proofErr w:type="gramEnd"/>
      <w:r w:rsidRPr="00D17043">
        <w:rPr>
          <w:lang w:val="en-GB"/>
        </w:rPr>
        <w:t xml:space="preserve">). The comparison of experimental data and proposed correlation is depicted for four liquid levels in Figures 2b and 3b for SC and CC3 pattern respectively. For comparison, the dependence of </w:t>
      </w:r>
      <w:r w:rsidRPr="00D17043">
        <w:rPr>
          <w:lang w:val="en-GB"/>
        </w:rPr>
        <w:sym w:font="Symbol" w:char="F061"/>
      </w:r>
      <w:r w:rsidRPr="00D17043">
        <w:rPr>
          <w:lang w:val="en-GB"/>
        </w:rPr>
        <w:t xml:space="preserve">.a on aeration VVM for </w:t>
      </w:r>
      <w:r w:rsidR="00B52ED6">
        <w:rPr>
          <w:lang w:val="en-GB"/>
        </w:rPr>
        <w:t xml:space="preserve">the </w:t>
      </w:r>
      <w:r w:rsidRPr="00D17043">
        <w:rPr>
          <w:lang w:val="en-GB"/>
        </w:rPr>
        <w:t xml:space="preserve">air-water system is presented in graphs simultaneously. For SC pattern the heat transfer coefficient </w:t>
      </w:r>
      <w:r w:rsidRPr="00D17043">
        <w:rPr>
          <w:lang w:val="en-GB"/>
        </w:rPr>
        <w:sym w:font="Symbol" w:char="F061"/>
      </w:r>
      <w:r w:rsidRPr="00D17043">
        <w:rPr>
          <w:lang w:val="en-GB"/>
        </w:rPr>
        <w:t>.a for sodium sulphate solutio</w:t>
      </w:r>
      <w:r w:rsidR="00B52ED6">
        <w:rPr>
          <w:lang w:val="en-GB"/>
        </w:rPr>
        <w:t>n was found to be higher compared</w:t>
      </w:r>
      <w:r w:rsidRPr="00D17043">
        <w:rPr>
          <w:lang w:val="en-GB"/>
        </w:rPr>
        <w:t xml:space="preserve"> with </w:t>
      </w:r>
      <w:r w:rsidR="00B52ED6">
        <w:rPr>
          <w:lang w:val="en-GB"/>
        </w:rPr>
        <w:t xml:space="preserve">the </w:t>
      </w:r>
      <w:r w:rsidRPr="00D17043">
        <w:rPr>
          <w:lang w:val="en-GB"/>
        </w:rPr>
        <w:t xml:space="preserve">air-water system. Depending on aeration value the </w:t>
      </w:r>
      <w:r w:rsidRPr="00D17043">
        <w:rPr>
          <w:lang w:val="en-GB"/>
        </w:rPr>
        <w:sym w:font="Symbol" w:char="F061"/>
      </w:r>
      <w:r w:rsidRPr="00D17043">
        <w:rPr>
          <w:lang w:val="en-GB"/>
        </w:rPr>
        <w:t xml:space="preserve">.a coefficient for sodium sulphate solution was 1.33-2.12 times higher in the aeration range from 0.02 </w:t>
      </w:r>
      <w:proofErr w:type="gramStart"/>
      <w:r w:rsidRPr="00D17043">
        <w:rPr>
          <w:lang w:val="en-GB"/>
        </w:rPr>
        <w:t>to 0.063 s</w:t>
      </w:r>
      <w:r w:rsidRPr="00D17043">
        <w:rPr>
          <w:vertAlign w:val="superscript"/>
          <w:lang w:val="en-GB"/>
        </w:rPr>
        <w:t>-1</w:t>
      </w:r>
      <w:proofErr w:type="gramEnd"/>
      <w:r w:rsidRPr="00D17043">
        <w:rPr>
          <w:lang w:val="en-GB"/>
        </w:rPr>
        <w:t>. Unlike this, the heat transfer coefficient for CC3 pattern was found to be practically the same compar</w:t>
      </w:r>
      <w:r w:rsidR="00B52ED6">
        <w:rPr>
          <w:lang w:val="en-GB"/>
        </w:rPr>
        <w:t xml:space="preserve">ed </w:t>
      </w:r>
      <w:r w:rsidRPr="00D17043">
        <w:rPr>
          <w:lang w:val="en-GB"/>
        </w:rPr>
        <w:t xml:space="preserve">with air-water system. This fact and lower correlation index were probably caused by unstable gas flow through the </w:t>
      </w:r>
      <w:proofErr w:type="spellStart"/>
      <w:r w:rsidRPr="00D17043">
        <w:rPr>
          <w:lang w:val="en-GB"/>
        </w:rPr>
        <w:t>sparger</w:t>
      </w:r>
      <w:proofErr w:type="spellEnd"/>
      <w:r w:rsidRPr="00D17043">
        <w:rPr>
          <w:lang w:val="en-GB"/>
        </w:rPr>
        <w:t xml:space="preserve"> observed for applied air </w:t>
      </w:r>
      <w:proofErr w:type="spellStart"/>
      <w:r w:rsidRPr="00D17043">
        <w:rPr>
          <w:lang w:val="en-GB"/>
        </w:rPr>
        <w:t>flowrates</w:t>
      </w:r>
      <w:proofErr w:type="spellEnd"/>
      <w:r w:rsidRPr="00D17043">
        <w:rPr>
          <w:lang w:val="en-GB"/>
        </w:rPr>
        <w:t xml:space="preserve">.   </w:t>
      </w:r>
    </w:p>
    <w:p w:rsidR="00F00978" w:rsidRPr="00D17043" w:rsidRDefault="00F00978">
      <w:pPr>
        <w:pStyle w:val="CETBodytext"/>
        <w:rPr>
          <w:lang w:val="en-GB"/>
        </w:rPr>
      </w:pPr>
    </w:p>
    <w:tbl>
      <w:tblPr>
        <w:tblW w:w="4836" w:type="pct"/>
        <w:tblInd w:w="108" w:type="dxa"/>
        <w:tblLook w:val="0000"/>
      </w:tblPr>
      <w:tblGrid>
        <w:gridCol w:w="4292"/>
        <w:gridCol w:w="4416"/>
      </w:tblGrid>
      <w:tr w:rsidR="00F00978" w:rsidRPr="00624005" w:rsidTr="00BE27B2">
        <w:tc>
          <w:tcPr>
            <w:tcW w:w="4292" w:type="dxa"/>
            <w:tcBorders>
              <w:top w:val="nil"/>
              <w:left w:val="nil"/>
              <w:bottom w:val="nil"/>
              <w:right w:val="nil"/>
            </w:tcBorders>
            <w:vAlign w:val="center"/>
          </w:tcPr>
          <w:p w:rsidR="00F00978" w:rsidRPr="00624005" w:rsidRDefault="00B45B9A">
            <w:pPr>
              <w:pStyle w:val="CETBodytext"/>
              <w:spacing w:before="120" w:after="120"/>
              <w:rPr>
                <w:rFonts w:eastAsiaTheme="minorEastAsia"/>
                <w:lang w:val="en-GB" w:eastAsia="en-US"/>
              </w:rPr>
            </w:pPr>
            <w:r>
              <w:rPr>
                <w:rFonts w:eastAsiaTheme="minorEastAsia"/>
                <w:noProof/>
                <w:lang w:val="cs-CZ"/>
              </w:rPr>
              <w:drawing>
                <wp:inline distT="0" distB="0" distL="0" distR="0">
                  <wp:extent cx="2462928" cy="3240000"/>
                  <wp:effectExtent l="19050" t="0" r="0" b="0"/>
                  <wp:docPr id="7" name="Obrázek 6" descr="ICheAP14_Zizka_CC3-E_1904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AP14_Zizka_CC3-E_190407.tif"/>
                          <pic:cNvPicPr/>
                        </pic:nvPicPr>
                        <pic:blipFill>
                          <a:blip r:embed="rId26"/>
                          <a:stretch>
                            <a:fillRect/>
                          </a:stretch>
                        </pic:blipFill>
                        <pic:spPr>
                          <a:xfrm>
                            <a:off x="0" y="0"/>
                            <a:ext cx="2462928" cy="3240000"/>
                          </a:xfrm>
                          <a:prstGeom prst="rect">
                            <a:avLst/>
                          </a:prstGeom>
                        </pic:spPr>
                      </pic:pic>
                    </a:graphicData>
                  </a:graphic>
                </wp:inline>
              </w:drawing>
            </w:r>
          </w:p>
        </w:tc>
        <w:tc>
          <w:tcPr>
            <w:tcW w:w="4416" w:type="dxa"/>
            <w:tcBorders>
              <w:top w:val="nil"/>
              <w:left w:val="nil"/>
              <w:bottom w:val="nil"/>
              <w:right w:val="nil"/>
            </w:tcBorders>
            <w:vAlign w:val="center"/>
          </w:tcPr>
          <w:p w:rsidR="00F00978" w:rsidRPr="00624005" w:rsidRDefault="00B45B9A">
            <w:pPr>
              <w:pStyle w:val="CETBodytext"/>
              <w:spacing w:before="120" w:after="120"/>
              <w:jc w:val="left"/>
              <w:rPr>
                <w:rFonts w:eastAsiaTheme="minorEastAsia"/>
                <w:lang w:val="en-GB" w:eastAsia="en-US"/>
              </w:rPr>
            </w:pPr>
            <w:r>
              <w:rPr>
                <w:rFonts w:eastAsiaTheme="minorEastAsia"/>
                <w:noProof/>
                <w:lang w:val="cs-CZ"/>
              </w:rPr>
              <w:drawing>
                <wp:inline distT="0" distB="0" distL="0" distR="0">
                  <wp:extent cx="2461389" cy="3240000"/>
                  <wp:effectExtent l="19050" t="0" r="0" b="0"/>
                  <wp:docPr id="8" name="Obrázek 7" descr="ICheAP14_Zizka_CC3-HTC_1904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eAP14_Zizka_CC3-HTC_190407.tif"/>
                          <pic:cNvPicPr/>
                        </pic:nvPicPr>
                        <pic:blipFill>
                          <a:blip r:embed="rId27"/>
                          <a:stretch>
                            <a:fillRect/>
                          </a:stretch>
                        </pic:blipFill>
                        <pic:spPr>
                          <a:xfrm>
                            <a:off x="0" y="0"/>
                            <a:ext cx="2461389" cy="3240000"/>
                          </a:xfrm>
                          <a:prstGeom prst="rect">
                            <a:avLst/>
                          </a:prstGeom>
                        </pic:spPr>
                      </pic:pic>
                    </a:graphicData>
                  </a:graphic>
                </wp:inline>
              </w:drawing>
            </w:r>
          </w:p>
        </w:tc>
      </w:tr>
    </w:tbl>
    <w:p w:rsidR="00A651BD" w:rsidRDefault="00F00978" w:rsidP="00A651BD">
      <w:pPr>
        <w:pStyle w:val="CETCaption"/>
      </w:pPr>
      <w:r w:rsidRPr="00D17043">
        <w:t xml:space="preserve">Figure </w:t>
      </w:r>
      <w:r w:rsidR="00B34538">
        <w:t>4</w:t>
      </w:r>
      <w:r w:rsidRPr="00D17043">
        <w:t xml:space="preserve">: CC3 pattern: a) the hold up </w:t>
      </w:r>
      <w:r w:rsidRPr="00D17043">
        <w:sym w:font="Symbol" w:char="F065"/>
      </w:r>
      <w:r w:rsidRPr="00D17043">
        <w:t xml:space="preserve"> (left), b) the volumetric gas-to-liquid heat transfer coefficient </w:t>
      </w:r>
      <w:r w:rsidRPr="00D17043">
        <w:sym w:font="Symbol" w:char="F061"/>
      </w:r>
      <w:r w:rsidRPr="00D17043">
        <w:t>.a (right)</w:t>
      </w:r>
      <w:r w:rsidR="00A651BD" w:rsidRPr="00A651BD">
        <w:t xml:space="preserve"> </w:t>
      </w:r>
      <w:r w:rsidR="00A651BD">
        <w:t>; (</w:t>
      </w:r>
      <w:r w:rsidR="00A651BD">
        <w:rPr>
          <w:i w:val="0"/>
        </w:rPr>
        <w:t>♦</w:t>
      </w:r>
      <w:r w:rsidR="00A651BD">
        <w:t>) 0.5 m, (■) 0.6 m, (▲) 0.85 m, (</w:t>
      </w:r>
      <w:r w:rsidR="00A651BD" w:rsidRPr="006669A0">
        <w:rPr>
          <w:i w:val="0"/>
        </w:rPr>
        <w:sym w:font="Symbol" w:char="F0B7"/>
      </w:r>
      <w:r w:rsidR="00A651BD">
        <w:t>) 0.95 m, (</w:t>
      </w:r>
      <w:r w:rsidR="00A651BD" w:rsidRPr="006669A0">
        <w:rPr>
          <w:b/>
        </w:rPr>
        <w:t>―</w:t>
      </w:r>
      <w:r w:rsidR="00A651BD">
        <w:t>) model – 0.3 M Na</w:t>
      </w:r>
      <w:r w:rsidR="00A651BD" w:rsidRPr="006669A0">
        <w:rPr>
          <w:vertAlign w:val="subscript"/>
        </w:rPr>
        <w:t>2</w:t>
      </w:r>
      <w:r w:rsidR="00A651BD">
        <w:t>SO</w:t>
      </w:r>
      <w:r w:rsidR="00A651BD" w:rsidRPr="006669A0">
        <w:rPr>
          <w:vertAlign w:val="subscript"/>
        </w:rPr>
        <w:t>4</w:t>
      </w:r>
      <w:r w:rsidR="00A651BD">
        <w:t xml:space="preserve">, </w:t>
      </w:r>
      <w:r w:rsidR="00A651BD" w:rsidRPr="00D3063F">
        <w:t>(</w:t>
      </w:r>
      <w:r w:rsidR="00A651BD" w:rsidRPr="00D3063F">
        <w:rPr>
          <w:b/>
          <w:i w:val="0"/>
        </w:rPr>
        <w:t>- - - -</w:t>
      </w:r>
      <w:r w:rsidR="00A651BD">
        <w:t>) model - water</w:t>
      </w:r>
      <w:r w:rsidR="00A651BD" w:rsidRPr="00D17043">
        <w:t xml:space="preserve">. </w:t>
      </w:r>
    </w:p>
    <w:p w:rsidR="003E41CD" w:rsidRPr="003E41CD" w:rsidRDefault="003E41CD" w:rsidP="003E41CD">
      <w:pPr>
        <w:pStyle w:val="CETCaption"/>
        <w:spacing w:before="0" w:after="0"/>
        <w:rPr>
          <w:i w:val="0"/>
        </w:rPr>
      </w:pPr>
    </w:p>
    <w:p w:rsidR="00F00978" w:rsidRPr="00D17043" w:rsidRDefault="00BE27B2" w:rsidP="00BE27B2">
      <w:pPr>
        <w:pStyle w:val="CETHeading1"/>
        <w:numPr>
          <w:ilvl w:val="0"/>
          <w:numId w:val="0"/>
        </w:numPr>
        <w:rPr>
          <w:lang w:val="en-GB"/>
        </w:rPr>
      </w:pPr>
      <w:r>
        <w:rPr>
          <w:lang w:val="en-GB"/>
        </w:rPr>
        <w:t xml:space="preserve">5. </w:t>
      </w:r>
      <w:r w:rsidR="00F00978" w:rsidRPr="00D17043">
        <w:rPr>
          <w:lang w:val="en-GB"/>
        </w:rPr>
        <w:t>Conclusions</w:t>
      </w:r>
    </w:p>
    <w:p w:rsidR="00F00978" w:rsidRPr="00D17043" w:rsidRDefault="00F00978">
      <w:pPr>
        <w:pStyle w:val="CETBodytext"/>
        <w:rPr>
          <w:lang w:val="en-GB"/>
        </w:rPr>
      </w:pPr>
      <w:r w:rsidRPr="00D17043">
        <w:rPr>
          <w:lang w:val="en-GB"/>
        </w:rPr>
        <w:t xml:space="preserve">The effect of multi-orifice aerator for the heat transfer between gas and </w:t>
      </w:r>
      <w:r w:rsidR="00933BE4">
        <w:rPr>
          <w:lang w:val="en-GB"/>
        </w:rPr>
        <w:t xml:space="preserve">a </w:t>
      </w:r>
      <w:r w:rsidRPr="00D17043">
        <w:rPr>
          <w:lang w:val="en-GB"/>
        </w:rPr>
        <w:t>non-coalescent liquid was investigated for two different aerator patterns. The aqueous solution of 0.3 M Na</w:t>
      </w:r>
      <w:r w:rsidRPr="00D17043">
        <w:rPr>
          <w:vertAlign w:val="subscript"/>
          <w:lang w:val="en-GB"/>
        </w:rPr>
        <w:t>2</w:t>
      </w:r>
      <w:r w:rsidRPr="00D17043">
        <w:rPr>
          <w:lang w:val="en-GB"/>
        </w:rPr>
        <w:t>SO</w:t>
      </w:r>
      <w:r w:rsidRPr="00D17043">
        <w:rPr>
          <w:vertAlign w:val="subscript"/>
          <w:lang w:val="en-GB"/>
        </w:rPr>
        <w:t>4</w:t>
      </w:r>
      <w:r w:rsidRPr="00D17043">
        <w:rPr>
          <w:lang w:val="en-GB"/>
        </w:rPr>
        <w:t xml:space="preserve"> was used as a non-coalescent batch. The experiments were performed in the bubble column in diameter of 0.15 m with various liquid levels within the range of superficial air velocity varying from 0.01 m s</w:t>
      </w:r>
      <w:r w:rsidRPr="00D17043">
        <w:rPr>
          <w:vertAlign w:val="superscript"/>
          <w:lang w:val="en-GB"/>
        </w:rPr>
        <w:t>-1</w:t>
      </w:r>
      <w:r w:rsidRPr="00D17043">
        <w:rPr>
          <w:lang w:val="en-GB"/>
        </w:rPr>
        <w:t xml:space="preserve"> to 0.03 m s</w:t>
      </w:r>
      <w:r w:rsidRPr="00D17043">
        <w:rPr>
          <w:vertAlign w:val="superscript"/>
          <w:lang w:val="en-GB"/>
        </w:rPr>
        <w:t>-1</w:t>
      </w:r>
      <w:r w:rsidRPr="00D17043">
        <w:rPr>
          <w:lang w:val="en-GB"/>
        </w:rPr>
        <w:t xml:space="preserve">. The hold up was found to be linearly depending on the superficial gas velocity regardless of liquid height. The hold up for </w:t>
      </w:r>
      <w:r w:rsidR="00933BE4">
        <w:rPr>
          <w:lang w:val="en-GB"/>
        </w:rPr>
        <w:t xml:space="preserve">a </w:t>
      </w:r>
      <w:r w:rsidRPr="00D17043">
        <w:rPr>
          <w:lang w:val="en-GB"/>
        </w:rPr>
        <w:t xml:space="preserve">non-coalescent bath was practically the same </w:t>
      </w:r>
      <w:r w:rsidR="00933BE4">
        <w:rPr>
          <w:lang w:val="en-GB"/>
        </w:rPr>
        <w:t>for</w:t>
      </w:r>
      <w:r w:rsidRPr="00D17043">
        <w:rPr>
          <w:lang w:val="en-GB"/>
        </w:rPr>
        <w:t xml:space="preserve"> similar experiments in </w:t>
      </w:r>
      <w:r w:rsidR="00933BE4">
        <w:rPr>
          <w:lang w:val="en-GB"/>
        </w:rPr>
        <w:t xml:space="preserve">the </w:t>
      </w:r>
      <w:r w:rsidRPr="00D17043">
        <w:rPr>
          <w:lang w:val="en-GB"/>
        </w:rPr>
        <w:t xml:space="preserve">air-water system. </w:t>
      </w:r>
    </w:p>
    <w:p w:rsidR="00F00978" w:rsidRPr="00D17043" w:rsidRDefault="00F00978">
      <w:pPr>
        <w:pStyle w:val="CETBodytext"/>
        <w:rPr>
          <w:lang w:val="en-GB"/>
        </w:rPr>
      </w:pPr>
      <w:r w:rsidRPr="00D17043">
        <w:rPr>
          <w:lang w:val="en-GB"/>
        </w:rPr>
        <w:t xml:space="preserve">The volumetric gas-to-liquid heat transfer coefficient was found to be linearly depending on the aeration regardless of liquid height. Depending on aeration value the heat transfer coefficient for sodium sulphate solution was 1.33-2.12 times higher </w:t>
      </w:r>
      <w:r w:rsidR="00933BE4">
        <w:rPr>
          <w:lang w:val="en-GB"/>
        </w:rPr>
        <w:t>concerning the</w:t>
      </w:r>
      <w:r w:rsidRPr="00D17043">
        <w:rPr>
          <w:lang w:val="en-GB"/>
        </w:rPr>
        <w:t xml:space="preserve"> air-water system in the aeration range from 0.02 </w:t>
      </w:r>
      <w:proofErr w:type="gramStart"/>
      <w:r w:rsidRPr="00D17043">
        <w:rPr>
          <w:lang w:val="en-GB"/>
        </w:rPr>
        <w:t>to 0.063 s</w:t>
      </w:r>
      <w:r w:rsidRPr="00D17043">
        <w:rPr>
          <w:vertAlign w:val="superscript"/>
          <w:lang w:val="en-GB"/>
        </w:rPr>
        <w:t>-1</w:t>
      </w:r>
      <w:r w:rsidRPr="00D17043">
        <w:rPr>
          <w:lang w:val="en-GB"/>
        </w:rPr>
        <w:t xml:space="preserve"> for SC pattern</w:t>
      </w:r>
      <w:proofErr w:type="gramEnd"/>
      <w:r w:rsidRPr="00D17043">
        <w:rPr>
          <w:lang w:val="en-GB"/>
        </w:rPr>
        <w:t xml:space="preserve">. For CC3 pattern the evaluated heat transfer coefficients in sodium sulphate solution and water were comparable. This fact was probably caused by unstable gas flow through the </w:t>
      </w:r>
      <w:proofErr w:type="spellStart"/>
      <w:r w:rsidRPr="00D17043">
        <w:rPr>
          <w:lang w:val="en-GB"/>
        </w:rPr>
        <w:t>sparger</w:t>
      </w:r>
      <w:proofErr w:type="spellEnd"/>
      <w:r w:rsidRPr="00D17043">
        <w:rPr>
          <w:lang w:val="en-GB"/>
        </w:rPr>
        <w:t xml:space="preserve"> observed for applied air </w:t>
      </w:r>
      <w:proofErr w:type="spellStart"/>
      <w:r w:rsidRPr="00D17043">
        <w:rPr>
          <w:lang w:val="en-GB"/>
        </w:rPr>
        <w:t>flowrates</w:t>
      </w:r>
      <w:proofErr w:type="spellEnd"/>
      <w:r w:rsidRPr="00D17043">
        <w:rPr>
          <w:lang w:val="en-GB"/>
        </w:rPr>
        <w:t>.</w:t>
      </w:r>
    </w:p>
    <w:p w:rsidR="00F00978" w:rsidRPr="00D17043" w:rsidRDefault="00F00978">
      <w:pPr>
        <w:pStyle w:val="CETBodytext"/>
        <w:rPr>
          <w:lang w:val="en-GB"/>
        </w:rPr>
      </w:pPr>
    </w:p>
    <w:p w:rsidR="00F00978" w:rsidRPr="00D17043" w:rsidRDefault="00F00978">
      <w:pPr>
        <w:pStyle w:val="CETAcknowledgementstitle"/>
      </w:pPr>
      <w:r w:rsidRPr="00D17043">
        <w:lastRenderedPageBreak/>
        <w:t>Acknowledgments</w:t>
      </w:r>
    </w:p>
    <w:p w:rsidR="00F00978" w:rsidRPr="00D17043" w:rsidRDefault="00F00978">
      <w:pPr>
        <w:pStyle w:val="CETBodytext"/>
        <w:rPr>
          <w:lang w:val="en-GB"/>
        </w:rPr>
      </w:pPr>
      <w:r w:rsidRPr="00D17043">
        <w:rPr>
          <w:lang w:val="en-GB"/>
        </w:rPr>
        <w:t>This work was supported by the Ministry of Education, Youth and Sports of the Czech Republic under OP RDE grant number CZ.02.1.01/0.0/0.0/16_019/0000753 "Research centre for low-carbon energy technologies".</w:t>
      </w:r>
    </w:p>
    <w:p w:rsidR="00F00978" w:rsidRPr="00D17043" w:rsidRDefault="00F00978">
      <w:pPr>
        <w:pStyle w:val="CETBodytext"/>
        <w:rPr>
          <w:lang w:val="en-GB"/>
        </w:rPr>
      </w:pPr>
    </w:p>
    <w:p w:rsidR="00F00978" w:rsidRPr="00D17043" w:rsidRDefault="00F00978">
      <w:pPr>
        <w:pStyle w:val="CETReference"/>
      </w:pPr>
      <w:r w:rsidRPr="00D17043">
        <w:t xml:space="preserve">Reference </w:t>
      </w:r>
    </w:p>
    <w:p w:rsidR="00F00978" w:rsidRPr="00D17043" w:rsidRDefault="00F00978">
      <w:pPr>
        <w:ind w:left="284" w:hanging="284"/>
      </w:pPr>
      <w:proofErr w:type="spellStart"/>
      <w:r w:rsidRPr="00D17043">
        <w:t>Baz-Rodríguez</w:t>
      </w:r>
      <w:proofErr w:type="spellEnd"/>
      <w:r w:rsidRPr="00D17043">
        <w:t xml:space="preserve"> S.A., </w:t>
      </w:r>
      <w:proofErr w:type="spellStart"/>
      <w:r w:rsidRPr="00D17043">
        <w:t>Botello</w:t>
      </w:r>
      <w:proofErr w:type="spellEnd"/>
      <w:r w:rsidRPr="00D17043">
        <w:t>-Alvarez J.E., Estrada-</w:t>
      </w:r>
      <w:proofErr w:type="spellStart"/>
      <w:r w:rsidRPr="00D17043">
        <w:t>Baltazar</w:t>
      </w:r>
      <w:proofErr w:type="spellEnd"/>
      <w:r w:rsidRPr="00D17043">
        <w:t xml:space="preserve"> A., </w:t>
      </w:r>
      <w:proofErr w:type="spellStart"/>
      <w:r w:rsidRPr="00D17043">
        <w:t>Vilchiz</w:t>
      </w:r>
      <w:proofErr w:type="spellEnd"/>
      <w:r w:rsidRPr="00D17043">
        <w:t>-Bravo L.E., Padilla-Medina J.A., Miranda-</w:t>
      </w:r>
      <w:proofErr w:type="spellStart"/>
      <w:r w:rsidRPr="00D17043">
        <w:t>López</w:t>
      </w:r>
      <w:proofErr w:type="spellEnd"/>
      <w:r w:rsidRPr="00D17043">
        <w:t xml:space="preserve"> R., 2014, Effect of electrolytes in aqueous solutions on oxygen transfer in gas-liquid bubble columns, </w:t>
      </w:r>
      <w:proofErr w:type="spellStart"/>
      <w:r w:rsidRPr="00D17043">
        <w:t>Chem</w:t>
      </w:r>
      <w:proofErr w:type="spellEnd"/>
      <w:r w:rsidRPr="00D17043">
        <w:t xml:space="preserve"> Eng Res Des, 92, 2352-2360. DOI: 10.1016/j.cherd.2014.02.023</w:t>
      </w:r>
    </w:p>
    <w:p w:rsidR="00F00978" w:rsidRPr="00D17043" w:rsidRDefault="00F00978">
      <w:pPr>
        <w:pStyle w:val="CETReferencetext"/>
      </w:pPr>
      <w:proofErr w:type="spellStart"/>
      <w:r w:rsidRPr="00D17043">
        <w:t>Belohlav</w:t>
      </w:r>
      <w:proofErr w:type="spellEnd"/>
      <w:r w:rsidRPr="00D17043">
        <w:t xml:space="preserve"> V., </w:t>
      </w:r>
      <w:proofErr w:type="spellStart"/>
      <w:r w:rsidRPr="00D17043">
        <w:t>Jirout</w:t>
      </w:r>
      <w:proofErr w:type="spellEnd"/>
      <w:r w:rsidRPr="00D17043">
        <w:t xml:space="preserve"> T., </w:t>
      </w:r>
      <w:proofErr w:type="spellStart"/>
      <w:r w:rsidRPr="00D17043">
        <w:t>Kratky</w:t>
      </w:r>
      <w:proofErr w:type="spellEnd"/>
      <w:r w:rsidRPr="00D17043">
        <w:t xml:space="preserve"> L., 2017, Operational and design parameters of microalgae cultivation systems for its application in industrial scale, In: EUBCE proceedings, 25</w:t>
      </w:r>
      <w:r w:rsidRPr="00D17043">
        <w:rPr>
          <w:vertAlign w:val="superscript"/>
        </w:rPr>
        <w:t>th</w:t>
      </w:r>
      <w:r w:rsidRPr="00D17043">
        <w:t xml:space="preserve"> European Biomass Conference and Exhibition, June 12-15, Stockholm, Sweden, 1990-1997. DOI: 10.5071/25thEUBCE2017-IDV.3.10 </w:t>
      </w:r>
    </w:p>
    <w:p w:rsidR="00F00978" w:rsidRPr="00D17043" w:rsidRDefault="00F00978">
      <w:pPr>
        <w:ind w:left="284" w:hanging="284"/>
      </w:pPr>
      <w:proofErr w:type="spellStart"/>
      <w:r w:rsidRPr="00D17043">
        <w:t>Besagni</w:t>
      </w:r>
      <w:proofErr w:type="spellEnd"/>
      <w:r w:rsidRPr="00D17043">
        <w:t xml:space="preserve"> G., </w:t>
      </w:r>
      <w:proofErr w:type="spellStart"/>
      <w:r w:rsidRPr="00D17043">
        <w:t>Inzoli</w:t>
      </w:r>
      <w:proofErr w:type="spellEnd"/>
      <w:r w:rsidRPr="00D17043">
        <w:t xml:space="preserve"> F., 2017, </w:t>
      </w:r>
      <w:proofErr w:type="gramStart"/>
      <w:r w:rsidRPr="00D17043">
        <w:t>The</w:t>
      </w:r>
      <w:proofErr w:type="gramEnd"/>
      <w:r w:rsidRPr="00D17043">
        <w:t xml:space="preserve"> effect of electrolyte concentration on counter-current gas-liquid bubble column fluid dynamics: gas holdup, flow regime transition and bubble size distributions, </w:t>
      </w:r>
      <w:proofErr w:type="spellStart"/>
      <w:r w:rsidRPr="00D17043">
        <w:t>Chem</w:t>
      </w:r>
      <w:proofErr w:type="spellEnd"/>
      <w:r w:rsidRPr="00D17043">
        <w:t xml:space="preserve"> Eng Res Des, 118, 170-193. DOI: 10.1016/j.cherd.2016.12.012</w:t>
      </w:r>
    </w:p>
    <w:p w:rsidR="00F00978" w:rsidRPr="00D17043" w:rsidRDefault="00F00978">
      <w:pPr>
        <w:ind w:left="284" w:hanging="284"/>
      </w:pPr>
      <w:proofErr w:type="gramStart"/>
      <w:r w:rsidRPr="00D17043">
        <w:t xml:space="preserve">Craig V.S.J., 2004, Bubble coalescence and specific-ion effects, </w:t>
      </w:r>
      <w:proofErr w:type="spellStart"/>
      <w:r w:rsidRPr="00D17043">
        <w:t>Curr.Opin.Colloid</w:t>
      </w:r>
      <w:proofErr w:type="spellEnd"/>
      <w:r w:rsidRPr="00D17043">
        <w:t xml:space="preserve"> Interface </w:t>
      </w:r>
      <w:proofErr w:type="spellStart"/>
      <w:r w:rsidRPr="00D17043">
        <w:t>Sci</w:t>
      </w:r>
      <w:proofErr w:type="spellEnd"/>
      <w:r w:rsidRPr="00D17043">
        <w:t>, 9, 178-184.</w:t>
      </w:r>
      <w:proofErr w:type="gramEnd"/>
      <w:r w:rsidRPr="00D17043">
        <w:t xml:space="preserve"> DOI: 10.1016/j.cocis.2004.06.002</w:t>
      </w:r>
    </w:p>
    <w:p w:rsidR="00F00978" w:rsidRPr="00D17043" w:rsidRDefault="00F00978">
      <w:pPr>
        <w:ind w:left="284" w:hanging="284"/>
      </w:pPr>
      <w:proofErr w:type="spellStart"/>
      <w:r w:rsidRPr="00D17043">
        <w:t>Jungwirth</w:t>
      </w:r>
      <w:proofErr w:type="spellEnd"/>
      <w:r w:rsidRPr="00D17043">
        <w:t xml:space="preserve"> P., Tobias D.J., 2006, Specific ion effects at the air/water interface, Chem. Rev., 106, 1259-1281. DOI: 10.1021/cr0403741</w:t>
      </w:r>
    </w:p>
    <w:p w:rsidR="00F00978" w:rsidRPr="00D17043" w:rsidRDefault="00F00978">
      <w:pPr>
        <w:pStyle w:val="CETReference-text"/>
      </w:pPr>
      <w:proofErr w:type="spellStart"/>
      <w:r w:rsidRPr="00D17043">
        <w:t>Kantarci</w:t>
      </w:r>
      <w:proofErr w:type="spellEnd"/>
      <w:r w:rsidRPr="00D17043">
        <w:t xml:space="preserve"> N., </w:t>
      </w:r>
      <w:proofErr w:type="spellStart"/>
      <w:r w:rsidRPr="00D17043">
        <w:t>Borak</w:t>
      </w:r>
      <w:proofErr w:type="spellEnd"/>
      <w:r w:rsidRPr="00D17043">
        <w:t xml:space="preserve"> F., </w:t>
      </w:r>
      <w:proofErr w:type="spellStart"/>
      <w:r w:rsidRPr="00D17043">
        <w:t>Ulgen</w:t>
      </w:r>
      <w:proofErr w:type="spellEnd"/>
      <w:r w:rsidRPr="00D17043">
        <w:t xml:space="preserve"> K.O., 2005, Bubble column reactors. Review, Process Biochemistry, 40, 2263-2283, DOI: 10.1016/j.procbio.2004.10.004</w:t>
      </w:r>
    </w:p>
    <w:p w:rsidR="00F00978" w:rsidRPr="00D17043" w:rsidRDefault="00F00978">
      <w:pPr>
        <w:ind w:left="284" w:hanging="284"/>
      </w:pPr>
      <w:proofErr w:type="spellStart"/>
      <w:r w:rsidRPr="00D17043">
        <w:t>Kelkar</w:t>
      </w:r>
      <w:proofErr w:type="spellEnd"/>
      <w:r w:rsidRPr="00D17043">
        <w:t xml:space="preserve"> B.G., </w:t>
      </w:r>
      <w:proofErr w:type="spellStart"/>
      <w:r w:rsidRPr="00D17043">
        <w:t>Phulgaonkar</w:t>
      </w:r>
      <w:proofErr w:type="spellEnd"/>
      <w:r w:rsidRPr="00D17043">
        <w:t xml:space="preserve"> S.R., Shah Y.T., 1983, The effect of electrolyte solutions on hydrodynamic and </w:t>
      </w:r>
      <w:proofErr w:type="spellStart"/>
      <w:r w:rsidRPr="00D17043">
        <w:t>backmixing</w:t>
      </w:r>
      <w:proofErr w:type="spellEnd"/>
      <w:r w:rsidRPr="00D17043">
        <w:t xml:space="preserve"> characteristics in bubble columns, Chem. Eng. J., 27,125–133. DOI: 10.1016/0300-9467(83)80069-0</w:t>
      </w:r>
    </w:p>
    <w:p w:rsidR="00F00978" w:rsidRPr="00D17043" w:rsidRDefault="00F00978">
      <w:pPr>
        <w:ind w:left="284" w:hanging="284"/>
      </w:pPr>
      <w:proofErr w:type="spellStart"/>
      <w:r w:rsidRPr="00D17043">
        <w:t>Krátký</w:t>
      </w:r>
      <w:proofErr w:type="spellEnd"/>
      <w:r w:rsidRPr="00D17043">
        <w:t xml:space="preserve"> L, 2018, Carbon capture and utilization technologies: a technical state of art, </w:t>
      </w:r>
      <w:proofErr w:type="spellStart"/>
      <w:r w:rsidRPr="00D17043">
        <w:t>Acta</w:t>
      </w:r>
      <w:proofErr w:type="spellEnd"/>
      <w:r w:rsidRPr="00D17043">
        <w:t xml:space="preserve"> Sci. Pol. </w:t>
      </w:r>
      <w:proofErr w:type="spellStart"/>
      <w:r w:rsidRPr="00D17043">
        <w:t>Biotechnologia</w:t>
      </w:r>
      <w:proofErr w:type="spellEnd"/>
      <w:r w:rsidRPr="00D17043">
        <w:t xml:space="preserve">, 17 (1), 59-68. DOI: 10.30825/5.biot.50.2018.17.1 </w:t>
      </w:r>
    </w:p>
    <w:p w:rsidR="00F00978" w:rsidRPr="00D17043" w:rsidRDefault="00F00978">
      <w:pPr>
        <w:ind w:left="284" w:hanging="284"/>
      </w:pPr>
      <w:proofErr w:type="spellStart"/>
      <w:r w:rsidRPr="00D17043">
        <w:t>Lessard</w:t>
      </w:r>
      <w:proofErr w:type="spellEnd"/>
      <w:r w:rsidRPr="00D17043">
        <w:t xml:space="preserve"> R.R., </w:t>
      </w:r>
      <w:proofErr w:type="spellStart"/>
      <w:r w:rsidRPr="00D17043">
        <w:t>Zieminski</w:t>
      </w:r>
      <w:proofErr w:type="spellEnd"/>
      <w:r w:rsidRPr="00D17043">
        <w:t xml:space="preserve"> S.A., 1971, Bubble coalescence and gas transfer in aqueous electrolytic solutions, </w:t>
      </w:r>
      <w:proofErr w:type="spellStart"/>
      <w:r w:rsidRPr="00D17043">
        <w:t>Ind</w:t>
      </w:r>
      <w:proofErr w:type="spellEnd"/>
      <w:r w:rsidRPr="00D17043">
        <w:t xml:space="preserve"> Eng </w:t>
      </w:r>
      <w:proofErr w:type="spellStart"/>
      <w:r w:rsidRPr="00D17043">
        <w:t>Chem</w:t>
      </w:r>
      <w:proofErr w:type="spellEnd"/>
      <w:r w:rsidRPr="00D17043">
        <w:t xml:space="preserve"> </w:t>
      </w:r>
      <w:proofErr w:type="spellStart"/>
      <w:r w:rsidRPr="00D17043">
        <w:t>Fundam</w:t>
      </w:r>
      <w:proofErr w:type="spellEnd"/>
      <w:r w:rsidRPr="00D17043">
        <w:t>, 10, 260-269. DOI: 10.1021/i160038a012</w:t>
      </w:r>
    </w:p>
    <w:p w:rsidR="00F00978" w:rsidRPr="00D17043" w:rsidRDefault="00F00978">
      <w:pPr>
        <w:ind w:left="284" w:hanging="284"/>
      </w:pPr>
      <w:proofErr w:type="spellStart"/>
      <w:r w:rsidRPr="00D17043">
        <w:t>Marrucci</w:t>
      </w:r>
      <w:proofErr w:type="spellEnd"/>
      <w:r w:rsidRPr="00D17043">
        <w:t xml:space="preserve"> G., 199, </w:t>
      </w:r>
      <w:proofErr w:type="gramStart"/>
      <w:r w:rsidRPr="00D17043">
        <w:t>A</w:t>
      </w:r>
      <w:proofErr w:type="gramEnd"/>
      <w:r w:rsidRPr="00D17043">
        <w:t xml:space="preserve"> theory of coalescence, Chem. Eng. </w:t>
      </w:r>
      <w:proofErr w:type="spellStart"/>
      <w:r w:rsidRPr="00D17043">
        <w:t>Sci</w:t>
      </w:r>
      <w:proofErr w:type="spellEnd"/>
      <w:r w:rsidRPr="00D17043">
        <w:t>, 24, 975-985. DOI: 10.1016/0009-2509(69)87006-5</w:t>
      </w:r>
    </w:p>
    <w:p w:rsidR="00F00978" w:rsidRPr="00D17043" w:rsidRDefault="00F00978">
      <w:pPr>
        <w:ind w:left="284" w:hanging="284"/>
      </w:pPr>
      <w:r w:rsidRPr="00D17043">
        <w:t xml:space="preserve">Nguyen P.T., Hampton M.A., Nguyen A.V., </w:t>
      </w:r>
      <w:proofErr w:type="spellStart"/>
      <w:r w:rsidRPr="00D17043">
        <w:t>Birkett</w:t>
      </w:r>
      <w:proofErr w:type="spellEnd"/>
      <w:r w:rsidRPr="00D17043">
        <w:t xml:space="preserve"> G.R., 2012, The influence of gas velocity, salt type and concentration on transition for bubble coalescence inhibition and gas holdup, </w:t>
      </w:r>
      <w:proofErr w:type="spellStart"/>
      <w:r w:rsidRPr="00D17043">
        <w:t>Chem</w:t>
      </w:r>
      <w:proofErr w:type="spellEnd"/>
      <w:r w:rsidRPr="00D17043">
        <w:t xml:space="preserve"> Eng Res Des, 90, 33-39. DOI: 10.1016/j.cherd.2011.08.015</w:t>
      </w:r>
    </w:p>
    <w:p w:rsidR="00F00978" w:rsidRPr="00D17043" w:rsidRDefault="00F00978">
      <w:pPr>
        <w:ind w:left="284" w:hanging="284"/>
      </w:pPr>
      <w:proofErr w:type="spellStart"/>
      <w:r w:rsidRPr="00D17043">
        <w:t>Orvalho</w:t>
      </w:r>
      <w:proofErr w:type="spellEnd"/>
      <w:r w:rsidRPr="00D17043">
        <w:t xml:space="preserve"> S., </w:t>
      </w:r>
      <w:proofErr w:type="spellStart"/>
      <w:r w:rsidRPr="00D17043">
        <w:t>Ruzicka</w:t>
      </w:r>
      <w:proofErr w:type="spellEnd"/>
      <w:r w:rsidRPr="00D17043">
        <w:t xml:space="preserve"> M.C., </w:t>
      </w:r>
      <w:proofErr w:type="spellStart"/>
      <w:r w:rsidRPr="00D17043">
        <w:t>Drahos</w:t>
      </w:r>
      <w:proofErr w:type="spellEnd"/>
      <w:r w:rsidRPr="00D17043">
        <w:t xml:space="preserve"> J., 2009, Bubble column with electrolytes: gas holdup and flow regimes, Ind. Eng. </w:t>
      </w:r>
      <w:proofErr w:type="spellStart"/>
      <w:r w:rsidRPr="00D17043">
        <w:t>Chem.Res</w:t>
      </w:r>
      <w:proofErr w:type="spellEnd"/>
      <w:r w:rsidRPr="00D17043">
        <w:t>. 48, 8237–8243. DOI: 10.1021/ie900263d</w:t>
      </w:r>
    </w:p>
    <w:p w:rsidR="00F00978" w:rsidRPr="00D17043" w:rsidRDefault="00F00978">
      <w:pPr>
        <w:pStyle w:val="CETReference-text"/>
      </w:pPr>
      <w:proofErr w:type="spellStart"/>
      <w:r w:rsidRPr="00D17043">
        <w:t>Prakash</w:t>
      </w:r>
      <w:proofErr w:type="spellEnd"/>
      <w:r w:rsidRPr="00D17043">
        <w:t xml:space="preserve"> A, </w:t>
      </w:r>
      <w:proofErr w:type="spellStart"/>
      <w:r w:rsidRPr="00D17043">
        <w:t>Margaritis</w:t>
      </w:r>
      <w:proofErr w:type="spellEnd"/>
      <w:r w:rsidRPr="00D17043">
        <w:t xml:space="preserve"> A, Li H., 2001, Hydrodynamics and local heat transfer measurements in a bubble column with suspension of yeast, </w:t>
      </w:r>
      <w:proofErr w:type="spellStart"/>
      <w:r w:rsidRPr="00D17043">
        <w:t>Biochem</w:t>
      </w:r>
      <w:proofErr w:type="spellEnd"/>
      <w:r w:rsidRPr="00D17043">
        <w:t xml:space="preserve"> Eng J, 9, 155–163, DOI: 10.1016/S1369-703X(01)00137-1</w:t>
      </w:r>
    </w:p>
    <w:p w:rsidR="00F00978" w:rsidRPr="00D17043" w:rsidRDefault="00F00978">
      <w:pPr>
        <w:ind w:left="284" w:hanging="284"/>
      </w:pPr>
      <w:proofErr w:type="gramStart"/>
      <w:r w:rsidRPr="00D17043">
        <w:t xml:space="preserve">Prince M.J., Blanch H.W., 1990a, Transition electrolyte concentrations for bubble coalescence, </w:t>
      </w:r>
      <w:proofErr w:type="spellStart"/>
      <w:r w:rsidRPr="00D17043">
        <w:t>AIChE</w:t>
      </w:r>
      <w:proofErr w:type="spellEnd"/>
      <w:r w:rsidRPr="00D17043">
        <w:t xml:space="preserve"> J., 36 (10), 1425–1429.</w:t>
      </w:r>
      <w:proofErr w:type="gramEnd"/>
      <w:r w:rsidRPr="00D17043">
        <w:t xml:space="preserve"> DOI: 10.1002/aic.690360915</w:t>
      </w:r>
    </w:p>
    <w:p w:rsidR="00F00978" w:rsidRPr="00D17043" w:rsidRDefault="00F00978">
      <w:pPr>
        <w:ind w:left="284" w:hanging="284"/>
      </w:pPr>
      <w:r w:rsidRPr="00D17043">
        <w:t>Prince M.J., Blanch H.W., 1990b, Bubble coalescence and break-up in air-</w:t>
      </w:r>
      <w:proofErr w:type="spellStart"/>
      <w:r w:rsidRPr="00D17043">
        <w:t>sparged</w:t>
      </w:r>
      <w:proofErr w:type="spellEnd"/>
      <w:r w:rsidRPr="00D17043">
        <w:t xml:space="preserve"> bubble columns, </w:t>
      </w:r>
      <w:proofErr w:type="spellStart"/>
      <w:r w:rsidRPr="00D17043">
        <w:t>AIChE</w:t>
      </w:r>
      <w:proofErr w:type="spellEnd"/>
      <w:r w:rsidRPr="00D17043">
        <w:t xml:space="preserve"> J., 36 (10), 1485-1499. DOI: 10.1002/aic.690361004</w:t>
      </w:r>
    </w:p>
    <w:p w:rsidR="00F00978" w:rsidRPr="00D17043" w:rsidRDefault="00F00978">
      <w:pPr>
        <w:ind w:left="284" w:hanging="284"/>
      </w:pPr>
      <w:proofErr w:type="spellStart"/>
      <w:r w:rsidRPr="00D17043">
        <w:t>Ribeiro</w:t>
      </w:r>
      <w:proofErr w:type="spellEnd"/>
      <w:r w:rsidRPr="00D17043">
        <w:t xml:space="preserve"> Jr. C.P., </w:t>
      </w:r>
      <w:proofErr w:type="spellStart"/>
      <w:r w:rsidRPr="00D17043">
        <w:t>Mewes</w:t>
      </w:r>
      <w:proofErr w:type="spellEnd"/>
      <w:r w:rsidRPr="00D17043">
        <w:t xml:space="preserve"> D., 2007, </w:t>
      </w:r>
      <w:proofErr w:type="gramStart"/>
      <w:r w:rsidRPr="00D17043">
        <w:t>The</w:t>
      </w:r>
      <w:proofErr w:type="gramEnd"/>
      <w:r w:rsidRPr="00D17043">
        <w:t xml:space="preserve"> influence of electrolytes on gas hold-up and regime transition in bubble columns, </w:t>
      </w:r>
      <w:proofErr w:type="spellStart"/>
      <w:r w:rsidRPr="00D17043">
        <w:t>Chem.Eng</w:t>
      </w:r>
      <w:proofErr w:type="spellEnd"/>
      <w:r w:rsidRPr="00D17043">
        <w:t>. Sci., 62, 4501–4509. DOI: 10.1016/j.ces.2007.05.032</w:t>
      </w:r>
    </w:p>
    <w:p w:rsidR="00F00978" w:rsidRPr="00D17043" w:rsidRDefault="00F00978">
      <w:pPr>
        <w:pStyle w:val="CETReference-text"/>
      </w:pPr>
      <w:r w:rsidRPr="00D17043">
        <w:t xml:space="preserve">Shah Y.T., </w:t>
      </w:r>
      <w:proofErr w:type="spellStart"/>
      <w:r w:rsidRPr="00D17043">
        <w:t>Kelkar</w:t>
      </w:r>
      <w:proofErr w:type="spellEnd"/>
      <w:r w:rsidRPr="00D17043">
        <w:t xml:space="preserve"> B.G., </w:t>
      </w:r>
      <w:proofErr w:type="spellStart"/>
      <w:r w:rsidRPr="00D17043">
        <w:t>Godbole</w:t>
      </w:r>
      <w:proofErr w:type="spellEnd"/>
      <w:r w:rsidRPr="00D17043">
        <w:t xml:space="preserve"> S.P, </w:t>
      </w:r>
      <w:proofErr w:type="spellStart"/>
      <w:r w:rsidRPr="00D17043">
        <w:t>Deckwer</w:t>
      </w:r>
      <w:proofErr w:type="spellEnd"/>
      <w:r w:rsidRPr="00D17043">
        <w:t xml:space="preserve"> W.D., 1982, Design parameters estimations for bubble column reactors, </w:t>
      </w:r>
      <w:proofErr w:type="spellStart"/>
      <w:r w:rsidRPr="00D17043">
        <w:t>AIChE</w:t>
      </w:r>
      <w:proofErr w:type="spellEnd"/>
      <w:r w:rsidRPr="00D17043">
        <w:t xml:space="preserve"> J, 28, 353–379, DOI: 10.1002/aic.690280302</w:t>
      </w:r>
    </w:p>
    <w:p w:rsidR="00F00978" w:rsidRPr="00D17043" w:rsidRDefault="00F00978">
      <w:pPr>
        <w:ind w:left="284" w:hanging="284"/>
      </w:pPr>
      <w:proofErr w:type="spellStart"/>
      <w:r w:rsidRPr="00D17043">
        <w:t>Zahradník</w:t>
      </w:r>
      <w:proofErr w:type="spellEnd"/>
      <w:r w:rsidRPr="00D17043">
        <w:t xml:space="preserve"> J., </w:t>
      </w:r>
      <w:proofErr w:type="spellStart"/>
      <w:r w:rsidRPr="00D17043">
        <w:t>Fialová</w:t>
      </w:r>
      <w:proofErr w:type="spellEnd"/>
      <w:r w:rsidRPr="00D17043">
        <w:t xml:space="preserve"> M., </w:t>
      </w:r>
      <w:proofErr w:type="spellStart"/>
      <w:r w:rsidRPr="00D17043">
        <w:t>Růžička</w:t>
      </w:r>
      <w:proofErr w:type="spellEnd"/>
      <w:r w:rsidRPr="00D17043">
        <w:t xml:space="preserve"> M., </w:t>
      </w:r>
      <w:proofErr w:type="spellStart"/>
      <w:r w:rsidRPr="00D17043">
        <w:t>Drahoš</w:t>
      </w:r>
      <w:proofErr w:type="spellEnd"/>
      <w:r w:rsidRPr="00D17043">
        <w:t xml:space="preserve"> J., </w:t>
      </w:r>
      <w:proofErr w:type="spellStart"/>
      <w:r w:rsidRPr="00D17043">
        <w:t>Kaštánek</w:t>
      </w:r>
      <w:proofErr w:type="spellEnd"/>
      <w:r w:rsidRPr="00D17043">
        <w:t xml:space="preserve"> F., Thomas N.H., 1997, Duality of the gas–liquid flow regimes in bubble column reactors. </w:t>
      </w:r>
      <w:proofErr w:type="gramStart"/>
      <w:r w:rsidRPr="00D17043">
        <w:t>Chem. Eng. Sci. 52, 3811–3826.</w:t>
      </w:r>
      <w:proofErr w:type="gramEnd"/>
      <w:r w:rsidRPr="00D17043">
        <w:t xml:space="preserve"> DOI: 10.1016/S0009-2509(97)00226-1</w:t>
      </w:r>
    </w:p>
    <w:p w:rsidR="00F00978" w:rsidRPr="00D17043" w:rsidRDefault="00F00978">
      <w:pPr>
        <w:ind w:left="284" w:hanging="284"/>
      </w:pPr>
      <w:proofErr w:type="spellStart"/>
      <w:r w:rsidRPr="00D17043">
        <w:t>Zahradník</w:t>
      </w:r>
      <w:proofErr w:type="spellEnd"/>
      <w:r w:rsidRPr="00D17043">
        <w:t xml:space="preserve"> J., </w:t>
      </w:r>
      <w:proofErr w:type="spellStart"/>
      <w:r w:rsidRPr="00D17043">
        <w:t>Fialová</w:t>
      </w:r>
      <w:proofErr w:type="spellEnd"/>
      <w:r w:rsidRPr="00D17043">
        <w:t xml:space="preserve"> M., </w:t>
      </w:r>
      <w:proofErr w:type="spellStart"/>
      <w:r w:rsidRPr="00D17043">
        <w:t>Linek</w:t>
      </w:r>
      <w:proofErr w:type="spellEnd"/>
      <w:r w:rsidRPr="00D17043">
        <w:t xml:space="preserve"> V., 1999, </w:t>
      </w:r>
      <w:proofErr w:type="gramStart"/>
      <w:r w:rsidRPr="00D17043">
        <w:t>The</w:t>
      </w:r>
      <w:proofErr w:type="gramEnd"/>
      <w:r w:rsidRPr="00D17043">
        <w:t xml:space="preserve"> effect of surface-active additives on bubble coalescence in aqueous media, </w:t>
      </w:r>
      <w:proofErr w:type="spellStart"/>
      <w:r w:rsidRPr="00D17043">
        <w:t>Chem</w:t>
      </w:r>
      <w:proofErr w:type="spellEnd"/>
      <w:r w:rsidRPr="00D17043">
        <w:t xml:space="preserve"> Eng </w:t>
      </w:r>
      <w:proofErr w:type="spellStart"/>
      <w:r w:rsidRPr="00D17043">
        <w:t>Sci</w:t>
      </w:r>
      <w:proofErr w:type="spellEnd"/>
      <w:r w:rsidRPr="00D17043">
        <w:t>, 54, 4757-4766. DOI: 10.1016/S0009-2509(99)00192-X</w:t>
      </w:r>
    </w:p>
    <w:p w:rsidR="00F00978" w:rsidRPr="00D17043" w:rsidRDefault="00F00978">
      <w:pPr>
        <w:pStyle w:val="CETReferencetext"/>
      </w:pPr>
      <w:proofErr w:type="spellStart"/>
      <w:r w:rsidRPr="00D17043">
        <w:t>Žáková</w:t>
      </w:r>
      <w:proofErr w:type="spellEnd"/>
      <w:r w:rsidRPr="00D17043">
        <w:t xml:space="preserve"> T., </w:t>
      </w:r>
      <w:proofErr w:type="spellStart"/>
      <w:r w:rsidRPr="00D17043">
        <w:t>Krátký</w:t>
      </w:r>
      <w:proofErr w:type="spellEnd"/>
      <w:r w:rsidRPr="00D17043">
        <w:t xml:space="preserve"> L., </w:t>
      </w:r>
      <w:proofErr w:type="spellStart"/>
      <w:r w:rsidRPr="00D17043">
        <w:t>Jirout</w:t>
      </w:r>
      <w:proofErr w:type="spellEnd"/>
      <w:r w:rsidRPr="00D17043">
        <w:t xml:space="preserve"> T., 2018, Technical study of pilot plant and industrial </w:t>
      </w:r>
      <w:proofErr w:type="spellStart"/>
      <w:r w:rsidRPr="00D17043">
        <w:t>photobioreactors</w:t>
      </w:r>
      <w:proofErr w:type="spellEnd"/>
      <w:r w:rsidRPr="00D17043">
        <w:t>, In: EUBCE proceedings, 26</w:t>
      </w:r>
      <w:r w:rsidRPr="00D17043">
        <w:rPr>
          <w:vertAlign w:val="superscript"/>
        </w:rPr>
        <w:t>th</w:t>
      </w:r>
      <w:r w:rsidRPr="00D17043">
        <w:t xml:space="preserve"> European Biomass Conference and Exhibition, May 14-17, Copenhagen, Denmark, 214-222. DOI: 10.5071/26thEUBCE2018-1BV.8.33</w:t>
      </w:r>
    </w:p>
    <w:p w:rsidR="00F00978" w:rsidRPr="00D17043" w:rsidRDefault="00F00978">
      <w:pPr>
        <w:pStyle w:val="CETReferencetext"/>
      </w:pPr>
      <w:proofErr w:type="spellStart"/>
      <w:r w:rsidRPr="00D17043">
        <w:t>Žižka</w:t>
      </w:r>
      <w:proofErr w:type="spellEnd"/>
      <w:r w:rsidRPr="00D17043">
        <w:t xml:space="preserve"> M., </w:t>
      </w:r>
      <w:proofErr w:type="spellStart"/>
      <w:r w:rsidRPr="00D17043">
        <w:t>Šulc</w:t>
      </w:r>
      <w:proofErr w:type="spellEnd"/>
      <w:r w:rsidRPr="00D17043">
        <w:t xml:space="preserve"> R., </w:t>
      </w:r>
      <w:proofErr w:type="spellStart"/>
      <w:r w:rsidRPr="00D17043">
        <w:t>Ditl</w:t>
      </w:r>
      <w:proofErr w:type="spellEnd"/>
      <w:r w:rsidRPr="00D17043">
        <w:t xml:space="preserve"> P., 2017, Heat transfer between gas and liquid in a bubble column, Chemical Engineering Transactions, 57, 1261-1266. DOI: 10.3303/CET1757211 </w:t>
      </w:r>
    </w:p>
    <w:p w:rsidR="00F00978" w:rsidRDefault="00F00978">
      <w:pPr>
        <w:pStyle w:val="CETBodytext"/>
        <w:rPr>
          <w:rFonts w:ascii="Times New Roman" w:hAnsi="Times New Roman" w:cs="Times New Roman"/>
          <w:lang w:val="en-GB"/>
        </w:rPr>
      </w:pPr>
    </w:p>
    <w:sectPr w:rsidR="00F00978" w:rsidSect="00F0097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A05" w:rsidRDefault="00017A05">
      <w:pPr>
        <w:rPr>
          <w:rFonts w:ascii="Times New Roman" w:hAnsi="Times New Roman" w:cs="Times New Roman"/>
        </w:rPr>
      </w:pPr>
      <w:r>
        <w:rPr>
          <w:rFonts w:ascii="Times New Roman" w:hAnsi="Times New Roman" w:cs="Times New Roman"/>
        </w:rPr>
        <w:separator/>
      </w:r>
    </w:p>
  </w:endnote>
  <w:endnote w:type="continuationSeparator" w:id="0">
    <w:p w:rsidR="00017A05" w:rsidRDefault="00017A0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A05" w:rsidRDefault="00017A05">
      <w:pPr>
        <w:rPr>
          <w:rFonts w:ascii="Times New Roman" w:hAnsi="Times New Roman" w:cs="Times New Roman"/>
        </w:rPr>
      </w:pPr>
      <w:r>
        <w:rPr>
          <w:rFonts w:ascii="Times New Roman" w:hAnsi="Times New Roman" w:cs="Times New Roman"/>
        </w:rPr>
        <w:separator/>
      </w:r>
    </w:p>
  </w:footnote>
  <w:footnote w:type="continuationSeparator" w:id="0">
    <w:p w:rsidR="00017A05" w:rsidRDefault="00017A0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slovanseznam4"/>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5EC884E"/>
    <w:lvl w:ilvl="0">
      <w:start w:val="1"/>
      <w:numFmt w:val="decimal"/>
      <w:pStyle w:val="slovanseznam3"/>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08CBE96"/>
    <w:lvl w:ilvl="0">
      <w:start w:val="1"/>
      <w:numFmt w:val="decimal"/>
      <w:pStyle w:val="slovanseznam2"/>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CFC0B388"/>
    <w:lvl w:ilvl="0">
      <w:start w:val="1"/>
      <w:numFmt w:val="decimal"/>
      <w:pStyle w:val="slovanseznam"/>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CA34EB48"/>
    <w:lvl w:ilvl="0">
      <w:start w:val="1"/>
      <w:numFmt w:val="bullet"/>
      <w:pStyle w:val="Seznamsodrkami4"/>
      <w:lvlText w:val=""/>
      <w:lvlJc w:val="left"/>
      <w:pPr>
        <w:tabs>
          <w:tab w:val="num" w:pos="1492"/>
        </w:tabs>
        <w:ind w:left="1492" w:hanging="360"/>
      </w:pPr>
      <w:rPr>
        <w:rFonts w:ascii="Symbol" w:hAnsi="Symbol" w:cs="Symbol" w:hint="default"/>
      </w:rPr>
    </w:lvl>
  </w:abstractNum>
  <w:abstractNum w:abstractNumId="5">
    <w:nsid w:val="FFFFFF81"/>
    <w:multiLevelType w:val="singleLevel"/>
    <w:tmpl w:val="485C6BD6"/>
    <w:lvl w:ilvl="0">
      <w:start w:val="1"/>
      <w:numFmt w:val="bullet"/>
      <w:pStyle w:val="Seznamsodrkami3"/>
      <w:lvlText w:val=""/>
      <w:lvlJc w:val="left"/>
      <w:pPr>
        <w:tabs>
          <w:tab w:val="num" w:pos="1209"/>
        </w:tabs>
        <w:ind w:left="1209" w:hanging="360"/>
      </w:pPr>
      <w:rPr>
        <w:rFonts w:ascii="Symbol" w:hAnsi="Symbol" w:cs="Symbol" w:hint="default"/>
      </w:rPr>
    </w:lvl>
  </w:abstractNum>
  <w:abstractNum w:abstractNumId="6">
    <w:nsid w:val="FFFFFF82"/>
    <w:multiLevelType w:val="singleLevel"/>
    <w:tmpl w:val="587A9968"/>
    <w:lvl w:ilvl="0">
      <w:start w:val="1"/>
      <w:numFmt w:val="bullet"/>
      <w:pStyle w:val="Seznamsodrkami2"/>
      <w:lvlText w:val=""/>
      <w:lvlJc w:val="left"/>
      <w:pPr>
        <w:tabs>
          <w:tab w:val="num" w:pos="926"/>
        </w:tabs>
        <w:ind w:left="926" w:hanging="360"/>
      </w:pPr>
      <w:rPr>
        <w:rFonts w:ascii="Symbol" w:hAnsi="Symbol" w:cs="Symbol" w:hint="default"/>
      </w:rPr>
    </w:lvl>
  </w:abstractNum>
  <w:abstractNum w:abstractNumId="7">
    <w:nsid w:val="FFFFFF83"/>
    <w:multiLevelType w:val="singleLevel"/>
    <w:tmpl w:val="9ED27934"/>
    <w:lvl w:ilvl="0">
      <w:start w:val="1"/>
      <w:numFmt w:val="bullet"/>
      <w:pStyle w:val="Seznamsodrkami"/>
      <w:lvlText w:val=""/>
      <w:lvlJc w:val="left"/>
      <w:pPr>
        <w:tabs>
          <w:tab w:val="num" w:pos="643"/>
        </w:tabs>
        <w:ind w:left="643" w:hanging="360"/>
      </w:pPr>
      <w:rPr>
        <w:rFonts w:ascii="Symbol" w:hAnsi="Symbol" w:cs="Symbol" w:hint="default"/>
      </w:rPr>
    </w:lvl>
  </w:abstractNum>
  <w:abstractNum w:abstractNumId="8">
    <w:nsid w:val="FFFFFF88"/>
    <w:multiLevelType w:val="singleLevel"/>
    <w:tmpl w:val="95F4206A"/>
    <w:lvl w:ilvl="0">
      <w:start w:val="1"/>
      <w:numFmt w:val="decimal"/>
      <w:pStyle w:val="Seznamsodrkami5"/>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206ACE1A"/>
    <w:lvl w:ilvl="0">
      <w:start w:val="1"/>
      <w:numFmt w:val="bullet"/>
      <w:pStyle w:val="slovanseznam5"/>
      <w:lvlText w:val=""/>
      <w:lvlJc w:val="left"/>
      <w:pPr>
        <w:tabs>
          <w:tab w:val="num" w:pos="360"/>
        </w:tabs>
        <w:ind w:left="360" w:hanging="360"/>
      </w:pPr>
      <w:rPr>
        <w:rFonts w:ascii="Symbol" w:hAnsi="Symbol" w:cs="Symbol" w:hint="default"/>
      </w:rPr>
    </w:lvl>
  </w:abstractNum>
  <w:abstractNum w:abstractNumId="10">
    <w:nsid w:val="2438217E"/>
    <w:multiLevelType w:val="multilevel"/>
    <w:tmpl w:val="F17228D6"/>
    <w:lvl w:ilvl="0">
      <w:start w:val="1"/>
      <w:numFmt w:val="decimal"/>
      <w:suff w:val="space"/>
      <w:lvlText w:val="Chapter %1"/>
      <w:lvlJc w:val="left"/>
      <w:rPr>
        <w:rFonts w:ascii="Times New Roman" w:hAnsi="Times New Roman" w:cs="Times New Roman" w:hint="default"/>
      </w:rPr>
    </w:lvl>
    <w:lvl w:ilvl="1">
      <w:start w:val="1"/>
      <w:numFmt w:val="decimal"/>
      <w:pStyle w:val="CETHeading1"/>
      <w:suff w:val="space"/>
      <w:lvlText w:val="%2."/>
      <w:lvlJc w:val="left"/>
      <w:rPr>
        <w:rFonts w:ascii="Times New Roman" w:hAnsi="Times New Roman" w:cs="Times New Roman" w:hint="default"/>
      </w:rPr>
    </w:lvl>
    <w:lvl w:ilvl="2">
      <w:start w:val="1"/>
      <w:numFmt w:val="decimal"/>
      <w:suff w:val="space"/>
      <w:lvlText w:val="%2.%3"/>
      <w:lvlJc w:val="left"/>
      <w:rPr>
        <w:rFonts w:ascii="Times New Roman" w:hAnsi="Times New Roman" w:cs="Times New Roman" w:hint="default"/>
      </w:rPr>
    </w:lvl>
    <w:lvl w:ilvl="3">
      <w:start w:val="1"/>
      <w:numFmt w:val="decimal"/>
      <w:suff w:val="space"/>
      <w:lvlText w:val="%2.%3.%4."/>
      <w:lvlJc w:val="left"/>
      <w:rPr>
        <w:rFonts w:ascii="Times New Roman" w:hAnsi="Times New Roman" w:cs="Times New Roman" w:hint="default"/>
      </w:rPr>
    </w:lvl>
    <w:lvl w:ilvl="4">
      <w:start w:val="1"/>
      <w:numFmt w:val="decimal"/>
      <w:suff w:val="space"/>
      <w:lvlText w:val="%1.%2.%3.%4.%5."/>
      <w:lvlJc w:val="left"/>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rPr>
    </w:lvl>
    <w:lvl w:ilvl="6">
      <w:start w:val="1"/>
      <w:numFmt w:val="decimal"/>
      <w:suff w:val="space"/>
      <w:lvlText w:val="%1.%2.%3.%4.%5.%6.%7."/>
      <w:lvlJc w:val="left"/>
      <w:rPr>
        <w:rFonts w:ascii="Times New Roman" w:hAnsi="Times New Roman" w:cs="Times New Roman" w:hint="default"/>
      </w:rPr>
    </w:lvl>
    <w:lvl w:ilvl="7">
      <w:start w:val="1"/>
      <w:numFmt w:val="decimal"/>
      <w:suff w:val="space"/>
      <w:lvlText w:val="%1.%2.%3.%4.%5.%6.%7.%8."/>
      <w:lvlJc w:val="left"/>
      <w:rPr>
        <w:rFonts w:ascii="Times New Roman" w:hAnsi="Times New Roman" w:cs="Times New Roman" w:hint="default"/>
      </w:rPr>
    </w:lvl>
    <w:lvl w:ilvl="8">
      <w:start w:val="1"/>
      <w:numFmt w:val="decimal"/>
      <w:suff w:val="space"/>
      <w:lvlText w:val="%1..%3.%4.%5.%6.%7.%8.%9."/>
      <w:lvlJc w:val="left"/>
      <w:rPr>
        <w:rFonts w:ascii="Times New Roman" w:hAnsi="Times New Roman" w:cs="Times New Roman" w:hint="default"/>
      </w:rPr>
    </w:lvl>
  </w:abstractNum>
  <w:abstractNum w:abstractNumId="11">
    <w:nsid w:val="5AD311D0"/>
    <w:multiLevelType w:val="hybridMultilevel"/>
    <w:tmpl w:val="F198FF08"/>
    <w:lvl w:ilvl="0" w:tplc="62EA088C">
      <w:start w:val="1"/>
      <w:numFmt w:val="decimal"/>
      <w:pStyle w:val="CETnumbering1"/>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6865266D"/>
    <w:multiLevelType w:val="hybridMultilevel"/>
    <w:tmpl w:val="F5BE3C4A"/>
    <w:lvl w:ilvl="0" w:tplc="9FC4D28C">
      <w:start w:val="1"/>
      <w:numFmt w:val="lowerLetter"/>
      <w:pStyle w:val="CETnumberinga"/>
      <w:lvlText w:val="%1."/>
      <w:lvlJc w:val="left"/>
      <w:pPr>
        <w:ind w:left="340" w:hanging="227"/>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9"/>
  </w:num>
  <w:num w:numId="6">
    <w:abstractNumId w:val="7"/>
  </w:num>
  <w:num w:numId="7">
    <w:abstractNumId w:val="6"/>
  </w:num>
  <w:num w:numId="8">
    <w:abstractNumId w:val="5"/>
  </w:num>
  <w:num w:numId="9">
    <w:abstractNumId w:val="4"/>
  </w:num>
  <w:num w:numId="10">
    <w:abstractNumId w:val="8"/>
  </w:num>
  <w:num w:numId="11">
    <w:abstractNumId w:val="10"/>
  </w:num>
  <w:num w:numId="12">
    <w:abstractNumId w:val="1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283"/>
  <w:doNotHyphenateCaps/>
  <w:clickAndTypeStyle w:val="CETBodytext"/>
  <w:characterSpacingControl w:val="doNotCompress"/>
  <w:doNotValidateAgainstSchema/>
  <w:doNotDemarcateInvalidXml/>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F00978"/>
    <w:rsid w:val="00017A05"/>
    <w:rsid w:val="000D3878"/>
    <w:rsid w:val="0016460D"/>
    <w:rsid w:val="00184881"/>
    <w:rsid w:val="00322AD7"/>
    <w:rsid w:val="00347554"/>
    <w:rsid w:val="003E1AFF"/>
    <w:rsid w:val="003E41CD"/>
    <w:rsid w:val="00471E9F"/>
    <w:rsid w:val="005B4CFC"/>
    <w:rsid w:val="00624005"/>
    <w:rsid w:val="006669A0"/>
    <w:rsid w:val="006D23A8"/>
    <w:rsid w:val="00715CDA"/>
    <w:rsid w:val="00786250"/>
    <w:rsid w:val="007B074A"/>
    <w:rsid w:val="00864C23"/>
    <w:rsid w:val="00933BE4"/>
    <w:rsid w:val="00A651BD"/>
    <w:rsid w:val="00AC49E6"/>
    <w:rsid w:val="00AD7FA0"/>
    <w:rsid w:val="00AF7603"/>
    <w:rsid w:val="00B200F4"/>
    <w:rsid w:val="00B34538"/>
    <w:rsid w:val="00B45B9A"/>
    <w:rsid w:val="00B52ED6"/>
    <w:rsid w:val="00BD7D7B"/>
    <w:rsid w:val="00BE27B2"/>
    <w:rsid w:val="00C20560"/>
    <w:rsid w:val="00C46443"/>
    <w:rsid w:val="00CA6C0D"/>
    <w:rsid w:val="00D17043"/>
    <w:rsid w:val="00D3063F"/>
    <w:rsid w:val="00D625A9"/>
    <w:rsid w:val="00E44DE1"/>
    <w:rsid w:val="00F00978"/>
    <w:rsid w:val="00FA0F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line number" w:unhideWhenUsed="1"/>
    <w:lsdException w:name="page number" w:unhideWhenUsed="1"/>
    <w:lsdException w:name="endnote reference" w:unhideWhenUsed="1"/>
    <w:lsdException w:name="Title" w:semiHidden="0" w:uiPriority="10" w:qFormat="1"/>
    <w:lsdException w:name="Subtitle" w:semiHidden="0" w:uiPriority="11" w:qFormat="1"/>
    <w:lsdException w:name="Followed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semiHidden="0" w:qFormat="1"/>
  </w:latentStyles>
  <w:style w:type="paragraph" w:default="1" w:styleId="Normln">
    <w:name w:val="Normal"/>
    <w:aliases w:val="CET Top_page"/>
    <w:qFormat/>
    <w:rsid w:val="00B34538"/>
    <w:pPr>
      <w:tabs>
        <w:tab w:val="right" w:pos="7100"/>
      </w:tabs>
      <w:spacing w:line="264" w:lineRule="auto"/>
      <w:jc w:val="both"/>
    </w:pPr>
    <w:rPr>
      <w:rFonts w:ascii="Arial" w:hAnsi="Arial" w:cs="Arial"/>
      <w:sz w:val="18"/>
      <w:szCs w:val="18"/>
      <w:lang w:val="en-GB" w:eastAsia="en-US"/>
    </w:rPr>
  </w:style>
  <w:style w:type="paragraph" w:styleId="Nadpis1">
    <w:name w:val="heading 1"/>
    <w:basedOn w:val="CETHeading1"/>
    <w:next w:val="Normln"/>
    <w:link w:val="Nadpis1Char"/>
    <w:uiPriority w:val="99"/>
    <w:qFormat/>
    <w:rsid w:val="005B4CFC"/>
    <w:pPr>
      <w:tabs>
        <w:tab w:val="clear" w:pos="360"/>
        <w:tab w:val="right" w:pos="7100"/>
      </w:tabs>
      <w:jc w:val="both"/>
      <w:outlineLvl w:val="0"/>
    </w:pPr>
    <w:rPr>
      <w:lang w:val="en-GB"/>
    </w:rPr>
  </w:style>
  <w:style w:type="paragraph" w:styleId="Nadpis2">
    <w:name w:val="heading 2"/>
    <w:basedOn w:val="Normln"/>
    <w:next w:val="Normln"/>
    <w:link w:val="Nadpis2Char"/>
    <w:uiPriority w:val="99"/>
    <w:qFormat/>
    <w:rsid w:val="005B4CFC"/>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rsid w:val="005B4CFC"/>
    <w:pPr>
      <w:keepNext/>
      <w:keepLines/>
      <w:spacing w:before="200"/>
      <w:outlineLvl w:val="2"/>
    </w:pPr>
    <w:rPr>
      <w:rFonts w:ascii="Cambria" w:hAnsi="Cambria" w:cs="Cambria"/>
      <w:b/>
      <w:bCs/>
    </w:rPr>
  </w:style>
  <w:style w:type="paragraph" w:styleId="Nadpis4">
    <w:name w:val="heading 4"/>
    <w:basedOn w:val="Normln"/>
    <w:next w:val="Normln"/>
    <w:link w:val="Nadpis4Char"/>
    <w:uiPriority w:val="99"/>
    <w:qFormat/>
    <w:rsid w:val="005B4CFC"/>
    <w:pPr>
      <w:keepNext/>
      <w:keepLines/>
      <w:spacing w:before="200"/>
      <w:outlineLvl w:val="3"/>
    </w:pPr>
    <w:rPr>
      <w:rFonts w:ascii="Cambria" w:hAnsi="Cambria" w:cs="Cambria"/>
      <w:b/>
      <w:bCs/>
      <w:i/>
      <w:iCs/>
    </w:rPr>
  </w:style>
  <w:style w:type="paragraph" w:styleId="Nadpis5">
    <w:name w:val="heading 5"/>
    <w:basedOn w:val="Normln"/>
    <w:next w:val="Normln"/>
    <w:link w:val="Nadpis5Char"/>
    <w:uiPriority w:val="99"/>
    <w:qFormat/>
    <w:rsid w:val="005B4CFC"/>
    <w:pPr>
      <w:keepNext/>
      <w:keepLines/>
      <w:spacing w:before="200"/>
      <w:outlineLvl w:val="4"/>
    </w:pPr>
    <w:rPr>
      <w:rFonts w:ascii="Cambria" w:hAnsi="Cambria" w:cs="Cambria"/>
    </w:rPr>
  </w:style>
  <w:style w:type="paragraph" w:styleId="Nadpis6">
    <w:name w:val="heading 6"/>
    <w:basedOn w:val="Normln"/>
    <w:next w:val="Normln"/>
    <w:link w:val="Nadpis6Char"/>
    <w:uiPriority w:val="99"/>
    <w:qFormat/>
    <w:rsid w:val="005B4CFC"/>
    <w:pPr>
      <w:keepNext/>
      <w:keepLines/>
      <w:spacing w:before="200"/>
      <w:outlineLvl w:val="5"/>
    </w:pPr>
    <w:rPr>
      <w:rFonts w:ascii="Cambria" w:hAnsi="Cambria" w:cs="Cambria"/>
      <w:i/>
      <w:iCs/>
    </w:rPr>
  </w:style>
  <w:style w:type="paragraph" w:styleId="Nadpis7">
    <w:name w:val="heading 7"/>
    <w:basedOn w:val="Normln"/>
    <w:next w:val="Normln"/>
    <w:link w:val="Nadpis7Char"/>
    <w:uiPriority w:val="99"/>
    <w:qFormat/>
    <w:rsid w:val="005B4CFC"/>
    <w:pPr>
      <w:keepNext/>
      <w:keepLines/>
      <w:spacing w:before="200"/>
      <w:outlineLvl w:val="6"/>
    </w:pPr>
    <w:rPr>
      <w:rFonts w:ascii="Cambria" w:hAnsi="Cambria" w:cs="Cambria"/>
      <w:i/>
      <w:iCs/>
    </w:rPr>
  </w:style>
  <w:style w:type="paragraph" w:styleId="Nadpis8">
    <w:name w:val="heading 8"/>
    <w:basedOn w:val="Normln"/>
    <w:next w:val="Normln"/>
    <w:link w:val="Nadpis8Char"/>
    <w:uiPriority w:val="99"/>
    <w:qFormat/>
    <w:rsid w:val="005B4CFC"/>
    <w:pPr>
      <w:keepNext/>
      <w:keepLines/>
      <w:spacing w:before="200"/>
      <w:outlineLvl w:val="7"/>
    </w:pPr>
    <w:rPr>
      <w:rFonts w:ascii="Cambria" w:hAnsi="Cambria" w:cs="Cambria"/>
    </w:rPr>
  </w:style>
  <w:style w:type="paragraph" w:styleId="Nadpis9">
    <w:name w:val="heading 9"/>
    <w:basedOn w:val="Normln"/>
    <w:next w:val="Normln"/>
    <w:link w:val="Nadpis9Char"/>
    <w:uiPriority w:val="99"/>
    <w:qFormat/>
    <w:rsid w:val="005B4CFC"/>
    <w:pPr>
      <w:keepNext/>
      <w:keepLines/>
      <w:spacing w:before="200"/>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B4CFC"/>
    <w:rPr>
      <w:rFonts w:ascii="Arial" w:hAnsi="Arial" w:cs="Arial"/>
      <w:b/>
      <w:bCs/>
      <w:lang w:val="en-GB" w:eastAsia="en-US"/>
    </w:rPr>
  </w:style>
  <w:style w:type="character" w:customStyle="1" w:styleId="Nadpis2Char">
    <w:name w:val="Nadpis 2 Char"/>
    <w:basedOn w:val="Standardnpsmoodstavce"/>
    <w:link w:val="Nadpis2"/>
    <w:uiPriority w:val="99"/>
    <w:rsid w:val="005B4CFC"/>
    <w:rPr>
      <w:rFonts w:ascii="Cambria" w:hAnsi="Cambria" w:cs="Cambria"/>
      <w:b/>
      <w:bCs/>
      <w:color w:val="auto"/>
      <w:sz w:val="26"/>
      <w:szCs w:val="26"/>
    </w:rPr>
  </w:style>
  <w:style w:type="character" w:customStyle="1" w:styleId="Nadpis3Char">
    <w:name w:val="Nadpis 3 Char"/>
    <w:basedOn w:val="Standardnpsmoodstavce"/>
    <w:link w:val="Nadpis3"/>
    <w:uiPriority w:val="99"/>
    <w:rsid w:val="005B4CFC"/>
    <w:rPr>
      <w:rFonts w:ascii="Cambria" w:hAnsi="Cambria" w:cs="Cambria"/>
      <w:b/>
      <w:bCs/>
      <w:color w:val="auto"/>
    </w:rPr>
  </w:style>
  <w:style w:type="character" w:customStyle="1" w:styleId="Nadpis4Char">
    <w:name w:val="Nadpis 4 Char"/>
    <w:basedOn w:val="Standardnpsmoodstavce"/>
    <w:link w:val="Nadpis4"/>
    <w:uiPriority w:val="99"/>
    <w:rsid w:val="005B4CFC"/>
    <w:rPr>
      <w:rFonts w:ascii="Cambria" w:hAnsi="Cambria" w:cs="Cambria"/>
      <w:b/>
      <w:bCs/>
      <w:i/>
      <w:iCs/>
      <w:color w:val="auto"/>
    </w:rPr>
  </w:style>
  <w:style w:type="character" w:customStyle="1" w:styleId="Nadpis5Char">
    <w:name w:val="Nadpis 5 Char"/>
    <w:basedOn w:val="Standardnpsmoodstavce"/>
    <w:link w:val="Nadpis5"/>
    <w:uiPriority w:val="99"/>
    <w:rsid w:val="005B4CFC"/>
    <w:rPr>
      <w:rFonts w:ascii="Cambria" w:hAnsi="Cambria" w:cs="Cambria"/>
      <w:color w:val="auto"/>
    </w:rPr>
  </w:style>
  <w:style w:type="character" w:customStyle="1" w:styleId="Nadpis6Char">
    <w:name w:val="Nadpis 6 Char"/>
    <w:basedOn w:val="Standardnpsmoodstavce"/>
    <w:link w:val="Nadpis6"/>
    <w:uiPriority w:val="99"/>
    <w:rsid w:val="005B4CFC"/>
    <w:rPr>
      <w:rFonts w:ascii="Cambria" w:hAnsi="Cambria" w:cs="Cambria"/>
      <w:i/>
      <w:iCs/>
      <w:color w:val="auto"/>
    </w:rPr>
  </w:style>
  <w:style w:type="character" w:customStyle="1" w:styleId="Nadpis7Char">
    <w:name w:val="Nadpis 7 Char"/>
    <w:basedOn w:val="Standardnpsmoodstavce"/>
    <w:link w:val="Nadpis7"/>
    <w:uiPriority w:val="99"/>
    <w:rsid w:val="005B4CFC"/>
    <w:rPr>
      <w:rFonts w:ascii="Cambria" w:hAnsi="Cambria" w:cs="Cambria"/>
      <w:i/>
      <w:iCs/>
      <w:color w:val="auto"/>
    </w:rPr>
  </w:style>
  <w:style w:type="character" w:customStyle="1" w:styleId="Nadpis8Char">
    <w:name w:val="Nadpis 8 Char"/>
    <w:basedOn w:val="Standardnpsmoodstavce"/>
    <w:link w:val="Nadpis8"/>
    <w:uiPriority w:val="99"/>
    <w:rsid w:val="005B4CFC"/>
    <w:rPr>
      <w:rFonts w:ascii="Cambria" w:hAnsi="Cambria" w:cs="Cambria"/>
      <w:color w:val="auto"/>
      <w:sz w:val="20"/>
      <w:szCs w:val="20"/>
    </w:rPr>
  </w:style>
  <w:style w:type="character" w:customStyle="1" w:styleId="Nadpis9Char">
    <w:name w:val="Nadpis 9 Char"/>
    <w:basedOn w:val="Standardnpsmoodstavce"/>
    <w:link w:val="Nadpis9"/>
    <w:uiPriority w:val="99"/>
    <w:rsid w:val="005B4CFC"/>
    <w:rPr>
      <w:rFonts w:ascii="Cambria" w:hAnsi="Cambria" w:cs="Cambria"/>
      <w:i/>
      <w:iCs/>
      <w:color w:val="auto"/>
      <w:sz w:val="20"/>
      <w:szCs w:val="20"/>
    </w:rPr>
  </w:style>
  <w:style w:type="paragraph" w:customStyle="1" w:styleId="CETAuthors">
    <w:name w:val="CET Authors"/>
    <w:basedOn w:val="CETBodytext"/>
    <w:uiPriority w:val="99"/>
    <w:rsid w:val="005B4CFC"/>
    <w:pPr>
      <w:keepNext/>
      <w:suppressAutoHyphens/>
      <w:spacing w:after="120"/>
    </w:pPr>
    <w:rPr>
      <w:noProof/>
      <w:sz w:val="24"/>
      <w:szCs w:val="24"/>
      <w:lang w:val="en-GB"/>
    </w:rPr>
  </w:style>
  <w:style w:type="paragraph" w:customStyle="1" w:styleId="CETTitle">
    <w:name w:val="CET Title"/>
    <w:next w:val="CETAuthors"/>
    <w:uiPriority w:val="99"/>
    <w:rsid w:val="005B4CFC"/>
    <w:pPr>
      <w:suppressAutoHyphens/>
      <w:spacing w:before="480" w:after="120" w:line="264" w:lineRule="auto"/>
      <w:jc w:val="center"/>
      <w:outlineLvl w:val="0"/>
    </w:pPr>
    <w:rPr>
      <w:rFonts w:ascii="Arial" w:hAnsi="Arial" w:cs="Arial"/>
      <w:sz w:val="32"/>
      <w:szCs w:val="32"/>
      <w:lang w:val="en-GB"/>
    </w:rPr>
  </w:style>
  <w:style w:type="character" w:customStyle="1" w:styleId="CETAuthorsCarattere">
    <w:name w:val="CET Authors Carattere"/>
    <w:uiPriority w:val="99"/>
    <w:rsid w:val="005B4CFC"/>
    <w:rPr>
      <w:rFonts w:ascii="Arial" w:hAnsi="Arial" w:cs="Arial"/>
      <w:noProof/>
      <w:sz w:val="20"/>
      <w:szCs w:val="20"/>
      <w:lang w:val="en-GB"/>
    </w:rPr>
  </w:style>
  <w:style w:type="character" w:customStyle="1" w:styleId="CETTitleCarattere">
    <w:name w:val="CET Title Carattere"/>
    <w:uiPriority w:val="99"/>
    <w:rsid w:val="005B4CFC"/>
    <w:rPr>
      <w:rFonts w:ascii="Arial" w:hAnsi="Arial" w:cs="Arial"/>
      <w:sz w:val="22"/>
      <w:szCs w:val="22"/>
      <w:lang w:val="en-GB"/>
    </w:rPr>
  </w:style>
  <w:style w:type="paragraph" w:customStyle="1" w:styleId="CETHeading1">
    <w:name w:val="CET Heading1"/>
    <w:next w:val="CETBodytext"/>
    <w:uiPriority w:val="99"/>
    <w:rsid w:val="005B4CFC"/>
    <w:pPr>
      <w:keepNext/>
      <w:numPr>
        <w:ilvl w:val="1"/>
        <w:numId w:val="11"/>
      </w:numPr>
      <w:tabs>
        <w:tab w:val="num" w:pos="360"/>
      </w:tabs>
      <w:suppressAutoHyphens/>
      <w:spacing w:before="240" w:after="120"/>
    </w:pPr>
    <w:rPr>
      <w:rFonts w:ascii="Arial" w:hAnsi="Arial" w:cs="Arial"/>
      <w:b/>
      <w:bCs/>
      <w:lang w:val="en-US" w:eastAsia="en-US"/>
    </w:rPr>
  </w:style>
  <w:style w:type="paragraph" w:customStyle="1" w:styleId="CETBodytext">
    <w:name w:val="CET Body text"/>
    <w:uiPriority w:val="99"/>
    <w:rsid w:val="005B4CFC"/>
    <w:pPr>
      <w:tabs>
        <w:tab w:val="right" w:pos="7100"/>
      </w:tabs>
      <w:spacing w:line="264" w:lineRule="auto"/>
      <w:jc w:val="both"/>
    </w:pPr>
    <w:rPr>
      <w:rFonts w:ascii="Arial" w:hAnsi="Arial" w:cs="Arial"/>
      <w:sz w:val="18"/>
      <w:szCs w:val="18"/>
      <w:lang w:val="en-US"/>
    </w:rPr>
  </w:style>
  <w:style w:type="paragraph" w:customStyle="1" w:styleId="CETheadingx">
    <w:name w:val="CET headingx"/>
    <w:next w:val="CETBodytext"/>
    <w:autoRedefine/>
    <w:uiPriority w:val="99"/>
    <w:rsid w:val="00BE27B2"/>
    <w:pPr>
      <w:keepNext/>
      <w:suppressAutoHyphens/>
      <w:spacing w:before="120" w:after="120"/>
    </w:pPr>
    <w:rPr>
      <w:rFonts w:ascii="Arial" w:hAnsi="Arial" w:cs="Arial"/>
      <w:b/>
      <w:bCs/>
      <w:sz w:val="18"/>
      <w:szCs w:val="18"/>
      <w:lang w:val="en-US"/>
    </w:rPr>
  </w:style>
  <w:style w:type="paragraph" w:customStyle="1" w:styleId="CETAddress">
    <w:name w:val="CET Address"/>
    <w:uiPriority w:val="99"/>
    <w:rsid w:val="005B4CFC"/>
    <w:pPr>
      <w:keepNext/>
      <w:suppressAutoHyphens/>
      <w:spacing w:line="276" w:lineRule="auto"/>
    </w:pPr>
    <w:rPr>
      <w:rFonts w:ascii="Arial" w:hAnsi="Arial" w:cs="Arial"/>
      <w:noProof/>
      <w:sz w:val="16"/>
      <w:szCs w:val="16"/>
      <w:lang w:val="en-GB" w:eastAsia="en-US"/>
    </w:rPr>
  </w:style>
  <w:style w:type="character" w:customStyle="1" w:styleId="CETBodytextCarattere">
    <w:name w:val="CET Body text Carattere"/>
    <w:uiPriority w:val="99"/>
    <w:rsid w:val="005B4CFC"/>
    <w:rPr>
      <w:rFonts w:ascii="Arial" w:hAnsi="Arial" w:cs="Arial"/>
      <w:sz w:val="22"/>
      <w:szCs w:val="22"/>
      <w:lang w:val="en-US"/>
    </w:rPr>
  </w:style>
  <w:style w:type="paragraph" w:customStyle="1" w:styleId="CETReference">
    <w:name w:val="CET Reference"/>
    <w:uiPriority w:val="99"/>
    <w:rsid w:val="005B4CFC"/>
    <w:pPr>
      <w:spacing w:before="200" w:after="120"/>
    </w:pPr>
    <w:rPr>
      <w:rFonts w:ascii="Arial" w:hAnsi="Arial" w:cs="Arial"/>
      <w:b/>
      <w:bCs/>
      <w:sz w:val="18"/>
      <w:szCs w:val="18"/>
      <w:lang w:val="en-GB" w:eastAsia="en-US"/>
    </w:rPr>
  </w:style>
  <w:style w:type="paragraph" w:customStyle="1" w:styleId="CETCaption">
    <w:name w:val="CET Caption"/>
    <w:uiPriority w:val="99"/>
    <w:rsid w:val="005B4CFC"/>
    <w:pPr>
      <w:spacing w:before="240" w:after="240" w:line="264" w:lineRule="auto"/>
      <w:jc w:val="both"/>
    </w:pPr>
    <w:rPr>
      <w:rFonts w:ascii="Arial" w:hAnsi="Arial" w:cs="Arial"/>
      <w:i/>
      <w:iCs/>
      <w:sz w:val="18"/>
      <w:szCs w:val="18"/>
      <w:lang w:val="en-GB"/>
    </w:rPr>
  </w:style>
  <w:style w:type="character" w:customStyle="1" w:styleId="CETheadingxCarattere">
    <w:name w:val="CET headingx Carattere"/>
    <w:uiPriority w:val="99"/>
    <w:rsid w:val="005B4CFC"/>
    <w:rPr>
      <w:rFonts w:ascii="Arial" w:hAnsi="Arial" w:cs="Arial"/>
      <w:b/>
      <w:bCs/>
      <w:sz w:val="22"/>
      <w:szCs w:val="22"/>
      <w:lang w:val="en-US"/>
    </w:rPr>
  </w:style>
  <w:style w:type="character" w:customStyle="1" w:styleId="CETCaptionCarattere">
    <w:name w:val="CET Caption Carattere"/>
    <w:uiPriority w:val="99"/>
    <w:rsid w:val="005B4CFC"/>
    <w:rPr>
      <w:rFonts w:ascii="Arial" w:hAnsi="Arial" w:cs="Arial"/>
      <w:i/>
      <w:iCs/>
      <w:sz w:val="22"/>
      <w:szCs w:val="22"/>
      <w:lang w:val="en-GB"/>
    </w:rPr>
  </w:style>
  <w:style w:type="paragraph" w:customStyle="1" w:styleId="CETBodytextItalic">
    <w:name w:val="CET Body text (Italic)"/>
    <w:basedOn w:val="CETBodytext"/>
    <w:uiPriority w:val="99"/>
    <w:rsid w:val="005B4CFC"/>
    <w:rPr>
      <w:i/>
      <w:iCs/>
      <w:lang w:val="en-GB"/>
    </w:rPr>
  </w:style>
  <w:style w:type="character" w:styleId="Odkaznakoment">
    <w:name w:val="annotation reference"/>
    <w:basedOn w:val="Standardnpsmoodstavce"/>
    <w:uiPriority w:val="99"/>
    <w:rsid w:val="005B4CFC"/>
    <w:rPr>
      <w:rFonts w:ascii="Times New Roman" w:hAnsi="Times New Roman" w:cs="Times New Roman"/>
      <w:sz w:val="16"/>
      <w:szCs w:val="16"/>
    </w:rPr>
  </w:style>
  <w:style w:type="paragraph" w:styleId="Textbubliny">
    <w:name w:val="Balloon Text"/>
    <w:basedOn w:val="Normln"/>
    <w:link w:val="TextbublinyChar"/>
    <w:uiPriority w:val="99"/>
    <w:rsid w:val="005B4CF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5B4CFC"/>
    <w:rPr>
      <w:rFonts w:ascii="Tahoma" w:hAnsi="Tahoma" w:cs="Tahoma"/>
      <w:sz w:val="16"/>
      <w:szCs w:val="16"/>
    </w:rPr>
  </w:style>
  <w:style w:type="paragraph" w:styleId="Bibliografie">
    <w:name w:val="Bibliography"/>
    <w:basedOn w:val="CETReferencetext"/>
    <w:uiPriority w:val="99"/>
    <w:rsid w:val="005B4CFC"/>
    <w:pPr>
      <w:spacing w:line="240" w:lineRule="auto"/>
      <w:ind w:left="720" w:hanging="720"/>
    </w:pPr>
  </w:style>
  <w:style w:type="paragraph" w:styleId="Zkladntext2">
    <w:name w:val="Body Text 2"/>
    <w:basedOn w:val="Normln"/>
    <w:link w:val="Zkladntext2Char"/>
    <w:uiPriority w:val="99"/>
    <w:rsid w:val="005B4CFC"/>
    <w:pPr>
      <w:spacing w:after="120" w:line="480" w:lineRule="auto"/>
    </w:pPr>
  </w:style>
  <w:style w:type="character" w:customStyle="1" w:styleId="Zkladntext2Char">
    <w:name w:val="Základní text 2 Char"/>
    <w:basedOn w:val="Standardnpsmoodstavce"/>
    <w:link w:val="Zkladntext2"/>
    <w:uiPriority w:val="99"/>
    <w:rsid w:val="005B4CFC"/>
    <w:rPr>
      <w:rFonts w:ascii="Times New Roman" w:hAnsi="Times New Roman" w:cs="Times New Roman"/>
    </w:rPr>
  </w:style>
  <w:style w:type="paragraph" w:styleId="Zkladntext3">
    <w:name w:val="Body Text 3"/>
    <w:basedOn w:val="Normln"/>
    <w:link w:val="Zkladntext3Char"/>
    <w:uiPriority w:val="99"/>
    <w:rsid w:val="005B4CFC"/>
    <w:pPr>
      <w:spacing w:after="120"/>
    </w:pPr>
    <w:rPr>
      <w:sz w:val="16"/>
      <w:szCs w:val="16"/>
    </w:rPr>
  </w:style>
  <w:style w:type="character" w:customStyle="1" w:styleId="Zkladntext3Char">
    <w:name w:val="Základní text 3 Char"/>
    <w:basedOn w:val="Standardnpsmoodstavce"/>
    <w:link w:val="Zkladntext3"/>
    <w:uiPriority w:val="99"/>
    <w:rsid w:val="005B4CFC"/>
    <w:rPr>
      <w:rFonts w:ascii="Times New Roman" w:hAnsi="Times New Roman" w:cs="Times New Roman"/>
      <w:sz w:val="16"/>
      <w:szCs w:val="16"/>
    </w:rPr>
  </w:style>
  <w:style w:type="paragraph" w:styleId="Zkladntext">
    <w:name w:val="Body Text"/>
    <w:basedOn w:val="Normln"/>
    <w:link w:val="ZkladntextChar"/>
    <w:uiPriority w:val="99"/>
    <w:rsid w:val="005B4CFC"/>
    <w:pPr>
      <w:spacing w:after="120"/>
    </w:pPr>
  </w:style>
  <w:style w:type="character" w:customStyle="1" w:styleId="ZkladntextChar">
    <w:name w:val="Základní text Char"/>
    <w:basedOn w:val="Standardnpsmoodstavce"/>
    <w:link w:val="Zkladntext"/>
    <w:uiPriority w:val="99"/>
    <w:rsid w:val="005B4CFC"/>
    <w:rPr>
      <w:rFonts w:ascii="Times New Roman" w:hAnsi="Times New Roman" w:cs="Times New Roman"/>
    </w:rPr>
  </w:style>
  <w:style w:type="paragraph" w:styleId="Datum">
    <w:name w:val="Date"/>
    <w:basedOn w:val="Normln"/>
    <w:next w:val="Normln"/>
    <w:link w:val="DatumChar"/>
    <w:uiPriority w:val="99"/>
    <w:rsid w:val="005B4CFC"/>
  </w:style>
  <w:style w:type="character" w:customStyle="1" w:styleId="DatumChar">
    <w:name w:val="Datum Char"/>
    <w:basedOn w:val="Standardnpsmoodstavce"/>
    <w:link w:val="Datum"/>
    <w:uiPriority w:val="99"/>
    <w:rsid w:val="005B4CFC"/>
    <w:rPr>
      <w:rFonts w:ascii="Times New Roman" w:hAnsi="Times New Roman" w:cs="Times New Roman"/>
    </w:rPr>
  </w:style>
  <w:style w:type="paragraph" w:styleId="Titulek">
    <w:name w:val="caption"/>
    <w:basedOn w:val="Normln"/>
    <w:next w:val="Normln"/>
    <w:uiPriority w:val="99"/>
    <w:qFormat/>
    <w:rsid w:val="005B4CFC"/>
    <w:pPr>
      <w:spacing w:line="240" w:lineRule="auto"/>
    </w:pPr>
    <w:rPr>
      <w:b/>
      <w:bCs/>
    </w:rPr>
  </w:style>
  <w:style w:type="paragraph" w:styleId="Seznam">
    <w:name w:val="List"/>
    <w:basedOn w:val="Normln"/>
    <w:uiPriority w:val="99"/>
    <w:rsid w:val="005B4CFC"/>
    <w:pPr>
      <w:ind w:left="283" w:hanging="283"/>
    </w:pPr>
  </w:style>
  <w:style w:type="paragraph" w:styleId="Seznam2">
    <w:name w:val="List 2"/>
    <w:basedOn w:val="Normln"/>
    <w:uiPriority w:val="99"/>
    <w:rsid w:val="005B4CFC"/>
    <w:pPr>
      <w:ind w:left="566" w:hanging="283"/>
    </w:pPr>
  </w:style>
  <w:style w:type="paragraph" w:styleId="Seznam3">
    <w:name w:val="List 3"/>
    <w:basedOn w:val="Normln"/>
    <w:uiPriority w:val="99"/>
    <w:rsid w:val="005B4CFC"/>
    <w:pPr>
      <w:ind w:left="849" w:hanging="283"/>
    </w:pPr>
  </w:style>
  <w:style w:type="paragraph" w:styleId="Seznam4">
    <w:name w:val="List 4"/>
    <w:basedOn w:val="Normln"/>
    <w:uiPriority w:val="99"/>
    <w:rsid w:val="005B4CFC"/>
    <w:pPr>
      <w:ind w:left="1132" w:hanging="283"/>
    </w:pPr>
  </w:style>
  <w:style w:type="paragraph" w:styleId="Seznam5">
    <w:name w:val="List 5"/>
    <w:basedOn w:val="Normln"/>
    <w:uiPriority w:val="99"/>
    <w:rsid w:val="005B4CFC"/>
    <w:pPr>
      <w:ind w:left="1415" w:hanging="283"/>
    </w:pPr>
  </w:style>
  <w:style w:type="paragraph" w:styleId="Pokraovnseznamu">
    <w:name w:val="List Continue"/>
    <w:basedOn w:val="Normln"/>
    <w:uiPriority w:val="99"/>
    <w:rsid w:val="005B4CFC"/>
    <w:pPr>
      <w:spacing w:after="120"/>
      <w:ind w:left="283"/>
    </w:pPr>
  </w:style>
  <w:style w:type="paragraph" w:styleId="Pokraovnseznamu2">
    <w:name w:val="List Continue 2"/>
    <w:basedOn w:val="Normln"/>
    <w:uiPriority w:val="99"/>
    <w:rsid w:val="005B4CFC"/>
    <w:pPr>
      <w:spacing w:after="120"/>
      <w:ind w:left="566"/>
    </w:pPr>
  </w:style>
  <w:style w:type="paragraph" w:styleId="Pokraovnseznamu3">
    <w:name w:val="List Continue 3"/>
    <w:basedOn w:val="Normln"/>
    <w:uiPriority w:val="99"/>
    <w:rsid w:val="005B4CFC"/>
    <w:pPr>
      <w:spacing w:after="120"/>
      <w:ind w:left="849"/>
    </w:pPr>
  </w:style>
  <w:style w:type="paragraph" w:styleId="Pokraovnseznamu4">
    <w:name w:val="List Continue 4"/>
    <w:basedOn w:val="Normln"/>
    <w:uiPriority w:val="99"/>
    <w:rsid w:val="005B4CFC"/>
    <w:pPr>
      <w:spacing w:after="120"/>
      <w:ind w:left="1132"/>
    </w:pPr>
  </w:style>
  <w:style w:type="paragraph" w:styleId="Pokraovnseznamu5">
    <w:name w:val="List Continue 5"/>
    <w:basedOn w:val="Normln"/>
    <w:uiPriority w:val="99"/>
    <w:rsid w:val="005B4CFC"/>
    <w:pPr>
      <w:spacing w:after="120"/>
      <w:ind w:left="1415"/>
    </w:pPr>
  </w:style>
  <w:style w:type="paragraph" w:styleId="Podpis">
    <w:name w:val="Signature"/>
    <w:basedOn w:val="Normln"/>
    <w:link w:val="PodpisChar"/>
    <w:uiPriority w:val="99"/>
    <w:rsid w:val="005B4CFC"/>
    <w:pPr>
      <w:spacing w:line="240" w:lineRule="auto"/>
      <w:ind w:left="4252"/>
    </w:pPr>
  </w:style>
  <w:style w:type="character" w:customStyle="1" w:styleId="PodpisChar">
    <w:name w:val="Podpis Char"/>
    <w:basedOn w:val="Standardnpsmoodstavce"/>
    <w:link w:val="Podpis"/>
    <w:uiPriority w:val="99"/>
    <w:rsid w:val="005B4CFC"/>
    <w:rPr>
      <w:rFonts w:ascii="Times New Roman" w:hAnsi="Times New Roman" w:cs="Times New Roman"/>
    </w:rPr>
  </w:style>
  <w:style w:type="paragraph" w:styleId="Podpise-mailu">
    <w:name w:val="E-mail Signature"/>
    <w:basedOn w:val="Normln"/>
    <w:link w:val="Podpise-mailuChar"/>
    <w:uiPriority w:val="99"/>
    <w:rsid w:val="005B4CFC"/>
    <w:pPr>
      <w:spacing w:line="240" w:lineRule="auto"/>
    </w:pPr>
  </w:style>
  <w:style w:type="character" w:customStyle="1" w:styleId="Podpise-mailuChar">
    <w:name w:val="Podpis e-mailu Char"/>
    <w:basedOn w:val="Standardnpsmoodstavce"/>
    <w:link w:val="Podpise-mailu"/>
    <w:uiPriority w:val="99"/>
    <w:rsid w:val="005B4CFC"/>
    <w:rPr>
      <w:rFonts w:ascii="Times New Roman" w:hAnsi="Times New Roman" w:cs="Times New Roman"/>
    </w:rPr>
  </w:style>
  <w:style w:type="paragraph" w:styleId="Osloven">
    <w:name w:val="Salutation"/>
    <w:basedOn w:val="Normln"/>
    <w:next w:val="Normln"/>
    <w:link w:val="OslovenChar"/>
    <w:uiPriority w:val="99"/>
    <w:rsid w:val="005B4CFC"/>
  </w:style>
  <w:style w:type="character" w:customStyle="1" w:styleId="OslovenChar">
    <w:name w:val="Oslovení Char"/>
    <w:basedOn w:val="Standardnpsmoodstavce"/>
    <w:link w:val="Osloven"/>
    <w:uiPriority w:val="99"/>
    <w:rsid w:val="005B4CFC"/>
    <w:rPr>
      <w:rFonts w:ascii="Times New Roman" w:hAnsi="Times New Roman" w:cs="Times New Roman"/>
    </w:rPr>
  </w:style>
  <w:style w:type="paragraph" w:styleId="Zvr">
    <w:name w:val="Closing"/>
    <w:basedOn w:val="Normln"/>
    <w:link w:val="ZvrChar"/>
    <w:uiPriority w:val="99"/>
    <w:rsid w:val="005B4CFC"/>
    <w:pPr>
      <w:spacing w:line="240" w:lineRule="auto"/>
      <w:ind w:left="4252"/>
    </w:pPr>
  </w:style>
  <w:style w:type="character" w:customStyle="1" w:styleId="ZvrChar">
    <w:name w:val="Závěr Char"/>
    <w:basedOn w:val="Standardnpsmoodstavce"/>
    <w:link w:val="Zvr"/>
    <w:uiPriority w:val="99"/>
    <w:rsid w:val="005B4CFC"/>
    <w:rPr>
      <w:rFonts w:ascii="Times New Roman" w:hAnsi="Times New Roman" w:cs="Times New Roman"/>
    </w:rPr>
  </w:style>
  <w:style w:type="paragraph" w:styleId="Rejstk1">
    <w:name w:val="index 1"/>
    <w:basedOn w:val="Normln"/>
    <w:next w:val="Normln"/>
    <w:autoRedefine/>
    <w:uiPriority w:val="99"/>
    <w:rsid w:val="005B4CFC"/>
    <w:pPr>
      <w:spacing w:line="240" w:lineRule="auto"/>
      <w:ind w:left="220" w:hanging="220"/>
    </w:pPr>
  </w:style>
  <w:style w:type="paragraph" w:styleId="Rejstk2">
    <w:name w:val="index 2"/>
    <w:basedOn w:val="Normln"/>
    <w:next w:val="Normln"/>
    <w:autoRedefine/>
    <w:uiPriority w:val="99"/>
    <w:rsid w:val="005B4CFC"/>
    <w:pPr>
      <w:spacing w:line="240" w:lineRule="auto"/>
      <w:ind w:left="440" w:hanging="220"/>
    </w:pPr>
  </w:style>
  <w:style w:type="paragraph" w:styleId="Rejstk3">
    <w:name w:val="index 3"/>
    <w:basedOn w:val="Normln"/>
    <w:next w:val="Normln"/>
    <w:autoRedefine/>
    <w:uiPriority w:val="99"/>
    <w:rsid w:val="005B4CFC"/>
    <w:pPr>
      <w:spacing w:line="240" w:lineRule="auto"/>
      <w:ind w:left="660" w:hanging="220"/>
    </w:pPr>
  </w:style>
  <w:style w:type="paragraph" w:styleId="Rejstk4">
    <w:name w:val="index 4"/>
    <w:basedOn w:val="Normln"/>
    <w:next w:val="Normln"/>
    <w:autoRedefine/>
    <w:uiPriority w:val="99"/>
    <w:rsid w:val="005B4CFC"/>
    <w:pPr>
      <w:spacing w:line="240" w:lineRule="auto"/>
      <w:ind w:left="880" w:hanging="220"/>
    </w:pPr>
  </w:style>
  <w:style w:type="paragraph" w:styleId="Rejstk5">
    <w:name w:val="index 5"/>
    <w:basedOn w:val="Normln"/>
    <w:next w:val="Normln"/>
    <w:autoRedefine/>
    <w:uiPriority w:val="99"/>
    <w:rsid w:val="005B4CFC"/>
    <w:pPr>
      <w:spacing w:line="240" w:lineRule="auto"/>
      <w:ind w:left="1100" w:hanging="220"/>
    </w:pPr>
  </w:style>
  <w:style w:type="paragraph" w:styleId="Rejstk6">
    <w:name w:val="index 6"/>
    <w:basedOn w:val="Normln"/>
    <w:next w:val="Normln"/>
    <w:autoRedefine/>
    <w:uiPriority w:val="99"/>
    <w:rsid w:val="005B4CFC"/>
    <w:pPr>
      <w:spacing w:line="240" w:lineRule="auto"/>
      <w:ind w:left="1320" w:hanging="220"/>
    </w:pPr>
  </w:style>
  <w:style w:type="paragraph" w:styleId="Rejstk7">
    <w:name w:val="index 7"/>
    <w:basedOn w:val="Normln"/>
    <w:next w:val="Normln"/>
    <w:autoRedefine/>
    <w:uiPriority w:val="99"/>
    <w:rsid w:val="005B4CFC"/>
    <w:pPr>
      <w:spacing w:line="240" w:lineRule="auto"/>
      <w:ind w:left="1540" w:hanging="220"/>
    </w:pPr>
  </w:style>
  <w:style w:type="paragraph" w:styleId="Rejstk8">
    <w:name w:val="index 8"/>
    <w:basedOn w:val="Normln"/>
    <w:next w:val="Normln"/>
    <w:autoRedefine/>
    <w:uiPriority w:val="99"/>
    <w:rsid w:val="005B4CFC"/>
    <w:pPr>
      <w:spacing w:line="240" w:lineRule="auto"/>
      <w:ind w:left="1760" w:hanging="220"/>
    </w:pPr>
  </w:style>
  <w:style w:type="paragraph" w:styleId="Rejstk9">
    <w:name w:val="index 9"/>
    <w:basedOn w:val="Normln"/>
    <w:next w:val="Normln"/>
    <w:autoRedefine/>
    <w:uiPriority w:val="99"/>
    <w:rsid w:val="005B4CFC"/>
    <w:pPr>
      <w:spacing w:line="240" w:lineRule="auto"/>
      <w:ind w:left="1980" w:hanging="220"/>
    </w:pPr>
  </w:style>
  <w:style w:type="paragraph" w:styleId="Seznamobrzk">
    <w:name w:val="table of figures"/>
    <w:basedOn w:val="Normln"/>
    <w:next w:val="Normln"/>
    <w:uiPriority w:val="99"/>
    <w:rsid w:val="005B4CFC"/>
  </w:style>
  <w:style w:type="paragraph" w:styleId="Seznamcitac">
    <w:name w:val="table of authorities"/>
    <w:basedOn w:val="Normln"/>
    <w:next w:val="Normln"/>
    <w:uiPriority w:val="99"/>
    <w:rsid w:val="005B4CFC"/>
    <w:pPr>
      <w:ind w:left="220" w:hanging="220"/>
    </w:pPr>
  </w:style>
  <w:style w:type="paragraph" w:styleId="Adresanaoblku">
    <w:name w:val="envelope address"/>
    <w:basedOn w:val="Normln"/>
    <w:uiPriority w:val="99"/>
    <w:rsid w:val="005B4CFC"/>
    <w:pPr>
      <w:framePr w:w="7920" w:h="1980" w:hRule="exact" w:hSpace="180" w:wrap="auto" w:hAnchor="page" w:xAlign="center" w:yAlign="bottom"/>
      <w:spacing w:line="240" w:lineRule="auto"/>
      <w:ind w:left="2880"/>
    </w:pPr>
    <w:rPr>
      <w:rFonts w:ascii="Cambria" w:hAnsi="Cambria" w:cs="Cambria"/>
      <w:sz w:val="24"/>
      <w:szCs w:val="24"/>
    </w:rPr>
  </w:style>
  <w:style w:type="paragraph" w:styleId="AdresaHTML">
    <w:name w:val="HTML Address"/>
    <w:basedOn w:val="Normln"/>
    <w:link w:val="AdresaHTMLChar"/>
    <w:uiPriority w:val="99"/>
    <w:rsid w:val="005B4CFC"/>
    <w:pPr>
      <w:spacing w:line="240" w:lineRule="auto"/>
    </w:pPr>
    <w:rPr>
      <w:i/>
      <w:iCs/>
    </w:rPr>
  </w:style>
  <w:style w:type="character" w:customStyle="1" w:styleId="AdresaHTMLChar">
    <w:name w:val="Adresa HTML Char"/>
    <w:basedOn w:val="Standardnpsmoodstavce"/>
    <w:link w:val="AdresaHTML"/>
    <w:uiPriority w:val="99"/>
    <w:rsid w:val="005B4CFC"/>
    <w:rPr>
      <w:rFonts w:ascii="Times New Roman" w:hAnsi="Times New Roman" w:cs="Times New Roman"/>
      <w:i/>
      <w:iCs/>
    </w:rPr>
  </w:style>
  <w:style w:type="paragraph" w:styleId="Zptenadresanaoblku">
    <w:name w:val="envelope return"/>
    <w:basedOn w:val="Normln"/>
    <w:uiPriority w:val="99"/>
    <w:rsid w:val="005B4CFC"/>
    <w:pPr>
      <w:spacing w:line="240" w:lineRule="auto"/>
    </w:pPr>
    <w:rPr>
      <w:rFonts w:ascii="Cambria" w:hAnsi="Cambria" w:cs="Cambria"/>
    </w:rPr>
  </w:style>
  <w:style w:type="paragraph" w:styleId="Zhlavzprvy">
    <w:name w:val="Message Header"/>
    <w:basedOn w:val="Normln"/>
    <w:link w:val="ZhlavzprvyChar"/>
    <w:uiPriority w:val="99"/>
    <w:rsid w:val="005B4C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Cambria"/>
      <w:sz w:val="24"/>
      <w:szCs w:val="24"/>
    </w:rPr>
  </w:style>
  <w:style w:type="character" w:customStyle="1" w:styleId="ZhlavzprvyChar">
    <w:name w:val="Záhlaví zprávy Char"/>
    <w:basedOn w:val="Standardnpsmoodstavce"/>
    <w:link w:val="Zhlavzprvy"/>
    <w:uiPriority w:val="99"/>
    <w:rsid w:val="005B4CFC"/>
    <w:rPr>
      <w:rFonts w:ascii="Cambria" w:hAnsi="Cambria" w:cs="Cambria"/>
      <w:sz w:val="24"/>
      <w:szCs w:val="24"/>
      <w:shd w:val="pct20" w:color="auto" w:fill="auto"/>
    </w:rPr>
  </w:style>
  <w:style w:type="paragraph" w:styleId="Nadpispoznmky">
    <w:name w:val="Note Heading"/>
    <w:basedOn w:val="Normln"/>
    <w:next w:val="Normln"/>
    <w:link w:val="NadpispoznmkyChar"/>
    <w:uiPriority w:val="99"/>
    <w:rsid w:val="005B4CFC"/>
    <w:pPr>
      <w:spacing w:line="240" w:lineRule="auto"/>
    </w:pPr>
  </w:style>
  <w:style w:type="character" w:customStyle="1" w:styleId="NadpispoznmkyChar">
    <w:name w:val="Nadpis poznámky Char"/>
    <w:basedOn w:val="Standardnpsmoodstavce"/>
    <w:link w:val="Nadpispoznmky"/>
    <w:uiPriority w:val="99"/>
    <w:rsid w:val="005B4CFC"/>
    <w:rPr>
      <w:rFonts w:ascii="Times New Roman" w:hAnsi="Times New Roman" w:cs="Times New Roman"/>
    </w:rPr>
  </w:style>
  <w:style w:type="paragraph" w:styleId="Rozvrendokumentu">
    <w:name w:val="Document Map"/>
    <w:basedOn w:val="Normln"/>
    <w:link w:val="RozvrendokumentuChar"/>
    <w:uiPriority w:val="99"/>
    <w:rsid w:val="005B4CFC"/>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rsid w:val="005B4CFC"/>
    <w:rPr>
      <w:rFonts w:ascii="Tahoma" w:hAnsi="Tahoma" w:cs="Tahoma"/>
      <w:sz w:val="16"/>
      <w:szCs w:val="16"/>
    </w:rPr>
  </w:style>
  <w:style w:type="paragraph" w:styleId="Normlnweb">
    <w:name w:val="Normal (Web)"/>
    <w:basedOn w:val="Normln"/>
    <w:uiPriority w:val="99"/>
    <w:rsid w:val="005B4CFC"/>
    <w:rPr>
      <w:sz w:val="24"/>
      <w:szCs w:val="24"/>
    </w:rPr>
  </w:style>
  <w:style w:type="paragraph" w:styleId="slovanseznam">
    <w:name w:val="List Number"/>
    <w:basedOn w:val="Normln"/>
    <w:uiPriority w:val="99"/>
    <w:rsid w:val="005B4CFC"/>
    <w:pPr>
      <w:numPr>
        <w:numId w:val="1"/>
      </w:numPr>
      <w:tabs>
        <w:tab w:val="clear" w:pos="643"/>
        <w:tab w:val="num" w:pos="360"/>
      </w:tabs>
      <w:ind w:left="360"/>
    </w:pPr>
  </w:style>
  <w:style w:type="paragraph" w:styleId="slovanseznam2">
    <w:name w:val="List Number 2"/>
    <w:basedOn w:val="Normln"/>
    <w:uiPriority w:val="99"/>
    <w:rsid w:val="005B4CFC"/>
    <w:pPr>
      <w:numPr>
        <w:numId w:val="2"/>
      </w:numPr>
      <w:tabs>
        <w:tab w:val="clear" w:pos="926"/>
        <w:tab w:val="num" w:pos="643"/>
      </w:tabs>
      <w:ind w:left="643"/>
    </w:pPr>
  </w:style>
  <w:style w:type="paragraph" w:styleId="slovanseznam3">
    <w:name w:val="List Number 3"/>
    <w:basedOn w:val="Normln"/>
    <w:uiPriority w:val="99"/>
    <w:rsid w:val="005B4CFC"/>
    <w:pPr>
      <w:numPr>
        <w:numId w:val="3"/>
      </w:numPr>
      <w:tabs>
        <w:tab w:val="clear" w:pos="1209"/>
        <w:tab w:val="num" w:pos="926"/>
      </w:tabs>
      <w:ind w:left="926"/>
    </w:pPr>
  </w:style>
  <w:style w:type="paragraph" w:styleId="slovanseznam4">
    <w:name w:val="List Number 4"/>
    <w:basedOn w:val="Normln"/>
    <w:uiPriority w:val="99"/>
    <w:rsid w:val="005B4CFC"/>
    <w:pPr>
      <w:numPr>
        <w:numId w:val="4"/>
      </w:numPr>
      <w:tabs>
        <w:tab w:val="clear" w:pos="1492"/>
        <w:tab w:val="num" w:pos="1209"/>
      </w:tabs>
      <w:ind w:left="1209"/>
    </w:pPr>
  </w:style>
  <w:style w:type="paragraph" w:styleId="slovanseznam5">
    <w:name w:val="List Number 5"/>
    <w:basedOn w:val="Normln"/>
    <w:uiPriority w:val="99"/>
    <w:rsid w:val="005B4CFC"/>
    <w:pPr>
      <w:numPr>
        <w:numId w:val="5"/>
      </w:numPr>
      <w:tabs>
        <w:tab w:val="clear" w:pos="360"/>
        <w:tab w:val="num" w:pos="1492"/>
      </w:tabs>
      <w:ind w:left="1492"/>
    </w:pPr>
  </w:style>
  <w:style w:type="paragraph" w:styleId="FormtovanvHTML">
    <w:name w:val="HTML Preformatted"/>
    <w:basedOn w:val="Normln"/>
    <w:link w:val="FormtovanvHTMLChar"/>
    <w:uiPriority w:val="99"/>
    <w:rsid w:val="005B4CFC"/>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rsid w:val="005B4CFC"/>
    <w:rPr>
      <w:rFonts w:ascii="Consolas" w:hAnsi="Consolas" w:cs="Consolas"/>
      <w:sz w:val="20"/>
      <w:szCs w:val="20"/>
    </w:rPr>
  </w:style>
  <w:style w:type="paragraph" w:styleId="Zkladntext-prvnodsazen">
    <w:name w:val="Body Text First Indent"/>
    <w:basedOn w:val="Zkladntext"/>
    <w:link w:val="Zkladntext-prvnodsazenChar"/>
    <w:uiPriority w:val="99"/>
    <w:rsid w:val="005B4CFC"/>
    <w:pPr>
      <w:spacing w:after="200"/>
      <w:ind w:firstLine="360"/>
    </w:pPr>
  </w:style>
  <w:style w:type="character" w:customStyle="1" w:styleId="Zkladntext-prvnodsazenChar">
    <w:name w:val="Základní text - první odsazený Char"/>
    <w:basedOn w:val="ZkladntextChar"/>
    <w:link w:val="Zkladntext-prvnodsazen"/>
    <w:uiPriority w:val="99"/>
    <w:rsid w:val="005B4CFC"/>
  </w:style>
  <w:style w:type="paragraph" w:styleId="Zkladntextodsazen">
    <w:name w:val="Body Text Indent"/>
    <w:basedOn w:val="Normln"/>
    <w:link w:val="ZkladntextodsazenChar"/>
    <w:uiPriority w:val="99"/>
    <w:rsid w:val="005B4CFC"/>
    <w:pPr>
      <w:spacing w:after="120"/>
      <w:ind w:left="283"/>
    </w:pPr>
  </w:style>
  <w:style w:type="character" w:customStyle="1" w:styleId="ZkladntextodsazenChar">
    <w:name w:val="Základní text odsazený Char"/>
    <w:basedOn w:val="Standardnpsmoodstavce"/>
    <w:link w:val="Zkladntextodsazen"/>
    <w:uiPriority w:val="99"/>
    <w:rsid w:val="005B4CFC"/>
    <w:rPr>
      <w:rFonts w:ascii="Times New Roman" w:hAnsi="Times New Roman" w:cs="Times New Roman"/>
    </w:rPr>
  </w:style>
  <w:style w:type="paragraph" w:styleId="Zkladntext-prvnodsazen2">
    <w:name w:val="Body Text First Indent 2"/>
    <w:basedOn w:val="Zkladntextodsazen"/>
    <w:link w:val="Zkladntext-prvnodsazen2Char"/>
    <w:uiPriority w:val="99"/>
    <w:rsid w:val="005B4CFC"/>
    <w:pPr>
      <w:spacing w:after="200"/>
      <w:ind w:left="360" w:firstLine="360"/>
    </w:pPr>
  </w:style>
  <w:style w:type="character" w:customStyle="1" w:styleId="Zkladntext-prvnodsazen2Char">
    <w:name w:val="Základní text - první odsazený 2 Char"/>
    <w:basedOn w:val="ZkladntextodsazenChar"/>
    <w:link w:val="Zkladntext-prvnodsazen2"/>
    <w:uiPriority w:val="99"/>
    <w:rsid w:val="005B4CFC"/>
  </w:style>
  <w:style w:type="paragraph" w:styleId="Seznamsodrkami">
    <w:name w:val="List Bullet"/>
    <w:basedOn w:val="Normln"/>
    <w:autoRedefine/>
    <w:uiPriority w:val="99"/>
    <w:rsid w:val="005B4CFC"/>
    <w:pPr>
      <w:numPr>
        <w:numId w:val="6"/>
      </w:numPr>
      <w:tabs>
        <w:tab w:val="clear" w:pos="643"/>
        <w:tab w:val="num" w:pos="360"/>
      </w:tabs>
      <w:ind w:left="360"/>
    </w:pPr>
  </w:style>
  <w:style w:type="paragraph" w:styleId="Seznamsodrkami2">
    <w:name w:val="List Bullet 2"/>
    <w:basedOn w:val="Normln"/>
    <w:autoRedefine/>
    <w:uiPriority w:val="99"/>
    <w:rsid w:val="005B4CFC"/>
    <w:pPr>
      <w:numPr>
        <w:numId w:val="7"/>
      </w:numPr>
      <w:tabs>
        <w:tab w:val="clear" w:pos="926"/>
        <w:tab w:val="num" w:pos="643"/>
      </w:tabs>
      <w:ind w:left="643"/>
    </w:pPr>
  </w:style>
  <w:style w:type="paragraph" w:styleId="Seznamsodrkami3">
    <w:name w:val="List Bullet 3"/>
    <w:basedOn w:val="Normln"/>
    <w:autoRedefine/>
    <w:uiPriority w:val="99"/>
    <w:rsid w:val="005B4CFC"/>
    <w:pPr>
      <w:numPr>
        <w:numId w:val="8"/>
      </w:numPr>
      <w:tabs>
        <w:tab w:val="clear" w:pos="1209"/>
        <w:tab w:val="num" w:pos="926"/>
      </w:tabs>
      <w:ind w:left="926"/>
    </w:pPr>
  </w:style>
  <w:style w:type="paragraph" w:styleId="Seznamsodrkami4">
    <w:name w:val="List Bullet 4"/>
    <w:basedOn w:val="Normln"/>
    <w:autoRedefine/>
    <w:uiPriority w:val="99"/>
    <w:rsid w:val="005B4CFC"/>
    <w:pPr>
      <w:numPr>
        <w:numId w:val="9"/>
      </w:numPr>
      <w:tabs>
        <w:tab w:val="clear" w:pos="1492"/>
        <w:tab w:val="num" w:pos="1209"/>
      </w:tabs>
      <w:ind w:left="1209"/>
    </w:pPr>
  </w:style>
  <w:style w:type="paragraph" w:styleId="Seznamsodrkami5">
    <w:name w:val="List Bullet 5"/>
    <w:basedOn w:val="Normln"/>
    <w:autoRedefine/>
    <w:uiPriority w:val="99"/>
    <w:rsid w:val="005B4CFC"/>
    <w:pPr>
      <w:numPr>
        <w:numId w:val="10"/>
      </w:numPr>
      <w:tabs>
        <w:tab w:val="clear" w:pos="360"/>
        <w:tab w:val="num" w:pos="1492"/>
      </w:tabs>
      <w:ind w:left="1492"/>
    </w:pPr>
  </w:style>
  <w:style w:type="paragraph" w:styleId="Zkladntextodsazen2">
    <w:name w:val="Body Text Indent 2"/>
    <w:basedOn w:val="Normln"/>
    <w:link w:val="Zkladntextodsazen2Char"/>
    <w:uiPriority w:val="99"/>
    <w:rsid w:val="005B4CF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4CFC"/>
    <w:rPr>
      <w:rFonts w:ascii="Times New Roman" w:hAnsi="Times New Roman" w:cs="Times New Roman"/>
    </w:rPr>
  </w:style>
  <w:style w:type="paragraph" w:styleId="Zkladntextodsazen3">
    <w:name w:val="Body Text Indent 3"/>
    <w:basedOn w:val="Normln"/>
    <w:link w:val="Zkladntextodsazen3Char"/>
    <w:uiPriority w:val="99"/>
    <w:rsid w:val="005B4CF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B4CFC"/>
    <w:rPr>
      <w:rFonts w:ascii="Times New Roman" w:hAnsi="Times New Roman" w:cs="Times New Roman"/>
      <w:sz w:val="16"/>
      <w:szCs w:val="16"/>
    </w:rPr>
  </w:style>
  <w:style w:type="paragraph" w:styleId="Normlnodsazen">
    <w:name w:val="Normal Indent"/>
    <w:basedOn w:val="Normln"/>
    <w:uiPriority w:val="99"/>
    <w:rsid w:val="005B4CFC"/>
    <w:pPr>
      <w:ind w:left="720"/>
    </w:pPr>
  </w:style>
  <w:style w:type="paragraph" w:styleId="Textkomente">
    <w:name w:val="annotation text"/>
    <w:basedOn w:val="Normln"/>
    <w:link w:val="TextkomenteChar"/>
    <w:uiPriority w:val="99"/>
    <w:rsid w:val="005B4CFC"/>
    <w:pPr>
      <w:spacing w:line="240" w:lineRule="auto"/>
    </w:pPr>
  </w:style>
  <w:style w:type="character" w:customStyle="1" w:styleId="TextkomenteChar">
    <w:name w:val="Text komentáře Char"/>
    <w:basedOn w:val="Standardnpsmoodstavce"/>
    <w:link w:val="Textkomente"/>
    <w:uiPriority w:val="99"/>
    <w:rsid w:val="005B4CFC"/>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sid w:val="005B4CFC"/>
    <w:rPr>
      <w:b/>
      <w:bCs/>
    </w:rPr>
  </w:style>
  <w:style w:type="character" w:customStyle="1" w:styleId="PedmtkomenteChar">
    <w:name w:val="Předmět komentáře Char"/>
    <w:basedOn w:val="TextkomenteChar"/>
    <w:link w:val="Pedmtkomente"/>
    <w:uiPriority w:val="99"/>
    <w:rsid w:val="005B4CFC"/>
    <w:rPr>
      <w:b/>
      <w:bCs/>
    </w:rPr>
  </w:style>
  <w:style w:type="paragraph" w:styleId="Obsah1">
    <w:name w:val="toc 1"/>
    <w:basedOn w:val="Normln"/>
    <w:next w:val="Normln"/>
    <w:autoRedefine/>
    <w:uiPriority w:val="99"/>
    <w:rsid w:val="005B4CFC"/>
    <w:pPr>
      <w:spacing w:after="100"/>
    </w:pPr>
  </w:style>
  <w:style w:type="paragraph" w:styleId="Obsah2">
    <w:name w:val="toc 2"/>
    <w:basedOn w:val="Normln"/>
    <w:next w:val="Normln"/>
    <w:autoRedefine/>
    <w:uiPriority w:val="99"/>
    <w:rsid w:val="005B4CFC"/>
    <w:pPr>
      <w:spacing w:after="100"/>
      <w:ind w:left="220"/>
    </w:pPr>
  </w:style>
  <w:style w:type="paragraph" w:styleId="Obsah3">
    <w:name w:val="toc 3"/>
    <w:basedOn w:val="Normln"/>
    <w:next w:val="Normln"/>
    <w:autoRedefine/>
    <w:uiPriority w:val="99"/>
    <w:rsid w:val="005B4CFC"/>
    <w:pPr>
      <w:spacing w:after="100"/>
      <w:ind w:left="440"/>
    </w:pPr>
  </w:style>
  <w:style w:type="paragraph" w:styleId="Obsah4">
    <w:name w:val="toc 4"/>
    <w:basedOn w:val="Normln"/>
    <w:next w:val="Normln"/>
    <w:autoRedefine/>
    <w:uiPriority w:val="99"/>
    <w:rsid w:val="005B4CFC"/>
    <w:pPr>
      <w:spacing w:after="100"/>
      <w:ind w:left="660"/>
    </w:pPr>
  </w:style>
  <w:style w:type="paragraph" w:styleId="Obsah5">
    <w:name w:val="toc 5"/>
    <w:basedOn w:val="Normln"/>
    <w:next w:val="Normln"/>
    <w:autoRedefine/>
    <w:uiPriority w:val="99"/>
    <w:rsid w:val="005B4CFC"/>
    <w:pPr>
      <w:spacing w:after="100"/>
      <w:ind w:left="880"/>
    </w:pPr>
  </w:style>
  <w:style w:type="paragraph" w:styleId="Obsah6">
    <w:name w:val="toc 6"/>
    <w:basedOn w:val="Normln"/>
    <w:next w:val="Normln"/>
    <w:autoRedefine/>
    <w:uiPriority w:val="99"/>
    <w:rsid w:val="005B4CFC"/>
    <w:pPr>
      <w:spacing w:after="100"/>
      <w:ind w:left="1100"/>
    </w:pPr>
  </w:style>
  <w:style w:type="paragraph" w:styleId="Obsah7">
    <w:name w:val="toc 7"/>
    <w:basedOn w:val="Normln"/>
    <w:next w:val="Normln"/>
    <w:autoRedefine/>
    <w:uiPriority w:val="99"/>
    <w:rsid w:val="005B4CFC"/>
    <w:pPr>
      <w:spacing w:after="100"/>
      <w:ind w:left="1320"/>
    </w:pPr>
  </w:style>
  <w:style w:type="paragraph" w:styleId="Obsah8">
    <w:name w:val="toc 8"/>
    <w:basedOn w:val="Normln"/>
    <w:next w:val="Normln"/>
    <w:autoRedefine/>
    <w:uiPriority w:val="99"/>
    <w:rsid w:val="005B4CFC"/>
    <w:pPr>
      <w:spacing w:after="100"/>
      <w:ind w:left="1540"/>
    </w:pPr>
  </w:style>
  <w:style w:type="paragraph" w:styleId="Obsah9">
    <w:name w:val="toc 9"/>
    <w:basedOn w:val="Normln"/>
    <w:next w:val="Normln"/>
    <w:autoRedefine/>
    <w:uiPriority w:val="99"/>
    <w:rsid w:val="005B4CFC"/>
    <w:pPr>
      <w:spacing w:after="100"/>
      <w:ind w:left="1760"/>
    </w:pPr>
  </w:style>
  <w:style w:type="paragraph" w:styleId="Textvbloku">
    <w:name w:val="Block Text"/>
    <w:basedOn w:val="Normln"/>
    <w:uiPriority w:val="99"/>
    <w:rsid w:val="005B4CFC"/>
    <w:pPr>
      <w:pBdr>
        <w:top w:val="single" w:sz="2" w:space="10" w:color="auto"/>
        <w:left w:val="single" w:sz="2" w:space="10" w:color="auto"/>
        <w:bottom w:val="single" w:sz="2" w:space="10" w:color="auto"/>
        <w:right w:val="single" w:sz="2" w:space="10" w:color="auto"/>
      </w:pBdr>
      <w:ind w:left="1152" w:right="1152"/>
    </w:pPr>
    <w:rPr>
      <w:i/>
      <w:iCs/>
    </w:rPr>
  </w:style>
  <w:style w:type="paragraph" w:styleId="Textmakra">
    <w:name w:val="macro"/>
    <w:link w:val="TextmakraChar"/>
    <w:uiPriority w:val="99"/>
    <w:rsid w:val="005B4CF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TextmakraChar">
    <w:name w:val="Text makra Char"/>
    <w:basedOn w:val="Standardnpsmoodstavce"/>
    <w:link w:val="Textmakra"/>
    <w:uiPriority w:val="99"/>
    <w:rsid w:val="005B4CFC"/>
    <w:rPr>
      <w:rFonts w:ascii="Consolas" w:hAnsi="Consolas" w:cs="Consolas"/>
      <w:lang w:val="it-IT" w:eastAsia="en-US" w:bidi="ar-SA"/>
    </w:rPr>
  </w:style>
  <w:style w:type="paragraph" w:styleId="Prosttext">
    <w:name w:val="Plain Text"/>
    <w:basedOn w:val="Normln"/>
    <w:link w:val="ProsttextChar"/>
    <w:uiPriority w:val="99"/>
    <w:rsid w:val="005B4CFC"/>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rsid w:val="005B4CFC"/>
    <w:rPr>
      <w:rFonts w:ascii="Consolas" w:hAnsi="Consolas" w:cs="Consolas"/>
      <w:sz w:val="21"/>
      <w:szCs w:val="21"/>
    </w:rPr>
  </w:style>
  <w:style w:type="paragraph" w:styleId="Textpoznpodarou">
    <w:name w:val="footnote text"/>
    <w:basedOn w:val="Normln"/>
    <w:link w:val="TextpoznpodarouChar"/>
    <w:uiPriority w:val="99"/>
    <w:rsid w:val="005B4CFC"/>
    <w:pPr>
      <w:spacing w:line="240" w:lineRule="auto"/>
    </w:pPr>
  </w:style>
  <w:style w:type="character" w:customStyle="1" w:styleId="TextpoznpodarouChar">
    <w:name w:val="Text pozn. pod čarou Char"/>
    <w:basedOn w:val="Standardnpsmoodstavce"/>
    <w:link w:val="Textpoznpodarou"/>
    <w:uiPriority w:val="99"/>
    <w:rsid w:val="005B4CFC"/>
    <w:rPr>
      <w:rFonts w:ascii="Times New Roman" w:hAnsi="Times New Roman" w:cs="Times New Roman"/>
      <w:sz w:val="20"/>
      <w:szCs w:val="20"/>
    </w:rPr>
  </w:style>
  <w:style w:type="paragraph" w:styleId="Textvysvtlivek">
    <w:name w:val="endnote text"/>
    <w:basedOn w:val="Normln"/>
    <w:link w:val="TextvysvtlivekChar"/>
    <w:uiPriority w:val="99"/>
    <w:rsid w:val="005B4CFC"/>
    <w:pPr>
      <w:spacing w:line="240" w:lineRule="auto"/>
    </w:pPr>
  </w:style>
  <w:style w:type="character" w:customStyle="1" w:styleId="TextvysvtlivekChar">
    <w:name w:val="Text vysvětlivek Char"/>
    <w:basedOn w:val="Standardnpsmoodstavce"/>
    <w:link w:val="Textvysvtlivek"/>
    <w:uiPriority w:val="99"/>
    <w:rsid w:val="005B4CFC"/>
    <w:rPr>
      <w:rFonts w:ascii="Times New Roman" w:hAnsi="Times New Roman" w:cs="Times New Roman"/>
      <w:sz w:val="20"/>
      <w:szCs w:val="20"/>
    </w:rPr>
  </w:style>
  <w:style w:type="paragraph" w:styleId="Hlavikarejstku">
    <w:name w:val="index heading"/>
    <w:basedOn w:val="Normln"/>
    <w:next w:val="Rejstk1"/>
    <w:uiPriority w:val="99"/>
    <w:rsid w:val="005B4CFC"/>
    <w:rPr>
      <w:rFonts w:ascii="Cambria" w:hAnsi="Cambria" w:cs="Cambria"/>
      <w:b/>
      <w:bCs/>
    </w:rPr>
  </w:style>
  <w:style w:type="paragraph" w:styleId="Hlavikaobsahu">
    <w:name w:val="toa heading"/>
    <w:basedOn w:val="Normln"/>
    <w:next w:val="Normln"/>
    <w:uiPriority w:val="99"/>
    <w:rsid w:val="005B4CFC"/>
    <w:pPr>
      <w:spacing w:before="120"/>
    </w:pPr>
    <w:rPr>
      <w:rFonts w:ascii="Cambria" w:hAnsi="Cambria" w:cs="Cambria"/>
      <w:b/>
      <w:bCs/>
      <w:sz w:val="24"/>
      <w:szCs w:val="24"/>
    </w:rPr>
  </w:style>
  <w:style w:type="paragraph" w:styleId="Nadpisobsahu">
    <w:name w:val="TOC Heading"/>
    <w:basedOn w:val="Nadpis1"/>
    <w:next w:val="Normln"/>
    <w:uiPriority w:val="99"/>
    <w:qFormat/>
    <w:rsid w:val="005B4CFC"/>
    <w:pPr>
      <w:outlineLvl w:val="9"/>
    </w:pPr>
  </w:style>
  <w:style w:type="paragraph" w:customStyle="1" w:styleId="CETemail">
    <w:name w:val="CET email"/>
    <w:next w:val="CETBodytext"/>
    <w:uiPriority w:val="99"/>
    <w:rsid w:val="005B4CFC"/>
    <w:pPr>
      <w:spacing w:after="240" w:line="276" w:lineRule="auto"/>
    </w:pPr>
    <w:rPr>
      <w:rFonts w:ascii="Arial" w:hAnsi="Arial" w:cs="Arial"/>
      <w:noProof/>
      <w:sz w:val="16"/>
      <w:szCs w:val="16"/>
      <w:lang w:val="en-GB" w:eastAsia="en-US"/>
    </w:rPr>
  </w:style>
  <w:style w:type="character" w:customStyle="1" w:styleId="CETAddressCarattere">
    <w:name w:val="CET Address Carattere"/>
    <w:basedOn w:val="Standardnpsmoodstavce"/>
    <w:uiPriority w:val="99"/>
    <w:rsid w:val="005B4CFC"/>
    <w:rPr>
      <w:rFonts w:ascii="Arial" w:hAnsi="Arial" w:cs="Arial"/>
      <w:noProof/>
      <w:sz w:val="16"/>
      <w:szCs w:val="16"/>
      <w:lang w:val="en-GB" w:eastAsia="en-US"/>
    </w:rPr>
  </w:style>
  <w:style w:type="paragraph" w:customStyle="1" w:styleId="CETBodytextBold">
    <w:name w:val="CET Body text (Bold)"/>
    <w:basedOn w:val="CETBodytext"/>
    <w:uiPriority w:val="99"/>
    <w:rsid w:val="005B4CFC"/>
    <w:rPr>
      <w:b/>
      <w:bCs/>
    </w:rPr>
  </w:style>
  <w:style w:type="paragraph" w:customStyle="1" w:styleId="CETnumberingbullets">
    <w:name w:val="CET numbering (bullets)"/>
    <w:uiPriority w:val="99"/>
    <w:rsid w:val="005B4CFC"/>
    <w:pPr>
      <w:spacing w:line="264" w:lineRule="auto"/>
      <w:ind w:left="340" w:hanging="227"/>
    </w:pPr>
    <w:rPr>
      <w:rFonts w:ascii="Arial" w:hAnsi="Arial" w:cs="Arial"/>
      <w:sz w:val="18"/>
      <w:szCs w:val="18"/>
      <w:lang w:val="en-GB" w:eastAsia="en-US"/>
    </w:rPr>
  </w:style>
  <w:style w:type="paragraph" w:customStyle="1" w:styleId="CETnumbering1">
    <w:name w:val="CET numbering (1"/>
    <w:aliases w:val="2..)"/>
    <w:uiPriority w:val="99"/>
    <w:rsid w:val="005B4CFC"/>
    <w:pPr>
      <w:numPr>
        <w:numId w:val="12"/>
      </w:numPr>
      <w:spacing w:line="264" w:lineRule="auto"/>
      <w:ind w:left="340" w:hanging="227"/>
    </w:pPr>
    <w:rPr>
      <w:rFonts w:ascii="Arial" w:hAnsi="Arial" w:cs="Arial"/>
      <w:sz w:val="18"/>
      <w:szCs w:val="18"/>
      <w:lang w:val="en-US" w:eastAsia="en-US"/>
    </w:rPr>
  </w:style>
  <w:style w:type="paragraph" w:customStyle="1" w:styleId="CETnumberinga">
    <w:name w:val="CET numbering (a"/>
    <w:aliases w:val="b,..)"/>
    <w:uiPriority w:val="99"/>
    <w:rsid w:val="005B4CFC"/>
    <w:pPr>
      <w:numPr>
        <w:numId w:val="13"/>
      </w:numPr>
      <w:spacing w:line="264" w:lineRule="auto"/>
    </w:pPr>
    <w:rPr>
      <w:rFonts w:ascii="Arial" w:hAnsi="Arial" w:cs="Arial"/>
      <w:sz w:val="18"/>
      <w:szCs w:val="18"/>
      <w:lang w:val="en-GB" w:eastAsia="en-US"/>
    </w:rPr>
  </w:style>
  <w:style w:type="paragraph" w:styleId="Zhlav">
    <w:name w:val="header"/>
    <w:basedOn w:val="Normln"/>
    <w:link w:val="ZhlavChar"/>
    <w:uiPriority w:val="99"/>
    <w:rsid w:val="005B4CFC"/>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B4CFC"/>
    <w:rPr>
      <w:rFonts w:ascii="Arial" w:hAnsi="Arial" w:cs="Arial"/>
      <w:sz w:val="20"/>
      <w:szCs w:val="20"/>
      <w:lang w:val="en-GB"/>
    </w:rPr>
  </w:style>
  <w:style w:type="paragraph" w:styleId="Zpat">
    <w:name w:val="footer"/>
    <w:basedOn w:val="Normln"/>
    <w:link w:val="ZpatChar"/>
    <w:uiPriority w:val="99"/>
    <w:rsid w:val="005B4CFC"/>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B4CFC"/>
    <w:rPr>
      <w:rFonts w:ascii="Arial" w:hAnsi="Arial" w:cs="Arial"/>
      <w:sz w:val="20"/>
      <w:szCs w:val="20"/>
      <w:lang w:val="en-GB"/>
    </w:rPr>
  </w:style>
  <w:style w:type="character" w:styleId="Hypertextovodkaz">
    <w:name w:val="Hyperlink"/>
    <w:basedOn w:val="Standardnpsmoodstavce"/>
    <w:uiPriority w:val="99"/>
    <w:rsid w:val="005B4CFC"/>
    <w:rPr>
      <w:rFonts w:ascii="Times New Roman" w:hAnsi="Times New Roman" w:cs="Times New Roman"/>
      <w:color w:val="0000FF"/>
      <w:u w:val="single"/>
    </w:rPr>
  </w:style>
  <w:style w:type="character" w:customStyle="1" w:styleId="eudoraheader">
    <w:name w:val="eudoraheader"/>
    <w:basedOn w:val="Standardnpsmoodstavce"/>
    <w:uiPriority w:val="99"/>
    <w:rsid w:val="005B4CFC"/>
    <w:rPr>
      <w:rFonts w:ascii="Times New Roman" w:hAnsi="Times New Roman" w:cs="Times New Roman"/>
    </w:rPr>
  </w:style>
  <w:style w:type="paragraph" w:customStyle="1" w:styleId="CETListbullets">
    <w:name w:val="CET List bullets"/>
    <w:uiPriority w:val="99"/>
    <w:rsid w:val="005B4CFC"/>
    <w:pPr>
      <w:spacing w:line="264" w:lineRule="auto"/>
      <w:ind w:left="340" w:hanging="227"/>
      <w:jc w:val="both"/>
    </w:pPr>
    <w:rPr>
      <w:rFonts w:ascii="Arial" w:hAnsi="Arial" w:cs="Arial"/>
      <w:sz w:val="18"/>
      <w:szCs w:val="18"/>
      <w:lang w:val="en-GB" w:eastAsia="en-US"/>
    </w:rPr>
  </w:style>
  <w:style w:type="paragraph" w:customStyle="1" w:styleId="CETReferencetext">
    <w:name w:val="CET Reference text"/>
    <w:uiPriority w:val="99"/>
    <w:rsid w:val="005B4CFC"/>
    <w:pPr>
      <w:spacing w:line="264" w:lineRule="auto"/>
      <w:ind w:left="284" w:hanging="284"/>
      <w:jc w:val="both"/>
    </w:pPr>
    <w:rPr>
      <w:rFonts w:ascii="Arial" w:hAnsi="Arial" w:cs="Arial"/>
      <w:sz w:val="18"/>
      <w:szCs w:val="18"/>
      <w:lang w:val="en-GB" w:eastAsia="en-US"/>
    </w:rPr>
  </w:style>
  <w:style w:type="paragraph" w:customStyle="1" w:styleId="CETTabletitle">
    <w:name w:val="CET Table title"/>
    <w:uiPriority w:val="99"/>
    <w:rsid w:val="005B4CFC"/>
    <w:pPr>
      <w:keepNext/>
      <w:spacing w:before="240" w:after="80" w:line="240" w:lineRule="exact"/>
    </w:pPr>
    <w:rPr>
      <w:rFonts w:ascii="Arial" w:hAnsi="Arial" w:cs="Arial"/>
      <w:i/>
      <w:iCs/>
      <w:sz w:val="18"/>
      <w:szCs w:val="18"/>
      <w:lang w:val="en-GB" w:eastAsia="en-US"/>
    </w:rPr>
  </w:style>
  <w:style w:type="paragraph" w:customStyle="1" w:styleId="CETAcknowledgementstitle">
    <w:name w:val="CET Acknowledgements title"/>
    <w:next w:val="CETBodytext"/>
    <w:uiPriority w:val="99"/>
    <w:rsid w:val="005B4CFC"/>
    <w:pPr>
      <w:spacing w:before="200" w:after="120" w:line="276" w:lineRule="auto"/>
    </w:pPr>
    <w:rPr>
      <w:rFonts w:ascii="Arial" w:hAnsi="Arial" w:cs="Arial"/>
      <w:b/>
      <w:bCs/>
      <w:sz w:val="18"/>
      <w:szCs w:val="18"/>
      <w:lang w:val="en-GB" w:eastAsia="en-US"/>
    </w:rPr>
  </w:style>
  <w:style w:type="paragraph" w:customStyle="1" w:styleId="CETEquation">
    <w:name w:val="CET Equation"/>
    <w:basedOn w:val="CETBodytext"/>
    <w:next w:val="CETBodytext"/>
    <w:uiPriority w:val="99"/>
    <w:rsid w:val="005B4CFC"/>
    <w:pPr>
      <w:spacing w:before="120" w:after="120"/>
      <w:jc w:val="left"/>
    </w:pPr>
    <w:rPr>
      <w:lang w:val="en-GB"/>
    </w:rPr>
  </w:style>
  <w:style w:type="paragraph" w:customStyle="1" w:styleId="CETHeadingxx">
    <w:name w:val="CET Headingxx"/>
    <w:basedOn w:val="CETheadingx"/>
    <w:uiPriority w:val="99"/>
    <w:rsid w:val="005B4CFC"/>
    <w:pPr>
      <w:spacing w:after="0"/>
    </w:pPr>
  </w:style>
  <w:style w:type="character" w:customStyle="1" w:styleId="CETHeadingxxChar">
    <w:name w:val="CET Headingxx Char"/>
    <w:basedOn w:val="CETheadingxCarattere"/>
    <w:uiPriority w:val="99"/>
    <w:rsid w:val="005B4CFC"/>
    <w:rPr>
      <w:sz w:val="20"/>
      <w:szCs w:val="20"/>
    </w:rPr>
  </w:style>
  <w:style w:type="paragraph" w:customStyle="1" w:styleId="pimiennictwo">
    <w:name w:val="piśmiennictwo"/>
    <w:basedOn w:val="Normln"/>
    <w:uiPriority w:val="99"/>
    <w:rsid w:val="005B4CFC"/>
    <w:pPr>
      <w:tabs>
        <w:tab w:val="clear" w:pos="7100"/>
      </w:tabs>
      <w:spacing w:line="220" w:lineRule="exact"/>
      <w:ind w:left="284" w:hanging="284"/>
    </w:pPr>
    <w:rPr>
      <w:lang w:val="pl-PL" w:eastAsia="cs-CZ"/>
    </w:rPr>
  </w:style>
  <w:style w:type="paragraph" w:customStyle="1" w:styleId="CETReference-text">
    <w:name w:val="CET Reference-text"/>
    <w:uiPriority w:val="99"/>
    <w:rsid w:val="005B4CFC"/>
    <w:pPr>
      <w:spacing w:line="264" w:lineRule="auto"/>
      <w:ind w:left="284" w:hanging="284"/>
      <w:jc w:val="both"/>
    </w:pPr>
    <w:rPr>
      <w:rFonts w:ascii="Arial" w:hAnsi="Arial" w:cs="Arial"/>
      <w:sz w:val="18"/>
      <w:szCs w:val="18"/>
      <w:lang w:val="en-GB" w:eastAsia="en-US"/>
    </w:rPr>
  </w:style>
  <w:style w:type="character" w:styleId="Zstupntext">
    <w:name w:val="Placeholder Text"/>
    <w:basedOn w:val="Standardnpsmoodstavce"/>
    <w:uiPriority w:val="99"/>
    <w:rsid w:val="005B4CFC"/>
    <w:rPr>
      <w:rFonts w:ascii="Times New Roman" w:hAnsi="Times New Roman" w:cs="Times New Roman"/>
      <w:color w:val="808080"/>
    </w:rPr>
  </w:style>
  <w:style w:type="character" w:customStyle="1" w:styleId="hps">
    <w:name w:val="hps"/>
    <w:uiPriority w:val="99"/>
    <w:rsid w:val="005B4C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4.tiff"/><Relationship Id="rId3" Type="http://schemas.openxmlformats.org/officeDocument/2006/relationships/settings" Target="settings.xml"/><Relationship Id="rId21" Type="http://schemas.openxmlformats.org/officeDocument/2006/relationships/image" Target="media/image11.tiff"/><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tif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f"/><Relationship Id="rId24"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CHEMICAL ENGINEERING TRANSACTIONS</vt:lpstr>
    </vt:vector>
  </TitlesOfParts>
  <Company>Dipartimento CMIC - Politecnico di Milano</Company>
  <LinksUpToDate>false</LinksUpToDate>
  <CharactersWithSpaces>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ENGINEERING TRANSACTIONS</dc:title>
  <dc:creator>raffaella</dc:creator>
  <cp:lastModifiedBy>Radek Šulc</cp:lastModifiedBy>
  <cp:revision>2</cp:revision>
  <cp:lastPrinted>2015-05-12T18:31:00Z</cp:lastPrinted>
  <dcterms:created xsi:type="dcterms:W3CDTF">2019-04-12T17:06:00Z</dcterms:created>
  <dcterms:modified xsi:type="dcterms:W3CDTF">2019-04-12T17:06:00Z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