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trPr>
          <w:trHeight w:val="852"/>
          <w:jc w:val="center"/>
        </w:trPr>
        <w:tc>
          <w:tcPr>
            <w:tcW w:w="6946" w:type="dxa"/>
            <w:vMerge w:val="restart"/>
            <w:tcBorders>
              <w:right w:val="single" w:sz="4" w:space="0" w:color="auto"/>
            </w:tcBorders>
          </w:tcPr>
          <w:p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rsidR="000A03B2" w:rsidRPr="00B57B36" w:rsidRDefault="000A03B2" w:rsidP="00CD5FE2">
            <w:pPr>
              <w:jc w:val="right"/>
            </w:pPr>
            <w:r w:rsidRPr="00B57B36">
              <w:rPr>
                <w:noProof/>
                <w:lang w:val="it-IT" w:eastAsia="it-IT"/>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trPr>
          <w:trHeight w:val="567"/>
          <w:jc w:val="center"/>
        </w:trPr>
        <w:tc>
          <w:tcPr>
            <w:tcW w:w="6946" w:type="dxa"/>
            <w:vMerge/>
            <w:tcBorders>
              <w:right w:val="single" w:sz="4" w:space="0" w:color="auto"/>
            </w:tcBorders>
          </w:tcPr>
          <w:p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trPr>
          <w:trHeight w:val="68"/>
          <w:jc w:val="center"/>
        </w:trPr>
        <w:tc>
          <w:tcPr>
            <w:tcW w:w="8789" w:type="dxa"/>
            <w:gridSpan w:val="2"/>
          </w:tcPr>
          <w:p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rsidR="00E978D0" w:rsidRPr="00B57B36" w:rsidRDefault="00AD61B2" w:rsidP="00E978D0">
      <w:pPr>
        <w:pStyle w:val="CETTitle"/>
      </w:pPr>
      <w:r w:rsidRPr="00CB3475">
        <w:t xml:space="preserve">Antifouling Protection </w:t>
      </w:r>
      <w:r>
        <w:t>o</w:t>
      </w:r>
      <w:r w:rsidRPr="00CB3475">
        <w:t xml:space="preserve">f Surfaces Immersed </w:t>
      </w:r>
      <w:r>
        <w:t>i</w:t>
      </w:r>
      <w:r w:rsidRPr="00CB3475">
        <w:t xml:space="preserve">n Marine Environment </w:t>
      </w:r>
      <w:r>
        <w:t>b</w:t>
      </w:r>
      <w:r w:rsidRPr="00CB3475">
        <w:t xml:space="preserve">y Natural Surfactants </w:t>
      </w:r>
      <w:r>
        <w:t>a</w:t>
      </w:r>
      <w:r w:rsidRPr="00CB3475">
        <w:t xml:space="preserve">s Bioactive Contained </w:t>
      </w:r>
      <w:r>
        <w:t>i</w:t>
      </w:r>
      <w:r w:rsidRPr="00CB3475">
        <w:t xml:space="preserve">n Coating Based </w:t>
      </w:r>
      <w:r>
        <w:t>o</w:t>
      </w:r>
      <w:r w:rsidRPr="00CB3475">
        <w:t>n Natural Resin</w:t>
      </w:r>
      <w:r>
        <w:t xml:space="preserve"> </w:t>
      </w:r>
    </w:p>
    <w:p w:rsidR="00E978D0" w:rsidRPr="00B60546" w:rsidRDefault="003127E0" w:rsidP="00AB5011">
      <w:pPr>
        <w:pStyle w:val="CETAuthors"/>
        <w:rPr>
          <w:lang w:val="pt-BR"/>
        </w:rPr>
      </w:pPr>
      <w:r w:rsidRPr="00B60546">
        <w:rPr>
          <w:lang w:val="pt-BR"/>
        </w:rPr>
        <w:t>Maria da Gloria C. da Silva</w:t>
      </w:r>
      <w:r w:rsidRPr="00B60546">
        <w:rPr>
          <w:vertAlign w:val="superscript"/>
          <w:lang w:val="pt-BR"/>
        </w:rPr>
        <w:t>a,b,</w:t>
      </w:r>
      <w:r w:rsidR="009529B9" w:rsidRPr="00B60546">
        <w:rPr>
          <w:vertAlign w:val="superscript"/>
          <w:lang w:val="pt-BR"/>
        </w:rPr>
        <w:t>c</w:t>
      </w:r>
      <w:r w:rsidR="00D65747" w:rsidRPr="00B60546">
        <w:rPr>
          <w:vertAlign w:val="superscript"/>
          <w:lang w:val="pt-BR"/>
        </w:rPr>
        <w:t>,</w:t>
      </w:r>
      <w:r w:rsidR="00D65747" w:rsidRPr="00B60546">
        <w:rPr>
          <w:lang w:val="pt-BR"/>
        </w:rPr>
        <w:t>*</w:t>
      </w:r>
      <w:r w:rsidRPr="00B60546">
        <w:rPr>
          <w:lang w:val="pt-BR"/>
        </w:rPr>
        <w:t>,</w:t>
      </w:r>
      <w:r w:rsidR="00B1304A" w:rsidRPr="00B60546">
        <w:rPr>
          <w:lang w:val="pt-BR"/>
        </w:rPr>
        <w:t xml:space="preserve"> Anderson O</w:t>
      </w:r>
      <w:r w:rsidR="000A0D5C" w:rsidRPr="00B60546">
        <w:rPr>
          <w:lang w:val="pt-BR"/>
        </w:rPr>
        <w:t>.</w:t>
      </w:r>
      <w:r w:rsidR="00B1304A" w:rsidRPr="00B60546">
        <w:rPr>
          <w:lang w:val="pt-BR"/>
        </w:rPr>
        <w:t xml:space="preserve"> Medeiros</w:t>
      </w:r>
      <w:r w:rsidR="009529B9" w:rsidRPr="00B60546">
        <w:rPr>
          <w:lang w:val="pt-BR"/>
        </w:rPr>
        <w:t xml:space="preserve"> </w:t>
      </w:r>
      <w:r w:rsidR="009529B9" w:rsidRPr="00B60546">
        <w:rPr>
          <w:vertAlign w:val="superscript"/>
          <w:lang w:val="pt-BR"/>
        </w:rPr>
        <w:t>a</w:t>
      </w:r>
      <w:r w:rsidRPr="00B60546">
        <w:rPr>
          <w:lang w:val="pt-BR"/>
        </w:rPr>
        <w:t>,  Darne G. Almeida</w:t>
      </w:r>
      <w:r w:rsidR="00B1304A" w:rsidRPr="00B60546">
        <w:rPr>
          <w:lang w:val="pt-BR"/>
        </w:rPr>
        <w:t xml:space="preserve">, </w:t>
      </w:r>
      <w:r w:rsidR="00B1304A" w:rsidRPr="00B60546">
        <w:rPr>
          <w:vertAlign w:val="superscript"/>
          <w:lang w:val="pt-BR"/>
        </w:rPr>
        <w:t>a,</w:t>
      </w:r>
      <w:r w:rsidR="003B2EBC" w:rsidRPr="00B60546">
        <w:rPr>
          <w:vertAlign w:val="superscript"/>
          <w:lang w:val="pt-BR"/>
        </w:rPr>
        <w:t>c</w:t>
      </w:r>
      <w:r w:rsidR="00B1304A" w:rsidRPr="00B60546">
        <w:rPr>
          <w:lang w:val="pt-BR"/>
        </w:rPr>
        <w:t xml:space="preserve">, </w:t>
      </w:r>
      <w:r w:rsidR="00E72164" w:rsidRPr="00B60546">
        <w:rPr>
          <w:lang w:val="pt-BR"/>
        </w:rPr>
        <w:t xml:space="preserve">Hugo M. Meire </w:t>
      </w:r>
      <w:r w:rsidR="00E72164" w:rsidRPr="00B60546">
        <w:rPr>
          <w:vertAlign w:val="superscript"/>
          <w:lang w:val="pt-BR"/>
        </w:rPr>
        <w:t>a,</w:t>
      </w:r>
      <w:r w:rsidR="003B2EBC" w:rsidRPr="00B60546">
        <w:rPr>
          <w:vertAlign w:val="superscript"/>
          <w:lang w:val="pt-BR"/>
        </w:rPr>
        <w:t>c</w:t>
      </w:r>
      <w:r w:rsidR="00E72164" w:rsidRPr="00B60546">
        <w:rPr>
          <w:lang w:val="pt-BR"/>
        </w:rPr>
        <w:t xml:space="preserve"> </w:t>
      </w:r>
      <w:r w:rsidR="003B2EBC" w:rsidRPr="00B60546">
        <w:rPr>
          <w:lang w:val="pt-BR"/>
        </w:rPr>
        <w:t xml:space="preserve">, </w:t>
      </w:r>
      <w:r w:rsidR="00B1304A" w:rsidRPr="00B60546">
        <w:rPr>
          <w:lang w:val="pt-BR"/>
        </w:rPr>
        <w:t xml:space="preserve">Fabiola C. Almeida </w:t>
      </w:r>
      <w:r w:rsidR="00B1304A" w:rsidRPr="00B60546">
        <w:rPr>
          <w:vertAlign w:val="superscript"/>
          <w:lang w:val="pt-BR"/>
        </w:rPr>
        <w:t>a,</w:t>
      </w:r>
      <w:r w:rsidR="001A35CE" w:rsidRPr="00B60546">
        <w:rPr>
          <w:vertAlign w:val="superscript"/>
          <w:lang w:val="pt-BR"/>
        </w:rPr>
        <w:t>c</w:t>
      </w:r>
      <w:r w:rsidR="00B1304A" w:rsidRPr="00B60546">
        <w:rPr>
          <w:lang w:val="pt-BR"/>
        </w:rPr>
        <w:t>, Rita de Cassia F</w:t>
      </w:r>
      <w:r w:rsidR="000A0D5C" w:rsidRPr="00B60546">
        <w:rPr>
          <w:lang w:val="pt-BR"/>
        </w:rPr>
        <w:t>.</w:t>
      </w:r>
      <w:r w:rsidR="00B1304A" w:rsidRPr="00B60546">
        <w:rPr>
          <w:lang w:val="pt-BR"/>
        </w:rPr>
        <w:t xml:space="preserve"> S</w:t>
      </w:r>
      <w:r w:rsidR="001A35CE" w:rsidRPr="00B60546">
        <w:rPr>
          <w:lang w:val="pt-BR"/>
        </w:rPr>
        <w:t>.</w:t>
      </w:r>
      <w:r w:rsidR="006C3D3A" w:rsidRPr="00B60546">
        <w:rPr>
          <w:lang w:val="pt-BR"/>
        </w:rPr>
        <w:t xml:space="preserve"> da</w:t>
      </w:r>
      <w:r w:rsidR="00B1304A" w:rsidRPr="00B60546">
        <w:rPr>
          <w:lang w:val="pt-BR"/>
        </w:rPr>
        <w:t xml:space="preserve"> </w:t>
      </w:r>
      <w:r w:rsidR="001A35CE" w:rsidRPr="00B60546">
        <w:rPr>
          <w:lang w:val="pt-BR"/>
        </w:rPr>
        <w:t xml:space="preserve">Silva </w:t>
      </w:r>
      <w:r w:rsidR="00B1304A" w:rsidRPr="00B60546">
        <w:rPr>
          <w:vertAlign w:val="superscript"/>
          <w:lang w:val="pt-BR"/>
        </w:rPr>
        <w:t>a,</w:t>
      </w:r>
      <w:r w:rsidR="001A35CE" w:rsidRPr="00B60546">
        <w:rPr>
          <w:vertAlign w:val="superscript"/>
          <w:lang w:val="pt-BR"/>
        </w:rPr>
        <w:t>c</w:t>
      </w:r>
      <w:r w:rsidR="001A35CE" w:rsidRPr="00B60546">
        <w:rPr>
          <w:lang w:val="pt-BR"/>
        </w:rPr>
        <w:t>,</w:t>
      </w:r>
      <w:r w:rsidR="00B1304A" w:rsidRPr="00B60546">
        <w:rPr>
          <w:lang w:val="pt-BR"/>
        </w:rPr>
        <w:t xml:space="preserve"> Leonie A. Sarubbo </w:t>
      </w:r>
      <w:r w:rsidR="00B1304A" w:rsidRPr="00B60546">
        <w:rPr>
          <w:vertAlign w:val="superscript"/>
          <w:lang w:val="pt-BR"/>
        </w:rPr>
        <w:t>a,b</w:t>
      </w:r>
      <w:r w:rsidR="00D65747" w:rsidRPr="00B60546">
        <w:rPr>
          <w:vertAlign w:val="superscript"/>
          <w:lang w:val="pt-BR"/>
        </w:rPr>
        <w:t>,c</w:t>
      </w:r>
      <w:r w:rsidR="00B1304A" w:rsidRPr="00B60546">
        <w:rPr>
          <w:lang w:val="pt-BR"/>
        </w:rPr>
        <w:t xml:space="preserve"> </w:t>
      </w:r>
      <w:r w:rsidR="003F5A5C" w:rsidRPr="00B60546">
        <w:rPr>
          <w:lang w:val="pt-BR"/>
        </w:rPr>
        <w:t xml:space="preserve"> </w:t>
      </w:r>
    </w:p>
    <w:p w:rsidR="0068658D" w:rsidRPr="00B60546" w:rsidRDefault="0068658D" w:rsidP="0068658D">
      <w:pPr>
        <w:pStyle w:val="CETAddress"/>
        <w:rPr>
          <w:lang w:val="pt-BR"/>
        </w:rPr>
      </w:pPr>
      <w:r w:rsidRPr="00B60546">
        <w:rPr>
          <w:vertAlign w:val="superscript"/>
          <w:lang w:val="pt-BR"/>
        </w:rPr>
        <w:t>a</w:t>
      </w:r>
      <w:r w:rsidRPr="00B60546">
        <w:rPr>
          <w:lang w:val="pt-BR"/>
        </w:rPr>
        <w:t xml:space="preserve"> Centre of Science and Technology, Catholic University of Pernambuco, Rua do Príncipe, n. 526, Boa Vista, C</w:t>
      </w:r>
      <w:r w:rsidR="00AB7C47">
        <w:rPr>
          <w:lang w:val="pt-BR"/>
        </w:rPr>
        <w:t>EP</w:t>
      </w:r>
      <w:r w:rsidRPr="00B60546">
        <w:rPr>
          <w:lang w:val="pt-BR"/>
        </w:rPr>
        <w:t>: 50050-900, Recife-Pernambuco, Brazil</w:t>
      </w:r>
    </w:p>
    <w:p w:rsidR="00E978D0" w:rsidRPr="00B60546" w:rsidRDefault="0068658D" w:rsidP="0068658D">
      <w:pPr>
        <w:pStyle w:val="CETAddress"/>
        <w:rPr>
          <w:lang w:val="pt-BR"/>
        </w:rPr>
      </w:pPr>
      <w:r w:rsidRPr="00B60546">
        <w:rPr>
          <w:vertAlign w:val="superscript"/>
          <w:lang w:val="pt-BR"/>
        </w:rPr>
        <w:t>b</w:t>
      </w:r>
      <w:r w:rsidRPr="00B60546">
        <w:rPr>
          <w:lang w:val="pt-BR"/>
        </w:rPr>
        <w:t xml:space="preserve"> Post-graduate in The Northeast Biotechnology Network, Federal Rural University of Pernambuco, Rua Do</w:t>
      </w:r>
      <w:r w:rsidR="00AE09BF">
        <w:rPr>
          <w:lang w:val="pt-BR"/>
        </w:rPr>
        <w:t>m</w:t>
      </w:r>
      <w:r w:rsidRPr="00B60546">
        <w:rPr>
          <w:lang w:val="pt-BR"/>
        </w:rPr>
        <w:t xml:space="preserve"> Manoel de Medeiros, s/n. Dois Irmãos, C</w:t>
      </w:r>
      <w:r w:rsidR="00AB7C47">
        <w:rPr>
          <w:lang w:val="pt-BR"/>
        </w:rPr>
        <w:t>EP</w:t>
      </w:r>
      <w:r w:rsidRPr="00B60546">
        <w:rPr>
          <w:lang w:val="pt-BR"/>
        </w:rPr>
        <w:t>: 52171-900, Recife-Pernambuco, Brazil</w:t>
      </w:r>
    </w:p>
    <w:p w:rsidR="00E978D0" w:rsidRPr="007A3605" w:rsidRDefault="00157F02" w:rsidP="00E978D0">
      <w:pPr>
        <w:pStyle w:val="CETAddress"/>
        <w:rPr>
          <w:lang w:val="pt-BR"/>
        </w:rPr>
      </w:pPr>
      <w:r w:rsidRPr="007A3605">
        <w:rPr>
          <w:vertAlign w:val="superscript"/>
          <w:lang w:val="pt-BR"/>
        </w:rPr>
        <w:t>c</w:t>
      </w:r>
      <w:r w:rsidRPr="007A3605">
        <w:rPr>
          <w:lang w:val="pt-BR"/>
        </w:rPr>
        <w:t xml:space="preserve"> Advanced Institute of Technology and Innovation (IATI), Rua Joaquim de Brito, n. 216, Boa Vista, CEP: 50070-280, Recife, Pernambuco, Brazil</w:t>
      </w:r>
    </w:p>
    <w:p w:rsidR="00E978D0" w:rsidRPr="007A3605" w:rsidRDefault="00FE1058" w:rsidP="00E978D0">
      <w:pPr>
        <w:pStyle w:val="CETemail"/>
        <w:rPr>
          <w:lang w:val="pt-BR"/>
        </w:rPr>
      </w:pPr>
      <w:r w:rsidRPr="007A3605">
        <w:rPr>
          <w:lang w:val="pt-BR"/>
        </w:rPr>
        <w:t>gloriawerneck@hotmail.com</w:t>
      </w:r>
    </w:p>
    <w:p w:rsidR="00600535" w:rsidRPr="00B57B36" w:rsidRDefault="0002673D" w:rsidP="00600535">
      <w:pPr>
        <w:pStyle w:val="CETBodytext"/>
        <w:rPr>
          <w:lang w:val="en-GB"/>
        </w:rPr>
      </w:pPr>
      <w:bookmarkStart w:id="0" w:name="_Hlk495475023"/>
      <w:r w:rsidRPr="0002673D">
        <w:rPr>
          <w:lang w:val="en-GB"/>
        </w:rPr>
        <w:t xml:space="preserve">Surface biofouling of materials immersed in the marine environment is a problem that particularly affects maritime industries and equipment. The biological community </w:t>
      </w:r>
      <w:r w:rsidR="007A0750" w:rsidRPr="0002673D">
        <w:rPr>
          <w:lang w:val="en-GB"/>
        </w:rPr>
        <w:t xml:space="preserve">present </w:t>
      </w:r>
      <w:r w:rsidR="007A0750">
        <w:rPr>
          <w:lang w:val="en-GB"/>
        </w:rPr>
        <w:t xml:space="preserve">in these </w:t>
      </w:r>
      <w:r w:rsidR="007A0750" w:rsidRPr="0002673D">
        <w:rPr>
          <w:lang w:val="en-GB"/>
        </w:rPr>
        <w:t>environment</w:t>
      </w:r>
      <w:r w:rsidR="007A0750">
        <w:rPr>
          <w:lang w:val="en-GB"/>
        </w:rPr>
        <w:t>s</w:t>
      </w:r>
      <w:r w:rsidR="007A0750" w:rsidRPr="0002673D">
        <w:rPr>
          <w:lang w:val="en-GB"/>
        </w:rPr>
        <w:t xml:space="preserve"> </w:t>
      </w:r>
      <w:r w:rsidRPr="0002673D">
        <w:rPr>
          <w:lang w:val="en-GB"/>
        </w:rPr>
        <w:t xml:space="preserve">develops on the immersed surfaces of different structures, causing economic damages to the local facilities. Antifouling coatings based on synthetic chemicals, while being the primary strategy used to combat fouling in the marine industry, are detrimental to other ecosystem beings in addition to target organisms (biofouling). To avoid or reduce this biofouling, </w:t>
      </w:r>
      <w:r w:rsidR="00EF03B7">
        <w:rPr>
          <w:lang w:val="en-GB"/>
        </w:rPr>
        <w:t>a</w:t>
      </w:r>
      <w:r w:rsidRPr="0002673D">
        <w:rPr>
          <w:lang w:val="en-GB"/>
        </w:rPr>
        <w:t xml:space="preserve"> non-biocidal strategy is the application of coatings based on natural surfactants, making them more hydrophobic, imposing it difficult to fix biofouling. In this context, the aim of the present study was to formulate a non-biocidal antifouling coating containing natural surfactants, obtained by fermentation process and/or by chemical modification of residual soybean oil, evaluating its antifouling effect on local marine biofouling. To this end, a natural resin-based matrix containing the natural surfactants was prepared, which was applied to metal </w:t>
      </w:r>
      <w:r w:rsidR="00A42564">
        <w:rPr>
          <w:lang w:val="en-GB"/>
        </w:rPr>
        <w:t>panels</w:t>
      </w:r>
      <w:r w:rsidRPr="0002673D">
        <w:rPr>
          <w:lang w:val="en-GB"/>
        </w:rPr>
        <w:t xml:space="preserve"> and after curing the coating, these were followed for immersion tests at the Port of Recife-PE, Brazil for 25 days. After this period, the </w:t>
      </w:r>
      <w:r w:rsidR="00A42564">
        <w:rPr>
          <w:lang w:val="en-GB"/>
        </w:rPr>
        <w:t>panels</w:t>
      </w:r>
      <w:r w:rsidRPr="0002673D">
        <w:rPr>
          <w:lang w:val="en-GB"/>
        </w:rPr>
        <w:t xml:space="preserve"> were photographed and analysed for the macrofouling biota present. </w:t>
      </w:r>
      <w:bookmarkStart w:id="1" w:name="_Hlk535008059"/>
      <w:r w:rsidRPr="0002673D">
        <w:rPr>
          <w:lang w:val="en-GB"/>
        </w:rPr>
        <w:t xml:space="preserve">There was a reduction in biofouling around 30% compared to untreated </w:t>
      </w:r>
      <w:r w:rsidR="00251798">
        <w:rPr>
          <w:lang w:val="en-GB"/>
        </w:rPr>
        <w:t>panel</w:t>
      </w:r>
      <w:r w:rsidRPr="0002673D">
        <w:rPr>
          <w:lang w:val="en-GB"/>
        </w:rPr>
        <w:t>.</w:t>
      </w:r>
      <w:bookmarkEnd w:id="1"/>
      <w:r w:rsidR="00CD538A">
        <w:rPr>
          <w:lang w:val="en-GB"/>
        </w:rPr>
        <w:t xml:space="preserve"> </w:t>
      </w:r>
      <w:r w:rsidR="00CD538A" w:rsidRPr="00CD538A">
        <w:rPr>
          <w:lang w:val="en-GB"/>
        </w:rPr>
        <w:t xml:space="preserve">After </w:t>
      </w:r>
      <w:bookmarkStart w:id="2" w:name="_Hlk534930117"/>
      <w:r w:rsidR="00CD538A" w:rsidRPr="00CD538A">
        <w:rPr>
          <w:lang w:val="en-GB"/>
        </w:rPr>
        <w:t>immersion tests</w:t>
      </w:r>
      <w:bookmarkEnd w:id="2"/>
      <w:r w:rsidR="00CD538A" w:rsidRPr="00CD538A">
        <w:rPr>
          <w:lang w:val="en-GB"/>
        </w:rPr>
        <w:t xml:space="preserve"> at the </w:t>
      </w:r>
      <w:r w:rsidR="00EF058F" w:rsidRPr="0002673D">
        <w:rPr>
          <w:lang w:val="en-GB"/>
        </w:rPr>
        <w:t>Port of Recife-PE</w:t>
      </w:r>
      <w:r w:rsidR="00CD538A" w:rsidRPr="00CD538A">
        <w:rPr>
          <w:lang w:val="en-GB"/>
        </w:rPr>
        <w:t xml:space="preserve"> and analysis of the </w:t>
      </w:r>
      <w:r w:rsidR="00F94FE2">
        <w:rPr>
          <w:lang w:val="en-GB"/>
        </w:rPr>
        <w:t>covered</w:t>
      </w:r>
      <w:r w:rsidR="00CD538A" w:rsidRPr="00CD538A">
        <w:rPr>
          <w:lang w:val="en-GB"/>
        </w:rPr>
        <w:t xml:space="preserve"> area, the </w:t>
      </w:r>
      <w:r w:rsidR="00251798">
        <w:rPr>
          <w:lang w:val="en-GB"/>
        </w:rPr>
        <w:t>panel</w:t>
      </w:r>
      <w:r w:rsidR="00CD538A" w:rsidRPr="00CD538A">
        <w:rPr>
          <w:lang w:val="en-GB"/>
        </w:rPr>
        <w:t xml:space="preserve"> coated by the </w:t>
      </w:r>
      <w:r w:rsidR="00F94FE2" w:rsidRPr="00CD538A">
        <w:rPr>
          <w:lang w:val="en-GB"/>
        </w:rPr>
        <w:t>matrix +</w:t>
      </w:r>
      <w:r w:rsidR="00F94FE2">
        <w:rPr>
          <w:lang w:val="en-GB"/>
        </w:rPr>
        <w:t xml:space="preserve"> </w:t>
      </w:r>
      <w:r w:rsidR="00F94FE2" w:rsidRPr="00CD538A">
        <w:rPr>
          <w:lang w:val="en-GB"/>
        </w:rPr>
        <w:t xml:space="preserve">laurate and matrix </w:t>
      </w:r>
      <w:r w:rsidR="00CD538A" w:rsidRPr="00CD538A">
        <w:rPr>
          <w:lang w:val="en-GB"/>
        </w:rPr>
        <w:t>+ hydroxylated acid exhibited the best antifouling activity during the period tested.</w:t>
      </w:r>
      <w:r w:rsidRPr="0002673D">
        <w:rPr>
          <w:lang w:val="en-GB"/>
        </w:rPr>
        <w:t xml:space="preserve"> The results of the embedded area, through the ImageJ software, demonstrated the promising effect of the antifouling coating in the field, evaluated in the treatments in relation to the negative control, evidencing the great biotechnological potential of natural surfactants in the treatment of the biofouling.</w:t>
      </w:r>
    </w:p>
    <w:bookmarkEnd w:id="0"/>
    <w:p w:rsidR="00600535" w:rsidRPr="00B57B36" w:rsidRDefault="00600535" w:rsidP="00600535">
      <w:pPr>
        <w:pStyle w:val="CETHeading1"/>
        <w:rPr>
          <w:lang w:val="en-GB"/>
        </w:rPr>
      </w:pPr>
      <w:r w:rsidRPr="00B57B36">
        <w:rPr>
          <w:lang w:val="en-GB"/>
        </w:rPr>
        <w:t>Introduction</w:t>
      </w:r>
    </w:p>
    <w:p w:rsidR="0011466B" w:rsidRPr="00E86764" w:rsidRDefault="00E86764" w:rsidP="00B320C3">
      <w:pPr>
        <w:pStyle w:val="CETBodytext"/>
      </w:pPr>
      <w:r w:rsidRPr="00E86764">
        <w:t xml:space="preserve">Surface biofouling of materials immersed in the marine environment is a problem that particularly affects marine equipment and industries </w:t>
      </w:r>
      <w:r w:rsidR="00537D48">
        <w:fldChar w:fldCharType="begin" w:fldLock="1"/>
      </w:r>
      <w:r w:rsidR="00537D48">
        <w:instrText>ADDIN CSL_CITATION {"citationItems":[{"id":"ITEM-1","itemData":{"DOI":"10.1016/j.biotechadv.2013.09.002","ISBN":"07349750 (ISSN)","ISSN":"07349750","PMID":"24051087","abstract":"Following the ban in 2003 on the use of tributyl-tin compounds in antifouling coatings, the search for an environmentally-friendly alternative has accelerated. Biocidal TBT alternatives, such as diuron and Irgarol 1051®,.11Irgarol 1051® - registered trademark no. 2195791, Ciba Specialty Chemicals Corp., US. have proved to be environmentally damaging to marine organisms. The issue regarding the use of biocides is that concerning the half-life of the compounds which allow a perpetuation of the toxic effects into the marine food chain, and initiate changes in the early stages of the organisms' life-cycle. In addition, the break-down of biocides can result in metabolites with greater toxicity and longevity than the parent compound.Functionalized coatings have been designed to repel the settlement and permanent attachment of fouling organisms via modification of either or both surface topography and surface chemistry, or by interfering with the natural mechanisms via which fouling organisms settle upon and adhere to surfaces. A large number of technologies are being developed towards producing new coatings that will be able to resist biofouling over a period of years and thus truly replace biocides as antifouling systems.In addition urgent research is directed towards the exploitation of mechanisms used by living organisms designed to repel the settlement of fouling organisms. These biomimetic strategies include the production of antifouling enzymes and novel surface topography that are incompatible with permanent attachment, for example, by mimicking the microstructure of shark skin. Other research seeks to exploit chemical signals and antimicrobial agents produced by diverse living organisms in the environment to prevent settlement and growth of fouling organisms on vulnerable surfaces. Novel polymer-based technologies may prevent fouling by means of unfavourable surface chemical and physical properties or by concentrating antifouling compounds around surfaces. © 2013 Elsevier Inc.","author":[{"dropping-particle":"","family":"Gittens","given":"Jeanette E.","non-dropping-particle":"","parse-names":false,"suffix":""},{"dropping-particle":"","family":"Smith","given":"Thomas J.","non-dropping-particle":"","parse-names":false,"suffix":""},{"dropping-particle":"","family":"Suleiman","given":"Rami","non-dropping-particle":"","parse-names":false,"suffix":""},{"dropping-particle":"","family":"Akid","given":"Robert","non-dropping-particle":"","parse-names":false,"suffix":""}],"container-title":"Biotechnology Advances","id":"ITEM-1","issue":"8","issued":{"date-parts":[["2013"]]},"page":"1738-1753","publisher":"Elsevier Inc.","title":"Current and emerging environmentally-friendly systems for fouling control in the marine environment","type":"article-journal","volume":"31"},"uris":["http://www.mendeley.com/documents/?uuid=d997fdb5-2785-491c-ad62-a6d9b340b138"]}],"mendeley":{"formattedCitation":"(Gittens et al., 2013)","manualFormatting":"(Gittens et al., 2013;","plainTextFormattedCitation":"(Gittens et al., 2013)","previouslyFormattedCitation":"(Gittens et al., 2013)"},"properties":{"noteIndex":0},"schema":"https://github.com/citation-style-language/schema/raw/master/csl-citation.json"}</w:instrText>
      </w:r>
      <w:r w:rsidR="00537D48">
        <w:fldChar w:fldCharType="separate"/>
      </w:r>
      <w:r w:rsidR="00537D48" w:rsidRPr="00537D48">
        <w:rPr>
          <w:noProof/>
        </w:rPr>
        <w:t>(Gittens et al., 2013</w:t>
      </w:r>
      <w:r w:rsidR="00537D48">
        <w:rPr>
          <w:noProof/>
        </w:rPr>
        <w:t>;</w:t>
      </w:r>
      <w:r w:rsidR="00537D48">
        <w:fldChar w:fldCharType="end"/>
      </w:r>
      <w:r w:rsidR="00537D48">
        <w:t xml:space="preserve"> </w:t>
      </w:r>
      <w:r w:rsidR="00537D48">
        <w:fldChar w:fldCharType="begin" w:fldLock="1"/>
      </w:r>
      <w:r w:rsidR="00E2336A">
        <w:instrText>ADDIN CSL_CITATION {"citationItems":[{"id":"ITEM-1","itemData":{"DOI":"10.1080/10643389.2015.1114444","ISSN":"1064-3389","abstract":"AbstractThe attachment of microbial biomass on solid surfaces is a universal phenomenon that occurs in both natural and engineering systems and it is responsible for various types of biofouling. Biological fouling also referred to as biofouling, remains one of the most critical problems towards the durable application of materials. The eradication of this problem using sustainable and environmentally friendly techniques is still of critical importance and is therefore receiving significant interest from researchers worldwide. This review will start with a definition of processes that lead to biofouling and their relevance to various industrial applications. The most relevant findings from past research will be presented and particular emphasis will be focused on current research, where recent developments in surface modification will receive specific attention.","author":[{"dropping-particle":"","family":"Gule","given":"Nonjabulo P.","non-dropping-particle":"","parse-names":false,"suffix":""},{"dropping-particle":"","family":"Begum","given":"Nusrat M.","non-dropping-particle":"","parse-names":false,"suffix":""},{"dropping-particle":"","family":"Klumperman","given":"Bert","non-dropping-particle":"","parse-names":false,"suffix":""}],"container-title":"Critical Reviews in Environmental Science and Technology","id":"ITEM-1","issue":"6","issued":{"date-parts":[["2016","3"]]},"page":"535-555","title":"Advances in biofouling mitigation: A review","type":"article-journal","volume":"46"},"uris":["http://www.mendeley.com/documents/?uuid=5a41003e-1c3a-4ce9-8523-3e48f6b0fc60"]}],"mendeley":{"formattedCitation":"(Gule et al., 2016)","manualFormatting":"Gule et al., 2016)","plainTextFormattedCitation":"(Gule et al., 2016)","previouslyFormattedCitation":"(Gule et al., 2016)"},"properties":{"noteIndex":0},"schema":"https://github.com/citation-style-language/schema/raw/master/csl-citation.json"}</w:instrText>
      </w:r>
      <w:r w:rsidR="00537D48">
        <w:fldChar w:fldCharType="separate"/>
      </w:r>
      <w:r w:rsidR="00537D48" w:rsidRPr="00537D48">
        <w:rPr>
          <w:noProof/>
        </w:rPr>
        <w:t>Gule et al., 2016)</w:t>
      </w:r>
      <w:r w:rsidR="00537D48">
        <w:fldChar w:fldCharType="end"/>
      </w:r>
      <w:r w:rsidR="00537D48">
        <w:t>.</w:t>
      </w:r>
      <w:r w:rsidR="00B320C3" w:rsidRPr="00E86764">
        <w:t xml:space="preserve"> </w:t>
      </w:r>
      <w:r w:rsidRPr="00E86764">
        <w:t xml:space="preserve">The fouling marine biological community defined as biofouling, develops in these submerged artificial substrates, in four phases: generation of a layer of organic molecules; primary colonization by biofilms (viruses, bacteria, fungi and diatoms); unicellular colonization by algal spores; and </w:t>
      </w:r>
      <w:r w:rsidR="0002673D" w:rsidRPr="00E86764">
        <w:t>finally,</w:t>
      </w:r>
      <w:r w:rsidRPr="00E86764">
        <w:t xml:space="preserve"> the fixation of multicellular macrofouling occurs</w:t>
      </w:r>
      <w:r w:rsidR="00AE0F3A">
        <w:t xml:space="preserve"> (</w:t>
      </w:r>
      <w:proofErr w:type="spellStart"/>
      <w:r w:rsidR="00AE0F3A" w:rsidRPr="00AE0F3A">
        <w:t>Donlan</w:t>
      </w:r>
      <w:proofErr w:type="spellEnd"/>
      <w:r w:rsidR="00AE0F3A">
        <w:t>,</w:t>
      </w:r>
      <w:r w:rsidR="00AE0F3A" w:rsidRPr="00AE0F3A">
        <w:t xml:space="preserve"> 2002</w:t>
      </w:r>
      <w:r w:rsidR="00AE0F3A">
        <w:t>;</w:t>
      </w:r>
      <w:r w:rsidR="00E2336A">
        <w:t xml:space="preserve"> </w:t>
      </w:r>
      <w:r w:rsidR="00E2336A">
        <w:fldChar w:fldCharType="begin" w:fldLock="1"/>
      </w:r>
      <w:r w:rsidR="00AE0F3A">
        <w:instrText>ADDIN CSL_CITATION {"citationItems":[{"id":"ITEM-1","itemData":{"DOI":"10.1080/10643389.2015.1114444","ISSN":"1064-3389","abstract":"AbstractThe attachment of microbial biomass on solid surfaces is a universal phenomenon that occurs in both natural and engineering systems and it is responsible for various types of biofouling. Biological fouling also referred to as biofouling, remains one of the most critical problems towards the durable application of materials. The eradication of this problem using sustainable and environmentally friendly techniques is still of critical importance and is therefore receiving significant interest from researchers worldwide. This review will start with a definition of processes that lead to biofouling and their relevance to various industrial applications. The most relevant findings from past research will be presented and particular emphasis will be focused on current research, where recent developments in surface modification will receive specific attention.","author":[{"dropping-particle":"","family":"Gule","given":"Nonjabulo P.","non-dropping-particle":"","parse-names":false,"suffix":""},{"dropping-particle":"","family":"Begum","given":"Nusrat M.","non-dropping-particle":"","parse-names":false,"suffix":""},{"dropping-particle":"","family":"Klumperman","given":"Bert","non-dropping-particle":"","parse-names":false,"suffix":""}],"container-title":"Critical Reviews in Environmental Science and Technology","id":"ITEM-1","issue":"6","issued":{"date-parts":[["2016","3"]]},"page":"535-555","title":"Advances in biofouling mitigation: A review","type":"article-journal","volume":"46"},"uris":["http://www.mendeley.com/documents/?uuid=5a41003e-1c3a-4ce9-8523-3e48f6b0fc60"]}],"mendeley":{"formattedCitation":"(Gule et al., 2016)","manualFormatting":"Gule et al., 2016)","plainTextFormattedCitation":"(Gule et al., 2016)","previouslyFormattedCitation":"(Gule et al., 2016)"},"properties":{"noteIndex":0},"schema":"https://github.com/citation-style-language/schema/raw/master/csl-citation.json"}</w:instrText>
      </w:r>
      <w:r w:rsidR="00E2336A">
        <w:fldChar w:fldCharType="separate"/>
      </w:r>
      <w:r w:rsidR="00E2336A" w:rsidRPr="00E2336A">
        <w:rPr>
          <w:noProof/>
        </w:rPr>
        <w:t>Gule et al., 2016)</w:t>
      </w:r>
      <w:r w:rsidR="00E2336A">
        <w:fldChar w:fldCharType="end"/>
      </w:r>
      <w:r w:rsidR="00B320C3" w:rsidRPr="00E86764">
        <w:t>.</w:t>
      </w:r>
      <w:r w:rsidR="00FE70D9">
        <w:t xml:space="preserve"> </w:t>
      </w:r>
      <w:r w:rsidR="00FE70D9" w:rsidRPr="00FE70D9">
        <w:t>In general, for the establishment of biofouling, it is necessary, first, the presence of biofilms</w:t>
      </w:r>
      <w:r w:rsidR="00655EA5">
        <w:t xml:space="preserve"> </w:t>
      </w:r>
      <w:r w:rsidR="00655EA5">
        <w:fldChar w:fldCharType="begin" w:fldLock="1"/>
      </w:r>
      <w:r w:rsidR="00655EA5">
        <w:instrText>ADDIN CSL_CITATION {"citationItems":[{"id":"ITEM-1","itemData":{"DOI":"10.1007/s13659-016-0115-5","ISSN":"2192-2195","PMID":"28097641","abstract":"This present study reviewed the chemical diversity of marine ascidians and their pharmacological applications, challenges and recent developments in marine drug discovery reported during 1994-2014, highlighting the structural activity of compounds produced by these specimens. Till date only 5% of living ascidian species were studied from &lt;3000 species, this study represented from family didemnidae (32%), polyclinidae (22%), styelidae and polycitoridae (11-12%) exhibiting the highest number of promising MNPs. Close to 580 compound structures are here discussed in terms of their occurrence, structural type and reported biological activity. Anti-cancer drugs are the main area of interest in the screening of MNPs from ascidians (64%), followed by anti-malarial (6%) and remaining others. FDA approved ascidian compounds mechanism of action along with other compounds status of clinical trials (phase 1 to phase 3) are discussed here in. This review highlights recent developments in the area of natural products chemistry and biotechnological approaches are emphasized.","author":[{"dropping-particle":"","family":"Palanisamy","given":"Satheesh Kumar","non-dropping-particle":"","parse-names":false,"suffix":""},{"dropping-particle":"","family":"Rajendran","given":"N M","non-dropping-particle":"","parse-names":false,"suffix":""},{"dropping-particle":"","family":"Marino","given":"Angela","non-dropping-particle":"","parse-names":false,"suffix":""}],"container-title":"Natural products and bioprospecting","id":"ITEM-1","issue":"1","issued":{"date-parts":[["2017","2"]]},"page":"1-111","publisher":"Springer","title":"Natural Products Diversity of Marine Ascidians (Tunicates; Ascidiacea) and Successful Drugs in Clinical Development.","type":"article-journal","volume":"7"},"uris":["http://www.mendeley.com/documents/?uuid=cfbdf09b-57ab-3e2b-a107-970ab49623c9"]}],"mendeley":{"formattedCitation":"(Palanisamy et al., 2017)","plainTextFormattedCitation":"(Palanisamy et al., 2017)","previouslyFormattedCitation":"(Palanisamy et al., 2017)"},"properties":{"noteIndex":0},"schema":"https://github.com/citation-style-language/schema/raw/master/csl-citation.json"}</w:instrText>
      </w:r>
      <w:r w:rsidR="00655EA5">
        <w:fldChar w:fldCharType="separate"/>
      </w:r>
      <w:r w:rsidR="00655EA5" w:rsidRPr="00655EA5">
        <w:rPr>
          <w:noProof/>
        </w:rPr>
        <w:t>(Palanisamy et al., 2017)</w:t>
      </w:r>
      <w:r w:rsidR="00655EA5">
        <w:fldChar w:fldCharType="end"/>
      </w:r>
      <w:r w:rsidR="00FE70D9" w:rsidRPr="00FE70D9">
        <w:t>.</w:t>
      </w:r>
      <w:r w:rsidR="00FE70D9">
        <w:t xml:space="preserve"> </w:t>
      </w:r>
      <w:r w:rsidR="00655EA5" w:rsidRPr="00655EA5">
        <w:t>Microorganisms associated with local organisms produce secondary metabolites and secrete molecules to the environment with attractive signals, initiating the fixation and the larval metamorphosis</w:t>
      </w:r>
      <w:r w:rsidR="00655EA5">
        <w:t xml:space="preserve"> </w:t>
      </w:r>
      <w:r w:rsidR="00AE0F3A">
        <w:lastRenderedPageBreak/>
        <w:t>(</w:t>
      </w:r>
      <w:r w:rsidR="00655EA5">
        <w:fldChar w:fldCharType="begin" w:fldLock="1"/>
      </w:r>
      <w:r w:rsidR="0038728B">
        <w:instrText>ADDIN CSL_CITATION {"citationItems":[{"id":"ITEM-1","itemData":{"DOI":"10.1016/j.ejbt.2016.02.002","ISSN":"07173458","abstract":"In the marine environment, all hard surfaces including marine macroorganims are colonized by microorganisms mainly from the surrounding environment. The microorganisms associated with marine macroorganisms offer tremendous potential for exploitation of bioactive metabolites. Biofouling is a continuous problem in marine sectors which needs huge economy for control and cleaning processes. Biotechnological way for searching natural product antifouling compounds gained momentum in recent years because of the environmental pollution associated with the use of toxic chemicals to control biofouling. While, natural product based antifoulants from marine organisms particularly sponges and corals attained significance due to their activities in field assays, collection of larger amount of organisms from the sea is not a viable one. The microorganisms associated with sponges, corals, ascidians, seaweeds and seagrasses showed strong antimicrobial and also antifouling activities. This review highlights the advances in natural product antifoulants research from microbes associated with marine organisms.","author":[{"dropping-particle":"","family":"Satheesh","given":"Sathianeson","non-dropping-particle":"","parse-names":false,"suffix":""},{"dropping-particle":"","family":"Ba-akdah","given":"Mohammad Abdulaziz","non-dropping-particle":"","parse-names":false,"suffix":""},{"dropping-particle":"","family":"Al-Sofyani","given":"Abdulmohsin A.","non-dropping-particle":"","parse-names":false,"suffix":""}],"container-title":"Electronic Journal of Biotechnology","id":"ITEM-1","issued":{"date-parts":[["2016"]]},"page":"26-35","title":"Natural antifouling compound production by microbes associated with marine macroorganisms — A review","type":"article-journal","volume":"21"},"uris":["http://www.mendeley.com/documents/?uuid=e9b2fc27-ea61-3b98-9182-81961c3b58bf"]}],"mendeley":{"formattedCitation":"(Satheesh et al., 2016)","manualFormatting":"Satheesh et al., 2016)","plainTextFormattedCitation":"(Satheesh et al., 2016)","previouslyFormattedCitation":"(Satheesh et al., 2016)"},"properties":{"noteIndex":0},"schema":"https://github.com/citation-style-language/schema/raw/master/csl-citation.json"}</w:instrText>
      </w:r>
      <w:r w:rsidR="00655EA5">
        <w:fldChar w:fldCharType="separate"/>
      </w:r>
      <w:r w:rsidR="00655EA5" w:rsidRPr="00655EA5">
        <w:rPr>
          <w:noProof/>
        </w:rPr>
        <w:t>Satheesh et al., 2016)</w:t>
      </w:r>
      <w:r w:rsidR="00655EA5">
        <w:fldChar w:fldCharType="end"/>
      </w:r>
      <w:r w:rsidR="00655EA5" w:rsidRPr="00655EA5">
        <w:t>.</w:t>
      </w:r>
      <w:r w:rsidR="00655EA5">
        <w:t xml:space="preserve"> </w:t>
      </w:r>
      <w:r w:rsidR="00655EA5" w:rsidRPr="00655EA5">
        <w:t xml:space="preserve">These molecules increase the chance of survival and the process of fixing and developing larvae of fouling organisms </w:t>
      </w:r>
      <w:r w:rsidR="00655EA5">
        <w:t xml:space="preserve">under </w:t>
      </w:r>
      <w:r w:rsidR="00655EA5" w:rsidRPr="00655EA5">
        <w:t>unfavorable conditions, as well as attract other organisms</w:t>
      </w:r>
      <w:r w:rsidR="00CF109F">
        <w:t xml:space="preserve"> </w:t>
      </w:r>
      <w:r w:rsidR="00CF109F">
        <w:fldChar w:fldCharType="begin" w:fldLock="1"/>
      </w:r>
      <w:r w:rsidR="00EC2726">
        <w:instrText>ADDIN CSL_CITATION {"citationItems":[{"id":"ITEM-1","itemData":{"DOI":"10.1002/9781444315462.ch9","ISBN":"9781444315462","ISSN":"00191035","abstract":"The aim of this chapter is to highlight the dynamics and complexity of marine biofilms. In this chapter, I mainly focus on the composition and prokaryote-eukaryote interactions in marine biofilms. Additionally, I provide examples of quorum-sensing signalling in biofilms and demonstrate different mechanisms of quorum sensing inhibition by metabolites of prokaryotes and eukaryotes. Inhibition and induction of larval settlement by microbial biofilms is also discussed. Finally, I highlight directions of future research that require our close attention.","author":[{"dropping-particle":"","family":"Dobretsov","given":"Sergey","non-dropping-particle":"","parse-names":false,"suffix":""}],"container-title":"Biofouling","id":"ITEM-1","issued":{"date-parts":[["2010"]]},"page":"123-136","title":"Marine Biofilms","type":"article-journal"},"uris":["http://www.mendeley.com/documents/?uuid=c7b568c0-fabf-4762-bad2-e13aaf9ce51c"]}],"mendeley":{"formattedCitation":"(Dobretsov, 2010)","manualFormatting":"(Dobretsov, 2010;","plainTextFormattedCitation":"(Dobretsov, 2010)","previouslyFormattedCitation":"(Dobretsov, 2010)"},"properties":{"noteIndex":0},"schema":"https://github.com/citation-style-language/schema/raw/master/csl-citation.json"}</w:instrText>
      </w:r>
      <w:r w:rsidR="00CF109F">
        <w:fldChar w:fldCharType="separate"/>
      </w:r>
      <w:r w:rsidR="00CF109F" w:rsidRPr="00CF109F">
        <w:rPr>
          <w:noProof/>
        </w:rPr>
        <w:t>(Dobretsov, 2010</w:t>
      </w:r>
      <w:r w:rsidR="00EC2726">
        <w:rPr>
          <w:noProof/>
        </w:rPr>
        <w:t>;</w:t>
      </w:r>
      <w:r w:rsidR="00CF109F">
        <w:fldChar w:fldCharType="end"/>
      </w:r>
      <w:r w:rsidR="00505CDB">
        <w:t xml:space="preserve"> </w:t>
      </w:r>
      <w:r w:rsidR="00EC2726">
        <w:fldChar w:fldCharType="begin" w:fldLock="1"/>
      </w:r>
      <w:r w:rsidR="002943A0">
        <w:instrText>ADDIN CSL_CITATION {"citationItems":[{"id":"ITEM-1","itemData":{"DOI":"10.1371/journal.pone.0037408","ISSN":"19326203","PMID":"22666355","abstract":"Stalked and acorn barnacles (Cirripedia Thoracica) have a complex life cycle that includes a free-swimming nauplius larva, a cypris larva and a permanently attached sessile juvenile and adult barnacle. The barnacle cyprid is among the most highly specialized of marine invertebrate larvae and its settlement biology has been intensively studied. By contrast, surprisingly few papers have dealt with the critical series of metamorphic events from cementation of the cyprid to the substratum until the appearance of a suspension feeding juvenile. This metamorphosis is both ontogenetically complex and critical to the survival of the barnacle. Here we use video microscopy to present a timeline and description of morphological events from settled cyprid to juvenile barnacle in the model species Balanus amphitrite, representing an important step towards both a broader understanding of the settlement ecology of this species and a platform for studying the factors that control its metamorphosis. Metamorphosis in B. amphitrite involves a complex sequence of events: cementation, epidermis separation from the cypris cuticle, degeneration of cypris musculature, rotation of the thorax inside the mantle cavity, building of the juvenile musculature, contraction of antennular muscles, raising of the body, shedding of the cypris cuticle, shell plate and basis formation and, possibly, a further moult to become a suspension feeding barnacle. We compare these events with developmental information from other barnacle species and discuss them in the framework of barnacle settlement ecology.","author":[{"dropping-particle":"","family":"Maruzzo","given":"Diego","non-dropping-particle":"","parse-names":false,"suffix":""},{"dropping-particle":"","family":"Aldred","given":"Nick","non-dropping-particle":"","parse-names":false,"suffix":""},{"dropping-particle":"","family":"Clare","given":"Anthony S.","non-dropping-particle":"","parse-names":false,"suffix":""},{"dropping-particle":"","family":"Høeg","given":"Jens T.","non-dropping-particle":"","parse-names":false,"suffix":""}],"container-title":"PLoS ONE","id":"ITEM-1","issue":"5","issued":{"date-parts":[["2012"]]},"page":"1-8","title":"Metamorphosis in the cirripede Crustacean Balanus amphitrite","type":"article-journal","volume":"7"},"uris":["http://www.mendeley.com/documents/?uuid=01f68087-28f7-4000-b68f-6db570d4b1d6"]}],"mendeley":{"formattedCitation":"(Maruzzo et al., 2012)","manualFormatting":"Maruzzo et al., 2012)","plainTextFormattedCitation":"(Maruzzo et al., 2012)","previouslyFormattedCitation":"(Maruzzo et al., 2012)"},"properties":{"noteIndex":0},"schema":"https://github.com/citation-style-language/schema/raw/master/csl-citation.json"}</w:instrText>
      </w:r>
      <w:r w:rsidR="00EC2726">
        <w:fldChar w:fldCharType="separate"/>
      </w:r>
      <w:r w:rsidR="00EC2726" w:rsidRPr="00EC2726">
        <w:rPr>
          <w:noProof/>
        </w:rPr>
        <w:t>Maruzzo et al., 2012)</w:t>
      </w:r>
      <w:r w:rsidR="00EC2726">
        <w:fldChar w:fldCharType="end"/>
      </w:r>
      <w:r w:rsidR="00655EA5" w:rsidRPr="00655EA5">
        <w:t>.</w:t>
      </w:r>
      <w:r w:rsidR="002943A0">
        <w:t xml:space="preserve"> </w:t>
      </w:r>
      <w:r w:rsidR="002943A0" w:rsidRPr="002943A0">
        <w:t xml:space="preserve">Industrial water pipes are highly favorable sites for the development and proliferation of microorganisms. Consequently, the formation of biofilms in equipment and channels is a nearly impossible process to prevent </w:t>
      </w:r>
      <w:r w:rsidR="002943A0">
        <w:fldChar w:fldCharType="begin" w:fldLock="1"/>
      </w:r>
      <w:r w:rsidR="00892565">
        <w:instrText>ADDIN CSL_CITATION {"citationItems":[{"id":"ITEM-1","itemData":{"DOI":"10.1016/j.applthermaleng.2004.11.029","ISBN":"1359-4311","ISSN":"13594311","abstract":"The chlorine use was banned in the Italian Lagoon of Venice, as a consequence, alternative antifouling treatments had to be tested, optimised and, finally, adopted. Now, chlorine dioxide is in use in many plants instead of sodium hypochlorite. Peracetic acid (as antislime) and ammonium quaternary salts (as molluschicide) are also employed in some cases. The treatments are often combined with in-service mechanical cleaning, reducing significantly their cost. The dosage of the alternative oxidant products, now in use, has been optimised by the electrochemical monitoring system BIOX. As requested by Italian regulation, toxicity tests were performed and passed successfully before the adoption of each new treatment. Furthermore, new type of treatments, based on electrochemical low production of oxidant, were also preliminary tested, without significant production of trihalomethanes. The present paper illustrates some detail about the new treatments. ?? 2005 Elsevier Ltd. All rights reserved.","author":[{"dropping-particle":"","family":"Cristiani","given":"Pierangela","non-dropping-particle":"","parse-names":false,"suffix":""}],"container-title":"Applied Thermal Engineering","id":"ITEM-1","issue":"16","issued":{"date-parts":[["2005"]]},"page":"2630-2640","title":"Solutions to fouling in power station condensers","type":"article-journal","volume":"25"},"uris":["http://www.mendeley.com/documents/?uuid=da08b281-1333-4485-8f65-7ccd21063b94"]}],"mendeley":{"formattedCitation":"(Cristiani, 2005)","plainTextFormattedCitation":"(Cristiani, 2005)","previouslyFormattedCitation":"(Cristiani, 2005)"},"properties":{"noteIndex":0},"schema":"https://github.com/citation-style-language/schema/raw/master/csl-citation.json"}</w:instrText>
      </w:r>
      <w:r w:rsidR="002943A0">
        <w:fldChar w:fldCharType="separate"/>
      </w:r>
      <w:r w:rsidR="002943A0" w:rsidRPr="002943A0">
        <w:rPr>
          <w:noProof/>
        </w:rPr>
        <w:t>(Cristiani, 2005)</w:t>
      </w:r>
      <w:r w:rsidR="002943A0">
        <w:fldChar w:fldCharType="end"/>
      </w:r>
      <w:r w:rsidR="002943A0">
        <w:t xml:space="preserve">. </w:t>
      </w:r>
    </w:p>
    <w:p w:rsidR="00600535" w:rsidRPr="007A3158" w:rsidRDefault="007A3158" w:rsidP="00B320C3">
      <w:pPr>
        <w:pStyle w:val="CETBodytext"/>
      </w:pPr>
      <w:r w:rsidRPr="007A3158">
        <w:t>Anti-fouling coatings based on synthetic chemicals is the primary strategy to combat biofouling in the marine industry. Biocides containing TBT (tributyltin), although effective in reducing biofouling, are banned in several countries because they are harmful to other organisms in the marine environment besides fouling organisms</w:t>
      </w:r>
      <w:r w:rsidR="00E2336A">
        <w:t xml:space="preserve"> </w:t>
      </w:r>
      <w:r w:rsidR="00E2336A">
        <w:fldChar w:fldCharType="begin" w:fldLock="1"/>
      </w:r>
      <w:r w:rsidR="00211F67">
        <w:instrText>ADDIN CSL_CITATION {"citationItems":[{"id":"ITEM-1","itemData":{"DOI":"10.1016/j.biotechadv.2013.09.002","ISBN":"07349750 (ISSN)","ISSN":"07349750","PMID":"24051087","abstract":"Following the ban in 2003 on the use of tributyl-tin compounds in antifouling coatings, the search for an environmentally-friendly alternative has accelerated. Biocidal TBT alternatives, such as diuron and Irgarol 1051®,.11Irgarol 1051® - registered trademark no. 2195791, Ciba Specialty Chemicals Corp., US. have proved to be environmentally damaging to marine organisms. The issue regarding the use of biocides is that concerning the half-life of the compounds which allow a perpetuation of the toxic effects into the marine food chain, and initiate changes in the early stages of the organisms' life-cycle. In addition, the break-down of biocides can result in metabolites with greater toxicity and longevity than the parent compound.Functionalized coatings have been designed to repel the settlement and permanent attachment of fouling organisms via modification of either or both surface topography and surface chemistry, or by interfering with the natural mechanisms via which fouling organisms settle upon and adhere to surfaces. A large number of technologies are being developed towards producing new coatings that will be able to resist biofouling over a period of years and thus truly replace biocides as antifouling systems.In addition urgent research is directed towards the exploitation of mechanisms used by living organisms designed to repel the settlement of fouling organisms. These biomimetic strategies include the production of antifouling enzymes and novel surface topography that are incompatible with permanent attachment, for example, by mimicking the microstructure of shark skin. Other research seeks to exploit chemical signals and antimicrobial agents produced by diverse living organisms in the environment to prevent settlement and growth of fouling organisms on vulnerable surfaces. Novel polymer-based technologies may prevent fouling by means of unfavourable surface chemical and physical properties or by concentrating antifouling compounds around surfaces. © 2013 Elsevier Inc.","author":[{"dropping-particle":"","family":"Gittens","given":"Jeanette E.","non-dropping-particle":"","parse-names":false,"suffix":""},{"dropping-particle":"","family":"Smith","given":"Thomas J.","non-dropping-particle":"","parse-names":false,"suffix":""},{"dropping-particle":"","family":"Suleiman","given":"Rami","non-dropping-particle":"","parse-names":false,"suffix":""},{"dropping-particle":"","family":"Akid","given":"Robert","non-dropping-particle":"","parse-names":false,"suffix":""}],"container-title":"Biotechnology Advances","id":"ITEM-1","issue":"8","issued":{"date-parts":[["2013"]]},"page":"1738-1753","publisher":"Elsevier Inc.","title":"Current and emerging environmentally-friendly systems for fouling control in the marine environment","type":"article-journal","volume":"31"},"uris":["http://www.mendeley.com/documents/?uuid=d997fdb5-2785-491c-ad62-a6d9b340b138"]}],"mendeley":{"formattedCitation":"(Gittens et al., 2013)","plainTextFormattedCitation":"(Gittens et al., 2013)","previouslyFormattedCitation":"(Gittens et al., 2013)"},"properties":{"noteIndex":0},"schema":"https://github.com/citation-style-language/schema/raw/master/csl-citation.json"}</w:instrText>
      </w:r>
      <w:r w:rsidR="00E2336A">
        <w:fldChar w:fldCharType="separate"/>
      </w:r>
      <w:r w:rsidR="00E2336A" w:rsidRPr="00E2336A">
        <w:rPr>
          <w:noProof/>
        </w:rPr>
        <w:t>(Gittens et al., 2013)</w:t>
      </w:r>
      <w:r w:rsidR="00E2336A">
        <w:fldChar w:fldCharType="end"/>
      </w:r>
      <w:r w:rsidR="00B320C3" w:rsidRPr="007A3158">
        <w:t>.</w:t>
      </w:r>
    </w:p>
    <w:p w:rsidR="002F44B3" w:rsidRPr="00912706" w:rsidRDefault="00A4309C" w:rsidP="002F44B3">
      <w:pPr>
        <w:pStyle w:val="CETBodytext"/>
      </w:pPr>
      <w:r w:rsidRPr="00A4309C">
        <w:t xml:space="preserve">To prevent or reduce biofouling on immersed surfaces, one of the current trends is to change surfaces to make them more hydrophobic. Another strategy is the addition of natural antimicrobial substances </w:t>
      </w:r>
      <w:r w:rsidR="0081276A">
        <w:fldChar w:fldCharType="begin" w:fldLock="1"/>
      </w:r>
      <w:r w:rsidR="004E6563">
        <w:instrText>ADDIN CSL_CITATION {"citationItems":[{"id":"ITEM-1","itemData":{"DOI":"10.1080/08927010802660854","author":[{"dropping-particle":"","family":"Jagani","given":"Sumitkumar","non-dropping-particle":"","parse-names":false,"suffix":""},{"dropping-particle":"","family":"Chelikani","given":"Rahul","non-dropping-particle":"","parse-names":false,"suffix":""},{"dropping-particle":"","family":"Kim","given":"Dong-Shik","non-dropping-particle":"","parse-names":false,"suffix":""}],"container-title":"Biofouling","id":"ITEM-1","issue":"4","issued":{"date-parts":[["2009","3","3"]]},"page":"321-324","title":"Effects of phenol and natural phenolic compounds on biofilm formation by Pseudomonas aeruginosa","type":"article-journal","volume":"25"},"uris":["http://www.mendeley.com/documents/?uuid=9447cf91-a297-30be-a3a6-f0772fd89a71"]}],"mendeley":{"formattedCitation":"(Jagani et al., 2009)","plainTextFormattedCitation":"(Jagani et al., 2009)","previouslyFormattedCitation":"(Jagani et al., 2009)"},"properties":{"noteIndex":0},"schema":"https://github.com/citation-style-language/schema/raw/master/csl-citation.json"}</w:instrText>
      </w:r>
      <w:r w:rsidR="0081276A">
        <w:fldChar w:fldCharType="separate"/>
      </w:r>
      <w:r w:rsidR="0081276A" w:rsidRPr="0081276A">
        <w:rPr>
          <w:noProof/>
        </w:rPr>
        <w:t>(Jagani et al., 2009)</w:t>
      </w:r>
      <w:r w:rsidR="0081276A">
        <w:fldChar w:fldCharType="end"/>
      </w:r>
      <w:r w:rsidR="0081276A">
        <w:t xml:space="preserve"> </w:t>
      </w:r>
      <w:r w:rsidRPr="00A4309C">
        <w:t>in different types of natural or manufactured coatings and coat the surfaces with these products, eliminating or hindering microbial adhesion, once biofilms colonize a surface, they alter the surface properties and facilitate the adhesion process by another biofouling</w:t>
      </w:r>
      <w:r w:rsidR="002F44B3" w:rsidRPr="00912706">
        <w:t xml:space="preserve"> </w:t>
      </w:r>
      <w:r w:rsidR="00211F67">
        <w:fldChar w:fldCharType="begin" w:fldLock="1"/>
      </w:r>
      <w:r w:rsidR="00211F67">
        <w:instrText>ADDIN CSL_CITATION {"citationItems":[{"id":"ITEM-1","itemData":{"DOI":"10.1016/j.biotechadv.2013.09.002","ISBN":"07349750 (ISSN)","ISSN":"07349750","PMID":"24051087","abstract":"Following the ban in 2003 on the use of tributyl-tin compounds in antifouling coatings, the search for an environmentally-friendly alternative has accelerated. Biocidal TBT alternatives, such as diuron and Irgarol 1051®,.11Irgarol 1051® - registered trademark no. 2195791, Ciba Specialty Chemicals Corp., US. have proved to be environmentally damaging to marine organisms. The issue regarding the use of biocides is that concerning the half-life of the compounds which allow a perpetuation of the toxic effects into the marine food chain, and initiate changes in the early stages of the organisms' life-cycle. In addition, the break-down of biocides can result in metabolites with greater toxicity and longevity than the parent compound.Functionalized coatings have been designed to repel the settlement and permanent attachment of fouling organisms via modification of either or both surface topography and surface chemistry, or by interfering with the natural mechanisms via which fouling organisms settle upon and adhere to surfaces. A large number of technologies are being developed towards producing new coatings that will be able to resist biofouling over a period of years and thus truly replace biocides as antifouling systems.In addition urgent research is directed towards the exploitation of mechanisms used by living organisms designed to repel the settlement of fouling organisms. These biomimetic strategies include the production of antifouling enzymes and novel surface topography that are incompatible with permanent attachment, for example, by mimicking the microstructure of shark skin. Other research seeks to exploit chemical signals and antimicrobial agents produced by diverse living organisms in the environment to prevent settlement and growth of fouling organisms on vulnerable surfaces. Novel polymer-based technologies may prevent fouling by means of unfavourable surface chemical and physical properties or by concentrating antifouling compounds around surfaces. © 2013 Elsevier Inc.","author":[{"dropping-particle":"","family":"Gittens","given":"Jeanette E.","non-dropping-particle":"","parse-names":false,"suffix":""},{"dropping-particle":"","family":"Smith","given":"Thomas J.","non-dropping-particle":"","parse-names":false,"suffix":""},{"dropping-particle":"","family":"Suleiman","given":"Rami","non-dropping-particle":"","parse-names":false,"suffix":""},{"dropping-particle":"","family":"Akid","given":"Robert","non-dropping-particle":"","parse-names":false,"suffix":""}],"container-title":"Biotechnology Advances","id":"ITEM-1","issue":"8","issued":{"date-parts":[["2013"]]},"page":"1738-1753","publisher":"Elsevier Inc.","title":"Current and emerging environmentally-friendly systems for fouling control in the marine environment","type":"article-journal","volume":"31"},"uris":["http://www.mendeley.com/documents/?uuid=d997fdb5-2785-491c-ad62-a6d9b340b138"]}],"mendeley":{"formattedCitation":"(Gittens et al., 2013)","manualFormatting":"(Gittens et al., 2013;","plainTextFormattedCitation":"(Gittens et al., 2013)","previouslyFormattedCitation":"(Gittens et al., 2013)"},"properties":{"noteIndex":0},"schema":"https://github.com/citation-style-language/schema/raw/master/csl-citation.json"}</w:instrText>
      </w:r>
      <w:r w:rsidR="00211F67">
        <w:fldChar w:fldCharType="separate"/>
      </w:r>
      <w:r w:rsidR="00211F67" w:rsidRPr="00211F67">
        <w:rPr>
          <w:noProof/>
        </w:rPr>
        <w:t>(Gittens et al., 2013</w:t>
      </w:r>
      <w:r w:rsidR="00211F67">
        <w:rPr>
          <w:noProof/>
        </w:rPr>
        <w:t>;</w:t>
      </w:r>
      <w:r w:rsidR="00211F67">
        <w:fldChar w:fldCharType="end"/>
      </w:r>
      <w:r w:rsidR="00211F67">
        <w:t xml:space="preserve"> </w:t>
      </w:r>
      <w:r w:rsidR="00211F67">
        <w:fldChar w:fldCharType="begin" w:fldLock="1"/>
      </w:r>
      <w:r w:rsidR="002D584A">
        <w:instrText>ADDIN CSL_CITATION {"citationItems":[{"id":"ITEM-1","itemData":{"DOI":"10.1186/s40824-016-0064-4","ISSN":"2055-7124","abstract":"Contamination of biomedical devices in a biological medium, biofouling, is a major cause of infection and is entirely avoidable. This mini-review will coherently present the broad range of antifouling strategies, germicidal, preventive and cleaning using one or more of biological, chemical and physical techniques. These techniques will be discussed from the point of view of their ability to inhibit protein adsorption, usually the first step that eventually leads to fouling. Many of these approaches draw their inspiration from nature, such as emulating the nitric oxide production in endothelium, use of peptoids that mimic protein repellant peptides, zwitterionic functionalities found in membrane structures, and catechol functionalities used by mussel to immobilize poly(ethylene glycol) (PEG). More intriguing are the physical modifications, creation of micropatterns on the surface to control the hydration layer, making them either superhydrophobic or superhydrophilic. This has led to technologies that emulate the texture of shark skin, and the superhyprophobicity of self-cleaning textures found in lotus leaves. The mechanism of antifouling in each of these methods is described, and implementation of these ideas is illustrated with examples in a way that could be adapted to prevent infection in medical devices.","author":[{"dropping-particle":"","family":"Damodaran","given":"Vinod B","non-dropping-particle":"","parse-names":false,"suffix":""},{"dropping-particle":"","family":"Murthy","given":"N Sanjeeva","non-dropping-particle":"","parse-names":false,"suffix":""}],"container-title":"Biomaterials Research","id":"ITEM-1","issue":"1","issued":{"date-parts":[["2016","12"]]},"page":"18","publisher":"Biomaterials Research","title":"Bio-inspired strategies for designing antifouling biomaterials","type":"article-journal","volume":"20"},"uris":["http://www.mendeley.com/documents/?uuid=ab968e74-3d50-4c91-b2ca-b1502ab5bf2b"]}],"mendeley":{"formattedCitation":"(Damodaran and Murthy, 2016)","manualFormatting":"Damodaran and Murthy, 2016;","plainTextFormattedCitation":"(Damodaran and Murthy, 2016)","previouslyFormattedCitation":"(Damodaran and Murthy, 2016)"},"properties":{"noteIndex":0},"schema":"https://github.com/citation-style-language/schema/raw/master/csl-citation.json"}</w:instrText>
      </w:r>
      <w:r w:rsidR="00211F67">
        <w:fldChar w:fldCharType="separate"/>
      </w:r>
      <w:r w:rsidR="00211F67" w:rsidRPr="00211F67">
        <w:rPr>
          <w:noProof/>
        </w:rPr>
        <w:t>Damodaran and Murthy, 2016</w:t>
      </w:r>
      <w:r w:rsidR="002D584A">
        <w:rPr>
          <w:noProof/>
        </w:rPr>
        <w:t>;</w:t>
      </w:r>
      <w:r w:rsidR="00211F67">
        <w:fldChar w:fldCharType="end"/>
      </w:r>
      <w:r w:rsidR="00FF5B90">
        <w:t xml:space="preserve"> </w:t>
      </w:r>
      <w:r w:rsidR="00FF5B90">
        <w:fldChar w:fldCharType="begin" w:fldLock="1"/>
      </w:r>
      <w:r w:rsidR="00EB6FA7">
        <w:instrText>ADDIN CSL_CITATION {"citationItems":[{"id":"ITEM-1","itemData":{"DOI":"10.1186/s12866-015-0568-4","abstract":"Background: Few studies have reported the species composition of bacterial communities in marine biofilms formed on natural or on man-made existing structures. In particular, the roles and surface specificities of primary colonizers are largely unknown for most surface types. The aim of this study was to obtain potentially pioneering bacterial strains with high forming-biofilm abilities from two kinds of marine biofilms, collected from two different surfaces of the French Atlantic coast: an intertidal mudflat which plays a central role in aquaculture and a carbon steel structure of a harbour, where biofilms may cause important damages. Results: A collection of 156 marine heterotrophic aerobic bacteria isolated from both biofilms was screened for their ability to form biofilms on polystyrene 96-well microtiter plates. Out of 25 strains able to build a biofilm in these conditions, only four bacteria also formed a thick and stable biofilm on glass surfaces under dynamic conditions. These strains developed biofilms with four different three -dimensional architectures when observed by confocal laser scanning microscopy: Flavobacterium sp. II2003 biofilms harboured mushroom-like structures, Roseobacter sp. IV3009 biofilms were quite homogeneous, Shewanella sp. IV3014 displayed hairy biofilms with horizontal fibres, whereas Roseovarius sp. VA014 developed heterogeneous and tousled biofilms. Conclusions: This work led for the first time to the obtaining of four marine bacterial strains, potentially pioneering bacteria in marine biofilms, able to adhere to at least two different surfaces (polystyrene and glass) and to build specific 3D biofilms. The four selected strains are appropriate models for a better understanding of the colonization of a surface as well as the interactions that can occur between bacteria in a marine biofilm, which are crucial events for the initiation of biofouling.","author":[{"dropping-particle":"","family":"Doghri","given":"Ibtissem","non-dropping-particle":"","parse-names":false,"suffix":""},{"dropping-particle":"","family":"Rodrigues","given":"Sophie","non-dropping-particle":"","parse-names":false,"suffix":""},{"dropping-particle":"","family":"Bazire","given":"Alexis","non-dropping-particle":"","parse-names":false,"suffix":""},{"dropping-particle":"","family":"Dufour","given":"Alain","non-dropping-particle":"","parse-names":false,"suffix":""},{"dropping-particle":"","family":"Akbar","given":"David","non-dropping-particle":"","parse-names":false,"suffix":""},{"dropping-particle":"","family":"Sopena","given":"Valérie","non-dropping-particle":"","parse-names":false,"suffix":""},{"dropping-particle":"","family":"Sablé","given":"Sophie","non-dropping-particle":"","parse-names":false,"suffix":""},{"dropping-particle":"","family":"Lanneluc","given":"Isabelle","non-dropping-particle":"","parse-names":false,"suffix":""}],"id":"ITEM-1","issued":{"date-parts":[["2011"]]},"title":"Marine bacteria from the French Atlantic coast displaying high forming-biofilm abilities and different biofilm 3D architectures","type":"article-journal"},"uris":["http://www.mendeley.com/documents/?uuid=ff75ab73-a69d-37e8-ad36-aa62c641ef82"]}],"mendeley":{"formattedCitation":"(Doghri et al., 2011)","manualFormatting":"Doghri et al., 2011)","plainTextFormattedCitation":"(Doghri et al., 2011)","previouslyFormattedCitation":"(Doghri et al., 2011)"},"properties":{"noteIndex":0},"schema":"https://github.com/citation-style-language/schema/raw/master/csl-citation.json"}</w:instrText>
      </w:r>
      <w:r w:rsidR="00FF5B90">
        <w:fldChar w:fldCharType="separate"/>
      </w:r>
      <w:r w:rsidR="00FF5B90" w:rsidRPr="00FF5B90">
        <w:rPr>
          <w:noProof/>
        </w:rPr>
        <w:t>Doghri et al., 2011)</w:t>
      </w:r>
      <w:r w:rsidR="00FF5B90">
        <w:fldChar w:fldCharType="end"/>
      </w:r>
      <w:r w:rsidR="002D584A">
        <w:t>.</w:t>
      </w:r>
    </w:p>
    <w:p w:rsidR="00B24283" w:rsidRDefault="00AA1154" w:rsidP="002F44B3">
      <w:pPr>
        <w:pStyle w:val="CETBodytext"/>
      </w:pPr>
      <w:r w:rsidRPr="00AA1154">
        <w:t>Surfactants are chemical compounds that have amphipathic properties</w:t>
      </w:r>
      <w:r w:rsidR="00467933">
        <w:t xml:space="preserve"> </w:t>
      </w:r>
      <w:r w:rsidR="00467933" w:rsidRPr="00467933">
        <w:t>that reduce the surface and interfacial tensions of liquids.</w:t>
      </w:r>
      <w:r w:rsidRPr="00AA1154">
        <w:t xml:space="preserve"> Such characteristics allow them to interact with different molecules of different affinities and with that they are used in several applications</w:t>
      </w:r>
      <w:r w:rsidR="00B24283">
        <w:t xml:space="preserve"> </w:t>
      </w:r>
      <w:r w:rsidR="00B24283">
        <w:fldChar w:fldCharType="begin" w:fldLock="1"/>
      </w:r>
      <w:r w:rsidR="00B24283">
        <w:instrText>ADDIN CSL_CITATION {"citationItems":[{"id":"ITEM-1","itemData":{"DOI":"10.3139/113.110482","ISSN":"09323414","abstract":"Microbial surfactants are produced by various sources (terrestrial and marine environments, sludges, etc.) of microorganisms. The production of biosurfactants in a culture medium is determined by the secretion of the surface active molecules, which supports both the reduction of the surface tension and the lowering of the critical micelle concentration (CMC). Biosurfactant molecules consisting of lipophilic and hydrophilic moieties have been described for various applications (physiochemical, bio­logical, commercial and nanotechnological) due to their structural properties and their molecular weight, which is generally between 500 Da – 1 500 Da. Although, biosurfactants have normally better application properties than conventional surfactants, the production of them in higher scale is limited due to certain constraints. These constrains are addressed in different studies: Kinetics, statistical design (Taguchi, factorial design, RSM etc.) and computational tool (ANN-GA) have been performed to improve the yields. Along with that, few studies also described the batch and fed batch fermentation for the better commercial level production. However, no defined commercial method is available for the purification of the biosurfactants. Few studies demonstrated the purification by gel exclusion chromatography (SEC, gel filtration chromatography) and ultrafiltration/diafiltration that have been partially established. This review article outlines the detailed reports on these.","author":[{"dropping-particle":"","family":"Sivapathasekaran","given":"C.","non-dropping-particle":"","parse-names":false,"suffix":""},{"dropping-particle":"","family":"Sen","given":"Ramkrishna","non-dropping-particle":"","parse-names":false,"suffix":""}],"container-title":"Tenside, Surfactants, Detergents","id":"ITEM-1","issue":"2","issued":{"date-parts":[["2017"]]},"page":"92-104","title":"Origin, properties, production and purification of microbial surfactants as molecules with immense commercial potential","type":"article-journal","volume":"54"},"uris":["http://www.mendeley.com/documents/?uuid=e1ecda86-f8c4-42dc-9564-d5ae07f53f78"]}],"mendeley":{"formattedCitation":"(Sivapathasekaran and Sen, 2017)","plainTextFormattedCitation":"(Sivapathasekaran and Sen, 2017)","previouslyFormattedCitation":"(Sivapathasekaran and Sen, 2017)"},"properties":{"noteIndex":0},"schema":"https://github.com/citation-style-language/schema/raw/master/csl-citation.json"}</w:instrText>
      </w:r>
      <w:r w:rsidR="00B24283">
        <w:fldChar w:fldCharType="separate"/>
      </w:r>
      <w:r w:rsidR="00B24283" w:rsidRPr="00B24283">
        <w:rPr>
          <w:noProof/>
        </w:rPr>
        <w:t>(Sivapathasekaran and Sen, 2017)</w:t>
      </w:r>
      <w:r w:rsidR="00B24283">
        <w:fldChar w:fldCharType="end"/>
      </w:r>
      <w:r w:rsidR="002F44B3" w:rsidRPr="007040EB">
        <w:t>.</w:t>
      </w:r>
      <w:r w:rsidR="007040EB" w:rsidRPr="007040EB">
        <w:t xml:space="preserve"> </w:t>
      </w:r>
      <w:r w:rsidR="00241E8E" w:rsidRPr="008B0732">
        <w:rPr>
          <w:lang w:val="en-GB"/>
        </w:rPr>
        <w:t>Such compounds have a predilection for interfaces of dissimilar polarities</w:t>
      </w:r>
      <w:r w:rsidR="00BB2976">
        <w:rPr>
          <w:lang w:val="en-GB"/>
        </w:rPr>
        <w:t xml:space="preserve"> </w:t>
      </w:r>
      <w:r w:rsidR="00241E8E" w:rsidRPr="008B0732">
        <w:rPr>
          <w:lang w:val="en-GB"/>
        </w:rPr>
        <w:t>and are soluble in both organic (non-polar) and aqueous (polar) solvents</w:t>
      </w:r>
      <w:r w:rsidR="00241E8E">
        <w:rPr>
          <w:lang w:val="en-GB"/>
        </w:rPr>
        <w:t xml:space="preserve"> </w:t>
      </w:r>
      <w:r w:rsidR="00241E8E">
        <w:rPr>
          <w:lang w:val="en-GB"/>
        </w:rPr>
        <w:fldChar w:fldCharType="begin" w:fldLock="1"/>
      </w:r>
      <w:r w:rsidR="00241E8E">
        <w:rPr>
          <w:lang w:val="en-GB"/>
        </w:rPr>
        <w:instrText>ADDIN CSL_CITATION {"citationItems":[{"id":"ITEM-1","itemData":{"DOI":"10.3389/fmicb.2016.01718","PMID":"27843439","abstract":"The growing global demand for sustainable technologies that improves the efficiency of petrochemical processes in the oil industry has driven advances in petroleum biotechnology in recent years. Petroleum industry uses substantial amounts of petrochemical-based synthetic surfactants in its activities as mobilizing agents to increase the availability or recovery of hydrocarbons as well as many other applications related to extraction, treatment, cleaning, and transportation. However, biosurfactants have several potential applications for use across the oil processing chain and in the formulations of petrochemical products such as emulsifying/demulsifying agents, anticorrosive, biocides for sulfate-reducing bacteria, fuel formulation, extraction of bitumen from tar sands, and many other innovative applications. Due to their versatility and proven efficiency, biosurfactants are often presented as valuable versatile tools that can transform and modernize petroleum biotechnology in an attempt to provide a true picture of state of the art and directions or use in the oil industry. We believe that biosurfactants are going to have a significant role in many future applications in the oil industries and in this review therefore, we highlight recent important relevant applications, patents disclosures and potential future applications for biosurfactants in petroleum and related industries.","author":[{"dropping-particle":"","family":"Almeida","given":"D</w:instrText>
      </w:r>
      <w:r w:rsidR="00241E8E" w:rsidRPr="007A3605">
        <w:rPr>
          <w:lang w:val="pt-BR"/>
        </w:rPr>
        <w:instrText>arne G","non-dropping-particle":"","parse-names":false,"suffix":""},{"dropping-particle":"","family":"Soares da Silva","given":"Rita de Cássia F","non-dropping-particle":"","parse-names":false,"suffix":""},{"dropping-particle":"","family":"Luna","given":"Juliana M","non-dropping-particle":"","parse-names":false,"suffix":""},{"dropping-particle":"","family":"Rufino","given":"Raquel D","non-dropping-particle":"","parse-names":false,"suffix":""},{"dropping-particle":"","family":"Santos","given":"Valdemir A","non-dropping-particle":"","parse-names":false,"suffix":""},{"dropping-particle":"","family":"Banat","given":"Ibrahim M","non-dropping-particle":"","parse-names":false,"suffix":""},{"dropping-particle":"","family":"Sarubbo","given":"Leonie A","non-dropping-particle":"","parse-names":false,"suffix":""}],"container-title":"Frontiers in microbiology","id":"ITEM-1","issued":{"date-parts":[["2016"]]},"page":"1718","publisher":"Frontiers Media SA","title":"Biosurfactants: Promising Molecules for Petroleum Biotechnology Advances.","type":"article-journal","volume":"7"},"uris":["http://www.mendeley.com/documents/?uuid=5d3f0f52-09b0-38ce-9132-6087757ac49d"]}],"mendeley":{"formattedCitation":"(Almeida et al., 2016)","manualFormatting":"(Almeida et al., 2016;","plainTextFormattedCitation":"(Almeida et al., 2016)","previouslyFormattedCitation":"(Almeida et al., 2016)"},"properties":{"noteIndex":0},"schema":"https://github.com/citation-style-language/schema/raw/master/csl-citation.json"}</w:instrText>
      </w:r>
      <w:r w:rsidR="00241E8E">
        <w:rPr>
          <w:lang w:val="en-GB"/>
        </w:rPr>
        <w:fldChar w:fldCharType="separate"/>
      </w:r>
      <w:r w:rsidR="00241E8E" w:rsidRPr="007A3605">
        <w:rPr>
          <w:noProof/>
          <w:lang w:val="pt-BR"/>
        </w:rPr>
        <w:t>(Almeida et al., 2016</w:t>
      </w:r>
      <w:r w:rsidR="000D3CE4">
        <w:rPr>
          <w:noProof/>
          <w:lang w:val="pt-BR"/>
        </w:rPr>
        <w:t>)</w:t>
      </w:r>
      <w:r w:rsidR="00241E8E">
        <w:rPr>
          <w:lang w:val="en-GB"/>
        </w:rPr>
        <w:fldChar w:fldCharType="end"/>
      </w:r>
      <w:r w:rsidR="00241E8E" w:rsidRPr="007A3605">
        <w:rPr>
          <w:lang w:val="pt-BR"/>
        </w:rPr>
        <w:t xml:space="preserve">. </w:t>
      </w:r>
      <w:proofErr w:type="spellStart"/>
      <w:r w:rsidR="00FA4114" w:rsidRPr="007A3605">
        <w:rPr>
          <w:lang w:val="pt-BR"/>
        </w:rPr>
        <w:t>They</w:t>
      </w:r>
      <w:proofErr w:type="spellEnd"/>
      <w:r w:rsidR="00FA4114" w:rsidRPr="007A3605">
        <w:rPr>
          <w:lang w:val="pt-BR"/>
        </w:rPr>
        <w:t xml:space="preserve"> </w:t>
      </w:r>
      <w:proofErr w:type="spellStart"/>
      <w:r w:rsidR="00FA4114" w:rsidRPr="007A3605">
        <w:rPr>
          <w:lang w:val="pt-BR"/>
        </w:rPr>
        <w:t>can</w:t>
      </w:r>
      <w:proofErr w:type="spellEnd"/>
      <w:r w:rsidR="00FA4114" w:rsidRPr="007A3605">
        <w:rPr>
          <w:lang w:val="pt-BR"/>
        </w:rPr>
        <w:t xml:space="preserve"> </w:t>
      </w:r>
      <w:proofErr w:type="spellStart"/>
      <w:r w:rsidR="00FA4114" w:rsidRPr="007A3605">
        <w:rPr>
          <w:lang w:val="pt-BR"/>
        </w:rPr>
        <w:t>be</w:t>
      </w:r>
      <w:proofErr w:type="spellEnd"/>
      <w:r w:rsidR="00FA4114" w:rsidRPr="007A3605">
        <w:rPr>
          <w:lang w:val="pt-BR"/>
        </w:rPr>
        <w:t xml:space="preserve"> </w:t>
      </w:r>
      <w:proofErr w:type="spellStart"/>
      <w:r w:rsidR="00FA4114" w:rsidRPr="007A3605">
        <w:rPr>
          <w:lang w:val="pt-BR"/>
        </w:rPr>
        <w:t>obtained</w:t>
      </w:r>
      <w:proofErr w:type="spellEnd"/>
      <w:r w:rsidR="00FA4114" w:rsidRPr="007A3605">
        <w:rPr>
          <w:lang w:val="pt-BR"/>
        </w:rPr>
        <w:t xml:space="preserve"> </w:t>
      </w:r>
      <w:proofErr w:type="spellStart"/>
      <w:r w:rsidR="00FA4114" w:rsidRPr="007A3605">
        <w:rPr>
          <w:lang w:val="pt-BR"/>
        </w:rPr>
        <w:t>by</w:t>
      </w:r>
      <w:proofErr w:type="spellEnd"/>
      <w:r w:rsidR="00FA4114" w:rsidRPr="007A3605">
        <w:rPr>
          <w:lang w:val="pt-BR"/>
        </w:rPr>
        <w:t xml:space="preserve"> </w:t>
      </w:r>
      <w:proofErr w:type="spellStart"/>
      <w:r w:rsidR="00FA4114" w:rsidRPr="007A3605">
        <w:rPr>
          <w:lang w:val="pt-BR"/>
        </w:rPr>
        <w:t>petroleum</w:t>
      </w:r>
      <w:proofErr w:type="spellEnd"/>
      <w:r w:rsidR="00FA4114" w:rsidRPr="007A3605">
        <w:rPr>
          <w:lang w:val="pt-BR"/>
        </w:rPr>
        <w:t xml:space="preserve"> </w:t>
      </w:r>
      <w:proofErr w:type="spellStart"/>
      <w:r w:rsidR="00FA4114" w:rsidRPr="007A3605">
        <w:rPr>
          <w:lang w:val="pt-BR"/>
        </w:rPr>
        <w:t>derivatives</w:t>
      </w:r>
      <w:proofErr w:type="spellEnd"/>
      <w:r w:rsidR="00FA4114" w:rsidRPr="007A3605">
        <w:rPr>
          <w:lang w:val="pt-BR"/>
        </w:rPr>
        <w:t xml:space="preserve"> (</w:t>
      </w:r>
      <w:proofErr w:type="spellStart"/>
      <w:r w:rsidR="00FA4114" w:rsidRPr="007A3605">
        <w:rPr>
          <w:lang w:val="pt-BR"/>
        </w:rPr>
        <w:t>most</w:t>
      </w:r>
      <w:proofErr w:type="spellEnd"/>
      <w:r w:rsidR="00FA4114" w:rsidRPr="007A3605">
        <w:rPr>
          <w:lang w:val="pt-BR"/>
        </w:rPr>
        <w:t xml:space="preserve"> </w:t>
      </w:r>
      <w:proofErr w:type="spellStart"/>
      <w:r w:rsidR="00FA4114" w:rsidRPr="007A3605">
        <w:rPr>
          <w:lang w:val="pt-BR"/>
        </w:rPr>
        <w:t>surfactants</w:t>
      </w:r>
      <w:proofErr w:type="spellEnd"/>
      <w:r w:rsidR="00FA4114" w:rsidRPr="007A3605">
        <w:rPr>
          <w:lang w:val="pt-BR"/>
        </w:rPr>
        <w:t xml:space="preserve"> </w:t>
      </w:r>
      <w:proofErr w:type="spellStart"/>
      <w:r w:rsidR="00FA4114" w:rsidRPr="007A3605">
        <w:rPr>
          <w:lang w:val="pt-BR"/>
        </w:rPr>
        <w:t>available</w:t>
      </w:r>
      <w:proofErr w:type="spellEnd"/>
      <w:r w:rsidR="00FA4114" w:rsidRPr="007A3605">
        <w:rPr>
          <w:lang w:val="pt-BR"/>
        </w:rPr>
        <w:t xml:space="preserve"> </w:t>
      </w:r>
      <w:proofErr w:type="spellStart"/>
      <w:r w:rsidR="00FA4114" w:rsidRPr="007A3605">
        <w:rPr>
          <w:lang w:val="pt-BR"/>
        </w:rPr>
        <w:t>on</w:t>
      </w:r>
      <w:proofErr w:type="spellEnd"/>
      <w:r w:rsidR="00FA4114" w:rsidRPr="007A3605">
        <w:rPr>
          <w:lang w:val="pt-BR"/>
        </w:rPr>
        <w:t xml:space="preserve"> </w:t>
      </w:r>
      <w:proofErr w:type="spellStart"/>
      <w:r w:rsidR="00FA4114" w:rsidRPr="007A3605">
        <w:rPr>
          <w:lang w:val="pt-BR"/>
        </w:rPr>
        <w:t>the</w:t>
      </w:r>
      <w:proofErr w:type="spellEnd"/>
      <w:r w:rsidR="00FA4114" w:rsidRPr="007A3605">
        <w:rPr>
          <w:lang w:val="pt-BR"/>
        </w:rPr>
        <w:t xml:space="preserve"> </w:t>
      </w:r>
      <w:proofErr w:type="spellStart"/>
      <w:r w:rsidR="00FA4114" w:rsidRPr="007A3605">
        <w:rPr>
          <w:lang w:val="pt-BR"/>
        </w:rPr>
        <w:t>market</w:t>
      </w:r>
      <w:proofErr w:type="spellEnd"/>
      <w:r w:rsidR="00FA4114" w:rsidRPr="007A3605">
        <w:rPr>
          <w:lang w:val="pt-BR"/>
        </w:rPr>
        <w:t xml:space="preserve">), </w:t>
      </w:r>
      <w:proofErr w:type="spellStart"/>
      <w:r w:rsidR="00FA4114" w:rsidRPr="007A3605">
        <w:rPr>
          <w:lang w:val="pt-BR"/>
        </w:rPr>
        <w:t>by</w:t>
      </w:r>
      <w:proofErr w:type="spellEnd"/>
      <w:r w:rsidR="00FA4114" w:rsidRPr="007A3605">
        <w:rPr>
          <w:lang w:val="pt-BR"/>
        </w:rPr>
        <w:t xml:space="preserve"> </w:t>
      </w:r>
      <w:proofErr w:type="spellStart"/>
      <w:r w:rsidR="00FA4114" w:rsidRPr="007A3605">
        <w:rPr>
          <w:lang w:val="pt-BR"/>
        </w:rPr>
        <w:t>vegetables</w:t>
      </w:r>
      <w:proofErr w:type="spellEnd"/>
      <w:r w:rsidR="00FA4114" w:rsidRPr="007A3605">
        <w:rPr>
          <w:lang w:val="pt-BR"/>
        </w:rPr>
        <w:t xml:space="preserve"> </w:t>
      </w:r>
      <w:proofErr w:type="spellStart"/>
      <w:r w:rsidR="00FA4114" w:rsidRPr="007A3605">
        <w:rPr>
          <w:lang w:val="pt-BR"/>
        </w:rPr>
        <w:t>and</w:t>
      </w:r>
      <w:proofErr w:type="spellEnd"/>
      <w:r w:rsidR="00FA4114" w:rsidRPr="007A3605">
        <w:rPr>
          <w:lang w:val="pt-BR"/>
        </w:rPr>
        <w:t xml:space="preserve"> </w:t>
      </w:r>
      <w:proofErr w:type="spellStart"/>
      <w:r w:rsidR="00FA4114" w:rsidRPr="007A3605">
        <w:rPr>
          <w:lang w:val="pt-BR"/>
        </w:rPr>
        <w:t>micro-organisms</w:t>
      </w:r>
      <w:proofErr w:type="spellEnd"/>
      <w:r w:rsidR="00B24283" w:rsidRPr="007A3605">
        <w:rPr>
          <w:lang w:val="pt-BR"/>
        </w:rPr>
        <w:t xml:space="preserve"> </w:t>
      </w:r>
      <w:r w:rsidR="00B24283">
        <w:fldChar w:fldCharType="begin" w:fldLock="1"/>
      </w:r>
      <w:r w:rsidR="00241E8E" w:rsidRPr="007A3605">
        <w:rPr>
          <w:lang w:val="pt-BR"/>
        </w:rPr>
        <w:instrText>ADDIN CSL_CITATION {"citationItems":[{"id":"ITEM-1","itemData":{"DOI":"10.3390/ijms17030401","ISSN":"1422-0067","PMID":"26999123","abstract":"In the era of global industrialisation, the exploration of natural resources has served as a source of experimentation for science and advanced technologies, giving rise to the manufacturing of products with high aggregate value in the world market, such as biosurfactants. Biosurfactants are amphiphilic microbial molecules with hydrophilic and hydrophobic moieties that partition at liquid/liquid, liquid/gas or liquid/solid interfaces. Such characteristics allow these biomolecules to play a key role in emulsification, foam formation, detergency and dispersal, which are desirable qualities in different industries. Biosurfactant production is considered one of the key technologies for development in the 21st century. Besides exerting a strong positive impact on the main global problems, biosurfactant production has considerable importance to the implantation of sustainable industrial processes, such as the use of renewable resources and \"green\" products. Biodegradability and low toxicity have led to the intensification of scientific studies on a wide range of industrial applications for biosurfactants in the field of bioremediation as well as the petroleum, food processing, health, chemical, agricultural and cosmet</w:instrText>
      </w:r>
      <w:r w:rsidR="00241E8E">
        <w:instrText>ic industries. In this paper, we offer an extensive review regarding knowledge accumulated over the years and advances achieved in the incorporation of biomolecules in different industries.","author":[{"dropping-particle":"","family":"Santos","given":"Danyelle Khadydja F","non-dropping-particle":"","parse-names":false,"suffix":""},{"dropping-particle":"","family":"Rufino","given":"Raquel D","non-dropping-particle":"","parse-names":false,"suffix":""},{"dropping-particle":"","family":"Luna","given":"Juliana M","non-dropping-particle":"","parse-names":false,"suffix":""},{"dropping-particle":"","family":"Santos","given":"Valdemir A","non-dropping-particle":"","parse-names":false,"suffix":""},{"dropping-particle":"","family":"Sarubbo","given":"Leonie A","non-dropping-particle":"","parse-names":false,"suffix":""}],"container-title":"International journal of molecular sciences","id":"ITEM-1","issue":"3","issued":{"date-parts":[["2016","3","18"]]},"page":"401","publisher":"Multidisciplinary Digital Publishing Institute  (MDPI)","title":"Biosurfactants: Multifunctional Biomolecules of the 21st Century.","type":"article-journal","volume":"17"},"uris":["http://www.mendeley.com/documents/?uuid=f6f07686-827f-3fdd-a596-9c60c58c0e9f"]}],"mendeley":{"formattedCitation":"(Santos et al., 2016)","plainTextFormattedCitation":"(Santos et al., 2016)","previouslyFormattedCitation":"(Santos et al., 2016)"},"properties":{"noteIndex":0},"schema":"https://github.com/citation-style-language/schema/raw/master/csl-citation.json"}</w:instrText>
      </w:r>
      <w:r w:rsidR="00B24283">
        <w:fldChar w:fldCharType="separate"/>
      </w:r>
      <w:r w:rsidR="00B24283" w:rsidRPr="00B24283">
        <w:rPr>
          <w:noProof/>
        </w:rPr>
        <w:t>(Santos et al., 2016)</w:t>
      </w:r>
      <w:r w:rsidR="00B24283">
        <w:fldChar w:fldCharType="end"/>
      </w:r>
      <w:r w:rsidR="00FA4114" w:rsidRPr="00FA4114">
        <w:t>.</w:t>
      </w:r>
    </w:p>
    <w:p w:rsidR="001F26CB" w:rsidRPr="007A3605" w:rsidRDefault="004F14D1" w:rsidP="002F44B3">
      <w:pPr>
        <w:pStyle w:val="CETBodytext"/>
        <w:rPr>
          <w:lang w:val="pt-BR"/>
        </w:rPr>
      </w:pPr>
      <w:r w:rsidRPr="004F14D1">
        <w:t xml:space="preserve">Due to their toxic character, synthetic surfactants have been gradually replaced by natural surfactants (biosurfactants) in several applications in </w:t>
      </w:r>
      <w:r w:rsidR="00466D34">
        <w:t>last</w:t>
      </w:r>
      <w:r w:rsidRPr="004F14D1">
        <w:t xml:space="preserve"> years</w:t>
      </w:r>
      <w:r w:rsidR="00466D34">
        <w:t xml:space="preserve"> </w:t>
      </w:r>
      <w:r w:rsidR="00466D34">
        <w:fldChar w:fldCharType="begin" w:fldLock="1"/>
      </w:r>
      <w:r w:rsidR="00E46BAC">
        <w:instrText>ADDIN CSL_CITATION {"citationItems":[{"id":"ITEM-1","itemData":{"DOI":"10.1039/c5ra11101c","ISBN":"8242350728","ISSN":"20462069","abstract":"Natural surfactants or biosurfactants are amphiphilic biological compounds, usually extracellular, produced by a variety of microorganisms from various substances including waste materials.","author":[{"dropping-particle":"","family":"Dey","given":"Sourav","non-dropping-particle":"","parse-names":false,"suffix":""},{"dropping-particle":"","family":"Malik","given":"Susanta","non-dropping-particle":"","parse-names":false,"suffix":""},{"dropping-particle":"","family":"Ghosh","given":"Aniruddha","non-dropping-particle":"","parse-names":false,"suffix":""},{"dropping-particle":"","family":"Saha","given":"Rumpa","non-dropping-particle":"","parse-names":false,"suffix":""},{"dropping-particle":"","family":"Saha","given":"Bidyut","non-dropping-particle":"","parse-names":false,"suffix":""}],"container-title":"RSC Advances","id":"ITEM-1","issue":"81","issued":{"date-parts":[["2015"]]},"page":"65757-65767","title":"A review on natural surfactants","type":"article-journal","volume":"5"},"uris":["http://www.mendeley.com/documents/?uuid=c9a5fa90-9a6a-496a-8192-81b30d517b86"]}],"mendeley":{"formattedCitation":"(Dey et al., 2015)","plainTextFormattedCitation":"(Dey et al., 2015)","previouslyFormattedCitation":"(Dey et al., 2015)"},"properties":{"noteIndex":0},"schema":"https://github.com/citation-style-language/schema/raw/master/csl-citation.json"}</w:instrText>
      </w:r>
      <w:r w:rsidR="00466D34">
        <w:fldChar w:fldCharType="separate"/>
      </w:r>
      <w:r w:rsidR="00466D34" w:rsidRPr="00466D34">
        <w:rPr>
          <w:noProof/>
        </w:rPr>
        <w:t>(Dey et al., 2015)</w:t>
      </w:r>
      <w:r w:rsidR="00466D34">
        <w:fldChar w:fldCharType="end"/>
      </w:r>
      <w:r w:rsidRPr="004F14D1">
        <w:t>.</w:t>
      </w:r>
      <w:r w:rsidR="00E46BAC">
        <w:t xml:space="preserve"> </w:t>
      </w:r>
      <w:r w:rsidR="00A2753F" w:rsidRPr="00A2753F">
        <w:t xml:space="preserve">These surface-active molecules of biological origin have several advantages over synthetic surfactants such as higher biodegradability, low toxicity, better environmental compatibility, </w:t>
      </w:r>
      <w:r w:rsidR="00055535">
        <w:t xml:space="preserve">better </w:t>
      </w:r>
      <w:r w:rsidR="00055535" w:rsidRPr="00055535">
        <w:t>activity and resistance in extreme conditions of temperature, pH and salinity</w:t>
      </w:r>
      <w:r w:rsidR="00A2753F" w:rsidRPr="00A2753F">
        <w:t>, and higher selectivity for metals and organic compounds and can be synthesized from renewable feedstocks</w:t>
      </w:r>
      <w:r w:rsidR="00E46BAC">
        <w:t xml:space="preserve"> </w:t>
      </w:r>
      <w:r w:rsidR="00E46BAC">
        <w:fldChar w:fldCharType="begin" w:fldLock="1"/>
      </w:r>
      <w:r w:rsidR="00E46BAC">
        <w:instrText>ADDIN CSL_CITATION {"citationItems":[{"id":"ITEM-1","itemData":{"DOI":"10.3389/fmicb.2017.00157","ISBN":"1664-302X (Linking)","ISSN":"1664302X","PMID":"19826636","abstract":"Biosurfactant production optimization by Candida tropicalis UCP0996 was studied combining central composite rotational design (CCRD) and response surface methodology (RSM). The factors selected for optimization of the culture conditions were sugarcane molasses, corn steep liquor, waste frying oil concentrations and inoculum size. The response variables were surface tension and biosurfactant yield. All factors studied were important within the ranges investigated. The two empirical forecast models developed through RSM were found to be adequate for describing biosurfactant production with regard to surface tension (R2 = 0.99833) and biosurfactant yield (R2 = 0.98927) and a very strong, negative, linear correlation was found between the two response variables studied (r = - 0.95). The maximum reduction in surface tension and the highest biosurfactant yield were 29.98 mNm-1 and 4.19 gL-1, respectively, which were simultaneously obtained under the optimum conditions of 2.5 % waste frying oil, 2.5 %, corn steep liquor, 2.5 % molasses and 2 % inoculum size. To validate the efficiency of the statistically optimized variables, biosurfactant production was also carried out in 2 and 50L bioreactors, with yields of 5.87 gL-1 and 7.36 gL-1, respectively. Finally, the biosurfactant was applied in motor oil dispersion, reaching up to 75% dispersion. Results demonstrated that the CCRD was suitable for identifying the optimum production conditions and that the new biosurfactant is a promising dispersant for application in the oil industry.","author":[{"dropping-particle":"","family":"Almeida","given":"","non-dropping-particle":"","parse-names":false,"suffix":""},{"dropping-particle":"","family":"Silva","given":"Rita de Cássia F.Soares","non-dropping-particle":"","parse-names":false,"suffix":""},{"dropping-particle":"","family":"Luna","given":"Juliana M","non-dropping-particle":"","parse-names":false,"suffix":""},{"dropping-particle":"","family":"Rufino","given":"Raquel D","non-dropping-particle":"","parse-names":false,"suffix":""},{"dropping-particle":"","family":"Santos","given":"Valdemir A","non-dropping-particle":"","parse-names":false,"suffix":""},{"dropping-particle":"","family":"Sarubbo","given":"Leonie A","non-dropping-particle":"","parse-names":false,"suffix":""}],"container-title":"Frontiers in Microbiology","id":"ITEM-1","issue":"FEB","issued":{"date-parts":[["2017"]]},"page":"157","publisher":"Frontiers Media SA","title":"Response surface methodology for optimizing the production of biosurfactant by Candida tropicalis on industrial waste substrates","type":"article-journal","volume":"8"},"uris":["http://www.mendeley.com/documents/?uuid=d4ffead9-07b4-3aa1-b795-0efcac1d4561"]}],"mendeley":{"formattedCitation":"(Almeida et al., 2017)","manualFormatting":"(Almeida et al., 2017;","plainTextFormattedCitation":"(Almeida et al., 2017)","previouslyFormattedCitation":"(Almeida et al., 2017)"},"properties":{"noteIndex":0},"schema":"https://github.com/citation-style-language/schema/raw/master/csl-citation.json"}</w:instrText>
      </w:r>
      <w:r w:rsidR="00E46BAC">
        <w:fldChar w:fldCharType="separate"/>
      </w:r>
      <w:r w:rsidR="00E46BAC" w:rsidRPr="00E46BAC">
        <w:rPr>
          <w:noProof/>
        </w:rPr>
        <w:t>(</w:t>
      </w:r>
      <w:r w:rsidR="00E46BAC">
        <w:fldChar w:fldCharType="end"/>
      </w:r>
      <w:r w:rsidR="00E46BAC">
        <w:fldChar w:fldCharType="begin" w:fldLock="1"/>
      </w:r>
      <w:r w:rsidR="008B67E8">
        <w:instrText>ADDIN CSL_CITATION {"citationItems":[{"id":"ITEM-1","itemData":{"DOI":"10.3303/CET1864100","ISBN":"9788895608563","ISSN":"22839216","abstract":"Copyright © 2018, AIDIC Servizi S.r.l. Biosurfactants are natural surfactants produced by bacteria, yeasts or fungi from different substrates, including sugars, oils, and alkanes. Biosurfactants are expected to reach more than USD 2 billion by 2020, with industrial applications in microbial enhanced oil recovery (MEOR), removal of contamination by heavy metals, bioremediation, food, cosmetics, pharmaceuticals and biomedicine. The considerable interest in these biobased products is related to their properties, as biodegradability, production from renewable substrates, low toxicity and biocompatibility, diversity for chemical structure and properties, effectiveness even at extreme conditions of temperature, pH and salinity. Despite the advantages, fermentation must be cost-competitive with chemical synthesis, and many of the potential applications that have been considered for biosurfactants depend on whether they can be produced economically. Fermentation medium can represent approximately 30 % of the cost for a microbial fermentation. In this work we used a medium formulated with distilled water supplemented with 5 % (v/v) corn steep liquor, 5 % (v/v) molasses and 5 % (v/v) soybean waste frying oil as substrates to produce a biosurfactant from Candida bombicola, at 28 °C during 120 h under 200 rpm was first produced in 3.0 L bioreactor. The properties of the biosurfactant, toxicity and environmental application were determined. The isolated biosurfactant showed a yield of 61 g/L. The biosurfactant with a critical micelle concentration of 0.5 % and demonstrated low toxicity to the vegetables. The biosurfactant demonstrated stability with regard to emulsification and surface tension reduction in a range of temperatures (4 to 120 ºC) and pH values (2 to 12) as well as tolerance to high concentrations of NaCl (2 to 10 %). The cell-free broth was also effective in oil displacement (90 %) in water. The results obtained with the biosurfactant produced show the promising properties of this biomolecule for use in bioremediation of hydrophobic co</w:instrText>
      </w:r>
      <w:r w:rsidR="008B67E8" w:rsidRPr="007A3605">
        <w:rPr>
          <w:lang w:val="pt-BR"/>
        </w:rPr>
        <w:instrText>mpounds.","author":[{"dropping-particle":"","family":"Pinto","given":"M.I.S.","non-dropping-particle":"","parse-names":false,"suffix":""},{"dropping-particle":"","family":"Ribeiro","given":"B.G.","non-dropping-particle":"","parse-names":false,"suffix":""},{"dropping-particle":"","family":"Guerra","given":"J.M.C.","non-dropping-particle":"","parse-names":false,"suffix":""},{"dropping-particle":"","family":"Rufino","given":"R.D.","non-dropping-particle":"","parse-names":false,"suffix":""},{"dropping-particle":"","family":"Sarubbo","given":"L.A.","non-dropping-particle":"","parse-names":false,"suffix":""},{"dropping-particle":"","family":"Santos","given":"V.A.","non-dropping-particle":"","parse-names":false,"suffix":""},{"dropping-particle":"","family":"Luna","given":"J.M.","non-dropping-particle":"","parse-names":false,"suffix":""}],"container-title":"Chemical Engineering Transactions","id":"ITEM-1","issued":{"date-parts":[["2018"]]},"page":"1 - 6","title":"Production in bioreactor, toxicity and stability of a low-cost biosurfactant","type":"article-journal","volume":"64"},"uris":["http://www.mendeley.com/documents/?uuid=6a8d156f-2ce1-4fa3-92a5-8cfcdc1ee38d"]}],"mendeley":{"formattedCitation":"(Pinto et al., 2018)","manualFormatting":"Pinto et al., 2018;","plainTextFormattedCitation":"(Pinto et al., 2018)","previouslyFormattedCitation":"(Pinto et al., 2018)"},"properties":{"noteIndex":0},"schema":"https://github.com/citation-style-language/schema/raw/master/csl-citation.json"}</w:instrText>
      </w:r>
      <w:r w:rsidR="00E46BAC">
        <w:fldChar w:fldCharType="separate"/>
      </w:r>
      <w:r w:rsidR="00E46BAC" w:rsidRPr="007A3605">
        <w:rPr>
          <w:noProof/>
          <w:lang w:val="pt-BR"/>
        </w:rPr>
        <w:t>Pinto et al., 2018;</w:t>
      </w:r>
      <w:r w:rsidR="00E46BAC">
        <w:fldChar w:fldCharType="end"/>
      </w:r>
      <w:r w:rsidR="00E46BAC" w:rsidRPr="007A3605">
        <w:rPr>
          <w:lang w:val="pt-BR"/>
        </w:rPr>
        <w:t xml:space="preserve"> </w:t>
      </w:r>
      <w:r w:rsidR="00E46BAC">
        <w:fldChar w:fldCharType="begin" w:fldLock="1"/>
      </w:r>
      <w:r w:rsidR="00E46BAC" w:rsidRPr="007A3605">
        <w:rPr>
          <w:lang w:val="pt-BR"/>
        </w:rPr>
        <w:instrText>ADDIN CSL_CITATION {"citationItems":[{"id":"ITEM-1","itemData":{"DOI":"10.3390/ijms17030401","ISSN":"1422-0067","PMID":"26999123","abstract":"In the era of global industrialisation, the exploration of natural resources has served as a source of experimentation for science and advanced technologies, giving rise to the manufacturing of products with high aggregate value in the world market, such as biosurfactants. Biosurfactants are amphiphilic microbial molecules with hydrophilic and hydrophobic moieties that partition at liquid/liquid, liquid/gas or liquid/solid interfaces. Such characteristics allow these biomolecules to play a key role in emulsification, foam formation, detergency and dispersal, which are desirable qualities in different industries. Biosurfactant production is considered one of the key technologies for development in the 21st century. Besides exerting a strong positive impact on the main global problems, biosurfactant production has considerable importance to the implantation of sustainable industrial processes, such as the use of renewable resources and \"green\" products. Biodegradability and low toxicity have led to the intensification of scientific studies on a wide range of industrial applications for biosurfactants in the field of bioremediation as well as the petroleum, food processing, health, chemical, agricultural and cosmetic industries. In this paper, we offer an extensive review regarding knowledge accumulated over the years and advances achieved in the incorporation of biomolecules in different industries.","author":[{"dropping-particle":"","family":"Santos","given":"Danyelle Khadydja F","non-dropping-particle":"","parse-names":false,"suffix":""},{"dropping-particle":"","family":"Rufino","given":"Raquel D","non-dropping-particle":"","parse-names":false,"suffix":""},{"dropping-particle":"","family":"Luna","given":"Juliana M","non-dropping-particle":"","parse-names":false,"suffix":""},{"dropping-particle":"","family":"Santos","given":"Valdemir A","non-dropping-particle":"","parse-names":false,"suffix":""},{"dropping-particle":"","family":"Sarubbo","given":"Leonie A","non-dropping-particle":"","parse-names":false,"suffix":""}],"container-title":"International journal of molecular sciences","id":"ITEM-1","issue":"3","issued":{"date-parts":[["2016","3","18"]]},"page":"401","publisher":"Multidisciplinary Digital Publishing Institute  (MDPI)","title":"Biosurfactants: Multifunctional Biomolecules of the 21st Century.","type":"article-journal","volume":"17"},"uris":["http://www.mendeley.com/documents/?uuid=f6f07686-827f-3fdd-a596-9c60c58c0e9f"]}],"mendeley":{"formattedCitation":"(Santos et al., 2016)","manualFormatting":"Santos et al., 2016)","plainTextFormattedCitation":"(Santos et al., 2016)","previouslyFormattedCitation":"(Santos et al., 2016)"},"properties":{"noteIndex":0},"schema":"https://github.com/citation-style-language/schema/raw/master/csl-citation.json"}</w:instrText>
      </w:r>
      <w:r w:rsidR="00E46BAC">
        <w:fldChar w:fldCharType="separate"/>
      </w:r>
      <w:r w:rsidR="00E46BAC" w:rsidRPr="007A3605">
        <w:rPr>
          <w:noProof/>
          <w:lang w:val="pt-BR"/>
        </w:rPr>
        <w:t>Santos et al., 2016)</w:t>
      </w:r>
      <w:r w:rsidR="00E46BAC">
        <w:fldChar w:fldCharType="end"/>
      </w:r>
      <w:r w:rsidR="00A2753F" w:rsidRPr="007A3605">
        <w:rPr>
          <w:lang w:val="pt-BR"/>
        </w:rPr>
        <w:t>.</w:t>
      </w:r>
      <w:r w:rsidR="00E46BAC" w:rsidRPr="007A3605">
        <w:rPr>
          <w:lang w:val="pt-BR"/>
        </w:rPr>
        <w:t xml:space="preserve"> </w:t>
      </w:r>
      <w:r w:rsidR="00C4238A" w:rsidRPr="007A3605">
        <w:rPr>
          <w:lang w:val="pt-BR"/>
        </w:rPr>
        <w:t xml:space="preserve">In </w:t>
      </w:r>
      <w:proofErr w:type="spellStart"/>
      <w:r w:rsidR="00C4238A" w:rsidRPr="007A3605">
        <w:rPr>
          <w:lang w:val="pt-BR"/>
        </w:rPr>
        <w:t>addition</w:t>
      </w:r>
      <w:proofErr w:type="spellEnd"/>
      <w:r w:rsidR="00C4238A" w:rsidRPr="007A3605">
        <w:rPr>
          <w:lang w:val="pt-BR"/>
        </w:rPr>
        <w:t xml:space="preserve"> </w:t>
      </w:r>
      <w:proofErr w:type="spellStart"/>
      <w:r w:rsidR="00C4238A" w:rsidRPr="007A3605">
        <w:rPr>
          <w:lang w:val="pt-BR"/>
        </w:rPr>
        <w:t>to</w:t>
      </w:r>
      <w:proofErr w:type="spellEnd"/>
      <w:r w:rsidR="00C4238A" w:rsidRPr="007A3605">
        <w:rPr>
          <w:lang w:val="pt-BR"/>
        </w:rPr>
        <w:t xml:space="preserve"> </w:t>
      </w:r>
      <w:proofErr w:type="spellStart"/>
      <w:r w:rsidR="00C4238A" w:rsidRPr="007A3605">
        <w:rPr>
          <w:lang w:val="pt-BR"/>
        </w:rPr>
        <w:t>their</w:t>
      </w:r>
      <w:proofErr w:type="spellEnd"/>
      <w:r w:rsidR="00C4238A" w:rsidRPr="007A3605">
        <w:rPr>
          <w:lang w:val="pt-BR"/>
        </w:rPr>
        <w:t xml:space="preserve"> </w:t>
      </w:r>
      <w:proofErr w:type="spellStart"/>
      <w:r w:rsidR="00C4238A" w:rsidRPr="007A3605">
        <w:rPr>
          <w:lang w:val="pt-BR"/>
        </w:rPr>
        <w:t>antibacterial</w:t>
      </w:r>
      <w:proofErr w:type="spellEnd"/>
      <w:r w:rsidR="00C4238A" w:rsidRPr="007A3605">
        <w:rPr>
          <w:lang w:val="pt-BR"/>
        </w:rPr>
        <w:t xml:space="preserve">, antiviral </w:t>
      </w:r>
      <w:proofErr w:type="spellStart"/>
      <w:r w:rsidR="00C4238A" w:rsidRPr="007A3605">
        <w:rPr>
          <w:lang w:val="pt-BR"/>
        </w:rPr>
        <w:t>and</w:t>
      </w:r>
      <w:proofErr w:type="spellEnd"/>
      <w:r w:rsidR="00C4238A" w:rsidRPr="007A3605">
        <w:rPr>
          <w:lang w:val="pt-BR"/>
        </w:rPr>
        <w:t xml:space="preserve"> </w:t>
      </w:r>
      <w:proofErr w:type="spellStart"/>
      <w:r w:rsidR="00C4238A" w:rsidRPr="007A3605">
        <w:rPr>
          <w:lang w:val="pt-BR"/>
        </w:rPr>
        <w:t>antifungal</w:t>
      </w:r>
      <w:proofErr w:type="spellEnd"/>
      <w:r w:rsidR="00C4238A" w:rsidRPr="007A3605">
        <w:rPr>
          <w:lang w:val="pt-BR"/>
        </w:rPr>
        <w:t xml:space="preserve"> </w:t>
      </w:r>
      <w:proofErr w:type="spellStart"/>
      <w:r w:rsidR="00C4238A" w:rsidRPr="007A3605">
        <w:rPr>
          <w:lang w:val="pt-BR"/>
        </w:rPr>
        <w:t>activities</w:t>
      </w:r>
      <w:proofErr w:type="spellEnd"/>
      <w:r w:rsidR="00C4238A" w:rsidRPr="007A3605">
        <w:rPr>
          <w:lang w:val="pt-BR"/>
        </w:rPr>
        <w:t xml:space="preserve">, </w:t>
      </w:r>
      <w:proofErr w:type="spellStart"/>
      <w:r w:rsidR="00C4238A" w:rsidRPr="007A3605">
        <w:rPr>
          <w:lang w:val="pt-BR"/>
        </w:rPr>
        <w:t>these</w:t>
      </w:r>
      <w:proofErr w:type="spellEnd"/>
      <w:r w:rsidR="00C4238A" w:rsidRPr="007A3605">
        <w:rPr>
          <w:lang w:val="pt-BR"/>
        </w:rPr>
        <w:t xml:space="preserve"> </w:t>
      </w:r>
      <w:proofErr w:type="spellStart"/>
      <w:r w:rsidR="00C4238A" w:rsidRPr="007A3605">
        <w:rPr>
          <w:lang w:val="pt-BR"/>
        </w:rPr>
        <w:t>compounds</w:t>
      </w:r>
      <w:proofErr w:type="spellEnd"/>
      <w:r w:rsidR="00C4238A" w:rsidRPr="007A3605">
        <w:rPr>
          <w:lang w:val="pt-BR"/>
        </w:rPr>
        <w:t xml:space="preserve"> </w:t>
      </w:r>
      <w:proofErr w:type="spellStart"/>
      <w:r w:rsidR="00C4238A" w:rsidRPr="007A3605">
        <w:rPr>
          <w:lang w:val="pt-BR"/>
        </w:rPr>
        <w:t>have</w:t>
      </w:r>
      <w:proofErr w:type="spellEnd"/>
      <w:r w:rsidR="00C4238A" w:rsidRPr="007A3605">
        <w:rPr>
          <w:lang w:val="pt-BR"/>
        </w:rPr>
        <w:t xml:space="preserve"> </w:t>
      </w:r>
      <w:proofErr w:type="spellStart"/>
      <w:r w:rsidR="00C4238A" w:rsidRPr="007A3605">
        <w:rPr>
          <w:lang w:val="pt-BR"/>
        </w:rPr>
        <w:t>also</w:t>
      </w:r>
      <w:proofErr w:type="spellEnd"/>
      <w:r w:rsidR="00C4238A" w:rsidRPr="007A3605">
        <w:rPr>
          <w:lang w:val="pt-BR"/>
        </w:rPr>
        <w:t xml:space="preserve"> </w:t>
      </w:r>
      <w:proofErr w:type="spellStart"/>
      <w:r w:rsidR="00C4238A" w:rsidRPr="007A3605">
        <w:rPr>
          <w:lang w:val="pt-BR"/>
        </w:rPr>
        <w:t>proved</w:t>
      </w:r>
      <w:proofErr w:type="spellEnd"/>
      <w:r w:rsidR="00C4238A" w:rsidRPr="007A3605">
        <w:rPr>
          <w:lang w:val="pt-BR"/>
        </w:rPr>
        <w:t xml:space="preserve"> </w:t>
      </w:r>
      <w:proofErr w:type="spellStart"/>
      <w:r w:rsidR="00C4238A" w:rsidRPr="007A3605">
        <w:rPr>
          <w:lang w:val="pt-BR"/>
        </w:rPr>
        <w:t>to</w:t>
      </w:r>
      <w:proofErr w:type="spellEnd"/>
      <w:r w:rsidR="00C4238A" w:rsidRPr="007A3605">
        <w:rPr>
          <w:lang w:val="pt-BR"/>
        </w:rPr>
        <w:t xml:space="preserve"> </w:t>
      </w:r>
      <w:proofErr w:type="spellStart"/>
      <w:r w:rsidR="00C4238A" w:rsidRPr="007A3605">
        <w:rPr>
          <w:lang w:val="pt-BR"/>
        </w:rPr>
        <w:t>be</w:t>
      </w:r>
      <w:proofErr w:type="spellEnd"/>
      <w:r w:rsidR="00C4238A" w:rsidRPr="007A3605">
        <w:rPr>
          <w:lang w:val="pt-BR"/>
        </w:rPr>
        <w:t xml:space="preserve"> </w:t>
      </w:r>
      <w:proofErr w:type="spellStart"/>
      <w:r w:rsidR="00C4238A" w:rsidRPr="007A3605">
        <w:rPr>
          <w:lang w:val="pt-BR"/>
        </w:rPr>
        <w:t>good</w:t>
      </w:r>
      <w:proofErr w:type="spellEnd"/>
      <w:r w:rsidR="00C4238A" w:rsidRPr="007A3605">
        <w:rPr>
          <w:lang w:val="pt-BR"/>
        </w:rPr>
        <w:t xml:space="preserve"> </w:t>
      </w:r>
      <w:proofErr w:type="spellStart"/>
      <w:r w:rsidR="00C4238A" w:rsidRPr="007A3605">
        <w:rPr>
          <w:lang w:val="pt-BR"/>
        </w:rPr>
        <w:t>inhibitors</w:t>
      </w:r>
      <w:proofErr w:type="spellEnd"/>
      <w:r w:rsidR="00C4238A" w:rsidRPr="007A3605">
        <w:rPr>
          <w:lang w:val="pt-BR"/>
        </w:rPr>
        <w:t xml:space="preserve"> </w:t>
      </w:r>
      <w:proofErr w:type="spellStart"/>
      <w:r w:rsidR="00C4238A" w:rsidRPr="007A3605">
        <w:rPr>
          <w:lang w:val="pt-BR"/>
        </w:rPr>
        <w:t>of</w:t>
      </w:r>
      <w:proofErr w:type="spellEnd"/>
      <w:r w:rsidR="00C4238A" w:rsidRPr="007A3605">
        <w:rPr>
          <w:lang w:val="pt-BR"/>
        </w:rPr>
        <w:t xml:space="preserve"> microbial </w:t>
      </w:r>
      <w:proofErr w:type="spellStart"/>
      <w:r w:rsidR="00C4238A" w:rsidRPr="007A3605">
        <w:rPr>
          <w:lang w:val="pt-BR"/>
        </w:rPr>
        <w:t>adhesion</w:t>
      </w:r>
      <w:proofErr w:type="spellEnd"/>
      <w:r w:rsidR="00C4238A" w:rsidRPr="007A3605">
        <w:rPr>
          <w:lang w:val="pt-BR"/>
        </w:rPr>
        <w:t xml:space="preserve"> </w:t>
      </w:r>
      <w:proofErr w:type="spellStart"/>
      <w:r w:rsidR="00C4238A" w:rsidRPr="007A3605">
        <w:rPr>
          <w:lang w:val="pt-BR"/>
        </w:rPr>
        <w:t>and</w:t>
      </w:r>
      <w:proofErr w:type="spellEnd"/>
      <w:r w:rsidR="00C4238A" w:rsidRPr="007A3605">
        <w:rPr>
          <w:lang w:val="pt-BR"/>
        </w:rPr>
        <w:t xml:space="preserve"> </w:t>
      </w:r>
      <w:proofErr w:type="spellStart"/>
      <w:r w:rsidR="00C4238A" w:rsidRPr="007A3605">
        <w:rPr>
          <w:lang w:val="pt-BR"/>
        </w:rPr>
        <w:t>biofilm</w:t>
      </w:r>
      <w:proofErr w:type="spellEnd"/>
      <w:r w:rsidR="00C4238A" w:rsidRPr="007A3605">
        <w:rPr>
          <w:lang w:val="pt-BR"/>
        </w:rPr>
        <w:t xml:space="preserve"> </w:t>
      </w:r>
      <w:proofErr w:type="spellStart"/>
      <w:r w:rsidR="00C4238A" w:rsidRPr="007A3605">
        <w:rPr>
          <w:lang w:val="pt-BR"/>
        </w:rPr>
        <w:t>formation</w:t>
      </w:r>
      <w:proofErr w:type="spellEnd"/>
      <w:r w:rsidR="008B67E8" w:rsidRPr="007A3605">
        <w:rPr>
          <w:lang w:val="pt-BR"/>
        </w:rPr>
        <w:t xml:space="preserve"> </w:t>
      </w:r>
      <w:r w:rsidR="008B67E8">
        <w:fldChar w:fldCharType="begin" w:fldLock="1"/>
      </w:r>
      <w:r w:rsidR="008B67E8" w:rsidRPr="007A3605">
        <w:rPr>
          <w:lang w:val="pt-BR"/>
        </w:rPr>
        <w:instrText>ADDIN CSL_CITATION {"citationItems":[{"id":"ITEM-1","itemData":{"DOI":"10.1016/J.FOODCONT.2015.11.036","ISSN":"0956-7135","abstract":"Biofilm growth in food industrial processing environment increases the probability of product's microbial contamination by spoilage and pathogenic microorganisms. Biosurfactants represent a great strategy to reduce biofilms due to their environmental-friendly nature when compared to synthetic surfactants. In order to evaluate biosurfactants potential on controlling biofilms, surfactin and rhamnolipid were tested against Listeria monocytogenes and Pseudomonas fluorescens. Adhesion/biofilm formation on polystyrene and stainless steel 304 surfaces, and physicochemical parameters were used to analyze and discuss findings. Adhesion was reduced up to 79% and 54% on polystyrene, while biofilm formation was reduced up to 83% and 73% on stainless steel surfaces (rhamnolipids and surfactin, respectively). Surfactants altered surfaces physicochemical characteristics. When added to the culture medium, microbial adhesion was inhibited up to 100%, depending on the product. Biosurfactants showed antimicrobial activity. Results demonstrate good potential of tested biomolecules to decrease adhesion and biofilm formation on food-contact surfaces.","author":[{"dropping-particle":"de","family":</w:instrText>
      </w:r>
      <w:r w:rsidR="008B67E8">
        <w:instrText>"Araujo","given":"Livia Vieira","non-dropping-particle":"","parse-names":false,"suffix":""},{"dropping-particle":"","family":"Guimarães","given":"Carolina Reis","non-dropping-particle":"","parse-names":false,"suffix":""},{"dropping-particle":"","family":"Marquita","given":"Rafael Lucas da Silva","non-dropping-particle":"","parse-names":false,"suffix":""},{"dropping-particle":"","family":"Santiago","given":"Vânia M.J.","non-dropping-particle":"","parse-names":false,"suffix":""},{"dropping-particle":"","family":"Souza","given":"Maíra Paula","non-dropping-particle":"de","parse-names":false,"suffix":""},{"dropping-particle":"","family":"Nitschke","given":"Márcia","non-dropping-particle":"","parse-names":false,"suffix":""},{"dropping-particle":"","family":"Freire","given":"Denise Maria Guimarães","non-dropping-particle":"","parse-names":false,"suffix":""}],"container-title":"Food Control","id":"ITEM-1","issued":{"date-parts":[["2016","5"]]},"page":"171-178","publisher":"Elsevier","title":"Rhamnolipid and surfactin: Anti-adhesion/antibiofilm and antimicrobial effects","type":"article-journal","volume":"63"},"uris":["http://www.mendeley.com/documents/?uuid=5e8ba89c-4396-4f9a-9f05-e33cd13fa764"]}],"mendeley":{"formattedCitation":"(Araujo et al., 2016)","manualFormatting":"(Araujo et al., 2016;","plainTextFormattedCitation":"(Araujo et al., 2016)","previouslyFormattedCitation":"(Araujo et al., 2016)"},"properties":{"noteIndex":0},"schema":"https://github.com/citation-style-language/schema/raw/master/csl-citation.json"}</w:instrText>
      </w:r>
      <w:r w:rsidR="008B67E8">
        <w:fldChar w:fldCharType="separate"/>
      </w:r>
      <w:r w:rsidR="008B67E8" w:rsidRPr="008B67E8">
        <w:rPr>
          <w:noProof/>
        </w:rPr>
        <w:t>(Araujo et al., 2016</w:t>
      </w:r>
      <w:r w:rsidR="008B67E8">
        <w:rPr>
          <w:noProof/>
        </w:rPr>
        <w:t>;</w:t>
      </w:r>
      <w:r w:rsidR="008B67E8">
        <w:fldChar w:fldCharType="end"/>
      </w:r>
      <w:r w:rsidR="008B67E8">
        <w:t xml:space="preserve"> </w:t>
      </w:r>
      <w:r w:rsidR="008B67E8">
        <w:fldChar w:fldCharType="begin" w:fldLock="1"/>
      </w:r>
      <w:r w:rsidR="008B67E8">
        <w:instrText>ADDIN CSL_CITATION {"citationItems":[{"id":"ITEM-1","itemData":{"DOI":"10.3303/CET1864110","ISBN":"9788895608563","ISSN":"22839216","abstract":"Copyright © 2018, AIDIC Servizi S.r.l. Biofilms can be characterized as a microorganisms community attached to a surface and enveloped by an extra polymeric substances complex array in a moist environment. It is known that the growth and formation way of the biofilm structure induces resistance to several microbial agents, making it impossible to disintegrate and eliminate these structures. These biofilms can settle in the vessels surface, pipes, thermoelectric cooling systems and so forth causing serious economic problems in the most diverse strategic sectors of a country such as nautical, industrial, energy. Search for substances capable of disturbing this formation is desired, since the formation of the biofilm is the crucial stage for the emergence of new organisms that will develop until the climax of the ecological succession with the arrival of macrofouling. These substances when isolated can be ideal inputs for the development of antifouling products and be incorporated into paints and coatings. Thus, the present study aim was synthesize antibacterial substances through chemical modification of natural substances, obtained from vegetable oils, specifically soybean oil (Glycine max (L.)). Selected substances and their variants for the synthesis were chosen based on/supported by studies that demonstrated the antifouling potential of some types of fatty acids and the efficacy of monoglycerides in combating the formation of biofilms. The following substances were synthesized: 9,10-dihydroxy octadecanoic acid; 9,10-dihydroxy octadecanoate; 9-octadecenoate 2,3-dihydroxypropanoyl; 2,3-dihydroxypropanoyl dodecanoate and 9,10-dihydroxy octadecanoate 2,3-dihydroxypropanoyl. For the synthesis of the substances, neutralization reactions using a catalyst base as well as esterification reactions with a polyalcohol (glycerol) and/or hydroxylation reactions by epoxidation were performed. To assess the antimicrobial activity, a rapid antibiogram assay was developed to observe the bacterium Pseudomonas aeruginosa UCP0992 growth obtained from the Cultures Collection of Catholic University of Pernambuco - UNICAP, Brazil. The microorganism Pseudomonas aeruginosa used in this study is reported as a pioneer in the formation of resistant biofilms. Pseudomonas aeruginosa UCP0992 was seeded in Petri dishes containing medium LB then, antibiogram disks (Ø = 6 mm) each containing the synthesized substances to be tested were transferred to the plates and arranged in equidist…","author":[{"dropping-particle":"","family":"Silva","given":"M.D.G.C.","non-dropping-particle":"","parse-names":false,"suffix":""},{"dropping-particle":"","family":"Almeida","given":"D.G.","non-dropping-particle":"","parse-names":false,"suffix":""},{</w:instrText>
      </w:r>
      <w:r w:rsidR="008B67E8" w:rsidRPr="007A3605">
        <w:rPr>
          <w:lang w:val="pt-BR"/>
        </w:rPr>
        <w:instrText>"dropping-particle":"","family":"Soares da Silva","given":"R.D.C.F.","non-dropping-particle":"","parse-names":false,"suffix":""},{"dropping-particle":"","family":"Meira","given":"H.M.","non-dropping-particle":"","parse-names":false,"suffix":""},{"dropping-particle":"","family":"Almeida","given":"F.G.","non-dropping-particle":"","parse-names":false,"suffix":""},{"dropping-particle":"","family":"Fernandes","given":"M.L.B.","non-dropping-particle":"","parse-names":false,"suffix":""},{"dropping-particle":"","family":"Silva","given":"A.K.P.","non-dropping-particle":"","parse-names":false,"suffix":""},{"dropping-particle":"","family":"Santos","given":"V.A.","non-dropping-particle":"","parse-names":false,"suffix":""},{"dropping-particle":"","family":"Sarubbo","given":"L.A.","non-dropping-particle":"","parse-names":false,"suffix":""}],"container-title":"Chemical Engineering Transactions","id":"ITEM-1","issued":{"date-parts":[["2018"]]},"title":"Chemically modified natural substances screening for biofilms inhibition and biofouling control","type":"article-journal","volume":"64"},"uris":["http://www.mendeley.com/documents/?uuid=fa4d40d0-d7bf-3332-97c5-ef9daffeaf9a"]}],"mendeley":{"formattedCitation":"(Silva et al., 2018)","manualFormatting":"Silva et al., 2018;","plainTextFormattedCitation":"(Silva et al., 2018)","previouslyFormattedCitation":"(Silva et al., 2018)"},"properties":{"noteIndex":0},"schema":"https://github.com/citation-style-language/schema/raw/master/csl-citation.json"}</w:instrText>
      </w:r>
      <w:r w:rsidR="008B67E8">
        <w:fldChar w:fldCharType="separate"/>
      </w:r>
      <w:r w:rsidR="008B67E8" w:rsidRPr="007A3605">
        <w:rPr>
          <w:noProof/>
          <w:lang w:val="pt-BR"/>
        </w:rPr>
        <w:t>Silva et al., 2018;</w:t>
      </w:r>
      <w:r w:rsidR="008B67E8">
        <w:fldChar w:fldCharType="end"/>
      </w:r>
      <w:r w:rsidR="002F44B3" w:rsidRPr="007A3605">
        <w:rPr>
          <w:lang w:val="pt-BR"/>
        </w:rPr>
        <w:t xml:space="preserve"> </w:t>
      </w:r>
      <w:r w:rsidR="008B67E8">
        <w:fldChar w:fldCharType="begin" w:fldLock="1"/>
      </w:r>
      <w:r w:rsidR="00655EA5" w:rsidRPr="007A3605">
        <w:rPr>
          <w:lang w:val="pt-BR"/>
        </w:rPr>
        <w:instrText>ADDIN CSL_CITATION {"citationItems":[{"id":"ITEM-1","itemData":{"DOI":"10.3390/ijms17030401","ISSN":"1422-0067","PMID":"26999123","abstract":"In the era of global industrialisation, the exploration of natural resources has served as a source of experimentation for science and advanced technologies, giving rise to the manufacturing of products with high aggregate value in the world market, such as biosurfactants. Biosurfactants are amphiphilic microbial molecules with hydrophilic and hydrophobic moieties that partition at liquid/liquid, liquid/gas or liquid/solid interfaces. Such characteristics allow these biomolecules to play a key role in emulsification, foam formation, detergency and dispersal, which are desirable qualities in different industries. Biosurfactant production is considered one of the key technologies for development in the 21st century. Besides exerting a strong positive impact on the main global problems, biosurfactant production has considerable importance to the implantation of sustainable industrial processes, such as the use of renewable resources and \"green\" products. Biodegradability and low toxicity have led to the intensification of scientific studies on a wide range of industrial applications for biosurfactants in the field of bioremediation as well as the petroleum, food processing, health, chemical, agricultural and cosmetic industries. In this paper, we offer an extensive review regarding knowledge accumulated over the years and advances achieved in the incorporation of biomolecules in different industries.","author":[{"dropping-particle":"","family":"Santos","given":"Danyelle Khadydja F","non-dropping-particle":"","parse-names":false,"suffix":""},{"dropping-particle":"","family":"Rufino","given":"Raquel D","non-dropping-particle":"","parse-names":false,"suffix":""},{"dropping-particle":"","family":"Luna","given":"Juliana M","non-dropping-particle":"","parse-names":false,"suffix":""},{"dropping-particle":"","family":"Santos","given":"Valdemir A","non-dropping-particle":"","parse-names":false,"suffix":""},{"dropping-particle":"","family":"Sarubbo","given":"Leonie A","non-dropping-particle":"","parse-names":false,"suffix":""}],"container-title":"International journal of molecular sciences","id":"ITEM-1","issue":"3","issued":{"date-parts":[["2016","3","18"]]},"page":"401","publisher":"Multidisciplinary Digital Publishing Institute  (MDPI)","title":"Biosurfactants: Multifunctional Biomolecules of the 21st Century.","type":"article-journal","volume":"17"},"uris":["http://www.mendeley.com/documents/?uuid=f6f07686-827f-3fdd-a596-9c60c58c0e9f"]}],"mendeley":{"formattedCitation":"(Santos et al., 2016)","manualFormatting":"Santos et al., 2016)","plainTextFormattedCitation":"(Santos et al., 2016)","previouslyFormattedCitation":"(Santos et al., 2016)"},"properties":{"noteIndex":0},"schema":"https://github.com/citation-style-language/schema/raw/master/csl-citation.json"}</w:instrText>
      </w:r>
      <w:r w:rsidR="008B67E8">
        <w:fldChar w:fldCharType="separate"/>
      </w:r>
      <w:r w:rsidR="008B67E8" w:rsidRPr="007A3605">
        <w:rPr>
          <w:noProof/>
          <w:lang w:val="pt-BR"/>
        </w:rPr>
        <w:t>Santos et al., 2016)</w:t>
      </w:r>
      <w:r w:rsidR="008B67E8">
        <w:fldChar w:fldCharType="end"/>
      </w:r>
      <w:r w:rsidR="008B67E8" w:rsidRPr="007A3605">
        <w:rPr>
          <w:lang w:val="pt-BR"/>
        </w:rPr>
        <w:t>.</w:t>
      </w:r>
    </w:p>
    <w:p w:rsidR="002F44B3" w:rsidRPr="00C4238A" w:rsidRDefault="00EB6FA7" w:rsidP="002F44B3">
      <w:pPr>
        <w:pStyle w:val="CETBodytext"/>
      </w:pPr>
      <w:r w:rsidRPr="007A3605">
        <w:rPr>
          <w:lang w:val="pt-BR"/>
        </w:rPr>
        <w:t xml:space="preserve">In some </w:t>
      </w:r>
      <w:proofErr w:type="spellStart"/>
      <w:r w:rsidRPr="007A3605">
        <w:rPr>
          <w:lang w:val="pt-BR"/>
        </w:rPr>
        <w:t>studies</w:t>
      </w:r>
      <w:proofErr w:type="spellEnd"/>
      <w:r w:rsidR="00603F61" w:rsidRPr="007A3605">
        <w:rPr>
          <w:lang w:val="pt-BR"/>
        </w:rPr>
        <w:t xml:space="preserve">,  it </w:t>
      </w:r>
      <w:proofErr w:type="spellStart"/>
      <w:r w:rsidR="00603F61" w:rsidRPr="007A3605">
        <w:rPr>
          <w:lang w:val="pt-BR"/>
        </w:rPr>
        <w:t>was</w:t>
      </w:r>
      <w:proofErr w:type="spellEnd"/>
      <w:r w:rsidR="00603F61" w:rsidRPr="007A3605">
        <w:rPr>
          <w:lang w:val="pt-BR"/>
        </w:rPr>
        <w:t xml:space="preserve"> </w:t>
      </w:r>
      <w:proofErr w:type="spellStart"/>
      <w:r w:rsidR="00603F61" w:rsidRPr="007A3605">
        <w:rPr>
          <w:lang w:val="pt-BR"/>
        </w:rPr>
        <w:t>observed</w:t>
      </w:r>
      <w:proofErr w:type="spellEnd"/>
      <w:r w:rsidR="00603F61" w:rsidRPr="007A3605">
        <w:rPr>
          <w:lang w:val="pt-BR"/>
        </w:rPr>
        <w:t xml:space="preserve"> </w:t>
      </w:r>
      <w:proofErr w:type="spellStart"/>
      <w:r w:rsidR="00603F61" w:rsidRPr="007A3605">
        <w:rPr>
          <w:lang w:val="pt-BR"/>
        </w:rPr>
        <w:t>that</w:t>
      </w:r>
      <w:proofErr w:type="spellEnd"/>
      <w:r w:rsidR="00603F61" w:rsidRPr="007A3605">
        <w:rPr>
          <w:lang w:val="pt-BR"/>
        </w:rPr>
        <w:t xml:space="preserve"> a </w:t>
      </w:r>
      <w:proofErr w:type="spellStart"/>
      <w:r w:rsidR="00603F61" w:rsidRPr="007A3605">
        <w:rPr>
          <w:lang w:val="pt-BR"/>
        </w:rPr>
        <w:t>mixture</w:t>
      </w:r>
      <w:proofErr w:type="spellEnd"/>
      <w:r w:rsidR="00603F61" w:rsidRPr="007A3605">
        <w:rPr>
          <w:lang w:val="pt-BR"/>
        </w:rPr>
        <w:t xml:space="preserve"> </w:t>
      </w:r>
      <w:proofErr w:type="spellStart"/>
      <w:r w:rsidR="00603F61" w:rsidRPr="007A3605">
        <w:rPr>
          <w:lang w:val="pt-BR"/>
        </w:rPr>
        <w:t>of</w:t>
      </w:r>
      <w:proofErr w:type="spellEnd"/>
      <w:r w:rsidR="00603F61" w:rsidRPr="007A3605">
        <w:rPr>
          <w:lang w:val="pt-BR"/>
        </w:rPr>
        <w:t xml:space="preserve"> natural </w:t>
      </w:r>
      <w:proofErr w:type="spellStart"/>
      <w:r w:rsidR="00603F61" w:rsidRPr="007A3605">
        <w:rPr>
          <w:lang w:val="pt-BR"/>
        </w:rPr>
        <w:t>surfactants</w:t>
      </w:r>
      <w:proofErr w:type="spellEnd"/>
      <w:r w:rsidR="00603F61" w:rsidRPr="007A3605">
        <w:rPr>
          <w:lang w:val="pt-BR"/>
        </w:rPr>
        <w:t xml:space="preserve"> (</w:t>
      </w:r>
      <w:proofErr w:type="spellStart"/>
      <w:r w:rsidR="00603F61" w:rsidRPr="007A3605">
        <w:rPr>
          <w:lang w:val="pt-BR"/>
        </w:rPr>
        <w:t>palmitic</w:t>
      </w:r>
      <w:proofErr w:type="spellEnd"/>
      <w:r w:rsidR="00603F61" w:rsidRPr="007A3605">
        <w:rPr>
          <w:lang w:val="pt-BR"/>
        </w:rPr>
        <w:t xml:space="preserve">, </w:t>
      </w:r>
      <w:proofErr w:type="spellStart"/>
      <w:r w:rsidR="00603F61" w:rsidRPr="007A3605">
        <w:rPr>
          <w:lang w:val="pt-BR"/>
        </w:rPr>
        <w:t>stearic</w:t>
      </w:r>
      <w:proofErr w:type="spellEnd"/>
      <w:r w:rsidR="00603F61" w:rsidRPr="007A3605">
        <w:rPr>
          <w:lang w:val="pt-BR"/>
        </w:rPr>
        <w:t xml:space="preserve">, </w:t>
      </w:r>
      <w:proofErr w:type="spellStart"/>
      <w:r w:rsidR="00603F61" w:rsidRPr="007A3605">
        <w:rPr>
          <w:lang w:val="pt-BR"/>
        </w:rPr>
        <w:t>oleic</w:t>
      </w:r>
      <w:proofErr w:type="spellEnd"/>
      <w:r w:rsidR="00603F61" w:rsidRPr="007A3605">
        <w:rPr>
          <w:lang w:val="pt-BR"/>
        </w:rPr>
        <w:t xml:space="preserve"> </w:t>
      </w:r>
      <w:proofErr w:type="spellStart"/>
      <w:r w:rsidR="00603F61" w:rsidRPr="007A3605">
        <w:rPr>
          <w:lang w:val="pt-BR"/>
        </w:rPr>
        <w:t>and</w:t>
      </w:r>
      <w:proofErr w:type="spellEnd"/>
      <w:r w:rsidR="00603F61" w:rsidRPr="007A3605">
        <w:rPr>
          <w:lang w:val="pt-BR"/>
        </w:rPr>
        <w:t xml:space="preserve"> </w:t>
      </w:r>
      <w:proofErr w:type="spellStart"/>
      <w:r w:rsidR="00603F61" w:rsidRPr="007A3605">
        <w:rPr>
          <w:lang w:val="pt-BR"/>
        </w:rPr>
        <w:t>linoleic</w:t>
      </w:r>
      <w:proofErr w:type="spellEnd"/>
      <w:r w:rsidR="00603F61" w:rsidRPr="007A3605">
        <w:rPr>
          <w:lang w:val="pt-BR"/>
        </w:rPr>
        <w:t xml:space="preserve"> </w:t>
      </w:r>
      <w:proofErr w:type="spellStart"/>
      <w:r w:rsidR="00603F61" w:rsidRPr="007A3605">
        <w:rPr>
          <w:lang w:val="pt-BR"/>
        </w:rPr>
        <w:t>acids</w:t>
      </w:r>
      <w:proofErr w:type="spellEnd"/>
      <w:r w:rsidR="00603F61" w:rsidRPr="007A3605">
        <w:rPr>
          <w:lang w:val="pt-BR"/>
        </w:rPr>
        <w:t xml:space="preserve">) </w:t>
      </w:r>
      <w:proofErr w:type="spellStart"/>
      <w:r w:rsidR="00603F61" w:rsidRPr="007A3605">
        <w:rPr>
          <w:lang w:val="pt-BR"/>
        </w:rPr>
        <w:t>was</w:t>
      </w:r>
      <w:proofErr w:type="spellEnd"/>
      <w:r w:rsidR="00603F61" w:rsidRPr="007A3605">
        <w:rPr>
          <w:lang w:val="pt-BR"/>
        </w:rPr>
        <w:t xml:space="preserve"> </w:t>
      </w:r>
      <w:proofErr w:type="spellStart"/>
      <w:r w:rsidR="00603F61" w:rsidRPr="007A3605">
        <w:rPr>
          <w:lang w:val="pt-BR"/>
        </w:rPr>
        <w:t>able</w:t>
      </w:r>
      <w:proofErr w:type="spellEnd"/>
      <w:r w:rsidR="00603F61" w:rsidRPr="007A3605">
        <w:rPr>
          <w:lang w:val="pt-BR"/>
        </w:rPr>
        <w:t xml:space="preserve"> </w:t>
      </w:r>
      <w:proofErr w:type="spellStart"/>
      <w:r w:rsidR="00603F61" w:rsidRPr="007A3605">
        <w:rPr>
          <w:lang w:val="pt-BR"/>
        </w:rPr>
        <w:t>to</w:t>
      </w:r>
      <w:proofErr w:type="spellEnd"/>
      <w:r w:rsidR="00603F61" w:rsidRPr="007A3605">
        <w:rPr>
          <w:lang w:val="pt-BR"/>
        </w:rPr>
        <w:t xml:space="preserve"> </w:t>
      </w:r>
      <w:proofErr w:type="spellStart"/>
      <w:r w:rsidR="00603F61" w:rsidRPr="007A3605">
        <w:rPr>
          <w:lang w:val="pt-BR"/>
        </w:rPr>
        <w:t>inhibit</w:t>
      </w:r>
      <w:proofErr w:type="spellEnd"/>
      <w:r w:rsidR="00603F61" w:rsidRPr="007A3605">
        <w:rPr>
          <w:lang w:val="pt-BR"/>
        </w:rPr>
        <w:t xml:space="preserve"> AI-2 </w:t>
      </w:r>
      <w:proofErr w:type="spellStart"/>
      <w:r w:rsidR="00603F61" w:rsidRPr="007A3605">
        <w:rPr>
          <w:lang w:val="pt-BR"/>
        </w:rPr>
        <w:t>activity</w:t>
      </w:r>
      <w:proofErr w:type="spellEnd"/>
      <w:r w:rsidR="00603F61" w:rsidRPr="007A3605">
        <w:rPr>
          <w:lang w:val="pt-BR"/>
        </w:rPr>
        <w:t xml:space="preserve">, </w:t>
      </w:r>
      <w:proofErr w:type="spellStart"/>
      <w:r w:rsidR="00603F61" w:rsidRPr="007A3605">
        <w:rPr>
          <w:lang w:val="pt-BR"/>
        </w:rPr>
        <w:t>disturbing</w:t>
      </w:r>
      <w:proofErr w:type="spellEnd"/>
      <w:r w:rsidR="00603F61" w:rsidRPr="007A3605">
        <w:rPr>
          <w:lang w:val="pt-BR"/>
        </w:rPr>
        <w:t xml:space="preserve"> </w:t>
      </w:r>
      <w:proofErr w:type="spellStart"/>
      <w:r w:rsidR="00603F61" w:rsidRPr="007A3605">
        <w:rPr>
          <w:lang w:val="pt-BR"/>
        </w:rPr>
        <w:t>the</w:t>
      </w:r>
      <w:proofErr w:type="spellEnd"/>
      <w:r w:rsidR="00603F61" w:rsidRPr="007A3605">
        <w:rPr>
          <w:lang w:val="pt-BR"/>
        </w:rPr>
        <w:t xml:space="preserve"> microbial </w:t>
      </w:r>
      <w:proofErr w:type="spellStart"/>
      <w:r w:rsidR="00603F61" w:rsidRPr="007A3605">
        <w:rPr>
          <w:lang w:val="pt-BR"/>
        </w:rPr>
        <w:t>quorum</w:t>
      </w:r>
      <w:proofErr w:type="spellEnd"/>
      <w:r w:rsidR="00603F61" w:rsidRPr="007A3605">
        <w:rPr>
          <w:lang w:val="pt-BR"/>
        </w:rPr>
        <w:t xml:space="preserve"> </w:t>
      </w:r>
      <w:proofErr w:type="spellStart"/>
      <w:r w:rsidR="00603F61" w:rsidRPr="007A3605">
        <w:rPr>
          <w:lang w:val="pt-BR"/>
        </w:rPr>
        <w:t>sensing</w:t>
      </w:r>
      <w:proofErr w:type="spellEnd"/>
      <w:r w:rsidR="00603F61" w:rsidRPr="007A3605">
        <w:rPr>
          <w:lang w:val="pt-BR"/>
        </w:rPr>
        <w:t xml:space="preserve">, </w:t>
      </w:r>
      <w:proofErr w:type="spellStart"/>
      <w:r w:rsidR="00603F61" w:rsidRPr="007A3605">
        <w:rPr>
          <w:lang w:val="pt-BR"/>
        </w:rPr>
        <w:t>thus</w:t>
      </w:r>
      <w:proofErr w:type="spellEnd"/>
      <w:r w:rsidR="00603F61" w:rsidRPr="007A3605">
        <w:rPr>
          <w:lang w:val="pt-BR"/>
        </w:rPr>
        <w:t xml:space="preserve"> </w:t>
      </w:r>
      <w:proofErr w:type="spellStart"/>
      <w:r w:rsidR="00603F61" w:rsidRPr="007A3605">
        <w:rPr>
          <w:lang w:val="pt-BR"/>
        </w:rPr>
        <w:t>indicating</w:t>
      </w:r>
      <w:proofErr w:type="spellEnd"/>
      <w:r w:rsidR="00603F61" w:rsidRPr="007A3605">
        <w:rPr>
          <w:lang w:val="pt-BR"/>
        </w:rPr>
        <w:t xml:space="preserve"> </w:t>
      </w:r>
      <w:proofErr w:type="spellStart"/>
      <w:r w:rsidR="00603F61" w:rsidRPr="007A3605">
        <w:rPr>
          <w:lang w:val="pt-BR"/>
        </w:rPr>
        <w:t>that</w:t>
      </w:r>
      <w:proofErr w:type="spellEnd"/>
      <w:r w:rsidR="00603F61" w:rsidRPr="007A3605">
        <w:rPr>
          <w:lang w:val="pt-BR"/>
        </w:rPr>
        <w:t xml:space="preserve"> </w:t>
      </w:r>
      <w:proofErr w:type="spellStart"/>
      <w:r w:rsidR="00603F61" w:rsidRPr="007A3605">
        <w:rPr>
          <w:lang w:val="pt-BR"/>
        </w:rPr>
        <w:t>these</w:t>
      </w:r>
      <w:proofErr w:type="spellEnd"/>
      <w:r w:rsidR="00603F61" w:rsidRPr="007A3605">
        <w:rPr>
          <w:lang w:val="pt-BR"/>
        </w:rPr>
        <w:t xml:space="preserve"> surface-</w:t>
      </w:r>
      <w:proofErr w:type="spellStart"/>
      <w:r w:rsidR="00603F61" w:rsidRPr="007A3605">
        <w:rPr>
          <w:lang w:val="pt-BR"/>
        </w:rPr>
        <w:t>active</w:t>
      </w:r>
      <w:proofErr w:type="spellEnd"/>
      <w:r w:rsidR="00603F61" w:rsidRPr="007A3605">
        <w:rPr>
          <w:lang w:val="pt-BR"/>
        </w:rPr>
        <w:t xml:space="preserve"> </w:t>
      </w:r>
      <w:proofErr w:type="spellStart"/>
      <w:r w:rsidR="00603F61" w:rsidRPr="007A3605">
        <w:rPr>
          <w:lang w:val="pt-BR"/>
        </w:rPr>
        <w:t>molecules</w:t>
      </w:r>
      <w:proofErr w:type="spellEnd"/>
      <w:r w:rsidR="00603F61" w:rsidRPr="007A3605">
        <w:rPr>
          <w:lang w:val="pt-BR"/>
        </w:rPr>
        <w:t xml:space="preserve"> </w:t>
      </w:r>
      <w:proofErr w:type="spellStart"/>
      <w:r w:rsidR="00603F61" w:rsidRPr="007A3605">
        <w:rPr>
          <w:lang w:val="pt-BR"/>
        </w:rPr>
        <w:t>inhibit</w:t>
      </w:r>
      <w:proofErr w:type="spellEnd"/>
      <w:r w:rsidR="00603F61" w:rsidRPr="007A3605">
        <w:rPr>
          <w:lang w:val="pt-BR"/>
        </w:rPr>
        <w:t xml:space="preserve"> </w:t>
      </w:r>
      <w:proofErr w:type="spellStart"/>
      <w:r w:rsidR="00603F61" w:rsidRPr="007A3605">
        <w:rPr>
          <w:lang w:val="pt-BR"/>
        </w:rPr>
        <w:t>biofilm</w:t>
      </w:r>
      <w:proofErr w:type="spellEnd"/>
      <w:r w:rsidR="00603F61" w:rsidRPr="007A3605">
        <w:rPr>
          <w:lang w:val="pt-BR"/>
        </w:rPr>
        <w:t xml:space="preserve"> </w:t>
      </w:r>
      <w:proofErr w:type="spellStart"/>
      <w:r w:rsidR="00603F61" w:rsidRPr="007A3605">
        <w:rPr>
          <w:lang w:val="pt-BR"/>
        </w:rPr>
        <w:t>formation</w:t>
      </w:r>
      <w:proofErr w:type="spellEnd"/>
      <w:r w:rsidR="00603F61" w:rsidRPr="007A3605">
        <w:rPr>
          <w:lang w:val="pt-BR"/>
        </w:rPr>
        <w:t xml:space="preserve"> </w:t>
      </w:r>
      <w:proofErr w:type="spellStart"/>
      <w:r w:rsidR="00603F61" w:rsidRPr="007A3605">
        <w:rPr>
          <w:lang w:val="pt-BR"/>
        </w:rPr>
        <w:t>and</w:t>
      </w:r>
      <w:proofErr w:type="spellEnd"/>
      <w:r w:rsidR="00603F61" w:rsidRPr="007A3605">
        <w:rPr>
          <w:lang w:val="pt-BR"/>
        </w:rPr>
        <w:t xml:space="preserve">, in </w:t>
      </w:r>
      <w:proofErr w:type="spellStart"/>
      <w:r w:rsidR="00603F61" w:rsidRPr="007A3605">
        <w:rPr>
          <w:lang w:val="pt-BR"/>
        </w:rPr>
        <w:t>turn</w:t>
      </w:r>
      <w:proofErr w:type="spellEnd"/>
      <w:r w:rsidR="00603F61" w:rsidRPr="007A3605">
        <w:rPr>
          <w:lang w:val="pt-BR"/>
        </w:rPr>
        <w:t xml:space="preserve">, </w:t>
      </w:r>
      <w:proofErr w:type="spellStart"/>
      <w:r w:rsidR="00603F61" w:rsidRPr="007A3605">
        <w:rPr>
          <w:lang w:val="pt-BR"/>
        </w:rPr>
        <w:t>inhibit</w:t>
      </w:r>
      <w:proofErr w:type="spellEnd"/>
      <w:r w:rsidR="00603F61" w:rsidRPr="007A3605">
        <w:rPr>
          <w:lang w:val="pt-BR"/>
        </w:rPr>
        <w:t xml:space="preserve"> </w:t>
      </w:r>
      <w:proofErr w:type="spellStart"/>
      <w:r w:rsidR="00603F61" w:rsidRPr="007A3605">
        <w:rPr>
          <w:lang w:val="pt-BR"/>
        </w:rPr>
        <w:t>the</w:t>
      </w:r>
      <w:proofErr w:type="spellEnd"/>
      <w:r w:rsidR="00603F61" w:rsidRPr="007A3605">
        <w:rPr>
          <w:lang w:val="pt-BR"/>
        </w:rPr>
        <w:t xml:space="preserve"> larval establishment </w:t>
      </w:r>
      <w:r w:rsidR="00603F61">
        <w:fldChar w:fldCharType="begin" w:fldLock="1"/>
      </w:r>
      <w:r w:rsidR="00FF5B90" w:rsidRPr="007A3605">
        <w:rPr>
          <w:lang w:val="pt-BR"/>
        </w:rPr>
        <w:instrText>ADDIN CSL_CITATION {"citationItems":[{"id":"ITEM-1","itemData":{"DOI":"10.1039/C0NP00034E","ISBN":"0265-0568","ISSN":"0265-0568","PMID":"21082120","abstract":"Covering: 2004 to June 2010 In this review, antifouling metabolites of marine bacteria and fungi, seaweeds, aquatic plants, and marine invertebrates are described. Also included are marine natural products that induce larval settlement, as well as those inhibiting bacterial quorum sensing and larval settlement.","author":[{"dropping-particle":"","family":"Fusetani","given":"Nobuhiro","non-dropping-particle":"","parse-names":false,"suffix":""}],"container-title":"Nat. Prod. Rep.","id":"ITEM-1","issue":"2","issued":{"date-parts":[["2011"]]},"page":"400-410","title":"Antifouling marine natural products","type":"article-journal","volume":"28"},"uris":["http://www.mendeley.com/documents/?uuid=8f13dc1a-3d60-40f7-803c-7f339128dc96"]}],"mendeley":{"formattedCitation":"(Fusetani, 2011)","manualFormatting":"(Fusetani, 2011;","plainTextFormattedCitation":"(Fusetani, 2011)","previouslyFormattedCitation":"(Fusetani, 2011)"},"properties":{"noteIndex":0},"schema":"https://github.com/citation-style-language/schema/raw/master/csl-citation.json"}</w:instrText>
      </w:r>
      <w:r w:rsidR="00603F61">
        <w:fldChar w:fldCharType="separate"/>
      </w:r>
      <w:r w:rsidR="00603F61" w:rsidRPr="007A3605">
        <w:rPr>
          <w:noProof/>
          <w:lang w:val="pt-BR"/>
        </w:rPr>
        <w:t>(Fusetani, 2011;</w:t>
      </w:r>
      <w:r w:rsidR="00603F61">
        <w:fldChar w:fldCharType="end"/>
      </w:r>
      <w:r w:rsidR="00603F61" w:rsidRPr="007A3605">
        <w:rPr>
          <w:lang w:val="pt-BR"/>
        </w:rPr>
        <w:t xml:space="preserve"> </w:t>
      </w:r>
      <w:r w:rsidRPr="007A3605">
        <w:rPr>
          <w:lang w:val="pt-BR"/>
        </w:rPr>
        <w:t xml:space="preserve"> </w:t>
      </w:r>
      <w:r>
        <w:fldChar w:fldCharType="begin" w:fldLock="1"/>
      </w:r>
      <w:r w:rsidR="0081276A" w:rsidRPr="007A3605">
        <w:rPr>
          <w:lang w:val="pt-BR"/>
        </w:rPr>
        <w:instrText xml:space="preserve">ADDIN CSL_CITATION {"citationItems":[{"id":"ITEM-1","itemData":{"DOI":"10.1080/08927019209386210","ISBN":"0091-6773","ISSN":"10292454","PMID":"2835664","abstract":"The antifouling factor against the blue mussel Mytilus edulis found in the organic extract of the marine sponge Phyllospongia papyracea collected in Kagoshima was purified by solvent partition, silica gel column chromatography and HPLC on Toyopearl HW-40 and on ODS. The active substance was analyzed by gas chromatography after methylesterification and identified as a mixture of several free fatty acids containing C16:0 (59.9%), C15:1 (11.8%) and C18:1 (13.8%) as the major components. Among the various authentic free fatty </w:instrText>
      </w:r>
      <w:r w:rsidR="0081276A" w:rsidRPr="007F51D7">
        <w:instrText>acids tested, C10:0, C14:1, C16:0, C16:1, C18:2, C20:4 and fatty acids from porcine liver (FAPL) showed antifouling activity against M. edulis . The stronger activity of fatty acid mixtures compared with the same amount of each used singly suggested a synergistic effect of fatty acids on antifouling activity. FAPL inhibited larval settlement in the barnacle Balanus amphitrite without killing the larvae.","author":[{"dropping-particle":"","family":"Goto","given":"Rina","non-dropping-particle":"","parse-names":false,"suffix":""},{"dropping-particle":"","family":"Kado","given":"Ryusuke","non-dropping-particle":"","parse-names":false,"suffix":""},{"dropping-particle":"","family":"Muramoto","given":"Koji","non-dropping-particle":"","parse-names":false,"suffix</w:instrText>
      </w:r>
      <w:r w:rsidR="0081276A">
        <w:instrText>":""},{"dropping-particle":"","family":"Kamiya","given":"Hisao","non-dropping-particle":"","parse-names":false,"suffix":""}],"container-title":"Biofouling","id":"ITEM-1","issue":"1","issued":{"date-parts":[["1992"]]},"page":"61-68","title":"Fatty acids as antifoulants in a marine sponge","type":"article-journal","volume":"6"},"uris":["http://www.mendeley.com/documents/?uuid=5e8525cc-432c-4ccc-9a1b-ce742a0257c3"]}],"mendeley":{"formattedCitation":"(Goto et al., 1992)","manualFormatting":"Goto et al., 1992;","plainTextFormattedCitation":"(Goto et al., 1992)","previouslyFormattedCitation":"(Goto et al., 1992)"},"properties":{"noteIndex":0},"schema":"https://github.com/citation-style-language/schema/raw/master/csl-citation.json"}</w:instrText>
      </w:r>
      <w:r>
        <w:fldChar w:fldCharType="separate"/>
      </w:r>
      <w:r w:rsidRPr="00EB6FA7">
        <w:rPr>
          <w:noProof/>
        </w:rPr>
        <w:t>Goto et al., 1992</w:t>
      </w:r>
      <w:r>
        <w:rPr>
          <w:noProof/>
        </w:rPr>
        <w:t>;</w:t>
      </w:r>
      <w:r>
        <w:fldChar w:fldCharType="end"/>
      </w:r>
      <w:r>
        <w:t xml:space="preserve"> </w:t>
      </w:r>
      <w:proofErr w:type="spellStart"/>
      <w:r w:rsidR="00603F61" w:rsidRPr="00603F61">
        <w:t>Soni</w:t>
      </w:r>
      <w:proofErr w:type="spellEnd"/>
      <w:r w:rsidR="00603F61" w:rsidRPr="00603F61">
        <w:t xml:space="preserve"> et al 2008).</w:t>
      </w:r>
    </w:p>
    <w:p w:rsidR="001F26CB" w:rsidRDefault="00BD656F" w:rsidP="002F44B3">
      <w:pPr>
        <w:pStyle w:val="CETBodytext"/>
      </w:pPr>
      <w:r w:rsidRPr="00BD656F">
        <w:t xml:space="preserve">Starting from the analysis that biofouling is formed on surfaces and microorganisms are the pioneers in these formations contributing to the emergence of </w:t>
      </w:r>
      <w:r w:rsidR="002F4380" w:rsidRPr="00BD656F">
        <w:t>another</w:t>
      </w:r>
      <w:r w:rsidRPr="00BD656F">
        <w:t xml:space="preserve"> biofouling. When using surface modifying elements, it is assumed that there is a change in the chain of adhesion events and consequent formation of biofouling</w:t>
      </w:r>
      <w:r w:rsidR="004E6563">
        <w:t xml:space="preserve"> </w:t>
      </w:r>
      <w:r w:rsidR="004E6563">
        <w:fldChar w:fldCharType="begin" w:fldLock="1"/>
      </w:r>
      <w:r w:rsidR="009B59DB">
        <w:instrText>ADDIN CSL_CITATION {"citationItems":[{"id":"ITEM-1","itemData":{"DOI":"10.1128/JB.00743-12","ISBN":"0021-9193","ISSN":"00219193","PMID":"22843840","abstract":"The skin represents an important barrier for pathogens and is known to produce fatty acids that are toxic toward gram-positive bacteria. A screen of fatty acids as growth inhibitors of Staphylococcus aureus revealed structure-specific antibacterial activity. Fatty acids like oleate (18:1Δ9) were nontoxic, whereas palmitoleate (16:1Δ9) was a potent growth inhibitor. Cells treated with 16:1Δ9 exhibited rapid membrane depolarization, the disruption of all major branches of macromolecular synthesis, and the release of solutes and low-molecular-weight proteins into the medium. Other cytotoxic lipids, such as glycerol ethers, sphingosine, and acyl-amines blocked growth by the same mechanisms. Nontoxic 18:1Δ9 was used for phospholipid synthesis, whereas toxic 16:1Δ9 was not and required elongation to 18:1Δ11 prior to incorporation. However, blocking fatty acid metabolism using inhibitors to prevent acyl-acyl carrier protein formation or glycerol-phosphate acyltransferase activity did not increase the toxicity of 18:1Δ9, indicating that inefficient metabolism did not play a determinant role in fatty acid toxicity. Nontoxic 18:1Δ9 was as toxic as 16:1Δ9 in a strain lacking wall teichoic acids and led to growth arrest and enhanced release of intracellular contents. Thus, wall teichoic acids contribute to the structure-specific antimicrobial effects of unsaturated fatty acids. The ability of poorly metabolized 16:1 isomers to penetrate the cell wall defenses is a weakness that has been exploited by the innate immune system to combat S. aureus.","author":[{"dropping-particle":"","family":"Parsons","given":"Joshua B.","non-dropping-particle":"","parse-names":false,"suffix":""},{"dropping-particle":"","family":"Yao","given":"Jiangwei","non-dropping-particle":"","parse-names":false,"suffix":""},{"dropping-particle":"","family":"Frank","given":"Matthew W.","non-dropping-particle":"","parse-names":false,"suffix":""},{"dropping-particle":"","family":"Jackson","given":"Pamela","non-dropping-particle":"","parse-names":false,"suffix":""},{"dropping-particle":"","family":"Rock","given":"Charles O.","non-dropping-particle":"","parse-names":false,"suffix":""}],"container-title":"Journal of Bacteriology","id":"ITEM-1","issue":"19","issued":{"date-parts":[["2012"]]},"page":"5294-5304","title":"Membrane disruption by antimicrobial fatty acids releases low-molecular-weight proteins from staphylococcus aureus","type":"article-journal","volume":"194"},"uris":["http://www.mendeley.com/documents/?uuid=2faaa1c9-c581-4525-9d57-8bb24be63309"]}],"mendeley":{"formattedCitation":"(Parsons et al., 2012)","manualFormatting":"(Parsons et al., 2012;","plainTextFormattedCitation":"(Parsons et al., 2012)","previouslyFormattedCitation":"(Parsons et al., 2012)"},"properties":{"noteIndex":0},"schema":"https://github.com/citation-style-language/schema/raw/master/csl-citation.json"}</w:instrText>
      </w:r>
      <w:r w:rsidR="004E6563">
        <w:fldChar w:fldCharType="separate"/>
      </w:r>
      <w:r w:rsidR="004E6563" w:rsidRPr="004E6563">
        <w:rPr>
          <w:noProof/>
        </w:rPr>
        <w:t>(Parsons et al., 2012</w:t>
      </w:r>
      <w:r w:rsidR="009B59DB">
        <w:rPr>
          <w:noProof/>
        </w:rPr>
        <w:t>;</w:t>
      </w:r>
      <w:r w:rsidR="004E6563">
        <w:fldChar w:fldCharType="end"/>
      </w:r>
      <w:r w:rsidR="009B59DB">
        <w:t xml:space="preserve"> </w:t>
      </w:r>
      <w:r w:rsidR="009B59DB">
        <w:fldChar w:fldCharType="begin" w:fldLock="1"/>
      </w:r>
      <w:r w:rsidR="009B59DB">
        <w:instrText>ADDIN CSL_CITATION {"citationItems":[{"id":"ITEM-1","itemData":{"DOI":"10.1016/j.apcatb.2010.10.021","ISSN":"09263373","abstract":"The esterification of free fatty acids (FFA) can be used to produce biodiesel from high FFA oils. In this work, a new eco-friendly catalyst for the esterification of oleic acid with methanol has been prepared from a waste material, Amazon flint kaolin, that was thermally treated (at 850 and 950°C) and activated with sulfuric acid solutions (1M and 4M). The activated metakaolin samples were characterized by X-ray diffraction, scanning electron microscopy, N2 adsorption–desorption and adsorption studies of pyridine using TG/DTG and FTIR analysis. The leached metakaolin treated at 950°C and activated with 4M sulfuric acid solution showed the highest surface area (406m2/g), the highest number of acid sites (237.7μmol/g) and offered the maximum esterification activity (98.9%) at 160°C, an acid:methanol molar ratio of 1:60 and 4h reaction time. The influences of reaction parameters such as the molar ratio of the reactants, alcohol chain length, temperature and time have also been investigated. Based on the catalytic results, Amazon flint kaolin is found to be a promising raw material for the production of new solid acid catalysts for the esterification of FFAs.","author":[{"dropping-particle":"","family":"Nascimento","given":"Luís Adriano S.","non-dropping-particle":"do","parse-names":false,"suffix":""},{"dropping-particle":"","family":"Tito","given":"Laura M.Z.","non-dropping-particle":"","parse-names":false,"suffix":""},{"dropping-particle":"","family":"Angélica","given":"Rômulo S.","non-dropping-particle":"","parse-names":false,"suffix":""},{"dropping-particle":"","family":"Costa","given":"Carlos E.F.","non-dropping-particle":"da","parse-names":false,"suffix":""},{"dropping-particle":"","family":"Zamian","given":"José R.","non-dropping-particle":"","parse-names":false,"suffix":""},{"dropping-particle":"","family":"Rocha Filho","given":"Geraldo N.","non-dropping-particle":"da","parse-names":false,"suffix":""}],"container-title":"Applied Catalysis B: Environmental","id":"ITEM-1","issue":"3","issued":{"date-parts":[["2011"]]},"page":"495-503","title":"Esterification of oleic acid over solid acid catalysts prepared from Amazon flint kaolin","type":"article-journal","volume":"101"},"uris":["http://www.mendeley.com/documents/?uuid=d3b7d2a1-342d-397c-9cad-fc5bf35ab7b5"]}],"mendeley":{"formattedCitation":"(do Nascimento et al., 2011)","manualFormatting":"Nascimento et al., 2011)","plainTextFormattedCitation":"(do Nascimento et al., 2011)"},"properties":{"noteIndex":0},"schema":"https://github.com/citation-style-language/schema/raw/master/csl-citation.json"}</w:instrText>
      </w:r>
      <w:r w:rsidR="009B59DB">
        <w:fldChar w:fldCharType="separate"/>
      </w:r>
      <w:r w:rsidR="009B59DB" w:rsidRPr="009B59DB">
        <w:rPr>
          <w:noProof/>
        </w:rPr>
        <w:t>Nascimento et al., 2011)</w:t>
      </w:r>
      <w:r w:rsidR="009B59DB">
        <w:fldChar w:fldCharType="end"/>
      </w:r>
      <w:r w:rsidR="009B59DB">
        <w:t>.</w:t>
      </w:r>
    </w:p>
    <w:p w:rsidR="002F44B3" w:rsidRPr="005A1CBA" w:rsidRDefault="005A1CBA" w:rsidP="002F44B3">
      <w:pPr>
        <w:pStyle w:val="CETBodytext"/>
      </w:pPr>
      <w:r w:rsidRPr="005A1CBA">
        <w:t xml:space="preserve">Therefore, the present work had the objective of formulating and evaluating coatings containing non-toxic natural surfactants of antimicrobial action already evaluated in recent studies by </w:t>
      </w:r>
      <w:r w:rsidR="00892565">
        <w:fldChar w:fldCharType="begin" w:fldLock="1"/>
      </w:r>
      <w:r w:rsidR="00A5159E">
        <w:instrText>ADDIN CSL_CITATION {"citationItems":[{"id":"ITEM-1","itemData":{"DOI":"10.3303/CET1864110","ISBN":"9788895608563","ISSN":"22839216","abstract":"Copyright © 2018, AIDIC Servizi S.r.l. Biofilms can be characterized as a microorganisms community attached to a surface and enveloped by an extra polymeric substances complex array in a moist environment. It is known that the growth and formation way of the biofilm structure induces resistance to several microbial agents, making it impossible to disintegrate and eliminate these structures. These biofilms can settle in the vessels surface, pipes, thermoelectric cooling systems and so forth causing serious economic problems in the most diverse strategic sectors of a country such as nautical, industrial, energy. Search for substances capable of disturbing this formation is desired, since the formation of the biofilm is the crucial stage for the emergence of new organisms that will develop until the climax of the ecological succession with the arrival of macrofouling. These substances when isolated can be ideal inputs for the development of antifouling products and be incorporated into paints and coatings. Thus, the present study aim was synthesize antibacterial substances through chemical modification of natural substances, obtained from vegetable oils, specifically soybean oil (Glycine max (L.)). Selected substances and their variants for the synthesis were chosen based on/supported by studies that demonstrated the antifouling potential of some types of fatty acids and the efficacy of monoglycerides in combating the formation of biofilms. The following substances were synthesized: 9,10-dihydroxy octadecanoic acid; 9,10-dihydroxy octadecanoate; 9-octadecenoate 2,3-dihydroxypropanoyl; 2,3-dihydroxypropanoyl dodecanoate and 9,10-dihydroxy octadecanoate 2,3-dihydroxypropanoyl. For the synthesis of the substances, neutralization reactions using a catalyst base as well as esterification reactions with a polyalcohol (glycerol) and/or hydroxylation reactions by epoxidation were performed. To assess the antimicrobial activity, a rapid antibiogram assay was developed to observe the bacterium Pseudomonas aeruginosa UCP0992 growth obtained from the Cultures Collection of Catholic University of Pernambuco - UNICAP, Brazil. The microorganism Pseudomonas aeruginosa used in this study is reported as a pioneer in the formation of resistant biofilms. Pseudomonas aeruginosa UCP0992 was seeded in Petri dishes containing medium LB then, antibiogram disks (Ø = 6 mm) each containing the synthesized substances to be tested were transferred to the plates and arranged in equidist…","author":[{"dropping-particle":"","family":"Silva","given":"M.D.G.C.","non-dropping-particle":"","parse-names":false,"suffix":""},{"dropping-particle":"","family":"Almeida","given":"D.G.","non-dropping-particle":"","parse-names":false,"suffix":""},{"dropping-particle":"","family":"Soares da Silva","given":"R.D.C.F.","non-dropping-particle":"","parse-names":false,"suffix":""},{"dropping-particle":"","family":"Meira","given":"H.M.","non-dropping-particle":"","parse-names":false,"suffix":""},{"dropping-particle":"","family":"Almeida","given":"F.G.","non-dropping-particle":"","parse-names":false,"suffix":""},{"dropping-particle":"","family":"Fernandes","given":"M.L.B.","non-dropping-particle":"","parse-names":false,"suffix":""},{"dropping-particle":"","family":"Silva","given":"A.K.P.","non-dropping-particle":"","parse-names":false,"suffix":""},{"dropping-particle":"","family":"Santos","given":"V.A.","non-dropping-particle":"","parse-names":false,"suffix":""},{"dropping-particle":"","family":"Sarubbo","given":"L.A.","non-dropping-particle":"","parse-names":false,"suffix":""}],"container-title":"Chemical Engineering Transactions","id":"ITEM-1","issued":{"date-parts":[["2018"]]},"title":"Chemically modified natural substances screening for biofilms inhibition and biofouling control","type":"article-journal","volume":"64"},"uris":["http://www.mendeley.com/documents/?uuid=fa4d40d0-d7bf-3332-97c5-ef9daffeaf9a"]}],"mendeley":{"formattedCitation":"(Silva et al., 2018)","manualFormatting":"Silva et al. (2018)","plainTextFormattedCitation":"(Silva et al., 2018)","previouslyFormattedCitation":"(Silva et al., 2018)"},"properties":{"noteIndex":0},"schema":"https://github.com/citation-style-language/schema/raw/master/csl-citation.json"}</w:instrText>
      </w:r>
      <w:r w:rsidR="00892565">
        <w:fldChar w:fldCharType="separate"/>
      </w:r>
      <w:r w:rsidR="00892565" w:rsidRPr="00892565">
        <w:rPr>
          <w:noProof/>
        </w:rPr>
        <w:t>Silva et al.</w:t>
      </w:r>
      <w:r w:rsidR="00892565">
        <w:rPr>
          <w:noProof/>
        </w:rPr>
        <w:t xml:space="preserve"> (</w:t>
      </w:r>
      <w:r w:rsidR="00892565" w:rsidRPr="00892565">
        <w:rPr>
          <w:noProof/>
        </w:rPr>
        <w:t>2018)</w:t>
      </w:r>
      <w:r w:rsidR="00892565">
        <w:fldChar w:fldCharType="end"/>
      </w:r>
      <w:r w:rsidR="00892565">
        <w:t xml:space="preserve"> </w:t>
      </w:r>
      <w:r w:rsidRPr="005A1CBA">
        <w:t>as antifouling agents, with potential for application as a coating on submerged surfaces in sea water with the presence of fouling organisms.</w:t>
      </w:r>
    </w:p>
    <w:p w:rsidR="00600535" w:rsidRPr="00AD077F" w:rsidRDefault="00091AE8" w:rsidP="00822709">
      <w:pPr>
        <w:pStyle w:val="CETHeading1"/>
        <w:rPr>
          <w:lang w:val="en-GB"/>
        </w:rPr>
      </w:pPr>
      <w:r w:rsidRPr="00AD077F">
        <w:rPr>
          <w:lang w:val="en-GB"/>
        </w:rPr>
        <w:t>Material and methods</w:t>
      </w:r>
    </w:p>
    <w:p w:rsidR="00600535" w:rsidRPr="00B57B36" w:rsidRDefault="00193BFD" w:rsidP="000B210D">
      <w:pPr>
        <w:pStyle w:val="CETheadingx"/>
      </w:pPr>
      <w:r w:rsidRPr="00193BFD">
        <w:t>Obtaining the natural surfactants from the residual soybean oil (</w:t>
      </w:r>
      <w:r w:rsidRPr="00705438">
        <w:rPr>
          <w:i/>
        </w:rPr>
        <w:t>Glycine max</w:t>
      </w:r>
      <w:r w:rsidRPr="00193BFD">
        <w:t xml:space="preserve"> (L.))</w:t>
      </w:r>
    </w:p>
    <w:p w:rsidR="00600535" w:rsidRPr="00844C7D" w:rsidRDefault="003E5DE3" w:rsidP="00600535">
      <w:pPr>
        <w:pStyle w:val="CETBodytext"/>
      </w:pPr>
      <w:r w:rsidRPr="003E5DE3">
        <w:t>All steps for the synthesis of surfactants using the fatty acid obtained from soybean oil (Glycine max (L.)) as the main molecule were performed according to the methodology of Silva et al. 2018.</w:t>
      </w:r>
      <w:r w:rsidR="00867D3B" w:rsidRPr="003E5DE3">
        <w:t xml:space="preserve"> </w:t>
      </w:r>
      <w:r w:rsidR="00844C7D" w:rsidRPr="00844C7D">
        <w:t xml:space="preserve">The following substances were produced: 9,10-dihydroxy octadecanoic acid (hydroxylated oleic acid), sodium 9,10-dihydroxy </w:t>
      </w:r>
      <w:proofErr w:type="spellStart"/>
      <w:r w:rsidR="00844C7D" w:rsidRPr="00844C7D">
        <w:t>octadecanoate</w:t>
      </w:r>
      <w:proofErr w:type="spellEnd"/>
      <w:r w:rsidR="00844C7D" w:rsidRPr="00844C7D">
        <w:t xml:space="preserve"> (sodium salt of hydroxylated oleic acid), 2,3-dihydroxy- (glyceryl oleate), 2,3-dihydroxypropanoyl </w:t>
      </w:r>
      <w:proofErr w:type="spellStart"/>
      <w:r w:rsidR="00844C7D" w:rsidRPr="00844C7D">
        <w:t>dodecanoate</w:t>
      </w:r>
      <w:proofErr w:type="spellEnd"/>
      <w:r w:rsidR="00844C7D" w:rsidRPr="00844C7D">
        <w:t xml:space="preserve"> (glyceryl laurate) and 2,3-dihydroxypropanoyl 9,10-dihydroxy </w:t>
      </w:r>
      <w:proofErr w:type="spellStart"/>
      <w:r w:rsidR="00844C7D" w:rsidRPr="00844C7D">
        <w:t>octadecanoate</w:t>
      </w:r>
      <w:proofErr w:type="spellEnd"/>
      <w:r w:rsidR="00844C7D" w:rsidRPr="00844C7D">
        <w:t xml:space="preserve"> (hydroxylated glyceryl oleate), by the chemical modification of soybean oil (</w:t>
      </w:r>
      <w:r w:rsidR="00844C7D" w:rsidRPr="004220FA">
        <w:rPr>
          <w:i/>
        </w:rPr>
        <w:t>Glycine max</w:t>
      </w:r>
      <w:r w:rsidR="00844C7D" w:rsidRPr="00844C7D">
        <w:t xml:space="preserve"> (L.)) by neutralization reactions, esterification of glycerol and hydroxylation reactions by epoxidation, using suitable catalyst. The rhamnolipid was obtained from the bacterium </w:t>
      </w:r>
      <w:r w:rsidR="00844C7D" w:rsidRPr="00A321BE">
        <w:rPr>
          <w:i/>
        </w:rPr>
        <w:t xml:space="preserve">Pseudomonas </w:t>
      </w:r>
      <w:proofErr w:type="spellStart"/>
      <w:r w:rsidR="00844C7D" w:rsidRPr="00A321BE">
        <w:rPr>
          <w:i/>
        </w:rPr>
        <w:t>cepacia</w:t>
      </w:r>
      <w:proofErr w:type="spellEnd"/>
      <w:r w:rsidR="00844C7D" w:rsidRPr="00844C7D">
        <w:t xml:space="preserve"> </w:t>
      </w:r>
      <w:r w:rsidR="00A5159E">
        <w:fldChar w:fldCharType="begin" w:fldLock="1"/>
      </w:r>
      <w:r w:rsidR="00A5159E">
        <w:instrText>ADDIN CSL_CITATION {"citationItems":[{"id":"ITEM-1","itemData":{"DOI":"10.1016/J.BCAB.2017.09.004","ISSN":"18788181","author":[{"dropping-particle":"","family":"Soares da Silva","given":"Rita de Cássia F","non-dropping-particle":"","parse-names":false,"suffix":""},{"dropping-particle":"","family":"Almeida","given":"Darne G","non-dropping-particle":"","parse-names":false,"suffix":""},{"dropping-particle":"","family":"Meira","given":"Hugo M","non-dropping-particle":"","parse-names":false,"suffix":""},{"dropping-particle":"","family":"Silva","given":"Elias J","non-dropping-particle":"","parse-names":false,"suffix":""},{"dropping-particle":"","family":"Farias","given":"B B","non-dropping-particle":"","parse-names":false,"suffix":""},{"dropping-particle":"","family":"Rufino","given":"Raquel D","non-dropping-particle":"","parse-names":false,"suffix":""},{"dropping-particle":"","family":"Luna","given":"Juliana M","non-dropping-particle":"","parse-names":false,"suffix":""},{"dropping-particle":"","family":"Sarubbo","given":"Leonie A","non-dropping-particle":"","parse-names":false,"suffix":""}],"container-title":"Biocatalysis and Agricultural Biotechnology","id":"ITEM-1","issued":{"date-parts":[["2017"]]},"publisher":"Elsevier Ltd","title":"Production and characterization of a new biosurfactant from Pseudomonas cepacia grown in low-cost fermentative medium and its application in the oil industry","type":"article-journal"},"uris":["http://www.mendeley.com/documents/?uuid=9c734f59-4bd9-4572-ab3c-75faf72d123c"]}],"mendeley":{"formattedCitation":"(Soares da Silva et al., 2017)","plainTextFormattedCitation":"(Soares da Silva et al., 2017)","previouslyFormattedCitation":"(Soares da Silva et al., 2017)"},"properties":{"noteIndex":0},"schema":"https://github.com/citation-style-language/schema/raw/master/csl-citation.json"}</w:instrText>
      </w:r>
      <w:r w:rsidR="00A5159E">
        <w:fldChar w:fldCharType="separate"/>
      </w:r>
      <w:r w:rsidR="00A5159E" w:rsidRPr="00A5159E">
        <w:rPr>
          <w:noProof/>
        </w:rPr>
        <w:t>(Soares da Silva et al., 2017)</w:t>
      </w:r>
      <w:r w:rsidR="00A5159E">
        <w:fldChar w:fldCharType="end"/>
      </w:r>
      <w:r w:rsidR="00844C7D" w:rsidRPr="00844C7D">
        <w:t xml:space="preserve"> and the</w:t>
      </w:r>
      <w:r w:rsidR="00A321BE">
        <w:t xml:space="preserve"> soy</w:t>
      </w:r>
      <w:r w:rsidR="004334AB">
        <w:t>bean</w:t>
      </w:r>
      <w:r w:rsidR="00844C7D" w:rsidRPr="00844C7D">
        <w:t xml:space="preserve"> lecithin acquired from </w:t>
      </w:r>
      <w:proofErr w:type="spellStart"/>
      <w:r w:rsidR="00844C7D" w:rsidRPr="00844C7D">
        <w:t>Nutryervas</w:t>
      </w:r>
      <w:proofErr w:type="spellEnd"/>
      <w:r w:rsidR="00844C7D" w:rsidRPr="00844C7D">
        <w:t xml:space="preserve"> do </w:t>
      </w:r>
      <w:proofErr w:type="spellStart"/>
      <w:r w:rsidR="00844C7D" w:rsidRPr="00844C7D">
        <w:t>Brasil</w:t>
      </w:r>
      <w:proofErr w:type="spellEnd"/>
      <w:r w:rsidR="00844C7D" w:rsidRPr="00844C7D">
        <w:t xml:space="preserve"> LTDA.</w:t>
      </w:r>
    </w:p>
    <w:p w:rsidR="00600535" w:rsidRPr="00B57B36" w:rsidRDefault="004A5F14" w:rsidP="000B210D">
      <w:pPr>
        <w:pStyle w:val="CETheadingx"/>
      </w:pPr>
      <w:r w:rsidRPr="004A5F14">
        <w:t>Preparation of the soluble resin matrix</w:t>
      </w:r>
      <w:r w:rsidR="007525AF">
        <w:t xml:space="preserve"> </w:t>
      </w:r>
    </w:p>
    <w:p w:rsidR="00600535" w:rsidRDefault="007C6842" w:rsidP="00600535">
      <w:pPr>
        <w:pStyle w:val="CETBodytext"/>
      </w:pPr>
      <w:r w:rsidRPr="007C6842">
        <w:t>This matrix was used for the dispersion of coatings with antifouling property.</w:t>
      </w:r>
      <w:r w:rsidR="00D73FC0" w:rsidRPr="00D73FC0">
        <w:t xml:space="preserve"> </w:t>
      </w:r>
      <w:r w:rsidR="00CA2980" w:rsidRPr="00CA2980">
        <w:t xml:space="preserve">The composition used to obtain the coating was adapted from </w:t>
      </w:r>
      <w:r w:rsidR="00A5159E">
        <w:fldChar w:fldCharType="begin" w:fldLock="1"/>
      </w:r>
      <w:r w:rsidR="00D022AE">
        <w:instrText>ADDIN CSL_CITATION {"citationItems":[{"id":"ITEM-1","itemData":{"DOI":"10.1016/j.ibiod.2013.05.002","ISSN":"09648305","abstract":"Biofouling control involves the application of paints containing toxic substances to the marine ecosystem. One of the most promising alternative technologies to antifouling paints based on heavy metals is the development of coatings whose active ingredients are compounds naturally occurring in marine organisms. This study investigated the antifouling activity of organic extracts from some epibiont-free Colombian Caribbean Sea sponges (Agelas tabulata, Myrmekioderma gyroderma, Oceanapia peltata, Aplysina lacunosa, Neopetrosia sp.) and a sea-cucumber (Holoturia glaberrima). Extracts were incorporated into hard stable gels and into soluble matrix antifouling paints and exposed in the sea (Colombia and Argentina). After 45 and 90 days, significant differences in fouling cover percentages between painted panels and controls were found (p &lt; 0.05). It was demonstrated that the greatest antifouling activity was contained in extracts of A. tabulata and Holoturia glaberrima in both study sites. This study successfully identified potential new sources of natural antifouling compounds.","author":[{"dropping-particle":"","family":"Acevedo","given":"Marisol Santos","non-dropping-particle":"","parse-names":false,"suffix":""},{"dropping-particle":"","family":"Puentes","given":"Carlos","non-dropping-particle":"","parse-names":false,"suffix":""},{"dropping-particle":"","family":"Carreño","given":"Katerine","non-dropping-particle":"","parse-names":false,"suffix":""},{"dropping-particle":"","family":"León","given":"Javier Gómez","non-dropping-particle":"","parse-names":false,"suffix":""},{"dropping-particle":"","family":"Stupak","given":"Mirta","non-dropping-particle":"","parse-names":false,"suffix":""},{"dropping-particle":"","family":"García","given":"Mónica","non-dropping-particle":"","parse-names":false,"suffix":""},{"dropping-particle":"","family":"Pérez","given":"Miriam","non-dropping-particle":"","parse-names":false,"suffix":""},{"dropping-particle":"","family":"Blustein","given":"Guillermo","non-dropping-particle":"","parse-names":false,"suffix":""}],"container-title":"International Biodeterioration &amp; Biodegradation","id":"ITEM-1","issued":{"date-parts":[["2013"]]},"page":"97-104","title":"Antifouling paints based on marine natural products from Colombian Caribbean","type":"article-journal","volume":"83"},"uris":["http://www.mendeley.com/documents/?uuid=8c25459f-d23d-311e-8d19-86707c15bba4"]}],"mendeley":{"formattedCitation":"(Acevedo et al., 2013)","plainTextFormattedCitation":"(Acevedo et al., 2013)","previouslyFormattedCitation":"(Acevedo et al., 2013)"},"properties":{"noteIndex":0},"schema":"https://github.com/citation-style-language/schema/raw/master/csl-citation.json"}</w:instrText>
      </w:r>
      <w:r w:rsidR="00A5159E">
        <w:fldChar w:fldCharType="separate"/>
      </w:r>
      <w:r w:rsidR="00A5159E" w:rsidRPr="00A5159E">
        <w:rPr>
          <w:noProof/>
        </w:rPr>
        <w:t>(Acevedo et al., 2013)</w:t>
      </w:r>
      <w:r w:rsidR="00A5159E">
        <w:fldChar w:fldCharType="end"/>
      </w:r>
      <w:r w:rsidR="00A5159E">
        <w:t xml:space="preserve"> </w:t>
      </w:r>
      <w:r w:rsidR="00CA2980" w:rsidRPr="00CA2980">
        <w:t xml:space="preserve">and expressed as a percentage by weight: 27% natural resin, 6% oleic acid, 20% xylene, 20% white spirit, 16.2% zinc oxide and 10% 8% calcium carbonate. </w:t>
      </w:r>
      <w:r w:rsidR="00DE1592" w:rsidRPr="00DE1592">
        <w:t xml:space="preserve">The </w:t>
      </w:r>
      <w:r w:rsidR="00DE1592" w:rsidRPr="00DE1592">
        <w:lastRenderedPageBreak/>
        <w:t>dispersion of all components was performed on a mechanical agitator (Tecnal LTDA, Brazil) at 2000 rpm for 50 min</w:t>
      </w:r>
      <w:r w:rsidR="00F249E8" w:rsidRPr="00DE1592">
        <w:t>.</w:t>
      </w:r>
      <w:r w:rsidR="00F249E8" w:rsidRPr="008E4618">
        <w:t xml:space="preserve"> </w:t>
      </w:r>
    </w:p>
    <w:p w:rsidR="008A573F" w:rsidRDefault="00F2339A" w:rsidP="000B210D">
      <w:pPr>
        <w:pStyle w:val="CETheadingx"/>
      </w:pPr>
      <w:r w:rsidRPr="00F2339A">
        <w:t>Incorporation of substances (natural surfactants) obtained from soybean oil (</w:t>
      </w:r>
      <w:r w:rsidRPr="003C4867">
        <w:rPr>
          <w:i/>
        </w:rPr>
        <w:t>Glycine max</w:t>
      </w:r>
      <w:r w:rsidRPr="00F2339A">
        <w:t xml:space="preserve"> (L.))</w:t>
      </w:r>
    </w:p>
    <w:p w:rsidR="008A573F" w:rsidRPr="000B210D" w:rsidRDefault="00D708E0" w:rsidP="000B210D">
      <w:pPr>
        <w:pStyle w:val="CETheadingx"/>
        <w:rPr>
          <w:b w:val="0"/>
        </w:rPr>
      </w:pPr>
      <w:r w:rsidRPr="000B210D">
        <w:rPr>
          <w:b w:val="0"/>
        </w:rPr>
        <w:t>After individual extraction of the elements mentioned in item 2.1, they were stored appropriately and later incorporated into the 10% (w / w) natural resin soluble matrix.</w:t>
      </w:r>
      <w:r w:rsidR="00FC4B4F" w:rsidRPr="000B210D">
        <w:rPr>
          <w:b w:val="0"/>
        </w:rPr>
        <w:t xml:space="preserve"> </w:t>
      </w:r>
      <w:r w:rsidRPr="000B210D">
        <w:rPr>
          <w:b w:val="0"/>
        </w:rPr>
        <w:t>In the table below the test compositions of each coating</w:t>
      </w:r>
      <w:r w:rsidR="008A573F" w:rsidRPr="000B210D">
        <w:rPr>
          <w:b w:val="0"/>
        </w:rPr>
        <w:t>.</w:t>
      </w:r>
    </w:p>
    <w:p w:rsidR="007525AF" w:rsidRPr="00B57B36" w:rsidRDefault="007525AF" w:rsidP="007525AF">
      <w:pPr>
        <w:pStyle w:val="CETTabletitle"/>
      </w:pPr>
      <w:r w:rsidRPr="00B57B36">
        <w:t>Table 1:</w:t>
      </w:r>
      <w:r w:rsidR="007741AE" w:rsidRPr="007741AE">
        <w:t xml:space="preserve"> </w:t>
      </w:r>
      <w:r w:rsidR="007741AE">
        <w:t>Mixtures</w:t>
      </w:r>
      <w:r w:rsidR="007741AE" w:rsidRPr="007741AE">
        <w:t xml:space="preserve"> formulated with natural surfactants to obtain antifouling</w:t>
      </w:r>
      <w:r w:rsidRPr="00B57B36">
        <w:t xml:space="preserve"> </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544"/>
        <w:gridCol w:w="5245"/>
      </w:tblGrid>
      <w:tr w:rsidR="00BA7DFB" w:rsidRPr="00B57B36" w:rsidTr="00C56B51">
        <w:tc>
          <w:tcPr>
            <w:tcW w:w="3544" w:type="dxa"/>
            <w:tcBorders>
              <w:top w:val="single" w:sz="12" w:space="0" w:color="008000"/>
              <w:bottom w:val="single" w:sz="6" w:space="0" w:color="008000"/>
            </w:tcBorders>
            <w:shd w:val="clear" w:color="auto" w:fill="FFFFFF"/>
          </w:tcPr>
          <w:p w:rsidR="00BA7DFB" w:rsidRPr="00B57B36" w:rsidRDefault="00BA7DFB" w:rsidP="000A3106">
            <w:pPr>
              <w:pStyle w:val="CETBodytext"/>
              <w:rPr>
                <w:lang w:val="en-GB"/>
              </w:rPr>
            </w:pPr>
            <w:r>
              <w:rPr>
                <w:lang w:val="en-GB"/>
              </w:rPr>
              <w:t>Mixture</w:t>
            </w:r>
          </w:p>
        </w:tc>
        <w:tc>
          <w:tcPr>
            <w:tcW w:w="5245" w:type="dxa"/>
            <w:tcBorders>
              <w:top w:val="single" w:sz="12" w:space="0" w:color="008000"/>
              <w:bottom w:val="single" w:sz="6" w:space="0" w:color="008000"/>
            </w:tcBorders>
            <w:shd w:val="clear" w:color="auto" w:fill="FFFFFF"/>
          </w:tcPr>
          <w:p w:rsidR="00BA7DFB" w:rsidRPr="00B57B36" w:rsidRDefault="00BA7DFB" w:rsidP="000A3106">
            <w:pPr>
              <w:pStyle w:val="CETBodytext"/>
              <w:rPr>
                <w:lang w:val="en-GB"/>
              </w:rPr>
            </w:pPr>
            <w:r w:rsidRPr="00BA7DFB">
              <w:rPr>
                <w:lang w:val="en-GB"/>
              </w:rPr>
              <w:t>Composition</w:t>
            </w:r>
          </w:p>
        </w:tc>
      </w:tr>
      <w:tr w:rsidR="001179CA" w:rsidRPr="00B57B36" w:rsidTr="00C56B51">
        <w:tc>
          <w:tcPr>
            <w:tcW w:w="3544" w:type="dxa"/>
            <w:shd w:val="clear" w:color="auto" w:fill="FFFFFF"/>
          </w:tcPr>
          <w:p w:rsidR="001179CA" w:rsidRDefault="001179CA" w:rsidP="000A3106">
            <w:pPr>
              <w:pStyle w:val="CETBodytext"/>
              <w:rPr>
                <w:lang w:val="en-GB"/>
              </w:rPr>
            </w:pPr>
            <w:r>
              <w:rPr>
                <w:lang w:val="en-GB"/>
              </w:rPr>
              <w:t>Control</w:t>
            </w:r>
          </w:p>
        </w:tc>
        <w:tc>
          <w:tcPr>
            <w:tcW w:w="5245" w:type="dxa"/>
            <w:shd w:val="clear" w:color="auto" w:fill="FFFFFF"/>
          </w:tcPr>
          <w:p w:rsidR="001179CA" w:rsidRPr="00B57B36" w:rsidRDefault="001179CA" w:rsidP="000A3106">
            <w:pPr>
              <w:pStyle w:val="CETBodytext"/>
              <w:rPr>
                <w:lang w:val="en-GB"/>
              </w:rPr>
            </w:pPr>
            <w:r w:rsidRPr="001179CA">
              <w:rPr>
                <w:lang w:val="en-GB"/>
              </w:rPr>
              <w:t>Matrix without active</w:t>
            </w:r>
          </w:p>
        </w:tc>
      </w:tr>
      <w:tr w:rsidR="00BA7DFB" w:rsidRPr="00B57B36" w:rsidTr="00C56B51">
        <w:tc>
          <w:tcPr>
            <w:tcW w:w="3544" w:type="dxa"/>
            <w:shd w:val="clear" w:color="auto" w:fill="FFFFFF"/>
          </w:tcPr>
          <w:p w:rsidR="00BA7DFB" w:rsidRPr="00B57B36" w:rsidRDefault="00915C3B" w:rsidP="000A3106">
            <w:pPr>
              <w:pStyle w:val="CETBodytext"/>
              <w:rPr>
                <w:lang w:val="en-GB"/>
              </w:rPr>
            </w:pPr>
            <w:r>
              <w:rPr>
                <w:lang w:val="en-GB"/>
              </w:rPr>
              <w:t>Mixture 1</w:t>
            </w:r>
          </w:p>
        </w:tc>
        <w:tc>
          <w:tcPr>
            <w:tcW w:w="5245" w:type="dxa"/>
            <w:shd w:val="clear" w:color="auto" w:fill="FFFFFF"/>
          </w:tcPr>
          <w:p w:rsidR="00BA7DFB" w:rsidRPr="00B57B36" w:rsidRDefault="00C56B51" w:rsidP="000A3106">
            <w:pPr>
              <w:pStyle w:val="CETBodytext"/>
              <w:rPr>
                <w:lang w:val="en-GB"/>
              </w:rPr>
            </w:pPr>
            <w:r w:rsidRPr="00C56B51">
              <w:rPr>
                <w:lang w:val="en-GB"/>
              </w:rPr>
              <w:t>Matrix + glycerol / lauric acid oligomer surfactant</w:t>
            </w:r>
          </w:p>
        </w:tc>
      </w:tr>
      <w:tr w:rsidR="00915C3B" w:rsidRPr="00B57B36" w:rsidTr="00C56B51">
        <w:tc>
          <w:tcPr>
            <w:tcW w:w="3544" w:type="dxa"/>
            <w:shd w:val="clear" w:color="auto" w:fill="FFFFFF"/>
          </w:tcPr>
          <w:p w:rsidR="00915C3B" w:rsidRPr="00B57B36" w:rsidRDefault="00915C3B" w:rsidP="000A3106">
            <w:pPr>
              <w:pStyle w:val="CETBodytext"/>
              <w:rPr>
                <w:lang w:val="en-GB"/>
              </w:rPr>
            </w:pPr>
            <w:r>
              <w:rPr>
                <w:lang w:val="en-GB"/>
              </w:rPr>
              <w:t>Mixture 2</w:t>
            </w:r>
          </w:p>
        </w:tc>
        <w:tc>
          <w:tcPr>
            <w:tcW w:w="5245" w:type="dxa"/>
            <w:shd w:val="clear" w:color="auto" w:fill="FFFFFF"/>
          </w:tcPr>
          <w:p w:rsidR="00915C3B" w:rsidRPr="00B57B36" w:rsidRDefault="006608C6" w:rsidP="000A3106">
            <w:pPr>
              <w:pStyle w:val="CETBodytext"/>
              <w:rPr>
                <w:lang w:val="en-GB"/>
              </w:rPr>
            </w:pPr>
            <w:r w:rsidRPr="006608C6">
              <w:rPr>
                <w:lang w:val="en-GB"/>
              </w:rPr>
              <w:t xml:space="preserve">Matrix + </w:t>
            </w:r>
            <w:r w:rsidR="00044627" w:rsidRPr="00044627">
              <w:rPr>
                <w:lang w:val="en-GB"/>
              </w:rPr>
              <w:t>glyceryl laurate</w:t>
            </w:r>
          </w:p>
        </w:tc>
      </w:tr>
      <w:tr w:rsidR="00915C3B" w:rsidRPr="00B57B36" w:rsidTr="00C56B51">
        <w:tc>
          <w:tcPr>
            <w:tcW w:w="3544" w:type="dxa"/>
            <w:shd w:val="clear" w:color="auto" w:fill="FFFFFF"/>
          </w:tcPr>
          <w:p w:rsidR="00915C3B" w:rsidRPr="00B57B36" w:rsidRDefault="00915C3B" w:rsidP="000A3106">
            <w:pPr>
              <w:pStyle w:val="CETBodytext"/>
              <w:rPr>
                <w:lang w:val="en-GB"/>
              </w:rPr>
            </w:pPr>
            <w:r>
              <w:rPr>
                <w:lang w:val="en-GB"/>
              </w:rPr>
              <w:t>Mixture 3</w:t>
            </w:r>
          </w:p>
        </w:tc>
        <w:tc>
          <w:tcPr>
            <w:tcW w:w="5245" w:type="dxa"/>
            <w:shd w:val="clear" w:color="auto" w:fill="FFFFFF"/>
          </w:tcPr>
          <w:p w:rsidR="00915C3B" w:rsidRPr="00B57B36" w:rsidRDefault="006608C6" w:rsidP="000A3106">
            <w:pPr>
              <w:pStyle w:val="CETBodytext"/>
              <w:rPr>
                <w:lang w:val="en-GB"/>
              </w:rPr>
            </w:pPr>
            <w:r w:rsidRPr="006608C6">
              <w:rPr>
                <w:lang w:val="en-GB"/>
              </w:rPr>
              <w:t xml:space="preserve">Matrix + </w:t>
            </w:r>
            <w:r w:rsidR="00773DA1" w:rsidRPr="00844C7D">
              <w:t>hydroxylated oleic acid</w:t>
            </w:r>
          </w:p>
        </w:tc>
      </w:tr>
      <w:tr w:rsidR="00915C3B" w:rsidRPr="00B57B36" w:rsidTr="00C56B51">
        <w:tc>
          <w:tcPr>
            <w:tcW w:w="3544" w:type="dxa"/>
            <w:shd w:val="clear" w:color="auto" w:fill="FFFFFF"/>
          </w:tcPr>
          <w:p w:rsidR="00915C3B" w:rsidRPr="00B57B36" w:rsidRDefault="00915C3B" w:rsidP="000A3106">
            <w:pPr>
              <w:pStyle w:val="CETBodytext"/>
              <w:rPr>
                <w:lang w:val="en-GB"/>
              </w:rPr>
            </w:pPr>
            <w:r>
              <w:rPr>
                <w:lang w:val="en-GB"/>
              </w:rPr>
              <w:t>Mixture 4</w:t>
            </w:r>
          </w:p>
        </w:tc>
        <w:tc>
          <w:tcPr>
            <w:tcW w:w="5245" w:type="dxa"/>
            <w:shd w:val="clear" w:color="auto" w:fill="FFFFFF"/>
          </w:tcPr>
          <w:p w:rsidR="00915C3B" w:rsidRPr="00B57B36" w:rsidRDefault="00C543C2" w:rsidP="000A3106">
            <w:pPr>
              <w:pStyle w:val="CETBodytext"/>
              <w:rPr>
                <w:lang w:val="en-GB"/>
              </w:rPr>
            </w:pPr>
            <w:r w:rsidRPr="00C543C2">
              <w:rPr>
                <w:lang w:val="en-GB"/>
              </w:rPr>
              <w:t>Matri</w:t>
            </w:r>
            <w:r w:rsidR="00C90776">
              <w:rPr>
                <w:lang w:val="en-GB"/>
              </w:rPr>
              <w:t>x</w:t>
            </w:r>
            <w:r w:rsidRPr="00C543C2">
              <w:rPr>
                <w:lang w:val="en-GB"/>
              </w:rPr>
              <w:t xml:space="preserve"> + </w:t>
            </w:r>
            <w:r w:rsidR="00C90776" w:rsidRPr="00C543C2">
              <w:rPr>
                <w:lang w:val="en-GB"/>
              </w:rPr>
              <w:t>biosurfactant</w:t>
            </w:r>
          </w:p>
        </w:tc>
      </w:tr>
      <w:tr w:rsidR="00915C3B" w:rsidRPr="00B57B36" w:rsidTr="00C56B51">
        <w:tc>
          <w:tcPr>
            <w:tcW w:w="3544" w:type="dxa"/>
            <w:shd w:val="clear" w:color="auto" w:fill="FFFFFF"/>
          </w:tcPr>
          <w:p w:rsidR="00915C3B" w:rsidRPr="00B57B36" w:rsidRDefault="00915C3B" w:rsidP="000A3106">
            <w:pPr>
              <w:pStyle w:val="CETBodytext"/>
              <w:rPr>
                <w:lang w:val="en-GB"/>
              </w:rPr>
            </w:pPr>
            <w:r>
              <w:rPr>
                <w:lang w:val="en-GB"/>
              </w:rPr>
              <w:t>Mixture 5</w:t>
            </w:r>
          </w:p>
        </w:tc>
        <w:tc>
          <w:tcPr>
            <w:tcW w:w="5245" w:type="dxa"/>
            <w:shd w:val="clear" w:color="auto" w:fill="FFFFFF"/>
          </w:tcPr>
          <w:p w:rsidR="00915C3B" w:rsidRPr="00B57B36" w:rsidRDefault="00C90776" w:rsidP="000A3106">
            <w:pPr>
              <w:pStyle w:val="CETBodytext"/>
              <w:rPr>
                <w:lang w:val="en-GB"/>
              </w:rPr>
            </w:pPr>
            <w:r w:rsidRPr="00C90776">
              <w:rPr>
                <w:lang w:val="en-GB"/>
              </w:rPr>
              <w:t xml:space="preserve">Matrix + </w:t>
            </w:r>
            <w:r w:rsidR="000F547D">
              <w:rPr>
                <w:lang w:val="en-GB"/>
              </w:rPr>
              <w:t>soy</w:t>
            </w:r>
            <w:r w:rsidR="004334AB">
              <w:rPr>
                <w:lang w:val="en-GB"/>
              </w:rPr>
              <w:t>bean</w:t>
            </w:r>
            <w:r w:rsidR="000F547D">
              <w:rPr>
                <w:lang w:val="en-GB"/>
              </w:rPr>
              <w:t xml:space="preserve"> </w:t>
            </w:r>
            <w:r w:rsidRPr="00C90776">
              <w:rPr>
                <w:lang w:val="en-GB"/>
              </w:rPr>
              <w:t>lecithin</w:t>
            </w:r>
          </w:p>
        </w:tc>
      </w:tr>
      <w:tr w:rsidR="00915C3B" w:rsidRPr="00B57B36" w:rsidTr="00C56B51">
        <w:tc>
          <w:tcPr>
            <w:tcW w:w="3544" w:type="dxa"/>
            <w:shd w:val="clear" w:color="auto" w:fill="FFFFFF"/>
          </w:tcPr>
          <w:p w:rsidR="00915C3B" w:rsidRPr="00B57B36" w:rsidRDefault="00915C3B" w:rsidP="000A3106">
            <w:pPr>
              <w:pStyle w:val="CETBodytext"/>
              <w:rPr>
                <w:lang w:val="en-GB"/>
              </w:rPr>
            </w:pPr>
            <w:r>
              <w:rPr>
                <w:lang w:val="en-GB"/>
              </w:rPr>
              <w:t>Mixture 6</w:t>
            </w:r>
          </w:p>
        </w:tc>
        <w:tc>
          <w:tcPr>
            <w:tcW w:w="5245" w:type="dxa"/>
            <w:shd w:val="clear" w:color="auto" w:fill="FFFFFF"/>
          </w:tcPr>
          <w:p w:rsidR="00915C3B" w:rsidRPr="00B57B36" w:rsidRDefault="004334AB" w:rsidP="000A3106">
            <w:pPr>
              <w:pStyle w:val="CETBodytext"/>
              <w:rPr>
                <w:lang w:val="en-GB"/>
              </w:rPr>
            </w:pPr>
            <w:r>
              <w:rPr>
                <w:lang w:val="en-GB"/>
              </w:rPr>
              <w:t xml:space="preserve">Matrix + </w:t>
            </w:r>
            <w:r w:rsidRPr="00844C7D">
              <w:t>sodium salt of hydroxylated oleic acid</w:t>
            </w:r>
          </w:p>
        </w:tc>
      </w:tr>
      <w:tr w:rsidR="00BA7DFB" w:rsidRPr="00B57B36" w:rsidTr="00C56B51">
        <w:tc>
          <w:tcPr>
            <w:tcW w:w="3544" w:type="dxa"/>
            <w:shd w:val="clear" w:color="auto" w:fill="FFFFFF"/>
          </w:tcPr>
          <w:p w:rsidR="00BA7DFB" w:rsidRPr="00B57B36" w:rsidRDefault="00915C3B" w:rsidP="000A3106">
            <w:pPr>
              <w:pStyle w:val="CETBodytext"/>
              <w:ind w:right="-1"/>
              <w:rPr>
                <w:rFonts w:cs="Arial"/>
                <w:szCs w:val="18"/>
                <w:lang w:val="en-GB"/>
              </w:rPr>
            </w:pPr>
            <w:r>
              <w:rPr>
                <w:lang w:val="en-GB"/>
              </w:rPr>
              <w:t>Mixture 7</w:t>
            </w:r>
          </w:p>
        </w:tc>
        <w:tc>
          <w:tcPr>
            <w:tcW w:w="5245" w:type="dxa"/>
            <w:shd w:val="clear" w:color="auto" w:fill="FFFFFF"/>
          </w:tcPr>
          <w:p w:rsidR="00BA7DFB" w:rsidRPr="00B57B36" w:rsidRDefault="00044627" w:rsidP="000A3106">
            <w:pPr>
              <w:pStyle w:val="CETBodytext"/>
              <w:ind w:right="-1"/>
              <w:rPr>
                <w:rFonts w:cs="Arial"/>
                <w:szCs w:val="18"/>
                <w:lang w:val="en-GB"/>
              </w:rPr>
            </w:pPr>
            <w:r w:rsidRPr="00044627">
              <w:rPr>
                <w:rFonts w:cs="Arial"/>
                <w:szCs w:val="18"/>
                <w:lang w:val="en-GB"/>
              </w:rPr>
              <w:t xml:space="preserve">Matrix + </w:t>
            </w:r>
            <w:r w:rsidR="00202787" w:rsidRPr="00202787">
              <w:rPr>
                <w:rFonts w:cs="Arial"/>
                <w:szCs w:val="18"/>
                <w:lang w:val="en-GB"/>
              </w:rPr>
              <w:t>hydroxylated glyceryl oleate</w:t>
            </w:r>
          </w:p>
        </w:tc>
      </w:tr>
    </w:tbl>
    <w:p w:rsidR="00D16927" w:rsidRDefault="00BF1644" w:rsidP="000B210D">
      <w:pPr>
        <w:pStyle w:val="CETheadingx"/>
      </w:pPr>
      <w:r>
        <w:t>Fie</w:t>
      </w:r>
      <w:r w:rsidR="00602DE8">
        <w:t>lds studies by i</w:t>
      </w:r>
      <w:r w:rsidR="00C81C1E" w:rsidRPr="00C81C1E">
        <w:t>mmersion tests</w:t>
      </w:r>
    </w:p>
    <w:p w:rsidR="00AB5011" w:rsidRDefault="00AD65B0" w:rsidP="00AB5011">
      <w:pPr>
        <w:pStyle w:val="CETBodytext"/>
        <w:rPr>
          <w:lang w:val="en-GB"/>
        </w:rPr>
      </w:pPr>
      <w:r w:rsidRPr="00AD65B0">
        <w:rPr>
          <w:lang w:val="en-GB"/>
        </w:rPr>
        <w:t xml:space="preserve">Metal </w:t>
      </w:r>
      <w:r w:rsidR="00A42564">
        <w:rPr>
          <w:lang w:val="en-GB"/>
        </w:rPr>
        <w:t>panels</w:t>
      </w:r>
      <w:r w:rsidRPr="00AD65B0">
        <w:rPr>
          <w:lang w:val="en-GB"/>
        </w:rPr>
        <w:t xml:space="preserve"> (1mm x 100mm x 200mm) were washed with analytical grade acetone to degrease the surface. Then, one coat of each formulated matrix was applied to the cleaned </w:t>
      </w:r>
      <w:r w:rsidR="00A42564">
        <w:rPr>
          <w:lang w:val="en-GB"/>
        </w:rPr>
        <w:t>panels</w:t>
      </w:r>
      <w:r w:rsidRPr="00AD65B0">
        <w:rPr>
          <w:lang w:val="en-GB"/>
        </w:rPr>
        <w:t xml:space="preserve"> using a one-inch universal brush. After 1 to 2 hours, for solvent evaporation, a second coat was applied. The </w:t>
      </w:r>
      <w:r w:rsidR="00A42564">
        <w:rPr>
          <w:lang w:val="en-GB"/>
        </w:rPr>
        <w:t>panels</w:t>
      </w:r>
      <w:r w:rsidRPr="00AD65B0">
        <w:rPr>
          <w:lang w:val="en-GB"/>
        </w:rPr>
        <w:t xml:space="preserve"> remained dry for up to a week at room temperature and protected from the sun. They were numbered for identification and drilled (3mm diameter opening) to assist in fixing to the rail holder.</w:t>
      </w:r>
    </w:p>
    <w:p w:rsidR="0031461C" w:rsidRDefault="0031461C" w:rsidP="00AB5011">
      <w:pPr>
        <w:pStyle w:val="CETBodytext"/>
        <w:rPr>
          <w:lang w:val="en-GB"/>
        </w:rPr>
      </w:pPr>
      <w:r w:rsidRPr="0031461C">
        <w:rPr>
          <w:lang w:val="en-GB"/>
        </w:rPr>
        <w:t xml:space="preserve">The </w:t>
      </w:r>
      <w:r w:rsidR="00774480" w:rsidRPr="0031461C">
        <w:rPr>
          <w:lang w:val="en-GB"/>
        </w:rPr>
        <w:t>in-situ</w:t>
      </w:r>
      <w:r w:rsidRPr="0031461C">
        <w:rPr>
          <w:lang w:val="en-GB"/>
        </w:rPr>
        <w:t xml:space="preserve"> immersion tests were carried out in the Port of Recife S.A., Recife / PE. At this site, the metal </w:t>
      </w:r>
      <w:r w:rsidR="00A42564">
        <w:rPr>
          <w:lang w:val="en-GB"/>
        </w:rPr>
        <w:t>panels</w:t>
      </w:r>
      <w:r w:rsidRPr="0031461C">
        <w:rPr>
          <w:lang w:val="en-GB"/>
        </w:rPr>
        <w:t xml:space="preserve"> containing the experimental matrices were immersed in an area with high occurrence of barnacles and other fouling organisms. The plaques were checked initially after 7 days and after 25 days of immersion, in the above area. Photos were taken from </w:t>
      </w:r>
      <w:r w:rsidR="00774480" w:rsidRPr="0031461C">
        <w:rPr>
          <w:lang w:val="en-GB"/>
        </w:rPr>
        <w:t>all</w:t>
      </w:r>
      <w:r w:rsidRPr="0031461C">
        <w:rPr>
          <w:lang w:val="en-GB"/>
        </w:rPr>
        <w:t xml:space="preserve"> the </w:t>
      </w:r>
      <w:r w:rsidR="00A42564">
        <w:rPr>
          <w:lang w:val="en-GB"/>
        </w:rPr>
        <w:t>panels</w:t>
      </w:r>
      <w:r w:rsidRPr="0031461C">
        <w:rPr>
          <w:lang w:val="en-GB"/>
        </w:rPr>
        <w:t xml:space="preserve">, however, only the images of the </w:t>
      </w:r>
      <w:r w:rsidR="00A42564">
        <w:rPr>
          <w:lang w:val="en-GB"/>
        </w:rPr>
        <w:t>panels</w:t>
      </w:r>
      <w:r w:rsidRPr="0031461C">
        <w:rPr>
          <w:lang w:val="en-GB"/>
        </w:rPr>
        <w:t xml:space="preserve"> with less </w:t>
      </w:r>
      <w:r w:rsidR="0039592D">
        <w:rPr>
          <w:lang w:val="en-GB"/>
        </w:rPr>
        <w:t>biofouling</w:t>
      </w:r>
      <w:r w:rsidRPr="0031461C">
        <w:rPr>
          <w:lang w:val="en-GB"/>
        </w:rPr>
        <w:t xml:space="preserve"> passed through analysis of the surface covered with the help of the software image editor "ImageJ". The area covered by the fouling macro-organisms on the </w:t>
      </w:r>
      <w:r w:rsidR="00A42564">
        <w:rPr>
          <w:lang w:val="en-GB"/>
        </w:rPr>
        <w:t>panels</w:t>
      </w:r>
      <w:r w:rsidRPr="0031461C">
        <w:rPr>
          <w:lang w:val="en-GB"/>
        </w:rPr>
        <w:t xml:space="preserve"> was calculated as the percentage of the area occupied by these organisms in relation to the total area examined, normalized with respect to the covered area relative to the control.</w:t>
      </w:r>
    </w:p>
    <w:p w:rsidR="00582B34" w:rsidRDefault="00582B34" w:rsidP="00582B34">
      <w:pPr>
        <w:pStyle w:val="CETHeading1"/>
        <w:rPr>
          <w:lang w:val="en-GB"/>
        </w:rPr>
      </w:pPr>
      <w:r w:rsidRPr="00582B34">
        <w:rPr>
          <w:lang w:val="en-GB"/>
        </w:rPr>
        <w:t>Results and discussions</w:t>
      </w:r>
    </w:p>
    <w:p w:rsidR="00E66B0E" w:rsidRDefault="00003E18" w:rsidP="00C53099">
      <w:pPr>
        <w:pStyle w:val="CETBodytext"/>
      </w:pPr>
      <w:r w:rsidRPr="00003E18">
        <w:t xml:space="preserve">In Figure 1 (Figures 1A - 1B), we have the results obtained in field tests, after 7 days (A) and 25 days (B) of the </w:t>
      </w:r>
      <w:r w:rsidR="00A42564">
        <w:t>panels</w:t>
      </w:r>
      <w:r w:rsidRPr="00003E18">
        <w:t xml:space="preserve"> immersed in the Port of Recife. There was a biofouling delay evidenced by the difference in coverage on the </w:t>
      </w:r>
      <w:r w:rsidR="00A42564">
        <w:t>panels</w:t>
      </w:r>
      <w:r w:rsidRPr="00003E18">
        <w:t>, as shown in figure 1</w:t>
      </w:r>
      <w:r w:rsidR="00041029">
        <w:t>.</w:t>
      </w:r>
    </w:p>
    <w:p w:rsidR="000B0ACC" w:rsidRDefault="000B0ACC" w:rsidP="00C53099">
      <w:pPr>
        <w:pStyle w:val="CETBodytext"/>
      </w:pPr>
      <w:r w:rsidRPr="000B0ACC">
        <w:t xml:space="preserve">In Figure 1 (B) it was observed that </w:t>
      </w:r>
      <w:r w:rsidR="00A42564">
        <w:t>panels</w:t>
      </w:r>
      <w:r w:rsidRPr="000B0ACC">
        <w:t xml:space="preserve"> 2, 5, 6, 9 and 10 were completely embedded with macrofouling after 25 days of testing. On the other hand, </w:t>
      </w:r>
      <w:r w:rsidR="00A42564">
        <w:t>panels</w:t>
      </w:r>
      <w:r w:rsidRPr="000B0ACC">
        <w:t xml:space="preserve"> 1, 3, 4 and 7 presented very promising results, as evidenced by the delay observed in the scale process. </w:t>
      </w:r>
      <w:r w:rsidR="00251798">
        <w:t>Panel</w:t>
      </w:r>
      <w:r w:rsidRPr="000B0ACC">
        <w:t xml:space="preserve"> 8, relative to the matrix containing the sodium salt of hydroxylated oleic acid, was detached from the rail, and it was not possible to analyze the antifouling potential of this surfactant until the end of the experiment.</w:t>
      </w:r>
    </w:p>
    <w:p w:rsidR="00603F61" w:rsidRDefault="00603F61" w:rsidP="00C53099">
      <w:pPr>
        <w:pStyle w:val="CETBodytext"/>
      </w:pPr>
      <w:r w:rsidRPr="00C5476E">
        <w:rPr>
          <w:lang w:val="en-GB"/>
        </w:rPr>
        <w:t xml:space="preserve">Figure </w:t>
      </w:r>
      <w:r>
        <w:rPr>
          <w:lang w:val="en-GB"/>
        </w:rPr>
        <w:t>2</w:t>
      </w:r>
      <w:r w:rsidRPr="00C5476E">
        <w:rPr>
          <w:lang w:val="en-GB"/>
        </w:rPr>
        <w:t xml:space="preserve"> presents the analysis of the percentages of covered area of ​​the most representative </w:t>
      </w:r>
      <w:r>
        <w:rPr>
          <w:lang w:val="en-GB"/>
        </w:rPr>
        <w:t>panels</w:t>
      </w:r>
      <w:r w:rsidRPr="00C5476E">
        <w:rPr>
          <w:lang w:val="en-GB"/>
        </w:rPr>
        <w:t xml:space="preserve"> of the different results obtained in the field, calculated by ImageJ software after 25 days. The measurement by the application indicated that </w:t>
      </w:r>
      <w:r>
        <w:rPr>
          <w:lang w:val="en-GB"/>
        </w:rPr>
        <w:t>panels</w:t>
      </w:r>
      <w:r w:rsidRPr="00C5476E">
        <w:rPr>
          <w:lang w:val="en-GB"/>
        </w:rPr>
        <w:t xml:space="preserve"> 3 (62.444%) and 4 (72.336%) showed incrustation delay in comparison to the matrix </w:t>
      </w:r>
      <w:r>
        <w:rPr>
          <w:lang w:val="en-GB"/>
        </w:rPr>
        <w:t>panel</w:t>
      </w:r>
      <w:r w:rsidRPr="00C5476E">
        <w:rPr>
          <w:lang w:val="en-GB"/>
        </w:rPr>
        <w:t xml:space="preserve"> (82</w:t>
      </w:r>
      <w:r>
        <w:rPr>
          <w:lang w:val="en-GB"/>
        </w:rPr>
        <w:t>.</w:t>
      </w:r>
      <w:r w:rsidRPr="00C5476E">
        <w:rPr>
          <w:lang w:val="en-GB"/>
        </w:rPr>
        <w:t xml:space="preserve">700%) and </w:t>
      </w:r>
      <w:r>
        <w:rPr>
          <w:lang w:val="en-GB"/>
        </w:rPr>
        <w:t>panels</w:t>
      </w:r>
      <w:r w:rsidRPr="00C5476E">
        <w:rPr>
          <w:lang w:val="en-GB"/>
        </w:rPr>
        <w:t xml:space="preserve"> 10 (98</w:t>
      </w:r>
      <w:r>
        <w:rPr>
          <w:lang w:val="en-GB"/>
        </w:rPr>
        <w:t>.</w:t>
      </w:r>
      <w:r w:rsidRPr="00C5476E">
        <w:rPr>
          <w:lang w:val="en-GB"/>
        </w:rPr>
        <w:t>187%) completely covered</w:t>
      </w:r>
      <w:r>
        <w:rPr>
          <w:lang w:val="en-GB"/>
        </w:rPr>
        <w:t>.</w:t>
      </w:r>
    </w:p>
    <w:p w:rsidR="00603F61" w:rsidRDefault="00603F61" w:rsidP="00603F61">
      <w:pPr>
        <w:pStyle w:val="CETBodytext"/>
      </w:pPr>
      <w:r>
        <w:t>The surface area of panels coverage was measured by converting the images to binary scale using ImageJ software and adjusting the threshold to differentiate precisely between areas with and without macrofouling</w:t>
      </w:r>
      <w:r w:rsidR="007A3605">
        <w:t xml:space="preserve"> (</w:t>
      </w:r>
      <w:r w:rsidR="0081520B">
        <w:t>Figure 3)</w:t>
      </w:r>
      <w:r>
        <w:t>.</w:t>
      </w:r>
    </w:p>
    <w:p w:rsidR="00603F61" w:rsidRDefault="00603F61" w:rsidP="00603F61">
      <w:pPr>
        <w:pStyle w:val="CETBodytext"/>
      </w:pPr>
      <w:r w:rsidRPr="00C5088C">
        <w:t>In general, p</w:t>
      </w:r>
      <w:r>
        <w:t>anels</w:t>
      </w:r>
      <w:r w:rsidRPr="00C5088C">
        <w:t xml:space="preserve"> 1,3 and 4 (matrix, matrix + glyceryl laurate, matrix + hydroxylated oleic acid, respectively) were found to have the best results.</w:t>
      </w:r>
      <w:r>
        <w:t xml:space="preserve"> </w:t>
      </w:r>
      <w:r w:rsidRPr="003E4B14">
        <w:t>There was a reduction in biofouling around 30% compared to untreated panel.</w:t>
      </w:r>
      <w:r w:rsidRPr="0081756D">
        <w:t xml:space="preserve"> To avoid biofouling, two approaches may be employed: (I) to prevent the development of the early stages of biofouling by employing bioactive in a non-lethal manner for the environment, and (II) formulating and applying larval fixation inhibitory coatings, making the surface not suitable for the development of biofouling</w:t>
      </w:r>
      <w:r>
        <w:t xml:space="preserve"> </w:t>
      </w:r>
      <w:r>
        <w:fldChar w:fldCharType="begin" w:fldLock="1"/>
      </w:r>
      <w:r>
        <w:instrText>ADDIN CSL_CITATION {"citationItems":[{"id":"ITEM-1","itemData":{"author":[{"dropping-particle":"","family":"Bressy, Christine; Lejars","given":"Marlène","non-dropping-particle":"","parse-names":false,"suffix":""}],"container-title":"The Journal of Ocean Technology","id":"ITEM-1","issue":"February","issued":{"date-parts":[["2014"]]},"title":"Marine Fouling : An Overview Marine Fouling An Overview","type":"article-journal","volume":"9"},"uris":["http://www.mendeley.com/documents/?uuid=4dd90022-8838-49d4-9af5-bfb7c82670c8"]}],"mendeley":{"formattedCitation":"(Bressy, Christine; Lejars, 2014)","manualFormatting":"(Bressy et al., 2014;","plainTextFormattedCitation":"(Bressy, Christine; Lejars, 2014)","previouslyFormattedCitation":"(Bressy, Christine; Lejars, 2014)"},"properties":{"noteIndex":0},"schema":"https://github.com/citation-style-language/schema/raw/master/csl-citation.json"}</w:instrText>
      </w:r>
      <w:r>
        <w:fldChar w:fldCharType="separate"/>
      </w:r>
      <w:r w:rsidRPr="00D022AE">
        <w:rPr>
          <w:noProof/>
        </w:rPr>
        <w:t>(Bressy</w:t>
      </w:r>
      <w:r>
        <w:rPr>
          <w:noProof/>
        </w:rPr>
        <w:t xml:space="preserve"> et al.</w:t>
      </w:r>
      <w:r w:rsidRPr="00D022AE">
        <w:rPr>
          <w:noProof/>
        </w:rPr>
        <w:t>, 2014</w:t>
      </w:r>
      <w:r>
        <w:rPr>
          <w:noProof/>
        </w:rPr>
        <w:t>;</w:t>
      </w:r>
      <w:r>
        <w:fldChar w:fldCharType="end"/>
      </w:r>
      <w:r w:rsidRPr="0081756D">
        <w:t xml:space="preserve"> </w:t>
      </w:r>
      <w:r>
        <w:fldChar w:fldCharType="begin" w:fldLock="1"/>
      </w:r>
      <w:r>
        <w:instrText>ADDIN CSL_CITATION {"citationItems":[{"id":"ITEM-1","itemData":{"DOI":"10.7717/peerj.2213","ISSN":"2167-8359","PMID":"27478704","abstract":"&lt;p&gt; Biofouling of experimental cages and other field apparatuses can be problematic for scientists and has traditionally been addressed using frequent manual removal (e.g., scraping, scrubbing). Recent environmental restrictions and legislative changes have driven the development of less hazardous antifouling products, making antifouling paint a potential alternative option to manual removal. Consequently, the viability of using these newly developed products as a replacement for the manual cleaning of exclusion cages was experimentally investigated. There were six treatments tested, comprising three with settlement tiles in experimental cages coated with antifouling paint, two with settlement tiles in unpainted experimental cages, and one cage-free suspended tile. The three antifouling treatments comprised two reduced-copper paints (21% Cu &lt;sub&gt;2&lt;/sub&gt; O and 40% Cu &lt;sub&gt;2&lt;/sub&gt; O) and one copper-free, Econea &lt;bold&gt; &lt;sup&gt;™&lt;/sup&gt; - &lt;/bold&gt; based paint (labeled “ecofriendly”). Antifouling paints were assessed for performance of preventing fouling of the cages and whether they elicited local effects on settlement tiles contained within them. All three paints performed well to reduce fouling of the cages during the initial six weeks of the experiment, but the efficacy of “ecofriendly” paint began to decrease during an extended deployment that lasted 14 weeks. The macro-community composition, biomass, and percent cover of settled organism on tiles within cages treated with copper-based paints (21% and 40% concentrations) were indistinguishable from tiles within the manually scrubbed cages. In contrast, settlement to tiles from the “ecofriendly” treatment was different in composition of macro-community and lower in biomass, suggesting the presence of local effects and therefore rendering it unsuitable for use in settlement experiments. The results of this study suggest that reduced-copper paints have the potential to serve as an alternative to manual maintenance, which may be useful for deployments in locations that are difficult to access on a frequent schedule. &lt;/p&gt;","author":[{"dropping-particle":"","family":"Jerabek","given":"Andrea S.","non-dropping-particle":"","parse-names":false,"suffix":""},{"dropping-particle":"","family":"Wall","given":"Kara R.","non-dropping-particle":"","parse-names":false,"suffix":""},{"dropping-particle":"","family":"Stallings","given":"Christopher D.","non-dropping-particle":"","parse-names":false,"suffix":""}],"container-title":"PeerJ","id":"ITEM-1","issued":{"date-parts":[["2016"]]},"page":"e2213","title":"­A practical application of reduced-copper antifouling paint in marine biological research","type":"article-journal","volume":"4"},"uris":["http://www.mendeley.com/documents/?uuid=946a1696-9adf-477f-b9b6-17319939ea5d"]}],"mendeley":{"formattedCitation":"(Jerabek et al., 2016)","manualFormatting":"Jerabek et al., 2016)","plainTextFormattedCitation":"(Jerabek et al., 2016)","previouslyFormattedCitation":"(Jerabek et al., 2016)"},"properties":{"noteIndex":0},"schema":"https://github.com/citation-style-language/schema/raw/master/csl-citation.json"}</w:instrText>
      </w:r>
      <w:r>
        <w:fldChar w:fldCharType="separate"/>
      </w:r>
      <w:r w:rsidRPr="00D022AE">
        <w:rPr>
          <w:noProof/>
        </w:rPr>
        <w:t>Jerabek et al., 2016)</w:t>
      </w:r>
      <w:r>
        <w:fldChar w:fldCharType="end"/>
      </w:r>
      <w:r>
        <w:t>.</w:t>
      </w:r>
    </w:p>
    <w:p w:rsidR="00041029" w:rsidRDefault="00603F61" w:rsidP="00603F61">
      <w:pPr>
        <w:pStyle w:val="CETBodytext"/>
      </w:pPr>
      <w:r w:rsidRPr="0081756D">
        <w:lastRenderedPageBreak/>
        <w:t>In this work, the two strategies were simultaneously applied, and as a result, the matrix + glyceryl laurate (</w:t>
      </w:r>
      <w:r>
        <w:t>panel</w:t>
      </w:r>
      <w:r w:rsidRPr="0081756D">
        <w:t xml:space="preserve"> 3) and the matrix + hydroxylated oleic acid (</w:t>
      </w:r>
      <w:r>
        <w:t>panel</w:t>
      </w:r>
      <w:r w:rsidRPr="0081756D">
        <w:t xml:space="preserve"> 4) presented the best inhibition potentials for biofouling development</w:t>
      </w:r>
      <w:r>
        <w:t>.</w:t>
      </w:r>
    </w:p>
    <w:p w:rsidR="00603F61" w:rsidRDefault="00603F61" w:rsidP="00603F61">
      <w:pPr>
        <w:pStyle w:val="CETBodytext"/>
      </w:pPr>
      <w:r w:rsidRPr="0081756D">
        <w:t>Acevedo et al. (2013) also evaluated a natural matrix, however, added to extracts of marine animals (sponge and cucumber) during 90 days of immersion, obtaining anti-biofouling activity.</w:t>
      </w:r>
    </w:p>
    <w:p w:rsidR="00BF6129" w:rsidRDefault="00BF6129" w:rsidP="00603F61">
      <w:pPr>
        <w:pStyle w:val="CETBodytext"/>
      </w:pPr>
    </w:p>
    <w:p w:rsidR="00062E13" w:rsidRDefault="00041029" w:rsidP="00C53099">
      <w:pPr>
        <w:pStyle w:val="CETBodytext"/>
        <w:rPr>
          <w:lang w:val="pt-BR"/>
        </w:rPr>
      </w:pPr>
      <w:r>
        <w:rPr>
          <w:noProof/>
          <w:lang w:val="pt-BR"/>
        </w:rPr>
        <w:drawing>
          <wp:inline distT="0" distB="0" distL="0" distR="0" wp14:anchorId="058216A6" wp14:editId="6AAB8F4E">
            <wp:extent cx="4753155" cy="2820982"/>
            <wp:effectExtent l="0" t="0" r="0" b="0"/>
            <wp:docPr id="4" name="Imagem 4" descr="Uma imagem contendo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placas após 7 dias e 25 dias.jpg"/>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b="3311"/>
                    <a:stretch/>
                  </pic:blipFill>
                  <pic:spPr bwMode="auto">
                    <a:xfrm>
                      <a:off x="0" y="0"/>
                      <a:ext cx="4777111" cy="2835200"/>
                    </a:xfrm>
                    <a:prstGeom prst="rect">
                      <a:avLst/>
                    </a:prstGeom>
                    <a:ln>
                      <a:noFill/>
                    </a:ln>
                    <a:extLst>
                      <a:ext uri="{53640926-AAD7-44D8-BBD7-CCE9431645EC}">
                        <a14:shadowObscured xmlns:a14="http://schemas.microsoft.com/office/drawing/2010/main"/>
                      </a:ext>
                    </a:extLst>
                  </pic:spPr>
                </pic:pic>
              </a:graphicData>
            </a:graphic>
          </wp:inline>
        </w:drawing>
      </w:r>
    </w:p>
    <w:p w:rsidR="00B57183" w:rsidRPr="00B57B36" w:rsidRDefault="00B57183" w:rsidP="00B57183">
      <w:pPr>
        <w:pStyle w:val="CETCaption"/>
      </w:pPr>
      <w:r w:rsidRPr="00B57B36">
        <w:t xml:space="preserve">Figure 1: </w:t>
      </w:r>
      <w:r w:rsidR="00A42564">
        <w:t>Panels</w:t>
      </w:r>
      <w:r w:rsidR="000B6963" w:rsidRPr="000B6963">
        <w:t xml:space="preserve"> after 7 days (A) and 25 days (B) immersed in the Port of Recife. 1: Matrix (without natural surfactants); 2: Matrix + glycerol oligomer surfactant; 3: Matrix + glyceryl laurate; 4: Matrix + hydroxylated oleic acid; 5: Matrix + glycolipid; 6: Natural resin; 7: Matrix + lecithin; 8: Matrix + hydroxylated sodium oleic acid; 9: Matrix + hydroxylated glyceryl oleate; 10: No coating and / or treatment</w:t>
      </w:r>
      <w:r w:rsidR="000B6963">
        <w:t xml:space="preserve">. </w:t>
      </w:r>
    </w:p>
    <w:p w:rsidR="00B57183" w:rsidRPr="00B57183" w:rsidRDefault="00B57183" w:rsidP="00C53099">
      <w:pPr>
        <w:pStyle w:val="CETBodytext"/>
        <w:rPr>
          <w:lang w:val="en-GB"/>
        </w:rPr>
      </w:pPr>
    </w:p>
    <w:p w:rsidR="00041029" w:rsidRDefault="000570F2" w:rsidP="00C53099">
      <w:pPr>
        <w:pStyle w:val="CETBodytext"/>
      </w:pPr>
      <w:r>
        <w:rPr>
          <w:noProof/>
        </w:rPr>
        <w:drawing>
          <wp:inline distT="0" distB="0" distL="0" distR="0">
            <wp:extent cx="3919493" cy="2949827"/>
            <wp:effectExtent l="0" t="0" r="0" b="0"/>
            <wp:docPr id="7" name="Imagem 7" descr="Uma imagem contendo monitor, vermelho,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da porcentagem de cobertura.pn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5637" r="9577" b="8889"/>
                    <a:stretch/>
                  </pic:blipFill>
                  <pic:spPr bwMode="auto">
                    <a:xfrm>
                      <a:off x="0" y="0"/>
                      <a:ext cx="4024770" cy="3029059"/>
                    </a:xfrm>
                    <a:prstGeom prst="rect">
                      <a:avLst/>
                    </a:prstGeom>
                    <a:ln>
                      <a:noFill/>
                    </a:ln>
                    <a:extLst>
                      <a:ext uri="{53640926-AAD7-44D8-BBD7-CCE9431645EC}">
                        <a14:shadowObscured xmlns:a14="http://schemas.microsoft.com/office/drawing/2010/main"/>
                      </a:ext>
                    </a:extLst>
                  </pic:spPr>
                </pic:pic>
              </a:graphicData>
            </a:graphic>
          </wp:inline>
        </w:drawing>
      </w:r>
      <w:bookmarkStart w:id="3" w:name="_GoBack"/>
      <w:bookmarkEnd w:id="3"/>
    </w:p>
    <w:p w:rsidR="00E2401F" w:rsidRPr="008E52EF" w:rsidRDefault="00D97E7E" w:rsidP="008E52EF">
      <w:pPr>
        <w:pStyle w:val="CETCaption"/>
      </w:pPr>
      <w:bookmarkStart w:id="4" w:name="_Hlk535007821"/>
      <w:r w:rsidRPr="00B57B36">
        <w:t xml:space="preserve">Figure </w:t>
      </w:r>
      <w:r>
        <w:t>2</w:t>
      </w:r>
      <w:r w:rsidRPr="00B57B36">
        <w:t xml:space="preserve">: </w:t>
      </w:r>
      <w:r w:rsidR="002D56EE" w:rsidRPr="002D56EE">
        <w:t xml:space="preserve"> Percentages of the area covered by macro</w:t>
      </w:r>
      <w:r w:rsidR="008C592D">
        <w:t>fouling</w:t>
      </w:r>
      <w:r w:rsidR="002D56EE" w:rsidRPr="002D56EE">
        <w:t xml:space="preserve"> after 25 immersion in the Port of Recife, Recife-PE, calculated by ImageJ software.</w:t>
      </w:r>
    </w:p>
    <w:bookmarkEnd w:id="4"/>
    <w:p w:rsidR="00255624" w:rsidRDefault="00255624" w:rsidP="00F6084C">
      <w:pPr>
        <w:pStyle w:val="CETBodytext"/>
      </w:pPr>
      <w:r>
        <w:rPr>
          <w:noProof/>
        </w:rPr>
        <w:lastRenderedPageBreak/>
        <w:drawing>
          <wp:inline distT="0" distB="0" distL="0" distR="0">
            <wp:extent cx="3986212" cy="2609623"/>
            <wp:effectExtent l="0" t="0" r="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s das placas que estão no gráfico.png"/>
                    <pic:cNvPicPr/>
                  </pic:nvPicPr>
                  <pic:blipFill rotWithShape="1">
                    <a:blip r:embed="rId14">
                      <a:extLst>
                        <a:ext uri="{28A0092B-C50C-407E-A947-70E740481C1C}">
                          <a14:useLocalDpi xmlns:a14="http://schemas.microsoft.com/office/drawing/2010/main" val="0"/>
                        </a:ext>
                      </a:extLst>
                    </a:blip>
                    <a:srcRect l="1024" r="1332"/>
                    <a:stretch/>
                  </pic:blipFill>
                  <pic:spPr bwMode="auto">
                    <a:xfrm>
                      <a:off x="0" y="0"/>
                      <a:ext cx="4020299" cy="2631938"/>
                    </a:xfrm>
                    <a:prstGeom prst="rect">
                      <a:avLst/>
                    </a:prstGeom>
                    <a:ln>
                      <a:noFill/>
                    </a:ln>
                    <a:extLst>
                      <a:ext uri="{53640926-AAD7-44D8-BBD7-CCE9431645EC}">
                        <a14:shadowObscured xmlns:a14="http://schemas.microsoft.com/office/drawing/2010/main"/>
                      </a:ext>
                    </a:extLst>
                  </pic:spPr>
                </pic:pic>
              </a:graphicData>
            </a:graphic>
          </wp:inline>
        </w:drawing>
      </w:r>
    </w:p>
    <w:p w:rsidR="00C0126B" w:rsidRPr="008E52EF" w:rsidRDefault="00C0126B" w:rsidP="00C0126B">
      <w:pPr>
        <w:pStyle w:val="CETCaption"/>
      </w:pPr>
      <w:r w:rsidRPr="00B57B36">
        <w:t xml:space="preserve">Figure </w:t>
      </w:r>
      <w:r>
        <w:t>3</w:t>
      </w:r>
      <w:r w:rsidRPr="00B57B36">
        <w:t xml:space="preserve">: </w:t>
      </w:r>
      <w:r w:rsidRPr="002D56EE">
        <w:t xml:space="preserve"> </w:t>
      </w:r>
      <w:r w:rsidR="00D80CD4" w:rsidRPr="00D80CD4">
        <w:t xml:space="preserve">Analysis of the surface area covered by the ImageJ software of the </w:t>
      </w:r>
      <w:r w:rsidR="00D80CD4">
        <w:t>panels</w:t>
      </w:r>
      <w:r w:rsidR="00D80CD4" w:rsidRPr="00D80CD4">
        <w:t xml:space="preserve"> after 25 days submerged in the Port of Recife, Recife - PE. Top images: treatment for analysis of the area covered by ImageJ software. Images below: corresponding real </w:t>
      </w:r>
      <w:r w:rsidR="00D80CD4">
        <w:t>panels</w:t>
      </w:r>
      <w:r w:rsidRPr="002D56EE">
        <w:t>.</w:t>
      </w:r>
    </w:p>
    <w:p w:rsidR="000014BF" w:rsidRPr="0081756D" w:rsidRDefault="00F6084C" w:rsidP="000014BF">
      <w:pPr>
        <w:pStyle w:val="CETBodytext"/>
      </w:pPr>
      <w:r>
        <w:t>The widespread use of toxic biocides in antifouling paints has introduced high levels of contamination into the environment and raised concerns about its toxic effects on marine communities.</w:t>
      </w:r>
      <w:r w:rsidR="00DA28F8">
        <w:t xml:space="preserve"> </w:t>
      </w:r>
      <w:r>
        <w:t>Natural product antifouling is one of the most promising alternatives to replace the used antifouling agents which are both toxic and non-biodegradable. Thus, when using new environmentally-friendly products, high levels of contamination in the environment are avoided. As in the case of the present research, the use of residual materials to obtain substances with special functions was used.</w:t>
      </w:r>
    </w:p>
    <w:p w:rsidR="00600535" w:rsidRPr="000014BF" w:rsidRDefault="00600535" w:rsidP="000014BF">
      <w:pPr>
        <w:pStyle w:val="CETHeading1"/>
        <w:rPr>
          <w:lang w:val="en-GB"/>
        </w:rPr>
      </w:pPr>
      <w:r w:rsidRPr="000014BF">
        <w:rPr>
          <w:lang w:val="en-GB"/>
        </w:rPr>
        <w:t>Conclusions</w:t>
      </w:r>
    </w:p>
    <w:p w:rsidR="00600535" w:rsidRPr="007A3605" w:rsidRDefault="00A851C4" w:rsidP="00600535">
      <w:pPr>
        <w:pStyle w:val="CETBodytext"/>
      </w:pPr>
      <w:r w:rsidRPr="00A851C4">
        <w:t>The compositions tested from the Matrix, Matrix + laurate and Matrix + hydroxylated acid showed very promising antifouling activity during the period tested. The results demonstrated that it is possible to obtain natural surfactants with antifouling activity from residual sources. However, in order to obtain a more effective antifouling protection response, the concentration of the natural surfactants in the matrix must be increased, as well as time-to-time release of the compounds in the environment as the behavior of these substances present in the composition of the matrix and the various synthesized surfactants act differently depending on the polarity of the fluids or materials where they are placed.</w:t>
      </w:r>
    </w:p>
    <w:p w:rsidR="00600535" w:rsidRPr="00B57B36" w:rsidRDefault="00600535" w:rsidP="00600535">
      <w:pPr>
        <w:pStyle w:val="CETAcknowledgementstitle"/>
      </w:pPr>
      <w:r w:rsidRPr="00B57B36">
        <w:t>Acknowledgments</w:t>
      </w:r>
    </w:p>
    <w:p w:rsidR="00600535" w:rsidRPr="00B57B36" w:rsidRDefault="008C7547" w:rsidP="00600535">
      <w:pPr>
        <w:pStyle w:val="CETBodytext"/>
        <w:rPr>
          <w:lang w:val="en-GB"/>
        </w:rPr>
      </w:pPr>
      <w:r w:rsidRPr="008C7547">
        <w:rPr>
          <w:lang w:val="en-GB"/>
        </w:rPr>
        <w:t xml:space="preserve">This study was funded by the Research and Development Program from National Agency of Electrical Energy (ANEEL) and Thermoelectric </w:t>
      </w:r>
      <w:proofErr w:type="spellStart"/>
      <w:r w:rsidRPr="008C7547">
        <w:rPr>
          <w:lang w:val="en-GB"/>
        </w:rPr>
        <w:t>Termopernambuco</w:t>
      </w:r>
      <w:proofErr w:type="spellEnd"/>
      <w:r w:rsidRPr="008C7547">
        <w:rPr>
          <w:lang w:val="en-GB"/>
        </w:rPr>
        <w:t xml:space="preserve"> (TERMOPE), the Foundation for the Support of Science and Technology of the State of Pernambuco (FACEPE), the National Council for Scientific and Technological Development (</w:t>
      </w:r>
      <w:proofErr w:type="spellStart"/>
      <w:r w:rsidRPr="008C7547">
        <w:rPr>
          <w:lang w:val="en-GB"/>
        </w:rPr>
        <w:t>CNPq</w:t>
      </w:r>
      <w:proofErr w:type="spellEnd"/>
      <w:r w:rsidRPr="008C7547">
        <w:rPr>
          <w:lang w:val="en-GB"/>
        </w:rPr>
        <w:t xml:space="preserve">), and the Coordination for the Improvement of </w:t>
      </w:r>
      <w:r w:rsidR="00E20611" w:rsidRPr="008C7547">
        <w:rPr>
          <w:lang w:val="en-GB"/>
        </w:rPr>
        <w:t>Higher-Level</w:t>
      </w:r>
      <w:r w:rsidRPr="008C7547">
        <w:rPr>
          <w:lang w:val="en-GB"/>
        </w:rPr>
        <w:t xml:space="preserve"> Education Personnel (CAPES). The authors are grateful to the Centre of Sciences and Technology of the </w:t>
      </w:r>
      <w:proofErr w:type="spellStart"/>
      <w:r w:rsidRPr="008C7547">
        <w:rPr>
          <w:lang w:val="en-GB"/>
        </w:rPr>
        <w:t>Universidade</w:t>
      </w:r>
      <w:proofErr w:type="spellEnd"/>
      <w:r w:rsidRPr="008C7547">
        <w:rPr>
          <w:lang w:val="en-GB"/>
        </w:rPr>
        <w:t xml:space="preserve"> </w:t>
      </w:r>
      <w:proofErr w:type="spellStart"/>
      <w:r w:rsidRPr="008C7547">
        <w:rPr>
          <w:lang w:val="en-GB"/>
        </w:rPr>
        <w:t>Católica</w:t>
      </w:r>
      <w:proofErr w:type="spellEnd"/>
      <w:r w:rsidRPr="008C7547">
        <w:rPr>
          <w:lang w:val="en-GB"/>
        </w:rPr>
        <w:t xml:space="preserve"> de Pernambuco and to the Advanced Institute of Technology and Innovation (IATI), Brazil.</w:t>
      </w:r>
    </w:p>
    <w:p w:rsidR="00E65B91" w:rsidRPr="007A3605" w:rsidRDefault="00600535" w:rsidP="00C771D8">
      <w:pPr>
        <w:pStyle w:val="CETReference"/>
        <w:rPr>
          <w:lang w:val="pt-BR"/>
        </w:rPr>
      </w:pPr>
      <w:proofErr w:type="spellStart"/>
      <w:r w:rsidRPr="007A3605">
        <w:rPr>
          <w:lang w:val="pt-BR"/>
        </w:rPr>
        <w:t>References</w:t>
      </w:r>
      <w:proofErr w:type="spellEnd"/>
    </w:p>
    <w:p w:rsidR="009B59DB" w:rsidRPr="007A3605" w:rsidRDefault="00E2336A" w:rsidP="009B59DB">
      <w:pPr>
        <w:widowControl w:val="0"/>
        <w:autoSpaceDE w:val="0"/>
        <w:autoSpaceDN w:val="0"/>
        <w:adjustRightInd w:val="0"/>
        <w:spacing w:line="240" w:lineRule="auto"/>
        <w:ind w:left="480" w:hanging="480"/>
        <w:rPr>
          <w:rFonts w:cs="Arial"/>
          <w:noProof/>
          <w:szCs w:val="24"/>
          <w:lang w:val="pt-BR"/>
        </w:rPr>
      </w:pPr>
      <w:r>
        <w:fldChar w:fldCharType="begin" w:fldLock="1"/>
      </w:r>
      <w:r w:rsidRPr="007A3605">
        <w:rPr>
          <w:lang w:val="pt-BR"/>
        </w:rPr>
        <w:instrText xml:space="preserve">ADDIN Mendeley Bibliography CSL_BIBLIOGRAPHY </w:instrText>
      </w:r>
      <w:r>
        <w:fldChar w:fldCharType="separate"/>
      </w:r>
      <w:r w:rsidR="009B59DB" w:rsidRPr="007A3605">
        <w:rPr>
          <w:rFonts w:cs="Arial"/>
          <w:noProof/>
          <w:szCs w:val="24"/>
          <w:lang w:val="pt-BR"/>
        </w:rPr>
        <w:t xml:space="preserve">Acevedo, M.S., Puentes, C., Carreño, K., León, J.G., Stupak, M., García, M., Pérez, M., Blustein, G., 2013. </w:t>
      </w:r>
      <w:r w:rsidR="009B59DB" w:rsidRPr="009B59DB">
        <w:rPr>
          <w:rFonts w:cs="Arial"/>
          <w:noProof/>
          <w:szCs w:val="24"/>
        </w:rPr>
        <w:t xml:space="preserve">Antifouling paints based on marine natural products from Colombian Caribbean. </w:t>
      </w:r>
      <w:r w:rsidR="009B59DB" w:rsidRPr="007A3605">
        <w:rPr>
          <w:rFonts w:cs="Arial"/>
          <w:noProof/>
          <w:szCs w:val="24"/>
          <w:lang w:val="pt-BR"/>
        </w:rPr>
        <w:t>Int Biodeterior Biodegradation 83, 97–104. https://doi.org/10.1016/j.ibiod.2013.05.002</w:t>
      </w:r>
    </w:p>
    <w:p w:rsidR="009B59DB" w:rsidRPr="009B59DB" w:rsidRDefault="009B59DB" w:rsidP="009B59DB">
      <w:pPr>
        <w:widowControl w:val="0"/>
        <w:autoSpaceDE w:val="0"/>
        <w:autoSpaceDN w:val="0"/>
        <w:adjustRightInd w:val="0"/>
        <w:spacing w:line="240" w:lineRule="auto"/>
        <w:ind w:left="480" w:hanging="480"/>
        <w:rPr>
          <w:rFonts w:cs="Arial"/>
          <w:noProof/>
          <w:szCs w:val="24"/>
        </w:rPr>
      </w:pPr>
      <w:r w:rsidRPr="007A3605">
        <w:rPr>
          <w:rFonts w:cs="Arial"/>
          <w:noProof/>
          <w:szCs w:val="24"/>
          <w:lang w:val="pt-BR"/>
        </w:rPr>
        <w:t xml:space="preserve">Almeida, D.G., Soares da Silva, R. de C.F., Luna, J.M., Rufino, R.D., Santos, V.A., Banat, I.M., Sarubbo, L.A., 2016. </w:t>
      </w:r>
      <w:r w:rsidRPr="009B59DB">
        <w:rPr>
          <w:rFonts w:cs="Arial"/>
          <w:noProof/>
          <w:szCs w:val="24"/>
        </w:rPr>
        <w:t>Biosurfactants: Promising Molecules for Petroleum Biotechnology Advances. Front Microbiol 7, 1718. https://doi.org/10.3389/fmicb.2016.01718</w:t>
      </w:r>
    </w:p>
    <w:p w:rsidR="009B59DB" w:rsidRPr="009B59DB" w:rsidRDefault="009B59DB" w:rsidP="009B59DB">
      <w:pPr>
        <w:widowControl w:val="0"/>
        <w:autoSpaceDE w:val="0"/>
        <w:autoSpaceDN w:val="0"/>
        <w:adjustRightInd w:val="0"/>
        <w:spacing w:line="240" w:lineRule="auto"/>
        <w:ind w:left="480" w:hanging="480"/>
        <w:rPr>
          <w:rFonts w:cs="Arial"/>
          <w:noProof/>
          <w:szCs w:val="24"/>
        </w:rPr>
      </w:pPr>
      <w:r w:rsidRPr="007A3605">
        <w:rPr>
          <w:rFonts w:cs="Arial"/>
          <w:noProof/>
          <w:szCs w:val="24"/>
          <w:lang w:val="pt-BR"/>
        </w:rPr>
        <w:t xml:space="preserve">Araujo, L.V. de, Guimarães, C.R., Marquita, R.L. da S., Santiago, V.M.J., de Souza, M.P., Nitschke, M., Freire, D.M.G., 2016. </w:t>
      </w:r>
      <w:r w:rsidRPr="009B59DB">
        <w:rPr>
          <w:rFonts w:cs="Arial"/>
          <w:noProof/>
          <w:szCs w:val="24"/>
        </w:rPr>
        <w:t>Rhamnolipid and surfactin: Anti-adhesion/antibiofilm and antimicrobial effects. Food Control 63, 171–178. https://doi.org/10.1016/J.FOODCONT.2015.11.036</w:t>
      </w:r>
    </w:p>
    <w:p w:rsidR="009B59DB" w:rsidRPr="009B59DB" w:rsidRDefault="009B59DB" w:rsidP="009B59DB">
      <w:pPr>
        <w:widowControl w:val="0"/>
        <w:autoSpaceDE w:val="0"/>
        <w:autoSpaceDN w:val="0"/>
        <w:adjustRightInd w:val="0"/>
        <w:spacing w:line="240" w:lineRule="auto"/>
        <w:ind w:left="480" w:hanging="480"/>
        <w:rPr>
          <w:rFonts w:cs="Arial"/>
          <w:noProof/>
          <w:szCs w:val="24"/>
        </w:rPr>
      </w:pPr>
      <w:r w:rsidRPr="009B59DB">
        <w:rPr>
          <w:rFonts w:cs="Arial"/>
          <w:noProof/>
          <w:szCs w:val="24"/>
        </w:rPr>
        <w:t xml:space="preserve">Bressy, Christine; Lejars, M., 2014. Marine Fouling : An Overview Marine Fouling An Overview. J Ocean Technol </w:t>
      </w:r>
      <w:r w:rsidRPr="009B59DB">
        <w:rPr>
          <w:rFonts w:cs="Arial"/>
          <w:noProof/>
          <w:szCs w:val="24"/>
        </w:rPr>
        <w:lastRenderedPageBreak/>
        <w:t>9.</w:t>
      </w:r>
    </w:p>
    <w:p w:rsidR="009B59DB" w:rsidRPr="009B59DB" w:rsidRDefault="009B59DB" w:rsidP="009B59DB">
      <w:pPr>
        <w:widowControl w:val="0"/>
        <w:autoSpaceDE w:val="0"/>
        <w:autoSpaceDN w:val="0"/>
        <w:adjustRightInd w:val="0"/>
        <w:spacing w:line="240" w:lineRule="auto"/>
        <w:ind w:left="480" w:hanging="480"/>
        <w:rPr>
          <w:rFonts w:cs="Arial"/>
          <w:noProof/>
          <w:szCs w:val="24"/>
        </w:rPr>
      </w:pPr>
      <w:r w:rsidRPr="009B59DB">
        <w:rPr>
          <w:rFonts w:cs="Arial"/>
          <w:noProof/>
          <w:szCs w:val="24"/>
        </w:rPr>
        <w:t>Cristiani, P., 2005. Solutions to fouling in power station condensers. Appl Therm Eng 25, 2630–2640. https://doi.org/10.1016/j.applthermaleng.2004.11.029</w:t>
      </w:r>
    </w:p>
    <w:p w:rsidR="009B59DB" w:rsidRPr="009B59DB" w:rsidRDefault="009B59DB" w:rsidP="009B59DB">
      <w:pPr>
        <w:widowControl w:val="0"/>
        <w:autoSpaceDE w:val="0"/>
        <w:autoSpaceDN w:val="0"/>
        <w:adjustRightInd w:val="0"/>
        <w:spacing w:line="240" w:lineRule="auto"/>
        <w:ind w:left="480" w:hanging="480"/>
        <w:rPr>
          <w:rFonts w:cs="Arial"/>
          <w:noProof/>
          <w:szCs w:val="24"/>
        </w:rPr>
      </w:pPr>
      <w:r w:rsidRPr="009B59DB">
        <w:rPr>
          <w:rFonts w:cs="Arial"/>
          <w:noProof/>
          <w:szCs w:val="24"/>
        </w:rPr>
        <w:t>Damodaran, V.B., Murthy, N.S., 2016. Bio-inspired strategies for designing antifouling biomaterials. Biomater Res 20, 18. https://doi.org/10.1186/s40824-016-0064-4</w:t>
      </w:r>
    </w:p>
    <w:p w:rsidR="009B59DB" w:rsidRPr="007A3605" w:rsidRDefault="009B59DB" w:rsidP="009B59DB">
      <w:pPr>
        <w:widowControl w:val="0"/>
        <w:autoSpaceDE w:val="0"/>
        <w:autoSpaceDN w:val="0"/>
        <w:adjustRightInd w:val="0"/>
        <w:spacing w:line="240" w:lineRule="auto"/>
        <w:ind w:left="480" w:hanging="480"/>
        <w:rPr>
          <w:rFonts w:cs="Arial"/>
          <w:noProof/>
          <w:szCs w:val="24"/>
          <w:lang w:val="pt-BR"/>
        </w:rPr>
      </w:pPr>
      <w:r w:rsidRPr="009B59DB">
        <w:rPr>
          <w:rFonts w:cs="Arial"/>
          <w:noProof/>
          <w:szCs w:val="24"/>
        </w:rPr>
        <w:t xml:space="preserve">Dey, S., Malik, S., Ghosh, A., Saha, R., Saha, B., 2015. A review on natural surfactants. </w:t>
      </w:r>
      <w:r w:rsidRPr="007A3605">
        <w:rPr>
          <w:rFonts w:cs="Arial"/>
          <w:noProof/>
          <w:szCs w:val="24"/>
          <w:lang w:val="pt-BR"/>
        </w:rPr>
        <w:t>RSC Adv 5, 65757–65767. https://doi.org/10.1039/c5ra11101c</w:t>
      </w:r>
    </w:p>
    <w:p w:rsidR="009B59DB" w:rsidRPr="009B59DB" w:rsidRDefault="009B59DB" w:rsidP="009B59DB">
      <w:pPr>
        <w:widowControl w:val="0"/>
        <w:autoSpaceDE w:val="0"/>
        <w:autoSpaceDN w:val="0"/>
        <w:adjustRightInd w:val="0"/>
        <w:spacing w:line="240" w:lineRule="auto"/>
        <w:ind w:left="480" w:hanging="480"/>
        <w:rPr>
          <w:rFonts w:cs="Arial"/>
          <w:noProof/>
          <w:szCs w:val="24"/>
        </w:rPr>
      </w:pPr>
      <w:r w:rsidRPr="007A3605">
        <w:rPr>
          <w:rFonts w:cs="Arial"/>
          <w:noProof/>
          <w:szCs w:val="24"/>
          <w:lang w:val="pt-BR"/>
        </w:rPr>
        <w:t xml:space="preserve">do Nascimento, L.A.S., Tito, L.M.Z., Angélica, R.S., da Costa, C.E.F., Zamian, J.R., da Rocha Filho, G.N., 2011. </w:t>
      </w:r>
      <w:r w:rsidRPr="009B59DB">
        <w:rPr>
          <w:rFonts w:cs="Arial"/>
          <w:noProof/>
          <w:szCs w:val="24"/>
        </w:rPr>
        <w:t>Esterification of oleic acid over solid acid catalysts prepared from Amazon flint kaolin. Appl Catal B Environ 101, 495–503. https://doi.org/10.1016/j.apcatb.2010.10.021</w:t>
      </w:r>
    </w:p>
    <w:p w:rsidR="009B59DB" w:rsidRPr="009B59DB" w:rsidRDefault="009B59DB" w:rsidP="009B59DB">
      <w:pPr>
        <w:widowControl w:val="0"/>
        <w:autoSpaceDE w:val="0"/>
        <w:autoSpaceDN w:val="0"/>
        <w:adjustRightInd w:val="0"/>
        <w:spacing w:line="240" w:lineRule="auto"/>
        <w:ind w:left="480" w:hanging="480"/>
        <w:rPr>
          <w:rFonts w:cs="Arial"/>
          <w:noProof/>
          <w:szCs w:val="24"/>
        </w:rPr>
      </w:pPr>
      <w:r w:rsidRPr="009B59DB">
        <w:rPr>
          <w:rFonts w:cs="Arial"/>
          <w:noProof/>
          <w:szCs w:val="24"/>
        </w:rPr>
        <w:t>Dobretsov, S., 2010. Marine Biofilms. Biofouling 123–136. https://doi.org/10.1002/9781444315462.ch9</w:t>
      </w:r>
    </w:p>
    <w:p w:rsidR="009B59DB" w:rsidRDefault="009B59DB" w:rsidP="009B59DB">
      <w:pPr>
        <w:widowControl w:val="0"/>
        <w:autoSpaceDE w:val="0"/>
        <w:autoSpaceDN w:val="0"/>
        <w:adjustRightInd w:val="0"/>
        <w:spacing w:line="240" w:lineRule="auto"/>
        <w:ind w:left="480" w:hanging="480"/>
        <w:rPr>
          <w:rFonts w:cs="Arial"/>
          <w:noProof/>
          <w:szCs w:val="24"/>
        </w:rPr>
      </w:pPr>
      <w:r w:rsidRPr="009B59DB">
        <w:rPr>
          <w:rFonts w:cs="Arial"/>
          <w:noProof/>
          <w:szCs w:val="24"/>
        </w:rPr>
        <w:t>Doghri, I., Rodrigues, S., Bazire, A., Dufour, A., Akbar, D., Sopena, V., Sablé, S., Lanneluc, I., 2011. Marine bacteria from the French Atlantic coast displaying high forming-biofilm abilities and different biofilm 3D architectures. https://doi.org/10.1186/s12866-015-0568-4</w:t>
      </w:r>
    </w:p>
    <w:p w:rsidR="00DE64C1" w:rsidRPr="00B57B36" w:rsidRDefault="00DE64C1" w:rsidP="00DE64C1">
      <w:pPr>
        <w:pStyle w:val="CETReference-text"/>
      </w:pPr>
      <w:r>
        <w:t>Donlan R.</w:t>
      </w:r>
      <w:r w:rsidRPr="009D3EA4">
        <w:t>M.</w:t>
      </w:r>
      <w:r>
        <w:t>,</w:t>
      </w:r>
      <w:r w:rsidRPr="009D3EA4">
        <w:t xml:space="preserve"> 2002</w:t>
      </w:r>
      <w:r>
        <w:t xml:space="preserve">, </w:t>
      </w:r>
      <w:r w:rsidRPr="009D3EA4">
        <w:t>Biofi</w:t>
      </w:r>
      <w:r>
        <w:t>lms: Microbial Life on Surfaces,</w:t>
      </w:r>
      <w:r w:rsidRPr="009D3EA4">
        <w:t xml:space="preserve"> Emergi</w:t>
      </w:r>
      <w:r>
        <w:t>ng Infectious Diseases, 8, 881–890.</w:t>
      </w:r>
    </w:p>
    <w:p w:rsidR="009B59DB" w:rsidRPr="009B59DB" w:rsidRDefault="009B59DB" w:rsidP="009B59DB">
      <w:pPr>
        <w:widowControl w:val="0"/>
        <w:autoSpaceDE w:val="0"/>
        <w:autoSpaceDN w:val="0"/>
        <w:adjustRightInd w:val="0"/>
        <w:spacing w:line="240" w:lineRule="auto"/>
        <w:ind w:left="480" w:hanging="480"/>
        <w:rPr>
          <w:rFonts w:cs="Arial"/>
          <w:noProof/>
          <w:szCs w:val="24"/>
        </w:rPr>
      </w:pPr>
      <w:r w:rsidRPr="009B59DB">
        <w:rPr>
          <w:rFonts w:cs="Arial"/>
          <w:noProof/>
          <w:szCs w:val="24"/>
        </w:rPr>
        <w:t>Fusetani, N., 2011. Antifouling marine natural products. Nat Prod Rep 28, 400–410. https://doi.org/10.1039/C0NP00034E</w:t>
      </w:r>
    </w:p>
    <w:p w:rsidR="009B59DB" w:rsidRPr="009B59DB" w:rsidRDefault="009B59DB" w:rsidP="009B59DB">
      <w:pPr>
        <w:widowControl w:val="0"/>
        <w:autoSpaceDE w:val="0"/>
        <w:autoSpaceDN w:val="0"/>
        <w:adjustRightInd w:val="0"/>
        <w:spacing w:line="240" w:lineRule="auto"/>
        <w:ind w:left="480" w:hanging="480"/>
        <w:rPr>
          <w:rFonts w:cs="Arial"/>
          <w:noProof/>
          <w:szCs w:val="24"/>
        </w:rPr>
      </w:pPr>
      <w:r w:rsidRPr="009B59DB">
        <w:rPr>
          <w:rFonts w:cs="Arial"/>
          <w:noProof/>
          <w:szCs w:val="24"/>
        </w:rPr>
        <w:t>Gittens, J.E., Smith, T.J., Suleiman, R., Akid, R., 2013. Current and emerging environmentally-friendly systems for fouling control in the marine environment. Biotechnol Adv 31, 1738–1753. https://doi.org/10.1016/j.biotechadv.2013.09.002</w:t>
      </w:r>
    </w:p>
    <w:p w:rsidR="009B59DB" w:rsidRPr="009B59DB" w:rsidRDefault="009B59DB" w:rsidP="009B59DB">
      <w:pPr>
        <w:widowControl w:val="0"/>
        <w:autoSpaceDE w:val="0"/>
        <w:autoSpaceDN w:val="0"/>
        <w:adjustRightInd w:val="0"/>
        <w:spacing w:line="240" w:lineRule="auto"/>
        <w:ind w:left="480" w:hanging="480"/>
        <w:rPr>
          <w:rFonts w:cs="Arial"/>
          <w:noProof/>
          <w:szCs w:val="24"/>
        </w:rPr>
      </w:pPr>
      <w:r w:rsidRPr="009B59DB">
        <w:rPr>
          <w:rFonts w:cs="Arial"/>
          <w:noProof/>
          <w:szCs w:val="24"/>
        </w:rPr>
        <w:t>Goto, R., Kado, R., Muramoto, K., Kamiya, H., 1992. Fatty acids as antifoulants in a marine sponge. Biofouling 6, 61–68. https://doi.org/10.1080/08927019209386210</w:t>
      </w:r>
    </w:p>
    <w:p w:rsidR="009B59DB" w:rsidRPr="009B59DB" w:rsidRDefault="009B59DB" w:rsidP="009B59DB">
      <w:pPr>
        <w:widowControl w:val="0"/>
        <w:autoSpaceDE w:val="0"/>
        <w:autoSpaceDN w:val="0"/>
        <w:adjustRightInd w:val="0"/>
        <w:spacing w:line="240" w:lineRule="auto"/>
        <w:ind w:left="480" w:hanging="480"/>
        <w:rPr>
          <w:rFonts w:cs="Arial"/>
          <w:noProof/>
          <w:szCs w:val="24"/>
        </w:rPr>
      </w:pPr>
      <w:r w:rsidRPr="009B59DB">
        <w:rPr>
          <w:rFonts w:cs="Arial"/>
          <w:noProof/>
          <w:szCs w:val="24"/>
        </w:rPr>
        <w:t>Gule, N.P., Begum, N.M., Klumperman, B., 2016. Advances in biofouling mitigation: A review. Crit Rev Environ Sci Technol 46, 535–555. https://doi.org/10.1080/10643389.2015.1114444</w:t>
      </w:r>
    </w:p>
    <w:p w:rsidR="009B59DB" w:rsidRPr="009B59DB" w:rsidRDefault="009B59DB" w:rsidP="009B59DB">
      <w:pPr>
        <w:widowControl w:val="0"/>
        <w:autoSpaceDE w:val="0"/>
        <w:autoSpaceDN w:val="0"/>
        <w:adjustRightInd w:val="0"/>
        <w:spacing w:line="240" w:lineRule="auto"/>
        <w:ind w:left="480" w:hanging="480"/>
        <w:rPr>
          <w:rFonts w:cs="Arial"/>
          <w:noProof/>
          <w:szCs w:val="24"/>
        </w:rPr>
      </w:pPr>
      <w:r w:rsidRPr="009B59DB">
        <w:rPr>
          <w:rFonts w:cs="Arial"/>
          <w:noProof/>
          <w:szCs w:val="24"/>
        </w:rPr>
        <w:t>Jagani, S., Chelikani, R., Kim, D.-S., 2009. Effects of phenol and natural phenolic compounds on biofilm formation by Pseudomonas aeruginosa. Biofouling 25, 321–324. https://doi.org/10.1080/08927010802660854</w:t>
      </w:r>
    </w:p>
    <w:p w:rsidR="009B59DB" w:rsidRPr="009B59DB" w:rsidRDefault="009B59DB" w:rsidP="009B59DB">
      <w:pPr>
        <w:widowControl w:val="0"/>
        <w:autoSpaceDE w:val="0"/>
        <w:autoSpaceDN w:val="0"/>
        <w:adjustRightInd w:val="0"/>
        <w:spacing w:line="240" w:lineRule="auto"/>
        <w:ind w:left="480" w:hanging="480"/>
        <w:rPr>
          <w:rFonts w:cs="Arial"/>
          <w:noProof/>
          <w:szCs w:val="24"/>
        </w:rPr>
      </w:pPr>
      <w:r w:rsidRPr="009B59DB">
        <w:rPr>
          <w:rFonts w:cs="Arial"/>
          <w:noProof/>
          <w:szCs w:val="24"/>
        </w:rPr>
        <w:t>Jerabek, A.S., Wall, K.R., Stallings, C.D., 2016. A practical application of reduced-copper antifouling paint in marine biological research. PeerJ 4, e2213. https://doi.org/10.7717/peerj.2213</w:t>
      </w:r>
    </w:p>
    <w:p w:rsidR="009B59DB" w:rsidRPr="009B59DB" w:rsidRDefault="009B59DB" w:rsidP="009B59DB">
      <w:pPr>
        <w:widowControl w:val="0"/>
        <w:autoSpaceDE w:val="0"/>
        <w:autoSpaceDN w:val="0"/>
        <w:adjustRightInd w:val="0"/>
        <w:spacing w:line="240" w:lineRule="auto"/>
        <w:ind w:left="480" w:hanging="480"/>
        <w:rPr>
          <w:rFonts w:cs="Arial"/>
          <w:noProof/>
          <w:szCs w:val="24"/>
        </w:rPr>
      </w:pPr>
      <w:r w:rsidRPr="009B59DB">
        <w:rPr>
          <w:rFonts w:cs="Arial"/>
          <w:noProof/>
          <w:szCs w:val="24"/>
        </w:rPr>
        <w:t>Maruzzo, D., Aldred, N., Clare, A.S., Høeg, J.T., 2012. Metamorphosis in the cirripede Crustacean Balanus amphitrite. PLoS One 7, 1–8. https://doi.org/10.1371/journal.pone.0037408</w:t>
      </w:r>
    </w:p>
    <w:p w:rsidR="009B59DB" w:rsidRPr="009B59DB" w:rsidRDefault="009B59DB" w:rsidP="009B59DB">
      <w:pPr>
        <w:widowControl w:val="0"/>
        <w:autoSpaceDE w:val="0"/>
        <w:autoSpaceDN w:val="0"/>
        <w:adjustRightInd w:val="0"/>
        <w:spacing w:line="240" w:lineRule="auto"/>
        <w:ind w:left="480" w:hanging="480"/>
        <w:rPr>
          <w:rFonts w:cs="Arial"/>
          <w:noProof/>
          <w:szCs w:val="24"/>
        </w:rPr>
      </w:pPr>
      <w:r w:rsidRPr="009B59DB">
        <w:rPr>
          <w:rFonts w:cs="Arial"/>
          <w:noProof/>
          <w:szCs w:val="24"/>
        </w:rPr>
        <w:t>Palanisamy, S.K., Rajendran, N.M., Marino, A., 2017. Natural Products Diversity of Marine Ascidians (Tunicates; Ascidiacea) and Successful Drugs in Clinical Development. Nat Products Bioprospect 7, 1–111. https://doi.org/10.1007/s13659-016-0115-5</w:t>
      </w:r>
    </w:p>
    <w:p w:rsidR="009B59DB" w:rsidRPr="007A3605" w:rsidRDefault="009B59DB" w:rsidP="009B59DB">
      <w:pPr>
        <w:widowControl w:val="0"/>
        <w:autoSpaceDE w:val="0"/>
        <w:autoSpaceDN w:val="0"/>
        <w:adjustRightInd w:val="0"/>
        <w:spacing w:line="240" w:lineRule="auto"/>
        <w:ind w:left="480" w:hanging="480"/>
        <w:rPr>
          <w:rFonts w:cs="Arial"/>
          <w:noProof/>
          <w:szCs w:val="24"/>
          <w:lang w:val="pt-BR"/>
        </w:rPr>
      </w:pPr>
      <w:r w:rsidRPr="009B59DB">
        <w:rPr>
          <w:rFonts w:cs="Arial"/>
          <w:noProof/>
          <w:szCs w:val="24"/>
        </w:rPr>
        <w:t xml:space="preserve">Parsons, J.B., Yao, J., Frank, M.W., Jackson, P., Rock, C.O., 2012. Membrane disruption by antimicrobial fatty acids releases low-molecular-weight proteins from staphylococcus aureus. </w:t>
      </w:r>
      <w:r w:rsidRPr="007A3605">
        <w:rPr>
          <w:rFonts w:cs="Arial"/>
          <w:noProof/>
          <w:szCs w:val="24"/>
          <w:lang w:val="pt-BR"/>
        </w:rPr>
        <w:t>J Bacteriol 194, 5294–5304. https://doi.org/10.1128/JB.00743-12</w:t>
      </w:r>
    </w:p>
    <w:p w:rsidR="009B59DB" w:rsidRPr="007A3605" w:rsidRDefault="009B59DB" w:rsidP="009B59DB">
      <w:pPr>
        <w:widowControl w:val="0"/>
        <w:autoSpaceDE w:val="0"/>
        <w:autoSpaceDN w:val="0"/>
        <w:adjustRightInd w:val="0"/>
        <w:spacing w:line="240" w:lineRule="auto"/>
        <w:ind w:left="480" w:hanging="480"/>
        <w:rPr>
          <w:rFonts w:cs="Arial"/>
          <w:noProof/>
          <w:szCs w:val="24"/>
          <w:lang w:val="pt-BR"/>
        </w:rPr>
      </w:pPr>
      <w:r w:rsidRPr="007A3605">
        <w:rPr>
          <w:rFonts w:cs="Arial"/>
          <w:noProof/>
          <w:szCs w:val="24"/>
          <w:lang w:val="pt-BR"/>
        </w:rPr>
        <w:t xml:space="preserve">Pinto, M.I.S., Ribeiro, B.G., Guerra, J.M.C., Rufino, R.D., Sarubbo, L.A., Santos, V.A., Luna, J.M., 2018. </w:t>
      </w:r>
      <w:r w:rsidRPr="009B59DB">
        <w:rPr>
          <w:rFonts w:cs="Arial"/>
          <w:noProof/>
          <w:szCs w:val="24"/>
        </w:rPr>
        <w:t xml:space="preserve">Production in bioreactor, toxicity and stability of a low-cost biosurfactant. </w:t>
      </w:r>
      <w:r w:rsidRPr="007A3605">
        <w:rPr>
          <w:rFonts w:cs="Arial"/>
          <w:noProof/>
          <w:szCs w:val="24"/>
          <w:lang w:val="pt-BR"/>
        </w:rPr>
        <w:t>Chem Eng Trans 64, 1–6. https://doi.org/10.3303/CET1864100</w:t>
      </w:r>
    </w:p>
    <w:p w:rsidR="009B59DB" w:rsidRPr="009B59DB" w:rsidRDefault="009B59DB" w:rsidP="009B59DB">
      <w:pPr>
        <w:widowControl w:val="0"/>
        <w:autoSpaceDE w:val="0"/>
        <w:autoSpaceDN w:val="0"/>
        <w:adjustRightInd w:val="0"/>
        <w:spacing w:line="240" w:lineRule="auto"/>
        <w:ind w:left="480" w:hanging="480"/>
        <w:rPr>
          <w:rFonts w:cs="Arial"/>
          <w:noProof/>
          <w:szCs w:val="24"/>
        </w:rPr>
      </w:pPr>
      <w:r w:rsidRPr="007A3605">
        <w:rPr>
          <w:rFonts w:cs="Arial"/>
          <w:noProof/>
          <w:szCs w:val="24"/>
          <w:lang w:val="pt-BR"/>
        </w:rPr>
        <w:t xml:space="preserve">Santos, D.K.F., Rufino, R.D., Luna, J.M., Santos, V.A., Sarubbo, L.A., 2016. </w:t>
      </w:r>
      <w:r w:rsidRPr="009B59DB">
        <w:rPr>
          <w:rFonts w:cs="Arial"/>
          <w:noProof/>
          <w:szCs w:val="24"/>
        </w:rPr>
        <w:t>Biosurfactants: Multifunctional Biomolecules of the 21st Century. Int J Mol Sci 17, 401. https://doi.org/10.3390/ijms17030401</w:t>
      </w:r>
    </w:p>
    <w:p w:rsidR="009B59DB" w:rsidRPr="009B59DB" w:rsidRDefault="009B59DB" w:rsidP="009B59DB">
      <w:pPr>
        <w:widowControl w:val="0"/>
        <w:autoSpaceDE w:val="0"/>
        <w:autoSpaceDN w:val="0"/>
        <w:adjustRightInd w:val="0"/>
        <w:spacing w:line="240" w:lineRule="auto"/>
        <w:ind w:left="480" w:hanging="480"/>
        <w:rPr>
          <w:rFonts w:cs="Arial"/>
          <w:noProof/>
          <w:szCs w:val="24"/>
        </w:rPr>
      </w:pPr>
      <w:r w:rsidRPr="009B59DB">
        <w:rPr>
          <w:rFonts w:cs="Arial"/>
          <w:noProof/>
          <w:szCs w:val="24"/>
        </w:rPr>
        <w:t>Satheesh, S., Ba-akdah, M.A., Al-Sofyani, A.A., 2016. Natural antifouling compound production by microbes associated with marine macroorganisms — A review. Electron J Biotechnol 21, 26–35. https://doi.org/10.1016/j.ejbt.2016.02.002</w:t>
      </w:r>
    </w:p>
    <w:p w:rsidR="009B59DB" w:rsidRPr="007F51D7" w:rsidRDefault="009B59DB" w:rsidP="009B59DB">
      <w:pPr>
        <w:widowControl w:val="0"/>
        <w:autoSpaceDE w:val="0"/>
        <w:autoSpaceDN w:val="0"/>
        <w:adjustRightInd w:val="0"/>
        <w:spacing w:line="240" w:lineRule="auto"/>
        <w:ind w:left="480" w:hanging="480"/>
        <w:rPr>
          <w:rFonts w:cs="Arial"/>
          <w:noProof/>
          <w:szCs w:val="24"/>
          <w:lang w:val="en-US"/>
        </w:rPr>
      </w:pPr>
      <w:r w:rsidRPr="009B59DB">
        <w:rPr>
          <w:rFonts w:cs="Arial"/>
          <w:noProof/>
          <w:szCs w:val="24"/>
        </w:rPr>
        <w:t xml:space="preserve">Silva, M.D.G.C., Almeida, D.G., Soares da Silva, R.D.C.F., Meira, H.M., Almeida, F.G., Fernandes, M.L.B., Silva, A.K.P., Santos, V.A., Sarubbo, L.A., 2018. Chemically modified natural substances screening for biofilms inhibition and biofouling control. </w:t>
      </w:r>
      <w:r w:rsidRPr="007F51D7">
        <w:rPr>
          <w:rFonts w:cs="Arial"/>
          <w:noProof/>
          <w:szCs w:val="24"/>
          <w:lang w:val="en-US"/>
        </w:rPr>
        <w:t>Chem Eng Trans 64. https://doi.org/10.3303/CET1864110</w:t>
      </w:r>
    </w:p>
    <w:p w:rsidR="009B59DB" w:rsidRPr="007A3605" w:rsidRDefault="009B59DB" w:rsidP="009B59DB">
      <w:pPr>
        <w:widowControl w:val="0"/>
        <w:autoSpaceDE w:val="0"/>
        <w:autoSpaceDN w:val="0"/>
        <w:adjustRightInd w:val="0"/>
        <w:spacing w:line="240" w:lineRule="auto"/>
        <w:ind w:left="480" w:hanging="480"/>
        <w:rPr>
          <w:rFonts w:cs="Arial"/>
          <w:noProof/>
          <w:szCs w:val="24"/>
          <w:lang w:val="pt-BR"/>
        </w:rPr>
      </w:pPr>
      <w:r w:rsidRPr="009B59DB">
        <w:rPr>
          <w:rFonts w:cs="Arial"/>
          <w:noProof/>
          <w:szCs w:val="24"/>
        </w:rPr>
        <w:t xml:space="preserve">Sivapathasekaran, C., Sen, R., 2017. Origin, properties, production and purification of microbial surfactants as molecules with immense commercial potential. </w:t>
      </w:r>
      <w:r w:rsidRPr="007A3605">
        <w:rPr>
          <w:rFonts w:cs="Arial"/>
          <w:noProof/>
          <w:szCs w:val="24"/>
          <w:lang w:val="pt-BR"/>
        </w:rPr>
        <w:t>Tenside, Surfactants, Deterg 54, 92–104. https://doi.org/10.3139/113.110482</w:t>
      </w:r>
    </w:p>
    <w:p w:rsidR="009B59DB" w:rsidRPr="009B59DB" w:rsidRDefault="009B59DB" w:rsidP="009B59DB">
      <w:pPr>
        <w:widowControl w:val="0"/>
        <w:autoSpaceDE w:val="0"/>
        <w:autoSpaceDN w:val="0"/>
        <w:adjustRightInd w:val="0"/>
        <w:spacing w:line="240" w:lineRule="auto"/>
        <w:ind w:left="480" w:hanging="480"/>
        <w:rPr>
          <w:rFonts w:cs="Arial"/>
          <w:noProof/>
        </w:rPr>
      </w:pPr>
      <w:r w:rsidRPr="007A3605">
        <w:rPr>
          <w:rFonts w:cs="Arial"/>
          <w:noProof/>
          <w:szCs w:val="24"/>
          <w:lang w:val="pt-BR"/>
        </w:rPr>
        <w:t xml:space="preserve">Soares da Silva, R. de C.F., Almeida, D.G., Meira, H.M., Silva, E.J., Farias, B.B., Rufino, R.D., Luna, J.M., Sarubbo, L.A., 2017. </w:t>
      </w:r>
      <w:r w:rsidRPr="009B59DB">
        <w:rPr>
          <w:rFonts w:cs="Arial"/>
          <w:noProof/>
          <w:szCs w:val="24"/>
        </w:rPr>
        <w:t>Production and characterization of a new biosurfactant from Pseudomonas cepacia grown in low-cost fermentative medium and its application in the oil industry. Biocatal Agric Biotechnol. https://doi.org/10.1016/J.BCAB.2017.09.004</w:t>
      </w:r>
    </w:p>
    <w:p w:rsidR="00603F61" w:rsidRPr="004B6D99" w:rsidRDefault="00E2336A" w:rsidP="00F127BF">
      <w:pPr>
        <w:widowControl w:val="0"/>
        <w:autoSpaceDE w:val="0"/>
        <w:autoSpaceDN w:val="0"/>
        <w:adjustRightInd w:val="0"/>
        <w:spacing w:line="240" w:lineRule="auto"/>
        <w:ind w:left="480" w:hanging="480"/>
        <w:rPr>
          <w:color w:val="000000" w:themeColor="text1"/>
        </w:rPr>
      </w:pPr>
      <w:r>
        <w:fldChar w:fldCharType="end"/>
      </w:r>
      <w:proofErr w:type="spellStart"/>
      <w:r w:rsidR="00603F61" w:rsidRPr="004B6D99">
        <w:rPr>
          <w:color w:val="000000" w:themeColor="text1"/>
        </w:rPr>
        <w:t>Soni</w:t>
      </w:r>
      <w:proofErr w:type="spellEnd"/>
      <w:r w:rsidR="00603F61" w:rsidRPr="004B6D99">
        <w:rPr>
          <w:color w:val="000000" w:themeColor="text1"/>
        </w:rPr>
        <w:t xml:space="preserve"> K.A., </w:t>
      </w:r>
      <w:proofErr w:type="spellStart"/>
      <w:r w:rsidR="00603F61" w:rsidRPr="004B6D99">
        <w:rPr>
          <w:color w:val="000000" w:themeColor="text1"/>
        </w:rPr>
        <w:t>Jesudhasan</w:t>
      </w:r>
      <w:proofErr w:type="spellEnd"/>
      <w:r w:rsidR="00603F61" w:rsidRPr="004B6D99">
        <w:rPr>
          <w:color w:val="000000" w:themeColor="text1"/>
        </w:rPr>
        <w:t xml:space="preserve"> P., Cepeda M., Widmer K., </w:t>
      </w:r>
      <w:proofErr w:type="spellStart"/>
      <w:r w:rsidR="00603F61" w:rsidRPr="004B6D99">
        <w:rPr>
          <w:color w:val="000000" w:themeColor="text1"/>
        </w:rPr>
        <w:t>Jayaprakasha</w:t>
      </w:r>
      <w:proofErr w:type="spellEnd"/>
      <w:r w:rsidR="00603F61" w:rsidRPr="004B6D99">
        <w:rPr>
          <w:color w:val="000000" w:themeColor="text1"/>
        </w:rPr>
        <w:t xml:space="preserve"> G.K., Patil B.S., Hume M.E., Pillai S.D., 2008, Identification of ground beef-derived fatty acid inhibitors of autoinducer-2-based cell signalling, Journal of Food Protection, 71, 134–138.</w:t>
      </w:r>
    </w:p>
    <w:sectPr w:rsidR="00603F61" w:rsidRPr="004B6D99"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2E33" w:rsidRDefault="00FE2E33" w:rsidP="004F5E36">
      <w:r>
        <w:separator/>
      </w:r>
    </w:p>
  </w:endnote>
  <w:endnote w:type="continuationSeparator" w:id="0">
    <w:p w:rsidR="00FE2E33" w:rsidRDefault="00FE2E3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2E33" w:rsidRDefault="00FE2E33" w:rsidP="004F5E36">
      <w:r>
        <w:separator/>
      </w:r>
    </w:p>
  </w:footnote>
  <w:footnote w:type="continuationSeparator" w:id="0">
    <w:p w:rsidR="00FE2E33" w:rsidRDefault="00FE2E33"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4BF"/>
    <w:rsid w:val="000027C0"/>
    <w:rsid w:val="00003E18"/>
    <w:rsid w:val="00004F97"/>
    <w:rsid w:val="000052FB"/>
    <w:rsid w:val="00010F40"/>
    <w:rsid w:val="000117CB"/>
    <w:rsid w:val="0002673D"/>
    <w:rsid w:val="0003148D"/>
    <w:rsid w:val="00041029"/>
    <w:rsid w:val="00044627"/>
    <w:rsid w:val="00047D7F"/>
    <w:rsid w:val="00051566"/>
    <w:rsid w:val="0005447B"/>
    <w:rsid w:val="00055535"/>
    <w:rsid w:val="000570F2"/>
    <w:rsid w:val="00062A9A"/>
    <w:rsid w:val="00062E13"/>
    <w:rsid w:val="00065058"/>
    <w:rsid w:val="00070E72"/>
    <w:rsid w:val="00075453"/>
    <w:rsid w:val="00086C39"/>
    <w:rsid w:val="00091AE8"/>
    <w:rsid w:val="000A039E"/>
    <w:rsid w:val="000A03B2"/>
    <w:rsid w:val="000A0D5C"/>
    <w:rsid w:val="000A3B79"/>
    <w:rsid w:val="000B0ACC"/>
    <w:rsid w:val="000B1230"/>
    <w:rsid w:val="000B210D"/>
    <w:rsid w:val="000B6963"/>
    <w:rsid w:val="000D34BE"/>
    <w:rsid w:val="000D3CE4"/>
    <w:rsid w:val="000E102F"/>
    <w:rsid w:val="000E36F1"/>
    <w:rsid w:val="000E3A73"/>
    <w:rsid w:val="000E414A"/>
    <w:rsid w:val="000F093C"/>
    <w:rsid w:val="000F16BD"/>
    <w:rsid w:val="000F547D"/>
    <w:rsid w:val="000F73B3"/>
    <w:rsid w:val="000F787B"/>
    <w:rsid w:val="00100A36"/>
    <w:rsid w:val="00100BFD"/>
    <w:rsid w:val="00101D5B"/>
    <w:rsid w:val="0011466B"/>
    <w:rsid w:val="001179CA"/>
    <w:rsid w:val="0012091F"/>
    <w:rsid w:val="00126BC2"/>
    <w:rsid w:val="001308B6"/>
    <w:rsid w:val="0013121F"/>
    <w:rsid w:val="00131FAB"/>
    <w:rsid w:val="00131FE6"/>
    <w:rsid w:val="0013263F"/>
    <w:rsid w:val="00134DE4"/>
    <w:rsid w:val="0014034D"/>
    <w:rsid w:val="00150E59"/>
    <w:rsid w:val="00152DE3"/>
    <w:rsid w:val="00157F02"/>
    <w:rsid w:val="00162642"/>
    <w:rsid w:val="00164CF9"/>
    <w:rsid w:val="00176C71"/>
    <w:rsid w:val="0018103D"/>
    <w:rsid w:val="00184AD6"/>
    <w:rsid w:val="00193BFD"/>
    <w:rsid w:val="001A35CE"/>
    <w:rsid w:val="001B0349"/>
    <w:rsid w:val="001B1E23"/>
    <w:rsid w:val="001B65C1"/>
    <w:rsid w:val="001C1459"/>
    <w:rsid w:val="001C684B"/>
    <w:rsid w:val="001D53FC"/>
    <w:rsid w:val="001E62F9"/>
    <w:rsid w:val="001F26CB"/>
    <w:rsid w:val="001F42A5"/>
    <w:rsid w:val="001F7B9D"/>
    <w:rsid w:val="00202787"/>
    <w:rsid w:val="00206B6E"/>
    <w:rsid w:val="00211F67"/>
    <w:rsid w:val="002224B4"/>
    <w:rsid w:val="00241E8E"/>
    <w:rsid w:val="002447EF"/>
    <w:rsid w:val="00251550"/>
    <w:rsid w:val="00251798"/>
    <w:rsid w:val="00252C1A"/>
    <w:rsid w:val="00254B40"/>
    <w:rsid w:val="00255624"/>
    <w:rsid w:val="00255D2E"/>
    <w:rsid w:val="00263B05"/>
    <w:rsid w:val="0027221A"/>
    <w:rsid w:val="002753CF"/>
    <w:rsid w:val="00275B61"/>
    <w:rsid w:val="00282656"/>
    <w:rsid w:val="002866C3"/>
    <w:rsid w:val="00290C2A"/>
    <w:rsid w:val="00293D39"/>
    <w:rsid w:val="002943A0"/>
    <w:rsid w:val="00296B83"/>
    <w:rsid w:val="002B208D"/>
    <w:rsid w:val="002B78CE"/>
    <w:rsid w:val="002C2FB6"/>
    <w:rsid w:val="002C597A"/>
    <w:rsid w:val="002D56EE"/>
    <w:rsid w:val="002D584A"/>
    <w:rsid w:val="002D5BCD"/>
    <w:rsid w:val="002F4380"/>
    <w:rsid w:val="002F44B3"/>
    <w:rsid w:val="003009B7"/>
    <w:rsid w:val="00300E56"/>
    <w:rsid w:val="00301048"/>
    <w:rsid w:val="00302633"/>
    <w:rsid w:val="0030469C"/>
    <w:rsid w:val="003127E0"/>
    <w:rsid w:val="0031461C"/>
    <w:rsid w:val="00321CA6"/>
    <w:rsid w:val="003254D4"/>
    <w:rsid w:val="00334C09"/>
    <w:rsid w:val="003365E3"/>
    <w:rsid w:val="003723D4"/>
    <w:rsid w:val="00384CC8"/>
    <w:rsid w:val="003871FD"/>
    <w:rsid w:val="0038728B"/>
    <w:rsid w:val="0039134B"/>
    <w:rsid w:val="0039592D"/>
    <w:rsid w:val="003A1E30"/>
    <w:rsid w:val="003A7D1C"/>
    <w:rsid w:val="003B2EBC"/>
    <w:rsid w:val="003B304B"/>
    <w:rsid w:val="003B3146"/>
    <w:rsid w:val="003B60F3"/>
    <w:rsid w:val="003C4867"/>
    <w:rsid w:val="003C66FF"/>
    <w:rsid w:val="003D181A"/>
    <w:rsid w:val="003D42A1"/>
    <w:rsid w:val="003E4B14"/>
    <w:rsid w:val="003E5DE3"/>
    <w:rsid w:val="003F015E"/>
    <w:rsid w:val="003F53EA"/>
    <w:rsid w:val="003F5A5C"/>
    <w:rsid w:val="00400414"/>
    <w:rsid w:val="00411784"/>
    <w:rsid w:val="0041446B"/>
    <w:rsid w:val="004200DF"/>
    <w:rsid w:val="004220FA"/>
    <w:rsid w:val="004334AB"/>
    <w:rsid w:val="00440B63"/>
    <w:rsid w:val="0044329C"/>
    <w:rsid w:val="00443DEF"/>
    <w:rsid w:val="004577FE"/>
    <w:rsid w:val="00457B9C"/>
    <w:rsid w:val="0046164A"/>
    <w:rsid w:val="00461942"/>
    <w:rsid w:val="004628D2"/>
    <w:rsid w:val="00462DCD"/>
    <w:rsid w:val="004648AD"/>
    <w:rsid w:val="00466D34"/>
    <w:rsid w:val="00467933"/>
    <w:rsid w:val="00470146"/>
    <w:rsid w:val="004703A9"/>
    <w:rsid w:val="004760DE"/>
    <w:rsid w:val="0048133D"/>
    <w:rsid w:val="00493602"/>
    <w:rsid w:val="004958B3"/>
    <w:rsid w:val="004A004E"/>
    <w:rsid w:val="004A24CF"/>
    <w:rsid w:val="004A5F14"/>
    <w:rsid w:val="004A6DDF"/>
    <w:rsid w:val="004B0747"/>
    <w:rsid w:val="004B5152"/>
    <w:rsid w:val="004B542C"/>
    <w:rsid w:val="004B6721"/>
    <w:rsid w:val="004C3D1D"/>
    <w:rsid w:val="004C3F97"/>
    <w:rsid w:val="004C7913"/>
    <w:rsid w:val="004E4DD6"/>
    <w:rsid w:val="004E6563"/>
    <w:rsid w:val="004F14D1"/>
    <w:rsid w:val="004F5E36"/>
    <w:rsid w:val="004F6812"/>
    <w:rsid w:val="00505CDB"/>
    <w:rsid w:val="00507B47"/>
    <w:rsid w:val="00507CC9"/>
    <w:rsid w:val="005119A5"/>
    <w:rsid w:val="0051219D"/>
    <w:rsid w:val="005278B7"/>
    <w:rsid w:val="00532016"/>
    <w:rsid w:val="005346C8"/>
    <w:rsid w:val="00537D48"/>
    <w:rsid w:val="00541BDE"/>
    <w:rsid w:val="00543E7D"/>
    <w:rsid w:val="00546B05"/>
    <w:rsid w:val="00547A68"/>
    <w:rsid w:val="005531C9"/>
    <w:rsid w:val="00582B34"/>
    <w:rsid w:val="005946F2"/>
    <w:rsid w:val="005A1CBA"/>
    <w:rsid w:val="005B2110"/>
    <w:rsid w:val="005B3E22"/>
    <w:rsid w:val="005B56F4"/>
    <w:rsid w:val="005B61E6"/>
    <w:rsid w:val="005C1C34"/>
    <w:rsid w:val="005C377D"/>
    <w:rsid w:val="005C77E1"/>
    <w:rsid w:val="005D6A2F"/>
    <w:rsid w:val="005D720A"/>
    <w:rsid w:val="005E1A82"/>
    <w:rsid w:val="005E6D6E"/>
    <w:rsid w:val="005E794C"/>
    <w:rsid w:val="005F0A28"/>
    <w:rsid w:val="005F0E5E"/>
    <w:rsid w:val="00600535"/>
    <w:rsid w:val="00602DE8"/>
    <w:rsid w:val="00603F61"/>
    <w:rsid w:val="0060573E"/>
    <w:rsid w:val="00610CD6"/>
    <w:rsid w:val="0061766A"/>
    <w:rsid w:val="00620DEE"/>
    <w:rsid w:val="00621F92"/>
    <w:rsid w:val="00625639"/>
    <w:rsid w:val="00631B33"/>
    <w:rsid w:val="00635E7A"/>
    <w:rsid w:val="0064184D"/>
    <w:rsid w:val="006422CC"/>
    <w:rsid w:val="00655EA5"/>
    <w:rsid w:val="006608C6"/>
    <w:rsid w:val="00660E3E"/>
    <w:rsid w:val="00662E74"/>
    <w:rsid w:val="00667A99"/>
    <w:rsid w:val="00680C23"/>
    <w:rsid w:val="0068658D"/>
    <w:rsid w:val="00687F14"/>
    <w:rsid w:val="006917E2"/>
    <w:rsid w:val="00693766"/>
    <w:rsid w:val="006A3281"/>
    <w:rsid w:val="006A3E67"/>
    <w:rsid w:val="006A63F8"/>
    <w:rsid w:val="006B4888"/>
    <w:rsid w:val="006C2E45"/>
    <w:rsid w:val="006C359C"/>
    <w:rsid w:val="006C3D3A"/>
    <w:rsid w:val="006C5579"/>
    <w:rsid w:val="006D553E"/>
    <w:rsid w:val="006E1F7C"/>
    <w:rsid w:val="006E737D"/>
    <w:rsid w:val="0070195D"/>
    <w:rsid w:val="007040EB"/>
    <w:rsid w:val="00705438"/>
    <w:rsid w:val="007163C3"/>
    <w:rsid w:val="00720A24"/>
    <w:rsid w:val="0073104C"/>
    <w:rsid w:val="00732386"/>
    <w:rsid w:val="007445B3"/>
    <w:rsid w:val="007447F3"/>
    <w:rsid w:val="007505AD"/>
    <w:rsid w:val="007525AF"/>
    <w:rsid w:val="0075499F"/>
    <w:rsid w:val="007661C8"/>
    <w:rsid w:val="0077098D"/>
    <w:rsid w:val="00773DA1"/>
    <w:rsid w:val="007741AE"/>
    <w:rsid w:val="00774480"/>
    <w:rsid w:val="00782AF4"/>
    <w:rsid w:val="007931FA"/>
    <w:rsid w:val="007A0750"/>
    <w:rsid w:val="007A3158"/>
    <w:rsid w:val="007A3605"/>
    <w:rsid w:val="007A4128"/>
    <w:rsid w:val="007A7BBA"/>
    <w:rsid w:val="007B0C50"/>
    <w:rsid w:val="007C00A2"/>
    <w:rsid w:val="007C1A43"/>
    <w:rsid w:val="007C6842"/>
    <w:rsid w:val="007E0098"/>
    <w:rsid w:val="007E1DC6"/>
    <w:rsid w:val="007E49BC"/>
    <w:rsid w:val="007F51D7"/>
    <w:rsid w:val="007F619B"/>
    <w:rsid w:val="0081276A"/>
    <w:rsid w:val="00813288"/>
    <w:rsid w:val="0081520B"/>
    <w:rsid w:val="008168FC"/>
    <w:rsid w:val="0081756D"/>
    <w:rsid w:val="00822709"/>
    <w:rsid w:val="00830996"/>
    <w:rsid w:val="008345F1"/>
    <w:rsid w:val="00844C7D"/>
    <w:rsid w:val="00865B07"/>
    <w:rsid w:val="008667EA"/>
    <w:rsid w:val="00867D3B"/>
    <w:rsid w:val="0087637F"/>
    <w:rsid w:val="00881432"/>
    <w:rsid w:val="008904B9"/>
    <w:rsid w:val="00892565"/>
    <w:rsid w:val="00892AD5"/>
    <w:rsid w:val="0089354E"/>
    <w:rsid w:val="008A1512"/>
    <w:rsid w:val="008A573F"/>
    <w:rsid w:val="008B572E"/>
    <w:rsid w:val="008B67E8"/>
    <w:rsid w:val="008C592D"/>
    <w:rsid w:val="008C7547"/>
    <w:rsid w:val="008C78C1"/>
    <w:rsid w:val="008D048C"/>
    <w:rsid w:val="008D32B9"/>
    <w:rsid w:val="008D433B"/>
    <w:rsid w:val="008E40E0"/>
    <w:rsid w:val="008E4618"/>
    <w:rsid w:val="008E52EF"/>
    <w:rsid w:val="008E566E"/>
    <w:rsid w:val="008E7DE7"/>
    <w:rsid w:val="0090161A"/>
    <w:rsid w:val="00901EB6"/>
    <w:rsid w:val="00902EEC"/>
    <w:rsid w:val="00904C62"/>
    <w:rsid w:val="00912706"/>
    <w:rsid w:val="00915C3B"/>
    <w:rsid w:val="00924DAC"/>
    <w:rsid w:val="009261AF"/>
    <w:rsid w:val="00927058"/>
    <w:rsid w:val="0094038A"/>
    <w:rsid w:val="009450CE"/>
    <w:rsid w:val="00947179"/>
    <w:rsid w:val="0095164B"/>
    <w:rsid w:val="009529B9"/>
    <w:rsid w:val="00954090"/>
    <w:rsid w:val="009564CB"/>
    <w:rsid w:val="009573E7"/>
    <w:rsid w:val="00957A0A"/>
    <w:rsid w:val="009635B9"/>
    <w:rsid w:val="00963E05"/>
    <w:rsid w:val="00967D54"/>
    <w:rsid w:val="009759E4"/>
    <w:rsid w:val="00987D49"/>
    <w:rsid w:val="00992768"/>
    <w:rsid w:val="00996483"/>
    <w:rsid w:val="00996F5A"/>
    <w:rsid w:val="009A0A3E"/>
    <w:rsid w:val="009A70AA"/>
    <w:rsid w:val="009B041A"/>
    <w:rsid w:val="009B59DB"/>
    <w:rsid w:val="009B5BF6"/>
    <w:rsid w:val="009C7C86"/>
    <w:rsid w:val="009D2FF7"/>
    <w:rsid w:val="009E7884"/>
    <w:rsid w:val="009E788A"/>
    <w:rsid w:val="009F0E08"/>
    <w:rsid w:val="00A1763D"/>
    <w:rsid w:val="00A17CEC"/>
    <w:rsid w:val="00A2753F"/>
    <w:rsid w:val="00A27EF0"/>
    <w:rsid w:val="00A321BE"/>
    <w:rsid w:val="00A42564"/>
    <w:rsid w:val="00A4309C"/>
    <w:rsid w:val="00A50B20"/>
    <w:rsid w:val="00A51390"/>
    <w:rsid w:val="00A5159E"/>
    <w:rsid w:val="00A60D13"/>
    <w:rsid w:val="00A6441B"/>
    <w:rsid w:val="00A657D0"/>
    <w:rsid w:val="00A66256"/>
    <w:rsid w:val="00A72745"/>
    <w:rsid w:val="00A75635"/>
    <w:rsid w:val="00A76EFC"/>
    <w:rsid w:val="00A851C4"/>
    <w:rsid w:val="00A91010"/>
    <w:rsid w:val="00A97F29"/>
    <w:rsid w:val="00AA1154"/>
    <w:rsid w:val="00AA702E"/>
    <w:rsid w:val="00AB0964"/>
    <w:rsid w:val="00AB5011"/>
    <w:rsid w:val="00AB7C47"/>
    <w:rsid w:val="00AC5269"/>
    <w:rsid w:val="00AC7368"/>
    <w:rsid w:val="00AD077F"/>
    <w:rsid w:val="00AD16B9"/>
    <w:rsid w:val="00AD61B2"/>
    <w:rsid w:val="00AD65B0"/>
    <w:rsid w:val="00AE09BF"/>
    <w:rsid w:val="00AE0F3A"/>
    <w:rsid w:val="00AE377D"/>
    <w:rsid w:val="00B0572C"/>
    <w:rsid w:val="00B1304A"/>
    <w:rsid w:val="00B17FBD"/>
    <w:rsid w:val="00B24283"/>
    <w:rsid w:val="00B315A6"/>
    <w:rsid w:val="00B31813"/>
    <w:rsid w:val="00B320C3"/>
    <w:rsid w:val="00B33365"/>
    <w:rsid w:val="00B50F58"/>
    <w:rsid w:val="00B57183"/>
    <w:rsid w:val="00B57B36"/>
    <w:rsid w:val="00B60546"/>
    <w:rsid w:val="00B66325"/>
    <w:rsid w:val="00B71D6E"/>
    <w:rsid w:val="00B8686D"/>
    <w:rsid w:val="00BA39FF"/>
    <w:rsid w:val="00BA3B38"/>
    <w:rsid w:val="00BA7DFB"/>
    <w:rsid w:val="00BB2976"/>
    <w:rsid w:val="00BB4239"/>
    <w:rsid w:val="00BC30C9"/>
    <w:rsid w:val="00BD656F"/>
    <w:rsid w:val="00BE3E58"/>
    <w:rsid w:val="00BE6B1C"/>
    <w:rsid w:val="00BF1644"/>
    <w:rsid w:val="00BF6129"/>
    <w:rsid w:val="00C0126B"/>
    <w:rsid w:val="00C01616"/>
    <w:rsid w:val="00C0162B"/>
    <w:rsid w:val="00C02D1B"/>
    <w:rsid w:val="00C04884"/>
    <w:rsid w:val="00C05D83"/>
    <w:rsid w:val="00C345B1"/>
    <w:rsid w:val="00C40142"/>
    <w:rsid w:val="00C4238A"/>
    <w:rsid w:val="00C5088C"/>
    <w:rsid w:val="00C53099"/>
    <w:rsid w:val="00C543C2"/>
    <w:rsid w:val="00C5476E"/>
    <w:rsid w:val="00C56B51"/>
    <w:rsid w:val="00C57182"/>
    <w:rsid w:val="00C57863"/>
    <w:rsid w:val="00C655FD"/>
    <w:rsid w:val="00C74192"/>
    <w:rsid w:val="00C771D8"/>
    <w:rsid w:val="00C81C1E"/>
    <w:rsid w:val="00C870A8"/>
    <w:rsid w:val="00C90776"/>
    <w:rsid w:val="00C94434"/>
    <w:rsid w:val="00CA0D75"/>
    <w:rsid w:val="00CA1C95"/>
    <w:rsid w:val="00CA2980"/>
    <w:rsid w:val="00CA5A9C"/>
    <w:rsid w:val="00CB3475"/>
    <w:rsid w:val="00CB765E"/>
    <w:rsid w:val="00CD3517"/>
    <w:rsid w:val="00CD538A"/>
    <w:rsid w:val="00CD5A00"/>
    <w:rsid w:val="00CD5FE2"/>
    <w:rsid w:val="00CE7C68"/>
    <w:rsid w:val="00CF109F"/>
    <w:rsid w:val="00D022AE"/>
    <w:rsid w:val="00D02B4C"/>
    <w:rsid w:val="00D040C4"/>
    <w:rsid w:val="00D16927"/>
    <w:rsid w:val="00D227B9"/>
    <w:rsid w:val="00D54285"/>
    <w:rsid w:val="00D57C84"/>
    <w:rsid w:val="00D6057D"/>
    <w:rsid w:val="00D60D23"/>
    <w:rsid w:val="00D623DD"/>
    <w:rsid w:val="00D65747"/>
    <w:rsid w:val="00D708E0"/>
    <w:rsid w:val="00D73FC0"/>
    <w:rsid w:val="00D80CD4"/>
    <w:rsid w:val="00D84576"/>
    <w:rsid w:val="00D97E7E"/>
    <w:rsid w:val="00DA1399"/>
    <w:rsid w:val="00DA24C6"/>
    <w:rsid w:val="00DA28F8"/>
    <w:rsid w:val="00DA4D7B"/>
    <w:rsid w:val="00DB06F1"/>
    <w:rsid w:val="00DB79A3"/>
    <w:rsid w:val="00DE1592"/>
    <w:rsid w:val="00DE264A"/>
    <w:rsid w:val="00DE64C1"/>
    <w:rsid w:val="00DF667D"/>
    <w:rsid w:val="00E02D18"/>
    <w:rsid w:val="00E041E7"/>
    <w:rsid w:val="00E04273"/>
    <w:rsid w:val="00E06122"/>
    <w:rsid w:val="00E20611"/>
    <w:rsid w:val="00E2336A"/>
    <w:rsid w:val="00E23CA1"/>
    <w:rsid w:val="00E2401F"/>
    <w:rsid w:val="00E267EA"/>
    <w:rsid w:val="00E26995"/>
    <w:rsid w:val="00E32C05"/>
    <w:rsid w:val="00E409A8"/>
    <w:rsid w:val="00E46BAC"/>
    <w:rsid w:val="00E471CD"/>
    <w:rsid w:val="00E50C12"/>
    <w:rsid w:val="00E65B91"/>
    <w:rsid w:val="00E66B0E"/>
    <w:rsid w:val="00E7209D"/>
    <w:rsid w:val="00E72164"/>
    <w:rsid w:val="00E77223"/>
    <w:rsid w:val="00E8528B"/>
    <w:rsid w:val="00E85B94"/>
    <w:rsid w:val="00E86764"/>
    <w:rsid w:val="00E978D0"/>
    <w:rsid w:val="00EA25FC"/>
    <w:rsid w:val="00EA4613"/>
    <w:rsid w:val="00EA7F91"/>
    <w:rsid w:val="00EB1523"/>
    <w:rsid w:val="00EB6FA7"/>
    <w:rsid w:val="00EC0E49"/>
    <w:rsid w:val="00EC2726"/>
    <w:rsid w:val="00ED55F8"/>
    <w:rsid w:val="00EE0131"/>
    <w:rsid w:val="00EE0702"/>
    <w:rsid w:val="00EE1090"/>
    <w:rsid w:val="00EF03B7"/>
    <w:rsid w:val="00EF058F"/>
    <w:rsid w:val="00EF4414"/>
    <w:rsid w:val="00F127BF"/>
    <w:rsid w:val="00F155B2"/>
    <w:rsid w:val="00F2339A"/>
    <w:rsid w:val="00F249E8"/>
    <w:rsid w:val="00F30C64"/>
    <w:rsid w:val="00F32CDB"/>
    <w:rsid w:val="00F37F9E"/>
    <w:rsid w:val="00F439ED"/>
    <w:rsid w:val="00F6084C"/>
    <w:rsid w:val="00F63A70"/>
    <w:rsid w:val="00F7574A"/>
    <w:rsid w:val="00F76758"/>
    <w:rsid w:val="00F94FE2"/>
    <w:rsid w:val="00FA21D0"/>
    <w:rsid w:val="00FA4114"/>
    <w:rsid w:val="00FA5F5F"/>
    <w:rsid w:val="00FA6D31"/>
    <w:rsid w:val="00FB730C"/>
    <w:rsid w:val="00FC2695"/>
    <w:rsid w:val="00FC3E03"/>
    <w:rsid w:val="00FC3FC1"/>
    <w:rsid w:val="00FC4B4F"/>
    <w:rsid w:val="00FC4E84"/>
    <w:rsid w:val="00FC7D86"/>
    <w:rsid w:val="00FD2725"/>
    <w:rsid w:val="00FD7929"/>
    <w:rsid w:val="00FE1058"/>
    <w:rsid w:val="00FE2E33"/>
    <w:rsid w:val="00FE70D9"/>
    <w:rsid w:val="00FF5B90"/>
    <w:rsid w:val="00FF64FC"/>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73ACA7"/>
  <w15:docId w15:val="{D8833855-4738-4A7F-A6F2-7DBDE782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0B210D"/>
    <w:pPr>
      <w:keepNext/>
      <w:suppressAutoHyphens/>
      <w:spacing w:before="120" w:after="120" w:line="240" w:lineRule="auto"/>
      <w:jc w:val="both"/>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0B210D"/>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character" w:styleId="MenoPendente">
    <w:name w:val="Unresolved Mention"/>
    <w:basedOn w:val="Fontepargpadro"/>
    <w:uiPriority w:val="99"/>
    <w:semiHidden/>
    <w:unhideWhenUsed/>
    <w:rsid w:val="00FE1058"/>
    <w:rPr>
      <w:color w:val="605E5C"/>
      <w:shd w:val="clear" w:color="auto" w:fill="E1DFDD"/>
    </w:rPr>
  </w:style>
  <w:style w:type="paragraph" w:customStyle="1" w:styleId="CETReference-text">
    <w:name w:val="CET Reference-text"/>
    <w:rsid w:val="00603F61"/>
    <w:pPr>
      <w:spacing w:after="0" w:line="264" w:lineRule="auto"/>
      <w:ind w:left="284" w:hanging="284"/>
      <w:jc w:val="both"/>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C28FE-B735-4742-AC50-BAECB7DF6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16766</Words>
  <Characters>90538</Characters>
  <Application>Microsoft Office Word</Application>
  <DocSecurity>0</DocSecurity>
  <Lines>754</Lines>
  <Paragraphs>214</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107090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Maria da Glória Silva</cp:lastModifiedBy>
  <cp:revision>2</cp:revision>
  <cp:lastPrinted>2015-05-12T18:31:00Z</cp:lastPrinted>
  <dcterms:created xsi:type="dcterms:W3CDTF">2019-04-02T18:57:00Z</dcterms:created>
  <dcterms:modified xsi:type="dcterms:W3CDTF">2019-04-02T18:57:00Z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d13da72c-a5b9-390a-922e-62cfef8a922e</vt:lpwstr>
  </property>
  <property fmtid="{D5CDD505-2E9C-101B-9397-08002B2CF9AE}" pid="6" name="Mendeley Citation Style_1">
    <vt:lpwstr>http://www.zotero.org/styles/biotechnology-advances</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6th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vt:lpwstr>
  </property>
  <property fmtid="{D5CDD505-2E9C-101B-9397-08002B2CF9AE}" pid="15" name="Mendeley Recent Style Id 4_1">
    <vt:lpwstr>http://www.zotero.org/styles/biotechnology-advances</vt:lpwstr>
  </property>
  <property fmtid="{D5CDD505-2E9C-101B-9397-08002B2CF9AE}" pid="16" name="Mendeley Recent Style Name 4_1">
    <vt:lpwstr>Biotechnology Advances</vt:lpwstr>
  </property>
  <property fmtid="{D5CDD505-2E9C-101B-9397-08002B2CF9AE}" pid="17" name="Mendeley Recent Style Id 5_1">
    <vt:lpwstr>http://www.zotero.org/styles/chicago-author-date</vt:lpwstr>
  </property>
  <property fmtid="{D5CDD505-2E9C-101B-9397-08002B2CF9AE}" pid="18" name="Mendeley Recent Style Name 5_1">
    <vt:lpwstr>Chicago Manual of Style 17th edition (author-date)</vt:lpwstr>
  </property>
  <property fmtid="{D5CDD505-2E9C-101B-9397-08002B2CF9AE}" pid="19" name="Mendeley Recent Style Id 6_1">
    <vt:lpwstr>http://www.zotero.org/styles/harvard-cite-them-right</vt:lpwstr>
  </property>
  <property fmtid="{D5CDD505-2E9C-101B-9397-08002B2CF9AE}" pid="20" name="Mendeley Recent Style Name 6_1">
    <vt:lpwstr>Cite Them Right 10th edition - Harvard</vt:lpwstr>
  </property>
  <property fmtid="{D5CDD505-2E9C-101B-9397-08002B2CF9AE}" pid="21" name="Mendeley Recent Style Id 7_1">
    <vt:lpwstr>http://www.zotero.org/styles/ieee</vt:lpwstr>
  </property>
  <property fmtid="{D5CDD505-2E9C-101B-9397-08002B2CF9AE}" pid="22" name="Mendeley Recent Style Name 7_1">
    <vt:lpwstr>IEEE</vt:lpwstr>
  </property>
  <property fmtid="{D5CDD505-2E9C-101B-9397-08002B2CF9AE}" pid="23" name="Mendeley Recent Style Id 8_1">
    <vt:lpwstr>http://www.zotero.org/styles/associacao-brasileira-de-normas-tecnicas-ipea</vt:lpwstr>
  </property>
  <property fmtid="{D5CDD505-2E9C-101B-9397-08002B2CF9AE}" pid="24" name="Mendeley Recent Style Name 8_1">
    <vt:lpwstr>Instituto de Pesquisa Econômica Aplicada - ABNT (Portuguese - Brazil)</vt:lpwstr>
  </property>
  <property fmtid="{D5CDD505-2E9C-101B-9397-08002B2CF9AE}" pid="25" name="Mendeley Recent Style Id 9_1">
    <vt:lpwstr>http://www.zotero.org/styles/modern-humanities-research-association</vt:lpwstr>
  </property>
  <property fmtid="{D5CDD505-2E9C-101B-9397-08002B2CF9AE}" pid="26" name="Mendeley Recent Style Name 9_1">
    <vt:lpwstr>Modern Humanities Research Association 3rd edition (note with bibliography)</vt:lpwstr>
  </property>
</Properties>
</file>