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1312D38" w14:textId="77777777">
        <w:trPr>
          <w:trHeight w:val="852"/>
          <w:jc w:val="center"/>
        </w:trPr>
        <w:tc>
          <w:tcPr>
            <w:tcW w:w="6946" w:type="dxa"/>
            <w:vMerge w:val="restart"/>
            <w:tcBorders>
              <w:right w:val="single" w:sz="4" w:space="0" w:color="auto"/>
            </w:tcBorders>
          </w:tcPr>
          <w:p w14:paraId="594CB974"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pt-BR" w:eastAsia="pt-BR"/>
              </w:rPr>
              <w:drawing>
                <wp:inline distT="0" distB="0" distL="0" distR="0" wp14:anchorId="7F62C391" wp14:editId="0AF5891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F736CDB"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3A2405F8"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1305D10A" w14:textId="77777777" w:rsidR="000A03B2" w:rsidRPr="00B57B36" w:rsidRDefault="000A03B2" w:rsidP="00CD5FE2">
            <w:pPr>
              <w:jc w:val="right"/>
            </w:pPr>
            <w:r w:rsidRPr="00B57B36">
              <w:rPr>
                <w:noProof/>
                <w:lang w:val="pt-BR" w:eastAsia="pt-BR"/>
              </w:rPr>
              <w:drawing>
                <wp:inline distT="0" distB="0" distL="0" distR="0" wp14:anchorId="0899E5B2" wp14:editId="130D8E1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85AFB8D" w14:textId="77777777">
        <w:trPr>
          <w:trHeight w:val="567"/>
          <w:jc w:val="center"/>
        </w:trPr>
        <w:tc>
          <w:tcPr>
            <w:tcW w:w="6946" w:type="dxa"/>
            <w:vMerge/>
            <w:tcBorders>
              <w:right w:val="single" w:sz="4" w:space="0" w:color="auto"/>
            </w:tcBorders>
          </w:tcPr>
          <w:p w14:paraId="36A0AD36"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D21D1B9"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25778FA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6CE0321"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248B168C" w14:textId="77777777">
        <w:trPr>
          <w:trHeight w:val="68"/>
          <w:jc w:val="center"/>
        </w:trPr>
        <w:tc>
          <w:tcPr>
            <w:tcW w:w="8789" w:type="dxa"/>
            <w:gridSpan w:val="2"/>
          </w:tcPr>
          <w:p w14:paraId="35714616"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559A891E"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06ECB9C0"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429EB9C4" w14:textId="77777777" w:rsidR="00E978D0" w:rsidRPr="00B57B36" w:rsidRDefault="009C6AAC" w:rsidP="00E978D0">
      <w:pPr>
        <w:pStyle w:val="CETTitle"/>
      </w:pPr>
      <w:r w:rsidRPr="009C6AAC">
        <w:t>A greener olefination process to produce alkenoic acids from levulinic acid</w:t>
      </w:r>
    </w:p>
    <w:p w14:paraId="5E4964D3" w14:textId="77777777" w:rsidR="00E978D0" w:rsidRPr="00B57B36" w:rsidRDefault="00F21C99" w:rsidP="00AB5011">
      <w:pPr>
        <w:pStyle w:val="CETAuthors"/>
      </w:pPr>
      <w:r>
        <w:t>Juliana O. Bahú</w:t>
      </w:r>
      <w:r>
        <w:rPr>
          <w:vertAlign w:val="superscript"/>
        </w:rPr>
        <w:t>*</w:t>
      </w:r>
      <w:r w:rsidR="00600535" w:rsidRPr="00B57B36">
        <w:t xml:space="preserve">, </w:t>
      </w:r>
      <w:r w:rsidRPr="00F21C99">
        <w:t>Maria I. R. B. Schiavon, Anderson J. Bonon, Rubens Maciel Filho</w:t>
      </w:r>
    </w:p>
    <w:p w14:paraId="40ADDD93" w14:textId="77777777" w:rsidR="00E978D0" w:rsidRPr="00B57B36" w:rsidRDefault="00F21C99" w:rsidP="00F21C99">
      <w:pPr>
        <w:pStyle w:val="CETAddress"/>
        <w:jc w:val="both"/>
      </w:pPr>
      <w:r w:rsidRPr="00F21C99">
        <w:t xml:space="preserve">INCT - Biofabris - University of Campinas, School of Chemical Engineering, Av. Albert Einstein, 500, CEP 13083-852, Campinas, SP, Brazil. </w:t>
      </w:r>
      <w:r w:rsidR="00E978D0" w:rsidRPr="00B57B36">
        <w:t xml:space="preserve"> </w:t>
      </w:r>
    </w:p>
    <w:p w14:paraId="691A31F5" w14:textId="77777777" w:rsidR="00E978D0" w:rsidRDefault="009C6AAC" w:rsidP="00F21C99">
      <w:pPr>
        <w:pStyle w:val="CETemail"/>
        <w:jc w:val="both"/>
      </w:pPr>
      <w:r>
        <w:t>juliana.bahu@gmail.com</w:t>
      </w:r>
    </w:p>
    <w:p w14:paraId="2CFB70E0" w14:textId="77777777" w:rsidR="00C3072D" w:rsidRDefault="00C3072D" w:rsidP="00C3072D">
      <w:pPr>
        <w:pStyle w:val="CETBodytext"/>
      </w:pPr>
      <w:r w:rsidRPr="00C3072D">
        <w:t>Levulinic acid (LA) is a bifunctional compound with high reactivity that can be produced by acid hydrolysis of biomass. Its ketone group can be functionalized to an olefinic bond via Wittig reaction. However, this reactional system usually involves multiple steps and uses highly toxic raw materials. This study aims to produce alkenoic acids derived from LA via Wittig reaction using a greener process. For this, we evaluated the olefination of LA in the presence of different bases (NaHCO</w:t>
      </w:r>
      <w:r w:rsidRPr="00C370F8">
        <w:rPr>
          <w:vertAlign w:val="subscript"/>
        </w:rPr>
        <w:t>3</w:t>
      </w:r>
      <w:r w:rsidRPr="00C3072D">
        <w:t>, Na</w:t>
      </w:r>
      <w:r w:rsidRPr="00C370F8">
        <w:rPr>
          <w:vertAlign w:val="subscript"/>
        </w:rPr>
        <w:t>2</w:t>
      </w:r>
      <w:r w:rsidRPr="00C3072D">
        <w:t>CO</w:t>
      </w:r>
      <w:r w:rsidRPr="00C370F8">
        <w:rPr>
          <w:vertAlign w:val="subscript"/>
        </w:rPr>
        <w:t>3</w:t>
      </w:r>
      <w:r w:rsidRPr="00C3072D">
        <w:t>, and NaOH) and isopropanol as solvent (reduced toxicity). The products were identified by mass spectrometry, observing positive results for NaHCO</w:t>
      </w:r>
      <w:r w:rsidRPr="00C370F8">
        <w:rPr>
          <w:vertAlign w:val="subscript"/>
        </w:rPr>
        <w:t>3</w:t>
      </w:r>
      <w:r w:rsidRPr="00C3072D">
        <w:t>. The fragmentation mechanisms for the alkenoic acid ions (4-methyl-hex-4-enoic acid, m/z 127, and 4-methyl-hept-4-enoic acid, m/z 141) confirmed their production by the proposed process.</w:t>
      </w:r>
    </w:p>
    <w:p w14:paraId="4526184B" w14:textId="77777777" w:rsidR="001778CB" w:rsidRPr="00C3072D" w:rsidRDefault="001778CB" w:rsidP="00C3072D">
      <w:pPr>
        <w:pStyle w:val="CETBodytext"/>
      </w:pPr>
    </w:p>
    <w:p w14:paraId="617EC3B2" w14:textId="77777777" w:rsidR="00600535" w:rsidRDefault="00600535" w:rsidP="00600535">
      <w:pPr>
        <w:pStyle w:val="CETHeading1"/>
        <w:rPr>
          <w:lang w:val="en-GB"/>
        </w:rPr>
      </w:pPr>
      <w:r w:rsidRPr="00B57B36">
        <w:rPr>
          <w:lang w:val="en-GB"/>
        </w:rPr>
        <w:t>Introduction</w:t>
      </w:r>
    </w:p>
    <w:p w14:paraId="57266452" w14:textId="77777777" w:rsidR="00F5620B" w:rsidRPr="00F5620B" w:rsidRDefault="00F5620B" w:rsidP="00F5620B">
      <w:pPr>
        <w:pStyle w:val="CETBodytext"/>
        <w:rPr>
          <w:lang w:val="en-GB"/>
        </w:rPr>
      </w:pPr>
      <w:r w:rsidRPr="00F5620B">
        <w:rPr>
          <w:lang w:val="en-GB"/>
        </w:rPr>
        <w:t xml:space="preserve">Biorefineries are key-industries to the future, since it involves the development of a sustainable integrated process of biomass, regarding energetic efficiency, economic competitiveness, reduction of environmental impacts </w:t>
      </w:r>
      <w:r w:rsidR="0046324B">
        <w:rPr>
          <w:lang w:val="en-GB"/>
        </w:rPr>
        <w:t xml:space="preserve">(Yamakawa et al., 2018) </w:t>
      </w:r>
      <w:r w:rsidRPr="00F5620B">
        <w:rPr>
          <w:lang w:val="en-GB"/>
        </w:rPr>
        <w:t>and, production of value-added chemical products</w:t>
      </w:r>
      <w:r w:rsidR="006344FF">
        <w:rPr>
          <w:lang w:val="en-GB"/>
        </w:rPr>
        <w:t xml:space="preserve"> (Licursi et al., 2018)</w:t>
      </w:r>
      <w:r w:rsidRPr="00F5620B">
        <w:rPr>
          <w:lang w:val="en-GB"/>
        </w:rPr>
        <w:t>. Considering this, the levulinic acid (LA) that can be obtained by dehydration of hexoses, appears as a promising chemical platform due to its high reactivity (Rackemann and Doherty, 2011). It produces a variety of products for different market segments: fuels</w:t>
      </w:r>
      <w:r w:rsidR="002937D8">
        <w:rPr>
          <w:lang w:val="en-GB"/>
        </w:rPr>
        <w:t xml:space="preserve"> (</w:t>
      </w:r>
      <w:r w:rsidR="002937D8" w:rsidRPr="00F5620B">
        <w:rPr>
          <w:lang w:val="en-GB"/>
        </w:rPr>
        <w:t>Zhang et al</w:t>
      </w:r>
      <w:r w:rsidR="005F6D6B">
        <w:rPr>
          <w:lang w:val="en-GB"/>
        </w:rPr>
        <w:t>.</w:t>
      </w:r>
      <w:r w:rsidR="002937D8" w:rsidRPr="00F5620B">
        <w:rPr>
          <w:lang w:val="en-GB"/>
        </w:rPr>
        <w:t>, 2012</w:t>
      </w:r>
      <w:r w:rsidR="002937D8">
        <w:rPr>
          <w:lang w:val="en-GB"/>
        </w:rPr>
        <w:t>)</w:t>
      </w:r>
      <w:r w:rsidRPr="00F5620B">
        <w:rPr>
          <w:lang w:val="en-GB"/>
        </w:rPr>
        <w:t>, additives</w:t>
      </w:r>
      <w:r w:rsidR="00CF3387">
        <w:rPr>
          <w:lang w:val="en-GB"/>
        </w:rPr>
        <w:t xml:space="preserve"> (Protsenko et al., 2016)</w:t>
      </w:r>
      <w:r w:rsidRPr="00F5620B">
        <w:rPr>
          <w:lang w:val="en-GB"/>
        </w:rPr>
        <w:t>, pharmaceuticals, solvents, polymers</w:t>
      </w:r>
      <w:r w:rsidR="00861DF5">
        <w:rPr>
          <w:lang w:val="en-GB"/>
        </w:rPr>
        <w:t xml:space="preserve"> (Hartweg and Becer, 2016)</w:t>
      </w:r>
      <w:r w:rsidRPr="00F5620B">
        <w:rPr>
          <w:lang w:val="en-GB"/>
        </w:rPr>
        <w:t>, plasticizers</w:t>
      </w:r>
      <w:r w:rsidR="00464BF1">
        <w:rPr>
          <w:lang w:val="en-GB"/>
        </w:rPr>
        <w:t xml:space="preserve"> (</w:t>
      </w:r>
      <w:r w:rsidR="00464BF1" w:rsidRPr="00F5620B">
        <w:rPr>
          <w:lang w:val="en-GB"/>
        </w:rPr>
        <w:t>Pileides and Titirici, 2016</w:t>
      </w:r>
      <w:r w:rsidR="00464BF1">
        <w:rPr>
          <w:lang w:val="en-GB"/>
        </w:rPr>
        <w:t>)</w:t>
      </w:r>
      <w:r w:rsidRPr="00F5620B">
        <w:rPr>
          <w:lang w:val="en-GB"/>
        </w:rPr>
        <w:t>, and fine chemicals (</w:t>
      </w:r>
      <w:r w:rsidR="00762119">
        <w:rPr>
          <w:lang w:val="en-GB"/>
        </w:rPr>
        <w:t>Yan et al., 2015</w:t>
      </w:r>
      <w:r w:rsidR="007D372B">
        <w:rPr>
          <w:lang w:val="en-GB"/>
        </w:rPr>
        <w:t xml:space="preserve">; </w:t>
      </w:r>
      <w:r w:rsidRPr="00F5620B">
        <w:rPr>
          <w:lang w:val="en-GB"/>
        </w:rPr>
        <w:t xml:space="preserve">Morone et al., 2015; </w:t>
      </w:r>
      <w:r w:rsidR="002937D8">
        <w:rPr>
          <w:lang w:val="en-GB"/>
        </w:rPr>
        <w:t xml:space="preserve">and </w:t>
      </w:r>
      <w:r w:rsidRPr="00F5620B">
        <w:rPr>
          <w:lang w:val="en-GB"/>
        </w:rPr>
        <w:t>Chalid et al., 2012). Among the bioproducts generated from LA, its alkenoic acid derivatives have high reactivity and market value, making them interesting to the scientific community.</w:t>
      </w:r>
    </w:p>
    <w:p w14:paraId="76E383C3" w14:textId="77777777" w:rsidR="00F5620B" w:rsidRPr="00F5620B" w:rsidRDefault="00F5620B" w:rsidP="00F5620B">
      <w:pPr>
        <w:pStyle w:val="CETBodytext"/>
        <w:rPr>
          <w:lang w:val="en-GB"/>
        </w:rPr>
      </w:pPr>
      <w:r w:rsidRPr="00F5620B">
        <w:rPr>
          <w:lang w:val="en-GB"/>
        </w:rPr>
        <w:t>Currently, alkenoic acids can be produced via Wittig reaction, which is highly regioselective and stereoselective, resulting in olefinic products with well-defined configurations (Carey and Sundberg, 2007). Initially, this reaction requires the Wittig salt formation that is further converted to the active specie (ylide) through proton abstraction with a base. Additionally, purification steps are necessary to isolate the Wittig salts. The classic method of the Wittig reactional system uses organolithium and metallic hydrides as bases, which are non-easy to handle, and the method also uses non-protic polar solvents (i.e. acetonitrile, dimethylformamide, dichloromethane) which are toxic. In this way, a classic methodology for LA olefination to produce cis-jasmone was described by Nakayama et al. (1978). They used a mixture of DMSO-THF as solvent, sodium hydride as base and, 2-carboxy-triphenylethylphosphonium bromide (Wittig salt), representing a not environmentally friendly approach.</w:t>
      </w:r>
    </w:p>
    <w:p w14:paraId="1142D836" w14:textId="77777777" w:rsidR="00F5620B" w:rsidRDefault="00F5620B" w:rsidP="00F5620B">
      <w:pPr>
        <w:pStyle w:val="CETBodytext"/>
        <w:rPr>
          <w:lang w:val="en-GB"/>
        </w:rPr>
      </w:pPr>
      <w:r w:rsidRPr="00F5620B">
        <w:rPr>
          <w:lang w:val="en-GB"/>
        </w:rPr>
        <w:t>Alternatively, a greener olefination process can be achieved. In this paper, we describe a process for LA olefination with a greener approach. First, the Wittig salt step was explored with different alkyl halides (ethyl and n-propyl bromide), with polar protic solvents (ethanol and isopropanol). Second, the LA olefination was conducted with different bases (NaHCO</w:t>
      </w:r>
      <w:r w:rsidRPr="00C370F8">
        <w:rPr>
          <w:vertAlign w:val="subscript"/>
          <w:lang w:val="en-GB"/>
        </w:rPr>
        <w:t>3</w:t>
      </w:r>
      <w:r w:rsidRPr="00F5620B">
        <w:rPr>
          <w:lang w:val="en-GB"/>
        </w:rPr>
        <w:t>, Na</w:t>
      </w:r>
      <w:r w:rsidRPr="00C370F8">
        <w:rPr>
          <w:vertAlign w:val="subscript"/>
          <w:lang w:val="en-GB"/>
        </w:rPr>
        <w:t>2</w:t>
      </w:r>
      <w:r w:rsidRPr="00F5620B">
        <w:rPr>
          <w:lang w:val="en-GB"/>
        </w:rPr>
        <w:t>CO</w:t>
      </w:r>
      <w:r w:rsidRPr="00C370F8">
        <w:rPr>
          <w:vertAlign w:val="subscript"/>
          <w:lang w:val="en-GB"/>
        </w:rPr>
        <w:t>3</w:t>
      </w:r>
      <w:r w:rsidRPr="00F5620B">
        <w:rPr>
          <w:lang w:val="en-GB"/>
        </w:rPr>
        <w:t>, and NaOH) in isopropanol at 80 ºC, since yields above 65</w:t>
      </w:r>
      <w:r w:rsidR="006C680E">
        <w:rPr>
          <w:lang w:val="en-GB"/>
        </w:rPr>
        <w:t xml:space="preserve"> </w:t>
      </w:r>
      <w:r w:rsidRPr="00F5620B">
        <w:rPr>
          <w:lang w:val="en-GB"/>
        </w:rPr>
        <w:t xml:space="preserve">% for the Wittig Salts were observed with this solvent. The olefinic products identified by </w:t>
      </w:r>
      <w:r w:rsidR="00505AEF">
        <w:rPr>
          <w:lang w:val="en-GB"/>
        </w:rPr>
        <w:t>mass</w:t>
      </w:r>
      <w:r w:rsidRPr="00F5620B">
        <w:rPr>
          <w:lang w:val="en-GB"/>
        </w:rPr>
        <w:t xml:space="preserve"> spectrometry indicate that this process is suitable for LA olefination.</w:t>
      </w:r>
    </w:p>
    <w:p w14:paraId="4C6D5992" w14:textId="77777777" w:rsidR="009E235C" w:rsidRPr="009E235C" w:rsidRDefault="009E235C" w:rsidP="009E235C">
      <w:pPr>
        <w:pStyle w:val="CETHeading1"/>
      </w:pPr>
      <w:r w:rsidRPr="009E235C">
        <w:lastRenderedPageBreak/>
        <w:t>Material and Methods</w:t>
      </w:r>
    </w:p>
    <w:p w14:paraId="1A121A98" w14:textId="77777777" w:rsidR="009E235C" w:rsidRPr="009E235C" w:rsidRDefault="009E235C" w:rsidP="009E235C">
      <w:pPr>
        <w:pStyle w:val="CETheadingx"/>
      </w:pPr>
      <w:r w:rsidRPr="009E235C">
        <w:t>Materials</w:t>
      </w:r>
    </w:p>
    <w:p w14:paraId="439309EB" w14:textId="77777777" w:rsidR="009E235C" w:rsidRPr="009E235C" w:rsidRDefault="009E235C" w:rsidP="009E235C">
      <w:pPr>
        <w:pStyle w:val="CETBodytext"/>
        <w:rPr>
          <w:lang w:val="en-GB"/>
        </w:rPr>
      </w:pPr>
      <w:r w:rsidRPr="009E235C">
        <w:rPr>
          <w:lang w:val="en-GB"/>
        </w:rPr>
        <w:t>Bromoethane (99</w:t>
      </w:r>
      <w:r w:rsidR="006C680E">
        <w:rPr>
          <w:lang w:val="en-GB"/>
        </w:rPr>
        <w:t xml:space="preserve"> </w:t>
      </w:r>
      <w:r w:rsidRPr="009E235C">
        <w:rPr>
          <w:lang w:val="en-GB"/>
        </w:rPr>
        <w:t>%), bromopropane (99</w:t>
      </w:r>
      <w:r w:rsidR="006C680E">
        <w:rPr>
          <w:lang w:val="en-GB"/>
        </w:rPr>
        <w:t xml:space="preserve"> </w:t>
      </w:r>
      <w:r w:rsidRPr="009E235C">
        <w:rPr>
          <w:lang w:val="en-GB"/>
        </w:rPr>
        <w:t>%), ethanol (99</w:t>
      </w:r>
      <w:r w:rsidR="006C680E">
        <w:rPr>
          <w:lang w:val="en-GB"/>
        </w:rPr>
        <w:t xml:space="preserve"> </w:t>
      </w:r>
      <w:r w:rsidRPr="009E235C">
        <w:rPr>
          <w:lang w:val="en-GB"/>
        </w:rPr>
        <w:t>%) triphenylphosphine (99</w:t>
      </w:r>
      <w:r w:rsidR="006C680E">
        <w:rPr>
          <w:lang w:val="en-GB"/>
        </w:rPr>
        <w:t xml:space="preserve"> </w:t>
      </w:r>
      <w:r w:rsidRPr="009E235C">
        <w:rPr>
          <w:lang w:val="en-GB"/>
        </w:rPr>
        <w:t>%), sodium bicarbonate (99.7</w:t>
      </w:r>
      <w:r w:rsidR="006C680E">
        <w:rPr>
          <w:lang w:val="en-GB"/>
        </w:rPr>
        <w:t xml:space="preserve"> </w:t>
      </w:r>
      <w:r w:rsidRPr="009E235C">
        <w:rPr>
          <w:lang w:val="en-GB"/>
        </w:rPr>
        <w:t>%), sodium hydroxide (98</w:t>
      </w:r>
      <w:r w:rsidR="006C680E">
        <w:rPr>
          <w:lang w:val="en-GB"/>
        </w:rPr>
        <w:t xml:space="preserve"> </w:t>
      </w:r>
      <w:r w:rsidRPr="009E235C">
        <w:rPr>
          <w:lang w:val="en-GB"/>
        </w:rPr>
        <w:t>%), and levulinic acid (99</w:t>
      </w:r>
      <w:r w:rsidR="006C680E">
        <w:rPr>
          <w:lang w:val="en-GB"/>
        </w:rPr>
        <w:t xml:space="preserve"> </w:t>
      </w:r>
      <w:r w:rsidRPr="009E235C">
        <w:rPr>
          <w:lang w:val="en-GB"/>
        </w:rPr>
        <w:t>%) were purchased from Sigma-Aldrich. Isopropanol (99.5</w:t>
      </w:r>
      <w:r w:rsidR="006C680E">
        <w:rPr>
          <w:lang w:val="en-GB"/>
        </w:rPr>
        <w:t xml:space="preserve"> </w:t>
      </w:r>
      <w:r w:rsidRPr="009E235C">
        <w:rPr>
          <w:lang w:val="en-GB"/>
        </w:rPr>
        <w:t>%) was obtained from Synth, and sodium carbonate (99.5</w:t>
      </w:r>
      <w:r w:rsidR="006C680E">
        <w:rPr>
          <w:lang w:val="en-GB"/>
        </w:rPr>
        <w:t xml:space="preserve"> </w:t>
      </w:r>
      <w:r w:rsidRPr="009E235C">
        <w:rPr>
          <w:lang w:val="en-GB"/>
        </w:rPr>
        <w:t>%) was obtained from Ecibra. All reagents were used as received.</w:t>
      </w:r>
    </w:p>
    <w:p w14:paraId="7AF047E5" w14:textId="77777777" w:rsidR="009E235C" w:rsidRPr="009E235C" w:rsidRDefault="009E235C" w:rsidP="009E235C">
      <w:pPr>
        <w:pStyle w:val="CETheadingx"/>
      </w:pPr>
      <w:r w:rsidRPr="009E235C">
        <w:t>Preparation of Wittig Salts</w:t>
      </w:r>
    </w:p>
    <w:p w14:paraId="6F031FFD" w14:textId="50AA04BD" w:rsidR="009E235C" w:rsidRDefault="009E235C" w:rsidP="009E235C">
      <w:pPr>
        <w:pStyle w:val="CETBodytext"/>
        <w:rPr>
          <w:lang w:val="en-GB"/>
        </w:rPr>
      </w:pPr>
      <w:r w:rsidRPr="009E235C">
        <w:rPr>
          <w:lang w:val="en-GB"/>
        </w:rPr>
        <w:t>The nucleophilic substitution reactions were carried out at 120 ºC, under stirring and reflux condition. A stoichiometric amount (1:1) of alkyl halide (bromoethane or 1-bromopropane) (13 mmol) and triphenylphosphine (13 mmol) in isopropanol (25 mL) was reacted for 20h. The Wittig salts were filtered and washed with ethyl acetate.</w:t>
      </w:r>
      <w:r w:rsidR="002E6771">
        <w:rPr>
          <w:lang w:val="en-GB"/>
        </w:rPr>
        <w:t xml:space="preserve"> The Wittig salts </w:t>
      </w:r>
      <w:r w:rsidR="002E6771" w:rsidRPr="002E6771">
        <w:rPr>
          <w:lang w:val="en-GB"/>
        </w:rPr>
        <w:t xml:space="preserve">yield (Y) was expressed as ratio between the amount </w:t>
      </w:r>
      <w:r w:rsidR="002E6771">
        <w:rPr>
          <w:lang w:val="en-GB"/>
        </w:rPr>
        <w:t xml:space="preserve">obtained </w:t>
      </w:r>
      <w:r w:rsidR="002E6771" w:rsidRPr="002E6771">
        <w:rPr>
          <w:lang w:val="en-GB"/>
        </w:rPr>
        <w:t xml:space="preserve">of the </w:t>
      </w:r>
      <w:r w:rsidR="002E6771">
        <w:rPr>
          <w:lang w:val="en-GB"/>
        </w:rPr>
        <w:t>Wittig salt</w:t>
      </w:r>
      <w:r w:rsidR="002E6771" w:rsidRPr="002E6771">
        <w:rPr>
          <w:lang w:val="en-GB"/>
        </w:rPr>
        <w:t xml:space="preserve"> </w:t>
      </w:r>
      <w:r w:rsidR="002E6771">
        <w:rPr>
          <w:lang w:val="en-GB"/>
        </w:rPr>
        <w:t>(in moles</w:t>
      </w:r>
      <w:r w:rsidR="002E6771" w:rsidRPr="002E6771">
        <w:rPr>
          <w:lang w:val="en-GB"/>
        </w:rPr>
        <w:t xml:space="preserve">) and the starting </w:t>
      </w:r>
      <w:r w:rsidR="002E6771">
        <w:rPr>
          <w:lang w:val="en-GB"/>
        </w:rPr>
        <w:t xml:space="preserve">triphenylphosphine </w:t>
      </w:r>
      <w:r w:rsidR="002E6771" w:rsidRPr="002E6771">
        <w:rPr>
          <w:lang w:val="en-GB"/>
        </w:rPr>
        <w:t>(in</w:t>
      </w:r>
      <w:r w:rsidR="002E6771">
        <w:rPr>
          <w:lang w:val="en-GB"/>
        </w:rPr>
        <w:t xml:space="preserve"> moles</w:t>
      </w:r>
      <w:r w:rsidR="002E6771" w:rsidRPr="002E6771">
        <w:rPr>
          <w:lang w:val="en-GB"/>
        </w:rPr>
        <w:t>), according to the Eq</w:t>
      </w:r>
      <w:r w:rsidR="00BC6655">
        <w:rPr>
          <w:lang w:val="en-GB"/>
        </w:rPr>
        <w:t xml:space="preserve">uation </w:t>
      </w:r>
      <w:r w:rsidR="002E6771" w:rsidRPr="002E6771">
        <w:rPr>
          <w:lang w:val="en-GB"/>
        </w:rPr>
        <w:t>1:</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365"/>
      </w:tblGrid>
      <w:tr w:rsidR="002E6771" w:rsidRPr="002E6771" w14:paraId="1F430512" w14:textId="77777777" w:rsidTr="002E6771">
        <w:tc>
          <w:tcPr>
            <w:tcW w:w="4463" w:type="dxa"/>
          </w:tcPr>
          <w:p w14:paraId="65EF1A3B" w14:textId="77777777" w:rsidR="002E6771" w:rsidRPr="002E6771" w:rsidRDefault="002E6771" w:rsidP="00C661DB">
            <w:pPr>
              <w:pStyle w:val="CETBodytext"/>
            </w:pPr>
            <m:oMathPara>
              <m:oMath>
                <m:r>
                  <w:rPr>
                    <w:rFonts w:ascii="Cambria Math" w:hAnsi="Cambria Math"/>
                  </w:rPr>
                  <m:t>Y</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m:t>
                    </m:r>
                  </m:e>
                </m:d>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m</m:t>
                            </m:r>
                          </m:e>
                          <m:sub>
                            <m:r>
                              <m:rPr>
                                <m:sty m:val="p"/>
                              </m:rPr>
                              <w:rPr>
                                <w:rFonts w:ascii="Cambria Math" w:hAnsi="Cambria Math"/>
                              </w:rPr>
                              <m:t>(</m:t>
                            </m:r>
                            <m:r>
                              <w:rPr>
                                <w:rFonts w:ascii="Cambria Math" w:hAnsi="Cambria Math"/>
                              </w:rPr>
                              <m:t>Wittig</m:t>
                            </m:r>
                            <m:r>
                              <m:rPr>
                                <m:sty m:val="p"/>
                              </m:rPr>
                              <w:rPr>
                                <w:rFonts w:ascii="Cambria Math" w:hAnsi="Cambria Math"/>
                              </w:rPr>
                              <m:t xml:space="preserve"> </m:t>
                            </m:r>
                            <m:r>
                              <w:rPr>
                                <w:rFonts w:ascii="Cambria Math" w:hAnsi="Cambria Math"/>
                              </w:rPr>
                              <m:t>salt</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MM</m:t>
                            </m:r>
                          </m:e>
                          <m:sub>
                            <m:r>
                              <m:rPr>
                                <m:sty m:val="p"/>
                              </m:rPr>
                              <w:rPr>
                                <w:rFonts w:ascii="Cambria Math" w:hAnsi="Cambria Math"/>
                              </w:rPr>
                              <m:t>(</m:t>
                            </m:r>
                            <m:r>
                              <w:rPr>
                                <w:rFonts w:ascii="Cambria Math" w:hAnsi="Cambria Math"/>
                              </w:rPr>
                              <m:t>Wittig</m:t>
                            </m:r>
                            <m:r>
                              <m:rPr>
                                <m:sty m:val="p"/>
                              </m:rPr>
                              <w:rPr>
                                <w:rFonts w:ascii="Cambria Math" w:hAnsi="Cambria Math"/>
                              </w:rPr>
                              <m:t xml:space="preserve"> </m:t>
                            </m:r>
                            <m:r>
                              <w:rPr>
                                <w:rFonts w:ascii="Cambria Math" w:hAnsi="Cambria Math"/>
                              </w:rPr>
                              <m:t>salt</m:t>
                            </m:r>
                            <m:r>
                              <m:rPr>
                                <m:sty m:val="p"/>
                              </m:rPr>
                              <w:rPr>
                                <w:rFonts w:ascii="Cambria Math" w:hAnsi="Cambria Math"/>
                              </w:rPr>
                              <m:t>)</m:t>
                            </m:r>
                          </m:sub>
                        </m:sSub>
                      </m:e>
                    </m:d>
                  </m:num>
                  <m:den>
                    <m:d>
                      <m:dPr>
                        <m:ctrlPr>
                          <w:rPr>
                            <w:rFonts w:ascii="Cambria Math" w:hAnsi="Cambria Math"/>
                          </w:rPr>
                        </m:ctrlPr>
                      </m:dPr>
                      <m:e>
                        <m:sSub>
                          <m:sSubPr>
                            <m:ctrlPr>
                              <w:rPr>
                                <w:rFonts w:ascii="Cambria Math" w:hAnsi="Cambria Math"/>
                              </w:rPr>
                            </m:ctrlPr>
                          </m:sSubPr>
                          <m:e>
                            <m:r>
                              <w:rPr>
                                <w:rFonts w:ascii="Cambria Math" w:hAnsi="Cambria Math"/>
                              </w:rPr>
                              <m:t>m</m:t>
                            </m:r>
                          </m:e>
                          <m:sub>
                            <m:r>
                              <m:rPr>
                                <m:sty m:val="p"/>
                              </m:rPr>
                              <w:rPr>
                                <w:rFonts w:ascii="Cambria Math" w:hAnsi="Cambria Math"/>
                              </w:rPr>
                              <m:t>(</m:t>
                            </m:r>
                            <m:r>
                              <w:rPr>
                                <w:rFonts w:ascii="Cambria Math" w:hAnsi="Cambria Math"/>
                              </w:rPr>
                              <m:t>TPP</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MM</m:t>
                            </m:r>
                          </m:e>
                          <m:sub>
                            <m:r>
                              <m:rPr>
                                <m:sty m:val="p"/>
                              </m:rPr>
                              <w:rPr>
                                <w:rFonts w:ascii="Cambria Math" w:hAnsi="Cambria Math"/>
                              </w:rPr>
                              <m:t>(</m:t>
                            </m:r>
                            <m:r>
                              <w:rPr>
                                <w:rFonts w:ascii="Cambria Math" w:hAnsi="Cambria Math"/>
                              </w:rPr>
                              <m:t>TPP</m:t>
                            </m:r>
                            <m:r>
                              <m:rPr>
                                <m:sty m:val="p"/>
                              </m:rPr>
                              <w:rPr>
                                <w:rFonts w:ascii="Cambria Math" w:hAnsi="Cambria Math"/>
                              </w:rPr>
                              <m:t>)</m:t>
                            </m:r>
                          </m:sub>
                        </m:sSub>
                      </m:e>
                    </m:d>
                  </m:den>
                </m:f>
                <m:r>
                  <m:rPr>
                    <m:sty m:val="p"/>
                  </m:rPr>
                  <w:rPr>
                    <w:rFonts w:ascii="Cambria Math" w:hAnsi="Cambria Math"/>
                  </w:rPr>
                  <m:t>×100</m:t>
                </m:r>
              </m:oMath>
            </m:oMathPara>
          </w:p>
        </w:tc>
        <w:tc>
          <w:tcPr>
            <w:tcW w:w="4464" w:type="dxa"/>
          </w:tcPr>
          <w:p w14:paraId="20CE23E0" w14:textId="77777777" w:rsidR="002E6771" w:rsidRPr="002E6771" w:rsidRDefault="002E6771" w:rsidP="002E6771">
            <w:pPr>
              <w:pStyle w:val="CETBodytext"/>
              <w:jc w:val="right"/>
              <w:rPr>
                <w:b/>
              </w:rPr>
            </w:pPr>
            <w:r w:rsidRPr="002E6771">
              <w:rPr>
                <w:b/>
              </w:rPr>
              <w:t>(1)</w:t>
            </w:r>
          </w:p>
        </w:tc>
      </w:tr>
    </w:tbl>
    <w:p w14:paraId="69263BF5" w14:textId="77777777" w:rsidR="002E6771" w:rsidRPr="009E235C" w:rsidRDefault="002E6771" w:rsidP="009E235C">
      <w:pPr>
        <w:pStyle w:val="CETBodytext"/>
        <w:rPr>
          <w:lang w:val="en-GB"/>
        </w:rPr>
      </w:pPr>
    </w:p>
    <w:p w14:paraId="7AD71D96" w14:textId="77777777" w:rsidR="009E235C" w:rsidRPr="009E235C" w:rsidRDefault="009E235C" w:rsidP="009E235C">
      <w:pPr>
        <w:pStyle w:val="CETheadingx"/>
      </w:pPr>
      <w:r w:rsidRPr="009E235C">
        <w:t>Alkenoic Acids Synthesis</w:t>
      </w:r>
    </w:p>
    <w:p w14:paraId="2996FFCD" w14:textId="77777777" w:rsidR="009E235C" w:rsidRPr="009E235C" w:rsidRDefault="009E235C" w:rsidP="009E235C">
      <w:pPr>
        <w:pStyle w:val="CETBodytext"/>
        <w:rPr>
          <w:lang w:val="en-GB"/>
        </w:rPr>
      </w:pPr>
      <w:r w:rsidRPr="009E235C">
        <w:rPr>
          <w:lang w:val="en-GB"/>
        </w:rPr>
        <w:t>LA olefination via Wittig reaction with ETPB and PTPB was carried out in a thermostatic reactor at 80 ºC in a medium containing isopropanol in the presence of a base (2 eq.), under reflux and vigorous stirring. Different bases (NaHCO</w:t>
      </w:r>
      <w:r w:rsidRPr="005D0C26">
        <w:rPr>
          <w:vertAlign w:val="subscript"/>
          <w:lang w:val="en-GB"/>
        </w:rPr>
        <w:t>3</w:t>
      </w:r>
      <w:r w:rsidRPr="009E235C">
        <w:rPr>
          <w:lang w:val="en-GB"/>
        </w:rPr>
        <w:t>, Na</w:t>
      </w:r>
      <w:r w:rsidRPr="005D0C26">
        <w:rPr>
          <w:vertAlign w:val="subscript"/>
          <w:lang w:val="en-GB"/>
        </w:rPr>
        <w:t>2</w:t>
      </w:r>
      <w:r w:rsidRPr="009E235C">
        <w:rPr>
          <w:lang w:val="en-GB"/>
        </w:rPr>
        <w:t>CO</w:t>
      </w:r>
      <w:r w:rsidRPr="005D0C26">
        <w:rPr>
          <w:vertAlign w:val="subscript"/>
          <w:lang w:val="en-GB"/>
        </w:rPr>
        <w:t>3</w:t>
      </w:r>
      <w:r w:rsidRPr="009E235C">
        <w:rPr>
          <w:lang w:val="en-GB"/>
        </w:rPr>
        <w:t>, NaOH) were used for the ylide formation for 5h. Posteriorly, the LA was added to the reaction medium and reacted at 80 °C for another 20h.</w:t>
      </w:r>
    </w:p>
    <w:p w14:paraId="20E01C23" w14:textId="77777777" w:rsidR="009E235C" w:rsidRPr="009E235C" w:rsidRDefault="009E235C" w:rsidP="009E235C">
      <w:pPr>
        <w:pStyle w:val="CETheadingx"/>
      </w:pPr>
      <w:r w:rsidRPr="009E235C">
        <w:t>Wittig Salt Characterization</w:t>
      </w:r>
    </w:p>
    <w:p w14:paraId="50A43B30" w14:textId="77777777" w:rsidR="009E235C" w:rsidRPr="009E235C" w:rsidRDefault="00505AEF" w:rsidP="00505AEF">
      <w:pPr>
        <w:pStyle w:val="CETBodytext"/>
        <w:rPr>
          <w:lang w:val="en-GB"/>
        </w:rPr>
      </w:pPr>
      <w:r w:rsidRPr="00505AEF">
        <w:rPr>
          <w:lang w:val="en-GB"/>
        </w:rPr>
        <w:t xml:space="preserve">The FTIR spectra of the </w:t>
      </w:r>
      <w:r>
        <w:rPr>
          <w:lang w:val="en-GB"/>
        </w:rPr>
        <w:t>ethyltriphenylphosphonium bromide (ETPB) and propyltriphenylphosphonium bromide (PTPB) we</w:t>
      </w:r>
      <w:r w:rsidRPr="00505AEF">
        <w:rPr>
          <w:lang w:val="en-GB"/>
        </w:rPr>
        <w:t>re carried out in a Thermo</w:t>
      </w:r>
      <w:r w:rsidR="000854BC">
        <w:rPr>
          <w:lang w:val="en-GB"/>
        </w:rPr>
        <w:t xml:space="preserve"> </w:t>
      </w:r>
      <w:r w:rsidRPr="00505AEF">
        <w:rPr>
          <w:lang w:val="en-GB"/>
        </w:rPr>
        <w:t>Scientific spectrometer, model Nicolet 6700 (Madison, USA). The samples were</w:t>
      </w:r>
      <w:r>
        <w:rPr>
          <w:lang w:val="en-GB"/>
        </w:rPr>
        <w:t xml:space="preserve"> </w:t>
      </w:r>
      <w:r w:rsidRPr="00505AEF">
        <w:rPr>
          <w:lang w:val="en-GB"/>
        </w:rPr>
        <w:t>analyzed in</w:t>
      </w:r>
      <w:r w:rsidR="00EF3F0E">
        <w:rPr>
          <w:lang w:val="en-GB"/>
        </w:rPr>
        <w:t xml:space="preserve"> a scanning range from 4000 to </w:t>
      </w:r>
      <w:r w:rsidRPr="00505AEF">
        <w:rPr>
          <w:lang w:val="en-GB"/>
        </w:rPr>
        <w:t>5</w:t>
      </w:r>
      <w:r w:rsidR="00EF3F0E">
        <w:rPr>
          <w:lang w:val="en-GB"/>
        </w:rPr>
        <w:t>00</w:t>
      </w:r>
      <w:r w:rsidRPr="00505AEF">
        <w:rPr>
          <w:lang w:val="en-GB"/>
        </w:rPr>
        <w:t xml:space="preserve"> cm</w:t>
      </w:r>
      <w:r w:rsidRPr="00505AEF">
        <w:rPr>
          <w:vertAlign w:val="superscript"/>
          <w:lang w:val="en-GB"/>
        </w:rPr>
        <w:t>-1</w:t>
      </w:r>
      <w:r w:rsidRPr="00505AEF">
        <w:rPr>
          <w:lang w:val="en-GB"/>
        </w:rPr>
        <w:t>.</w:t>
      </w:r>
      <w:r>
        <w:rPr>
          <w:lang w:val="en-GB"/>
        </w:rPr>
        <w:t xml:space="preserve"> </w:t>
      </w:r>
      <w:r w:rsidR="009E235C" w:rsidRPr="009E235C">
        <w:rPr>
          <w:lang w:val="en-GB"/>
        </w:rPr>
        <w:t xml:space="preserve">The </w:t>
      </w:r>
      <w:r w:rsidR="009E235C" w:rsidRPr="005D0C26">
        <w:rPr>
          <w:vertAlign w:val="superscript"/>
          <w:lang w:val="en-GB"/>
        </w:rPr>
        <w:t>1</w:t>
      </w:r>
      <w:r w:rsidR="009E235C" w:rsidRPr="009E235C">
        <w:rPr>
          <w:lang w:val="en-GB"/>
        </w:rPr>
        <w:t>H NMR Wittig salts spectra were recorded by a Bruker Avance spectrometer operating at 500 MHz using deuterated chloroform (CDCl</w:t>
      </w:r>
      <w:r w:rsidR="009E235C" w:rsidRPr="005D0C26">
        <w:rPr>
          <w:vertAlign w:val="subscript"/>
          <w:lang w:val="en-GB"/>
        </w:rPr>
        <w:t>3</w:t>
      </w:r>
      <w:r w:rsidR="009E235C" w:rsidRPr="009E235C">
        <w:rPr>
          <w:lang w:val="en-GB"/>
        </w:rPr>
        <w:t>) as solvent.</w:t>
      </w:r>
    </w:p>
    <w:p w14:paraId="477F7D6C" w14:textId="77777777" w:rsidR="009E235C" w:rsidRPr="009E235C" w:rsidRDefault="009E235C" w:rsidP="009E235C">
      <w:pPr>
        <w:pStyle w:val="CETheadingx"/>
      </w:pPr>
      <w:r w:rsidRPr="009E235C">
        <w:t>Alkenoic Acids Identification</w:t>
      </w:r>
    </w:p>
    <w:p w14:paraId="00FB820A" w14:textId="77777777" w:rsidR="009E235C" w:rsidRDefault="009E235C" w:rsidP="009E235C">
      <w:pPr>
        <w:pStyle w:val="CETBodytext"/>
        <w:rPr>
          <w:lang w:val="en-GB"/>
        </w:rPr>
      </w:pPr>
      <w:r w:rsidRPr="009E235C">
        <w:rPr>
          <w:lang w:val="en-GB"/>
        </w:rPr>
        <w:t>The reaction mixtures of the LA olefination step were analyzed by mass spectrometry using a Shimadzu mass spectrometer, model LC-MS 2010 EV, with electrospray (ESI) ionization. The samples were diluted in isopropanol (1:100). A direct infusion was performed in the mass range of the products (4-methyl-4-hexenoic acid, 127 Da, and 4-methyl-4-heptenoic acid, 141 Da). It was used acetonitrile as the mobile phase at a voltage of -3.5 kV, with capillary temperature at 250 °C, 1 μL of injection volume, and a flow rate of 0.4 mL/min.</w:t>
      </w:r>
    </w:p>
    <w:p w14:paraId="4BB85907" w14:textId="77777777" w:rsidR="001778CB" w:rsidRDefault="001778CB" w:rsidP="009E235C">
      <w:pPr>
        <w:pStyle w:val="CETBodytext"/>
        <w:rPr>
          <w:lang w:val="en-GB"/>
        </w:rPr>
      </w:pPr>
    </w:p>
    <w:p w14:paraId="7A3C3F80" w14:textId="77777777" w:rsidR="00A03030" w:rsidRPr="00A03030" w:rsidRDefault="00A03030" w:rsidP="00A03030">
      <w:pPr>
        <w:pStyle w:val="CETHeading1"/>
      </w:pPr>
      <w:r w:rsidRPr="00A03030">
        <w:t>Results and Discussion</w:t>
      </w:r>
    </w:p>
    <w:p w14:paraId="745D149F" w14:textId="77777777" w:rsidR="00A03030" w:rsidRDefault="00A03030" w:rsidP="00A03030">
      <w:pPr>
        <w:pStyle w:val="CETheadingx"/>
      </w:pPr>
      <w:r w:rsidRPr="00A03030">
        <w:t>Wittig Salts</w:t>
      </w:r>
    </w:p>
    <w:p w14:paraId="31ED132B" w14:textId="77777777" w:rsidR="007F2D57" w:rsidRDefault="007F2D57" w:rsidP="007F2D57">
      <w:pPr>
        <w:pStyle w:val="CETBodytext"/>
      </w:pPr>
      <w:r>
        <w:t>T</w:t>
      </w:r>
      <w:r w:rsidRPr="007F2D57">
        <w:t xml:space="preserve">he infrared spectroscopy is based on the </w:t>
      </w:r>
      <w:r w:rsidR="00E31A80">
        <w:t xml:space="preserve">infrared </w:t>
      </w:r>
      <w:r w:rsidRPr="007F2D57">
        <w:t>absorption of</w:t>
      </w:r>
      <w:r>
        <w:t xml:space="preserve"> the</w:t>
      </w:r>
      <w:r w:rsidRPr="007F2D57">
        <w:t xml:space="preserve"> chemical bonds of molecules that have</w:t>
      </w:r>
      <w:r>
        <w:t xml:space="preserve"> a</w:t>
      </w:r>
      <w:r w:rsidRPr="007F2D57">
        <w:t xml:space="preserve"> variation of </w:t>
      </w:r>
      <w:r>
        <w:t xml:space="preserve">the </w:t>
      </w:r>
      <w:r w:rsidRPr="007F2D57">
        <w:t>dipole momen</w:t>
      </w:r>
      <w:r>
        <w:t>t. The vibrations of the functional groups are characteristic of each molecule, which allows the elucidation of its molecular structure. Factors such as atomic properties (</w:t>
      </w:r>
      <w:r w:rsidR="00E31A80">
        <w:t>atomic mass,</w:t>
      </w:r>
      <w:r>
        <w:t xml:space="preserve"> electronegativity</w:t>
      </w:r>
      <w:r w:rsidR="008C0858">
        <w:t>,</w:t>
      </w:r>
      <w:r>
        <w:t xml:space="preserve"> and </w:t>
      </w:r>
      <w:r w:rsidR="008C0858">
        <w:t>atomic radius</w:t>
      </w:r>
      <w:r>
        <w:t xml:space="preserve">) </w:t>
      </w:r>
      <w:r w:rsidR="008C0858">
        <w:t xml:space="preserve">that affect the </w:t>
      </w:r>
      <w:r>
        <w:t xml:space="preserve">bonding </w:t>
      </w:r>
      <w:r w:rsidR="008C0858">
        <w:t>strength</w:t>
      </w:r>
      <w:r>
        <w:t xml:space="preserve"> influence the absorptions in the infrared.</w:t>
      </w:r>
    </w:p>
    <w:p w14:paraId="6F0538C0" w14:textId="4EEFAF9E" w:rsidR="007F2D57" w:rsidRDefault="007F2D57" w:rsidP="00A03030">
      <w:pPr>
        <w:pStyle w:val="CETBodytext"/>
      </w:pPr>
      <w:r>
        <w:t xml:space="preserve">The triphenylphosphine derivatives exhibit infrared </w:t>
      </w:r>
      <w:r w:rsidR="00C32191">
        <w:t xml:space="preserve">absorption in the range </w:t>
      </w:r>
      <w:r>
        <w:t>of 1100</w:t>
      </w:r>
      <w:r w:rsidR="00C32191">
        <w:t xml:space="preserve"> </w:t>
      </w:r>
      <w:r>
        <w:t>-</w:t>
      </w:r>
      <w:r w:rsidR="00C32191">
        <w:t xml:space="preserve"> </w:t>
      </w:r>
      <w:r>
        <w:t>1000 cm</w:t>
      </w:r>
      <w:r w:rsidRPr="007F2D57">
        <w:rPr>
          <w:vertAlign w:val="superscript"/>
        </w:rPr>
        <w:t>-1</w:t>
      </w:r>
      <w:r>
        <w:t xml:space="preserve"> due to stretches of the P-C bond </w:t>
      </w:r>
      <w:r w:rsidR="006813DE">
        <w:t>(Larkin, 2011</w:t>
      </w:r>
      <w:r w:rsidR="001129A0">
        <w:t>b</w:t>
      </w:r>
      <w:r w:rsidR="006813DE">
        <w:t>)</w:t>
      </w:r>
      <w:r>
        <w:t>, and in the region of 3070</w:t>
      </w:r>
      <w:r w:rsidR="00C32191">
        <w:t xml:space="preserve"> </w:t>
      </w:r>
      <w:r>
        <w:t>-</w:t>
      </w:r>
      <w:r w:rsidR="00C32191">
        <w:t xml:space="preserve"> </w:t>
      </w:r>
      <w:r>
        <w:t>3000, 2000</w:t>
      </w:r>
      <w:r w:rsidR="00C32191">
        <w:t xml:space="preserve"> </w:t>
      </w:r>
      <w:r w:rsidR="006813DE">
        <w:t>-</w:t>
      </w:r>
      <w:r w:rsidR="00C32191">
        <w:t xml:space="preserve"> </w:t>
      </w:r>
      <w:r w:rsidR="006813DE">
        <w:t>1700, 1600</w:t>
      </w:r>
      <w:r w:rsidR="00C32191">
        <w:t xml:space="preserve"> – </w:t>
      </w:r>
      <w:r w:rsidR="006813DE">
        <w:t>1400</w:t>
      </w:r>
      <w:r w:rsidR="00C32191">
        <w:t>,</w:t>
      </w:r>
      <w:r w:rsidR="006813DE">
        <w:t xml:space="preserve"> and 750</w:t>
      </w:r>
      <w:r w:rsidR="00C32191">
        <w:t xml:space="preserve"> </w:t>
      </w:r>
      <w:r w:rsidR="006813DE">
        <w:t>-</w:t>
      </w:r>
      <w:r w:rsidR="00C32191">
        <w:t xml:space="preserve"> </w:t>
      </w:r>
      <w:r w:rsidR="006813DE">
        <w:t>700 cm</w:t>
      </w:r>
      <w:r w:rsidRPr="006813DE">
        <w:rPr>
          <w:vertAlign w:val="superscript"/>
        </w:rPr>
        <w:t>-1</w:t>
      </w:r>
      <w:r>
        <w:t xml:space="preserve">, which are characteristic of aromatic compounds </w:t>
      </w:r>
      <w:r w:rsidR="002C45CA">
        <w:t>(Larkin, 2011</w:t>
      </w:r>
      <w:r w:rsidR="001129A0">
        <w:t>a</w:t>
      </w:r>
      <w:r w:rsidR="002C45CA">
        <w:t>)</w:t>
      </w:r>
      <w:r>
        <w:t xml:space="preserve">. The alkyl (ethyl and propyl) </w:t>
      </w:r>
      <w:r w:rsidR="00C32191">
        <w:t xml:space="preserve">groups </w:t>
      </w:r>
      <w:r>
        <w:t>present in the</w:t>
      </w:r>
      <w:r w:rsidR="00C32191">
        <w:t xml:space="preserve"> Wittig</w:t>
      </w:r>
      <w:r>
        <w:t xml:space="preserve"> salts </w:t>
      </w:r>
      <w:r w:rsidR="00C32191">
        <w:t>(</w:t>
      </w:r>
      <w:r w:rsidR="006813DE">
        <w:t>ETPB</w:t>
      </w:r>
      <w:r>
        <w:t xml:space="preserve"> and </w:t>
      </w:r>
      <w:r w:rsidR="006813DE">
        <w:t>PTPB</w:t>
      </w:r>
      <w:r w:rsidR="009827F8">
        <w:t>, respec</w:t>
      </w:r>
      <w:r>
        <w:t>tively</w:t>
      </w:r>
      <w:r w:rsidR="009827F8">
        <w:t>)</w:t>
      </w:r>
      <w:r>
        <w:t>, are identified by the absorption of CH</w:t>
      </w:r>
      <w:r w:rsidRPr="006813DE">
        <w:rPr>
          <w:vertAlign w:val="subscript"/>
        </w:rPr>
        <w:t>2</w:t>
      </w:r>
      <w:r>
        <w:t xml:space="preserve"> and CH</w:t>
      </w:r>
      <w:r w:rsidRPr="006813DE">
        <w:rPr>
          <w:vertAlign w:val="subscript"/>
        </w:rPr>
        <w:t>3</w:t>
      </w:r>
      <w:r>
        <w:t xml:space="preserve"> groups at 3000</w:t>
      </w:r>
      <w:r w:rsidR="00C32191">
        <w:t xml:space="preserve"> </w:t>
      </w:r>
      <w:r>
        <w:t>-</w:t>
      </w:r>
      <w:r w:rsidR="00C32191">
        <w:t xml:space="preserve"> </w:t>
      </w:r>
      <w:r>
        <w:t>2850 cm</w:t>
      </w:r>
      <w:r w:rsidRPr="006813DE">
        <w:rPr>
          <w:vertAlign w:val="superscript"/>
        </w:rPr>
        <w:t>-1</w:t>
      </w:r>
      <w:r w:rsidR="00D01201">
        <w:t xml:space="preserve"> (Parthasarathy and Gopalakrishnan, 2013)</w:t>
      </w:r>
      <w:r>
        <w:t>. The presence of the water abso</w:t>
      </w:r>
      <w:r w:rsidR="006813DE">
        <w:t>rption in the infrared (3430 cm</w:t>
      </w:r>
      <w:r w:rsidRPr="006813DE">
        <w:rPr>
          <w:vertAlign w:val="superscript"/>
        </w:rPr>
        <w:t>-1</w:t>
      </w:r>
      <w:r>
        <w:t xml:space="preserve">) is due to the inherent hygroscopicity of </w:t>
      </w:r>
      <w:r w:rsidRPr="009E010F">
        <w:t xml:space="preserve">the Wittig salts. The complete assignment of the infrared absorption bands </w:t>
      </w:r>
      <w:r w:rsidR="009827F8">
        <w:t xml:space="preserve">of the Wittig salts (ETPB and PTPB - </w:t>
      </w:r>
      <w:r w:rsidRPr="009E010F">
        <w:t xml:space="preserve">Figure </w:t>
      </w:r>
      <w:r w:rsidR="009E010F" w:rsidRPr="009E010F">
        <w:t>1</w:t>
      </w:r>
      <w:r w:rsidR="009827F8">
        <w:t>) is</w:t>
      </w:r>
      <w:r w:rsidR="002C45CA" w:rsidRPr="009E010F">
        <w:t xml:space="preserve"> in Table</w:t>
      </w:r>
      <w:r w:rsidR="00823321" w:rsidRPr="009E010F">
        <w:t xml:space="preserve"> 1</w:t>
      </w:r>
      <w:r w:rsidRPr="009E010F">
        <w:t>.</w:t>
      </w:r>
      <w:r>
        <w:t xml:space="preserve"> </w:t>
      </w:r>
    </w:p>
    <w:p w14:paraId="365F1FAD" w14:textId="77777777" w:rsidR="005C13D7" w:rsidRDefault="005C13D7" w:rsidP="00A03030">
      <w:pPr>
        <w:pStyle w:val="CETBodytext"/>
      </w:pPr>
    </w:p>
    <w:p w14:paraId="7A4F087C" w14:textId="77777777" w:rsidR="005C13D7" w:rsidRDefault="005C13D7" w:rsidP="00A03030">
      <w:pPr>
        <w:pStyle w:val="CETBodytext"/>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6B4AFB" w14:paraId="009AA88A" w14:textId="77777777" w:rsidTr="009E010F">
        <w:tc>
          <w:tcPr>
            <w:tcW w:w="4463" w:type="dxa"/>
          </w:tcPr>
          <w:p w14:paraId="450578AE" w14:textId="77777777" w:rsidR="006B4AFB" w:rsidRDefault="006B4AFB" w:rsidP="00A03030">
            <w:pPr>
              <w:pStyle w:val="CETBodytext"/>
            </w:pPr>
            <w:r>
              <w:rPr>
                <w:noProof/>
                <w:lang w:val="pt-BR" w:eastAsia="pt-BR"/>
              </w:rPr>
              <w:lastRenderedPageBreak/>
              <w:drawing>
                <wp:inline distT="0" distB="0" distL="0" distR="0" wp14:anchorId="0A10090E" wp14:editId="243820A0">
                  <wp:extent cx="2700000" cy="2033580"/>
                  <wp:effectExtent l="0" t="0" r="571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2033580"/>
                          </a:xfrm>
                          <a:prstGeom prst="rect">
                            <a:avLst/>
                          </a:prstGeom>
                        </pic:spPr>
                      </pic:pic>
                    </a:graphicData>
                  </a:graphic>
                </wp:inline>
              </w:drawing>
            </w:r>
          </w:p>
        </w:tc>
        <w:tc>
          <w:tcPr>
            <w:tcW w:w="4464" w:type="dxa"/>
          </w:tcPr>
          <w:p w14:paraId="7DF379F5" w14:textId="77777777" w:rsidR="006B4AFB" w:rsidRDefault="009E010F" w:rsidP="00A03030">
            <w:pPr>
              <w:pStyle w:val="CETBodytext"/>
            </w:pPr>
            <w:r>
              <w:rPr>
                <w:noProof/>
                <w:lang w:val="pt-BR" w:eastAsia="pt-BR"/>
              </w:rPr>
              <w:drawing>
                <wp:inline distT="0" distB="0" distL="0" distR="0" wp14:anchorId="184858FE" wp14:editId="2A8ACAF6">
                  <wp:extent cx="2700000" cy="2062182"/>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P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2062182"/>
                          </a:xfrm>
                          <a:prstGeom prst="rect">
                            <a:avLst/>
                          </a:prstGeom>
                        </pic:spPr>
                      </pic:pic>
                    </a:graphicData>
                  </a:graphic>
                </wp:inline>
              </w:drawing>
            </w:r>
          </w:p>
        </w:tc>
      </w:tr>
      <w:tr w:rsidR="006B4AFB" w:rsidRPr="006B4AFB" w14:paraId="565C85F2" w14:textId="77777777" w:rsidTr="009E010F">
        <w:tc>
          <w:tcPr>
            <w:tcW w:w="4463" w:type="dxa"/>
          </w:tcPr>
          <w:p w14:paraId="4840656A" w14:textId="77777777" w:rsidR="006B4AFB" w:rsidRPr="006B4AFB" w:rsidRDefault="006B4AFB" w:rsidP="006B4AFB">
            <w:pPr>
              <w:pStyle w:val="CETBodytext"/>
              <w:jc w:val="center"/>
              <w:rPr>
                <w:b/>
              </w:rPr>
            </w:pPr>
            <w:r w:rsidRPr="006B4AFB">
              <w:rPr>
                <w:b/>
              </w:rPr>
              <w:t>A</w:t>
            </w:r>
          </w:p>
        </w:tc>
        <w:tc>
          <w:tcPr>
            <w:tcW w:w="4464" w:type="dxa"/>
          </w:tcPr>
          <w:p w14:paraId="697F5E96" w14:textId="77777777" w:rsidR="006B4AFB" w:rsidRPr="006B4AFB" w:rsidRDefault="009E010F" w:rsidP="009E010F">
            <w:pPr>
              <w:pStyle w:val="CETBodytext"/>
              <w:keepNext/>
              <w:jc w:val="center"/>
              <w:rPr>
                <w:b/>
              </w:rPr>
            </w:pPr>
            <w:r>
              <w:rPr>
                <w:b/>
              </w:rPr>
              <w:t>B</w:t>
            </w:r>
          </w:p>
        </w:tc>
      </w:tr>
    </w:tbl>
    <w:p w14:paraId="368B6C82" w14:textId="77777777" w:rsidR="005C13D7" w:rsidRDefault="009E010F" w:rsidP="009E010F">
      <w:pPr>
        <w:pStyle w:val="CETTabletitle"/>
        <w:jc w:val="both"/>
      </w:pPr>
      <w:r>
        <w:t xml:space="preserve">Figure </w:t>
      </w:r>
      <w:r>
        <w:fldChar w:fldCharType="begin"/>
      </w:r>
      <w:r>
        <w:instrText xml:space="preserve"> SEQ Figure \* ARABIC </w:instrText>
      </w:r>
      <w:r>
        <w:fldChar w:fldCharType="separate"/>
      </w:r>
      <w:r>
        <w:rPr>
          <w:noProof/>
        </w:rPr>
        <w:t>1</w:t>
      </w:r>
      <w:r>
        <w:fldChar w:fldCharType="end"/>
      </w:r>
      <w:r>
        <w:t>. FTIR spectra of the Wittig salts: A) Ethyltriphenylphosphonium bromide (ETPB); and B) propyltriphenylphosphonium bromide (PTPB).</w:t>
      </w:r>
    </w:p>
    <w:p w14:paraId="1DCE77AB" w14:textId="77777777" w:rsidR="001778CB" w:rsidRDefault="001778CB" w:rsidP="00823321">
      <w:pPr>
        <w:pStyle w:val="CETTabletitle"/>
      </w:pPr>
    </w:p>
    <w:p w14:paraId="14D196B1" w14:textId="7858389B" w:rsidR="00823321" w:rsidRDefault="00823321" w:rsidP="0060403E">
      <w:pPr>
        <w:pStyle w:val="CETTabletitle"/>
        <w:jc w:val="both"/>
      </w:pPr>
      <w:r>
        <w:t xml:space="preserve">Table </w:t>
      </w:r>
      <w:r>
        <w:fldChar w:fldCharType="begin"/>
      </w:r>
      <w:r>
        <w:instrText xml:space="preserve"> SEQ Table \* ARABIC </w:instrText>
      </w:r>
      <w:r>
        <w:fldChar w:fldCharType="separate"/>
      </w:r>
      <w:r>
        <w:rPr>
          <w:noProof/>
        </w:rPr>
        <w:t>1</w:t>
      </w:r>
      <w:r>
        <w:fldChar w:fldCharType="end"/>
      </w:r>
      <w:r>
        <w:t>. Assignments of Wittig salts infrared absorption bands</w:t>
      </w:r>
      <w:r w:rsidR="0060403E">
        <w:t xml:space="preserve"> (Larkin, 2011 a b; Parthasarathy and Gopalakrishnan, 2013</w:t>
      </w:r>
      <w:r>
        <w:t>.</w:t>
      </w:r>
    </w:p>
    <w:tbl>
      <w:tblPr>
        <w:tblStyle w:val="Tabelacomgrade"/>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2218"/>
        <w:gridCol w:w="877"/>
        <w:gridCol w:w="2976"/>
      </w:tblGrid>
      <w:tr w:rsidR="00B54B70" w:rsidRPr="00781CD0" w14:paraId="33442476" w14:textId="77777777" w:rsidTr="00823321">
        <w:tc>
          <w:tcPr>
            <w:tcW w:w="3936" w:type="dxa"/>
            <w:gridSpan w:val="2"/>
            <w:tcBorders>
              <w:top w:val="single" w:sz="12" w:space="0" w:color="auto"/>
              <w:bottom w:val="nil"/>
            </w:tcBorders>
          </w:tcPr>
          <w:p w14:paraId="478EC749" w14:textId="77777777" w:rsidR="00B54B70" w:rsidRPr="00781CD0" w:rsidRDefault="00B54B70" w:rsidP="00781CD0">
            <w:pPr>
              <w:pStyle w:val="CETBodytext"/>
              <w:jc w:val="center"/>
              <w:rPr>
                <w:b/>
              </w:rPr>
            </w:pPr>
            <w:r w:rsidRPr="00781CD0">
              <w:rPr>
                <w:b/>
              </w:rPr>
              <w:t>Wavenumber (cm</w:t>
            </w:r>
            <w:r w:rsidRPr="00781CD0">
              <w:rPr>
                <w:b/>
                <w:vertAlign w:val="superscript"/>
              </w:rPr>
              <w:t>-1</w:t>
            </w:r>
            <w:r w:rsidRPr="00781CD0">
              <w:rPr>
                <w:b/>
              </w:rPr>
              <w:t>)</w:t>
            </w:r>
          </w:p>
        </w:tc>
        <w:tc>
          <w:tcPr>
            <w:tcW w:w="877" w:type="dxa"/>
            <w:vMerge w:val="restart"/>
            <w:tcBorders>
              <w:top w:val="single" w:sz="12" w:space="0" w:color="auto"/>
              <w:bottom w:val="nil"/>
            </w:tcBorders>
            <w:vAlign w:val="center"/>
          </w:tcPr>
          <w:p w14:paraId="4B802432" w14:textId="77777777" w:rsidR="00B54B70" w:rsidRPr="00781CD0" w:rsidRDefault="00B54B70" w:rsidP="00B54B70">
            <w:pPr>
              <w:pStyle w:val="CETBodytext"/>
              <w:jc w:val="center"/>
              <w:rPr>
                <w:b/>
              </w:rPr>
            </w:pPr>
            <w:r w:rsidRPr="00781CD0">
              <w:rPr>
                <w:b/>
              </w:rPr>
              <w:t>Bonds</w:t>
            </w:r>
          </w:p>
        </w:tc>
        <w:tc>
          <w:tcPr>
            <w:tcW w:w="2976" w:type="dxa"/>
            <w:vMerge w:val="restart"/>
            <w:tcBorders>
              <w:top w:val="single" w:sz="12" w:space="0" w:color="auto"/>
              <w:bottom w:val="nil"/>
            </w:tcBorders>
            <w:vAlign w:val="center"/>
          </w:tcPr>
          <w:p w14:paraId="0DF9627E" w14:textId="77777777" w:rsidR="00B54B70" w:rsidRPr="00781CD0" w:rsidRDefault="00B54B70" w:rsidP="00B54B70">
            <w:pPr>
              <w:pStyle w:val="CETBodytext"/>
              <w:jc w:val="center"/>
              <w:rPr>
                <w:b/>
              </w:rPr>
            </w:pPr>
            <w:r w:rsidRPr="00781CD0">
              <w:rPr>
                <w:b/>
              </w:rPr>
              <w:t>FTIR Assig</w:t>
            </w:r>
            <w:r w:rsidR="00823321">
              <w:rPr>
                <w:b/>
              </w:rPr>
              <w:t>n</w:t>
            </w:r>
            <w:r w:rsidRPr="00781CD0">
              <w:rPr>
                <w:b/>
              </w:rPr>
              <w:t>ments</w:t>
            </w:r>
          </w:p>
        </w:tc>
      </w:tr>
      <w:tr w:rsidR="00B54B70" w:rsidRPr="00781CD0" w14:paraId="0A2910BB" w14:textId="77777777" w:rsidTr="00823321">
        <w:tc>
          <w:tcPr>
            <w:tcW w:w="1718" w:type="dxa"/>
            <w:tcBorders>
              <w:top w:val="nil"/>
              <w:bottom w:val="single" w:sz="4" w:space="0" w:color="auto"/>
            </w:tcBorders>
          </w:tcPr>
          <w:p w14:paraId="58378E8B" w14:textId="77777777" w:rsidR="00B54B70" w:rsidRPr="00781CD0" w:rsidRDefault="00B54B70" w:rsidP="00781CD0">
            <w:pPr>
              <w:pStyle w:val="CETBodytext"/>
              <w:jc w:val="center"/>
              <w:rPr>
                <w:b/>
              </w:rPr>
            </w:pPr>
            <w:r w:rsidRPr="00781CD0">
              <w:rPr>
                <w:b/>
              </w:rPr>
              <w:t>ETPB</w:t>
            </w:r>
          </w:p>
        </w:tc>
        <w:tc>
          <w:tcPr>
            <w:tcW w:w="2218" w:type="dxa"/>
            <w:tcBorders>
              <w:top w:val="nil"/>
              <w:bottom w:val="single" w:sz="4" w:space="0" w:color="auto"/>
            </w:tcBorders>
          </w:tcPr>
          <w:p w14:paraId="666455DE" w14:textId="77777777" w:rsidR="00B54B70" w:rsidRPr="00781CD0" w:rsidRDefault="00B54B70" w:rsidP="00781CD0">
            <w:pPr>
              <w:pStyle w:val="CETBodytext"/>
              <w:jc w:val="center"/>
              <w:rPr>
                <w:b/>
              </w:rPr>
            </w:pPr>
            <w:r w:rsidRPr="00781CD0">
              <w:rPr>
                <w:b/>
              </w:rPr>
              <w:t>PTPB</w:t>
            </w:r>
          </w:p>
        </w:tc>
        <w:tc>
          <w:tcPr>
            <w:tcW w:w="877" w:type="dxa"/>
            <w:vMerge/>
            <w:tcBorders>
              <w:top w:val="nil"/>
              <w:bottom w:val="single" w:sz="4" w:space="0" w:color="auto"/>
            </w:tcBorders>
          </w:tcPr>
          <w:p w14:paraId="323F0AA7" w14:textId="77777777" w:rsidR="00B54B70" w:rsidRPr="00781CD0" w:rsidRDefault="00B54B70" w:rsidP="00781CD0">
            <w:pPr>
              <w:pStyle w:val="CETBodytext"/>
              <w:jc w:val="center"/>
              <w:rPr>
                <w:b/>
              </w:rPr>
            </w:pPr>
          </w:p>
        </w:tc>
        <w:tc>
          <w:tcPr>
            <w:tcW w:w="2976" w:type="dxa"/>
            <w:vMerge/>
            <w:tcBorders>
              <w:top w:val="nil"/>
              <w:bottom w:val="single" w:sz="4" w:space="0" w:color="auto"/>
            </w:tcBorders>
            <w:vAlign w:val="center"/>
          </w:tcPr>
          <w:p w14:paraId="37887CD0" w14:textId="77777777" w:rsidR="00B54B70" w:rsidRPr="00781CD0" w:rsidRDefault="00B54B70" w:rsidP="00B54B70">
            <w:pPr>
              <w:pStyle w:val="CETBodytext"/>
              <w:jc w:val="center"/>
              <w:rPr>
                <w:b/>
              </w:rPr>
            </w:pPr>
          </w:p>
        </w:tc>
      </w:tr>
      <w:tr w:rsidR="00781CD0" w14:paraId="5D925B33" w14:textId="77777777" w:rsidTr="00823321">
        <w:tc>
          <w:tcPr>
            <w:tcW w:w="1718" w:type="dxa"/>
            <w:tcBorders>
              <w:top w:val="single" w:sz="4" w:space="0" w:color="auto"/>
            </w:tcBorders>
          </w:tcPr>
          <w:p w14:paraId="64738F40" w14:textId="77777777" w:rsidR="00781CD0" w:rsidRDefault="006A32C3" w:rsidP="00781CD0">
            <w:pPr>
              <w:pStyle w:val="CETBodytext"/>
              <w:jc w:val="center"/>
            </w:pPr>
            <w:r>
              <w:t>3438</w:t>
            </w:r>
          </w:p>
        </w:tc>
        <w:tc>
          <w:tcPr>
            <w:tcW w:w="2218" w:type="dxa"/>
            <w:tcBorders>
              <w:top w:val="single" w:sz="4" w:space="0" w:color="auto"/>
            </w:tcBorders>
          </w:tcPr>
          <w:p w14:paraId="404B88BB" w14:textId="77777777" w:rsidR="00781CD0" w:rsidRDefault="006A32C3" w:rsidP="00781CD0">
            <w:pPr>
              <w:pStyle w:val="CETBodytext"/>
              <w:jc w:val="center"/>
            </w:pPr>
            <w:r>
              <w:t>3430</w:t>
            </w:r>
          </w:p>
        </w:tc>
        <w:tc>
          <w:tcPr>
            <w:tcW w:w="877" w:type="dxa"/>
            <w:tcBorders>
              <w:top w:val="single" w:sz="4" w:space="0" w:color="auto"/>
            </w:tcBorders>
          </w:tcPr>
          <w:p w14:paraId="2CC938CA" w14:textId="77777777" w:rsidR="00781CD0" w:rsidRDefault="00781CD0" w:rsidP="00781CD0">
            <w:pPr>
              <w:pStyle w:val="CETBodytext"/>
              <w:jc w:val="center"/>
            </w:pPr>
            <w:r>
              <w:t>O-H</w:t>
            </w:r>
          </w:p>
        </w:tc>
        <w:tc>
          <w:tcPr>
            <w:tcW w:w="2976" w:type="dxa"/>
            <w:tcBorders>
              <w:top w:val="single" w:sz="4" w:space="0" w:color="auto"/>
            </w:tcBorders>
          </w:tcPr>
          <w:p w14:paraId="3E946278" w14:textId="77777777" w:rsidR="00781CD0" w:rsidRDefault="0031284D" w:rsidP="00781CD0">
            <w:pPr>
              <w:pStyle w:val="CETBodytext"/>
            </w:pPr>
            <w:r>
              <w:t>OH stretching</w:t>
            </w:r>
          </w:p>
        </w:tc>
      </w:tr>
      <w:tr w:rsidR="00781CD0" w14:paraId="185A1208" w14:textId="77777777" w:rsidTr="00823321">
        <w:tc>
          <w:tcPr>
            <w:tcW w:w="1718" w:type="dxa"/>
          </w:tcPr>
          <w:p w14:paraId="52C1A9EA" w14:textId="77777777" w:rsidR="00781CD0" w:rsidRDefault="006A32C3" w:rsidP="00781CD0">
            <w:pPr>
              <w:pStyle w:val="CETBodytext"/>
              <w:jc w:val="center"/>
            </w:pPr>
            <w:r>
              <w:t>3045, 3000</w:t>
            </w:r>
          </w:p>
        </w:tc>
        <w:tc>
          <w:tcPr>
            <w:tcW w:w="2218" w:type="dxa"/>
          </w:tcPr>
          <w:p w14:paraId="6AA04F8B" w14:textId="77777777" w:rsidR="00781CD0" w:rsidRDefault="006A32C3" w:rsidP="00781CD0">
            <w:pPr>
              <w:pStyle w:val="CETBodytext"/>
              <w:jc w:val="center"/>
            </w:pPr>
            <w:r>
              <w:t>3047, 3004</w:t>
            </w:r>
          </w:p>
        </w:tc>
        <w:tc>
          <w:tcPr>
            <w:tcW w:w="877" w:type="dxa"/>
          </w:tcPr>
          <w:p w14:paraId="23188A06" w14:textId="77777777" w:rsidR="00781CD0" w:rsidRDefault="00781CD0" w:rsidP="00781CD0">
            <w:pPr>
              <w:pStyle w:val="CETBodytext"/>
              <w:jc w:val="center"/>
            </w:pPr>
            <w:r>
              <w:t>C-H</w:t>
            </w:r>
          </w:p>
        </w:tc>
        <w:tc>
          <w:tcPr>
            <w:tcW w:w="2976" w:type="dxa"/>
          </w:tcPr>
          <w:p w14:paraId="7F73CBB0" w14:textId="77777777" w:rsidR="00781CD0" w:rsidRPr="0031284D" w:rsidRDefault="0031284D" w:rsidP="00781CD0">
            <w:pPr>
              <w:pStyle w:val="CETBodytext"/>
            </w:pPr>
            <w:r>
              <w:t>Stretching of the Csp</w:t>
            </w:r>
            <w:r>
              <w:rPr>
                <w:vertAlign w:val="superscript"/>
              </w:rPr>
              <w:t>2</w:t>
            </w:r>
            <w:r>
              <w:t xml:space="preserve"> bond of aromatics</w:t>
            </w:r>
          </w:p>
        </w:tc>
      </w:tr>
      <w:tr w:rsidR="00781CD0" w14:paraId="68397CB4" w14:textId="77777777" w:rsidTr="00823321">
        <w:tc>
          <w:tcPr>
            <w:tcW w:w="1718" w:type="dxa"/>
          </w:tcPr>
          <w:p w14:paraId="52727062" w14:textId="77777777" w:rsidR="00781CD0" w:rsidRDefault="006A32C3" w:rsidP="00781CD0">
            <w:pPr>
              <w:pStyle w:val="CETBodytext"/>
              <w:jc w:val="center"/>
            </w:pPr>
            <w:r>
              <w:t>2960, 2910, 2871</w:t>
            </w:r>
          </w:p>
        </w:tc>
        <w:tc>
          <w:tcPr>
            <w:tcW w:w="2218" w:type="dxa"/>
          </w:tcPr>
          <w:p w14:paraId="0B4E3147" w14:textId="77777777" w:rsidR="00781CD0" w:rsidRDefault="006A32C3" w:rsidP="00781CD0">
            <w:pPr>
              <w:pStyle w:val="CETBodytext"/>
              <w:jc w:val="center"/>
            </w:pPr>
            <w:r>
              <w:t>2958, 2883, 2856, 2792</w:t>
            </w:r>
          </w:p>
        </w:tc>
        <w:tc>
          <w:tcPr>
            <w:tcW w:w="877" w:type="dxa"/>
          </w:tcPr>
          <w:p w14:paraId="51C523D2" w14:textId="77777777" w:rsidR="00781CD0" w:rsidRDefault="00781CD0" w:rsidP="00781CD0">
            <w:pPr>
              <w:pStyle w:val="CETBodytext"/>
              <w:jc w:val="center"/>
            </w:pPr>
            <w:r>
              <w:t>C-H</w:t>
            </w:r>
          </w:p>
        </w:tc>
        <w:tc>
          <w:tcPr>
            <w:tcW w:w="2976" w:type="dxa"/>
          </w:tcPr>
          <w:p w14:paraId="12FBFD84" w14:textId="77777777" w:rsidR="00781CD0" w:rsidRDefault="0031284D" w:rsidP="0031284D">
            <w:pPr>
              <w:pStyle w:val="CETBodytext"/>
            </w:pPr>
            <w:r>
              <w:t>Stretching of the C(sp</w:t>
            </w:r>
            <w:r w:rsidRPr="0031284D">
              <w:rPr>
                <w:vertAlign w:val="superscript"/>
              </w:rPr>
              <w:t>3</w:t>
            </w:r>
            <w:r>
              <w:t>)-H bond of CH</w:t>
            </w:r>
            <w:r w:rsidRPr="0031284D">
              <w:rPr>
                <w:vertAlign w:val="subscript"/>
              </w:rPr>
              <w:t>2</w:t>
            </w:r>
            <w:r>
              <w:t xml:space="preserve"> and CH</w:t>
            </w:r>
            <w:r w:rsidRPr="0031284D">
              <w:rPr>
                <w:vertAlign w:val="subscript"/>
              </w:rPr>
              <w:t>3</w:t>
            </w:r>
            <w:r>
              <w:t xml:space="preserve"> of the ethyl and propyl </w:t>
            </w:r>
            <w:r w:rsidR="006D1098">
              <w:t>group</w:t>
            </w:r>
          </w:p>
        </w:tc>
      </w:tr>
      <w:tr w:rsidR="006A32C3" w14:paraId="5428A0B6" w14:textId="77777777" w:rsidTr="00823321">
        <w:tc>
          <w:tcPr>
            <w:tcW w:w="1718" w:type="dxa"/>
          </w:tcPr>
          <w:p w14:paraId="0071F7BC" w14:textId="77777777" w:rsidR="006A32C3" w:rsidRDefault="006A32C3" w:rsidP="00781CD0">
            <w:pPr>
              <w:pStyle w:val="CETBodytext"/>
              <w:jc w:val="center"/>
            </w:pPr>
            <w:r>
              <w:t>1585, 1485, 1433</w:t>
            </w:r>
          </w:p>
        </w:tc>
        <w:tc>
          <w:tcPr>
            <w:tcW w:w="2218" w:type="dxa"/>
          </w:tcPr>
          <w:p w14:paraId="2F39A1D1" w14:textId="77777777" w:rsidR="006A32C3" w:rsidRDefault="006A32C3" w:rsidP="006A32C3">
            <w:pPr>
              <w:pStyle w:val="CETBodytext"/>
              <w:jc w:val="center"/>
            </w:pPr>
            <w:r>
              <w:t>1585, 1486, 1436</w:t>
            </w:r>
          </w:p>
        </w:tc>
        <w:tc>
          <w:tcPr>
            <w:tcW w:w="877" w:type="dxa"/>
          </w:tcPr>
          <w:p w14:paraId="5101A372" w14:textId="77777777" w:rsidR="006A32C3" w:rsidRDefault="006A32C3" w:rsidP="00781CD0">
            <w:pPr>
              <w:pStyle w:val="CETBodytext"/>
              <w:jc w:val="center"/>
            </w:pPr>
            <w:r>
              <w:t>C-C</w:t>
            </w:r>
          </w:p>
        </w:tc>
        <w:tc>
          <w:tcPr>
            <w:tcW w:w="2976" w:type="dxa"/>
          </w:tcPr>
          <w:p w14:paraId="46E82D8F" w14:textId="77777777" w:rsidR="006A32C3" w:rsidRDefault="006D1098" w:rsidP="00781CD0">
            <w:pPr>
              <w:pStyle w:val="CETBodytext"/>
            </w:pPr>
            <w:r>
              <w:t>C=C stretching from aromatic bonds</w:t>
            </w:r>
          </w:p>
        </w:tc>
      </w:tr>
      <w:tr w:rsidR="006A32C3" w14:paraId="67F2E51B" w14:textId="77777777" w:rsidTr="00823321">
        <w:tc>
          <w:tcPr>
            <w:tcW w:w="1718" w:type="dxa"/>
          </w:tcPr>
          <w:p w14:paraId="35AA572F" w14:textId="77777777" w:rsidR="006A32C3" w:rsidRDefault="006A32C3" w:rsidP="00781CD0">
            <w:pPr>
              <w:pStyle w:val="CETBodytext"/>
              <w:jc w:val="center"/>
            </w:pPr>
            <w:r>
              <w:t>1159</w:t>
            </w:r>
          </w:p>
        </w:tc>
        <w:tc>
          <w:tcPr>
            <w:tcW w:w="2218" w:type="dxa"/>
          </w:tcPr>
          <w:p w14:paraId="62DF8395" w14:textId="77777777" w:rsidR="006A32C3" w:rsidRDefault="006A32C3" w:rsidP="00781CD0">
            <w:pPr>
              <w:pStyle w:val="CETBodytext"/>
              <w:jc w:val="center"/>
            </w:pPr>
            <w:r>
              <w:t>1162</w:t>
            </w:r>
          </w:p>
        </w:tc>
        <w:tc>
          <w:tcPr>
            <w:tcW w:w="877" w:type="dxa"/>
          </w:tcPr>
          <w:p w14:paraId="33C7DF58" w14:textId="77777777" w:rsidR="006A32C3" w:rsidRDefault="006A32C3" w:rsidP="00781CD0">
            <w:pPr>
              <w:pStyle w:val="CETBodytext"/>
              <w:jc w:val="center"/>
            </w:pPr>
            <w:r>
              <w:t>C-H</w:t>
            </w:r>
          </w:p>
        </w:tc>
        <w:tc>
          <w:tcPr>
            <w:tcW w:w="2976" w:type="dxa"/>
          </w:tcPr>
          <w:p w14:paraId="15D0023F" w14:textId="77777777" w:rsidR="006A32C3" w:rsidRPr="00C27FB9" w:rsidRDefault="00C27FB9" w:rsidP="00781CD0">
            <w:pPr>
              <w:pStyle w:val="CETBodytext"/>
            </w:pPr>
            <w:r>
              <w:t>C(sp</w:t>
            </w:r>
            <w:r>
              <w:rPr>
                <w:vertAlign w:val="superscript"/>
              </w:rPr>
              <w:t>2</w:t>
            </w:r>
            <w:r>
              <w:t>)</w:t>
            </w:r>
            <w:r w:rsidR="00D220C1">
              <w:t>-H</w:t>
            </w:r>
            <w:r>
              <w:t xml:space="preserve"> bending from aromatic compounds</w:t>
            </w:r>
          </w:p>
        </w:tc>
      </w:tr>
      <w:tr w:rsidR="006A32C3" w14:paraId="16F00C93" w14:textId="77777777" w:rsidTr="00823321">
        <w:tc>
          <w:tcPr>
            <w:tcW w:w="1718" w:type="dxa"/>
          </w:tcPr>
          <w:p w14:paraId="6C4C1BD1" w14:textId="77777777" w:rsidR="006A32C3" w:rsidRDefault="006A32C3" w:rsidP="00781CD0">
            <w:pPr>
              <w:pStyle w:val="CETBodytext"/>
              <w:jc w:val="center"/>
            </w:pPr>
            <w:r>
              <w:t>1112, 1043, 995</w:t>
            </w:r>
          </w:p>
        </w:tc>
        <w:tc>
          <w:tcPr>
            <w:tcW w:w="2218" w:type="dxa"/>
          </w:tcPr>
          <w:p w14:paraId="3ED4070E" w14:textId="77777777" w:rsidR="006A32C3" w:rsidRDefault="006A32C3" w:rsidP="00781CD0">
            <w:pPr>
              <w:pStyle w:val="CETBodytext"/>
              <w:jc w:val="center"/>
            </w:pPr>
            <w:r>
              <w:t>1112, 997</w:t>
            </w:r>
          </w:p>
        </w:tc>
        <w:tc>
          <w:tcPr>
            <w:tcW w:w="877" w:type="dxa"/>
          </w:tcPr>
          <w:p w14:paraId="671F6DBD" w14:textId="77777777" w:rsidR="006A32C3" w:rsidRDefault="006A32C3" w:rsidP="00781CD0">
            <w:pPr>
              <w:pStyle w:val="CETBodytext"/>
              <w:jc w:val="center"/>
            </w:pPr>
            <w:r>
              <w:t>P-C</w:t>
            </w:r>
          </w:p>
        </w:tc>
        <w:tc>
          <w:tcPr>
            <w:tcW w:w="2976" w:type="dxa"/>
          </w:tcPr>
          <w:p w14:paraId="3BC1DAB4" w14:textId="77777777" w:rsidR="006A32C3" w:rsidRDefault="00D220C1" w:rsidP="00781CD0">
            <w:pPr>
              <w:pStyle w:val="CETBodytext"/>
            </w:pPr>
            <w:r>
              <w:t>Stretching from P-C bond</w:t>
            </w:r>
          </w:p>
        </w:tc>
      </w:tr>
      <w:tr w:rsidR="006A32C3" w14:paraId="1DA7BD76" w14:textId="77777777" w:rsidTr="00823321">
        <w:tc>
          <w:tcPr>
            <w:tcW w:w="1718" w:type="dxa"/>
          </w:tcPr>
          <w:p w14:paraId="121F2D6F" w14:textId="77777777" w:rsidR="006A32C3" w:rsidRDefault="006A32C3" w:rsidP="00781CD0">
            <w:pPr>
              <w:pStyle w:val="CETBodytext"/>
              <w:jc w:val="center"/>
            </w:pPr>
            <w:r>
              <w:t>748, 690</w:t>
            </w:r>
          </w:p>
        </w:tc>
        <w:tc>
          <w:tcPr>
            <w:tcW w:w="2218" w:type="dxa"/>
          </w:tcPr>
          <w:p w14:paraId="511EC07B" w14:textId="77777777" w:rsidR="006A32C3" w:rsidRDefault="006A32C3" w:rsidP="00781CD0">
            <w:pPr>
              <w:pStyle w:val="CETBodytext"/>
              <w:jc w:val="center"/>
            </w:pPr>
            <w:r>
              <w:t>899, 842, 738, 690</w:t>
            </w:r>
          </w:p>
        </w:tc>
        <w:tc>
          <w:tcPr>
            <w:tcW w:w="877" w:type="dxa"/>
          </w:tcPr>
          <w:p w14:paraId="23CB21A0" w14:textId="77777777" w:rsidR="006A32C3" w:rsidRDefault="006A32C3" w:rsidP="00781CD0">
            <w:pPr>
              <w:pStyle w:val="CETBodytext"/>
              <w:jc w:val="center"/>
            </w:pPr>
            <w:r>
              <w:t>C-H</w:t>
            </w:r>
          </w:p>
        </w:tc>
        <w:tc>
          <w:tcPr>
            <w:tcW w:w="2976" w:type="dxa"/>
          </w:tcPr>
          <w:p w14:paraId="42D5C307" w14:textId="77777777" w:rsidR="006A32C3" w:rsidRPr="0084275E" w:rsidRDefault="0084275E" w:rsidP="00781CD0">
            <w:pPr>
              <w:pStyle w:val="CETBodytext"/>
            </w:pPr>
            <w:r>
              <w:t>C(sp</w:t>
            </w:r>
            <w:r>
              <w:rPr>
                <w:vertAlign w:val="superscript"/>
              </w:rPr>
              <w:t>2</w:t>
            </w:r>
            <w:r>
              <w:t>) bending from aromatic compounds</w:t>
            </w:r>
          </w:p>
        </w:tc>
      </w:tr>
      <w:tr w:rsidR="006A32C3" w14:paraId="63BC83A3" w14:textId="77777777" w:rsidTr="00823321">
        <w:tc>
          <w:tcPr>
            <w:tcW w:w="1718" w:type="dxa"/>
          </w:tcPr>
          <w:p w14:paraId="471C0A25" w14:textId="77777777" w:rsidR="006A32C3" w:rsidRDefault="006A32C3" w:rsidP="00781CD0">
            <w:pPr>
              <w:pStyle w:val="CETBodytext"/>
              <w:jc w:val="center"/>
            </w:pPr>
            <w:r>
              <w:t>530</w:t>
            </w:r>
          </w:p>
        </w:tc>
        <w:tc>
          <w:tcPr>
            <w:tcW w:w="2218" w:type="dxa"/>
          </w:tcPr>
          <w:p w14:paraId="19BE02B6" w14:textId="77777777" w:rsidR="006A32C3" w:rsidRDefault="006A32C3" w:rsidP="00781CD0">
            <w:pPr>
              <w:pStyle w:val="CETBodytext"/>
              <w:jc w:val="center"/>
            </w:pPr>
            <w:r>
              <w:t>530, 501</w:t>
            </w:r>
          </w:p>
        </w:tc>
        <w:tc>
          <w:tcPr>
            <w:tcW w:w="877" w:type="dxa"/>
          </w:tcPr>
          <w:p w14:paraId="297ACEB8" w14:textId="77777777" w:rsidR="006A32C3" w:rsidRDefault="006A32C3" w:rsidP="00781CD0">
            <w:pPr>
              <w:pStyle w:val="CETBodytext"/>
              <w:jc w:val="center"/>
            </w:pPr>
            <w:r>
              <w:t>C-H</w:t>
            </w:r>
          </w:p>
        </w:tc>
        <w:tc>
          <w:tcPr>
            <w:tcW w:w="2976" w:type="dxa"/>
          </w:tcPr>
          <w:p w14:paraId="67593113" w14:textId="77777777" w:rsidR="006A32C3" w:rsidRDefault="0084275E" w:rsidP="00781CD0">
            <w:pPr>
              <w:pStyle w:val="CETBodytext"/>
            </w:pPr>
            <w:r>
              <w:t>Out-of-plane angular deformation of C-H bonds of aromatic compounds</w:t>
            </w:r>
          </w:p>
        </w:tc>
      </w:tr>
    </w:tbl>
    <w:p w14:paraId="5212E6F8" w14:textId="77777777" w:rsidR="00712239" w:rsidRDefault="00712239" w:rsidP="00A03030">
      <w:pPr>
        <w:pStyle w:val="CETBodytext"/>
      </w:pPr>
    </w:p>
    <w:p w14:paraId="3A33A15E" w14:textId="77777777" w:rsidR="00A03030" w:rsidRPr="00A03030" w:rsidRDefault="00A03030" w:rsidP="00A03030">
      <w:pPr>
        <w:pStyle w:val="CETBodytext"/>
        <w:rPr>
          <w:lang w:val="en-GB"/>
        </w:rPr>
      </w:pPr>
      <w:r w:rsidRPr="00A03030">
        <w:rPr>
          <w:lang w:val="en-GB"/>
        </w:rPr>
        <w:t xml:space="preserve">The </w:t>
      </w:r>
      <w:r w:rsidRPr="002C45CA">
        <w:rPr>
          <w:vertAlign w:val="superscript"/>
          <w:lang w:val="en-GB"/>
        </w:rPr>
        <w:t>1</w:t>
      </w:r>
      <w:r w:rsidRPr="00A03030">
        <w:rPr>
          <w:lang w:val="en-GB"/>
        </w:rPr>
        <w:t>H-NMR signals of ETPB and PTPB synthesized in isopropanol (Fig</w:t>
      </w:r>
      <w:r w:rsidR="00296C06">
        <w:rPr>
          <w:lang w:val="en-GB"/>
        </w:rPr>
        <w:t>ure 2</w:t>
      </w:r>
      <w:r w:rsidRPr="00A03030">
        <w:rPr>
          <w:lang w:val="en-GB"/>
        </w:rPr>
        <w:t>) confirmed their chemical structure and pr</w:t>
      </w:r>
      <w:r w:rsidR="00296C06">
        <w:rPr>
          <w:lang w:val="en-GB"/>
        </w:rPr>
        <w:t>oved its synthesis. ETPB (Fig. 2</w:t>
      </w:r>
      <w:r w:rsidRPr="00A03030">
        <w:rPr>
          <w:lang w:val="en-GB"/>
        </w:rPr>
        <w:t>A) showed its hydrogens signals of methyl group (δ1.40), methylene group (δ3.82), and aromatic hydrogens (δ7.77). PT</w:t>
      </w:r>
      <w:r w:rsidR="00296C06">
        <w:rPr>
          <w:lang w:val="en-GB"/>
        </w:rPr>
        <w:t>PB (Fig. 2</w:t>
      </w:r>
      <w:r w:rsidRPr="00A03030">
        <w:rPr>
          <w:lang w:val="en-GB"/>
        </w:rPr>
        <w:t xml:space="preserve">B) presented its hydrogens signals of aromatic group (δ7.78), methylene group directly attached to the phosphorus atom (δ3.73), methylene group 2 (δ1.71), and methyl group (δ1.24). </w:t>
      </w:r>
      <w:r w:rsidR="002C45CA">
        <w:rPr>
          <w:vertAlign w:val="superscript"/>
          <w:lang w:val="en-GB"/>
        </w:rPr>
        <w:t>1</w:t>
      </w:r>
      <w:r w:rsidRPr="00A03030">
        <w:rPr>
          <w:lang w:val="en-GB"/>
        </w:rPr>
        <w:t>H NMR analyses also detected the remaining triphenylphosphine due to the presence of signals at δ7.32 and δ7.5 ppm of ETPB and PTPB, respectively.</w:t>
      </w:r>
    </w:p>
    <w:p w14:paraId="69C274DA" w14:textId="77777777" w:rsidR="00A03030" w:rsidRDefault="00A03030" w:rsidP="00A03030">
      <w:pPr>
        <w:pStyle w:val="CETBodytext"/>
        <w:rPr>
          <w:lang w:val="en-GB"/>
        </w:rPr>
      </w:pPr>
      <w:r w:rsidRPr="00A03030">
        <w:rPr>
          <w:lang w:val="en-GB"/>
        </w:rPr>
        <w:t>Protic polar solvents tend to orientate their hydrogens to stabilize the leaving group in the Wittig salt reaction (Br</w:t>
      </w:r>
      <w:r w:rsidRPr="00296C06">
        <w:rPr>
          <w:vertAlign w:val="superscript"/>
          <w:lang w:val="en-GB"/>
        </w:rPr>
        <w:t>-</w:t>
      </w:r>
      <w:r w:rsidRPr="00A03030">
        <w:rPr>
          <w:lang w:val="en-GB"/>
        </w:rPr>
        <w:t>). Isopropanol, a weak nucleophilic agent, has a significant steric hindrance that disfavors its action on the solvation layer of the substrate. This makes the electrophilic carbon more available to the triphenylphosphine nucleophilic attack, which favors the reaction. On the other hand, less hindered alcohols, such as ethanol, provide a good solvation for the alkyl halide, turning the electrophile carbon less available, and disfavoring the reaction. These factors contributed for the expressive yields of ETPB and PTPB in isopropanol, 65.2 and 71.8 %, respectively. ETPB and PTPB exhibited lower yields in ethanol, 64.5 and 43.7 %, respectively.</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tblGrid>
      <w:tr w:rsidR="00ED0032" w14:paraId="66975709" w14:textId="77777777" w:rsidTr="00ED0032">
        <w:tc>
          <w:tcPr>
            <w:tcW w:w="5987" w:type="dxa"/>
          </w:tcPr>
          <w:p w14:paraId="6409CA00" w14:textId="77777777" w:rsidR="00ED0032" w:rsidRDefault="00ED0032" w:rsidP="00A03030">
            <w:pPr>
              <w:pStyle w:val="CETBodytext"/>
              <w:rPr>
                <w:lang w:val="en-GB"/>
              </w:rPr>
            </w:pPr>
            <w:r>
              <w:rPr>
                <w:rFonts w:ascii="Times New Roman" w:hAnsi="Times New Roman"/>
                <w:b/>
                <w:noProof/>
                <w:sz w:val="20"/>
                <w:lang w:val="pt-BR" w:eastAsia="pt-BR"/>
              </w:rPr>
              <w:lastRenderedPageBreak/>
              <w:drawing>
                <wp:inline distT="0" distB="0" distL="0" distR="0" wp14:anchorId="29990C2C" wp14:editId="6F74AE6D">
                  <wp:extent cx="3600000" cy="2385872"/>
                  <wp:effectExtent l="0" t="0" r="63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385872"/>
                          </a:xfrm>
                          <a:prstGeom prst="rect">
                            <a:avLst/>
                          </a:prstGeom>
                          <a:noFill/>
                          <a:ln>
                            <a:noFill/>
                          </a:ln>
                        </pic:spPr>
                      </pic:pic>
                    </a:graphicData>
                  </a:graphic>
                </wp:inline>
              </w:drawing>
            </w:r>
          </w:p>
        </w:tc>
      </w:tr>
      <w:tr w:rsidR="00ED0032" w14:paraId="400169FE" w14:textId="77777777" w:rsidTr="00ED0032">
        <w:tc>
          <w:tcPr>
            <w:tcW w:w="5987" w:type="dxa"/>
          </w:tcPr>
          <w:p w14:paraId="56F2E9D5" w14:textId="77777777" w:rsidR="00ED0032" w:rsidRDefault="00ED0032" w:rsidP="00ED0032">
            <w:pPr>
              <w:pStyle w:val="CETBodytext"/>
              <w:jc w:val="center"/>
              <w:rPr>
                <w:lang w:val="en-GB"/>
              </w:rPr>
            </w:pPr>
            <w:r w:rsidRPr="00A03030">
              <w:rPr>
                <w:rFonts w:cs="Arial"/>
                <w:b/>
                <w:szCs w:val="18"/>
              </w:rPr>
              <w:t>A</w:t>
            </w:r>
          </w:p>
        </w:tc>
      </w:tr>
      <w:tr w:rsidR="00ED0032" w14:paraId="2F510D2C" w14:textId="77777777" w:rsidTr="00ED0032">
        <w:tc>
          <w:tcPr>
            <w:tcW w:w="5987" w:type="dxa"/>
          </w:tcPr>
          <w:p w14:paraId="114C1868" w14:textId="77777777" w:rsidR="00ED0032" w:rsidRDefault="00ED0032" w:rsidP="00A03030">
            <w:pPr>
              <w:pStyle w:val="CETBodytext"/>
              <w:rPr>
                <w:lang w:val="en-GB"/>
              </w:rPr>
            </w:pPr>
            <w:r>
              <w:rPr>
                <w:rFonts w:ascii="Times New Roman" w:hAnsi="Times New Roman"/>
                <w:b/>
                <w:noProof/>
                <w:sz w:val="20"/>
                <w:lang w:val="pt-BR" w:eastAsia="pt-BR"/>
              </w:rPr>
              <w:drawing>
                <wp:inline distT="0" distB="0" distL="0" distR="0" wp14:anchorId="6A547F82" wp14:editId="46AC9E6E">
                  <wp:extent cx="3600000" cy="2361148"/>
                  <wp:effectExtent l="0" t="0" r="635" b="127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2361148"/>
                          </a:xfrm>
                          <a:prstGeom prst="rect">
                            <a:avLst/>
                          </a:prstGeom>
                          <a:noFill/>
                          <a:ln>
                            <a:noFill/>
                          </a:ln>
                        </pic:spPr>
                      </pic:pic>
                    </a:graphicData>
                  </a:graphic>
                </wp:inline>
              </w:drawing>
            </w:r>
          </w:p>
        </w:tc>
      </w:tr>
      <w:tr w:rsidR="00ED0032" w14:paraId="02560850" w14:textId="77777777" w:rsidTr="00ED0032">
        <w:tc>
          <w:tcPr>
            <w:tcW w:w="5987" w:type="dxa"/>
          </w:tcPr>
          <w:p w14:paraId="53731E16" w14:textId="77777777" w:rsidR="00ED0032" w:rsidRDefault="00ED0032" w:rsidP="00ED0032">
            <w:pPr>
              <w:pStyle w:val="CETBodytext"/>
              <w:jc w:val="center"/>
              <w:rPr>
                <w:lang w:val="en-GB"/>
              </w:rPr>
            </w:pPr>
            <w:r>
              <w:rPr>
                <w:rFonts w:cs="Arial"/>
                <w:b/>
                <w:szCs w:val="18"/>
              </w:rPr>
              <w:t>B</w:t>
            </w:r>
          </w:p>
        </w:tc>
      </w:tr>
    </w:tbl>
    <w:p w14:paraId="3989A221" w14:textId="77777777" w:rsidR="00A03030" w:rsidRDefault="00A03030" w:rsidP="009E010F">
      <w:pPr>
        <w:pStyle w:val="CETTabletitle"/>
        <w:jc w:val="both"/>
      </w:pPr>
      <w:r w:rsidRPr="00A03030">
        <w:t xml:space="preserve">Figure </w:t>
      </w:r>
      <w:r w:rsidRPr="00A03030">
        <w:fldChar w:fldCharType="begin"/>
      </w:r>
      <w:r w:rsidRPr="00A03030">
        <w:instrText xml:space="preserve"> SEQ Figure \* ARABIC </w:instrText>
      </w:r>
      <w:r w:rsidRPr="00A03030">
        <w:fldChar w:fldCharType="separate"/>
      </w:r>
      <w:r w:rsidR="009E010F">
        <w:rPr>
          <w:noProof/>
        </w:rPr>
        <w:t>2</w:t>
      </w:r>
      <w:r w:rsidRPr="00A03030">
        <w:fldChar w:fldCharType="end"/>
      </w:r>
      <w:r w:rsidRPr="00A03030">
        <w:t xml:space="preserve">. </w:t>
      </w:r>
      <w:r w:rsidRPr="00ED0032">
        <w:rPr>
          <w:vertAlign w:val="superscript"/>
        </w:rPr>
        <w:t>1</w:t>
      </w:r>
      <w:r w:rsidRPr="00A03030">
        <w:t>H-NMR spectra of Wittig Salts: A) ETPB, and B) PTPB.</w:t>
      </w:r>
    </w:p>
    <w:p w14:paraId="701DA740" w14:textId="77777777" w:rsidR="001778CB" w:rsidRPr="00A03030" w:rsidRDefault="001778CB" w:rsidP="009E010F">
      <w:pPr>
        <w:pStyle w:val="CETTabletitle"/>
        <w:jc w:val="both"/>
      </w:pPr>
    </w:p>
    <w:p w14:paraId="3CA63C3C" w14:textId="77777777" w:rsidR="00223C89" w:rsidRPr="00223C89" w:rsidRDefault="00223C89" w:rsidP="00223C89">
      <w:pPr>
        <w:pStyle w:val="CETheadingx"/>
      </w:pPr>
      <w:r w:rsidRPr="00223C89">
        <w:t>LA Olefination</w:t>
      </w:r>
    </w:p>
    <w:p w14:paraId="5061988C" w14:textId="77777777" w:rsidR="00A03030" w:rsidRDefault="00223C89" w:rsidP="00223C89">
      <w:pPr>
        <w:pStyle w:val="CETBodytext"/>
        <w:rPr>
          <w:lang w:val="en-GB"/>
        </w:rPr>
      </w:pPr>
      <w:r w:rsidRPr="00223C89">
        <w:rPr>
          <w:lang w:val="en-GB"/>
        </w:rPr>
        <w:t>The ions of interest (127 and 141 Da) were selected in the sequential mass spectrometer to investigate their fragmentation profiles and thus elucidate their chemical structures. The sequential mass spectra of the LA olefination samples with ETPB and PTPB are shown in Fig</w:t>
      </w:r>
      <w:r w:rsidR="001778CB">
        <w:rPr>
          <w:lang w:val="en-GB"/>
        </w:rPr>
        <w:t>ure</w:t>
      </w:r>
      <w:r w:rsidRPr="00223C89">
        <w:rPr>
          <w:lang w:val="en-GB"/>
        </w:rPr>
        <w:t xml:space="preserve"> </w:t>
      </w:r>
      <w:r w:rsidR="001778CB">
        <w:rPr>
          <w:lang w:val="en-GB"/>
        </w:rPr>
        <w:t>3</w:t>
      </w:r>
      <w:r w:rsidRPr="00223C89">
        <w:rPr>
          <w:lang w:val="en-GB"/>
        </w:rPr>
        <w:t>.</w:t>
      </w:r>
    </w:p>
    <w:p w14:paraId="70D53658" w14:textId="77777777" w:rsidR="0060403E" w:rsidRDefault="0060403E" w:rsidP="0060403E">
      <w:pPr>
        <w:pStyle w:val="CETBodytext"/>
      </w:pPr>
      <w:r w:rsidRPr="004238C3">
        <w:t>The m/z 81 (Fig. 2 - R1, R2, and R3), and m/z 79 (Fig. 2 - R4, R5, and R6) signals are characteristic for precursor ions of m/z 127 and 141, respectively. These fragmentations are explained by the mechanisms proposed in Fig. 3A and 3B. This is justified by the regioselectivity of the Wittig reaction that produces a compound with Z-configuration starting with non-stabilized ylides, which confirms the synthesis of 4-methyl-hex-4-enoic acid and 4-methyl-hept-4-enoic acid.</w:t>
      </w:r>
    </w:p>
    <w:p w14:paraId="4B260907" w14:textId="77777777" w:rsidR="001778CB" w:rsidRPr="0060403E" w:rsidRDefault="001778CB" w:rsidP="00223C89">
      <w:pPr>
        <w:pStyle w:val="CETBodytext"/>
      </w:pPr>
    </w:p>
    <w:p w14:paraId="0D35270A" w14:textId="77777777" w:rsidR="00A03030" w:rsidRDefault="00A03030" w:rsidP="00A03030">
      <w:pPr>
        <w:pStyle w:val="CETBodytext"/>
        <w:rPr>
          <w:lang w:val="en-GB"/>
        </w:rPr>
      </w:pPr>
    </w:p>
    <w:p w14:paraId="4B2767C6" w14:textId="77777777" w:rsidR="001778CB" w:rsidRDefault="001778CB" w:rsidP="00A03030">
      <w:pPr>
        <w:pStyle w:val="CETBodytext"/>
        <w:rPr>
          <w:lang w:val="en-GB"/>
        </w:rPr>
      </w:pPr>
    </w:p>
    <w:p w14:paraId="41C4F929" w14:textId="77777777" w:rsidR="001778CB" w:rsidRDefault="001778CB" w:rsidP="00A03030">
      <w:pPr>
        <w:pStyle w:val="CETBodytext"/>
        <w:rPr>
          <w:lang w:val="en-GB"/>
        </w:rPr>
      </w:pPr>
    </w:p>
    <w:p w14:paraId="3C9778C1" w14:textId="77777777" w:rsidR="001778CB" w:rsidRDefault="001778CB" w:rsidP="00A03030">
      <w:pPr>
        <w:pStyle w:val="CETBodytext"/>
        <w:rPr>
          <w:lang w:val="en-GB"/>
        </w:rPr>
      </w:pPr>
    </w:p>
    <w:p w14:paraId="1A005C4E" w14:textId="77777777" w:rsidR="001778CB" w:rsidRDefault="001778CB" w:rsidP="00A03030">
      <w:pPr>
        <w:pStyle w:val="CETBodytext"/>
        <w:rPr>
          <w:lang w:val="en-GB"/>
        </w:rPr>
      </w:pPr>
    </w:p>
    <w:p w14:paraId="1AE1EE29" w14:textId="77777777" w:rsidR="001778CB" w:rsidRDefault="001778CB" w:rsidP="00A03030">
      <w:pPr>
        <w:pStyle w:val="CETBodytext"/>
        <w:rPr>
          <w:lang w:val="en-GB"/>
        </w:rPr>
      </w:pPr>
    </w:p>
    <w:p w14:paraId="687A5BDB" w14:textId="77777777" w:rsidR="001778CB" w:rsidRDefault="001778CB" w:rsidP="00A03030">
      <w:pPr>
        <w:pStyle w:val="CETBodytext"/>
        <w:rPr>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296"/>
      </w:tblGrid>
      <w:tr w:rsidR="00223C89" w:rsidRPr="00373B37" w14:paraId="4BC05FF4" w14:textId="77777777" w:rsidTr="00223C89">
        <w:trPr>
          <w:jc w:val="center"/>
        </w:trPr>
        <w:tc>
          <w:tcPr>
            <w:tcW w:w="3730" w:type="dxa"/>
            <w:vAlign w:val="center"/>
            <w:hideMark/>
          </w:tcPr>
          <w:p w14:paraId="3922CCE8" w14:textId="77777777" w:rsidR="00223C89" w:rsidRPr="00373B37" w:rsidRDefault="00223C89">
            <w:pPr>
              <w:autoSpaceDE w:val="0"/>
              <w:autoSpaceDN w:val="0"/>
              <w:adjustRightInd w:val="0"/>
              <w:spacing w:line="240" w:lineRule="auto"/>
              <w:jc w:val="center"/>
              <w:rPr>
                <w:rFonts w:eastAsia="CIDFont+F3" w:cs="Arial"/>
                <w:szCs w:val="18"/>
                <w:lang w:val="en-US"/>
              </w:rPr>
            </w:pPr>
            <w:r w:rsidRPr="00373B37">
              <w:rPr>
                <w:rFonts w:cs="Arial"/>
                <w:b/>
                <w:noProof/>
                <w:szCs w:val="18"/>
                <w:lang w:val="pt-BR" w:eastAsia="pt-BR"/>
              </w:rPr>
              <w:lastRenderedPageBreak/>
              <w:drawing>
                <wp:inline distT="0" distB="0" distL="0" distR="0" wp14:anchorId="6746B3A1" wp14:editId="1E66273E">
                  <wp:extent cx="2583180" cy="1074420"/>
                  <wp:effectExtent l="0" t="0" r="7620" b="0"/>
                  <wp:docPr id="12" name="Imagem 12" descr="R21_Frag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21_Frag127"/>
                          <pic:cNvPicPr>
                            <a:picLocks noChangeAspect="1" noChangeArrowheads="1"/>
                          </pic:cNvPicPr>
                        </pic:nvPicPr>
                        <pic:blipFill>
                          <a:blip r:embed="rId14" cstate="print">
                            <a:extLst>
                              <a:ext uri="{28A0092B-C50C-407E-A947-70E740481C1C}">
                                <a14:useLocalDpi xmlns:a14="http://schemas.microsoft.com/office/drawing/2010/main" val="0"/>
                              </a:ext>
                            </a:extLst>
                          </a:blip>
                          <a:srcRect l="1466" t="8244" r="4523" b="6430"/>
                          <a:stretch>
                            <a:fillRect/>
                          </a:stretch>
                        </pic:blipFill>
                        <pic:spPr bwMode="auto">
                          <a:xfrm>
                            <a:off x="0" y="0"/>
                            <a:ext cx="2583180" cy="1074420"/>
                          </a:xfrm>
                          <a:prstGeom prst="rect">
                            <a:avLst/>
                          </a:prstGeom>
                          <a:noFill/>
                          <a:ln>
                            <a:noFill/>
                          </a:ln>
                        </pic:spPr>
                      </pic:pic>
                    </a:graphicData>
                  </a:graphic>
                </wp:inline>
              </w:drawing>
            </w:r>
          </w:p>
        </w:tc>
        <w:tc>
          <w:tcPr>
            <w:tcW w:w="3730" w:type="dxa"/>
            <w:vAlign w:val="center"/>
            <w:hideMark/>
          </w:tcPr>
          <w:p w14:paraId="071BACC9" w14:textId="77777777" w:rsidR="00223C89" w:rsidRPr="00373B37" w:rsidRDefault="00223C89">
            <w:pPr>
              <w:autoSpaceDE w:val="0"/>
              <w:autoSpaceDN w:val="0"/>
              <w:adjustRightInd w:val="0"/>
              <w:spacing w:line="240" w:lineRule="auto"/>
              <w:jc w:val="center"/>
              <w:rPr>
                <w:rFonts w:eastAsia="CIDFont+F3" w:cs="Arial"/>
                <w:szCs w:val="18"/>
                <w:lang w:val="en-US"/>
              </w:rPr>
            </w:pPr>
            <w:r w:rsidRPr="00373B37">
              <w:rPr>
                <w:rFonts w:cs="Arial"/>
                <w:b/>
                <w:noProof/>
                <w:szCs w:val="18"/>
                <w:lang w:val="pt-BR" w:eastAsia="pt-BR"/>
              </w:rPr>
              <w:drawing>
                <wp:inline distT="0" distB="0" distL="0" distR="0" wp14:anchorId="4FFC43BF" wp14:editId="1BBFE881">
                  <wp:extent cx="2588895" cy="1074420"/>
                  <wp:effectExtent l="0" t="0" r="1905" b="0"/>
                  <wp:docPr id="11" name="Imagem 11" descr="R24_Frag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R24_Frag141"/>
                          <pic:cNvPicPr>
                            <a:picLocks noChangeAspect="1" noChangeArrowheads="1"/>
                          </pic:cNvPicPr>
                        </pic:nvPicPr>
                        <pic:blipFill>
                          <a:blip r:embed="rId15">
                            <a:extLst>
                              <a:ext uri="{28A0092B-C50C-407E-A947-70E740481C1C}">
                                <a14:useLocalDpi xmlns:a14="http://schemas.microsoft.com/office/drawing/2010/main" val="0"/>
                              </a:ext>
                            </a:extLst>
                          </a:blip>
                          <a:srcRect l="1454" t="7912" r="5008" b="6990"/>
                          <a:stretch>
                            <a:fillRect/>
                          </a:stretch>
                        </pic:blipFill>
                        <pic:spPr bwMode="auto">
                          <a:xfrm>
                            <a:off x="0" y="0"/>
                            <a:ext cx="2588895" cy="1074420"/>
                          </a:xfrm>
                          <a:prstGeom prst="rect">
                            <a:avLst/>
                          </a:prstGeom>
                          <a:noFill/>
                          <a:ln>
                            <a:noFill/>
                          </a:ln>
                        </pic:spPr>
                      </pic:pic>
                    </a:graphicData>
                  </a:graphic>
                </wp:inline>
              </w:drawing>
            </w:r>
          </w:p>
        </w:tc>
      </w:tr>
      <w:tr w:rsidR="00223C89" w:rsidRPr="00373B37" w14:paraId="3563FB53" w14:textId="77777777" w:rsidTr="00223C89">
        <w:trPr>
          <w:jc w:val="center"/>
        </w:trPr>
        <w:tc>
          <w:tcPr>
            <w:tcW w:w="3730" w:type="dxa"/>
            <w:vAlign w:val="center"/>
            <w:hideMark/>
          </w:tcPr>
          <w:p w14:paraId="2E2DF1AD" w14:textId="77777777" w:rsidR="00223C89" w:rsidRPr="00373B37" w:rsidRDefault="00223C89">
            <w:pPr>
              <w:autoSpaceDE w:val="0"/>
              <w:autoSpaceDN w:val="0"/>
              <w:adjustRightInd w:val="0"/>
              <w:spacing w:line="240" w:lineRule="auto"/>
              <w:jc w:val="center"/>
              <w:rPr>
                <w:rFonts w:cs="Arial"/>
                <w:b/>
                <w:noProof/>
                <w:szCs w:val="18"/>
                <w:lang w:eastAsia="pt-BR"/>
              </w:rPr>
            </w:pPr>
            <w:r w:rsidRPr="00373B37">
              <w:rPr>
                <w:rFonts w:cs="Arial"/>
                <w:b/>
                <w:szCs w:val="18"/>
              </w:rPr>
              <w:t>R1</w:t>
            </w:r>
          </w:p>
        </w:tc>
        <w:tc>
          <w:tcPr>
            <w:tcW w:w="3730" w:type="dxa"/>
            <w:vAlign w:val="center"/>
            <w:hideMark/>
          </w:tcPr>
          <w:p w14:paraId="339D521D" w14:textId="77777777" w:rsidR="00223C89" w:rsidRPr="00373B37" w:rsidRDefault="00223C89">
            <w:pPr>
              <w:autoSpaceDE w:val="0"/>
              <w:autoSpaceDN w:val="0"/>
              <w:adjustRightInd w:val="0"/>
              <w:spacing w:line="240" w:lineRule="auto"/>
              <w:jc w:val="center"/>
              <w:rPr>
                <w:rFonts w:cs="Arial"/>
                <w:b/>
                <w:noProof/>
                <w:szCs w:val="18"/>
                <w:lang w:eastAsia="pt-BR"/>
              </w:rPr>
            </w:pPr>
            <w:r w:rsidRPr="00373B37">
              <w:rPr>
                <w:rFonts w:cs="Arial"/>
                <w:b/>
                <w:szCs w:val="18"/>
              </w:rPr>
              <w:t>R4</w:t>
            </w:r>
          </w:p>
        </w:tc>
      </w:tr>
      <w:tr w:rsidR="00223C89" w:rsidRPr="00373B37" w14:paraId="533FC6A3" w14:textId="77777777" w:rsidTr="00223C89">
        <w:trPr>
          <w:jc w:val="center"/>
        </w:trPr>
        <w:tc>
          <w:tcPr>
            <w:tcW w:w="3730" w:type="dxa"/>
            <w:vAlign w:val="center"/>
            <w:hideMark/>
          </w:tcPr>
          <w:p w14:paraId="57AD825B" w14:textId="77777777" w:rsidR="00223C89" w:rsidRPr="00373B37" w:rsidRDefault="00223C89">
            <w:pPr>
              <w:autoSpaceDE w:val="0"/>
              <w:autoSpaceDN w:val="0"/>
              <w:adjustRightInd w:val="0"/>
              <w:spacing w:line="240" w:lineRule="auto"/>
              <w:jc w:val="center"/>
              <w:rPr>
                <w:rFonts w:eastAsia="CIDFont+F3" w:cs="Arial"/>
                <w:szCs w:val="18"/>
                <w:lang w:val="en-US"/>
              </w:rPr>
            </w:pPr>
            <w:r w:rsidRPr="00373B37">
              <w:rPr>
                <w:rFonts w:cs="Arial"/>
                <w:b/>
                <w:noProof/>
                <w:szCs w:val="18"/>
                <w:lang w:val="pt-BR" w:eastAsia="pt-BR"/>
              </w:rPr>
              <w:drawing>
                <wp:inline distT="0" distB="0" distL="0" distR="0" wp14:anchorId="2C4768D8" wp14:editId="4A8DE0FD">
                  <wp:extent cx="2588895" cy="1074420"/>
                  <wp:effectExtent l="0" t="0" r="1905" b="0"/>
                  <wp:docPr id="10" name="Imagem 10" descr="R22_Frag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22_Frag127"/>
                          <pic:cNvPicPr>
                            <a:picLocks noChangeAspect="1" noChangeArrowheads="1"/>
                          </pic:cNvPicPr>
                        </pic:nvPicPr>
                        <pic:blipFill>
                          <a:blip r:embed="rId16" cstate="print">
                            <a:extLst>
                              <a:ext uri="{28A0092B-C50C-407E-A947-70E740481C1C}">
                                <a14:useLocalDpi xmlns:a14="http://schemas.microsoft.com/office/drawing/2010/main" val="0"/>
                              </a:ext>
                            </a:extLst>
                          </a:blip>
                          <a:srcRect l="1587" t="8800" r="4030" b="3807"/>
                          <a:stretch>
                            <a:fillRect/>
                          </a:stretch>
                        </pic:blipFill>
                        <pic:spPr bwMode="auto">
                          <a:xfrm>
                            <a:off x="0" y="0"/>
                            <a:ext cx="2588895" cy="1074420"/>
                          </a:xfrm>
                          <a:prstGeom prst="rect">
                            <a:avLst/>
                          </a:prstGeom>
                          <a:noFill/>
                          <a:ln>
                            <a:noFill/>
                          </a:ln>
                        </pic:spPr>
                      </pic:pic>
                    </a:graphicData>
                  </a:graphic>
                </wp:inline>
              </w:drawing>
            </w:r>
          </w:p>
        </w:tc>
        <w:tc>
          <w:tcPr>
            <w:tcW w:w="3730" w:type="dxa"/>
            <w:vAlign w:val="center"/>
            <w:hideMark/>
          </w:tcPr>
          <w:p w14:paraId="366EC9C8" w14:textId="77777777" w:rsidR="00223C89" w:rsidRPr="00373B37" w:rsidRDefault="00223C89">
            <w:pPr>
              <w:autoSpaceDE w:val="0"/>
              <w:autoSpaceDN w:val="0"/>
              <w:adjustRightInd w:val="0"/>
              <w:spacing w:line="240" w:lineRule="auto"/>
              <w:jc w:val="center"/>
              <w:rPr>
                <w:rFonts w:eastAsia="CIDFont+F3" w:cs="Arial"/>
                <w:szCs w:val="18"/>
                <w:lang w:val="en-US"/>
              </w:rPr>
            </w:pPr>
            <w:r w:rsidRPr="00373B37">
              <w:rPr>
                <w:rFonts w:cs="Arial"/>
                <w:b/>
                <w:noProof/>
                <w:szCs w:val="18"/>
                <w:lang w:val="pt-BR" w:eastAsia="pt-BR"/>
              </w:rPr>
              <w:drawing>
                <wp:inline distT="0" distB="0" distL="0" distR="0" wp14:anchorId="3FFD1E6E" wp14:editId="6C85379A">
                  <wp:extent cx="2588895" cy="1068705"/>
                  <wp:effectExtent l="0" t="0" r="1905" b="0"/>
                  <wp:docPr id="9" name="Imagem 9" descr="R25_Frag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R25_Frag141"/>
                          <pic:cNvPicPr>
                            <a:picLocks noChangeAspect="1" noChangeArrowheads="1"/>
                          </pic:cNvPicPr>
                        </pic:nvPicPr>
                        <pic:blipFill>
                          <a:blip r:embed="rId17">
                            <a:extLst>
                              <a:ext uri="{28A0092B-C50C-407E-A947-70E740481C1C}">
                                <a14:useLocalDpi xmlns:a14="http://schemas.microsoft.com/office/drawing/2010/main" val="0"/>
                              </a:ext>
                            </a:extLst>
                          </a:blip>
                          <a:srcRect l="1585" t="8450" r="3789" b="4619"/>
                          <a:stretch>
                            <a:fillRect/>
                          </a:stretch>
                        </pic:blipFill>
                        <pic:spPr bwMode="auto">
                          <a:xfrm>
                            <a:off x="0" y="0"/>
                            <a:ext cx="2588895" cy="1068705"/>
                          </a:xfrm>
                          <a:prstGeom prst="rect">
                            <a:avLst/>
                          </a:prstGeom>
                          <a:noFill/>
                          <a:ln>
                            <a:noFill/>
                          </a:ln>
                        </pic:spPr>
                      </pic:pic>
                    </a:graphicData>
                  </a:graphic>
                </wp:inline>
              </w:drawing>
            </w:r>
          </w:p>
        </w:tc>
      </w:tr>
      <w:tr w:rsidR="00223C89" w:rsidRPr="00373B37" w14:paraId="02622B76" w14:textId="77777777" w:rsidTr="00223C89">
        <w:trPr>
          <w:jc w:val="center"/>
        </w:trPr>
        <w:tc>
          <w:tcPr>
            <w:tcW w:w="3730" w:type="dxa"/>
            <w:vAlign w:val="center"/>
            <w:hideMark/>
          </w:tcPr>
          <w:p w14:paraId="50B431E8" w14:textId="77777777" w:rsidR="00223C89" w:rsidRPr="00373B37" w:rsidRDefault="00223C89">
            <w:pPr>
              <w:autoSpaceDE w:val="0"/>
              <w:autoSpaceDN w:val="0"/>
              <w:adjustRightInd w:val="0"/>
              <w:spacing w:line="240" w:lineRule="auto"/>
              <w:jc w:val="center"/>
              <w:rPr>
                <w:rFonts w:cs="Arial"/>
                <w:b/>
                <w:noProof/>
                <w:szCs w:val="18"/>
                <w:lang w:eastAsia="pt-BR"/>
              </w:rPr>
            </w:pPr>
            <w:r w:rsidRPr="00373B37">
              <w:rPr>
                <w:rFonts w:cs="Arial"/>
                <w:b/>
                <w:szCs w:val="18"/>
              </w:rPr>
              <w:t>R2</w:t>
            </w:r>
          </w:p>
        </w:tc>
        <w:tc>
          <w:tcPr>
            <w:tcW w:w="3730" w:type="dxa"/>
            <w:vAlign w:val="center"/>
            <w:hideMark/>
          </w:tcPr>
          <w:p w14:paraId="2BEB7131" w14:textId="77777777" w:rsidR="00223C89" w:rsidRPr="00373B37" w:rsidRDefault="00223C89">
            <w:pPr>
              <w:autoSpaceDE w:val="0"/>
              <w:autoSpaceDN w:val="0"/>
              <w:adjustRightInd w:val="0"/>
              <w:spacing w:line="240" w:lineRule="auto"/>
              <w:jc w:val="center"/>
              <w:rPr>
                <w:rFonts w:cs="Arial"/>
                <w:b/>
                <w:noProof/>
                <w:szCs w:val="18"/>
                <w:lang w:eastAsia="pt-BR"/>
              </w:rPr>
            </w:pPr>
            <w:r w:rsidRPr="00373B37">
              <w:rPr>
                <w:rFonts w:cs="Arial"/>
                <w:b/>
                <w:szCs w:val="18"/>
              </w:rPr>
              <w:t>R5</w:t>
            </w:r>
          </w:p>
        </w:tc>
      </w:tr>
      <w:tr w:rsidR="00223C89" w:rsidRPr="00373B37" w14:paraId="27E477E4" w14:textId="77777777" w:rsidTr="00223C89">
        <w:trPr>
          <w:jc w:val="center"/>
        </w:trPr>
        <w:tc>
          <w:tcPr>
            <w:tcW w:w="3730" w:type="dxa"/>
            <w:vAlign w:val="center"/>
            <w:hideMark/>
          </w:tcPr>
          <w:p w14:paraId="0B2A0C5C" w14:textId="77777777" w:rsidR="00223C89" w:rsidRPr="00373B37" w:rsidRDefault="00223C89">
            <w:pPr>
              <w:autoSpaceDE w:val="0"/>
              <w:autoSpaceDN w:val="0"/>
              <w:adjustRightInd w:val="0"/>
              <w:spacing w:line="240" w:lineRule="auto"/>
              <w:jc w:val="center"/>
              <w:rPr>
                <w:rFonts w:eastAsia="CIDFont+F3" w:cs="Arial"/>
                <w:szCs w:val="18"/>
                <w:lang w:val="en-US"/>
              </w:rPr>
            </w:pPr>
            <w:r w:rsidRPr="00373B37">
              <w:rPr>
                <w:rFonts w:cs="Arial"/>
                <w:b/>
                <w:noProof/>
                <w:szCs w:val="18"/>
                <w:lang w:val="pt-BR" w:eastAsia="pt-BR"/>
              </w:rPr>
              <w:drawing>
                <wp:inline distT="0" distB="0" distL="0" distR="0" wp14:anchorId="4DB30063" wp14:editId="6722B01A">
                  <wp:extent cx="2588895" cy="1086485"/>
                  <wp:effectExtent l="0" t="0" r="1905" b="0"/>
                  <wp:docPr id="8" name="Imagem 8" descr="R23_Frag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R23_Frag127"/>
                          <pic:cNvPicPr>
                            <a:picLocks noChangeAspect="1" noChangeArrowheads="1"/>
                          </pic:cNvPicPr>
                        </pic:nvPicPr>
                        <pic:blipFill>
                          <a:blip r:embed="rId18" cstate="print">
                            <a:extLst>
                              <a:ext uri="{28A0092B-C50C-407E-A947-70E740481C1C}">
                                <a14:useLocalDpi xmlns:a14="http://schemas.microsoft.com/office/drawing/2010/main" val="0"/>
                              </a:ext>
                            </a:extLst>
                          </a:blip>
                          <a:srcRect l="1454" t="7166" r="4274" b="4082"/>
                          <a:stretch>
                            <a:fillRect/>
                          </a:stretch>
                        </pic:blipFill>
                        <pic:spPr bwMode="auto">
                          <a:xfrm>
                            <a:off x="0" y="0"/>
                            <a:ext cx="2588895" cy="1086485"/>
                          </a:xfrm>
                          <a:prstGeom prst="rect">
                            <a:avLst/>
                          </a:prstGeom>
                          <a:noFill/>
                          <a:ln>
                            <a:noFill/>
                          </a:ln>
                        </pic:spPr>
                      </pic:pic>
                    </a:graphicData>
                  </a:graphic>
                </wp:inline>
              </w:drawing>
            </w:r>
          </w:p>
        </w:tc>
        <w:tc>
          <w:tcPr>
            <w:tcW w:w="3730" w:type="dxa"/>
            <w:vAlign w:val="center"/>
            <w:hideMark/>
          </w:tcPr>
          <w:p w14:paraId="6728EBA1" w14:textId="77777777" w:rsidR="00223C89" w:rsidRPr="00373B37" w:rsidRDefault="00223C89">
            <w:pPr>
              <w:keepNext/>
              <w:autoSpaceDE w:val="0"/>
              <w:autoSpaceDN w:val="0"/>
              <w:adjustRightInd w:val="0"/>
              <w:spacing w:line="240" w:lineRule="auto"/>
              <w:jc w:val="center"/>
              <w:rPr>
                <w:rFonts w:eastAsia="CIDFont+F3" w:cs="Arial"/>
                <w:szCs w:val="18"/>
                <w:lang w:val="en-US"/>
              </w:rPr>
            </w:pPr>
            <w:r w:rsidRPr="00373B37">
              <w:rPr>
                <w:rFonts w:cs="Arial"/>
                <w:b/>
                <w:noProof/>
                <w:szCs w:val="18"/>
                <w:lang w:val="pt-BR" w:eastAsia="pt-BR"/>
              </w:rPr>
              <w:drawing>
                <wp:inline distT="0" distB="0" distL="0" distR="0" wp14:anchorId="38CAC2FE" wp14:editId="55A7532D">
                  <wp:extent cx="2588895" cy="1074420"/>
                  <wp:effectExtent l="0" t="0" r="1905" b="0"/>
                  <wp:docPr id="7" name="Imagem 7" descr="R26_Frag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R26_Frag141"/>
                          <pic:cNvPicPr>
                            <a:picLocks noChangeAspect="1" noChangeArrowheads="1"/>
                          </pic:cNvPicPr>
                        </pic:nvPicPr>
                        <pic:blipFill>
                          <a:blip r:embed="rId19" cstate="print">
                            <a:extLst>
                              <a:ext uri="{28A0092B-C50C-407E-A947-70E740481C1C}">
                                <a14:useLocalDpi xmlns:a14="http://schemas.microsoft.com/office/drawing/2010/main" val="0"/>
                              </a:ext>
                            </a:extLst>
                          </a:blip>
                          <a:srcRect l="1588" t="9196" r="3917" b="4366"/>
                          <a:stretch>
                            <a:fillRect/>
                          </a:stretch>
                        </pic:blipFill>
                        <pic:spPr bwMode="auto">
                          <a:xfrm>
                            <a:off x="0" y="0"/>
                            <a:ext cx="2588895" cy="1074420"/>
                          </a:xfrm>
                          <a:prstGeom prst="rect">
                            <a:avLst/>
                          </a:prstGeom>
                          <a:noFill/>
                          <a:ln>
                            <a:noFill/>
                          </a:ln>
                        </pic:spPr>
                      </pic:pic>
                    </a:graphicData>
                  </a:graphic>
                </wp:inline>
              </w:drawing>
            </w:r>
          </w:p>
        </w:tc>
      </w:tr>
      <w:tr w:rsidR="00223C89" w:rsidRPr="00373B37" w14:paraId="5B847B3C" w14:textId="77777777" w:rsidTr="00223C89">
        <w:trPr>
          <w:jc w:val="center"/>
        </w:trPr>
        <w:tc>
          <w:tcPr>
            <w:tcW w:w="3730" w:type="dxa"/>
            <w:vAlign w:val="center"/>
            <w:hideMark/>
          </w:tcPr>
          <w:p w14:paraId="02D82C6A" w14:textId="77777777" w:rsidR="00223C89" w:rsidRPr="00373B37" w:rsidRDefault="00223C89">
            <w:pPr>
              <w:autoSpaceDE w:val="0"/>
              <w:autoSpaceDN w:val="0"/>
              <w:adjustRightInd w:val="0"/>
              <w:spacing w:line="240" w:lineRule="auto"/>
              <w:jc w:val="center"/>
              <w:rPr>
                <w:rFonts w:cs="Arial"/>
                <w:b/>
                <w:noProof/>
                <w:szCs w:val="18"/>
                <w:lang w:eastAsia="pt-BR"/>
              </w:rPr>
            </w:pPr>
            <w:r w:rsidRPr="00373B37">
              <w:rPr>
                <w:rFonts w:cs="Arial"/>
                <w:b/>
                <w:szCs w:val="18"/>
              </w:rPr>
              <w:t>R3</w:t>
            </w:r>
          </w:p>
        </w:tc>
        <w:tc>
          <w:tcPr>
            <w:tcW w:w="3730" w:type="dxa"/>
            <w:vAlign w:val="center"/>
            <w:hideMark/>
          </w:tcPr>
          <w:p w14:paraId="3A2C9608" w14:textId="77777777" w:rsidR="00223C89" w:rsidRPr="00373B37" w:rsidRDefault="00223C89" w:rsidP="00223C89">
            <w:pPr>
              <w:keepNext/>
              <w:autoSpaceDE w:val="0"/>
              <w:autoSpaceDN w:val="0"/>
              <w:adjustRightInd w:val="0"/>
              <w:spacing w:line="240" w:lineRule="auto"/>
              <w:jc w:val="center"/>
              <w:rPr>
                <w:rFonts w:cs="Arial"/>
                <w:b/>
                <w:noProof/>
                <w:szCs w:val="18"/>
                <w:lang w:eastAsia="pt-BR"/>
              </w:rPr>
            </w:pPr>
            <w:r w:rsidRPr="00373B37">
              <w:rPr>
                <w:rFonts w:cs="Arial"/>
                <w:b/>
                <w:szCs w:val="18"/>
              </w:rPr>
              <w:t>R6</w:t>
            </w:r>
          </w:p>
        </w:tc>
      </w:tr>
    </w:tbl>
    <w:p w14:paraId="0478A4D6" w14:textId="77777777" w:rsidR="00223C89" w:rsidRDefault="00223C89" w:rsidP="009E010F">
      <w:pPr>
        <w:pStyle w:val="CETTabletitle"/>
        <w:jc w:val="both"/>
      </w:pPr>
      <w:r>
        <w:t xml:space="preserve">Figure </w:t>
      </w:r>
      <w:r>
        <w:fldChar w:fldCharType="begin"/>
      </w:r>
      <w:r>
        <w:instrText xml:space="preserve"> SEQ Figure \* ARABIC </w:instrText>
      </w:r>
      <w:r>
        <w:fldChar w:fldCharType="separate"/>
      </w:r>
      <w:r w:rsidR="009E010F">
        <w:rPr>
          <w:noProof/>
        </w:rPr>
        <w:t>3</w:t>
      </w:r>
      <w:r>
        <w:fldChar w:fldCharType="end"/>
      </w:r>
      <w:r>
        <w:t xml:space="preserve">. </w:t>
      </w:r>
      <w:r w:rsidRPr="00223C89">
        <w:t>Sequential mass spectra of the LA olefination samples via Wittig reaction with ETPB (R1 = NaHCO</w:t>
      </w:r>
      <w:r w:rsidRPr="00223C89">
        <w:rPr>
          <w:vertAlign w:val="subscript"/>
        </w:rPr>
        <w:t>3</w:t>
      </w:r>
      <w:r w:rsidRPr="00223C89">
        <w:t>, R2 = Na</w:t>
      </w:r>
      <w:r w:rsidRPr="00223C89">
        <w:rPr>
          <w:vertAlign w:val="subscript"/>
        </w:rPr>
        <w:t>2</w:t>
      </w:r>
      <w:r w:rsidRPr="00223C89">
        <w:t>CO</w:t>
      </w:r>
      <w:r w:rsidRPr="00223C89">
        <w:rPr>
          <w:vertAlign w:val="subscript"/>
        </w:rPr>
        <w:t>3</w:t>
      </w:r>
      <w:r w:rsidRPr="00223C89">
        <w:t>, R3 = NaOH); and with PTPB (R4 = NaHCO</w:t>
      </w:r>
      <w:r w:rsidRPr="00223C89">
        <w:rPr>
          <w:vertAlign w:val="subscript"/>
        </w:rPr>
        <w:t>3</w:t>
      </w:r>
      <w:r w:rsidRPr="00223C89">
        <w:t>, R5 = Na</w:t>
      </w:r>
      <w:r w:rsidRPr="00223C89">
        <w:rPr>
          <w:vertAlign w:val="subscript"/>
        </w:rPr>
        <w:t>2</w:t>
      </w:r>
      <w:r w:rsidRPr="00223C89">
        <w:t>CO</w:t>
      </w:r>
      <w:r w:rsidRPr="00223C89">
        <w:rPr>
          <w:vertAlign w:val="subscript"/>
        </w:rPr>
        <w:t>3</w:t>
      </w:r>
      <w:r w:rsidRPr="00223C89">
        <w:t>, R6 = NaOH).</w:t>
      </w:r>
    </w:p>
    <w:p w14:paraId="235858C5" w14:textId="77777777" w:rsidR="00296C06" w:rsidRDefault="00296C06" w:rsidP="004238C3">
      <w:pPr>
        <w:pStyle w:val="CETBodytext"/>
      </w:pPr>
    </w:p>
    <w:p w14:paraId="6332767F" w14:textId="77777777" w:rsidR="004238C3" w:rsidRDefault="004238C3" w:rsidP="004238C3">
      <w:pPr>
        <w:pStyle w:val="CETBodytext"/>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296"/>
      </w:tblGrid>
      <w:tr w:rsidR="00373B37" w14:paraId="21561C69" w14:textId="77777777" w:rsidTr="00373B37">
        <w:trPr>
          <w:jc w:val="center"/>
        </w:trPr>
        <w:tc>
          <w:tcPr>
            <w:tcW w:w="4247" w:type="dxa"/>
            <w:vAlign w:val="center"/>
            <w:hideMark/>
          </w:tcPr>
          <w:p w14:paraId="21F8D87B" w14:textId="77777777" w:rsidR="00373B37" w:rsidRDefault="00373B37">
            <w:pPr>
              <w:autoSpaceDE w:val="0"/>
              <w:autoSpaceDN w:val="0"/>
              <w:adjustRightInd w:val="0"/>
              <w:spacing w:line="240" w:lineRule="auto"/>
              <w:jc w:val="center"/>
              <w:rPr>
                <w:rFonts w:ascii="Times New Roman" w:eastAsia="CIDFont+F3" w:hAnsi="Times New Roman"/>
                <w:sz w:val="20"/>
                <w:lang w:val="en-US"/>
              </w:rPr>
            </w:pPr>
            <w:r>
              <w:rPr>
                <w:rFonts w:ascii="Times New Roman" w:hAnsi="Times New Roman"/>
                <w:noProof/>
                <w:sz w:val="20"/>
                <w:lang w:val="pt-BR" w:eastAsia="pt-BR"/>
              </w:rPr>
              <w:drawing>
                <wp:inline distT="0" distB="0" distL="0" distR="0" wp14:anchorId="0F2EDB70" wp14:editId="13A5155B">
                  <wp:extent cx="2588895" cy="552450"/>
                  <wp:effectExtent l="0" t="0" r="1905" b="0"/>
                  <wp:docPr id="14" name="Imagem 14" descr="Frag_Mecanismo_AC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Frag_Mecanismo_ACHEX"/>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8895" cy="552450"/>
                          </a:xfrm>
                          <a:prstGeom prst="rect">
                            <a:avLst/>
                          </a:prstGeom>
                          <a:noFill/>
                          <a:ln>
                            <a:noFill/>
                          </a:ln>
                        </pic:spPr>
                      </pic:pic>
                    </a:graphicData>
                  </a:graphic>
                </wp:inline>
              </w:drawing>
            </w:r>
          </w:p>
        </w:tc>
        <w:tc>
          <w:tcPr>
            <w:tcW w:w="4247" w:type="dxa"/>
            <w:vAlign w:val="bottom"/>
            <w:hideMark/>
          </w:tcPr>
          <w:p w14:paraId="6295A133" w14:textId="77777777" w:rsidR="00373B37" w:rsidRDefault="00373B37">
            <w:pPr>
              <w:autoSpaceDE w:val="0"/>
              <w:autoSpaceDN w:val="0"/>
              <w:adjustRightInd w:val="0"/>
              <w:spacing w:line="240" w:lineRule="auto"/>
              <w:jc w:val="center"/>
              <w:rPr>
                <w:rFonts w:ascii="Times New Roman" w:hAnsi="Times New Roman"/>
                <w:noProof/>
                <w:sz w:val="20"/>
                <w:lang w:eastAsia="pt-BR"/>
              </w:rPr>
            </w:pPr>
            <w:r>
              <w:rPr>
                <w:rFonts w:ascii="Times New Roman" w:hAnsi="Times New Roman"/>
                <w:noProof/>
                <w:sz w:val="20"/>
                <w:lang w:val="pt-BR" w:eastAsia="pt-BR"/>
              </w:rPr>
              <w:drawing>
                <wp:inline distT="0" distB="0" distL="0" distR="0" wp14:anchorId="3F310A57" wp14:editId="576693FB">
                  <wp:extent cx="2588895" cy="1311910"/>
                  <wp:effectExtent l="0" t="0" r="1905" b="2540"/>
                  <wp:docPr id="13" name="Imagem 13" descr="Frag_Mecanismo_ACH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Frag_Mecanismo_ACHEPT"/>
                          <pic:cNvPicPr>
                            <a:picLocks noChangeAspect="1" noChangeArrowheads="1"/>
                          </pic:cNvPicPr>
                        </pic:nvPicPr>
                        <pic:blipFill>
                          <a:blip r:embed="rId21" cstate="print">
                            <a:extLst>
                              <a:ext uri="{28A0092B-C50C-407E-A947-70E740481C1C}">
                                <a14:useLocalDpi xmlns:a14="http://schemas.microsoft.com/office/drawing/2010/main" val="0"/>
                              </a:ext>
                            </a:extLst>
                          </a:blip>
                          <a:srcRect b="3130"/>
                          <a:stretch>
                            <a:fillRect/>
                          </a:stretch>
                        </pic:blipFill>
                        <pic:spPr bwMode="auto">
                          <a:xfrm>
                            <a:off x="0" y="0"/>
                            <a:ext cx="2588895" cy="1311910"/>
                          </a:xfrm>
                          <a:prstGeom prst="rect">
                            <a:avLst/>
                          </a:prstGeom>
                          <a:noFill/>
                          <a:ln>
                            <a:noFill/>
                          </a:ln>
                        </pic:spPr>
                      </pic:pic>
                    </a:graphicData>
                  </a:graphic>
                </wp:inline>
              </w:drawing>
            </w:r>
          </w:p>
        </w:tc>
      </w:tr>
      <w:tr w:rsidR="00373B37" w:rsidRPr="00373B37" w14:paraId="6E2CBE01" w14:textId="77777777" w:rsidTr="00373B37">
        <w:trPr>
          <w:jc w:val="center"/>
        </w:trPr>
        <w:tc>
          <w:tcPr>
            <w:tcW w:w="4247" w:type="dxa"/>
            <w:vAlign w:val="bottom"/>
            <w:hideMark/>
          </w:tcPr>
          <w:p w14:paraId="7F8CBDC9" w14:textId="77777777" w:rsidR="00373B37" w:rsidRPr="00373B37" w:rsidRDefault="00373B37">
            <w:pPr>
              <w:autoSpaceDE w:val="0"/>
              <w:autoSpaceDN w:val="0"/>
              <w:adjustRightInd w:val="0"/>
              <w:spacing w:line="240" w:lineRule="auto"/>
              <w:jc w:val="center"/>
              <w:rPr>
                <w:rFonts w:cs="Arial"/>
                <w:noProof/>
                <w:szCs w:val="18"/>
                <w:lang w:eastAsia="pt-BR"/>
              </w:rPr>
            </w:pPr>
            <w:r w:rsidRPr="00373B37">
              <w:rPr>
                <w:rFonts w:eastAsia="CIDFont+F3" w:cs="Arial"/>
                <w:b/>
                <w:szCs w:val="18"/>
                <w:lang w:val="en-US"/>
              </w:rPr>
              <w:t>A</w:t>
            </w:r>
          </w:p>
        </w:tc>
        <w:tc>
          <w:tcPr>
            <w:tcW w:w="4247" w:type="dxa"/>
            <w:vAlign w:val="bottom"/>
            <w:hideMark/>
          </w:tcPr>
          <w:p w14:paraId="5559B976" w14:textId="77777777" w:rsidR="00373B37" w:rsidRPr="00373B37" w:rsidRDefault="00373B37" w:rsidP="00373B37">
            <w:pPr>
              <w:keepNext/>
              <w:autoSpaceDE w:val="0"/>
              <w:autoSpaceDN w:val="0"/>
              <w:adjustRightInd w:val="0"/>
              <w:spacing w:line="240" w:lineRule="auto"/>
              <w:jc w:val="center"/>
              <w:rPr>
                <w:rFonts w:eastAsia="CIDFont+F3" w:cs="Arial"/>
                <w:b/>
                <w:szCs w:val="18"/>
                <w:lang w:val="en-US"/>
              </w:rPr>
            </w:pPr>
            <w:r w:rsidRPr="00373B37">
              <w:rPr>
                <w:rFonts w:cs="Arial"/>
                <w:b/>
                <w:noProof/>
                <w:szCs w:val="18"/>
                <w:lang w:eastAsia="pt-BR"/>
              </w:rPr>
              <w:t>B</w:t>
            </w:r>
          </w:p>
        </w:tc>
      </w:tr>
    </w:tbl>
    <w:p w14:paraId="458219E9" w14:textId="77777777" w:rsidR="00373B37" w:rsidRDefault="00373B37" w:rsidP="009E010F">
      <w:pPr>
        <w:pStyle w:val="CETTabletitle"/>
        <w:jc w:val="both"/>
      </w:pPr>
      <w:r>
        <w:t xml:space="preserve">Figure </w:t>
      </w:r>
      <w:r>
        <w:fldChar w:fldCharType="begin"/>
      </w:r>
      <w:r>
        <w:instrText xml:space="preserve"> SEQ Figure \* ARABIC </w:instrText>
      </w:r>
      <w:r>
        <w:fldChar w:fldCharType="separate"/>
      </w:r>
      <w:r w:rsidR="009E010F">
        <w:rPr>
          <w:noProof/>
        </w:rPr>
        <w:t>4</w:t>
      </w:r>
      <w:r>
        <w:fldChar w:fldCharType="end"/>
      </w:r>
      <w:r>
        <w:t xml:space="preserve">. </w:t>
      </w:r>
      <w:r w:rsidRPr="00373B37">
        <w:t>Fragmentation mechanisms for ions: A) 4-methyl-hex-4-enoic acid, m/z 127; and B) 4-methyl-hep-4-enoic acid, m/z 141.</w:t>
      </w:r>
    </w:p>
    <w:p w14:paraId="2B28C8B4" w14:textId="77777777" w:rsidR="00296C06" w:rsidRDefault="00296C06" w:rsidP="00FC1ACA">
      <w:pPr>
        <w:pStyle w:val="CETBodytext"/>
      </w:pPr>
    </w:p>
    <w:p w14:paraId="56A858B0" w14:textId="77777777" w:rsidR="00FC1ACA" w:rsidRDefault="00FC1ACA" w:rsidP="00FC1ACA">
      <w:pPr>
        <w:pStyle w:val="CETBodytext"/>
      </w:pPr>
      <w:r>
        <w:t xml:space="preserve">The ylide formation governs the Wittig reaction, which is dependent on the base employed in the reaction system. Thus, a suitable basis for the Wittig reaction should be strong enough to promote the removal of the proton attached to the alkyl radical adjacent to the phosphorus of the Wittig salt (ETPB and PTPB). </w:t>
      </w:r>
    </w:p>
    <w:p w14:paraId="135F33BA" w14:textId="77777777" w:rsidR="00FC1ACA" w:rsidRDefault="00FC1ACA" w:rsidP="00FC1ACA">
      <w:pPr>
        <w:pStyle w:val="CETBodytext"/>
      </w:pPr>
      <w:r>
        <w:t>The mass spectra for the olefination reactions of LA with ETPB showed different behaviors for the systems with different bases. In reactions with NaHCO</w:t>
      </w:r>
      <w:r w:rsidRPr="00F82F74">
        <w:rPr>
          <w:vertAlign w:val="subscript"/>
        </w:rPr>
        <w:t>3</w:t>
      </w:r>
      <w:r>
        <w:t xml:space="preserve"> and NaOH (Fig. 2 - R1 and R3), it was observed the presence of the ion of interest (m/z 127), but not in the system using Na</w:t>
      </w:r>
      <w:r w:rsidRPr="00F82F74">
        <w:rPr>
          <w:vertAlign w:val="subscript"/>
        </w:rPr>
        <w:t>2</w:t>
      </w:r>
      <w:r>
        <w:t>CO</w:t>
      </w:r>
      <w:r w:rsidRPr="00F82F74">
        <w:rPr>
          <w:vertAlign w:val="subscript"/>
        </w:rPr>
        <w:t>3</w:t>
      </w:r>
      <w:r>
        <w:t xml:space="preserve"> (Fig. 2 - R2) as base. The expected behavior for this reaction would be that Na</w:t>
      </w:r>
      <w:r w:rsidRPr="004D4C6D">
        <w:rPr>
          <w:vertAlign w:val="subscript"/>
        </w:rPr>
        <w:t>2</w:t>
      </w:r>
      <w:r>
        <w:t>CO</w:t>
      </w:r>
      <w:r w:rsidRPr="004D4C6D">
        <w:rPr>
          <w:vertAlign w:val="subscript"/>
        </w:rPr>
        <w:t>3</w:t>
      </w:r>
      <w:r>
        <w:t xml:space="preserve"> presents a better response to the formation of the product of interest, since the order of basicity of the bases used in the systems are: NaOH&gt; Na</w:t>
      </w:r>
      <w:r w:rsidRPr="00F82F74">
        <w:rPr>
          <w:vertAlign w:val="subscript"/>
        </w:rPr>
        <w:t>2</w:t>
      </w:r>
      <w:r>
        <w:t>CO</w:t>
      </w:r>
      <w:r w:rsidRPr="00F82F74">
        <w:rPr>
          <w:vertAlign w:val="subscript"/>
        </w:rPr>
        <w:t>3</w:t>
      </w:r>
      <w:r>
        <w:t>&gt;NaHCO</w:t>
      </w:r>
      <w:r w:rsidRPr="00F82F74">
        <w:rPr>
          <w:vertAlign w:val="subscript"/>
        </w:rPr>
        <w:t>3</w:t>
      </w:r>
      <w:r>
        <w:t>. However, it can be concluded that for the system containing Na</w:t>
      </w:r>
      <w:r w:rsidRPr="00F82F74">
        <w:rPr>
          <w:vertAlign w:val="subscript"/>
        </w:rPr>
        <w:t>2</w:t>
      </w:r>
      <w:r>
        <w:t>CO</w:t>
      </w:r>
      <w:r w:rsidRPr="00F82F74">
        <w:rPr>
          <w:vertAlign w:val="subscript"/>
        </w:rPr>
        <w:t>3</w:t>
      </w:r>
      <w:r>
        <w:t xml:space="preserve"> it would be appropriate to use more polar solvents (higher dielectric constants) than isopropanol and with lower steric volume to not prevent the formation of the adduct (Wittig ylide precursor), such as acetonitrile (ε 37.5). </w:t>
      </w:r>
    </w:p>
    <w:p w14:paraId="46502D9A" w14:textId="77777777" w:rsidR="00FC1ACA" w:rsidRDefault="00FC1ACA" w:rsidP="00FC1ACA">
      <w:pPr>
        <w:pStyle w:val="CETBodytext"/>
      </w:pPr>
      <w:r>
        <w:t>NaHCO</w:t>
      </w:r>
      <w:r w:rsidRPr="00F82F74">
        <w:rPr>
          <w:vertAlign w:val="subscript"/>
        </w:rPr>
        <w:t>3</w:t>
      </w:r>
      <w:r>
        <w:t xml:space="preserve"> and Na</w:t>
      </w:r>
      <w:r w:rsidRPr="00F82F74">
        <w:rPr>
          <w:vertAlign w:val="subscript"/>
        </w:rPr>
        <w:t>2</w:t>
      </w:r>
      <w:r>
        <w:t>CO</w:t>
      </w:r>
      <w:r w:rsidRPr="00F82F74">
        <w:rPr>
          <w:vertAlign w:val="subscript"/>
        </w:rPr>
        <w:t>3</w:t>
      </w:r>
      <w:r>
        <w:t xml:space="preserve"> (Fig. 2 – R4 and R5) were successful for the 4-methyl-hept-4-enoic acid, whereas the expected was a greater response for NaOH, since it has the lowest pKb value and, consequently, it is better for </w:t>
      </w:r>
      <w:r>
        <w:lastRenderedPageBreak/>
        <w:t>proton abstraction (pKb = NaOH - 0.2, Na</w:t>
      </w:r>
      <w:r w:rsidRPr="00F82F74">
        <w:rPr>
          <w:vertAlign w:val="subscript"/>
        </w:rPr>
        <w:t>2</w:t>
      </w:r>
      <w:r>
        <w:t>CO</w:t>
      </w:r>
      <w:r w:rsidRPr="00F82F74">
        <w:rPr>
          <w:vertAlign w:val="subscript"/>
        </w:rPr>
        <w:t>3</w:t>
      </w:r>
      <w:r>
        <w:t xml:space="preserve"> - 4.67, NaHCO</w:t>
      </w:r>
      <w:r w:rsidRPr="00F82F74">
        <w:rPr>
          <w:vertAlign w:val="subscript"/>
        </w:rPr>
        <w:t>3</w:t>
      </w:r>
      <w:r>
        <w:t xml:space="preserve"> - 7.63). Thus, it suggests that NaOH rapidly reacted with LA, readily forming sodium levulinate, since right after the addition of LA into the system, the solution produced a white precipitate, characteristic of sodium bromide and sodium levulinate in solution, given the excess NaOH in the system.</w:t>
      </w:r>
    </w:p>
    <w:p w14:paraId="0CF24E48" w14:textId="77777777" w:rsidR="00600535" w:rsidRPr="00B57B36" w:rsidRDefault="00600535" w:rsidP="00600535">
      <w:pPr>
        <w:pStyle w:val="CETHeading1"/>
        <w:rPr>
          <w:lang w:val="en-GB"/>
        </w:rPr>
      </w:pPr>
      <w:r w:rsidRPr="00B57B36">
        <w:rPr>
          <w:lang w:val="en-GB"/>
        </w:rPr>
        <w:t>Conclusions</w:t>
      </w:r>
    </w:p>
    <w:p w14:paraId="46B1D1C2" w14:textId="77777777" w:rsidR="00600535" w:rsidRPr="00A06A2C" w:rsidRDefault="004F65B5" w:rsidP="00600535">
      <w:pPr>
        <w:pStyle w:val="CETBodytext"/>
        <w:rPr>
          <w:lang w:val="en-GB"/>
        </w:rPr>
      </w:pPr>
      <w:r w:rsidRPr="00A06A2C">
        <w:rPr>
          <w:lang w:val="en-GB"/>
        </w:rPr>
        <w:t>The greener process for LA olefination via Wittig reaction, containing a less toxic solvent (isopropanol), and milder bases (NaHCO</w:t>
      </w:r>
      <w:r w:rsidRPr="00A06A2C">
        <w:rPr>
          <w:vertAlign w:val="subscript"/>
          <w:lang w:val="en-GB"/>
        </w:rPr>
        <w:t>3</w:t>
      </w:r>
      <w:r w:rsidRPr="00A06A2C">
        <w:rPr>
          <w:lang w:val="en-GB"/>
        </w:rPr>
        <w:t>, Na</w:t>
      </w:r>
      <w:r w:rsidRPr="00A06A2C">
        <w:rPr>
          <w:vertAlign w:val="subscript"/>
          <w:lang w:val="en-GB"/>
        </w:rPr>
        <w:t>2</w:t>
      </w:r>
      <w:r w:rsidRPr="00A06A2C">
        <w:rPr>
          <w:lang w:val="en-GB"/>
        </w:rPr>
        <w:t>CO</w:t>
      </w:r>
      <w:r w:rsidRPr="00A06A2C">
        <w:rPr>
          <w:vertAlign w:val="subscript"/>
          <w:lang w:val="en-GB"/>
        </w:rPr>
        <w:t>3</w:t>
      </w:r>
      <w:r w:rsidRPr="00A06A2C">
        <w:rPr>
          <w:lang w:val="en-GB"/>
        </w:rPr>
        <w:t xml:space="preserve"> and NaOH) led to the formation of alkenoic acids (4-methyl-hex-4-enoic and 4-methyl-hept-4-enoic acid). </w:t>
      </w:r>
      <w:r w:rsidR="008C2FAE" w:rsidRPr="00A06A2C">
        <w:rPr>
          <w:lang w:val="en-GB"/>
        </w:rPr>
        <w:t>The isopropanol</w:t>
      </w:r>
      <w:r w:rsidR="00A06A2C" w:rsidRPr="00A06A2C">
        <w:rPr>
          <w:lang w:val="en-GB"/>
        </w:rPr>
        <w:t xml:space="preserve">, </w:t>
      </w:r>
      <w:r w:rsidR="008C2FAE" w:rsidRPr="00A06A2C">
        <w:rPr>
          <w:lang w:val="en-GB"/>
        </w:rPr>
        <w:t>used in the Wittig salts synthesis step showed yields up to 65 %</w:t>
      </w:r>
      <w:r w:rsidR="00A06A2C" w:rsidRPr="00A06A2C">
        <w:rPr>
          <w:lang w:val="en-GB"/>
        </w:rPr>
        <w:t>, allowing this reactional system to be suitable for a step economy by one-pot synthesis since the Wittig salts and alkenoic acids occurred in isopropanol</w:t>
      </w:r>
      <w:r w:rsidR="008C2FAE" w:rsidRPr="00A06A2C">
        <w:rPr>
          <w:lang w:val="en-GB"/>
        </w:rPr>
        <w:t xml:space="preserve">. </w:t>
      </w:r>
      <w:r w:rsidRPr="00A06A2C">
        <w:rPr>
          <w:lang w:val="en-GB"/>
        </w:rPr>
        <w:t>NaHCO</w:t>
      </w:r>
      <w:r w:rsidRPr="00A06A2C">
        <w:rPr>
          <w:vertAlign w:val="subscript"/>
          <w:lang w:val="en-GB"/>
        </w:rPr>
        <w:t>3</w:t>
      </w:r>
      <w:r w:rsidRPr="00A06A2C">
        <w:rPr>
          <w:lang w:val="en-GB"/>
        </w:rPr>
        <w:t xml:space="preserve"> was efficient for both systems, but NaOH, a stronger base, was efficient in the LA deprotonation rather than the Wittig ylide formation, which causes the need to protect the carboxylic acid group of LA. These alkenoic acids can lead to a chemical platform for polymers and fine chemicals.</w:t>
      </w:r>
    </w:p>
    <w:p w14:paraId="2EC8E2C2" w14:textId="77777777" w:rsidR="00600535" w:rsidRPr="009E010F" w:rsidRDefault="00600535" w:rsidP="009E010F">
      <w:pPr>
        <w:pStyle w:val="CETAcknowledgementstitle"/>
      </w:pPr>
      <w:r w:rsidRPr="009E010F">
        <w:t>Acknowledgments</w:t>
      </w:r>
    </w:p>
    <w:p w14:paraId="6BAFF9CD" w14:textId="569300D8" w:rsidR="00600535" w:rsidRPr="00B57B36" w:rsidRDefault="00614E48" w:rsidP="00600535">
      <w:pPr>
        <w:pStyle w:val="CETBodytext"/>
        <w:rPr>
          <w:lang w:val="en-GB"/>
        </w:rPr>
      </w:pPr>
      <w:r w:rsidRPr="00614E48">
        <w:rPr>
          <w:lang w:val="en-GB"/>
        </w:rPr>
        <w:t>We thank</w:t>
      </w:r>
      <w:r w:rsidR="007D372B" w:rsidRPr="007D372B">
        <w:t xml:space="preserve"> </w:t>
      </w:r>
      <w:r w:rsidR="007D372B" w:rsidRPr="007D372B">
        <w:rPr>
          <w:lang w:val="en-GB"/>
        </w:rPr>
        <w:t>São Paulo Research Foundation (FAPESP; grant 20</w:t>
      </w:r>
      <w:r w:rsidR="007D372B">
        <w:rPr>
          <w:lang w:val="en-GB"/>
        </w:rPr>
        <w:t>15</w:t>
      </w:r>
      <w:r w:rsidR="007D372B" w:rsidRPr="007D372B">
        <w:rPr>
          <w:lang w:val="en-GB"/>
        </w:rPr>
        <w:t>/</w:t>
      </w:r>
      <w:r w:rsidR="007D372B">
        <w:rPr>
          <w:lang w:val="en-GB"/>
        </w:rPr>
        <w:t xml:space="preserve">20630-4), </w:t>
      </w:r>
      <w:r w:rsidRPr="00614E48">
        <w:rPr>
          <w:lang w:val="en-GB"/>
        </w:rPr>
        <w:t xml:space="preserve">Unicamp Development Foundation (FUNCAMP, </w:t>
      </w:r>
      <w:r w:rsidR="007D372B">
        <w:rPr>
          <w:lang w:val="en-GB"/>
        </w:rPr>
        <w:t xml:space="preserve">grant </w:t>
      </w:r>
      <w:r w:rsidRPr="00614E48">
        <w:rPr>
          <w:lang w:val="en-GB"/>
        </w:rPr>
        <w:t>130932-15) for the financial support, and the Coordenação de Aperfeiçoamento de Pessoal de Nível Superior - Brasil (CAPES) - Finance Code 001 for the scholarship to J.O.B.</w:t>
      </w:r>
    </w:p>
    <w:p w14:paraId="590F18B2" w14:textId="77777777" w:rsidR="00600535" w:rsidRPr="00B57B36" w:rsidRDefault="00600535" w:rsidP="00600535">
      <w:pPr>
        <w:pStyle w:val="CETReference"/>
      </w:pPr>
      <w:r w:rsidRPr="00B57B36">
        <w:t>References</w:t>
      </w:r>
    </w:p>
    <w:p w14:paraId="33333BCF" w14:textId="77777777" w:rsidR="003D1ACF" w:rsidRPr="005D0C26" w:rsidRDefault="003D1ACF" w:rsidP="005D0C26">
      <w:pPr>
        <w:pStyle w:val="CETBodytext"/>
      </w:pPr>
      <w:r w:rsidRPr="005D0C26">
        <w:t>Carey</w:t>
      </w:r>
      <w:r>
        <w:t xml:space="preserve"> </w:t>
      </w:r>
      <w:r w:rsidRPr="005D0C26">
        <w:t>F.A., Sundberg</w:t>
      </w:r>
      <w:r>
        <w:t xml:space="preserve"> </w:t>
      </w:r>
      <w:r w:rsidRPr="005D0C26">
        <w:t>R.J.,</w:t>
      </w:r>
      <w:r>
        <w:t xml:space="preserve"> 2007,</w:t>
      </w:r>
      <w:r w:rsidRPr="005D0C26">
        <w:t xml:space="preserve"> Reactions of carbon nucleophiles with carbonyl c</w:t>
      </w:r>
      <w:r>
        <w:t>ompounds, Springer US, Boston</w:t>
      </w:r>
      <w:r w:rsidRPr="005D0C26">
        <w:t>, 63-214.</w:t>
      </w:r>
    </w:p>
    <w:p w14:paraId="4F8A3131" w14:textId="77777777" w:rsidR="003D1ACF" w:rsidRDefault="003D1ACF" w:rsidP="005D0C26">
      <w:pPr>
        <w:pStyle w:val="CETBodytext"/>
      </w:pPr>
      <w:r w:rsidRPr="005D0C26">
        <w:t>Chalid</w:t>
      </w:r>
      <w:r>
        <w:t xml:space="preserve"> </w:t>
      </w:r>
      <w:r w:rsidRPr="005D0C26">
        <w:t>M., Heeres</w:t>
      </w:r>
      <w:r>
        <w:t xml:space="preserve"> </w:t>
      </w:r>
      <w:r w:rsidRPr="005D0C26">
        <w:t>H.J., Broekhuis</w:t>
      </w:r>
      <w:r>
        <w:t xml:space="preserve"> </w:t>
      </w:r>
      <w:r w:rsidRPr="005D0C26">
        <w:t xml:space="preserve">A.A., </w:t>
      </w:r>
      <w:r>
        <w:t xml:space="preserve">2012, </w:t>
      </w:r>
      <w:r w:rsidRPr="005D0C26">
        <w:t>Green polymer precursors from biomass-based levulin</w:t>
      </w:r>
      <w:r>
        <w:t>ic acid, Procedia Chemistry, 4,</w:t>
      </w:r>
      <w:r w:rsidRPr="005D0C26">
        <w:t xml:space="preserve"> 260-267.</w:t>
      </w:r>
    </w:p>
    <w:p w14:paraId="038DF919" w14:textId="77777777" w:rsidR="00861DF5" w:rsidRPr="005D0C26" w:rsidRDefault="00861DF5" w:rsidP="005D0C26">
      <w:pPr>
        <w:pStyle w:val="CETBodytext"/>
      </w:pPr>
      <w:r>
        <w:t xml:space="preserve">Hartweg M., Becer C. R., 2016, Direct polymerization of levulinic acid via Ugi multicomponent reaction, Green </w:t>
      </w:r>
      <w:r w:rsidRPr="00861DF5">
        <w:t>Chemistry, 18, 3272-3277</w:t>
      </w:r>
      <w:r>
        <w:t>.</w:t>
      </w:r>
    </w:p>
    <w:p w14:paraId="7899F4D1" w14:textId="76C126B2" w:rsidR="003D1ACF" w:rsidRPr="005D0C26" w:rsidRDefault="003D1ACF" w:rsidP="00CD5E84">
      <w:pPr>
        <w:pStyle w:val="CETBodytext"/>
      </w:pPr>
      <w:r>
        <w:t>Larkin P., 2011</w:t>
      </w:r>
      <w:r w:rsidR="00216096">
        <w:t>a</w:t>
      </w:r>
      <w:r>
        <w:t>, Chapter 6 - IR and Raman spectra-structure correlations: Characteristic group frequencies, Infrared and Raman spectroscopy, Elsevier, Oxford, 73-115.</w:t>
      </w:r>
    </w:p>
    <w:p w14:paraId="4551F3BB" w14:textId="6AF681E8" w:rsidR="003D1ACF" w:rsidRDefault="003D1ACF" w:rsidP="006813DE">
      <w:pPr>
        <w:pStyle w:val="CETBodytext"/>
      </w:pPr>
      <w:r>
        <w:t>Larkin P., 2011</w:t>
      </w:r>
      <w:r w:rsidR="00216096">
        <w:t>b</w:t>
      </w:r>
      <w:r>
        <w:t>, Chapter 8 - Illustrated IR and Raman spectra demonstrating important functional groups, Infrared and Raman spectroscopy, Elsevier, Oxford, 135-176.</w:t>
      </w:r>
    </w:p>
    <w:p w14:paraId="740025DF" w14:textId="77777777" w:rsidR="003D1ACF" w:rsidRPr="00BE6F5D" w:rsidRDefault="003D1ACF" w:rsidP="005D0C26">
      <w:pPr>
        <w:pStyle w:val="CETBodytext"/>
      </w:pPr>
      <w:r w:rsidRPr="00BE6F5D">
        <w:t>Licursi</w:t>
      </w:r>
      <w:r>
        <w:t xml:space="preserve"> </w:t>
      </w:r>
      <w:r w:rsidRPr="00BE6F5D">
        <w:t>D., Antonetti</w:t>
      </w:r>
      <w:r w:rsidRPr="003E35CA">
        <w:t xml:space="preserve"> </w:t>
      </w:r>
      <w:r w:rsidRPr="00BE6F5D">
        <w:t>C., Fulignati</w:t>
      </w:r>
      <w:r>
        <w:t xml:space="preserve"> </w:t>
      </w:r>
      <w:r w:rsidRPr="00BE6F5D">
        <w:t>S., Corsini</w:t>
      </w:r>
      <w:r>
        <w:t xml:space="preserve"> </w:t>
      </w:r>
      <w:r w:rsidRPr="00BE6F5D">
        <w:t>A., Boschi</w:t>
      </w:r>
      <w:r>
        <w:t xml:space="preserve"> </w:t>
      </w:r>
      <w:r w:rsidRPr="00BE6F5D">
        <w:t>N., Galetti</w:t>
      </w:r>
      <w:r>
        <w:t xml:space="preserve"> </w:t>
      </w:r>
      <w:r w:rsidRPr="00BE6F5D">
        <w:t xml:space="preserve">A. M. R., 2018, Smart valorization of waste biomass : Exhausted lemon peels, coffee silverskins and paper wastes for the production of levulinic acid, </w:t>
      </w:r>
      <w:r>
        <w:t>Chemical Engineering Transactions, 65, 637-642.</w:t>
      </w:r>
    </w:p>
    <w:p w14:paraId="44B9CD27" w14:textId="77777777" w:rsidR="003D1ACF" w:rsidRPr="005D0C26" w:rsidRDefault="003D1ACF" w:rsidP="005D0C26">
      <w:pPr>
        <w:pStyle w:val="CETBodytext"/>
      </w:pPr>
      <w:r w:rsidRPr="005D0C26">
        <w:t>Morone</w:t>
      </w:r>
      <w:r>
        <w:t xml:space="preserve"> A.</w:t>
      </w:r>
      <w:r w:rsidRPr="005D0C26">
        <w:t>, Apte</w:t>
      </w:r>
      <w:r>
        <w:t xml:space="preserve"> </w:t>
      </w:r>
      <w:r w:rsidRPr="005D0C26">
        <w:t>M., Pandey</w:t>
      </w:r>
      <w:r>
        <w:t xml:space="preserve"> </w:t>
      </w:r>
      <w:r w:rsidRPr="005D0C26">
        <w:t>R.A., 2015</w:t>
      </w:r>
      <w:r>
        <w:t xml:space="preserve">, </w:t>
      </w:r>
      <w:r w:rsidRPr="005D0C26">
        <w:t xml:space="preserve">Levulinic acid production from renewable waste resources: Bottlenecks, potential remedies, advancements and applications, Renewable and </w:t>
      </w:r>
      <w:r>
        <w:t>Sustainable Energy Reviews, 51,</w:t>
      </w:r>
      <w:r w:rsidRPr="005D0C26">
        <w:t xml:space="preserve"> 548-565.</w:t>
      </w:r>
    </w:p>
    <w:p w14:paraId="270035CC" w14:textId="77777777" w:rsidR="003D1ACF" w:rsidRDefault="003D1ACF" w:rsidP="005D0C26">
      <w:pPr>
        <w:pStyle w:val="CETBodytext"/>
      </w:pPr>
      <w:r w:rsidRPr="005D0C26">
        <w:t>Nakayama</w:t>
      </w:r>
      <w:r>
        <w:t xml:space="preserve"> </w:t>
      </w:r>
      <w:r w:rsidRPr="005D0C26">
        <w:t>M., Ohira</w:t>
      </w:r>
      <w:r>
        <w:t xml:space="preserve"> </w:t>
      </w:r>
      <w:r w:rsidRPr="005D0C26">
        <w:t>S., Shinke</w:t>
      </w:r>
      <w:r>
        <w:t xml:space="preserve"> </w:t>
      </w:r>
      <w:r w:rsidRPr="005D0C26">
        <w:t>S., Hayashi</w:t>
      </w:r>
      <w:r>
        <w:t xml:space="preserve"> </w:t>
      </w:r>
      <w:r w:rsidRPr="005D0C26">
        <w:t>S.,</w:t>
      </w:r>
      <w:r>
        <w:t xml:space="preserve"> 1978,</w:t>
      </w:r>
      <w:r w:rsidRPr="005D0C26">
        <w:t xml:space="preserve"> A short synthesis of 2-methoxy- carbonylmethyl-3-methyl-2-cyclopenten-l-one, Agricultura</w:t>
      </w:r>
      <w:r>
        <w:t xml:space="preserve">l and Biological Chemistry, 42, </w:t>
      </w:r>
      <w:r w:rsidRPr="005D0C26">
        <w:t>2399-2400.</w:t>
      </w:r>
    </w:p>
    <w:p w14:paraId="4E1CAAC6" w14:textId="77777777" w:rsidR="003D1ACF" w:rsidRDefault="003D1ACF" w:rsidP="005D0C26">
      <w:pPr>
        <w:pStyle w:val="CETBodytext"/>
      </w:pPr>
      <w:r w:rsidRPr="005D0C26">
        <w:t>Pileidis</w:t>
      </w:r>
      <w:r>
        <w:t xml:space="preserve"> </w:t>
      </w:r>
      <w:r w:rsidRPr="005D0C26">
        <w:t>F.D., Titirici</w:t>
      </w:r>
      <w:r>
        <w:t xml:space="preserve"> </w:t>
      </w:r>
      <w:r w:rsidRPr="005D0C26">
        <w:t>M.-M.,</w:t>
      </w:r>
      <w:r>
        <w:t xml:space="preserve"> </w:t>
      </w:r>
      <w:r w:rsidRPr="005D0C26">
        <w:t>2016</w:t>
      </w:r>
      <w:r>
        <w:t>,</w:t>
      </w:r>
      <w:r w:rsidRPr="005D0C26">
        <w:t xml:space="preserve"> Levulinic acid biorefineries: New challenges for efficient utilizat</w:t>
      </w:r>
      <w:r>
        <w:t xml:space="preserve">ion of biomass, ChemSusChem, 9, </w:t>
      </w:r>
      <w:r w:rsidRPr="005D0C26">
        <w:t>562-582.</w:t>
      </w:r>
    </w:p>
    <w:p w14:paraId="3CD05BB3" w14:textId="77777777" w:rsidR="003D1ACF" w:rsidRPr="009619B4" w:rsidRDefault="003D1ACF" w:rsidP="005D0C26">
      <w:pPr>
        <w:pStyle w:val="CETBodytext"/>
      </w:pPr>
      <w:r w:rsidRPr="009619B4">
        <w:t>Protsenko I. I., Nikoshvili, Matveeva V., Sulman E. M., Re</w:t>
      </w:r>
      <w:r>
        <w:t>brov E., 2016, Selective hydrogenation of levulinic acid to gamma-valerolactone using polymer-based Ru-containing catalysts, Chemical Engineering Transactions, 52, 679-684.</w:t>
      </w:r>
    </w:p>
    <w:p w14:paraId="205ABFD7" w14:textId="77777777" w:rsidR="003D1ACF" w:rsidRDefault="003D1ACF" w:rsidP="005D0C26">
      <w:pPr>
        <w:pStyle w:val="CETBodytext"/>
      </w:pPr>
      <w:r w:rsidRPr="005D0C26">
        <w:t>Rackemann</w:t>
      </w:r>
      <w:r>
        <w:t xml:space="preserve"> </w:t>
      </w:r>
      <w:r w:rsidRPr="005D0C26">
        <w:t>D. W., Doherty</w:t>
      </w:r>
      <w:r>
        <w:t xml:space="preserve"> </w:t>
      </w:r>
      <w:r w:rsidRPr="005D0C26">
        <w:t>W.O. S.,</w:t>
      </w:r>
      <w:r>
        <w:t xml:space="preserve"> 2011,</w:t>
      </w:r>
      <w:r w:rsidRPr="005D0C26">
        <w:t xml:space="preserve"> The conversion of lignocellulosics to levulinic acid, Biofuels, </w:t>
      </w:r>
      <w:r>
        <w:t>Bioproducts and Biorefining, 5,</w:t>
      </w:r>
      <w:r w:rsidRPr="005D0C26">
        <w:t xml:space="preserve"> 198-214.</w:t>
      </w:r>
    </w:p>
    <w:p w14:paraId="547E5E77" w14:textId="77777777" w:rsidR="003D1ACF" w:rsidRPr="005D0C26" w:rsidRDefault="003D1ACF" w:rsidP="005D0C26">
      <w:pPr>
        <w:pStyle w:val="CETBodytext"/>
      </w:pPr>
      <w:r>
        <w:t>Yamakawa C., Qin F., Mussato S. I., 2018, Advances and opportunities in biomass conversion technologies and biorefineries for the development of a bio-based economy, Biomass and Bioenergy, 119, 54-60.</w:t>
      </w:r>
    </w:p>
    <w:p w14:paraId="0EFAE063" w14:textId="77777777" w:rsidR="003D1ACF" w:rsidRPr="00762119" w:rsidRDefault="003D1ACF" w:rsidP="00762119">
      <w:pPr>
        <w:pStyle w:val="CETBodytext"/>
      </w:pPr>
      <w:r w:rsidRPr="00762119">
        <w:t xml:space="preserve">Yan K., Jarvis C., Gu J., Yan Y., 2015, Production and catalytic transformation of levulinic acid: </w:t>
      </w:r>
      <w:r>
        <w:t>A platform for speciality chemicals and fuels, Renewable and Sustainable Energy Reviews, 51, 986-997.</w:t>
      </w:r>
    </w:p>
    <w:p w14:paraId="497EF1AF" w14:textId="77777777" w:rsidR="004628D2" w:rsidRDefault="003D1ACF" w:rsidP="00C34D05">
      <w:pPr>
        <w:pStyle w:val="CETBodytext"/>
      </w:pPr>
      <w:r w:rsidRPr="005D0C26">
        <w:t>Zhang</w:t>
      </w:r>
      <w:r>
        <w:t xml:space="preserve"> </w:t>
      </w:r>
      <w:r w:rsidRPr="005D0C26">
        <w:t>S.</w:t>
      </w:r>
      <w:r>
        <w:t xml:space="preserve"> </w:t>
      </w:r>
      <w:r w:rsidRPr="005D0C26">
        <w:t>W. J</w:t>
      </w:r>
      <w:r>
        <w:t>.</w:t>
      </w:r>
      <w:r w:rsidRPr="005D0C26">
        <w:t>, Li</w:t>
      </w:r>
      <w:r>
        <w:t xml:space="preserve"> B., </w:t>
      </w:r>
      <w:r w:rsidRPr="005D0C26">
        <w:t>Zhang</w:t>
      </w:r>
      <w:r>
        <w:t xml:space="preserve"> H. D.</w:t>
      </w:r>
      <w:r w:rsidRPr="005D0C26">
        <w:t>,</w:t>
      </w:r>
      <w:r>
        <w:t xml:space="preserve"> </w:t>
      </w:r>
      <w:r w:rsidRPr="005D0C26">
        <w:t>2012</w:t>
      </w:r>
      <w:r>
        <w:t>,</w:t>
      </w:r>
      <w:r w:rsidRPr="005D0C26">
        <w:t xml:space="preserve"> Advances in the catalytic production of valuable levulinic a</w:t>
      </w:r>
      <w:r>
        <w:t xml:space="preserve">cid derivatives, ChemCatChem 4, </w:t>
      </w:r>
      <w:r w:rsidRPr="005D0C26">
        <w:t>1230-1237.</w:t>
      </w:r>
    </w:p>
    <w:p w14:paraId="260A9780" w14:textId="66F5A4EF" w:rsidR="00D01201" w:rsidRPr="00762119" w:rsidRDefault="00D01201" w:rsidP="00C34D05">
      <w:pPr>
        <w:pStyle w:val="CETBodytext"/>
      </w:pPr>
      <w:r>
        <w:t xml:space="preserve">Parthasarathy M., Gopalakrishnan R., 2013, Growth, photoluminescence, thermal and mechanical behavior of Ethyltriphenylphosphonium bromide dihydrate crystal, </w:t>
      </w:r>
      <w:r w:rsidR="004A641F">
        <w:t>Optical Materials, 35, 2056-2061.</w:t>
      </w:r>
    </w:p>
    <w:sectPr w:rsidR="00D01201" w:rsidRPr="0076211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B9785" w14:textId="77777777" w:rsidR="003E2673" w:rsidRDefault="003E2673" w:rsidP="004F5E36">
      <w:r>
        <w:separator/>
      </w:r>
    </w:p>
  </w:endnote>
  <w:endnote w:type="continuationSeparator" w:id="0">
    <w:p w14:paraId="1A9E51C1" w14:textId="77777777" w:rsidR="003E2673" w:rsidRDefault="003E267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C735C" w14:textId="77777777" w:rsidR="003E2673" w:rsidRDefault="003E2673" w:rsidP="004F5E36">
      <w:r>
        <w:separator/>
      </w:r>
    </w:p>
  </w:footnote>
  <w:footnote w:type="continuationSeparator" w:id="0">
    <w:p w14:paraId="72FBFD9F" w14:textId="77777777" w:rsidR="003E2673" w:rsidRDefault="003E2673"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10F40"/>
    <w:rsid w:val="000117CB"/>
    <w:rsid w:val="0003148D"/>
    <w:rsid w:val="00047D7F"/>
    <w:rsid w:val="00051566"/>
    <w:rsid w:val="00062A9A"/>
    <w:rsid w:val="00065058"/>
    <w:rsid w:val="000854BC"/>
    <w:rsid w:val="00086C39"/>
    <w:rsid w:val="000A03B2"/>
    <w:rsid w:val="000A3B79"/>
    <w:rsid w:val="000D34BE"/>
    <w:rsid w:val="000E102F"/>
    <w:rsid w:val="000E36F1"/>
    <w:rsid w:val="000E3A73"/>
    <w:rsid w:val="000E414A"/>
    <w:rsid w:val="000F093C"/>
    <w:rsid w:val="000F16BD"/>
    <w:rsid w:val="000F787B"/>
    <w:rsid w:val="001129A0"/>
    <w:rsid w:val="00112D05"/>
    <w:rsid w:val="001132B8"/>
    <w:rsid w:val="0012091F"/>
    <w:rsid w:val="00126BC2"/>
    <w:rsid w:val="001308B6"/>
    <w:rsid w:val="0013121F"/>
    <w:rsid w:val="00131FAB"/>
    <w:rsid w:val="00131FE6"/>
    <w:rsid w:val="0013263F"/>
    <w:rsid w:val="00133C28"/>
    <w:rsid w:val="00133E6A"/>
    <w:rsid w:val="00134DE4"/>
    <w:rsid w:val="0014034D"/>
    <w:rsid w:val="00150E59"/>
    <w:rsid w:val="00152DE3"/>
    <w:rsid w:val="00161BEC"/>
    <w:rsid w:val="00162642"/>
    <w:rsid w:val="00164CF9"/>
    <w:rsid w:val="001778CB"/>
    <w:rsid w:val="00184AD6"/>
    <w:rsid w:val="00197E27"/>
    <w:rsid w:val="001B0349"/>
    <w:rsid w:val="001B65C1"/>
    <w:rsid w:val="001C63B8"/>
    <w:rsid w:val="001C684B"/>
    <w:rsid w:val="001D53FC"/>
    <w:rsid w:val="001F42A5"/>
    <w:rsid w:val="001F7B9D"/>
    <w:rsid w:val="00216096"/>
    <w:rsid w:val="002224B4"/>
    <w:rsid w:val="00223C89"/>
    <w:rsid w:val="002447EF"/>
    <w:rsid w:val="00251550"/>
    <w:rsid w:val="00252C1A"/>
    <w:rsid w:val="00263B05"/>
    <w:rsid w:val="002647AD"/>
    <w:rsid w:val="0027221A"/>
    <w:rsid w:val="00275B61"/>
    <w:rsid w:val="00282656"/>
    <w:rsid w:val="002937D8"/>
    <w:rsid w:val="00296B83"/>
    <w:rsid w:val="00296C06"/>
    <w:rsid w:val="002B620F"/>
    <w:rsid w:val="002B78CE"/>
    <w:rsid w:val="002C2FB6"/>
    <w:rsid w:val="002C45CA"/>
    <w:rsid w:val="002D5BCD"/>
    <w:rsid w:val="002E6771"/>
    <w:rsid w:val="003009B7"/>
    <w:rsid w:val="00300E56"/>
    <w:rsid w:val="0030469C"/>
    <w:rsid w:val="0031284D"/>
    <w:rsid w:val="00321CA6"/>
    <w:rsid w:val="00334C09"/>
    <w:rsid w:val="003365E3"/>
    <w:rsid w:val="00352A99"/>
    <w:rsid w:val="003723D4"/>
    <w:rsid w:val="00373B37"/>
    <w:rsid w:val="00384CC8"/>
    <w:rsid w:val="003871FD"/>
    <w:rsid w:val="003A1E30"/>
    <w:rsid w:val="003A7D1C"/>
    <w:rsid w:val="003B304B"/>
    <w:rsid w:val="003B3146"/>
    <w:rsid w:val="003B60F3"/>
    <w:rsid w:val="003D1ACF"/>
    <w:rsid w:val="003E2673"/>
    <w:rsid w:val="003E35CA"/>
    <w:rsid w:val="003F015E"/>
    <w:rsid w:val="00400414"/>
    <w:rsid w:val="0041446B"/>
    <w:rsid w:val="004238C3"/>
    <w:rsid w:val="0044329C"/>
    <w:rsid w:val="004577FE"/>
    <w:rsid w:val="00457B9C"/>
    <w:rsid w:val="0046164A"/>
    <w:rsid w:val="004628D2"/>
    <w:rsid w:val="00462DCD"/>
    <w:rsid w:val="0046324B"/>
    <w:rsid w:val="004648AD"/>
    <w:rsid w:val="00464BF1"/>
    <w:rsid w:val="004703A9"/>
    <w:rsid w:val="004760DE"/>
    <w:rsid w:val="004A004E"/>
    <w:rsid w:val="004A24CF"/>
    <w:rsid w:val="004A641F"/>
    <w:rsid w:val="004B6721"/>
    <w:rsid w:val="004C3D1D"/>
    <w:rsid w:val="004C7913"/>
    <w:rsid w:val="004D2039"/>
    <w:rsid w:val="004D4C6D"/>
    <w:rsid w:val="004E4DD6"/>
    <w:rsid w:val="004F5E36"/>
    <w:rsid w:val="004F65B5"/>
    <w:rsid w:val="00505AEF"/>
    <w:rsid w:val="00507B47"/>
    <w:rsid w:val="00507CC9"/>
    <w:rsid w:val="005119A5"/>
    <w:rsid w:val="005278B7"/>
    <w:rsid w:val="00532016"/>
    <w:rsid w:val="005346C8"/>
    <w:rsid w:val="00543E7D"/>
    <w:rsid w:val="00546B05"/>
    <w:rsid w:val="00547A68"/>
    <w:rsid w:val="005531C9"/>
    <w:rsid w:val="00567B3F"/>
    <w:rsid w:val="005B2110"/>
    <w:rsid w:val="005B61E6"/>
    <w:rsid w:val="005C13D7"/>
    <w:rsid w:val="005C4070"/>
    <w:rsid w:val="005C77E1"/>
    <w:rsid w:val="005D0C26"/>
    <w:rsid w:val="005D5FFE"/>
    <w:rsid w:val="005D6A2F"/>
    <w:rsid w:val="005E1A82"/>
    <w:rsid w:val="005E794C"/>
    <w:rsid w:val="005F0A28"/>
    <w:rsid w:val="005F0E5E"/>
    <w:rsid w:val="005F6D6B"/>
    <w:rsid w:val="00600535"/>
    <w:rsid w:val="0060403E"/>
    <w:rsid w:val="00610CD6"/>
    <w:rsid w:val="00614E48"/>
    <w:rsid w:val="00620DEE"/>
    <w:rsid w:val="00621F92"/>
    <w:rsid w:val="00625639"/>
    <w:rsid w:val="00631B33"/>
    <w:rsid w:val="006344FF"/>
    <w:rsid w:val="0064184D"/>
    <w:rsid w:val="006422CC"/>
    <w:rsid w:val="00660E3E"/>
    <w:rsid w:val="00662E74"/>
    <w:rsid w:val="006760CD"/>
    <w:rsid w:val="00680C23"/>
    <w:rsid w:val="006813DE"/>
    <w:rsid w:val="00693766"/>
    <w:rsid w:val="006A3281"/>
    <w:rsid w:val="006A32C3"/>
    <w:rsid w:val="006B4888"/>
    <w:rsid w:val="006B4AFB"/>
    <w:rsid w:val="006C2064"/>
    <w:rsid w:val="006C2E45"/>
    <w:rsid w:val="006C359C"/>
    <w:rsid w:val="006C5579"/>
    <w:rsid w:val="006C680E"/>
    <w:rsid w:val="006D1098"/>
    <w:rsid w:val="006E737D"/>
    <w:rsid w:val="0070195D"/>
    <w:rsid w:val="00712239"/>
    <w:rsid w:val="00720A24"/>
    <w:rsid w:val="00732386"/>
    <w:rsid w:val="00742682"/>
    <w:rsid w:val="007447F3"/>
    <w:rsid w:val="0075499F"/>
    <w:rsid w:val="00762119"/>
    <w:rsid w:val="007661C8"/>
    <w:rsid w:val="0077098D"/>
    <w:rsid w:val="00781CD0"/>
    <w:rsid w:val="007931FA"/>
    <w:rsid w:val="007A4AD7"/>
    <w:rsid w:val="007A7BBA"/>
    <w:rsid w:val="007B0C50"/>
    <w:rsid w:val="007B63F8"/>
    <w:rsid w:val="007C1A43"/>
    <w:rsid w:val="007D372B"/>
    <w:rsid w:val="007E1DC6"/>
    <w:rsid w:val="007F2D57"/>
    <w:rsid w:val="00813288"/>
    <w:rsid w:val="008168FC"/>
    <w:rsid w:val="00823321"/>
    <w:rsid w:val="00830996"/>
    <w:rsid w:val="008345F1"/>
    <w:rsid w:val="0084275E"/>
    <w:rsid w:val="00861DF5"/>
    <w:rsid w:val="00865B07"/>
    <w:rsid w:val="008667EA"/>
    <w:rsid w:val="0087637F"/>
    <w:rsid w:val="008904B9"/>
    <w:rsid w:val="00892AD5"/>
    <w:rsid w:val="008A1512"/>
    <w:rsid w:val="008C0858"/>
    <w:rsid w:val="008C2FAE"/>
    <w:rsid w:val="008C78C1"/>
    <w:rsid w:val="008D32B9"/>
    <w:rsid w:val="008D433B"/>
    <w:rsid w:val="008E566E"/>
    <w:rsid w:val="0090161A"/>
    <w:rsid w:val="00901EB6"/>
    <w:rsid w:val="00904C62"/>
    <w:rsid w:val="00924DAC"/>
    <w:rsid w:val="00927058"/>
    <w:rsid w:val="00931256"/>
    <w:rsid w:val="009450CE"/>
    <w:rsid w:val="00947179"/>
    <w:rsid w:val="0095164B"/>
    <w:rsid w:val="00954090"/>
    <w:rsid w:val="009573E7"/>
    <w:rsid w:val="009619B4"/>
    <w:rsid w:val="009635B9"/>
    <w:rsid w:val="00963E05"/>
    <w:rsid w:val="00967D54"/>
    <w:rsid w:val="009827F8"/>
    <w:rsid w:val="00996483"/>
    <w:rsid w:val="00996F5A"/>
    <w:rsid w:val="009A0A3E"/>
    <w:rsid w:val="009B041A"/>
    <w:rsid w:val="009C6AAC"/>
    <w:rsid w:val="009C7C86"/>
    <w:rsid w:val="009D2FF7"/>
    <w:rsid w:val="009E010F"/>
    <w:rsid w:val="009E235C"/>
    <w:rsid w:val="009E7884"/>
    <w:rsid w:val="009E788A"/>
    <w:rsid w:val="009F0E08"/>
    <w:rsid w:val="00A019D3"/>
    <w:rsid w:val="00A03030"/>
    <w:rsid w:val="00A06A2C"/>
    <w:rsid w:val="00A1763D"/>
    <w:rsid w:val="00A17CEC"/>
    <w:rsid w:val="00A27EF0"/>
    <w:rsid w:val="00A35263"/>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4B70"/>
    <w:rsid w:val="00B57B36"/>
    <w:rsid w:val="00B61231"/>
    <w:rsid w:val="00B8686D"/>
    <w:rsid w:val="00B90533"/>
    <w:rsid w:val="00BC30C9"/>
    <w:rsid w:val="00BC6655"/>
    <w:rsid w:val="00BE3E58"/>
    <w:rsid w:val="00BE6F5D"/>
    <w:rsid w:val="00C01616"/>
    <w:rsid w:val="00C0162B"/>
    <w:rsid w:val="00C27FB9"/>
    <w:rsid w:val="00C3072D"/>
    <w:rsid w:val="00C32191"/>
    <w:rsid w:val="00C345B1"/>
    <w:rsid w:val="00C34D05"/>
    <w:rsid w:val="00C370F8"/>
    <w:rsid w:val="00C40142"/>
    <w:rsid w:val="00C57182"/>
    <w:rsid w:val="00C57863"/>
    <w:rsid w:val="00C62565"/>
    <w:rsid w:val="00C655FD"/>
    <w:rsid w:val="00C661DB"/>
    <w:rsid w:val="00C870A8"/>
    <w:rsid w:val="00C94434"/>
    <w:rsid w:val="00CA0D75"/>
    <w:rsid w:val="00CA1C95"/>
    <w:rsid w:val="00CA5A9C"/>
    <w:rsid w:val="00CC1F07"/>
    <w:rsid w:val="00CD3517"/>
    <w:rsid w:val="00CD5A00"/>
    <w:rsid w:val="00CD5E84"/>
    <w:rsid w:val="00CD5FE2"/>
    <w:rsid w:val="00CE7C68"/>
    <w:rsid w:val="00CF3387"/>
    <w:rsid w:val="00D01201"/>
    <w:rsid w:val="00D02B4C"/>
    <w:rsid w:val="00D040C4"/>
    <w:rsid w:val="00D220C1"/>
    <w:rsid w:val="00D57C84"/>
    <w:rsid w:val="00D6057D"/>
    <w:rsid w:val="00D8035E"/>
    <w:rsid w:val="00D84576"/>
    <w:rsid w:val="00D87477"/>
    <w:rsid w:val="00DA1399"/>
    <w:rsid w:val="00DA24C6"/>
    <w:rsid w:val="00DA4D7B"/>
    <w:rsid w:val="00DE264A"/>
    <w:rsid w:val="00E02D18"/>
    <w:rsid w:val="00E041E7"/>
    <w:rsid w:val="00E23CA1"/>
    <w:rsid w:val="00E26995"/>
    <w:rsid w:val="00E31A80"/>
    <w:rsid w:val="00E409A8"/>
    <w:rsid w:val="00E50C12"/>
    <w:rsid w:val="00E65B91"/>
    <w:rsid w:val="00E669C6"/>
    <w:rsid w:val="00E7209D"/>
    <w:rsid w:val="00E77223"/>
    <w:rsid w:val="00E8528B"/>
    <w:rsid w:val="00E85B94"/>
    <w:rsid w:val="00E978D0"/>
    <w:rsid w:val="00EA4613"/>
    <w:rsid w:val="00EA7F91"/>
    <w:rsid w:val="00EB1523"/>
    <w:rsid w:val="00EC0E49"/>
    <w:rsid w:val="00ED0032"/>
    <w:rsid w:val="00EE0131"/>
    <w:rsid w:val="00EF3F0E"/>
    <w:rsid w:val="00F155B2"/>
    <w:rsid w:val="00F21C99"/>
    <w:rsid w:val="00F30C64"/>
    <w:rsid w:val="00F32CDB"/>
    <w:rsid w:val="00F5620B"/>
    <w:rsid w:val="00F63A70"/>
    <w:rsid w:val="00F82F74"/>
    <w:rsid w:val="00FA21D0"/>
    <w:rsid w:val="00FA5F5F"/>
    <w:rsid w:val="00FA6386"/>
    <w:rsid w:val="00FB730C"/>
    <w:rsid w:val="00FC1ACA"/>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490FE"/>
  <w15:docId w15:val="{ADAE70AF-1F7F-47A5-A0E0-43561B05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odoEspaoReservado">
    <w:name w:val="Placeholder Text"/>
    <w:basedOn w:val="Fontepargpadro"/>
    <w:uiPriority w:val="99"/>
    <w:semiHidden/>
    <w:rsid w:val="002E6771"/>
    <w:rPr>
      <w:color w:val="808080"/>
    </w:rPr>
  </w:style>
  <w:style w:type="character" w:styleId="Forte">
    <w:name w:val="Strong"/>
    <w:basedOn w:val="Fontepargpadro"/>
    <w:uiPriority w:val="22"/>
    <w:qFormat/>
    <w:rsid w:val="00861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023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00175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4578">
      <w:bodyDiv w:val="1"/>
      <w:marLeft w:val="0"/>
      <w:marRight w:val="0"/>
      <w:marTop w:val="0"/>
      <w:marBottom w:val="0"/>
      <w:divBdr>
        <w:top w:val="none" w:sz="0" w:space="0" w:color="auto"/>
        <w:left w:val="none" w:sz="0" w:space="0" w:color="auto"/>
        <w:bottom w:val="none" w:sz="0" w:space="0" w:color="auto"/>
        <w:right w:val="none" w:sz="0" w:space="0" w:color="auto"/>
      </w:divBdr>
    </w:div>
    <w:div w:id="134644130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E0E2-6DEA-40F2-AA07-05D39322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2623</Words>
  <Characters>14167</Characters>
  <Application>Microsoft Office Word</Application>
  <DocSecurity>0</DocSecurity>
  <Lines>118</Lines>
  <Paragraphs>33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Bahú</dc:creator>
  <cp:lastModifiedBy>Juliana Bahú</cp:lastModifiedBy>
  <cp:revision>3</cp:revision>
  <cp:lastPrinted>2015-05-12T18:31:00Z</cp:lastPrinted>
  <dcterms:created xsi:type="dcterms:W3CDTF">2019-04-15T20:17:00Z</dcterms:created>
  <dcterms:modified xsi:type="dcterms:W3CDTF">2019-04-15T20:18:00Z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