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15E85" w:rsidRPr="00B57B36" w:rsidRDefault="00E15E85" w:rsidP="00E15E85">
      <w:pPr>
        <w:pStyle w:val="CETTitle"/>
      </w:pPr>
      <w:r w:rsidRPr="007E28FE">
        <w:t>MODELLING OF THE AROMATIC ALDEHYDE PRODUCTION BY CATALYTIC OXIDATION OF LIGNIN IN A THREE-PHASE FLUIDIZED BED REACTOR</w:t>
      </w:r>
    </w:p>
    <w:p w:rsidR="00E15E85" w:rsidRPr="007E28FE" w:rsidRDefault="00E15E85" w:rsidP="00E15E85">
      <w:pPr>
        <w:pStyle w:val="CETAuthors"/>
        <w:rPr>
          <w:lang w:val="pt-BR"/>
        </w:rPr>
      </w:pPr>
      <w:r w:rsidRPr="007E28FE">
        <w:rPr>
          <w:color w:val="000000"/>
          <w:sz w:val="27"/>
          <w:szCs w:val="27"/>
          <w:lang w:val="pt-BR"/>
        </w:rPr>
        <w:t>Cláudio C.B. Oliveira</w:t>
      </w:r>
      <w:r>
        <w:rPr>
          <w:color w:val="000000"/>
          <w:sz w:val="27"/>
          <w:szCs w:val="27"/>
          <w:vertAlign w:val="superscript"/>
          <w:lang w:val="pt-BR"/>
        </w:rPr>
        <w:t>a,</w:t>
      </w:r>
      <w:r w:rsidRPr="007E28FE">
        <w:rPr>
          <w:color w:val="000000"/>
          <w:sz w:val="27"/>
          <w:szCs w:val="27"/>
          <w:lang w:val="pt-BR"/>
        </w:rPr>
        <w:t>*, Emerson B. Anjos</w:t>
      </w:r>
      <w:r>
        <w:rPr>
          <w:color w:val="000000"/>
          <w:sz w:val="27"/>
          <w:szCs w:val="27"/>
          <w:vertAlign w:val="superscript"/>
          <w:lang w:val="pt-BR"/>
        </w:rPr>
        <w:t>b</w:t>
      </w:r>
      <w:r w:rsidRPr="007E28FE">
        <w:rPr>
          <w:color w:val="000000"/>
          <w:sz w:val="27"/>
          <w:szCs w:val="27"/>
          <w:lang w:val="pt-BR"/>
        </w:rPr>
        <w:t>, Jornandes</w:t>
      </w:r>
      <w:r w:rsidR="00AE14E3">
        <w:rPr>
          <w:color w:val="000000"/>
          <w:sz w:val="27"/>
          <w:szCs w:val="27"/>
          <w:lang w:val="pt-BR"/>
        </w:rPr>
        <w:t xml:space="preserve"> </w:t>
      </w:r>
      <w:r w:rsidRPr="007E28FE">
        <w:rPr>
          <w:color w:val="000000"/>
          <w:sz w:val="27"/>
          <w:szCs w:val="27"/>
          <w:lang w:val="pt-BR"/>
        </w:rPr>
        <w:t>D. Silva</w:t>
      </w:r>
      <w:r>
        <w:rPr>
          <w:color w:val="000000"/>
          <w:sz w:val="27"/>
          <w:szCs w:val="27"/>
          <w:vertAlign w:val="superscript"/>
          <w:lang w:val="pt-BR"/>
        </w:rPr>
        <w:t>b</w:t>
      </w:r>
      <w:r w:rsidRPr="007E28FE">
        <w:rPr>
          <w:color w:val="000000"/>
          <w:sz w:val="27"/>
          <w:szCs w:val="27"/>
          <w:lang w:val="pt-BR"/>
        </w:rPr>
        <w:t>, Cesar A.M. Abreu</w:t>
      </w:r>
      <w:r>
        <w:rPr>
          <w:color w:val="000000"/>
          <w:sz w:val="27"/>
          <w:szCs w:val="27"/>
          <w:vertAlign w:val="superscript"/>
          <w:lang w:val="pt-BR"/>
        </w:rPr>
        <w:t>a</w:t>
      </w:r>
    </w:p>
    <w:p w:rsidR="00E15E85" w:rsidRDefault="00E15E85" w:rsidP="00E15E85">
      <w:pPr>
        <w:pStyle w:val="CETAddress"/>
      </w:pPr>
      <w:r>
        <w:rPr>
          <w:vertAlign w:val="superscript"/>
          <w:lang w:val="en-US"/>
        </w:rPr>
        <w:t>a</w:t>
      </w:r>
      <w:r>
        <w:t xml:space="preserve">Department of Chemical Engineering, Federal University of Pernambuco (UFPE), Phone (81) 2126-8901, R. Prof. Artur de Sá, 50740-521, Recife - PE Brazil. </w:t>
      </w:r>
    </w:p>
    <w:p w:rsidR="00E15E85" w:rsidRPr="00B57B36" w:rsidRDefault="00E15E85" w:rsidP="00E15E85">
      <w:pPr>
        <w:pStyle w:val="CETAddress"/>
      </w:pPr>
      <w:r>
        <w:rPr>
          <w:vertAlign w:val="superscript"/>
        </w:rPr>
        <w:t>b</w:t>
      </w:r>
      <w:r>
        <w:t>Polytechnic School – UPE, Laboratory of Environmental and Energetic Technology; Rua Benfica – 455, Madalena, Recife – PE, Brazil. Cep: 50750-470.</w:t>
      </w:r>
      <w:r w:rsidRPr="00B57B36">
        <w:t xml:space="preserve"> </w:t>
      </w:r>
    </w:p>
    <w:p w:rsidR="00E15E85" w:rsidRPr="00B57B36" w:rsidRDefault="00E15E85" w:rsidP="00E15E85">
      <w:pPr>
        <w:pStyle w:val="CETemail"/>
      </w:pPr>
      <w:r>
        <w:t>claudiothor@hotmail.com</w:t>
      </w:r>
    </w:p>
    <w:p w:rsidR="00E15E85" w:rsidRPr="009D0279" w:rsidRDefault="00E15E85" w:rsidP="00E15E85">
      <w:pPr>
        <w:pStyle w:val="CETBodytext"/>
      </w:pPr>
      <w:r w:rsidRPr="009D0279">
        <w:t>Lignin derivatives are obtained in low levels of production by using catalytic processes in batch operations. Considering the availability of vegetable biomass with high lignin content it</w:t>
      </w:r>
      <w:r w:rsidR="0020437E">
        <w:t xml:space="preserve"> i</w:t>
      </w:r>
      <w:r w:rsidRPr="009D0279">
        <w:t xml:space="preserve">s processing to be economically feasible, should be conducted through continuous processes. </w:t>
      </w:r>
      <w:r>
        <w:t>In this way, t</w:t>
      </w:r>
      <w:r w:rsidRPr="009D0279">
        <w:t>he objective of this paper is to provide predictions for the aromatic aldehyde production from the aqueous alkaline lignin processed by wet oxidation in a three-phase fluidized bed reactor. A heterogeneous steady</w:t>
      </w:r>
      <w:r w:rsidR="00EF5A73">
        <w:t>-</w:t>
      </w:r>
      <w:r w:rsidRPr="009D0279">
        <w:t xml:space="preserve">state model was formulated to describe the </w:t>
      </w:r>
      <w:r w:rsidR="00EF5A73">
        <w:t>continuous</w:t>
      </w:r>
      <w:r w:rsidR="0020437E">
        <w:t>,</w:t>
      </w:r>
      <w:r w:rsidR="00EF5A73">
        <w:t xml:space="preserve"> isothermal</w:t>
      </w:r>
      <w:r w:rsidRPr="009D0279">
        <w:t xml:space="preserve"> operations of lignin oxidation associating hydrodynamic phenomena, mass transfer</w:t>
      </w:r>
      <w:r w:rsidR="00EF5A73">
        <w:t>,</w:t>
      </w:r>
      <w:r w:rsidRPr="009D0279">
        <w:t xml:space="preserve"> and chemical reaction. The reactor operation was simulated considering a feed with 0.21 mmol/L of oxygen and 0.30 g/L of lignin at 393K and 20bar, presenting stationary profiles of the reagents and products. The mathematical model studied represent</w:t>
      </w:r>
      <w:r>
        <w:t>ed</w:t>
      </w:r>
      <w:r w:rsidRPr="009D0279">
        <w:t xml:space="preserve"> a stationary behavior and was solved by the finite difference methods in a code in FORTRAN 95.</w:t>
      </w:r>
    </w:p>
    <w:p w:rsidR="00E15E85" w:rsidRPr="00B57B36" w:rsidRDefault="00E15E85" w:rsidP="00E15E85">
      <w:pPr>
        <w:pStyle w:val="CETHeading1"/>
        <w:rPr>
          <w:lang w:val="en-GB"/>
        </w:rPr>
      </w:pPr>
      <w:r w:rsidRPr="00B57B36">
        <w:rPr>
          <w:lang w:val="en-GB"/>
        </w:rPr>
        <w:t>Introduction</w:t>
      </w:r>
    </w:p>
    <w:p w:rsidR="00E15E85" w:rsidRPr="007E28FE" w:rsidRDefault="00E15E85" w:rsidP="00E15E85">
      <w:pPr>
        <w:pStyle w:val="CETBodytext"/>
        <w:rPr>
          <w:lang w:val="en-GB"/>
        </w:rPr>
      </w:pPr>
      <w:r w:rsidRPr="007E28FE">
        <w:rPr>
          <w:lang w:val="en-GB"/>
        </w:rPr>
        <w:t xml:space="preserve">Lignocellulosic biomasses (LCB) such as energy crops and </w:t>
      </w:r>
      <w:proofErr w:type="spellStart"/>
      <w:r w:rsidRPr="007E28FE">
        <w:rPr>
          <w:lang w:val="en-GB"/>
        </w:rPr>
        <w:t>agro</w:t>
      </w:r>
      <w:proofErr w:type="spellEnd"/>
      <w:r w:rsidRPr="007E28FE">
        <w:rPr>
          <w:lang w:val="en-GB"/>
        </w:rPr>
        <w:t>-industrial residues have been investigated over the last decades as sources for the sustainable production of several chemicals. LCB consists of three major components: cellulose, hemicelluloses</w:t>
      </w:r>
      <w:r w:rsidR="00EF5A73">
        <w:rPr>
          <w:lang w:val="en-GB"/>
        </w:rPr>
        <w:t>,</w:t>
      </w:r>
      <w:r w:rsidRPr="007E28FE">
        <w:rPr>
          <w:lang w:val="en-GB"/>
        </w:rPr>
        <w:t xml:space="preserve"> and lignin. These macromolecules comprise approximately 90% of the vegetable biomass. The saccharide molecules present a wide variety of functional groups, which allow the formation of compounds with different chemical structures. This feature, together with their </w:t>
      </w:r>
      <w:r w:rsidR="00EF5A73">
        <w:rPr>
          <w:lang w:val="en-GB"/>
        </w:rPr>
        <w:t>high</w:t>
      </w:r>
      <w:r w:rsidRPr="007E28FE">
        <w:rPr>
          <w:lang w:val="en-GB"/>
        </w:rPr>
        <w:t xml:space="preserve"> availability from agricultural sources, qualify them as products of increasing value as feedstocks</w:t>
      </w:r>
      <w:r>
        <w:rPr>
          <w:lang w:val="en-GB"/>
        </w:rPr>
        <w:t xml:space="preserve"> (Oliveira et al., 2015)</w:t>
      </w:r>
      <w:r w:rsidRPr="007E28FE">
        <w:rPr>
          <w:lang w:val="en-GB"/>
        </w:rPr>
        <w:t>.</w:t>
      </w:r>
    </w:p>
    <w:p w:rsidR="00E15E85" w:rsidRPr="007E28FE" w:rsidRDefault="00E15E85" w:rsidP="00E15E85">
      <w:pPr>
        <w:pStyle w:val="CETBodytext"/>
        <w:rPr>
          <w:lang w:val="en-GB"/>
        </w:rPr>
      </w:pPr>
      <w:r w:rsidRPr="007E28FE">
        <w:rPr>
          <w:lang w:val="en-GB"/>
        </w:rPr>
        <w:t xml:space="preserve">The processing of extracts from organic plants has traditionally been operated in discontinuous reactors. In the case of lignocellulosic biomass, the need to conduct the manufacture of derivatives through continuous operations must appear as a mandatory option. The depolymerization of lignin through catalytic oxidation can be placed as one of the processing options, which must use the three-phase continuous reactors. In the most widespread practice of three-phase operations, in general, the mud bed reactor has been cut, whose batch production is acceptable for smaller productions. In the case of biomass, for soluble lignin, it is recommended to stagger the transformation of the mud bed to the three-phase fluidized bed. </w:t>
      </w:r>
    </w:p>
    <w:p w:rsidR="00E15E85" w:rsidRPr="007E28FE" w:rsidRDefault="00E15E85" w:rsidP="00E15E85">
      <w:pPr>
        <w:pStyle w:val="CETBodytext"/>
        <w:rPr>
          <w:lang w:val="en-GB"/>
        </w:rPr>
      </w:pPr>
      <w:r w:rsidRPr="007E28FE">
        <w:rPr>
          <w:lang w:val="en-GB"/>
        </w:rPr>
        <w:t>Several chemical transformations (hydrogenolysis, oxidation</w:t>
      </w:r>
      <w:r w:rsidR="00EF5A73">
        <w:rPr>
          <w:lang w:val="en-GB"/>
        </w:rPr>
        <w:t>,</w:t>
      </w:r>
      <w:r w:rsidRPr="007E28FE">
        <w:rPr>
          <w:lang w:val="en-GB"/>
        </w:rPr>
        <w:t xml:space="preserve"> and hydrolysis) are discussed in detail in the literature for the conversion of lignin into low molar mass products (</w:t>
      </w:r>
      <w:r>
        <w:rPr>
          <w:lang w:val="en-GB"/>
        </w:rPr>
        <w:t xml:space="preserve">Bugg and </w:t>
      </w:r>
      <w:proofErr w:type="spellStart"/>
      <w:r>
        <w:rPr>
          <w:lang w:val="en-GB"/>
        </w:rPr>
        <w:t>Rahmanpour</w:t>
      </w:r>
      <w:proofErr w:type="spellEnd"/>
      <w:r>
        <w:rPr>
          <w:lang w:val="en-GB"/>
        </w:rPr>
        <w:t>, 2015</w:t>
      </w:r>
      <w:r w:rsidRPr="007E28FE">
        <w:rPr>
          <w:lang w:val="en-GB"/>
        </w:rPr>
        <w:t xml:space="preserve">; </w:t>
      </w:r>
      <w:proofErr w:type="spellStart"/>
      <w:r>
        <w:rPr>
          <w:lang w:val="en-GB"/>
        </w:rPr>
        <w:t>Tsodikov</w:t>
      </w:r>
      <w:proofErr w:type="spellEnd"/>
      <w:r>
        <w:rPr>
          <w:lang w:val="en-GB"/>
        </w:rPr>
        <w:t xml:space="preserve"> et al., 2018</w:t>
      </w:r>
      <w:r w:rsidRPr="007E28FE">
        <w:rPr>
          <w:lang w:val="en-GB"/>
        </w:rPr>
        <w:t>). Lignin oxidation produces compounds of low molar mass, such as vanillin, v</w:t>
      </w:r>
      <w:r w:rsidR="00EF5A73">
        <w:rPr>
          <w:lang w:val="en-GB"/>
        </w:rPr>
        <w:t>i</w:t>
      </w:r>
      <w:r w:rsidRPr="007E28FE">
        <w:rPr>
          <w:lang w:val="en-GB"/>
        </w:rPr>
        <w:t>nyl acid</w:t>
      </w:r>
      <w:r w:rsidR="00EF5A73">
        <w:rPr>
          <w:lang w:val="en-GB"/>
        </w:rPr>
        <w:t>,</w:t>
      </w:r>
      <w:r w:rsidRPr="007E28FE">
        <w:rPr>
          <w:lang w:val="en-GB"/>
        </w:rPr>
        <w:t xml:space="preserve"> and other aromatic acids and aldehydes, used in organic syntheses (</w:t>
      </w:r>
      <w:proofErr w:type="spellStart"/>
      <w:r>
        <w:rPr>
          <w:lang w:val="en-GB"/>
        </w:rPr>
        <w:t>Fache</w:t>
      </w:r>
      <w:proofErr w:type="spellEnd"/>
      <w:r>
        <w:rPr>
          <w:lang w:val="en-GB"/>
        </w:rPr>
        <w:t xml:space="preserve"> et al., 2015</w:t>
      </w:r>
      <w:r w:rsidRPr="007E28FE">
        <w:rPr>
          <w:lang w:val="en-GB"/>
        </w:rPr>
        <w:t xml:space="preserve">). High molar mass </w:t>
      </w:r>
      <w:proofErr w:type="spellStart"/>
      <w:r w:rsidRPr="007E28FE">
        <w:rPr>
          <w:lang w:val="en-GB"/>
        </w:rPr>
        <w:t>lignins</w:t>
      </w:r>
      <w:proofErr w:type="spellEnd"/>
      <w:r w:rsidRPr="007E28FE">
        <w:rPr>
          <w:lang w:val="en-GB"/>
        </w:rPr>
        <w:t xml:space="preserve"> can be used to produce carbon </w:t>
      </w:r>
      <w:proofErr w:type="spellStart"/>
      <w:r w:rsidRPr="007E28FE">
        <w:rPr>
          <w:lang w:val="en-GB"/>
        </w:rPr>
        <w:t>fibers</w:t>
      </w:r>
      <w:proofErr w:type="spellEnd"/>
      <w:r w:rsidRPr="007E28FE">
        <w:rPr>
          <w:lang w:val="en-GB"/>
        </w:rPr>
        <w:t xml:space="preserve">, polymer modifiers, adhesives, matrices for controlled release of herbicides and </w:t>
      </w:r>
      <w:r w:rsidRPr="007E28FE">
        <w:rPr>
          <w:lang w:val="en-GB"/>
        </w:rPr>
        <w:lastRenderedPageBreak/>
        <w:t>resins</w:t>
      </w:r>
      <w:r>
        <w:rPr>
          <w:lang w:val="en-GB"/>
        </w:rPr>
        <w:t xml:space="preserve">. </w:t>
      </w:r>
      <w:r w:rsidRPr="007E28FE">
        <w:rPr>
          <w:lang w:val="en-GB"/>
        </w:rPr>
        <w:t>Depending on the origin, there are differences between the lignin in the composition and the products formed by its oxidation (</w:t>
      </w:r>
      <w:bookmarkStart w:id="0" w:name="_Hlk536543706"/>
      <w:proofErr w:type="spellStart"/>
      <w:r w:rsidRPr="007E28FE">
        <w:rPr>
          <w:lang w:val="en-GB"/>
        </w:rPr>
        <w:t>Tarabanko</w:t>
      </w:r>
      <w:bookmarkEnd w:id="0"/>
      <w:proofErr w:type="spellEnd"/>
      <w:r w:rsidRPr="007E28FE">
        <w:rPr>
          <w:lang w:val="en-GB"/>
        </w:rPr>
        <w:t xml:space="preserve"> et al.,2017</w:t>
      </w:r>
      <w:r>
        <w:rPr>
          <w:lang w:val="en-GB"/>
        </w:rPr>
        <w:t>;</w:t>
      </w:r>
      <w:r w:rsidRPr="007E28FE">
        <w:rPr>
          <w:lang w:val="en-GB"/>
        </w:rPr>
        <w:t xml:space="preserve"> </w:t>
      </w:r>
      <w:proofErr w:type="spellStart"/>
      <w:r>
        <w:rPr>
          <w:lang w:val="en-GB"/>
        </w:rPr>
        <w:t>S</w:t>
      </w:r>
      <w:r w:rsidRPr="007E28FE">
        <w:rPr>
          <w:lang w:val="en-GB"/>
        </w:rPr>
        <w:t>chutyser</w:t>
      </w:r>
      <w:proofErr w:type="spellEnd"/>
      <w:r w:rsidRPr="007E28FE">
        <w:rPr>
          <w:lang w:val="en-GB"/>
        </w:rPr>
        <w:t xml:space="preserve"> et al</w:t>
      </w:r>
      <w:r w:rsidR="00EF5A73">
        <w:rPr>
          <w:lang w:val="en-GB"/>
        </w:rPr>
        <w:t>.</w:t>
      </w:r>
      <w:r w:rsidRPr="007E28FE">
        <w:rPr>
          <w:lang w:val="en-GB"/>
        </w:rPr>
        <w:t xml:space="preserve">, 2018). </w:t>
      </w:r>
    </w:p>
    <w:p w:rsidR="00E15E85" w:rsidRPr="007E28FE" w:rsidRDefault="00E15E85" w:rsidP="00E15E85">
      <w:pPr>
        <w:pStyle w:val="CETBodytext"/>
        <w:rPr>
          <w:lang w:val="en-GB"/>
        </w:rPr>
      </w:pPr>
      <w:r w:rsidRPr="007E28FE">
        <w:rPr>
          <w:lang w:val="en-GB"/>
        </w:rPr>
        <w:t xml:space="preserve">In the oxidation processes of lignin, the </w:t>
      </w:r>
      <w:r w:rsidR="0020437E">
        <w:rPr>
          <w:lang w:val="en-GB"/>
        </w:rPr>
        <w:t>primary</w:t>
      </w:r>
      <w:r w:rsidRPr="007E28FE">
        <w:rPr>
          <w:lang w:val="en-GB"/>
        </w:rPr>
        <w:t xml:space="preserve"> source of raw material has been lignosulphonates (</w:t>
      </w:r>
      <w:proofErr w:type="spellStart"/>
      <w:r>
        <w:rPr>
          <w:lang w:val="en-GB"/>
        </w:rPr>
        <w:t>F</w:t>
      </w:r>
      <w:r w:rsidRPr="007E28FE">
        <w:rPr>
          <w:lang w:val="en-GB"/>
        </w:rPr>
        <w:t>argues</w:t>
      </w:r>
      <w:proofErr w:type="spellEnd"/>
      <w:r w:rsidRPr="007E28FE">
        <w:rPr>
          <w:lang w:val="en-GB"/>
        </w:rPr>
        <w:t xml:space="preserve"> et al</w:t>
      </w:r>
      <w:r w:rsidR="00EF5A73">
        <w:rPr>
          <w:lang w:val="en-GB"/>
        </w:rPr>
        <w:t>.</w:t>
      </w:r>
      <w:r w:rsidRPr="007E28FE">
        <w:rPr>
          <w:lang w:val="en-GB"/>
        </w:rPr>
        <w:t>, 1996) from the pulp and paper industry. In these cases, it is worth noting that, sometimes the objective is to obtain chemical products, sometimes is the reduction of biological oxygen demand aiming at minimizing the environmental impact when releasing lignin in the form of industrial effluents (Z</w:t>
      </w:r>
      <w:r>
        <w:rPr>
          <w:lang w:val="en-GB"/>
        </w:rPr>
        <w:t>hang</w:t>
      </w:r>
      <w:r w:rsidRPr="007E28FE">
        <w:rPr>
          <w:lang w:val="en-GB"/>
        </w:rPr>
        <w:t xml:space="preserve">, </w:t>
      </w:r>
      <w:r>
        <w:rPr>
          <w:lang w:val="en-GB"/>
        </w:rPr>
        <w:t>200</w:t>
      </w:r>
      <w:r w:rsidRPr="007E28FE">
        <w:rPr>
          <w:lang w:val="en-GB"/>
        </w:rPr>
        <w:t>8). In both cases, the absence of catalysts requires more severe reaction conditions, thus increasing the costs of industrial installations. Thus, the study of a mathematical model will help in optimizing the process and will avoid undesirable results</w:t>
      </w:r>
      <w:r>
        <w:rPr>
          <w:lang w:val="en-GB"/>
        </w:rPr>
        <w:t xml:space="preserve"> (Cruz and Silva, 2017; Silva and Abreu 2016)</w:t>
      </w:r>
      <w:r w:rsidRPr="007E28FE">
        <w:rPr>
          <w:lang w:val="en-GB"/>
        </w:rPr>
        <w:t xml:space="preserve">. </w:t>
      </w:r>
    </w:p>
    <w:p w:rsidR="00E15E85" w:rsidRPr="007E28FE" w:rsidRDefault="00E15E85" w:rsidP="00E15E85">
      <w:pPr>
        <w:pStyle w:val="CETBodytext"/>
        <w:rPr>
          <w:lang w:val="en-GB"/>
        </w:rPr>
      </w:pPr>
      <w:r w:rsidRPr="007E28FE">
        <w:rPr>
          <w:lang w:val="en-GB"/>
        </w:rPr>
        <w:t xml:space="preserve">In this sense, the objective of this paper was the </w:t>
      </w:r>
      <w:r>
        <w:rPr>
          <w:lang w:val="en-GB"/>
        </w:rPr>
        <w:t>d</w:t>
      </w:r>
      <w:r w:rsidRPr="007E28FE">
        <w:rPr>
          <w:lang w:val="en-GB"/>
        </w:rPr>
        <w:t xml:space="preserve">evelopment of a phenomenological mathematical model to establish and evaluate based on experimental kinetics, the operational </w:t>
      </w:r>
      <w:proofErr w:type="spellStart"/>
      <w:r w:rsidRPr="007E28FE">
        <w:rPr>
          <w:lang w:val="en-GB"/>
        </w:rPr>
        <w:t>behavior</w:t>
      </w:r>
      <w:proofErr w:type="spellEnd"/>
      <w:r w:rsidRPr="007E28FE">
        <w:rPr>
          <w:lang w:val="en-GB"/>
        </w:rPr>
        <w:t xml:space="preserve"> of the continuous catalytic process of wet oxidation of the alkaline lignin in a three-phase fluidized bed reactor.</w:t>
      </w:r>
    </w:p>
    <w:p w:rsidR="00E15E85" w:rsidRDefault="00E15E85" w:rsidP="00E15E85">
      <w:pPr>
        <w:pStyle w:val="CETHeading1"/>
        <w:tabs>
          <w:tab w:val="clear" w:pos="360"/>
          <w:tab w:val="right" w:pos="7100"/>
        </w:tabs>
        <w:jc w:val="both"/>
        <w:rPr>
          <w:lang w:val="en-GB"/>
        </w:rPr>
      </w:pPr>
      <w:r w:rsidRPr="007E28FE">
        <w:rPr>
          <w:lang w:val="en-GB"/>
        </w:rPr>
        <w:t>Methodology, modelling</w:t>
      </w:r>
      <w:r w:rsidR="00EF5A73">
        <w:rPr>
          <w:lang w:val="en-GB"/>
        </w:rPr>
        <w:t>,</w:t>
      </w:r>
      <w:r w:rsidRPr="007E28FE">
        <w:rPr>
          <w:lang w:val="en-GB"/>
        </w:rPr>
        <w:t xml:space="preserve"> and simulation in a three-phase fluidized bed reactor</w:t>
      </w:r>
    </w:p>
    <w:p w:rsidR="00E15E85" w:rsidRPr="007E28FE" w:rsidRDefault="00E15E85" w:rsidP="00E15E85">
      <w:pPr>
        <w:pStyle w:val="CETBodytext"/>
        <w:rPr>
          <w:lang w:val="en-GB"/>
        </w:rPr>
      </w:pPr>
      <w:r w:rsidRPr="007E28FE">
        <w:rPr>
          <w:lang w:val="en-GB"/>
        </w:rPr>
        <w:t xml:space="preserve">The modelling of three-phase catalytic processes in a gas-liquid-solid system involves a number of factors that directly and indirectly participate in the reactions, such as: gas-liquid mass transfer, gas-solid and liquid-solid, phase retention </w:t>
      </w:r>
      <w:r>
        <w:rPr>
          <w:lang w:val="en-GB"/>
        </w:rPr>
        <w:t>g</w:t>
      </w:r>
      <w:r w:rsidRPr="007E28FE">
        <w:rPr>
          <w:lang w:val="en-GB"/>
        </w:rPr>
        <w:t>as, dispersion of the gas phase, retention of the liquid phase, dispersion of the liquid phase, diffusive resistances in the solid, internal and external porosity (</w:t>
      </w:r>
      <w:r>
        <w:rPr>
          <w:lang w:val="en-GB"/>
        </w:rPr>
        <w:t>Silva, 2015</w:t>
      </w:r>
      <w:r w:rsidRPr="007E28FE">
        <w:rPr>
          <w:lang w:val="en-GB"/>
        </w:rPr>
        <w:t xml:space="preserve">).  </w:t>
      </w:r>
    </w:p>
    <w:p w:rsidR="00E15E85" w:rsidRPr="007E28FE" w:rsidRDefault="00E15E85" w:rsidP="00E15E85">
      <w:pPr>
        <w:pStyle w:val="CETBodytext"/>
        <w:rPr>
          <w:lang w:val="en-GB"/>
        </w:rPr>
      </w:pPr>
      <w:r w:rsidRPr="007E28FE">
        <w:rPr>
          <w:lang w:val="en-GB"/>
        </w:rPr>
        <w:t xml:space="preserve">The components present in the three-phase reactive system follow a sequence of process steps in the reactor, that is, the gaseous reagent is introduced into the gaseous phase, enters the liquid phase by mass transfer, dissolving in this and, together with the reagent of the Liquid phase, is consumed by the solid phase. </w:t>
      </w:r>
    </w:p>
    <w:p w:rsidR="00E15E85" w:rsidRPr="007E28FE" w:rsidRDefault="00E15E85" w:rsidP="00E15E85">
      <w:pPr>
        <w:pStyle w:val="CETBodytext"/>
        <w:rPr>
          <w:lang w:val="en-GB"/>
        </w:rPr>
      </w:pPr>
      <w:r w:rsidRPr="007E28FE">
        <w:rPr>
          <w:lang w:val="en-GB"/>
        </w:rPr>
        <w:t>The formulation of the model was introduced by a mass balance in a differential element of reactor volume, considering that the gaseous phase is atmospheric air, and that are present in the liquid phase dissolved oxygen, lignin and oxidation reactions products.</w:t>
      </w:r>
    </w:p>
    <w:p w:rsidR="00E15E85" w:rsidRPr="00B57B36" w:rsidRDefault="00E15E85" w:rsidP="00760632">
      <w:pPr>
        <w:pStyle w:val="CETheadingx"/>
      </w:pPr>
      <w:r w:rsidRPr="005C365F">
        <w:t>Model equations and stationary simulation</w:t>
      </w:r>
    </w:p>
    <w:p w:rsidR="00E15E85" w:rsidRDefault="00E15E85" w:rsidP="00E15E85">
      <w:pPr>
        <w:pStyle w:val="CETBodytext"/>
        <w:rPr>
          <w:lang w:val="en-GB"/>
        </w:rPr>
      </w:pPr>
      <w:r w:rsidRPr="007E28FE">
        <w:rPr>
          <w:lang w:val="en-GB"/>
        </w:rPr>
        <w:t>The mass balances of the components, reagent or product, were carried out on a differential element of the fluidized bed that contain palladium catalyst supported in γ-alumina, kept in suspension in the lignin solution where it has bubbling the gas oxygen. To get the equations</w:t>
      </w:r>
      <w:r w:rsidR="00EF5A73">
        <w:rPr>
          <w:lang w:val="en-GB"/>
        </w:rPr>
        <w:t>,</w:t>
      </w:r>
      <w:r w:rsidRPr="007E28FE">
        <w:rPr>
          <w:lang w:val="en-GB"/>
        </w:rPr>
        <w:t xml:space="preserve"> a conceptual basis of the development of the axial dispersion model applied to the three-phase system involved the following considerations:</w:t>
      </w:r>
    </w:p>
    <w:p w:rsidR="00E15E85" w:rsidRPr="007E28FE" w:rsidRDefault="00E15E85" w:rsidP="00E15E85">
      <w:pPr>
        <w:pStyle w:val="CETBodytext"/>
        <w:rPr>
          <w:lang w:val="en-GB"/>
        </w:rPr>
      </w:pPr>
    </w:p>
    <w:p w:rsidR="00E15E85" w:rsidRPr="007E28FE" w:rsidRDefault="00E15E85" w:rsidP="00E15E85">
      <w:pPr>
        <w:pStyle w:val="CETBodytext"/>
        <w:rPr>
          <w:lang w:val="en-GB"/>
        </w:rPr>
      </w:pPr>
      <w:r w:rsidRPr="007E28FE">
        <w:rPr>
          <w:lang w:val="en-GB"/>
        </w:rPr>
        <w:t xml:space="preserve">● </w:t>
      </w:r>
      <w:r w:rsidR="00EF5A73">
        <w:rPr>
          <w:lang w:val="en-GB"/>
        </w:rPr>
        <w:t>The c</w:t>
      </w:r>
      <w:r w:rsidRPr="007E28FE">
        <w:rPr>
          <w:lang w:val="en-GB"/>
        </w:rPr>
        <w:t>oncurrent continuous flow of disperse phase (gas) and continuous phase;</w:t>
      </w:r>
    </w:p>
    <w:p w:rsidR="00E15E85" w:rsidRPr="007E28FE" w:rsidRDefault="00E15E85" w:rsidP="00E15E85">
      <w:pPr>
        <w:pStyle w:val="CETBodytext"/>
        <w:rPr>
          <w:lang w:val="en-GB"/>
        </w:rPr>
      </w:pPr>
      <w:r w:rsidRPr="007E28FE">
        <w:rPr>
          <w:lang w:val="en-GB"/>
        </w:rPr>
        <w:t xml:space="preserve">● The </w:t>
      </w:r>
      <w:r w:rsidR="00EF5A73">
        <w:rPr>
          <w:lang w:val="en-GB"/>
        </w:rPr>
        <w:t>theory of the two films describes the resistance to the transfer of gas-liquid and liquid-solid mas</w:t>
      </w:r>
      <w:r w:rsidRPr="007E28FE">
        <w:rPr>
          <w:lang w:val="en-GB"/>
        </w:rPr>
        <w:t>s;</w:t>
      </w:r>
    </w:p>
    <w:p w:rsidR="00E15E85" w:rsidRPr="007E28FE" w:rsidRDefault="00E15E85" w:rsidP="00E15E85">
      <w:pPr>
        <w:pStyle w:val="CETBodytext"/>
        <w:rPr>
          <w:lang w:val="en-GB"/>
        </w:rPr>
      </w:pPr>
      <w:r w:rsidRPr="007E28FE">
        <w:rPr>
          <w:lang w:val="en-GB"/>
        </w:rPr>
        <w:t xml:space="preserve">● The internal diffusive resistance was considered negligible, estimated through the catalyst's internal effectiveness factor, which in function of the Thiele module was practically unitary, with a view to the reduced dimensions of the particles Catalyst </w:t>
      </w:r>
    </w:p>
    <w:p w:rsidR="00E15E85" w:rsidRPr="007E28FE" w:rsidRDefault="00E15E85" w:rsidP="00E15E85">
      <w:pPr>
        <w:pStyle w:val="CETBodytext"/>
        <w:rPr>
          <w:lang w:val="en-GB"/>
        </w:rPr>
      </w:pPr>
      <w:r w:rsidRPr="007E28FE">
        <w:rPr>
          <w:lang w:val="en-GB"/>
        </w:rPr>
        <w:t>● The reaction on the surface of the catalyst had its intrinsic kinetics described according to the model adopted by Sales (2001);</w:t>
      </w:r>
    </w:p>
    <w:p w:rsidR="00E15E85" w:rsidRPr="007E28FE" w:rsidRDefault="00E15E85" w:rsidP="00E15E85">
      <w:pPr>
        <w:pStyle w:val="CETBodytext"/>
        <w:rPr>
          <w:lang w:val="en-GB"/>
        </w:rPr>
      </w:pPr>
      <w:r w:rsidRPr="007E28FE">
        <w:rPr>
          <w:lang w:val="en-GB"/>
        </w:rPr>
        <w:t>● The transport of mass in the axial direction was by convection and axial dispersion;</w:t>
      </w:r>
    </w:p>
    <w:p w:rsidR="00E15E85" w:rsidRPr="007E28FE" w:rsidRDefault="00E15E85" w:rsidP="00E15E85">
      <w:pPr>
        <w:pStyle w:val="CETBodytext"/>
        <w:rPr>
          <w:lang w:val="en-GB"/>
        </w:rPr>
      </w:pPr>
      <w:r w:rsidRPr="007E28FE">
        <w:rPr>
          <w:lang w:val="en-GB"/>
        </w:rPr>
        <w:t>● The system was considered, without temperature gradients in the catalytic grain, as well as in the reactor;</w:t>
      </w:r>
    </w:p>
    <w:p w:rsidR="00E15E85" w:rsidRDefault="00E15E85" w:rsidP="00E15E85">
      <w:pPr>
        <w:pStyle w:val="CETBodytext"/>
        <w:rPr>
          <w:lang w:val="en-GB"/>
        </w:rPr>
      </w:pPr>
      <w:r w:rsidRPr="007E28FE">
        <w:rPr>
          <w:lang w:val="en-GB"/>
        </w:rPr>
        <w:t xml:space="preserve">● The </w:t>
      </w:r>
      <w:r w:rsidR="00BE75F2">
        <w:rPr>
          <w:lang w:val="en-GB"/>
        </w:rPr>
        <w:t>steam</w:t>
      </w:r>
      <w:r w:rsidRPr="007E28FE">
        <w:rPr>
          <w:lang w:val="en-GB"/>
        </w:rPr>
        <w:t xml:space="preserve"> pressure of the continuous phase was negligible compared to the pressure exerted by the oxidiz</w:t>
      </w:r>
      <w:r w:rsidR="00EF5A73">
        <w:rPr>
          <w:lang w:val="en-GB"/>
        </w:rPr>
        <w:t>ing</w:t>
      </w:r>
      <w:r w:rsidRPr="007E28FE">
        <w:rPr>
          <w:lang w:val="en-GB"/>
        </w:rPr>
        <w:t xml:space="preserve"> agent (atmospheric air).</w:t>
      </w:r>
      <w:r w:rsidRPr="00B57B36">
        <w:rPr>
          <w:lang w:val="en-GB"/>
        </w:rPr>
        <w:t xml:space="preserve"> </w:t>
      </w:r>
    </w:p>
    <w:p w:rsidR="00E15E85" w:rsidRDefault="00E15E85" w:rsidP="00760632">
      <w:pPr>
        <w:pStyle w:val="CETheadingx"/>
      </w:pPr>
      <w:r>
        <w:t>Mass Balance</w:t>
      </w:r>
    </w:p>
    <w:p w:rsidR="00E15E85" w:rsidRPr="00504CCE" w:rsidRDefault="00E15E85" w:rsidP="00E15E85">
      <w:pPr>
        <w:pStyle w:val="CETBodytext"/>
      </w:pPr>
      <w:r>
        <w:t>-</w:t>
      </w:r>
      <w:r w:rsidRPr="00504CCE">
        <w:t xml:space="preserve"> </w:t>
      </w:r>
      <w:r w:rsidR="00EF5A73">
        <w:t>The e</w:t>
      </w:r>
      <w:r w:rsidRPr="00504CCE">
        <w:t xml:space="preserve">quation of </w:t>
      </w:r>
      <w:r>
        <w:t xml:space="preserve">the </w:t>
      </w:r>
      <w:r w:rsidRPr="00504CCE">
        <w:t>oxygen in the gas phase and liquid phase,</w:t>
      </w:r>
    </w:p>
    <w:tbl>
      <w:tblPr>
        <w:tblW w:w="5000" w:type="pct"/>
        <w:tblLook w:val="04A0" w:firstRow="1" w:lastRow="0" w:firstColumn="1" w:lastColumn="0" w:noHBand="0" w:noVBand="1"/>
      </w:tblPr>
      <w:tblGrid>
        <w:gridCol w:w="7998"/>
        <w:gridCol w:w="789"/>
      </w:tblGrid>
      <w:tr w:rsidR="00E15E85" w:rsidRPr="00B57B36" w:rsidTr="00B00A44">
        <w:tc>
          <w:tcPr>
            <w:tcW w:w="8188" w:type="dxa"/>
            <w:shd w:val="clear" w:color="auto" w:fill="auto"/>
            <w:vAlign w:val="center"/>
          </w:tcPr>
          <w:p w:rsidR="00E15E85" w:rsidRPr="00F263FE" w:rsidRDefault="00E15E85" w:rsidP="00B50C2F">
            <w:pPr>
              <w:pStyle w:val="CETEquation"/>
            </w:pPr>
            <w:r w:rsidRPr="00F263FE">
              <w:rPr>
                <w:snapToGrid w:val="0"/>
              </w:rPr>
              <w:object w:dxaOrig="553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95pt;height:31.65pt" o:ole="" fillcolor="window">
                  <v:imagedata r:id="rId10" o:title=""/>
                </v:shape>
                <o:OLEObject Type="Embed" ProgID="Equation.DSMT4" ShapeID="_x0000_i1025" DrawAspect="Content" ObjectID="_1616515159" r:id="rId11"/>
              </w:object>
            </w:r>
          </w:p>
        </w:tc>
        <w:tc>
          <w:tcPr>
            <w:tcW w:w="815" w:type="dxa"/>
            <w:shd w:val="clear" w:color="auto" w:fill="auto"/>
            <w:vAlign w:val="center"/>
          </w:tcPr>
          <w:p w:rsidR="00E15E85" w:rsidRPr="00B57B36" w:rsidRDefault="00E15E85" w:rsidP="00B00A44">
            <w:pPr>
              <w:pStyle w:val="CETEquation"/>
              <w:jc w:val="right"/>
            </w:pPr>
            <w:r w:rsidRPr="00B57B36">
              <w:t>(1)</w:t>
            </w:r>
          </w:p>
        </w:tc>
      </w:tr>
    </w:tbl>
    <w:p w:rsidR="00E15E85" w:rsidRPr="00760632" w:rsidRDefault="00E15E85" w:rsidP="00760632">
      <w:pPr>
        <w:pStyle w:val="CETheadingx"/>
      </w:pPr>
      <w:r w:rsidRPr="00760632">
        <w:t xml:space="preserve">Where, </w:t>
      </w:r>
      <w:r w:rsidR="00401A64" w:rsidRPr="00760632">
        <w:t>“</w:t>
      </w:r>
      <w:r w:rsidRPr="00760632">
        <w:t>j</w:t>
      </w:r>
      <w:r w:rsidR="00401A64" w:rsidRPr="00760632">
        <w:t>”</w:t>
      </w:r>
      <w:r w:rsidRPr="00760632">
        <w:t xml:space="preserve"> is the gas phase or liquid phase, is the porosity of j, </w:t>
      </w:r>
      <w:proofErr w:type="spellStart"/>
      <w:r w:rsidRPr="00760632">
        <w:t>D</w:t>
      </w:r>
      <w:r w:rsidRPr="00760632">
        <w:rPr>
          <w:vertAlign w:val="subscript"/>
        </w:rPr>
        <w:t>ax,j</w:t>
      </w:r>
      <w:proofErr w:type="spellEnd"/>
      <w:r w:rsidRPr="00760632">
        <w:t xml:space="preserve"> is the axial dispersion of j, </w:t>
      </w:r>
      <w:proofErr w:type="spellStart"/>
      <w:r w:rsidRPr="00760632">
        <w:t>Q</w:t>
      </w:r>
      <w:r w:rsidRPr="00760632">
        <w:rPr>
          <w:vertAlign w:val="subscript"/>
        </w:rPr>
        <w:t>j</w:t>
      </w:r>
      <w:proofErr w:type="spellEnd"/>
      <w:r w:rsidRPr="00760632">
        <w:t xml:space="preserve"> is the flow of j, dc is the diameter of catalyst, </w:t>
      </w:r>
      <w:proofErr w:type="spellStart"/>
      <w:r w:rsidRPr="00760632">
        <w:t>k</w:t>
      </w:r>
      <w:r w:rsidRPr="00760632">
        <w:rPr>
          <w:vertAlign w:val="subscript"/>
        </w:rPr>
        <w:t>gl</w:t>
      </w:r>
      <w:proofErr w:type="spellEnd"/>
      <w:r w:rsidRPr="00760632">
        <w:t xml:space="preserve"> is the mass transfer constant, H is the Henry constant and C</w:t>
      </w:r>
      <w:r w:rsidRPr="00760632">
        <w:rPr>
          <w:vertAlign w:val="subscript"/>
        </w:rPr>
        <w:t>j</w:t>
      </w:r>
      <w:r w:rsidRPr="00760632">
        <w:t>,O</w:t>
      </w:r>
      <w:r w:rsidRPr="00760632">
        <w:rPr>
          <w:vertAlign w:val="subscript"/>
        </w:rPr>
        <w:t>2</w:t>
      </w:r>
      <w:r w:rsidRPr="00760632">
        <w:t xml:space="preserve"> is the concentration of oxygen in j.    </w:t>
      </w:r>
    </w:p>
    <w:p w:rsidR="00E15E85" w:rsidRPr="00504CCE" w:rsidRDefault="00E15E85" w:rsidP="00E15E85">
      <w:pPr>
        <w:pStyle w:val="CETBodytext"/>
        <w:spacing w:before="60"/>
      </w:pPr>
      <w:r>
        <w:t>-</w:t>
      </w:r>
      <w:r w:rsidRPr="00504CCE">
        <w:t xml:space="preserve"> </w:t>
      </w:r>
      <w:r w:rsidR="00EF5A73">
        <w:t>The e</w:t>
      </w:r>
      <w:r w:rsidRPr="00504CCE">
        <w:t xml:space="preserve">quation of </w:t>
      </w:r>
      <w:r>
        <w:t>the lignin</w:t>
      </w:r>
      <w:r w:rsidRPr="00504CCE">
        <w:t xml:space="preserve"> in the liquid phase,</w:t>
      </w:r>
    </w:p>
    <w:tbl>
      <w:tblPr>
        <w:tblW w:w="5000" w:type="pct"/>
        <w:tblLook w:val="04A0" w:firstRow="1" w:lastRow="0" w:firstColumn="1" w:lastColumn="0" w:noHBand="0" w:noVBand="1"/>
      </w:tblPr>
      <w:tblGrid>
        <w:gridCol w:w="8013"/>
        <w:gridCol w:w="774"/>
      </w:tblGrid>
      <w:tr w:rsidR="00E15E85" w:rsidRPr="00B57B36" w:rsidTr="00B00A44">
        <w:tc>
          <w:tcPr>
            <w:tcW w:w="8188" w:type="dxa"/>
            <w:shd w:val="clear" w:color="auto" w:fill="auto"/>
            <w:vAlign w:val="center"/>
          </w:tcPr>
          <w:p w:rsidR="00E15E85" w:rsidRPr="00B57B36" w:rsidRDefault="00E15E85" w:rsidP="00B00A44">
            <w:pPr>
              <w:pStyle w:val="CETEquation"/>
            </w:pPr>
            <w:r w:rsidRPr="00DE7A80">
              <w:rPr>
                <w:rFonts w:cs="Arial"/>
                <w:snapToGrid w:val="0"/>
                <w:color w:val="002060"/>
                <w:position w:val="-26"/>
                <w:szCs w:val="18"/>
              </w:rPr>
              <w:object w:dxaOrig="6820" w:dyaOrig="620">
                <v:shape id="_x0000_i1026" type="#_x0000_t75" style="width:318.05pt;height:30.45pt" o:ole="" fillcolor="window">
                  <v:imagedata r:id="rId12" o:title=""/>
                </v:shape>
                <o:OLEObject Type="Embed" ProgID="Equation.DSMT4" ShapeID="_x0000_i1026" DrawAspect="Content" ObjectID="_1616515160" r:id="rId13"/>
              </w:object>
            </w:r>
          </w:p>
        </w:tc>
        <w:tc>
          <w:tcPr>
            <w:tcW w:w="815" w:type="dxa"/>
            <w:shd w:val="clear" w:color="auto" w:fill="auto"/>
            <w:vAlign w:val="center"/>
          </w:tcPr>
          <w:p w:rsidR="00E15E85" w:rsidRPr="00B57B36" w:rsidRDefault="00E15E85" w:rsidP="00B00A44">
            <w:pPr>
              <w:pStyle w:val="CETEquation"/>
              <w:jc w:val="right"/>
            </w:pPr>
            <w:r w:rsidRPr="00B57B36">
              <w:t>(</w:t>
            </w:r>
            <w:r>
              <w:t>2</w:t>
            </w:r>
            <w:r w:rsidRPr="00B57B36">
              <w:t>)</w:t>
            </w:r>
          </w:p>
        </w:tc>
      </w:tr>
    </w:tbl>
    <w:p w:rsidR="00E15E85" w:rsidRDefault="00E15E85" w:rsidP="00E15E85">
      <w:pPr>
        <w:spacing w:after="120"/>
        <w:rPr>
          <w:rFonts w:cs="Arial"/>
          <w:snapToGrid w:val="0"/>
          <w:color w:val="002060"/>
          <w:szCs w:val="18"/>
          <w:highlight w:val="lightGray"/>
        </w:rPr>
      </w:pPr>
      <w:r>
        <w:rPr>
          <w:rFonts w:cs="Arial"/>
          <w:szCs w:val="18"/>
        </w:rPr>
        <w:t xml:space="preserve">Where </w:t>
      </w:r>
      <w:r w:rsidRPr="0081564A">
        <w:rPr>
          <w:rFonts w:cs="Arial"/>
          <w:szCs w:val="18"/>
        </w:rPr>
        <w:t>C</w:t>
      </w:r>
      <w:r>
        <w:rPr>
          <w:rFonts w:cs="Arial"/>
          <w:szCs w:val="18"/>
          <w:vertAlign w:val="subscript"/>
        </w:rPr>
        <w:t>l,</w:t>
      </w:r>
      <w:r w:rsidR="00EF5A73">
        <w:rPr>
          <w:rFonts w:cs="Arial"/>
          <w:szCs w:val="18"/>
          <w:vertAlign w:val="subscript"/>
        </w:rPr>
        <w:t xml:space="preserve"> </w:t>
      </w:r>
      <w:proofErr w:type="spellStart"/>
      <w:r>
        <w:rPr>
          <w:rFonts w:cs="Arial"/>
          <w:szCs w:val="18"/>
          <w:vertAlign w:val="subscript"/>
        </w:rPr>
        <w:t>lig</w:t>
      </w:r>
      <w:proofErr w:type="spellEnd"/>
      <w:r w:rsidRPr="0081564A">
        <w:rPr>
          <w:rFonts w:cs="Arial"/>
          <w:szCs w:val="18"/>
          <w:vertAlign w:val="subscript"/>
        </w:rPr>
        <w:t xml:space="preserve"> </w:t>
      </w:r>
      <w:r w:rsidRPr="0081564A">
        <w:rPr>
          <w:rFonts w:cs="Arial"/>
          <w:szCs w:val="18"/>
        </w:rPr>
        <w:t xml:space="preserve">is the concentration of </w:t>
      </w:r>
      <w:r>
        <w:rPr>
          <w:rFonts w:cs="Arial"/>
          <w:szCs w:val="18"/>
        </w:rPr>
        <w:t>lignin,</w:t>
      </w:r>
      <w:r w:rsidRPr="0081564A">
        <w:rPr>
          <w:rFonts w:cs="Arial"/>
          <w:szCs w:val="18"/>
        </w:rPr>
        <w:t xml:space="preserve"> k</w:t>
      </w:r>
      <w:r w:rsidRPr="00870018">
        <w:rPr>
          <w:rFonts w:cs="Arial"/>
          <w:szCs w:val="18"/>
          <w:vertAlign w:val="subscript"/>
        </w:rPr>
        <w:t>l</w:t>
      </w:r>
      <w:r w:rsidRPr="0081564A">
        <w:rPr>
          <w:rFonts w:cs="Arial"/>
          <w:szCs w:val="18"/>
        </w:rPr>
        <w:t xml:space="preserve"> is </w:t>
      </w:r>
      <w:r>
        <w:rPr>
          <w:rFonts w:cs="Arial"/>
          <w:szCs w:val="18"/>
        </w:rPr>
        <w:t>mass transfer constant</w:t>
      </w:r>
      <w:r w:rsidR="00EF5A73">
        <w:rPr>
          <w:rFonts w:cs="Arial"/>
          <w:szCs w:val="18"/>
        </w:rPr>
        <w:t>,</w:t>
      </w:r>
      <w:r>
        <w:rPr>
          <w:rFonts w:cs="Arial"/>
          <w:szCs w:val="18"/>
        </w:rPr>
        <w:t xml:space="preserve"> and k</w:t>
      </w:r>
      <w:r>
        <w:rPr>
          <w:rFonts w:cs="Arial"/>
          <w:szCs w:val="18"/>
          <w:vertAlign w:val="subscript"/>
        </w:rPr>
        <w:t xml:space="preserve">l </w:t>
      </w:r>
      <w:r>
        <w:rPr>
          <w:rFonts w:cs="Arial"/>
          <w:szCs w:val="18"/>
        </w:rPr>
        <w:t xml:space="preserve">is the reaction rate constant.  </w:t>
      </w:r>
      <w:r w:rsidRPr="00504CCE">
        <w:rPr>
          <w:rFonts w:cs="Arial"/>
          <w:snapToGrid w:val="0"/>
          <w:color w:val="002060"/>
          <w:szCs w:val="18"/>
          <w:highlight w:val="lightGray"/>
        </w:rPr>
        <w:t xml:space="preserve">  </w:t>
      </w:r>
    </w:p>
    <w:p w:rsidR="00E15E85" w:rsidRPr="00504CCE" w:rsidRDefault="00E15E85" w:rsidP="00E15E85">
      <w:pPr>
        <w:spacing w:line="360" w:lineRule="auto"/>
      </w:pPr>
      <w:r>
        <w:lastRenderedPageBreak/>
        <w:t>-</w:t>
      </w:r>
      <w:r w:rsidRPr="00504CCE">
        <w:t xml:space="preserve"> </w:t>
      </w:r>
      <w:r w:rsidR="00EF5A73">
        <w:t>The e</w:t>
      </w:r>
      <w:r w:rsidRPr="00504CCE">
        <w:t xml:space="preserve">quation </w:t>
      </w:r>
      <w:r>
        <w:t xml:space="preserve">of the </w:t>
      </w:r>
      <w:r w:rsidRPr="00504CCE">
        <w:t>aldehyd</w:t>
      </w:r>
      <w:r>
        <w:t>e</w:t>
      </w:r>
      <w:r w:rsidRPr="00504CCE">
        <w:t xml:space="preserve"> </w:t>
      </w:r>
      <w:r w:rsidR="00760632">
        <w:t xml:space="preserve">of </w:t>
      </w:r>
      <w:r w:rsidRPr="00504CCE">
        <w:t>the liquid phase,</w:t>
      </w:r>
    </w:p>
    <w:tbl>
      <w:tblPr>
        <w:tblW w:w="5000" w:type="pct"/>
        <w:tblLook w:val="04A0" w:firstRow="1" w:lastRow="0" w:firstColumn="1" w:lastColumn="0" w:noHBand="0" w:noVBand="1"/>
      </w:tblPr>
      <w:tblGrid>
        <w:gridCol w:w="8020"/>
        <w:gridCol w:w="767"/>
      </w:tblGrid>
      <w:tr w:rsidR="00E15E85" w:rsidRPr="00B57B36" w:rsidTr="00B00A44">
        <w:tc>
          <w:tcPr>
            <w:tcW w:w="8188" w:type="dxa"/>
            <w:shd w:val="clear" w:color="auto" w:fill="auto"/>
            <w:vAlign w:val="center"/>
          </w:tcPr>
          <w:p w:rsidR="00E15E85" w:rsidRPr="00B57B36" w:rsidRDefault="00E15E85" w:rsidP="00B00A44">
            <w:pPr>
              <w:pStyle w:val="CETEquation"/>
            </w:pPr>
            <w:r w:rsidRPr="00DE7A80">
              <w:rPr>
                <w:rFonts w:cs="Arial"/>
                <w:snapToGrid w:val="0"/>
                <w:color w:val="002060"/>
                <w:position w:val="-26"/>
                <w:szCs w:val="18"/>
              </w:rPr>
              <w:object w:dxaOrig="7140" w:dyaOrig="620">
                <v:shape id="_x0000_i1027" type="#_x0000_t75" style="width:332.3pt;height:30.45pt" o:ole="" fillcolor="window">
                  <v:imagedata r:id="rId14" o:title=""/>
                </v:shape>
                <o:OLEObject Type="Embed" ProgID="Equation.DSMT4" ShapeID="_x0000_i1027" DrawAspect="Content" ObjectID="_1616515161" r:id="rId15"/>
              </w:object>
            </w:r>
          </w:p>
        </w:tc>
        <w:tc>
          <w:tcPr>
            <w:tcW w:w="815" w:type="dxa"/>
            <w:shd w:val="clear" w:color="auto" w:fill="auto"/>
            <w:vAlign w:val="center"/>
          </w:tcPr>
          <w:p w:rsidR="00E15E85" w:rsidRPr="00B57B36" w:rsidRDefault="00E15E85" w:rsidP="00B00A44">
            <w:pPr>
              <w:pStyle w:val="CETEquation"/>
              <w:jc w:val="right"/>
            </w:pPr>
            <w:r w:rsidRPr="00B57B36">
              <w:t>(</w:t>
            </w:r>
            <w:r>
              <w:t>3</w:t>
            </w:r>
            <w:r w:rsidRPr="00B57B36">
              <w:t>)</w:t>
            </w:r>
          </w:p>
        </w:tc>
      </w:tr>
    </w:tbl>
    <w:p w:rsidR="00E15E85" w:rsidRDefault="00E15E85" w:rsidP="00E15E85">
      <w:pPr>
        <w:pStyle w:val="CETBodytext"/>
        <w:rPr>
          <w:lang w:val="en-GB"/>
        </w:rPr>
      </w:pPr>
      <w:r w:rsidRPr="00504CCE">
        <w:rPr>
          <w:lang w:val="en-GB"/>
        </w:rPr>
        <w:t xml:space="preserve">Where </w:t>
      </w:r>
      <w:r w:rsidR="00760632">
        <w:rPr>
          <w:lang w:val="en-GB"/>
        </w:rPr>
        <w:t>“</w:t>
      </w:r>
      <w:r w:rsidRPr="00504CCE">
        <w:rPr>
          <w:lang w:val="en-GB"/>
        </w:rPr>
        <w:t>A</w:t>
      </w:r>
      <w:r w:rsidR="00760632">
        <w:rPr>
          <w:lang w:val="en-GB"/>
        </w:rPr>
        <w:t>”</w:t>
      </w:r>
      <w:r w:rsidRPr="00504CCE">
        <w:rPr>
          <w:lang w:val="en-GB"/>
        </w:rPr>
        <w:t xml:space="preserve"> is </w:t>
      </w:r>
      <w:r>
        <w:rPr>
          <w:lang w:val="en-GB"/>
        </w:rPr>
        <w:t xml:space="preserve">the </w:t>
      </w:r>
      <w:r w:rsidRPr="00504CCE">
        <w:rPr>
          <w:lang w:val="en-GB"/>
        </w:rPr>
        <w:t xml:space="preserve">vanillin, </w:t>
      </w:r>
      <w:r w:rsidRPr="00BF2A07">
        <w:rPr>
          <w:lang w:val="en-GB"/>
        </w:rPr>
        <w:t>syringaldehyde</w:t>
      </w:r>
      <w:r w:rsidR="00EF5A73">
        <w:rPr>
          <w:lang w:val="en-GB"/>
        </w:rPr>
        <w:t>,</w:t>
      </w:r>
      <w:r w:rsidRPr="00504CCE">
        <w:rPr>
          <w:lang w:val="en-GB"/>
        </w:rPr>
        <w:t xml:space="preserve"> and ρ-Hydroxybenzaldehyde</w:t>
      </w:r>
      <w:r w:rsidR="00EF5A73">
        <w:rPr>
          <w:lang w:val="en-GB"/>
        </w:rPr>
        <w:t xml:space="preserve">, </w:t>
      </w:r>
      <w:r w:rsidR="00760632">
        <w:rPr>
          <w:lang w:val="en-GB"/>
        </w:rPr>
        <w:t>and</w:t>
      </w:r>
      <w:r w:rsidRPr="00504CCE">
        <w:rPr>
          <w:lang w:val="en-GB"/>
        </w:rPr>
        <w:t xml:space="preserve"> C</w:t>
      </w:r>
      <w:r>
        <w:rPr>
          <w:vertAlign w:val="subscript"/>
          <w:lang w:val="en-GB"/>
        </w:rPr>
        <w:t>A</w:t>
      </w:r>
      <w:r w:rsidRPr="00504CCE">
        <w:rPr>
          <w:lang w:val="en-GB"/>
        </w:rPr>
        <w:t xml:space="preserve"> is the concentration of A.</w:t>
      </w:r>
    </w:p>
    <w:p w:rsidR="00E15E85" w:rsidRPr="00504CCE" w:rsidRDefault="00E15E85" w:rsidP="00E15E85">
      <w:pPr>
        <w:pStyle w:val="CETBodytext"/>
        <w:rPr>
          <w:lang w:val="en-GB"/>
        </w:rPr>
      </w:pPr>
    </w:p>
    <w:p w:rsidR="00E15E85" w:rsidRPr="00504CCE" w:rsidRDefault="00E15E85" w:rsidP="00E15E85">
      <w:pPr>
        <w:pStyle w:val="CETBodytext"/>
      </w:pPr>
      <w:r>
        <w:t>-</w:t>
      </w:r>
      <w:r w:rsidRPr="00504CCE">
        <w:t xml:space="preserve"> </w:t>
      </w:r>
      <w:r>
        <w:t>Boundary conditions</w:t>
      </w:r>
    </w:p>
    <w:tbl>
      <w:tblPr>
        <w:tblW w:w="5000" w:type="pct"/>
        <w:tblLook w:val="04A0" w:firstRow="1" w:lastRow="0" w:firstColumn="1" w:lastColumn="0" w:noHBand="0" w:noVBand="1"/>
      </w:tblPr>
      <w:tblGrid>
        <w:gridCol w:w="7991"/>
        <w:gridCol w:w="796"/>
      </w:tblGrid>
      <w:tr w:rsidR="00E15E85" w:rsidRPr="00B57B36" w:rsidTr="00B00A44">
        <w:tc>
          <w:tcPr>
            <w:tcW w:w="8188" w:type="dxa"/>
            <w:shd w:val="clear" w:color="auto" w:fill="auto"/>
            <w:vAlign w:val="center"/>
          </w:tcPr>
          <w:p w:rsidR="00E15E85" w:rsidRPr="00B57B36" w:rsidRDefault="00E15E85" w:rsidP="00B00A44">
            <w:pPr>
              <w:pStyle w:val="CETEquation"/>
            </w:pPr>
            <w:r w:rsidRPr="00DE7A80">
              <w:rPr>
                <w:rFonts w:cs="Arial"/>
                <w:color w:val="002060"/>
                <w:position w:val="-30"/>
                <w:szCs w:val="18"/>
              </w:rPr>
              <w:object w:dxaOrig="4000" w:dyaOrig="660">
                <v:shape id="_x0000_i1028" type="#_x0000_t75" style="width:205.7pt;height:32.85pt" o:ole="">
                  <v:imagedata r:id="rId16" o:title=""/>
                </v:shape>
                <o:OLEObject Type="Embed" ProgID="Equation.DSMT4" ShapeID="_x0000_i1028" DrawAspect="Content" ObjectID="_1616515162" r:id="rId17"/>
              </w:object>
            </w:r>
          </w:p>
        </w:tc>
        <w:tc>
          <w:tcPr>
            <w:tcW w:w="815" w:type="dxa"/>
            <w:shd w:val="clear" w:color="auto" w:fill="auto"/>
            <w:vAlign w:val="center"/>
          </w:tcPr>
          <w:p w:rsidR="00E15E85" w:rsidRPr="00B57B36" w:rsidRDefault="00E15E85" w:rsidP="00B00A44">
            <w:pPr>
              <w:pStyle w:val="CETEquation"/>
              <w:jc w:val="right"/>
            </w:pPr>
            <w:r w:rsidRPr="00B57B36">
              <w:t>(</w:t>
            </w:r>
            <w:r>
              <w:t>4</w:t>
            </w:r>
            <w:r w:rsidRPr="00B57B36">
              <w:t>)</w:t>
            </w:r>
          </w:p>
        </w:tc>
      </w:tr>
      <w:tr w:rsidR="00E15E85" w:rsidRPr="00B57B36" w:rsidTr="00B00A44">
        <w:tc>
          <w:tcPr>
            <w:tcW w:w="8188" w:type="dxa"/>
            <w:shd w:val="clear" w:color="auto" w:fill="auto"/>
            <w:vAlign w:val="center"/>
          </w:tcPr>
          <w:p w:rsidR="00E15E85" w:rsidRPr="00DE7A80" w:rsidRDefault="00E15E85" w:rsidP="00B00A44">
            <w:pPr>
              <w:pStyle w:val="CETEquation"/>
              <w:rPr>
                <w:rFonts w:cs="Arial"/>
                <w:color w:val="002060"/>
                <w:szCs w:val="18"/>
              </w:rPr>
            </w:pPr>
            <w:r w:rsidRPr="00DE7A80">
              <w:rPr>
                <w:rFonts w:cs="Arial"/>
                <w:color w:val="002060"/>
                <w:position w:val="-30"/>
                <w:szCs w:val="18"/>
              </w:rPr>
              <w:object w:dxaOrig="1380" w:dyaOrig="660">
                <v:shape id="_x0000_i1029" type="#_x0000_t75" style="width:70pt;height:32.85pt" o:ole="">
                  <v:imagedata r:id="rId18" o:title=""/>
                </v:shape>
                <o:OLEObject Type="Embed" ProgID="Equation.DSMT4" ShapeID="_x0000_i1029" DrawAspect="Content" ObjectID="_1616515163" r:id="rId19"/>
              </w:object>
            </w:r>
          </w:p>
        </w:tc>
        <w:tc>
          <w:tcPr>
            <w:tcW w:w="815" w:type="dxa"/>
            <w:shd w:val="clear" w:color="auto" w:fill="auto"/>
            <w:vAlign w:val="center"/>
          </w:tcPr>
          <w:p w:rsidR="00E15E85" w:rsidRPr="00B57B36" w:rsidRDefault="00E15E85" w:rsidP="00B00A44">
            <w:pPr>
              <w:pStyle w:val="CETEquation"/>
              <w:spacing w:before="0" w:after="0"/>
              <w:jc w:val="right"/>
            </w:pPr>
            <w:r>
              <w:t>(5)</w:t>
            </w:r>
          </w:p>
        </w:tc>
      </w:tr>
    </w:tbl>
    <w:p w:rsidR="00E15E85" w:rsidRDefault="00E15E85" w:rsidP="00E15E85">
      <w:pPr>
        <w:pStyle w:val="CETHeading1"/>
      </w:pPr>
      <w:r w:rsidRPr="00504CCE">
        <w:rPr>
          <w:lang w:val="en-GB"/>
        </w:rPr>
        <w:t>Solution Methodology</w:t>
      </w:r>
    </w:p>
    <w:p w:rsidR="00E15E85" w:rsidRPr="00DE7A80" w:rsidRDefault="00E15E85" w:rsidP="00E15E85">
      <w:pPr>
        <w:tabs>
          <w:tab w:val="left" w:pos="0"/>
        </w:tabs>
        <w:rPr>
          <w:rFonts w:cs="Arial"/>
          <w:szCs w:val="18"/>
        </w:rPr>
      </w:pPr>
      <w:r w:rsidRPr="00DE7A80">
        <w:rPr>
          <w:rFonts w:cs="Arial"/>
          <w:szCs w:val="18"/>
          <w:lang w:val="en"/>
        </w:rPr>
        <w:t xml:space="preserve">To solve the proposed equations, the Finite </w:t>
      </w:r>
      <w:r>
        <w:rPr>
          <w:rFonts w:cs="Arial"/>
          <w:szCs w:val="18"/>
          <w:lang w:val="en"/>
        </w:rPr>
        <w:t>D</w:t>
      </w:r>
      <w:r w:rsidRPr="00DE7A80">
        <w:rPr>
          <w:rFonts w:cs="Arial"/>
          <w:szCs w:val="18"/>
          <w:lang w:val="en"/>
        </w:rPr>
        <w:t>ifference</w:t>
      </w:r>
      <w:r>
        <w:rPr>
          <w:rFonts w:cs="Arial"/>
          <w:szCs w:val="18"/>
          <w:lang w:val="en"/>
        </w:rPr>
        <w:t xml:space="preserve"> M</w:t>
      </w:r>
      <w:r w:rsidRPr="00DE7A80">
        <w:rPr>
          <w:rFonts w:cs="Arial"/>
          <w:szCs w:val="18"/>
          <w:lang w:val="en"/>
        </w:rPr>
        <w:t>ethod (</w:t>
      </w:r>
      <w:r>
        <w:rPr>
          <w:rFonts w:cs="Arial"/>
          <w:szCs w:val="18"/>
          <w:lang w:val="en"/>
        </w:rPr>
        <w:t>DFM</w:t>
      </w:r>
      <w:r w:rsidRPr="00DE7A80">
        <w:rPr>
          <w:rFonts w:cs="Arial"/>
          <w:szCs w:val="18"/>
          <w:lang w:val="en"/>
        </w:rPr>
        <w:t xml:space="preserve">) was adopted. </w:t>
      </w:r>
      <w:r w:rsidR="00EF5A73">
        <w:rPr>
          <w:rFonts w:cs="Arial"/>
          <w:szCs w:val="18"/>
          <w:lang w:val="en"/>
        </w:rPr>
        <w:t>DFM</w:t>
      </w:r>
      <w:r w:rsidRPr="00DE7A80">
        <w:rPr>
          <w:rFonts w:cs="Arial"/>
          <w:szCs w:val="18"/>
          <w:lang w:val="en"/>
        </w:rPr>
        <w:t xml:space="preserve"> is a method of solving differential equations that is based on the approximation of derivatives by finite differences. The approximation formula obtains from the Taylor series of the derivative function. The definitions below were used with the respective </w:t>
      </w:r>
      <w:r>
        <w:rPr>
          <w:rFonts w:cs="Arial"/>
          <w:szCs w:val="18"/>
          <w:lang w:val="en"/>
        </w:rPr>
        <w:t>boundary</w:t>
      </w:r>
      <w:r w:rsidRPr="00DE7A80">
        <w:rPr>
          <w:rFonts w:cs="Arial"/>
          <w:szCs w:val="18"/>
          <w:lang w:val="en"/>
        </w:rPr>
        <w:t xml:space="preserve"> conditions of each element</w:t>
      </w:r>
      <w:r w:rsidR="00EF5A73">
        <w:rPr>
          <w:rFonts w:cs="Arial"/>
          <w:szCs w:val="18"/>
          <w:lang w:val="en"/>
        </w:rPr>
        <w:t>,</w:t>
      </w:r>
      <w:r w:rsidRPr="00DE7A80">
        <w:rPr>
          <w:rFonts w:cs="Arial"/>
          <w:szCs w:val="18"/>
          <w:lang w:val="en"/>
        </w:rPr>
        <w:t xml:space="preserve"> and through the method of Runge</w:t>
      </w:r>
      <w:r>
        <w:rPr>
          <w:rFonts w:cs="Arial"/>
          <w:szCs w:val="18"/>
          <w:lang w:val="en"/>
        </w:rPr>
        <w:t>-</w:t>
      </w:r>
      <w:proofErr w:type="spellStart"/>
      <w:r w:rsidRPr="00DE7A80">
        <w:rPr>
          <w:rFonts w:cs="Arial"/>
          <w:szCs w:val="18"/>
          <w:lang w:val="en"/>
        </w:rPr>
        <w:t>Kutta</w:t>
      </w:r>
      <w:proofErr w:type="spellEnd"/>
      <w:r w:rsidRPr="00DE7A80">
        <w:rPr>
          <w:rFonts w:cs="Arial"/>
          <w:szCs w:val="18"/>
          <w:lang w:val="en"/>
        </w:rPr>
        <w:t xml:space="preserve"> 4</w:t>
      </w:r>
      <w:r>
        <w:rPr>
          <w:rFonts w:cs="Arial"/>
          <w:szCs w:val="18"/>
          <w:vertAlign w:val="superscript"/>
          <w:lang w:val="en"/>
        </w:rPr>
        <w:t>th</w:t>
      </w:r>
      <w:r w:rsidRPr="00DE7A80">
        <w:rPr>
          <w:rFonts w:cs="Arial"/>
          <w:szCs w:val="18"/>
          <w:lang w:val="en"/>
        </w:rPr>
        <w:t xml:space="preserve"> order</w:t>
      </w:r>
      <w:r w:rsidR="00EF5A73">
        <w:rPr>
          <w:rFonts w:cs="Arial"/>
          <w:szCs w:val="18"/>
          <w:lang w:val="en"/>
        </w:rPr>
        <w:t>,</w:t>
      </w:r>
      <w:r w:rsidRPr="00DE7A80">
        <w:rPr>
          <w:rFonts w:cs="Arial"/>
          <w:szCs w:val="18"/>
          <w:lang w:val="en"/>
        </w:rPr>
        <w:t xml:space="preserve"> </w:t>
      </w:r>
      <w:r>
        <w:rPr>
          <w:rFonts w:cs="Arial"/>
          <w:szCs w:val="18"/>
          <w:lang w:val="en"/>
        </w:rPr>
        <w:t>i</w:t>
      </w:r>
      <w:r w:rsidRPr="00DE7A80">
        <w:rPr>
          <w:rFonts w:cs="Arial"/>
          <w:szCs w:val="18"/>
          <w:lang w:val="en"/>
        </w:rPr>
        <w:t xml:space="preserve">t was possible to obtain the profiles. </w:t>
      </w:r>
    </w:p>
    <w:tbl>
      <w:tblPr>
        <w:tblW w:w="5000" w:type="pct"/>
        <w:tblLook w:val="04A0" w:firstRow="1" w:lastRow="0" w:firstColumn="1" w:lastColumn="0" w:noHBand="0" w:noVBand="1"/>
      </w:tblPr>
      <w:tblGrid>
        <w:gridCol w:w="7989"/>
        <w:gridCol w:w="798"/>
      </w:tblGrid>
      <w:tr w:rsidR="00E15E85" w:rsidRPr="00B57B36" w:rsidTr="00B00A44">
        <w:tc>
          <w:tcPr>
            <w:tcW w:w="8188" w:type="dxa"/>
            <w:shd w:val="clear" w:color="auto" w:fill="auto"/>
            <w:vAlign w:val="center"/>
          </w:tcPr>
          <w:p w:rsidR="00E15E85" w:rsidRPr="00B57B36" w:rsidRDefault="00E15E85" w:rsidP="00B00A44">
            <w:pPr>
              <w:pStyle w:val="CETEquation"/>
            </w:pPr>
            <w:r w:rsidRPr="00DE7A80">
              <w:rPr>
                <w:rFonts w:cs="Arial"/>
                <w:position w:val="-20"/>
                <w:szCs w:val="18"/>
                <w:lang w:val="pt-BR"/>
              </w:rPr>
              <w:object w:dxaOrig="2700" w:dyaOrig="520">
                <v:shape id="_x0000_i1030" type="#_x0000_t75" style="width:134.9pt;height:26.5pt" o:ole="">
                  <v:imagedata r:id="rId20" o:title=""/>
                </v:shape>
                <o:OLEObject Type="Embed" ProgID="Equation.DSMT4" ShapeID="_x0000_i1030" DrawAspect="Content" ObjectID="_1616515164" r:id="rId21"/>
              </w:object>
            </w:r>
          </w:p>
        </w:tc>
        <w:tc>
          <w:tcPr>
            <w:tcW w:w="815" w:type="dxa"/>
            <w:shd w:val="clear" w:color="auto" w:fill="auto"/>
            <w:vAlign w:val="center"/>
          </w:tcPr>
          <w:p w:rsidR="00E15E85" w:rsidRPr="00B57B36" w:rsidRDefault="00E15E85" w:rsidP="00B00A44">
            <w:pPr>
              <w:pStyle w:val="CETEquation"/>
              <w:jc w:val="right"/>
            </w:pPr>
            <w:r w:rsidRPr="00B57B36">
              <w:t>(</w:t>
            </w:r>
            <w:r>
              <w:t>6</w:t>
            </w:r>
            <w:r w:rsidRPr="00B57B36">
              <w:t>)</w:t>
            </w:r>
          </w:p>
        </w:tc>
      </w:tr>
      <w:tr w:rsidR="00E15E85" w:rsidRPr="00B57B36" w:rsidTr="00B00A44">
        <w:tc>
          <w:tcPr>
            <w:tcW w:w="8188" w:type="dxa"/>
            <w:shd w:val="clear" w:color="auto" w:fill="auto"/>
            <w:vAlign w:val="center"/>
          </w:tcPr>
          <w:p w:rsidR="00E15E85" w:rsidRPr="00DE7A80" w:rsidRDefault="00E15E85" w:rsidP="00B00A44">
            <w:pPr>
              <w:pStyle w:val="CETEquation"/>
              <w:rPr>
                <w:rFonts w:cs="Arial"/>
                <w:color w:val="002060"/>
                <w:szCs w:val="18"/>
              </w:rPr>
            </w:pPr>
            <w:r w:rsidRPr="00DE7A80">
              <w:rPr>
                <w:rFonts w:cs="Arial"/>
                <w:position w:val="-20"/>
                <w:szCs w:val="18"/>
                <w:lang w:val="pt-BR"/>
              </w:rPr>
              <w:object w:dxaOrig="2500" w:dyaOrig="520">
                <v:shape id="_x0000_i1031" type="#_x0000_t75" style="width:125.4pt;height:26.5pt" o:ole="">
                  <v:imagedata r:id="rId22" o:title=""/>
                </v:shape>
                <o:OLEObject Type="Embed" ProgID="Equation.DSMT4" ShapeID="_x0000_i1031" DrawAspect="Content" ObjectID="_1616515165" r:id="rId23"/>
              </w:object>
            </w:r>
          </w:p>
        </w:tc>
        <w:tc>
          <w:tcPr>
            <w:tcW w:w="815" w:type="dxa"/>
            <w:shd w:val="clear" w:color="auto" w:fill="auto"/>
            <w:vAlign w:val="center"/>
          </w:tcPr>
          <w:p w:rsidR="00E15E85" w:rsidRPr="00B57B36" w:rsidRDefault="00E15E85" w:rsidP="00B00A44">
            <w:pPr>
              <w:pStyle w:val="CETEquation"/>
              <w:jc w:val="right"/>
            </w:pPr>
            <w:r>
              <w:t>(7)</w:t>
            </w:r>
          </w:p>
        </w:tc>
      </w:tr>
      <w:tr w:rsidR="00E15E85" w:rsidRPr="00B57B36" w:rsidTr="00B00A44">
        <w:tc>
          <w:tcPr>
            <w:tcW w:w="8188" w:type="dxa"/>
            <w:shd w:val="clear" w:color="auto" w:fill="auto"/>
            <w:vAlign w:val="center"/>
          </w:tcPr>
          <w:p w:rsidR="00E15E85" w:rsidRPr="00504CCE" w:rsidRDefault="00E15E85" w:rsidP="00B00A44">
            <w:pPr>
              <w:pStyle w:val="CETBodytext"/>
              <w:rPr>
                <w:lang w:val="pt-BR"/>
              </w:rPr>
            </w:pPr>
            <w:r w:rsidRPr="00DE7A80">
              <w:rPr>
                <w:rFonts w:cs="Arial"/>
                <w:position w:val="-28"/>
                <w:szCs w:val="18"/>
                <w:lang w:val="pt-BR"/>
              </w:rPr>
              <w:object w:dxaOrig="3640" w:dyaOrig="620">
                <v:shape id="_x0000_i1032" type="#_x0000_t75" style="width:182pt;height:30.85pt" o:ole="">
                  <v:imagedata r:id="rId24" o:title=""/>
                </v:shape>
                <o:OLEObject Type="Embed" ProgID="Equation.DSMT4" ShapeID="_x0000_i1032" DrawAspect="Content" ObjectID="_1616515166" r:id="rId25"/>
              </w:object>
            </w:r>
          </w:p>
        </w:tc>
        <w:tc>
          <w:tcPr>
            <w:tcW w:w="815" w:type="dxa"/>
            <w:shd w:val="clear" w:color="auto" w:fill="auto"/>
            <w:vAlign w:val="center"/>
          </w:tcPr>
          <w:p w:rsidR="00E15E85" w:rsidRPr="00504CCE" w:rsidRDefault="00E15E85" w:rsidP="00B00A44">
            <w:pPr>
              <w:pStyle w:val="CETBodytext"/>
              <w:jc w:val="right"/>
              <w:rPr>
                <w:lang w:val="en-GB"/>
              </w:rPr>
            </w:pPr>
            <w:r>
              <w:rPr>
                <w:lang w:val="en-GB"/>
              </w:rPr>
              <w:t>(8)</w:t>
            </w:r>
          </w:p>
          <w:p w:rsidR="00E15E85" w:rsidRPr="00504CCE" w:rsidRDefault="00E15E85" w:rsidP="00B00A44">
            <w:pPr>
              <w:pStyle w:val="CETBodytext"/>
              <w:rPr>
                <w:lang w:val="en-GB"/>
              </w:rPr>
            </w:pPr>
          </w:p>
        </w:tc>
      </w:tr>
      <w:tr w:rsidR="00E15E85" w:rsidRPr="00B57B36" w:rsidTr="00B00A44">
        <w:tc>
          <w:tcPr>
            <w:tcW w:w="8188" w:type="dxa"/>
            <w:shd w:val="clear" w:color="auto" w:fill="auto"/>
            <w:vAlign w:val="center"/>
          </w:tcPr>
          <w:p w:rsidR="00E15E85" w:rsidRPr="00DE7A80" w:rsidRDefault="00E15E85" w:rsidP="00B00A44">
            <w:pPr>
              <w:pStyle w:val="CETBodytext"/>
              <w:rPr>
                <w:rFonts w:cs="Arial"/>
                <w:szCs w:val="18"/>
                <w:lang w:val="pt-BR"/>
              </w:rPr>
            </w:pPr>
            <w:r w:rsidRPr="00DE7A80">
              <w:rPr>
                <w:rFonts w:cs="Arial"/>
                <w:position w:val="-16"/>
                <w:szCs w:val="18"/>
                <w:lang w:val="pt-BR"/>
              </w:rPr>
              <w:object w:dxaOrig="1219" w:dyaOrig="380">
                <v:shape id="_x0000_i1033" type="#_x0000_t75" style="width:60.9pt;height:19pt" o:ole="">
                  <v:imagedata r:id="rId26" o:title=""/>
                </v:shape>
                <o:OLEObject Type="Embed" ProgID="Equation.DSMT4" ShapeID="_x0000_i1033" DrawAspect="Content" ObjectID="_1616515167" r:id="rId27"/>
              </w:object>
            </w:r>
          </w:p>
        </w:tc>
        <w:tc>
          <w:tcPr>
            <w:tcW w:w="815" w:type="dxa"/>
            <w:shd w:val="clear" w:color="auto" w:fill="auto"/>
            <w:vAlign w:val="center"/>
          </w:tcPr>
          <w:p w:rsidR="00E15E85" w:rsidRPr="00504CCE" w:rsidRDefault="00E15E85" w:rsidP="00B00A44">
            <w:pPr>
              <w:pStyle w:val="CETBodytext"/>
              <w:jc w:val="right"/>
              <w:rPr>
                <w:lang w:val="en-GB"/>
              </w:rPr>
            </w:pPr>
            <w:r>
              <w:rPr>
                <w:lang w:val="en-GB"/>
              </w:rPr>
              <w:t>(9)</w:t>
            </w:r>
          </w:p>
        </w:tc>
      </w:tr>
    </w:tbl>
    <w:p w:rsidR="00E15E85" w:rsidRDefault="00E15E85" w:rsidP="00E15E85">
      <w:pPr>
        <w:pStyle w:val="CETHeading1"/>
      </w:pPr>
      <w:r>
        <w:rPr>
          <w:lang w:val="en-GB"/>
        </w:rPr>
        <w:t>Results and Discussion</w:t>
      </w:r>
    </w:p>
    <w:p w:rsidR="00E15E85" w:rsidRDefault="00E15E85" w:rsidP="00E15E85">
      <w:pPr>
        <w:pStyle w:val="SectionBody"/>
        <w:spacing w:line="264" w:lineRule="auto"/>
        <w:ind w:firstLine="0"/>
        <w:rPr>
          <w:rFonts w:ascii="Arial" w:hAnsi="Arial" w:cs="Arial"/>
          <w:color w:val="000000"/>
          <w:sz w:val="18"/>
          <w:szCs w:val="18"/>
          <w:lang w:val="en"/>
        </w:rPr>
      </w:pPr>
      <w:r w:rsidRPr="00DE7A80">
        <w:rPr>
          <w:rFonts w:ascii="Arial" w:hAnsi="Arial" w:cs="Arial"/>
          <w:color w:val="000000"/>
          <w:sz w:val="18"/>
          <w:szCs w:val="18"/>
          <w:lang w:val="en"/>
        </w:rPr>
        <w:t>The equations of the</w:t>
      </w:r>
      <w:r>
        <w:rPr>
          <w:rFonts w:ascii="Arial" w:hAnsi="Arial" w:cs="Arial"/>
          <w:color w:val="000000"/>
          <w:sz w:val="18"/>
          <w:szCs w:val="18"/>
          <w:lang w:val="en"/>
        </w:rPr>
        <w:t xml:space="preserve"> transformed</w:t>
      </w:r>
      <w:r w:rsidRPr="00DE7A80">
        <w:rPr>
          <w:rFonts w:ascii="Arial" w:hAnsi="Arial" w:cs="Arial"/>
          <w:color w:val="000000"/>
          <w:sz w:val="18"/>
          <w:szCs w:val="18"/>
          <w:lang w:val="en"/>
        </w:rPr>
        <w:t xml:space="preserve"> mass balance are solved numerically with the R</w:t>
      </w:r>
      <w:r>
        <w:rPr>
          <w:rFonts w:ascii="Arial" w:hAnsi="Arial" w:cs="Arial"/>
          <w:color w:val="000000"/>
          <w:sz w:val="18"/>
          <w:szCs w:val="18"/>
          <w:lang w:val="en"/>
        </w:rPr>
        <w:t>unge-</w:t>
      </w:r>
      <w:proofErr w:type="spellStart"/>
      <w:r>
        <w:rPr>
          <w:rFonts w:ascii="Arial" w:hAnsi="Arial" w:cs="Arial"/>
          <w:color w:val="000000"/>
          <w:sz w:val="18"/>
          <w:szCs w:val="18"/>
          <w:lang w:val="en"/>
        </w:rPr>
        <w:t>Kutta</w:t>
      </w:r>
      <w:proofErr w:type="spellEnd"/>
      <w:r w:rsidRPr="00DE7A80">
        <w:rPr>
          <w:rFonts w:ascii="Arial" w:hAnsi="Arial" w:cs="Arial"/>
          <w:color w:val="000000"/>
          <w:sz w:val="18"/>
          <w:szCs w:val="18"/>
          <w:lang w:val="en"/>
        </w:rPr>
        <w:t xml:space="preserve"> method, implemented in Fortran PowerStation 4.0. The proposed model for this study was used to analyze the p</w:t>
      </w:r>
      <w:r>
        <w:rPr>
          <w:rFonts w:ascii="Arial" w:hAnsi="Arial" w:cs="Arial"/>
          <w:color w:val="000000"/>
          <w:sz w:val="18"/>
          <w:szCs w:val="18"/>
          <w:lang w:val="en"/>
        </w:rPr>
        <w:t>r</w:t>
      </w:r>
      <w:r w:rsidRPr="00DE7A80">
        <w:rPr>
          <w:rFonts w:ascii="Arial" w:hAnsi="Arial" w:cs="Arial"/>
          <w:color w:val="000000"/>
          <w:sz w:val="18"/>
          <w:szCs w:val="18"/>
          <w:lang w:val="en"/>
        </w:rPr>
        <w:t xml:space="preserve">ofile of chemical species throughout the reactor. Moreover, </w:t>
      </w:r>
      <w:r>
        <w:rPr>
          <w:rFonts w:ascii="Arial" w:hAnsi="Arial" w:cs="Arial"/>
          <w:color w:val="000000"/>
          <w:sz w:val="18"/>
          <w:szCs w:val="18"/>
          <w:lang w:val="en"/>
        </w:rPr>
        <w:t>table 1</w:t>
      </w:r>
      <w:r w:rsidRPr="00DE7A80">
        <w:rPr>
          <w:rFonts w:ascii="Arial" w:hAnsi="Arial" w:cs="Arial"/>
          <w:color w:val="000000"/>
          <w:sz w:val="18"/>
          <w:szCs w:val="18"/>
          <w:lang w:val="en"/>
        </w:rPr>
        <w:t xml:space="preserve"> contains the parameter of entry for the simulation.</w:t>
      </w:r>
    </w:p>
    <w:p w:rsidR="00E15E85" w:rsidRPr="00B57B36" w:rsidRDefault="00E15E85" w:rsidP="00E15E85">
      <w:pPr>
        <w:pStyle w:val="CETTabletitle"/>
        <w:spacing w:before="120"/>
      </w:pPr>
      <w:r w:rsidRPr="00B57B36">
        <w:t xml:space="preserve">Table 1: </w:t>
      </w:r>
      <w:r>
        <w:t>Parameter of entry for the simulation</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5"/>
        <w:gridCol w:w="1408"/>
        <w:gridCol w:w="1524"/>
        <w:gridCol w:w="1098"/>
        <w:gridCol w:w="1267"/>
        <w:gridCol w:w="2025"/>
      </w:tblGrid>
      <w:tr w:rsidR="00E15E85" w:rsidRPr="00B57B36" w:rsidTr="00B00A44">
        <w:tc>
          <w:tcPr>
            <w:tcW w:w="834" w:type="pct"/>
            <w:tcBorders>
              <w:top w:val="single" w:sz="12" w:space="0" w:color="008000"/>
              <w:bottom w:val="single" w:sz="6" w:space="0" w:color="008000"/>
              <w:right w:val="nil"/>
            </w:tcBorders>
            <w:shd w:val="clear" w:color="auto" w:fill="FFFFFF"/>
          </w:tcPr>
          <w:p w:rsidR="00E15E85" w:rsidRPr="00B57B36" w:rsidRDefault="00E15E85" w:rsidP="00B00A44">
            <w:pPr>
              <w:pStyle w:val="CETBodytext"/>
              <w:rPr>
                <w:lang w:val="en-GB"/>
              </w:rPr>
            </w:pPr>
            <w:r>
              <w:rPr>
                <w:lang w:val="en-GB"/>
              </w:rPr>
              <w:t>Category</w:t>
            </w:r>
            <w:r w:rsidRPr="00B57B36">
              <w:rPr>
                <w:lang w:val="en-GB"/>
              </w:rPr>
              <w:t xml:space="preserve"> </w:t>
            </w:r>
          </w:p>
        </w:tc>
        <w:tc>
          <w:tcPr>
            <w:tcW w:w="801" w:type="pct"/>
            <w:tcBorders>
              <w:top w:val="single" w:sz="12" w:space="0" w:color="008000"/>
              <w:left w:val="nil"/>
              <w:bottom w:val="single" w:sz="6" w:space="0" w:color="008000"/>
              <w:right w:val="nil"/>
            </w:tcBorders>
            <w:shd w:val="clear" w:color="auto" w:fill="FFFFFF"/>
          </w:tcPr>
          <w:p w:rsidR="00E15E85" w:rsidRPr="00B57B36" w:rsidRDefault="00E15E85" w:rsidP="00B00A44">
            <w:pPr>
              <w:pStyle w:val="CETBodytext"/>
              <w:rPr>
                <w:lang w:val="en-GB"/>
              </w:rPr>
            </w:pPr>
            <w:r>
              <w:rPr>
                <w:lang w:val="en-GB"/>
              </w:rPr>
              <w:t>Symbol / Unit</w:t>
            </w:r>
          </w:p>
        </w:tc>
        <w:tc>
          <w:tcPr>
            <w:tcW w:w="867" w:type="pct"/>
            <w:tcBorders>
              <w:top w:val="single" w:sz="12" w:space="0" w:color="008000"/>
              <w:left w:val="nil"/>
              <w:bottom w:val="single" w:sz="6" w:space="0" w:color="008000"/>
              <w:right w:val="nil"/>
            </w:tcBorders>
            <w:shd w:val="clear" w:color="auto" w:fill="FFFFFF"/>
          </w:tcPr>
          <w:p w:rsidR="00E15E85" w:rsidRPr="00B57B36" w:rsidRDefault="00E15E85" w:rsidP="00B00A44">
            <w:pPr>
              <w:pStyle w:val="CETBodytext"/>
              <w:rPr>
                <w:lang w:val="en-GB"/>
              </w:rPr>
            </w:pPr>
            <w:r>
              <w:rPr>
                <w:lang w:val="en-GB"/>
              </w:rPr>
              <w:t>Numerical Value</w:t>
            </w:r>
          </w:p>
        </w:tc>
        <w:tc>
          <w:tcPr>
            <w:tcW w:w="625" w:type="pct"/>
            <w:tcBorders>
              <w:top w:val="single" w:sz="12" w:space="0" w:color="008000"/>
              <w:left w:val="nil"/>
              <w:bottom w:val="single" w:sz="6" w:space="0" w:color="008000"/>
              <w:right w:val="nil"/>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Category</w:t>
            </w:r>
          </w:p>
        </w:tc>
        <w:tc>
          <w:tcPr>
            <w:tcW w:w="721" w:type="pct"/>
            <w:tcBorders>
              <w:top w:val="single" w:sz="12" w:space="0" w:color="008000"/>
              <w:left w:val="nil"/>
              <w:bottom w:val="single" w:sz="6" w:space="0" w:color="008000"/>
              <w:right w:val="nil"/>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Symbol/Unit</w:t>
            </w:r>
          </w:p>
        </w:tc>
        <w:tc>
          <w:tcPr>
            <w:tcW w:w="1152" w:type="pct"/>
            <w:tcBorders>
              <w:top w:val="single" w:sz="12" w:space="0" w:color="008000"/>
              <w:left w:val="nil"/>
              <w:bottom w:val="single" w:sz="6" w:space="0" w:color="008000"/>
              <w:right w:val="nil"/>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Numerical Value</w:t>
            </w:r>
          </w:p>
        </w:tc>
      </w:tr>
      <w:tr w:rsidR="00E15E85" w:rsidRPr="00B57B36" w:rsidTr="00B00A44">
        <w:tc>
          <w:tcPr>
            <w:tcW w:w="834" w:type="pct"/>
            <w:vMerge w:val="restart"/>
            <w:tcBorders>
              <w:top w:val="single" w:sz="6" w:space="0" w:color="008000"/>
              <w:bottom w:val="nil"/>
            </w:tcBorders>
            <w:shd w:val="clear" w:color="auto" w:fill="FFFFFF"/>
          </w:tcPr>
          <w:p w:rsidR="00E15E85" w:rsidRPr="00B57B36" w:rsidRDefault="00E15E85" w:rsidP="00B00A44">
            <w:pPr>
              <w:pStyle w:val="CETBodytext"/>
              <w:rPr>
                <w:lang w:val="en-GB"/>
              </w:rPr>
            </w:pPr>
            <w:r>
              <w:rPr>
                <w:lang w:val="en-GB"/>
              </w:rPr>
              <w:t>Operating Conditions</w:t>
            </w:r>
          </w:p>
        </w:tc>
        <w:tc>
          <w:tcPr>
            <w:tcW w:w="801" w:type="pct"/>
            <w:tcBorders>
              <w:top w:val="single" w:sz="6" w:space="0" w:color="008000"/>
              <w:bottom w:val="nil"/>
            </w:tcBorders>
            <w:shd w:val="clear" w:color="auto" w:fill="FFFFFF"/>
          </w:tcPr>
          <w:p w:rsidR="00E15E85" w:rsidRPr="00DE57AE" w:rsidRDefault="00E15E85" w:rsidP="00B00A44">
            <w:pPr>
              <w:pStyle w:val="CETBodytext"/>
              <w:rPr>
                <w:lang w:val="en-GB"/>
              </w:rPr>
            </w:pPr>
            <w:r>
              <w:rPr>
                <w:lang w:val="en-GB"/>
              </w:rPr>
              <w:t>d</w:t>
            </w:r>
            <w:r>
              <w:rPr>
                <w:vertAlign w:val="subscript"/>
                <w:lang w:val="en-GB"/>
              </w:rPr>
              <w:t xml:space="preserve">c </w:t>
            </w:r>
            <w:r>
              <w:rPr>
                <w:lang w:val="en-GB"/>
              </w:rPr>
              <w:t>(m)</w:t>
            </w:r>
          </w:p>
        </w:tc>
        <w:tc>
          <w:tcPr>
            <w:tcW w:w="867" w:type="pct"/>
            <w:tcBorders>
              <w:top w:val="single" w:sz="6" w:space="0" w:color="008000"/>
              <w:bottom w:val="nil"/>
              <w:right w:val="nil"/>
            </w:tcBorders>
            <w:shd w:val="clear" w:color="auto" w:fill="FFFFFF"/>
          </w:tcPr>
          <w:p w:rsidR="00E15E85" w:rsidRPr="00B57B36" w:rsidRDefault="00E15E85" w:rsidP="00B00A44">
            <w:pPr>
              <w:pStyle w:val="CETBodytext"/>
              <w:rPr>
                <w:lang w:val="en-GB"/>
              </w:rPr>
            </w:pPr>
            <w:r>
              <w:rPr>
                <w:lang w:val="en-GB"/>
              </w:rPr>
              <w:t>0.05</w:t>
            </w:r>
          </w:p>
        </w:tc>
        <w:tc>
          <w:tcPr>
            <w:tcW w:w="625" w:type="pct"/>
            <w:vMerge w:val="restart"/>
            <w:tcBorders>
              <w:top w:val="single" w:sz="6" w:space="0" w:color="008000"/>
              <w:left w:val="nil"/>
              <w:bottom w:val="single" w:sz="6" w:space="0" w:color="008000"/>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Gas Phase</w:t>
            </w:r>
          </w:p>
        </w:tc>
        <w:tc>
          <w:tcPr>
            <w:tcW w:w="721" w:type="pct"/>
            <w:tcBorders>
              <w:top w:val="single" w:sz="6" w:space="0" w:color="008000"/>
              <w:bottom w:val="nil"/>
            </w:tcBorders>
            <w:shd w:val="clear" w:color="auto" w:fill="FFFFFF"/>
          </w:tcPr>
          <w:p w:rsidR="00E15E85" w:rsidRPr="00B57B36" w:rsidRDefault="00E15E85" w:rsidP="00B00A44">
            <w:pPr>
              <w:pStyle w:val="CETBodytext"/>
              <w:ind w:right="-1"/>
              <w:rPr>
                <w:rFonts w:cs="Arial"/>
                <w:szCs w:val="18"/>
                <w:lang w:val="en-GB"/>
              </w:rPr>
            </w:pPr>
            <w:r w:rsidRPr="00DE7A80">
              <w:rPr>
                <w:rFonts w:cs="Arial"/>
                <w:szCs w:val="18"/>
              </w:rPr>
              <w:sym w:font="Symbol" w:char="F065"/>
            </w:r>
            <w:r w:rsidRPr="00DE7A80">
              <w:rPr>
                <w:rFonts w:cs="Arial"/>
                <w:szCs w:val="18"/>
                <w:vertAlign w:val="subscript"/>
              </w:rPr>
              <w:t xml:space="preserve">g </w:t>
            </w:r>
            <w:r w:rsidRPr="00DE7A80">
              <w:rPr>
                <w:rFonts w:cs="Arial"/>
                <w:szCs w:val="18"/>
              </w:rPr>
              <w:t>(-)</w:t>
            </w:r>
          </w:p>
        </w:tc>
        <w:tc>
          <w:tcPr>
            <w:tcW w:w="1152" w:type="pct"/>
            <w:tcBorders>
              <w:top w:val="single" w:sz="6" w:space="0" w:color="008000"/>
              <w:bottom w:val="nil"/>
            </w:tcBorders>
            <w:shd w:val="clear" w:color="auto" w:fill="FFFFFF"/>
          </w:tcPr>
          <w:p w:rsidR="00E15E85" w:rsidRPr="00B57B36" w:rsidRDefault="00E15E85" w:rsidP="00B00A44">
            <w:pPr>
              <w:pStyle w:val="CETBodytext"/>
              <w:ind w:right="-1"/>
              <w:rPr>
                <w:rFonts w:cs="Arial"/>
                <w:szCs w:val="18"/>
                <w:lang w:val="en-GB"/>
              </w:rPr>
            </w:pPr>
            <w:r w:rsidRPr="00DE7A80">
              <w:rPr>
                <w:rFonts w:cs="Arial"/>
                <w:szCs w:val="18"/>
              </w:rPr>
              <w:t>0</w:t>
            </w:r>
            <w:r w:rsidR="00760632">
              <w:rPr>
                <w:rFonts w:cs="Arial"/>
                <w:szCs w:val="18"/>
              </w:rPr>
              <w:t>.</w:t>
            </w:r>
            <w:r w:rsidRPr="00DE7A80">
              <w:rPr>
                <w:rFonts w:cs="Arial"/>
                <w:szCs w:val="18"/>
              </w:rPr>
              <w:t>57</w:t>
            </w:r>
          </w:p>
        </w:tc>
      </w:tr>
      <w:tr w:rsidR="00E15E85" w:rsidRPr="00B57B36" w:rsidTr="00B00A44">
        <w:tc>
          <w:tcPr>
            <w:tcW w:w="834" w:type="pct"/>
            <w:vMerge/>
            <w:tcBorders>
              <w:top w:val="nil"/>
              <w:bottom w:val="single" w:sz="6" w:space="0" w:color="008000"/>
            </w:tcBorders>
            <w:shd w:val="clear" w:color="auto" w:fill="FFFFFF"/>
          </w:tcPr>
          <w:p w:rsidR="00E15E85" w:rsidRPr="00B57B36" w:rsidRDefault="00E15E85" w:rsidP="00B00A44">
            <w:pPr>
              <w:pStyle w:val="CETBodytext"/>
              <w:ind w:right="-1"/>
              <w:rPr>
                <w:rFonts w:cs="Arial"/>
                <w:szCs w:val="18"/>
                <w:lang w:val="en-GB"/>
              </w:rPr>
            </w:pPr>
          </w:p>
        </w:tc>
        <w:tc>
          <w:tcPr>
            <w:tcW w:w="801" w:type="pct"/>
            <w:tcBorders>
              <w:top w:val="nil"/>
              <w:bottom w:val="single" w:sz="6" w:space="0" w:color="008000"/>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L (m)</w:t>
            </w:r>
          </w:p>
        </w:tc>
        <w:tc>
          <w:tcPr>
            <w:tcW w:w="867" w:type="pct"/>
            <w:tcBorders>
              <w:top w:val="nil"/>
              <w:bottom w:val="single" w:sz="6" w:space="0" w:color="008000"/>
              <w:right w:val="nil"/>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1.0</w:t>
            </w:r>
          </w:p>
        </w:tc>
        <w:tc>
          <w:tcPr>
            <w:tcW w:w="625" w:type="pct"/>
            <w:vMerge/>
            <w:tcBorders>
              <w:top w:val="nil"/>
              <w:left w:val="nil"/>
              <w:bottom w:val="single" w:sz="6" w:space="0" w:color="008000"/>
            </w:tcBorders>
            <w:shd w:val="clear" w:color="auto" w:fill="FFFFFF"/>
          </w:tcPr>
          <w:p w:rsidR="00E15E85" w:rsidRPr="00B57B36" w:rsidRDefault="00E15E85" w:rsidP="00B00A44">
            <w:pPr>
              <w:pStyle w:val="CETBodytext"/>
              <w:ind w:right="-1"/>
              <w:rPr>
                <w:rFonts w:cs="Arial"/>
                <w:szCs w:val="18"/>
                <w:lang w:val="en-GB"/>
              </w:rPr>
            </w:pPr>
          </w:p>
        </w:tc>
        <w:tc>
          <w:tcPr>
            <w:tcW w:w="721" w:type="pct"/>
            <w:tcBorders>
              <w:top w:val="nil"/>
              <w:bottom w:val="single" w:sz="6" w:space="0" w:color="008000"/>
            </w:tcBorders>
            <w:shd w:val="clear" w:color="auto" w:fill="FFFFFF"/>
          </w:tcPr>
          <w:p w:rsidR="00E15E85" w:rsidRPr="00B57B36" w:rsidRDefault="00E15E85" w:rsidP="00B00A44">
            <w:pPr>
              <w:pStyle w:val="CETBodytext"/>
              <w:ind w:right="-1"/>
              <w:rPr>
                <w:rFonts w:cs="Arial"/>
                <w:szCs w:val="18"/>
                <w:lang w:val="en-GB"/>
              </w:rPr>
            </w:pPr>
            <w:proofErr w:type="spellStart"/>
            <w:r w:rsidRPr="00DE57AE">
              <w:rPr>
                <w:rFonts w:cs="Arial"/>
                <w:szCs w:val="18"/>
                <w:lang w:val="en-GB"/>
              </w:rPr>
              <w:t>D</w:t>
            </w:r>
            <w:r w:rsidRPr="00DE57AE">
              <w:rPr>
                <w:rFonts w:cs="Arial"/>
                <w:szCs w:val="18"/>
                <w:vertAlign w:val="subscript"/>
                <w:lang w:val="en-GB"/>
              </w:rPr>
              <w:t>axl</w:t>
            </w:r>
            <w:proofErr w:type="spellEnd"/>
            <w:r w:rsidRPr="00DE57AE">
              <w:rPr>
                <w:rFonts w:cs="Arial"/>
                <w:szCs w:val="18"/>
                <w:lang w:val="en-GB"/>
              </w:rPr>
              <w:t xml:space="preserve"> (m²/s)</w:t>
            </w:r>
          </w:p>
        </w:tc>
        <w:tc>
          <w:tcPr>
            <w:tcW w:w="1152" w:type="pct"/>
            <w:tcBorders>
              <w:top w:val="nil"/>
              <w:bottom w:val="single" w:sz="6" w:space="0" w:color="008000"/>
            </w:tcBorders>
            <w:shd w:val="clear" w:color="auto" w:fill="FFFFFF"/>
          </w:tcPr>
          <w:p w:rsidR="00E15E85" w:rsidRPr="00B57B36" w:rsidRDefault="00E15E85" w:rsidP="00B00A44">
            <w:pPr>
              <w:pStyle w:val="CETBodytext"/>
              <w:ind w:right="-1"/>
              <w:rPr>
                <w:rFonts w:cs="Arial"/>
                <w:szCs w:val="18"/>
                <w:lang w:val="en-GB"/>
              </w:rPr>
            </w:pPr>
            <w:r w:rsidRPr="00DE7A80">
              <w:rPr>
                <w:rFonts w:cs="Arial"/>
                <w:szCs w:val="18"/>
              </w:rPr>
              <w:t>5</w:t>
            </w:r>
            <w:r w:rsidR="00760632">
              <w:rPr>
                <w:rFonts w:cs="Arial"/>
                <w:szCs w:val="18"/>
              </w:rPr>
              <w:t>.</w:t>
            </w:r>
            <w:r w:rsidRPr="00DE7A80">
              <w:rPr>
                <w:rFonts w:cs="Arial"/>
                <w:szCs w:val="18"/>
              </w:rPr>
              <w:t>316x10</w:t>
            </w:r>
            <w:r w:rsidRPr="00DE7A80">
              <w:rPr>
                <w:rFonts w:cs="Arial"/>
                <w:szCs w:val="18"/>
                <w:vertAlign w:val="superscript"/>
              </w:rPr>
              <w:t xml:space="preserve">-6 </w:t>
            </w:r>
            <w:r w:rsidR="00760632">
              <w:rPr>
                <w:rFonts w:cs="Arial"/>
                <w:b/>
                <w:szCs w:val="18"/>
              </w:rPr>
              <w:t>–</w:t>
            </w:r>
            <w:r w:rsidRPr="00DE7A80">
              <w:rPr>
                <w:rFonts w:cs="Arial"/>
                <w:szCs w:val="18"/>
              </w:rPr>
              <w:t xml:space="preserve"> 7</w:t>
            </w:r>
            <w:r w:rsidR="00760632">
              <w:rPr>
                <w:rFonts w:cs="Arial"/>
                <w:szCs w:val="18"/>
              </w:rPr>
              <w:t>.</w:t>
            </w:r>
            <w:r w:rsidRPr="00DE7A80">
              <w:rPr>
                <w:rFonts w:cs="Arial"/>
                <w:szCs w:val="18"/>
              </w:rPr>
              <w:t>294x10</w:t>
            </w:r>
            <w:r w:rsidRPr="00DE7A80">
              <w:rPr>
                <w:rFonts w:cs="Arial"/>
                <w:szCs w:val="18"/>
                <w:vertAlign w:val="superscript"/>
              </w:rPr>
              <w:t>-6</w:t>
            </w:r>
          </w:p>
        </w:tc>
      </w:tr>
      <w:tr w:rsidR="00E15E85" w:rsidRPr="00B57B36" w:rsidTr="00B00A44">
        <w:tc>
          <w:tcPr>
            <w:tcW w:w="834" w:type="pct"/>
            <w:vMerge w:val="restart"/>
            <w:tcBorders>
              <w:top w:val="single" w:sz="6" w:space="0" w:color="008000"/>
              <w:bottom w:val="nil"/>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Initial</w:t>
            </w:r>
          </w:p>
          <w:p w:rsidR="00E15E85" w:rsidRPr="00B57B36" w:rsidRDefault="00E15E85" w:rsidP="00B00A44">
            <w:pPr>
              <w:pStyle w:val="CETBodytext"/>
              <w:ind w:right="-1"/>
              <w:rPr>
                <w:rFonts w:cs="Arial"/>
                <w:szCs w:val="18"/>
                <w:lang w:val="en-GB"/>
              </w:rPr>
            </w:pPr>
            <w:r>
              <w:rPr>
                <w:rFonts w:cs="Arial"/>
                <w:szCs w:val="18"/>
                <w:lang w:val="en-GB"/>
              </w:rPr>
              <w:t>Concentration</w:t>
            </w:r>
          </w:p>
        </w:tc>
        <w:tc>
          <w:tcPr>
            <w:tcW w:w="801" w:type="pct"/>
            <w:tcBorders>
              <w:top w:val="single" w:sz="6" w:space="0" w:color="008000"/>
              <w:bottom w:val="nil"/>
            </w:tcBorders>
            <w:shd w:val="clear" w:color="auto" w:fill="FFFFFF"/>
          </w:tcPr>
          <w:p w:rsidR="00E15E85" w:rsidRPr="00B57B36" w:rsidRDefault="00E15E85" w:rsidP="00B00A44">
            <w:pPr>
              <w:pStyle w:val="CETBodytext"/>
              <w:ind w:right="-1"/>
              <w:rPr>
                <w:rFonts w:cs="Arial"/>
                <w:szCs w:val="18"/>
                <w:lang w:val="en-GB"/>
              </w:rPr>
            </w:pPr>
            <w:r w:rsidRPr="00DE7A80">
              <w:rPr>
                <w:rFonts w:cs="Arial"/>
                <w:szCs w:val="18"/>
              </w:rPr>
              <w:t>C</w:t>
            </w:r>
            <w:r w:rsidRPr="00DE7A80">
              <w:rPr>
                <w:rFonts w:cs="Arial"/>
                <w:szCs w:val="18"/>
                <w:vertAlign w:val="superscript"/>
              </w:rPr>
              <w:t>0</w:t>
            </w:r>
            <w:r w:rsidRPr="00DE7A80">
              <w:rPr>
                <w:rFonts w:cs="Arial"/>
                <w:szCs w:val="18"/>
                <w:vertAlign w:val="subscript"/>
              </w:rPr>
              <w:t>O</w:t>
            </w:r>
            <w:proofErr w:type="gramStart"/>
            <w:r w:rsidRPr="00DE7A80">
              <w:rPr>
                <w:rFonts w:cs="Arial"/>
                <w:szCs w:val="18"/>
                <w:vertAlign w:val="subscript"/>
              </w:rPr>
              <w:t xml:space="preserve">2  </w:t>
            </w:r>
            <w:r w:rsidRPr="00DE7A80">
              <w:rPr>
                <w:rFonts w:cs="Arial"/>
                <w:szCs w:val="18"/>
              </w:rPr>
              <w:t>(</w:t>
            </w:r>
            <w:proofErr w:type="gramEnd"/>
            <w:r w:rsidRPr="00DE7A80">
              <w:rPr>
                <w:rFonts w:cs="Arial"/>
                <w:szCs w:val="18"/>
              </w:rPr>
              <w:t>mmol/L)</w:t>
            </w:r>
          </w:p>
        </w:tc>
        <w:tc>
          <w:tcPr>
            <w:tcW w:w="867" w:type="pct"/>
            <w:tcBorders>
              <w:top w:val="single" w:sz="6" w:space="0" w:color="008000"/>
              <w:bottom w:val="nil"/>
              <w:right w:val="nil"/>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0.21</w:t>
            </w:r>
          </w:p>
        </w:tc>
        <w:tc>
          <w:tcPr>
            <w:tcW w:w="625" w:type="pct"/>
            <w:vMerge w:val="restart"/>
            <w:tcBorders>
              <w:top w:val="single" w:sz="6" w:space="0" w:color="008000"/>
              <w:left w:val="nil"/>
              <w:bottom w:val="single" w:sz="6" w:space="0" w:color="008000"/>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 xml:space="preserve">Liquid </w:t>
            </w:r>
          </w:p>
          <w:p w:rsidR="00E15E85" w:rsidRPr="00B57B36" w:rsidRDefault="00E15E85" w:rsidP="00B00A44">
            <w:pPr>
              <w:pStyle w:val="CETBodytext"/>
              <w:ind w:right="-1"/>
              <w:rPr>
                <w:rFonts w:cs="Arial"/>
                <w:szCs w:val="18"/>
                <w:lang w:val="en-GB"/>
              </w:rPr>
            </w:pPr>
            <w:r>
              <w:rPr>
                <w:rFonts w:cs="Arial"/>
                <w:szCs w:val="18"/>
                <w:lang w:val="en-GB"/>
              </w:rPr>
              <w:t>Phase</w:t>
            </w:r>
          </w:p>
        </w:tc>
        <w:tc>
          <w:tcPr>
            <w:tcW w:w="721" w:type="pct"/>
            <w:tcBorders>
              <w:top w:val="single" w:sz="6" w:space="0" w:color="008000"/>
              <w:bottom w:val="nil"/>
            </w:tcBorders>
            <w:shd w:val="clear" w:color="auto" w:fill="FFFFFF"/>
          </w:tcPr>
          <w:p w:rsidR="00E15E85" w:rsidRPr="00DE7A80" w:rsidRDefault="00E15E85" w:rsidP="00B00A44">
            <w:pPr>
              <w:autoSpaceDE w:val="0"/>
              <w:autoSpaceDN w:val="0"/>
              <w:adjustRightInd w:val="0"/>
              <w:spacing w:line="360" w:lineRule="auto"/>
              <w:rPr>
                <w:rFonts w:cs="Arial"/>
                <w:szCs w:val="18"/>
              </w:rPr>
            </w:pPr>
            <w:r w:rsidRPr="00DE7A80">
              <w:rPr>
                <w:rFonts w:cs="Arial"/>
                <w:szCs w:val="18"/>
              </w:rPr>
              <w:sym w:font="Symbol" w:char="F065"/>
            </w:r>
            <w:r w:rsidRPr="00DE7A80">
              <w:rPr>
                <w:rFonts w:cs="Arial"/>
                <w:szCs w:val="18"/>
                <w:vertAlign w:val="subscript"/>
              </w:rPr>
              <w:t>L</w:t>
            </w:r>
            <w:r w:rsidRPr="00DE7A80">
              <w:rPr>
                <w:rFonts w:cs="Arial"/>
                <w:szCs w:val="18"/>
              </w:rPr>
              <w:t xml:space="preserve"> (-)</w:t>
            </w:r>
          </w:p>
        </w:tc>
        <w:tc>
          <w:tcPr>
            <w:tcW w:w="1152" w:type="pct"/>
            <w:tcBorders>
              <w:top w:val="single" w:sz="6" w:space="0" w:color="008000"/>
              <w:bottom w:val="nil"/>
            </w:tcBorders>
            <w:shd w:val="clear" w:color="auto" w:fill="FFFFFF"/>
          </w:tcPr>
          <w:p w:rsidR="00E15E85" w:rsidRPr="00DE7A80" w:rsidRDefault="00E15E85" w:rsidP="00B00A44">
            <w:pPr>
              <w:autoSpaceDE w:val="0"/>
              <w:autoSpaceDN w:val="0"/>
              <w:adjustRightInd w:val="0"/>
              <w:spacing w:line="360" w:lineRule="auto"/>
              <w:rPr>
                <w:rFonts w:cs="Arial"/>
                <w:szCs w:val="18"/>
              </w:rPr>
            </w:pPr>
            <w:r w:rsidRPr="00DE7A80">
              <w:rPr>
                <w:rFonts w:cs="Arial"/>
                <w:szCs w:val="18"/>
              </w:rPr>
              <w:t>0</w:t>
            </w:r>
            <w:r w:rsidR="00760632">
              <w:rPr>
                <w:rFonts w:cs="Arial"/>
                <w:szCs w:val="18"/>
              </w:rPr>
              <w:t>.</w:t>
            </w:r>
            <w:r w:rsidRPr="00DE7A80">
              <w:rPr>
                <w:rFonts w:cs="Arial"/>
                <w:szCs w:val="18"/>
              </w:rPr>
              <w:t>49</w:t>
            </w:r>
          </w:p>
        </w:tc>
      </w:tr>
      <w:tr w:rsidR="00E15E85" w:rsidRPr="00B57B36" w:rsidTr="00B00A44">
        <w:tc>
          <w:tcPr>
            <w:tcW w:w="834" w:type="pct"/>
            <w:vMerge/>
            <w:tcBorders>
              <w:top w:val="nil"/>
              <w:bottom w:val="nil"/>
            </w:tcBorders>
            <w:shd w:val="clear" w:color="auto" w:fill="FFFFFF"/>
          </w:tcPr>
          <w:p w:rsidR="00E15E85" w:rsidRPr="00B57B36" w:rsidRDefault="00E15E85" w:rsidP="00B00A44">
            <w:pPr>
              <w:pStyle w:val="CETBodytext"/>
              <w:ind w:right="-1"/>
              <w:rPr>
                <w:rFonts w:cs="Arial"/>
                <w:szCs w:val="18"/>
                <w:lang w:val="en-GB"/>
              </w:rPr>
            </w:pPr>
          </w:p>
        </w:tc>
        <w:tc>
          <w:tcPr>
            <w:tcW w:w="801" w:type="pct"/>
            <w:tcBorders>
              <w:top w:val="nil"/>
              <w:bottom w:val="nil"/>
            </w:tcBorders>
            <w:shd w:val="clear" w:color="auto" w:fill="FFFFFF"/>
          </w:tcPr>
          <w:p w:rsidR="00E15E85" w:rsidRPr="00B57B36" w:rsidRDefault="00E15E85" w:rsidP="00B00A44">
            <w:pPr>
              <w:pStyle w:val="CETBodytext"/>
              <w:ind w:right="-1"/>
              <w:rPr>
                <w:rFonts w:cs="Arial"/>
                <w:szCs w:val="18"/>
                <w:lang w:val="en-GB"/>
              </w:rPr>
            </w:pPr>
            <w:r w:rsidRPr="00DE7A80">
              <w:rPr>
                <w:rFonts w:cs="Arial"/>
                <w:szCs w:val="18"/>
              </w:rPr>
              <w:t>C</w:t>
            </w:r>
            <w:r w:rsidRPr="00DE7A80">
              <w:rPr>
                <w:rFonts w:cs="Arial"/>
                <w:szCs w:val="18"/>
                <w:vertAlign w:val="superscript"/>
              </w:rPr>
              <w:t>0</w:t>
            </w:r>
            <w:r w:rsidRPr="00DE7A80">
              <w:rPr>
                <w:rFonts w:cs="Arial"/>
                <w:szCs w:val="18"/>
                <w:vertAlign w:val="subscript"/>
              </w:rPr>
              <w:t xml:space="preserve">lig </w:t>
            </w:r>
            <w:r w:rsidRPr="00DE7A80">
              <w:rPr>
                <w:rFonts w:cs="Arial"/>
                <w:szCs w:val="18"/>
              </w:rPr>
              <w:t>(mmol/L)</w:t>
            </w:r>
          </w:p>
        </w:tc>
        <w:tc>
          <w:tcPr>
            <w:tcW w:w="867" w:type="pct"/>
            <w:tcBorders>
              <w:top w:val="nil"/>
              <w:bottom w:val="nil"/>
              <w:right w:val="nil"/>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0.30</w:t>
            </w:r>
          </w:p>
        </w:tc>
        <w:tc>
          <w:tcPr>
            <w:tcW w:w="625" w:type="pct"/>
            <w:vMerge/>
            <w:tcBorders>
              <w:top w:val="nil"/>
              <w:left w:val="nil"/>
              <w:bottom w:val="single" w:sz="6" w:space="0" w:color="008000"/>
            </w:tcBorders>
            <w:shd w:val="clear" w:color="auto" w:fill="FFFFFF"/>
          </w:tcPr>
          <w:p w:rsidR="00E15E85" w:rsidRPr="00B57B36" w:rsidRDefault="00E15E85" w:rsidP="00B00A44">
            <w:pPr>
              <w:pStyle w:val="CETBodytext"/>
              <w:ind w:right="-1"/>
              <w:rPr>
                <w:rFonts w:cs="Arial"/>
                <w:szCs w:val="18"/>
                <w:lang w:val="en-GB"/>
              </w:rPr>
            </w:pPr>
          </w:p>
        </w:tc>
        <w:tc>
          <w:tcPr>
            <w:tcW w:w="721" w:type="pct"/>
            <w:tcBorders>
              <w:top w:val="nil"/>
              <w:bottom w:val="single" w:sz="6" w:space="0" w:color="008000"/>
            </w:tcBorders>
            <w:shd w:val="clear" w:color="auto" w:fill="FFFFFF"/>
          </w:tcPr>
          <w:p w:rsidR="00E15E85" w:rsidRPr="00DE7A80" w:rsidRDefault="00E15E85" w:rsidP="00B00A44">
            <w:pPr>
              <w:autoSpaceDE w:val="0"/>
              <w:autoSpaceDN w:val="0"/>
              <w:adjustRightInd w:val="0"/>
              <w:spacing w:line="360" w:lineRule="auto"/>
              <w:rPr>
                <w:rFonts w:cs="Arial"/>
                <w:szCs w:val="18"/>
              </w:rPr>
            </w:pPr>
            <w:proofErr w:type="spellStart"/>
            <w:r w:rsidRPr="00DE7A80">
              <w:rPr>
                <w:rFonts w:cs="Arial"/>
                <w:szCs w:val="18"/>
              </w:rPr>
              <w:t>D</w:t>
            </w:r>
            <w:r w:rsidRPr="00DE7A80">
              <w:rPr>
                <w:rFonts w:cs="Arial"/>
                <w:szCs w:val="18"/>
                <w:vertAlign w:val="subscript"/>
              </w:rPr>
              <w:t>axl</w:t>
            </w:r>
            <w:proofErr w:type="spellEnd"/>
            <w:r w:rsidRPr="00DE7A80">
              <w:rPr>
                <w:rFonts w:cs="Arial"/>
                <w:szCs w:val="18"/>
                <w:vertAlign w:val="subscript"/>
              </w:rPr>
              <w:t xml:space="preserve"> </w:t>
            </w:r>
            <w:r w:rsidRPr="00DE7A80">
              <w:rPr>
                <w:rFonts w:cs="Arial"/>
                <w:szCs w:val="18"/>
              </w:rPr>
              <w:t>(m²/s)</w:t>
            </w:r>
          </w:p>
        </w:tc>
        <w:tc>
          <w:tcPr>
            <w:tcW w:w="1152" w:type="pct"/>
            <w:tcBorders>
              <w:top w:val="nil"/>
              <w:bottom w:val="single" w:sz="6" w:space="0" w:color="008000"/>
            </w:tcBorders>
            <w:shd w:val="clear" w:color="auto" w:fill="FFFFFF"/>
          </w:tcPr>
          <w:p w:rsidR="00E15E85" w:rsidRPr="00DE7A80" w:rsidRDefault="00E15E85" w:rsidP="00B00A44">
            <w:pPr>
              <w:autoSpaceDE w:val="0"/>
              <w:autoSpaceDN w:val="0"/>
              <w:adjustRightInd w:val="0"/>
              <w:spacing w:line="360" w:lineRule="auto"/>
              <w:rPr>
                <w:rFonts w:cs="Arial"/>
                <w:szCs w:val="18"/>
              </w:rPr>
            </w:pPr>
            <w:r w:rsidRPr="00DE7A80">
              <w:rPr>
                <w:rFonts w:cs="Arial"/>
                <w:szCs w:val="18"/>
              </w:rPr>
              <w:t>7</w:t>
            </w:r>
            <w:r w:rsidR="00760632">
              <w:rPr>
                <w:rFonts w:cs="Arial"/>
                <w:szCs w:val="18"/>
              </w:rPr>
              <w:t>.</w:t>
            </w:r>
            <w:r w:rsidRPr="00DE7A80">
              <w:rPr>
                <w:rFonts w:cs="Arial"/>
                <w:szCs w:val="18"/>
              </w:rPr>
              <w:t>25x10</w:t>
            </w:r>
            <w:r w:rsidRPr="00DE7A80">
              <w:rPr>
                <w:rFonts w:cs="Arial"/>
                <w:szCs w:val="18"/>
                <w:vertAlign w:val="superscript"/>
              </w:rPr>
              <w:t>-6</w:t>
            </w:r>
            <w:r w:rsidRPr="00DE7A80">
              <w:rPr>
                <w:rFonts w:cs="Arial"/>
                <w:szCs w:val="18"/>
              </w:rPr>
              <w:t xml:space="preserve"> </w:t>
            </w:r>
            <w:r w:rsidR="00760632">
              <w:rPr>
                <w:rFonts w:cs="Arial"/>
                <w:b/>
                <w:szCs w:val="18"/>
              </w:rPr>
              <w:t>–</w:t>
            </w:r>
            <w:r w:rsidRPr="00DE7A80">
              <w:rPr>
                <w:rFonts w:cs="Arial"/>
                <w:szCs w:val="18"/>
              </w:rPr>
              <w:t xml:space="preserve"> 9</w:t>
            </w:r>
            <w:r w:rsidR="00760632">
              <w:rPr>
                <w:rFonts w:cs="Arial"/>
                <w:szCs w:val="18"/>
              </w:rPr>
              <w:t>.</w:t>
            </w:r>
            <w:r w:rsidRPr="00DE7A80">
              <w:rPr>
                <w:rFonts w:cs="Arial"/>
                <w:szCs w:val="18"/>
              </w:rPr>
              <w:t>285</w:t>
            </w:r>
            <w:r w:rsidR="00760632">
              <w:rPr>
                <w:rFonts w:cs="Arial"/>
                <w:szCs w:val="18"/>
              </w:rPr>
              <w:t>x</w:t>
            </w:r>
            <w:r w:rsidRPr="00DE7A80">
              <w:rPr>
                <w:rFonts w:cs="Arial"/>
                <w:szCs w:val="18"/>
              </w:rPr>
              <w:t>10</w:t>
            </w:r>
            <w:r w:rsidRPr="00DE7A80">
              <w:rPr>
                <w:rFonts w:cs="Arial"/>
                <w:szCs w:val="18"/>
                <w:vertAlign w:val="superscript"/>
              </w:rPr>
              <w:t>-6</w:t>
            </w:r>
          </w:p>
        </w:tc>
      </w:tr>
      <w:tr w:rsidR="00E15E85" w:rsidRPr="00B57B36" w:rsidTr="00B00A44">
        <w:tc>
          <w:tcPr>
            <w:tcW w:w="834" w:type="pct"/>
            <w:vMerge/>
            <w:tcBorders>
              <w:top w:val="nil"/>
              <w:bottom w:val="nil"/>
            </w:tcBorders>
            <w:shd w:val="clear" w:color="auto" w:fill="FFFFFF"/>
          </w:tcPr>
          <w:p w:rsidR="00E15E85" w:rsidRPr="00B57B36" w:rsidRDefault="00E15E85" w:rsidP="00B00A44">
            <w:pPr>
              <w:pStyle w:val="CETBodytext"/>
              <w:ind w:right="-1"/>
              <w:rPr>
                <w:rFonts w:cs="Arial"/>
                <w:szCs w:val="18"/>
                <w:lang w:val="en-GB"/>
              </w:rPr>
            </w:pPr>
          </w:p>
        </w:tc>
        <w:tc>
          <w:tcPr>
            <w:tcW w:w="801" w:type="pct"/>
            <w:tcBorders>
              <w:top w:val="nil"/>
              <w:bottom w:val="nil"/>
            </w:tcBorders>
            <w:shd w:val="clear" w:color="auto" w:fill="FFFFFF"/>
          </w:tcPr>
          <w:p w:rsidR="00E15E85" w:rsidRPr="00B57B36" w:rsidRDefault="00E15E85" w:rsidP="00B00A44">
            <w:pPr>
              <w:pStyle w:val="CETBodytext"/>
              <w:ind w:right="-1"/>
              <w:rPr>
                <w:rFonts w:cs="Arial"/>
                <w:szCs w:val="18"/>
                <w:lang w:val="en-GB"/>
              </w:rPr>
            </w:pPr>
            <w:r w:rsidRPr="00DE7A80">
              <w:rPr>
                <w:rFonts w:cs="Arial"/>
                <w:szCs w:val="18"/>
              </w:rPr>
              <w:t>C</w:t>
            </w:r>
            <w:r w:rsidRPr="00DE7A80">
              <w:rPr>
                <w:rFonts w:cs="Arial"/>
                <w:szCs w:val="18"/>
                <w:vertAlign w:val="superscript"/>
              </w:rPr>
              <w:t>0</w:t>
            </w:r>
            <w:r w:rsidRPr="00DE7A80">
              <w:rPr>
                <w:rFonts w:cs="Arial"/>
                <w:szCs w:val="18"/>
                <w:vertAlign w:val="subscript"/>
              </w:rPr>
              <w:t xml:space="preserve">Van </w:t>
            </w:r>
            <w:r w:rsidRPr="00DE7A80">
              <w:rPr>
                <w:rFonts w:cs="Arial"/>
                <w:szCs w:val="18"/>
              </w:rPr>
              <w:t>(mmol/L)</w:t>
            </w:r>
          </w:p>
        </w:tc>
        <w:tc>
          <w:tcPr>
            <w:tcW w:w="867" w:type="pct"/>
            <w:tcBorders>
              <w:top w:val="nil"/>
              <w:bottom w:val="nil"/>
              <w:right w:val="nil"/>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0.00</w:t>
            </w:r>
          </w:p>
        </w:tc>
        <w:tc>
          <w:tcPr>
            <w:tcW w:w="625" w:type="pct"/>
            <w:vMerge w:val="restart"/>
            <w:tcBorders>
              <w:top w:val="single" w:sz="6" w:space="0" w:color="008000"/>
              <w:left w:val="nil"/>
              <w:bottom w:val="single" w:sz="12" w:space="0" w:color="008000"/>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Mass Transfer</w:t>
            </w:r>
          </w:p>
          <w:p w:rsidR="00E15E85" w:rsidRPr="00B57B36" w:rsidRDefault="00E15E85" w:rsidP="00B00A44">
            <w:pPr>
              <w:pStyle w:val="CETBodytext"/>
              <w:ind w:right="-1"/>
              <w:rPr>
                <w:rFonts w:cs="Arial"/>
                <w:szCs w:val="18"/>
                <w:lang w:val="en-GB"/>
              </w:rPr>
            </w:pPr>
            <w:r>
              <w:rPr>
                <w:rFonts w:cs="Arial"/>
                <w:szCs w:val="18"/>
                <w:lang w:val="en-GB"/>
              </w:rPr>
              <w:t>Parameter</w:t>
            </w:r>
          </w:p>
        </w:tc>
        <w:tc>
          <w:tcPr>
            <w:tcW w:w="721" w:type="pct"/>
            <w:tcBorders>
              <w:top w:val="single" w:sz="6" w:space="0" w:color="008000"/>
              <w:bottom w:val="nil"/>
            </w:tcBorders>
            <w:shd w:val="clear" w:color="auto" w:fill="FFFFFF"/>
          </w:tcPr>
          <w:p w:rsidR="00E15E85" w:rsidRPr="00DE7A80" w:rsidRDefault="00E15E85" w:rsidP="00B00A44">
            <w:pPr>
              <w:autoSpaceDE w:val="0"/>
              <w:autoSpaceDN w:val="0"/>
              <w:adjustRightInd w:val="0"/>
              <w:spacing w:line="360" w:lineRule="auto"/>
              <w:rPr>
                <w:rFonts w:cs="Arial"/>
                <w:szCs w:val="18"/>
              </w:rPr>
            </w:pPr>
            <w:proofErr w:type="spellStart"/>
            <w:r w:rsidRPr="00DE7A80">
              <w:rPr>
                <w:rFonts w:cs="Arial"/>
                <w:szCs w:val="18"/>
              </w:rPr>
              <w:t>K</w:t>
            </w:r>
            <w:r w:rsidRPr="00DE7A80">
              <w:rPr>
                <w:rFonts w:cs="Arial"/>
                <w:szCs w:val="18"/>
                <w:vertAlign w:val="subscript"/>
              </w:rPr>
              <w:t>gl</w:t>
            </w:r>
            <w:proofErr w:type="spellEnd"/>
            <w:r w:rsidRPr="00DE7A80">
              <w:rPr>
                <w:rFonts w:cs="Arial"/>
                <w:szCs w:val="18"/>
                <w:vertAlign w:val="subscript"/>
              </w:rPr>
              <w:t xml:space="preserve"> </w:t>
            </w:r>
            <w:r w:rsidRPr="00DE7A80">
              <w:rPr>
                <w:rFonts w:cs="Arial"/>
                <w:szCs w:val="18"/>
              </w:rPr>
              <w:t>(m/h)</w:t>
            </w:r>
          </w:p>
        </w:tc>
        <w:tc>
          <w:tcPr>
            <w:tcW w:w="1152" w:type="pct"/>
            <w:tcBorders>
              <w:top w:val="single" w:sz="6" w:space="0" w:color="008000"/>
              <w:bottom w:val="nil"/>
            </w:tcBorders>
            <w:shd w:val="clear" w:color="auto" w:fill="FFFFFF"/>
          </w:tcPr>
          <w:p w:rsidR="00E15E85" w:rsidRPr="00DE7A80" w:rsidRDefault="00E15E85" w:rsidP="00B00A44">
            <w:pPr>
              <w:autoSpaceDE w:val="0"/>
              <w:autoSpaceDN w:val="0"/>
              <w:adjustRightInd w:val="0"/>
              <w:spacing w:line="360" w:lineRule="auto"/>
              <w:rPr>
                <w:rFonts w:cs="Arial"/>
                <w:szCs w:val="18"/>
                <w:vertAlign w:val="superscript"/>
              </w:rPr>
            </w:pPr>
            <w:r w:rsidRPr="00DE7A80">
              <w:rPr>
                <w:rFonts w:cs="Arial"/>
                <w:szCs w:val="18"/>
              </w:rPr>
              <w:t>3</w:t>
            </w:r>
            <w:r w:rsidR="00760632">
              <w:rPr>
                <w:rFonts w:cs="Arial"/>
                <w:szCs w:val="18"/>
              </w:rPr>
              <w:t>.</w:t>
            </w:r>
            <w:r w:rsidRPr="00DE7A80">
              <w:rPr>
                <w:rFonts w:cs="Arial"/>
                <w:szCs w:val="18"/>
              </w:rPr>
              <w:t>77x10</w:t>
            </w:r>
            <w:r w:rsidRPr="00DE7A80">
              <w:rPr>
                <w:rFonts w:cs="Arial"/>
                <w:szCs w:val="18"/>
                <w:vertAlign w:val="superscript"/>
              </w:rPr>
              <w:t>-3</w:t>
            </w:r>
          </w:p>
        </w:tc>
      </w:tr>
      <w:tr w:rsidR="00E15E85" w:rsidRPr="00B57B36" w:rsidTr="00B00A44">
        <w:tc>
          <w:tcPr>
            <w:tcW w:w="834" w:type="pct"/>
            <w:vMerge/>
            <w:tcBorders>
              <w:top w:val="nil"/>
              <w:bottom w:val="nil"/>
            </w:tcBorders>
            <w:shd w:val="clear" w:color="auto" w:fill="FFFFFF"/>
          </w:tcPr>
          <w:p w:rsidR="00E15E85" w:rsidRPr="00B57B36" w:rsidRDefault="00E15E85" w:rsidP="00B00A44">
            <w:pPr>
              <w:pStyle w:val="CETBodytext"/>
              <w:ind w:right="-1"/>
              <w:rPr>
                <w:rFonts w:cs="Arial"/>
                <w:szCs w:val="18"/>
                <w:lang w:val="en-GB"/>
              </w:rPr>
            </w:pPr>
          </w:p>
        </w:tc>
        <w:tc>
          <w:tcPr>
            <w:tcW w:w="801" w:type="pct"/>
            <w:tcBorders>
              <w:top w:val="nil"/>
              <w:bottom w:val="nil"/>
            </w:tcBorders>
            <w:shd w:val="clear" w:color="auto" w:fill="FFFFFF"/>
          </w:tcPr>
          <w:p w:rsidR="00E15E85" w:rsidRPr="00DE7A80" w:rsidRDefault="00E15E85" w:rsidP="00B00A44">
            <w:pPr>
              <w:pStyle w:val="CETBodytext"/>
              <w:ind w:right="-1"/>
              <w:rPr>
                <w:rFonts w:cs="Arial"/>
                <w:szCs w:val="18"/>
              </w:rPr>
            </w:pPr>
            <w:r w:rsidRPr="00DE7A80">
              <w:rPr>
                <w:rFonts w:cs="Arial"/>
                <w:szCs w:val="18"/>
              </w:rPr>
              <w:t>C</w:t>
            </w:r>
            <w:r w:rsidRPr="00DE7A80">
              <w:rPr>
                <w:rFonts w:cs="Arial"/>
                <w:szCs w:val="18"/>
                <w:vertAlign w:val="superscript"/>
              </w:rPr>
              <w:t>0</w:t>
            </w:r>
            <w:r w:rsidRPr="00DE7A80">
              <w:rPr>
                <w:rFonts w:cs="Arial"/>
                <w:szCs w:val="18"/>
                <w:vertAlign w:val="subscript"/>
              </w:rPr>
              <w:t xml:space="preserve">Sg </w:t>
            </w:r>
            <w:r w:rsidRPr="00DE7A80">
              <w:rPr>
                <w:rFonts w:cs="Arial"/>
                <w:szCs w:val="18"/>
              </w:rPr>
              <w:t>(mmol/L)</w:t>
            </w:r>
          </w:p>
        </w:tc>
        <w:tc>
          <w:tcPr>
            <w:tcW w:w="867" w:type="pct"/>
            <w:tcBorders>
              <w:top w:val="nil"/>
              <w:bottom w:val="nil"/>
              <w:right w:val="nil"/>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0.00</w:t>
            </w:r>
          </w:p>
        </w:tc>
        <w:tc>
          <w:tcPr>
            <w:tcW w:w="625" w:type="pct"/>
            <w:vMerge/>
            <w:tcBorders>
              <w:top w:val="nil"/>
              <w:left w:val="nil"/>
              <w:bottom w:val="single" w:sz="12" w:space="0" w:color="008000"/>
            </w:tcBorders>
            <w:shd w:val="clear" w:color="auto" w:fill="FFFFFF"/>
          </w:tcPr>
          <w:p w:rsidR="00E15E85" w:rsidRPr="00B57B36" w:rsidRDefault="00E15E85" w:rsidP="00B00A44">
            <w:pPr>
              <w:pStyle w:val="CETBodytext"/>
              <w:ind w:right="-1"/>
              <w:rPr>
                <w:rFonts w:cs="Arial"/>
                <w:szCs w:val="18"/>
                <w:lang w:val="en-GB"/>
              </w:rPr>
            </w:pPr>
          </w:p>
        </w:tc>
        <w:tc>
          <w:tcPr>
            <w:tcW w:w="721" w:type="pct"/>
            <w:tcBorders>
              <w:top w:val="nil"/>
              <w:bottom w:val="nil"/>
            </w:tcBorders>
            <w:shd w:val="clear" w:color="auto" w:fill="FFFFFF"/>
          </w:tcPr>
          <w:p w:rsidR="00E15E85" w:rsidRPr="00DE7A80" w:rsidRDefault="00E15E85" w:rsidP="00B00A44">
            <w:pPr>
              <w:autoSpaceDE w:val="0"/>
              <w:autoSpaceDN w:val="0"/>
              <w:adjustRightInd w:val="0"/>
              <w:spacing w:line="360" w:lineRule="auto"/>
              <w:rPr>
                <w:rFonts w:cs="Arial"/>
                <w:szCs w:val="18"/>
                <w:vertAlign w:val="subscript"/>
              </w:rPr>
            </w:pPr>
            <w:proofErr w:type="spellStart"/>
            <w:r w:rsidRPr="00DE7A80">
              <w:rPr>
                <w:rFonts w:cs="Arial"/>
                <w:szCs w:val="18"/>
              </w:rPr>
              <w:t>K</w:t>
            </w:r>
            <w:r w:rsidRPr="00DE7A80">
              <w:rPr>
                <w:rFonts w:cs="Arial"/>
                <w:szCs w:val="18"/>
                <w:vertAlign w:val="subscript"/>
              </w:rPr>
              <w:t>ls</w:t>
            </w:r>
            <w:proofErr w:type="spellEnd"/>
            <w:r w:rsidRPr="00DE7A80">
              <w:rPr>
                <w:rFonts w:cs="Arial"/>
                <w:szCs w:val="18"/>
                <w:vertAlign w:val="subscript"/>
              </w:rPr>
              <w:t xml:space="preserve"> </w:t>
            </w:r>
            <w:r w:rsidRPr="00DE7A80">
              <w:rPr>
                <w:rFonts w:cs="Arial"/>
                <w:szCs w:val="18"/>
              </w:rPr>
              <w:t>(m/h)</w:t>
            </w:r>
          </w:p>
        </w:tc>
        <w:tc>
          <w:tcPr>
            <w:tcW w:w="1152" w:type="pct"/>
            <w:tcBorders>
              <w:top w:val="nil"/>
              <w:bottom w:val="nil"/>
            </w:tcBorders>
            <w:shd w:val="clear" w:color="auto" w:fill="FFFFFF"/>
          </w:tcPr>
          <w:p w:rsidR="00E15E85" w:rsidRPr="00DE7A80" w:rsidRDefault="00E15E85" w:rsidP="00B00A44">
            <w:pPr>
              <w:autoSpaceDE w:val="0"/>
              <w:autoSpaceDN w:val="0"/>
              <w:adjustRightInd w:val="0"/>
              <w:spacing w:line="360" w:lineRule="auto"/>
              <w:rPr>
                <w:rFonts w:cs="Arial"/>
                <w:szCs w:val="18"/>
                <w:vertAlign w:val="superscript"/>
              </w:rPr>
            </w:pPr>
            <w:r w:rsidRPr="00DE7A80">
              <w:rPr>
                <w:rFonts w:cs="Arial"/>
                <w:szCs w:val="18"/>
              </w:rPr>
              <w:t>2</w:t>
            </w:r>
            <w:r w:rsidR="00760632">
              <w:rPr>
                <w:rFonts w:cs="Arial"/>
                <w:szCs w:val="18"/>
              </w:rPr>
              <w:t>.</w:t>
            </w:r>
            <w:r w:rsidRPr="00DE7A80">
              <w:rPr>
                <w:rFonts w:cs="Arial"/>
                <w:szCs w:val="18"/>
              </w:rPr>
              <w:t>56x10</w:t>
            </w:r>
            <w:r w:rsidRPr="00DE7A80">
              <w:rPr>
                <w:rFonts w:cs="Arial"/>
                <w:szCs w:val="18"/>
                <w:vertAlign w:val="superscript"/>
              </w:rPr>
              <w:t>-2</w:t>
            </w:r>
          </w:p>
        </w:tc>
      </w:tr>
      <w:tr w:rsidR="00E15E85" w:rsidRPr="00B57B36" w:rsidTr="00B00A44">
        <w:tc>
          <w:tcPr>
            <w:tcW w:w="834" w:type="pct"/>
            <w:vMerge/>
            <w:tcBorders>
              <w:top w:val="nil"/>
              <w:bottom w:val="nil"/>
            </w:tcBorders>
            <w:shd w:val="clear" w:color="auto" w:fill="FFFFFF"/>
          </w:tcPr>
          <w:p w:rsidR="00E15E85" w:rsidRPr="00B57B36" w:rsidRDefault="00E15E85" w:rsidP="00B00A44">
            <w:pPr>
              <w:pStyle w:val="CETBodytext"/>
              <w:ind w:right="-1"/>
              <w:rPr>
                <w:rFonts w:cs="Arial"/>
                <w:szCs w:val="18"/>
                <w:lang w:val="en-GB"/>
              </w:rPr>
            </w:pPr>
          </w:p>
        </w:tc>
        <w:tc>
          <w:tcPr>
            <w:tcW w:w="801" w:type="pct"/>
            <w:tcBorders>
              <w:top w:val="nil"/>
              <w:bottom w:val="nil"/>
            </w:tcBorders>
            <w:shd w:val="clear" w:color="auto" w:fill="FFFFFF"/>
          </w:tcPr>
          <w:p w:rsidR="00E15E85" w:rsidRPr="00DE7A80" w:rsidRDefault="00E15E85" w:rsidP="00B00A44">
            <w:pPr>
              <w:pStyle w:val="CETBodytext"/>
              <w:ind w:right="-1"/>
              <w:rPr>
                <w:rFonts w:cs="Arial"/>
                <w:szCs w:val="18"/>
              </w:rPr>
            </w:pPr>
            <w:r w:rsidRPr="00DE7A80">
              <w:rPr>
                <w:rFonts w:cs="Arial"/>
                <w:szCs w:val="18"/>
              </w:rPr>
              <w:t>C</w:t>
            </w:r>
            <w:r w:rsidRPr="00DE7A80">
              <w:rPr>
                <w:rFonts w:cs="Arial"/>
                <w:szCs w:val="18"/>
                <w:vertAlign w:val="superscript"/>
              </w:rPr>
              <w:t>0</w:t>
            </w:r>
            <w:r w:rsidRPr="00DE7A80">
              <w:rPr>
                <w:rFonts w:cs="Arial"/>
                <w:szCs w:val="18"/>
                <w:vertAlign w:val="subscript"/>
              </w:rPr>
              <w:t xml:space="preserve">p </w:t>
            </w:r>
            <w:r w:rsidRPr="00DE7A80">
              <w:rPr>
                <w:rFonts w:cs="Arial"/>
                <w:szCs w:val="18"/>
              </w:rPr>
              <w:t>(mmol/L)</w:t>
            </w:r>
          </w:p>
        </w:tc>
        <w:tc>
          <w:tcPr>
            <w:tcW w:w="867" w:type="pct"/>
            <w:tcBorders>
              <w:top w:val="nil"/>
              <w:bottom w:val="nil"/>
              <w:right w:val="nil"/>
            </w:tcBorders>
            <w:shd w:val="clear" w:color="auto" w:fill="FFFFFF"/>
          </w:tcPr>
          <w:p w:rsidR="00E15E85" w:rsidRPr="00B57B36" w:rsidRDefault="00E15E85" w:rsidP="00B00A44">
            <w:pPr>
              <w:pStyle w:val="CETBodytext"/>
              <w:ind w:right="-1"/>
              <w:rPr>
                <w:rFonts w:cs="Arial"/>
                <w:szCs w:val="18"/>
                <w:lang w:val="en-GB"/>
              </w:rPr>
            </w:pPr>
            <w:r>
              <w:rPr>
                <w:rFonts w:cs="Arial"/>
                <w:szCs w:val="18"/>
                <w:lang w:val="en-GB"/>
              </w:rPr>
              <w:t>0.00</w:t>
            </w:r>
          </w:p>
        </w:tc>
        <w:tc>
          <w:tcPr>
            <w:tcW w:w="625" w:type="pct"/>
            <w:vMerge/>
            <w:tcBorders>
              <w:top w:val="nil"/>
              <w:left w:val="nil"/>
              <w:bottom w:val="single" w:sz="12" w:space="0" w:color="008000"/>
            </w:tcBorders>
            <w:shd w:val="clear" w:color="auto" w:fill="FFFFFF"/>
          </w:tcPr>
          <w:p w:rsidR="00E15E85" w:rsidRPr="00B57B36" w:rsidRDefault="00E15E85" w:rsidP="00B00A44">
            <w:pPr>
              <w:pStyle w:val="CETBodytext"/>
              <w:ind w:right="-1"/>
              <w:rPr>
                <w:rFonts w:cs="Arial"/>
                <w:szCs w:val="18"/>
                <w:lang w:val="en-GB"/>
              </w:rPr>
            </w:pPr>
          </w:p>
        </w:tc>
        <w:tc>
          <w:tcPr>
            <w:tcW w:w="721" w:type="pct"/>
            <w:tcBorders>
              <w:top w:val="nil"/>
              <w:bottom w:val="nil"/>
            </w:tcBorders>
            <w:shd w:val="clear" w:color="auto" w:fill="FFFFFF"/>
          </w:tcPr>
          <w:p w:rsidR="00E15E85" w:rsidRPr="00DE7A80" w:rsidRDefault="00E15E85" w:rsidP="00B00A44">
            <w:pPr>
              <w:autoSpaceDE w:val="0"/>
              <w:autoSpaceDN w:val="0"/>
              <w:adjustRightInd w:val="0"/>
              <w:spacing w:line="360" w:lineRule="auto"/>
              <w:rPr>
                <w:rFonts w:cs="Arial"/>
                <w:szCs w:val="18"/>
              </w:rPr>
            </w:pPr>
            <w:r w:rsidRPr="00DE7A80">
              <w:rPr>
                <w:rFonts w:cs="Arial"/>
                <w:szCs w:val="18"/>
                <w:vertAlign w:val="subscript"/>
              </w:rPr>
              <w:t xml:space="preserve">  </w:t>
            </w:r>
            <w:proofErr w:type="spellStart"/>
            <w:r w:rsidRPr="00DE7A80">
              <w:rPr>
                <w:rFonts w:cs="Arial"/>
                <w:szCs w:val="18"/>
              </w:rPr>
              <w:t>a</w:t>
            </w:r>
            <w:r w:rsidRPr="00DE7A80">
              <w:rPr>
                <w:rFonts w:cs="Arial"/>
                <w:szCs w:val="18"/>
                <w:vertAlign w:val="subscript"/>
              </w:rPr>
              <w:t>gl</w:t>
            </w:r>
            <w:proofErr w:type="spellEnd"/>
            <w:r w:rsidRPr="00DE7A80">
              <w:rPr>
                <w:rFonts w:cs="Arial"/>
                <w:szCs w:val="18"/>
                <w:vertAlign w:val="subscript"/>
              </w:rPr>
              <w:t xml:space="preserve"> </w:t>
            </w:r>
            <w:r w:rsidRPr="00DE7A80">
              <w:rPr>
                <w:rFonts w:cs="Arial"/>
                <w:szCs w:val="18"/>
              </w:rPr>
              <w:t>(m</w:t>
            </w:r>
            <w:r w:rsidRPr="00DE7A80">
              <w:rPr>
                <w:rFonts w:cs="Arial"/>
                <w:szCs w:val="18"/>
                <w:vertAlign w:val="superscript"/>
              </w:rPr>
              <w:t>-1</w:t>
            </w:r>
            <w:r w:rsidRPr="00DE7A80">
              <w:rPr>
                <w:rFonts w:cs="Arial"/>
                <w:szCs w:val="18"/>
              </w:rPr>
              <w:t>)</w:t>
            </w:r>
          </w:p>
        </w:tc>
        <w:tc>
          <w:tcPr>
            <w:tcW w:w="1152" w:type="pct"/>
            <w:tcBorders>
              <w:top w:val="nil"/>
              <w:bottom w:val="nil"/>
            </w:tcBorders>
            <w:shd w:val="clear" w:color="auto" w:fill="FFFFFF"/>
          </w:tcPr>
          <w:p w:rsidR="00E15E85" w:rsidRPr="00DE7A80" w:rsidRDefault="00E15E85" w:rsidP="00B00A44">
            <w:pPr>
              <w:autoSpaceDE w:val="0"/>
              <w:autoSpaceDN w:val="0"/>
              <w:adjustRightInd w:val="0"/>
              <w:spacing w:line="360" w:lineRule="auto"/>
              <w:rPr>
                <w:rFonts w:cs="Arial"/>
                <w:szCs w:val="18"/>
                <w:vertAlign w:val="superscript"/>
              </w:rPr>
            </w:pPr>
            <w:r w:rsidRPr="00DE7A80">
              <w:rPr>
                <w:rFonts w:cs="Arial"/>
                <w:szCs w:val="18"/>
              </w:rPr>
              <w:t>1</w:t>
            </w:r>
            <w:r w:rsidR="00760632">
              <w:rPr>
                <w:rFonts w:cs="Arial"/>
                <w:szCs w:val="18"/>
              </w:rPr>
              <w:t>.</w:t>
            </w:r>
            <w:r w:rsidRPr="00DE7A80">
              <w:rPr>
                <w:rFonts w:cs="Arial"/>
                <w:szCs w:val="18"/>
              </w:rPr>
              <w:t>33x10</w:t>
            </w:r>
            <w:r w:rsidRPr="00DE7A80">
              <w:rPr>
                <w:rFonts w:cs="Arial"/>
                <w:szCs w:val="18"/>
                <w:vertAlign w:val="superscript"/>
              </w:rPr>
              <w:t>2</w:t>
            </w:r>
          </w:p>
        </w:tc>
      </w:tr>
      <w:tr w:rsidR="00E15E85" w:rsidRPr="00B57B36" w:rsidTr="00B00A44">
        <w:tc>
          <w:tcPr>
            <w:tcW w:w="834" w:type="pct"/>
            <w:tcBorders>
              <w:top w:val="nil"/>
            </w:tcBorders>
            <w:shd w:val="clear" w:color="auto" w:fill="FFFFFF"/>
          </w:tcPr>
          <w:p w:rsidR="00E15E85" w:rsidRPr="00B57B36" w:rsidRDefault="00E15E85" w:rsidP="00B00A44">
            <w:pPr>
              <w:pStyle w:val="CETBodytext"/>
              <w:ind w:right="-1"/>
              <w:rPr>
                <w:rFonts w:cs="Arial"/>
                <w:szCs w:val="18"/>
                <w:lang w:val="en-GB"/>
              </w:rPr>
            </w:pPr>
          </w:p>
        </w:tc>
        <w:tc>
          <w:tcPr>
            <w:tcW w:w="801" w:type="pct"/>
            <w:tcBorders>
              <w:top w:val="nil"/>
            </w:tcBorders>
            <w:shd w:val="clear" w:color="auto" w:fill="FFFFFF"/>
          </w:tcPr>
          <w:p w:rsidR="00E15E85" w:rsidRPr="00DE7A80" w:rsidRDefault="00E15E85" w:rsidP="00B00A44">
            <w:pPr>
              <w:pStyle w:val="CETBodytext"/>
              <w:ind w:right="-1"/>
              <w:rPr>
                <w:rFonts w:cs="Arial"/>
                <w:szCs w:val="18"/>
              </w:rPr>
            </w:pPr>
          </w:p>
        </w:tc>
        <w:tc>
          <w:tcPr>
            <w:tcW w:w="867" w:type="pct"/>
            <w:tcBorders>
              <w:top w:val="nil"/>
              <w:right w:val="nil"/>
            </w:tcBorders>
            <w:shd w:val="clear" w:color="auto" w:fill="FFFFFF"/>
          </w:tcPr>
          <w:p w:rsidR="00E15E85" w:rsidRPr="00B57B36" w:rsidRDefault="00E15E85" w:rsidP="00B00A44">
            <w:pPr>
              <w:pStyle w:val="CETBodytext"/>
              <w:ind w:right="-1"/>
              <w:rPr>
                <w:rFonts w:cs="Arial"/>
                <w:szCs w:val="18"/>
                <w:lang w:val="en-GB"/>
              </w:rPr>
            </w:pPr>
          </w:p>
        </w:tc>
        <w:tc>
          <w:tcPr>
            <w:tcW w:w="625" w:type="pct"/>
            <w:vMerge/>
            <w:tcBorders>
              <w:top w:val="nil"/>
              <w:left w:val="nil"/>
              <w:bottom w:val="single" w:sz="12" w:space="0" w:color="008000"/>
            </w:tcBorders>
            <w:shd w:val="clear" w:color="auto" w:fill="FFFFFF"/>
          </w:tcPr>
          <w:p w:rsidR="00E15E85" w:rsidRPr="00B57B36" w:rsidRDefault="00E15E85" w:rsidP="00B00A44">
            <w:pPr>
              <w:pStyle w:val="CETBodytext"/>
              <w:ind w:right="-1"/>
              <w:rPr>
                <w:rFonts w:cs="Arial"/>
                <w:szCs w:val="18"/>
                <w:lang w:val="en-GB"/>
              </w:rPr>
            </w:pPr>
          </w:p>
        </w:tc>
        <w:tc>
          <w:tcPr>
            <w:tcW w:w="721" w:type="pct"/>
            <w:tcBorders>
              <w:top w:val="nil"/>
            </w:tcBorders>
            <w:shd w:val="clear" w:color="auto" w:fill="FFFFFF"/>
          </w:tcPr>
          <w:p w:rsidR="00E15E85" w:rsidRPr="00DE7A80" w:rsidRDefault="00E15E85" w:rsidP="00B00A44">
            <w:pPr>
              <w:autoSpaceDE w:val="0"/>
              <w:autoSpaceDN w:val="0"/>
              <w:adjustRightInd w:val="0"/>
              <w:spacing w:line="360" w:lineRule="auto"/>
              <w:rPr>
                <w:rFonts w:cs="Arial"/>
                <w:szCs w:val="18"/>
              </w:rPr>
            </w:pPr>
            <w:r w:rsidRPr="00DE7A80">
              <w:rPr>
                <w:rFonts w:cs="Arial"/>
                <w:szCs w:val="18"/>
              </w:rPr>
              <w:t xml:space="preserve"> </w:t>
            </w:r>
            <w:proofErr w:type="spellStart"/>
            <w:r w:rsidRPr="00DE7A80">
              <w:rPr>
                <w:rFonts w:cs="Arial"/>
                <w:szCs w:val="18"/>
              </w:rPr>
              <w:t>a</w:t>
            </w:r>
            <w:r w:rsidRPr="00DE7A80">
              <w:rPr>
                <w:rFonts w:cs="Arial"/>
                <w:szCs w:val="18"/>
                <w:vertAlign w:val="subscript"/>
              </w:rPr>
              <w:t>ls</w:t>
            </w:r>
            <w:proofErr w:type="spellEnd"/>
            <w:r w:rsidRPr="00DE7A80">
              <w:rPr>
                <w:rFonts w:cs="Arial"/>
                <w:szCs w:val="18"/>
                <w:vertAlign w:val="subscript"/>
              </w:rPr>
              <w:t xml:space="preserve"> </w:t>
            </w:r>
            <w:r w:rsidRPr="00DE7A80">
              <w:rPr>
                <w:rFonts w:cs="Arial"/>
                <w:szCs w:val="18"/>
              </w:rPr>
              <w:t>(m</w:t>
            </w:r>
            <w:r w:rsidRPr="00DE7A80">
              <w:rPr>
                <w:rFonts w:cs="Arial"/>
                <w:szCs w:val="18"/>
                <w:vertAlign w:val="superscript"/>
              </w:rPr>
              <w:t>-1</w:t>
            </w:r>
            <w:r w:rsidRPr="00DE7A80">
              <w:rPr>
                <w:rFonts w:cs="Arial"/>
                <w:szCs w:val="18"/>
              </w:rPr>
              <w:t>)</w:t>
            </w:r>
          </w:p>
        </w:tc>
        <w:tc>
          <w:tcPr>
            <w:tcW w:w="1152" w:type="pct"/>
            <w:tcBorders>
              <w:top w:val="nil"/>
            </w:tcBorders>
            <w:shd w:val="clear" w:color="auto" w:fill="FFFFFF"/>
          </w:tcPr>
          <w:p w:rsidR="00E15E85" w:rsidRPr="00DE7A80" w:rsidRDefault="00E15E85" w:rsidP="00B00A44">
            <w:pPr>
              <w:autoSpaceDE w:val="0"/>
              <w:autoSpaceDN w:val="0"/>
              <w:adjustRightInd w:val="0"/>
              <w:spacing w:line="360" w:lineRule="auto"/>
              <w:rPr>
                <w:rFonts w:cs="Arial"/>
                <w:szCs w:val="18"/>
                <w:vertAlign w:val="superscript"/>
              </w:rPr>
            </w:pPr>
            <w:r w:rsidRPr="00DE7A80">
              <w:rPr>
                <w:rFonts w:cs="Arial"/>
                <w:szCs w:val="18"/>
              </w:rPr>
              <w:t>1</w:t>
            </w:r>
            <w:r w:rsidR="00760632">
              <w:rPr>
                <w:rFonts w:cs="Arial"/>
                <w:szCs w:val="18"/>
              </w:rPr>
              <w:t>.</w:t>
            </w:r>
            <w:r w:rsidRPr="00DE7A80">
              <w:rPr>
                <w:rFonts w:cs="Arial"/>
                <w:szCs w:val="18"/>
              </w:rPr>
              <w:t>172x10</w:t>
            </w:r>
            <w:r w:rsidRPr="00DE7A80">
              <w:rPr>
                <w:rFonts w:cs="Arial"/>
                <w:szCs w:val="18"/>
                <w:vertAlign w:val="superscript"/>
              </w:rPr>
              <w:t>-1</w:t>
            </w:r>
          </w:p>
        </w:tc>
      </w:tr>
    </w:tbl>
    <w:p w:rsidR="00E15E85" w:rsidRDefault="00E15E85" w:rsidP="00E15E85">
      <w:pPr>
        <w:pStyle w:val="CETBodytext"/>
        <w:rPr>
          <w:lang w:val="en-GB"/>
        </w:rPr>
      </w:pPr>
    </w:p>
    <w:p w:rsidR="00E15E85" w:rsidRPr="00DE7A80" w:rsidRDefault="00E15E85" w:rsidP="00E15E85">
      <w:pPr>
        <w:pStyle w:val="CETBodytext"/>
      </w:pPr>
      <w:r w:rsidRPr="00DE7A80">
        <w:t>As a preliminary evaluation of the domains of the operational variables’ temperature and flow, operating limits were introduced for testing the simulations. In the mil</w:t>
      </w:r>
      <w:r>
        <w:t>d</w:t>
      </w:r>
      <w:r w:rsidRPr="00DE7A80">
        <w:t xml:space="preserve">est conditions of 373K and 5 L/h and higher of 393K and </w:t>
      </w:r>
      <w:r w:rsidRPr="00DE7A80">
        <w:lastRenderedPageBreak/>
        <w:t>10</w:t>
      </w:r>
      <w:r>
        <w:t>L</w:t>
      </w:r>
      <w:r w:rsidRPr="00DE7A80">
        <w:t xml:space="preserve">/h, the first evaluations of the operability of the model in </w:t>
      </w:r>
      <w:r w:rsidR="00EF5A73">
        <w:t xml:space="preserve">the </w:t>
      </w:r>
      <w:r w:rsidRPr="00DE7A80">
        <w:t>stationary regime were made, simulating the oxygen and lignin profiles.</w:t>
      </w:r>
    </w:p>
    <w:p w:rsidR="00E15E85" w:rsidRPr="00DE7A80" w:rsidRDefault="00E15E85" w:rsidP="00E15E85">
      <w:pPr>
        <w:pStyle w:val="CETBodytext"/>
      </w:pPr>
      <w:r w:rsidRPr="00DE7A80">
        <w:t xml:space="preserve">The lignin and oxygen reagents have decreasing profiles along the vertical axis of the reactor (figures </w:t>
      </w:r>
      <w:r>
        <w:t>1</w:t>
      </w:r>
      <w:r w:rsidRPr="00DE7A80">
        <w:t xml:space="preserve"> and </w:t>
      </w:r>
      <w:r>
        <w:t>2</w:t>
      </w:r>
      <w:r w:rsidRPr="00DE7A80">
        <w:t xml:space="preserve">). In the two operating flows and at the two temperatures practiced, low levels of concentration are reached, which are kept approximately 70% of the total length (0.7 z/L) of the reactor. In this way, average conversions of about 60% for lignin and 67% for oxygen are obtained, kept from the reactor medium to the exit. This aspect observed for the profiles allows </w:t>
      </w:r>
      <w:r w:rsidR="00EF5A73">
        <w:t>indicating</w:t>
      </w:r>
      <w:r w:rsidRPr="00DE7A80">
        <w:t xml:space="preserve"> that the reactor can be operated with half of its height.</w:t>
      </w:r>
    </w:p>
    <w:tbl>
      <w:tblPr>
        <w:tblW w:w="0" w:type="auto"/>
        <w:tblLook w:val="04A0" w:firstRow="1" w:lastRow="0" w:firstColumn="1" w:lastColumn="0" w:noHBand="0" w:noVBand="1"/>
      </w:tblPr>
      <w:tblGrid>
        <w:gridCol w:w="4268"/>
        <w:gridCol w:w="4519"/>
      </w:tblGrid>
      <w:tr w:rsidR="00E15E85" w:rsidRPr="00DE7A80" w:rsidTr="00B00A44">
        <w:tc>
          <w:tcPr>
            <w:tcW w:w="4444" w:type="dxa"/>
          </w:tcPr>
          <w:p w:rsidR="00E15E85" w:rsidRPr="00DE7A80" w:rsidRDefault="00085585" w:rsidP="00B00A44">
            <w:pPr>
              <w:pStyle w:val="NormalWeb"/>
              <w:tabs>
                <w:tab w:val="left" w:pos="0"/>
              </w:tabs>
              <w:jc w:val="center"/>
              <w:rPr>
                <w:rFonts w:cs="Arial"/>
                <w:sz w:val="18"/>
                <w:szCs w:val="18"/>
                <w:lang w:val="en-US"/>
              </w:rPr>
            </w:pPr>
            <w:r>
              <w:object w:dxaOrig="8381" w:dyaOrig="5170">
                <v:shape id="_x0000_i1034" type="#_x0000_t75" style="width:207.7pt;height:117.5pt" o:ole="">
                  <v:imagedata r:id="rId28" o:title="" croptop="7351f" cropbottom="5931f" cropleft="3223f" cropright="5045f"/>
                </v:shape>
                <o:OLEObject Type="Embed" ProgID="Origin50.Graph" ShapeID="_x0000_i1034" DrawAspect="Content" ObjectID="_1616515168" r:id="rId29"/>
              </w:object>
            </w:r>
          </w:p>
        </w:tc>
        <w:tc>
          <w:tcPr>
            <w:tcW w:w="4559" w:type="dxa"/>
          </w:tcPr>
          <w:p w:rsidR="00E15E85" w:rsidRPr="00DE7A80" w:rsidRDefault="00E15E85" w:rsidP="00B00A44">
            <w:pPr>
              <w:pStyle w:val="NormalWeb"/>
              <w:tabs>
                <w:tab w:val="left" w:pos="0"/>
              </w:tabs>
              <w:jc w:val="center"/>
              <w:rPr>
                <w:rFonts w:cs="Arial"/>
                <w:sz w:val="18"/>
                <w:szCs w:val="18"/>
                <w:lang w:val="en-US"/>
              </w:rPr>
            </w:pPr>
            <w:r w:rsidRPr="00BF06EF">
              <w:rPr>
                <w:noProof/>
              </w:rPr>
              <w:drawing>
                <wp:inline distT="0" distB="0" distL="0" distR="0">
                  <wp:extent cx="2803660" cy="153670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0" cstate="print">
                            <a:extLst>
                              <a:ext uri="{28A0092B-C50C-407E-A947-70E740481C1C}">
                                <a14:useLocalDpi xmlns:a14="http://schemas.microsoft.com/office/drawing/2010/main" val="0"/>
                              </a:ext>
                            </a:extLst>
                          </a:blip>
                          <a:srcRect l="19472" t="22792" r="14738" b="13101"/>
                          <a:stretch>
                            <a:fillRect/>
                          </a:stretch>
                        </pic:blipFill>
                        <pic:spPr bwMode="auto">
                          <a:xfrm>
                            <a:off x="0" y="0"/>
                            <a:ext cx="2806596" cy="1538309"/>
                          </a:xfrm>
                          <a:prstGeom prst="rect">
                            <a:avLst/>
                          </a:prstGeom>
                          <a:noFill/>
                          <a:ln>
                            <a:noFill/>
                          </a:ln>
                        </pic:spPr>
                      </pic:pic>
                    </a:graphicData>
                  </a:graphic>
                </wp:inline>
              </w:drawing>
            </w:r>
          </w:p>
        </w:tc>
      </w:tr>
      <w:tr w:rsidR="00E15E85" w:rsidRPr="008D3B75" w:rsidTr="00B00A44">
        <w:tc>
          <w:tcPr>
            <w:tcW w:w="4444" w:type="dxa"/>
          </w:tcPr>
          <w:p w:rsidR="00E15E85" w:rsidRPr="008D3B75" w:rsidRDefault="00E15E85" w:rsidP="00B50C2F">
            <w:pPr>
              <w:pStyle w:val="CETCaption"/>
              <w:rPr>
                <w:rFonts w:cs="Arial"/>
                <w:lang w:val="en-US"/>
              </w:rPr>
            </w:pPr>
            <w:r w:rsidRPr="00F263FE">
              <w:rPr>
                <w:lang w:val="en"/>
              </w:rPr>
              <w:t xml:space="preserve">Figure </w:t>
            </w:r>
            <w:r>
              <w:rPr>
                <w:lang w:val="en"/>
              </w:rPr>
              <w:t xml:space="preserve">1: </w:t>
            </w:r>
            <w:r w:rsidRPr="00F263FE">
              <w:rPr>
                <w:lang w:val="en"/>
              </w:rPr>
              <w:t>lignin concentration profile. Effect of liquid phase flow</w:t>
            </w:r>
            <w:r w:rsidRPr="008D3B75">
              <w:rPr>
                <w:rFonts w:cs="Arial"/>
                <w:lang w:val="en-US"/>
              </w:rPr>
              <w:t xml:space="preserve">. </w:t>
            </w:r>
          </w:p>
        </w:tc>
        <w:tc>
          <w:tcPr>
            <w:tcW w:w="4559" w:type="dxa"/>
          </w:tcPr>
          <w:p w:rsidR="00E15E85" w:rsidRPr="008D3B75" w:rsidRDefault="00E15E85" w:rsidP="00B50C2F">
            <w:pPr>
              <w:pStyle w:val="CETCaption"/>
              <w:rPr>
                <w:rFonts w:cs="Arial"/>
                <w:lang w:val="en-US"/>
              </w:rPr>
            </w:pPr>
            <w:r w:rsidRPr="00F263FE">
              <w:rPr>
                <w:lang w:val="en"/>
              </w:rPr>
              <w:t xml:space="preserve">Figure </w:t>
            </w:r>
            <w:r>
              <w:rPr>
                <w:lang w:val="en"/>
              </w:rPr>
              <w:t xml:space="preserve">2: </w:t>
            </w:r>
            <w:r w:rsidRPr="00F263FE">
              <w:rPr>
                <w:lang w:val="en"/>
              </w:rPr>
              <w:t xml:space="preserve">profile of oxygen concentration in the gas phase with </w:t>
            </w:r>
            <w:r w:rsidR="00EF5A73">
              <w:rPr>
                <w:lang w:val="en"/>
              </w:rPr>
              <w:t xml:space="preserve">the </w:t>
            </w:r>
            <w:r w:rsidRPr="00F263FE">
              <w:rPr>
                <w:lang w:val="en"/>
              </w:rPr>
              <w:t xml:space="preserve">effect of flow and temperature. </w:t>
            </w:r>
          </w:p>
        </w:tc>
      </w:tr>
    </w:tbl>
    <w:p w:rsidR="00E15E85" w:rsidRPr="00DE7A80" w:rsidRDefault="00E15E85" w:rsidP="00E15E85">
      <w:pPr>
        <w:pStyle w:val="CETBodytext"/>
      </w:pPr>
      <w:r w:rsidRPr="00DE7A80">
        <w:t xml:space="preserve">The oxygen supplied by the gaseous phase supplies the liquid phase by dissolving and transferring into it (Figure </w:t>
      </w:r>
      <w:r>
        <w:t>3</w:t>
      </w:r>
      <w:r w:rsidRPr="00DE7A80">
        <w:t xml:space="preserve">). During the passage of the liquid phase more oxygen dissolves and is used to react with lignin and aldehydes on the catalyst, with a decrease of its concentration (0.13 mmol/L) from the reactor inlet to 70% of its length, from where it </w:t>
      </w:r>
      <w:r w:rsidR="00760632">
        <w:t>k</w:t>
      </w:r>
      <w:r w:rsidRPr="00DE7A80">
        <w:t>eeps constant until the exit. In the largest of the operation flows and the 393 K</w:t>
      </w:r>
      <w:r w:rsidR="00EF5A73">
        <w:t>,</w:t>
      </w:r>
      <w:r w:rsidRPr="00DE7A80">
        <w:t xml:space="preserve"> more oxygen disappeared from the liquid phase, which was due to the occurrence of lower resistance to mass transfer and the most pronounced kinetic effect in contact with the catalyst.</w:t>
      </w:r>
    </w:p>
    <w:p w:rsidR="00E15E85" w:rsidRPr="00DE7A80" w:rsidRDefault="00B50C2F" w:rsidP="00E15E85">
      <w:pPr>
        <w:spacing w:line="360" w:lineRule="auto"/>
        <w:jc w:val="left"/>
        <w:rPr>
          <w:rFonts w:cs="Arial"/>
          <w:color w:val="0070C0"/>
          <w:szCs w:val="18"/>
        </w:rPr>
      </w:pPr>
      <w:r>
        <w:object w:dxaOrig="8377" w:dyaOrig="5145">
          <v:shape id="_x0000_i1035" type="#_x0000_t75" style="width:231.05pt;height:128.55pt" o:ole="">
            <v:imagedata r:id="rId31" o:title="" croptop="7862f" cropbottom="5479f" cropleft="3074f" cropright="4826f"/>
          </v:shape>
          <o:OLEObject Type="Embed" ProgID="Origin50.Graph" ShapeID="_x0000_i1035" DrawAspect="Content" ObjectID="_1616515169" r:id="rId32"/>
        </w:object>
      </w:r>
    </w:p>
    <w:p w:rsidR="00E15E85" w:rsidRPr="008D3B75" w:rsidRDefault="00E15E85" w:rsidP="00E15E85">
      <w:pPr>
        <w:pStyle w:val="CETCaption"/>
        <w:rPr>
          <w:rFonts w:cs="Arial"/>
          <w:lang w:val="en-US"/>
        </w:rPr>
      </w:pPr>
      <w:r w:rsidRPr="00F263FE">
        <w:rPr>
          <w:lang w:val="en"/>
        </w:rPr>
        <w:t xml:space="preserve">Figure </w:t>
      </w:r>
      <w:r>
        <w:rPr>
          <w:lang w:val="en"/>
        </w:rPr>
        <w:t>3</w:t>
      </w:r>
      <w:r w:rsidR="00EF5A73">
        <w:rPr>
          <w:lang w:val="en"/>
        </w:rPr>
        <w:t xml:space="preserve">: </w:t>
      </w:r>
      <w:r w:rsidRPr="00F263FE">
        <w:rPr>
          <w:lang w:val="en"/>
        </w:rPr>
        <w:t>Oxygen concentration profile in the liquid phase. Effect of liquid phase flow and temperature.</w:t>
      </w:r>
    </w:p>
    <w:p w:rsidR="00E15E85" w:rsidRDefault="00E15E85" w:rsidP="00E15E85">
      <w:pPr>
        <w:pStyle w:val="CETBodytext"/>
      </w:pPr>
      <w:r w:rsidRPr="00F263FE">
        <w:t xml:space="preserve">In figures </w:t>
      </w:r>
      <w:r>
        <w:t>4</w:t>
      </w:r>
      <w:r w:rsidRPr="00F263FE">
        <w:t xml:space="preserve"> and </w:t>
      </w:r>
      <w:r>
        <w:t>5</w:t>
      </w:r>
      <w:r w:rsidRPr="00F263FE">
        <w:t>, the vanillin concentration profiles were represented in the reactor, respectively in the temperatures of 373K and 393K. In each operation, the effect of the liquid phase flow operational parameter was evaluated. Validations of the model predictions are made through the profiles are formulated by simulation and compared to the experimental profiles obtained in the two flow rates of 5 L/h and 10 L/h (SALES,2001). The concentration profiles of the increasing vanillin denote that in all operations, to different flows, there is the establishment of constant levels of production of vanillin inside the reactor, at about 0.2 z/L in operation at 373K and 0.3 z/L in operation at 393K.</w:t>
      </w:r>
    </w:p>
    <w:tbl>
      <w:tblPr>
        <w:tblW w:w="0" w:type="auto"/>
        <w:tblLook w:val="04A0" w:firstRow="1" w:lastRow="0" w:firstColumn="1" w:lastColumn="0" w:noHBand="0" w:noVBand="1"/>
      </w:tblPr>
      <w:tblGrid>
        <w:gridCol w:w="4259"/>
        <w:gridCol w:w="4528"/>
      </w:tblGrid>
      <w:tr w:rsidR="00E15E85" w:rsidRPr="00DE7A80" w:rsidTr="00B00A44">
        <w:trPr>
          <w:trHeight w:val="2487"/>
        </w:trPr>
        <w:tc>
          <w:tcPr>
            <w:tcW w:w="4347" w:type="dxa"/>
          </w:tcPr>
          <w:p w:rsidR="00E15E85" w:rsidRPr="00DE7A80" w:rsidRDefault="00E15E85" w:rsidP="00B00A44">
            <w:pPr>
              <w:pStyle w:val="NormalWeb"/>
              <w:tabs>
                <w:tab w:val="left" w:pos="0"/>
              </w:tabs>
              <w:jc w:val="center"/>
              <w:rPr>
                <w:rFonts w:cs="Arial"/>
                <w:sz w:val="18"/>
                <w:szCs w:val="18"/>
                <w:lang w:val="en-US"/>
              </w:rPr>
            </w:pPr>
            <w:r>
              <w:object w:dxaOrig="8146" w:dyaOrig="5157">
                <v:shape id="_x0000_i1036" type="#_x0000_t75" style="width:187.1pt;height:107.6pt" o:ole="">
                  <v:imagedata r:id="rId33" o:title="" croptop="7605f" cropbottom="5573f" cropleft="2938f" cropright="4957f"/>
                </v:shape>
                <o:OLEObject Type="Embed" ProgID="Origin50.Graph" ShapeID="_x0000_i1036" DrawAspect="Content" ObjectID="_1616515170" r:id="rId34"/>
              </w:object>
            </w:r>
          </w:p>
        </w:tc>
        <w:tc>
          <w:tcPr>
            <w:tcW w:w="4656" w:type="dxa"/>
          </w:tcPr>
          <w:p w:rsidR="00E15E85" w:rsidRPr="00DE7A80" w:rsidRDefault="00E15E85" w:rsidP="00B00A44">
            <w:pPr>
              <w:pStyle w:val="NormalWeb"/>
              <w:tabs>
                <w:tab w:val="left" w:pos="0"/>
              </w:tabs>
              <w:jc w:val="center"/>
              <w:rPr>
                <w:rFonts w:cs="Arial"/>
                <w:sz w:val="18"/>
                <w:szCs w:val="18"/>
                <w:lang w:val="en-US"/>
              </w:rPr>
            </w:pPr>
            <w:r>
              <w:object w:dxaOrig="8139" w:dyaOrig="5157">
                <v:shape id="_x0000_i1037" type="#_x0000_t75" style="width:193.45pt;height:112.35pt" o:ole="">
                  <v:imagedata r:id="rId35" o:title="" croptop="7478f" cropbottom="5346f" cropleft="3158f" cropright="4818f"/>
                </v:shape>
                <o:OLEObject Type="Embed" ProgID="Origin50.Graph" ShapeID="_x0000_i1037" DrawAspect="Content" ObjectID="_1616515171" r:id="rId36"/>
              </w:object>
            </w:r>
          </w:p>
        </w:tc>
      </w:tr>
      <w:tr w:rsidR="00E15E85" w:rsidRPr="008D3B75" w:rsidTr="00085585">
        <w:trPr>
          <w:trHeight w:val="918"/>
        </w:trPr>
        <w:tc>
          <w:tcPr>
            <w:tcW w:w="4347" w:type="dxa"/>
          </w:tcPr>
          <w:p w:rsidR="00E15E85" w:rsidRPr="008D3B75" w:rsidRDefault="00E15E85" w:rsidP="00B50C2F">
            <w:pPr>
              <w:pStyle w:val="CETCaption"/>
              <w:rPr>
                <w:lang w:val="en-US"/>
              </w:rPr>
            </w:pPr>
            <w:r w:rsidRPr="008D3B75">
              <w:rPr>
                <w:lang w:val="en"/>
              </w:rPr>
              <w:t xml:space="preserve">Figure </w:t>
            </w:r>
            <w:r>
              <w:rPr>
                <w:lang w:val="en"/>
              </w:rPr>
              <w:t>4: V</w:t>
            </w:r>
            <w:r w:rsidRPr="008D3B75">
              <w:rPr>
                <w:lang w:val="en"/>
              </w:rPr>
              <w:t>anillin concentration profile. Model validation</w:t>
            </w:r>
            <w:r w:rsidR="00760632">
              <w:rPr>
                <w:lang w:val="en"/>
              </w:rPr>
              <w:t xml:space="preserve"> and</w:t>
            </w:r>
            <w:r w:rsidRPr="008D3B75">
              <w:rPr>
                <w:lang w:val="en"/>
              </w:rPr>
              <w:t xml:space="preserve"> </w:t>
            </w:r>
            <w:r w:rsidR="00760632">
              <w:rPr>
                <w:lang w:val="en"/>
              </w:rPr>
              <w:t>e</w:t>
            </w:r>
            <w:r w:rsidRPr="008D3B75">
              <w:rPr>
                <w:lang w:val="en"/>
              </w:rPr>
              <w:t xml:space="preserve">ffect of liquid phase flow. </w:t>
            </w:r>
          </w:p>
        </w:tc>
        <w:tc>
          <w:tcPr>
            <w:tcW w:w="4656" w:type="dxa"/>
          </w:tcPr>
          <w:p w:rsidR="00E15E85" w:rsidRPr="008D3B75" w:rsidRDefault="00E15E85" w:rsidP="00B50C2F">
            <w:pPr>
              <w:pStyle w:val="CETCaption"/>
              <w:rPr>
                <w:lang w:val="en-US"/>
              </w:rPr>
            </w:pPr>
            <w:bookmarkStart w:id="1" w:name="_Hlk514578496"/>
            <w:r w:rsidRPr="008D3B75">
              <w:rPr>
                <w:lang w:val="en"/>
              </w:rPr>
              <w:t xml:space="preserve">Figure </w:t>
            </w:r>
            <w:r>
              <w:rPr>
                <w:lang w:val="en"/>
              </w:rPr>
              <w:t xml:space="preserve">5: </w:t>
            </w:r>
            <w:r w:rsidRPr="008D3B75">
              <w:rPr>
                <w:lang w:val="en"/>
              </w:rPr>
              <w:t xml:space="preserve">Vanillin concentration profile </w:t>
            </w:r>
            <w:r>
              <w:rPr>
                <w:lang w:val="en"/>
              </w:rPr>
              <w:t>w</w:t>
            </w:r>
            <w:r w:rsidRPr="008D3B75">
              <w:rPr>
                <w:lang w:val="en"/>
              </w:rPr>
              <w:t xml:space="preserve">ith </w:t>
            </w:r>
            <w:r>
              <w:rPr>
                <w:lang w:val="en"/>
              </w:rPr>
              <w:t>m</w:t>
            </w:r>
            <w:r w:rsidRPr="008D3B75">
              <w:rPr>
                <w:lang w:val="en"/>
              </w:rPr>
              <w:t xml:space="preserve">odel </w:t>
            </w:r>
            <w:r>
              <w:rPr>
                <w:lang w:val="en"/>
              </w:rPr>
              <w:t>va</w:t>
            </w:r>
            <w:r w:rsidRPr="008D3B75">
              <w:rPr>
                <w:lang w:val="en"/>
              </w:rPr>
              <w:t xml:space="preserve">lidation </w:t>
            </w:r>
            <w:r>
              <w:rPr>
                <w:lang w:val="en"/>
              </w:rPr>
              <w:t>a</w:t>
            </w:r>
            <w:r w:rsidRPr="008D3B75">
              <w:rPr>
                <w:lang w:val="en"/>
              </w:rPr>
              <w:t xml:space="preserve">nd </w:t>
            </w:r>
            <w:r w:rsidR="00EF5A73">
              <w:rPr>
                <w:lang w:val="en"/>
              </w:rPr>
              <w:t xml:space="preserve">the </w:t>
            </w:r>
            <w:r w:rsidRPr="008D3B75">
              <w:rPr>
                <w:lang w:val="en"/>
              </w:rPr>
              <w:t>e</w:t>
            </w:r>
            <w:r>
              <w:rPr>
                <w:lang w:val="en"/>
              </w:rPr>
              <w:t xml:space="preserve">ffect </w:t>
            </w:r>
            <w:r w:rsidRPr="008D3B75">
              <w:rPr>
                <w:lang w:val="en"/>
              </w:rPr>
              <w:t>of</w:t>
            </w:r>
            <w:r>
              <w:rPr>
                <w:lang w:val="en"/>
              </w:rPr>
              <w:t xml:space="preserve"> the </w:t>
            </w:r>
            <w:r w:rsidRPr="008D3B75">
              <w:rPr>
                <w:lang w:val="en"/>
              </w:rPr>
              <w:t xml:space="preserve">flow. </w:t>
            </w:r>
            <w:bookmarkEnd w:id="1"/>
          </w:p>
        </w:tc>
      </w:tr>
    </w:tbl>
    <w:p w:rsidR="00E15E85" w:rsidRPr="00902E80" w:rsidRDefault="00E15E85" w:rsidP="00E15E85">
      <w:pPr>
        <w:pStyle w:val="Default"/>
        <w:spacing w:line="264" w:lineRule="auto"/>
        <w:jc w:val="both"/>
        <w:rPr>
          <w:rFonts w:ascii="Arial" w:hAnsi="Arial" w:cs="Arial"/>
          <w:color w:val="auto"/>
          <w:sz w:val="18"/>
          <w:szCs w:val="18"/>
          <w:lang w:val="en-US"/>
        </w:rPr>
      </w:pPr>
      <w:r w:rsidRPr="00DE7A80">
        <w:rPr>
          <w:rFonts w:ascii="Arial" w:hAnsi="Arial" w:cs="Arial"/>
          <w:sz w:val="18"/>
          <w:szCs w:val="18"/>
          <w:lang w:val="en"/>
        </w:rPr>
        <w:t xml:space="preserve">In figure </w:t>
      </w:r>
      <w:r>
        <w:rPr>
          <w:rFonts w:ascii="Arial" w:hAnsi="Arial" w:cs="Arial"/>
          <w:sz w:val="18"/>
          <w:szCs w:val="18"/>
          <w:lang w:val="en"/>
        </w:rPr>
        <w:t>6</w:t>
      </w:r>
      <w:r w:rsidRPr="00DE7A80">
        <w:rPr>
          <w:rFonts w:ascii="Arial" w:hAnsi="Arial" w:cs="Arial"/>
          <w:sz w:val="18"/>
          <w:szCs w:val="18"/>
          <w:lang w:val="en"/>
        </w:rPr>
        <w:t xml:space="preserve"> </w:t>
      </w:r>
      <w:r w:rsidR="0020437E">
        <w:rPr>
          <w:rFonts w:ascii="Arial" w:hAnsi="Arial" w:cs="Arial"/>
          <w:sz w:val="18"/>
          <w:szCs w:val="18"/>
          <w:lang w:val="en"/>
        </w:rPr>
        <w:t>is</w:t>
      </w:r>
      <w:r w:rsidRPr="00DE7A80">
        <w:rPr>
          <w:rFonts w:ascii="Arial" w:hAnsi="Arial" w:cs="Arial"/>
          <w:sz w:val="18"/>
          <w:szCs w:val="18"/>
          <w:lang w:val="en"/>
        </w:rPr>
        <w:t xml:space="preserve"> represented the concentration profiles of the </w:t>
      </w:r>
      <w:r w:rsidRPr="00F808F3">
        <w:rPr>
          <w:rFonts w:ascii="Arial" w:hAnsi="Arial" w:cs="Arial"/>
          <w:bCs/>
          <w:sz w:val="18"/>
          <w:szCs w:val="18"/>
          <w:shd w:val="clear" w:color="auto" w:fill="FFFFFF"/>
          <w:lang w:val="en"/>
        </w:rPr>
        <w:t>syringaldehyde</w:t>
      </w:r>
      <w:r w:rsidRPr="00DE7A80">
        <w:rPr>
          <w:rFonts w:ascii="Arial" w:hAnsi="Arial" w:cs="Arial"/>
          <w:sz w:val="18"/>
          <w:szCs w:val="18"/>
          <w:lang w:val="en"/>
        </w:rPr>
        <w:t xml:space="preserve"> </w:t>
      </w:r>
      <w:r>
        <w:rPr>
          <w:rFonts w:ascii="Arial" w:hAnsi="Arial" w:cs="Arial"/>
          <w:sz w:val="18"/>
          <w:szCs w:val="18"/>
          <w:lang w:val="en"/>
        </w:rPr>
        <w:t>i</w:t>
      </w:r>
      <w:r w:rsidRPr="00DE7A80">
        <w:rPr>
          <w:rFonts w:ascii="Arial" w:hAnsi="Arial" w:cs="Arial"/>
          <w:sz w:val="18"/>
          <w:szCs w:val="18"/>
          <w:lang w:val="en"/>
        </w:rPr>
        <w:t>n the r</w:t>
      </w:r>
      <w:r>
        <w:rPr>
          <w:rFonts w:ascii="Arial" w:hAnsi="Arial" w:cs="Arial"/>
          <w:sz w:val="18"/>
          <w:szCs w:val="18"/>
          <w:lang w:val="en"/>
        </w:rPr>
        <w:t>eactor</w:t>
      </w:r>
      <w:r w:rsidRPr="00DE7A80">
        <w:rPr>
          <w:rFonts w:ascii="Arial" w:hAnsi="Arial" w:cs="Arial"/>
          <w:sz w:val="18"/>
          <w:szCs w:val="18"/>
          <w:lang w:val="en"/>
        </w:rPr>
        <w:t>, at the temperature of 393 K. In this operation, the effect of the liquid phase flow operational parameter was evaluated. Profile predictions are formulated by simulation and compared to the experimental profiles obtained in the flow of 5</w:t>
      </w:r>
      <w:r>
        <w:rPr>
          <w:rFonts w:ascii="Arial" w:hAnsi="Arial" w:cs="Arial"/>
          <w:sz w:val="18"/>
          <w:szCs w:val="18"/>
          <w:lang w:val="en"/>
        </w:rPr>
        <w:t>L</w:t>
      </w:r>
      <w:r w:rsidRPr="00DE7A80">
        <w:rPr>
          <w:rFonts w:ascii="Arial" w:hAnsi="Arial" w:cs="Arial"/>
          <w:sz w:val="18"/>
          <w:szCs w:val="18"/>
          <w:lang w:val="en"/>
        </w:rPr>
        <w:t>/h and 10 L/h (S</w:t>
      </w:r>
      <w:r>
        <w:rPr>
          <w:rFonts w:ascii="Arial" w:hAnsi="Arial" w:cs="Arial"/>
          <w:sz w:val="18"/>
          <w:szCs w:val="18"/>
          <w:lang w:val="en"/>
        </w:rPr>
        <w:t>ales</w:t>
      </w:r>
      <w:r w:rsidRPr="00DE7A80">
        <w:rPr>
          <w:rFonts w:ascii="Arial" w:hAnsi="Arial" w:cs="Arial"/>
          <w:sz w:val="18"/>
          <w:szCs w:val="18"/>
          <w:lang w:val="en"/>
        </w:rPr>
        <w:t>,2001), indicating model validation.</w:t>
      </w:r>
      <w:r w:rsidRPr="00DE7A80">
        <w:rPr>
          <w:rFonts w:ascii="Arial" w:hAnsi="Arial" w:cs="Arial"/>
          <w:color w:val="auto"/>
          <w:sz w:val="18"/>
          <w:szCs w:val="18"/>
          <w:lang w:val="en"/>
        </w:rPr>
        <w:t xml:space="preserve"> Figure </w:t>
      </w:r>
      <w:r>
        <w:rPr>
          <w:rFonts w:ascii="Arial" w:hAnsi="Arial" w:cs="Arial"/>
          <w:color w:val="auto"/>
          <w:sz w:val="18"/>
          <w:szCs w:val="18"/>
          <w:lang w:val="en"/>
        </w:rPr>
        <w:t>7</w:t>
      </w:r>
      <w:r w:rsidRPr="00DE7A80">
        <w:rPr>
          <w:rFonts w:ascii="Arial" w:hAnsi="Arial" w:cs="Arial"/>
          <w:color w:val="auto"/>
          <w:sz w:val="18"/>
          <w:szCs w:val="18"/>
          <w:lang w:val="en"/>
        </w:rPr>
        <w:t xml:space="preserve"> </w:t>
      </w:r>
      <w:r w:rsidR="00317AB0">
        <w:rPr>
          <w:rFonts w:ascii="Arial" w:hAnsi="Arial" w:cs="Arial"/>
          <w:color w:val="auto"/>
          <w:sz w:val="18"/>
          <w:szCs w:val="18"/>
          <w:lang w:val="en"/>
        </w:rPr>
        <w:t>r</w:t>
      </w:r>
      <w:bookmarkStart w:id="2" w:name="_GoBack"/>
      <w:bookmarkEnd w:id="2"/>
      <w:r w:rsidRPr="00DE7A80">
        <w:rPr>
          <w:rFonts w:ascii="Arial" w:hAnsi="Arial" w:cs="Arial"/>
          <w:color w:val="auto"/>
          <w:sz w:val="18"/>
          <w:szCs w:val="18"/>
          <w:lang w:val="en"/>
        </w:rPr>
        <w:t xml:space="preserve">epresents the concentration profiles of the ρ-Hydroxybenzaldehyde in the </w:t>
      </w:r>
      <w:r>
        <w:rPr>
          <w:rFonts w:ascii="Arial" w:hAnsi="Arial" w:cs="Arial"/>
          <w:color w:val="auto"/>
          <w:sz w:val="18"/>
          <w:szCs w:val="18"/>
          <w:lang w:val="en"/>
        </w:rPr>
        <w:t>reactor</w:t>
      </w:r>
      <w:r w:rsidRPr="00DE7A80">
        <w:rPr>
          <w:rFonts w:ascii="Arial" w:hAnsi="Arial" w:cs="Arial"/>
          <w:color w:val="auto"/>
          <w:sz w:val="18"/>
          <w:szCs w:val="18"/>
          <w:lang w:val="en"/>
        </w:rPr>
        <w:t>, respectively in the temperatures of 373</w:t>
      </w:r>
      <w:r>
        <w:rPr>
          <w:rFonts w:ascii="Arial" w:hAnsi="Arial" w:cs="Arial"/>
          <w:color w:val="auto"/>
          <w:sz w:val="18"/>
          <w:szCs w:val="18"/>
          <w:lang w:val="en"/>
        </w:rPr>
        <w:t>K</w:t>
      </w:r>
      <w:r w:rsidRPr="00DE7A80">
        <w:rPr>
          <w:rFonts w:ascii="Arial" w:hAnsi="Arial" w:cs="Arial"/>
          <w:color w:val="auto"/>
          <w:sz w:val="18"/>
          <w:szCs w:val="18"/>
          <w:lang w:val="en"/>
        </w:rPr>
        <w:t xml:space="preserve"> and 393K. In each operation, the effect of the liquid phase flow operational parameter was evaluated</w:t>
      </w:r>
      <w:r>
        <w:rPr>
          <w:rFonts w:ascii="Arial" w:hAnsi="Arial" w:cs="Arial"/>
          <w:color w:val="auto"/>
          <w:sz w:val="18"/>
          <w:szCs w:val="18"/>
          <w:lang w:val="en"/>
        </w:rPr>
        <w:t>, reached 15 mmol/L and 13mmol/L, respectively</w:t>
      </w:r>
      <w:r w:rsidRPr="00DE7A80">
        <w:rPr>
          <w:rFonts w:ascii="Arial" w:hAnsi="Arial" w:cs="Arial"/>
          <w:color w:val="auto"/>
          <w:sz w:val="18"/>
          <w:szCs w:val="18"/>
          <w:lang w:val="en"/>
        </w:rPr>
        <w:t>.</w:t>
      </w:r>
    </w:p>
    <w:tbl>
      <w:tblPr>
        <w:tblW w:w="0" w:type="auto"/>
        <w:tblLook w:val="04A0" w:firstRow="1" w:lastRow="0" w:firstColumn="1" w:lastColumn="0" w:noHBand="0" w:noVBand="1"/>
      </w:tblPr>
      <w:tblGrid>
        <w:gridCol w:w="4298"/>
        <w:gridCol w:w="4489"/>
      </w:tblGrid>
      <w:tr w:rsidR="00E15E85" w:rsidRPr="00DE7A80" w:rsidTr="00B00A44">
        <w:tc>
          <w:tcPr>
            <w:tcW w:w="4349" w:type="dxa"/>
          </w:tcPr>
          <w:p w:rsidR="00E15E85" w:rsidRPr="00DE7A80" w:rsidRDefault="00E15E85" w:rsidP="00B00A44">
            <w:pPr>
              <w:pStyle w:val="NormalWeb"/>
              <w:tabs>
                <w:tab w:val="left" w:pos="0"/>
              </w:tabs>
              <w:jc w:val="center"/>
              <w:rPr>
                <w:rFonts w:cs="Arial"/>
                <w:sz w:val="18"/>
                <w:szCs w:val="18"/>
                <w:lang w:val="en-US"/>
              </w:rPr>
            </w:pPr>
            <w:r>
              <w:object w:dxaOrig="8152" w:dyaOrig="5164">
                <v:shape id="_x0000_i1038" type="#_x0000_t75" style="width:198.6pt;height:116.3pt" o:ole="">
                  <v:imagedata r:id="rId37" o:title="" croptop="7351f" cropbottom="5219f" cropleft="3376f" cropright="4887f"/>
                </v:shape>
                <o:OLEObject Type="Embed" ProgID="Origin50.Graph" ShapeID="_x0000_i1038" DrawAspect="Content" ObjectID="_1616515172" r:id="rId38"/>
              </w:object>
            </w:r>
          </w:p>
        </w:tc>
        <w:tc>
          <w:tcPr>
            <w:tcW w:w="4654" w:type="dxa"/>
          </w:tcPr>
          <w:p w:rsidR="00E15E85" w:rsidRPr="00DE7A80" w:rsidRDefault="00E15E85" w:rsidP="00B00A44">
            <w:pPr>
              <w:pStyle w:val="NormalWeb"/>
              <w:tabs>
                <w:tab w:val="left" w:pos="0"/>
              </w:tabs>
              <w:jc w:val="center"/>
              <w:rPr>
                <w:rFonts w:cs="Arial"/>
                <w:sz w:val="18"/>
                <w:szCs w:val="18"/>
                <w:lang w:val="en-US"/>
              </w:rPr>
            </w:pPr>
            <w:r>
              <w:object w:dxaOrig="8032" w:dyaOrig="5136">
                <v:shape id="_x0000_i1039" type="#_x0000_t75" style="width:195.45pt;height:114.75pt" o:ole="">
                  <v:imagedata r:id="rId39" o:title="" croptop="7391f" cropbottom="4775f" cropleft="3051f" cropright="4431f"/>
                </v:shape>
                <o:OLEObject Type="Embed" ProgID="Origin50.Graph" ShapeID="_x0000_i1039" DrawAspect="Content" ObjectID="_1616515173" r:id="rId40"/>
              </w:object>
            </w:r>
          </w:p>
        </w:tc>
      </w:tr>
      <w:tr w:rsidR="00E15E85" w:rsidRPr="008D3B75" w:rsidTr="00B00A44">
        <w:tc>
          <w:tcPr>
            <w:tcW w:w="4349" w:type="dxa"/>
          </w:tcPr>
          <w:p w:rsidR="00E15E85" w:rsidRPr="008D3B75" w:rsidRDefault="00E15E85" w:rsidP="00B00A44">
            <w:pPr>
              <w:pStyle w:val="CETCaption"/>
              <w:rPr>
                <w:lang w:val="en-US"/>
              </w:rPr>
            </w:pPr>
            <w:r w:rsidRPr="008D3B75">
              <w:rPr>
                <w:lang w:val="en"/>
              </w:rPr>
              <w:t xml:space="preserve">Figure </w:t>
            </w:r>
            <w:r>
              <w:rPr>
                <w:lang w:val="en"/>
              </w:rPr>
              <w:t>6</w:t>
            </w:r>
            <w:r w:rsidR="00EF5A73">
              <w:rPr>
                <w:lang w:val="en"/>
              </w:rPr>
              <w:t xml:space="preserve">: </w:t>
            </w:r>
            <w:r w:rsidRPr="008D3B75">
              <w:rPr>
                <w:lang w:val="en"/>
              </w:rPr>
              <w:t xml:space="preserve">concentration profile of the </w:t>
            </w:r>
            <w:r w:rsidR="00085585">
              <w:rPr>
                <w:lang w:val="en"/>
              </w:rPr>
              <w:t>syringaldehyde</w:t>
            </w:r>
            <w:r w:rsidRPr="008D3B75">
              <w:rPr>
                <w:lang w:val="en"/>
              </w:rPr>
              <w:t>. Model validation. Effect of liquid phase flow.</w:t>
            </w:r>
          </w:p>
        </w:tc>
        <w:tc>
          <w:tcPr>
            <w:tcW w:w="4654" w:type="dxa"/>
          </w:tcPr>
          <w:p w:rsidR="00E15E85" w:rsidRPr="008D3B75" w:rsidRDefault="00E15E85" w:rsidP="00B00A44">
            <w:pPr>
              <w:pStyle w:val="CETCaption"/>
              <w:rPr>
                <w:lang w:val="en"/>
              </w:rPr>
            </w:pPr>
            <w:r>
              <w:rPr>
                <w:lang w:val="en"/>
              </w:rPr>
              <w:t>Figure 7</w:t>
            </w:r>
            <w:r w:rsidR="00EF5A73">
              <w:rPr>
                <w:lang w:val="en"/>
              </w:rPr>
              <w:t>:</w:t>
            </w:r>
            <w:r>
              <w:rPr>
                <w:lang w:val="en"/>
              </w:rPr>
              <w:t xml:space="preserve"> Concentration profile of the p-hydroxybenzaldehyde. Effect of liquid phase flow.</w:t>
            </w:r>
          </w:p>
        </w:tc>
      </w:tr>
    </w:tbl>
    <w:p w:rsidR="00E15E85" w:rsidRDefault="00E15E85" w:rsidP="00E15E85">
      <w:pPr>
        <w:pStyle w:val="CETHeading1"/>
      </w:pPr>
      <w:r>
        <w:rPr>
          <w:lang w:val="en-GB"/>
        </w:rPr>
        <w:t>Conclusion</w:t>
      </w:r>
    </w:p>
    <w:p w:rsidR="00E15E85" w:rsidRDefault="00E15E85" w:rsidP="00E15E85">
      <w:pPr>
        <w:tabs>
          <w:tab w:val="left" w:pos="0"/>
        </w:tabs>
        <w:rPr>
          <w:rFonts w:cs="Arial"/>
          <w:szCs w:val="18"/>
        </w:rPr>
      </w:pPr>
      <w:r w:rsidRPr="00DE7A80">
        <w:rPr>
          <w:rFonts w:cs="Arial"/>
          <w:szCs w:val="18"/>
        </w:rPr>
        <w:t xml:space="preserve">Lignocellulosic biomasses (LCB) such as energy crops and </w:t>
      </w:r>
      <w:proofErr w:type="spellStart"/>
      <w:r w:rsidRPr="00DE7A80">
        <w:rPr>
          <w:rFonts w:cs="Arial"/>
          <w:szCs w:val="18"/>
        </w:rPr>
        <w:t>agro</w:t>
      </w:r>
      <w:proofErr w:type="spellEnd"/>
      <w:r w:rsidRPr="00DE7A80">
        <w:rPr>
          <w:rFonts w:cs="Arial"/>
          <w:szCs w:val="18"/>
        </w:rPr>
        <w:t xml:space="preserve">-industrial residues have been investigated over the last decades as sources for the sustainable production of </w:t>
      </w:r>
      <w:r>
        <w:rPr>
          <w:rFonts w:cs="Arial"/>
          <w:szCs w:val="18"/>
        </w:rPr>
        <w:t>several</w:t>
      </w:r>
      <w:r w:rsidRPr="00DE7A80">
        <w:rPr>
          <w:rFonts w:cs="Arial"/>
          <w:szCs w:val="18"/>
        </w:rPr>
        <w:t xml:space="preserve"> chemicals. </w:t>
      </w:r>
      <w:r>
        <w:rPr>
          <w:rFonts w:cs="Arial"/>
          <w:szCs w:val="18"/>
        </w:rPr>
        <w:t>In this sense, a</w:t>
      </w:r>
      <w:r w:rsidRPr="00C75B0B">
        <w:rPr>
          <w:rFonts w:cs="Arial"/>
          <w:szCs w:val="18"/>
        </w:rPr>
        <w:t xml:space="preserve"> mathematical model was developed to simulate the </w:t>
      </w:r>
      <w:r>
        <w:rPr>
          <w:rFonts w:cs="Arial"/>
          <w:szCs w:val="18"/>
        </w:rPr>
        <w:t xml:space="preserve">profile of chemical species in the </w:t>
      </w:r>
      <w:r w:rsidRPr="00C75B0B">
        <w:rPr>
          <w:rFonts w:cs="Arial"/>
          <w:szCs w:val="18"/>
        </w:rPr>
        <w:t xml:space="preserve">oxidation processes of lignin. For this purpose, the finite </w:t>
      </w:r>
      <w:r>
        <w:rPr>
          <w:rFonts w:cs="Arial"/>
          <w:szCs w:val="18"/>
        </w:rPr>
        <w:t>difference</w:t>
      </w:r>
      <w:r w:rsidRPr="00C75B0B">
        <w:rPr>
          <w:rFonts w:cs="Arial"/>
          <w:szCs w:val="18"/>
        </w:rPr>
        <w:t xml:space="preserve"> method was used to solve the mathematical model.</w:t>
      </w:r>
      <w:r>
        <w:rPr>
          <w:rFonts w:cs="Arial"/>
          <w:szCs w:val="18"/>
        </w:rPr>
        <w:t xml:space="preserve"> </w:t>
      </w:r>
    </w:p>
    <w:p w:rsidR="00E15E85" w:rsidRPr="00C75B0B" w:rsidRDefault="00E15E85" w:rsidP="00E15E85">
      <w:pPr>
        <w:pStyle w:val="PargrafodaLista"/>
        <w:numPr>
          <w:ilvl w:val="0"/>
          <w:numId w:val="22"/>
        </w:numPr>
        <w:tabs>
          <w:tab w:val="left" w:pos="0"/>
        </w:tabs>
        <w:spacing w:after="0" w:line="264" w:lineRule="auto"/>
        <w:ind w:left="180" w:hanging="180"/>
        <w:jc w:val="both"/>
        <w:rPr>
          <w:rFonts w:ascii="Arial" w:eastAsia="Times New Roman" w:hAnsi="Arial" w:cs="Arial"/>
          <w:sz w:val="18"/>
          <w:szCs w:val="18"/>
        </w:rPr>
      </w:pPr>
      <w:r w:rsidRPr="00DE7A80">
        <w:rPr>
          <w:rFonts w:ascii="Arial" w:hAnsi="Arial" w:cs="Arial"/>
          <w:color w:val="000000"/>
          <w:sz w:val="18"/>
          <w:szCs w:val="18"/>
          <w:lang w:val="en"/>
        </w:rPr>
        <w:t>As a preliminary evaluation of the domains of the operational variables’ temperature and flow, operating limits were introduced for testing the simulations. In the mil</w:t>
      </w:r>
      <w:r>
        <w:rPr>
          <w:rFonts w:ascii="Arial" w:hAnsi="Arial" w:cs="Arial"/>
          <w:color w:val="000000"/>
          <w:sz w:val="18"/>
          <w:szCs w:val="18"/>
          <w:lang w:val="en"/>
        </w:rPr>
        <w:t>d</w:t>
      </w:r>
      <w:r w:rsidRPr="00DE7A80">
        <w:rPr>
          <w:rFonts w:ascii="Arial" w:hAnsi="Arial" w:cs="Arial"/>
          <w:color w:val="000000"/>
          <w:sz w:val="18"/>
          <w:szCs w:val="18"/>
          <w:lang w:val="en"/>
        </w:rPr>
        <w:t>est conditions of 373K and 5 L/h and higher of 393K and 10l/h,</w:t>
      </w:r>
    </w:p>
    <w:p w:rsidR="00E15E85" w:rsidRPr="00C75B0B" w:rsidRDefault="00E15E85" w:rsidP="00E15E85">
      <w:pPr>
        <w:pStyle w:val="PargrafodaLista"/>
        <w:numPr>
          <w:ilvl w:val="0"/>
          <w:numId w:val="22"/>
        </w:numPr>
        <w:tabs>
          <w:tab w:val="left" w:pos="0"/>
        </w:tabs>
        <w:spacing w:after="0" w:line="264" w:lineRule="auto"/>
        <w:ind w:left="180" w:hanging="180"/>
        <w:jc w:val="both"/>
        <w:rPr>
          <w:rFonts w:ascii="Arial" w:eastAsia="Times New Roman" w:hAnsi="Arial" w:cs="Arial"/>
          <w:sz w:val="18"/>
          <w:szCs w:val="18"/>
        </w:rPr>
      </w:pPr>
      <w:r w:rsidRPr="00DE7A80">
        <w:rPr>
          <w:rFonts w:ascii="Arial" w:hAnsi="Arial" w:cs="Arial"/>
          <w:color w:val="000000"/>
          <w:sz w:val="18"/>
          <w:szCs w:val="18"/>
          <w:lang w:val="en"/>
        </w:rPr>
        <w:t>The lignin and oxygen reagents have decreasing profiles along the vertical axis of the reactor</w:t>
      </w:r>
    </w:p>
    <w:p w:rsidR="00E15E85" w:rsidRDefault="00E15E85" w:rsidP="00E15E85">
      <w:pPr>
        <w:pStyle w:val="PargrafodaLista"/>
        <w:numPr>
          <w:ilvl w:val="0"/>
          <w:numId w:val="22"/>
        </w:numPr>
        <w:tabs>
          <w:tab w:val="left" w:pos="0"/>
        </w:tabs>
        <w:spacing w:after="0" w:line="264" w:lineRule="auto"/>
        <w:ind w:left="180" w:hanging="180"/>
        <w:jc w:val="both"/>
        <w:rPr>
          <w:rFonts w:ascii="Arial" w:eastAsia="Times New Roman" w:hAnsi="Arial" w:cs="Arial"/>
          <w:sz w:val="18"/>
          <w:szCs w:val="18"/>
        </w:rPr>
      </w:pPr>
      <w:r w:rsidRPr="00C75B0B">
        <w:rPr>
          <w:rFonts w:ascii="Arial" w:eastAsia="Times New Roman" w:hAnsi="Arial" w:cs="Arial"/>
          <w:sz w:val="18"/>
          <w:szCs w:val="18"/>
        </w:rPr>
        <w:t>the vanillin concentration profiles were represented in the reactor, in the temperatures of 373K and 393K. In each operation, the effect of the liquid phase flow operational parameter was evaluated. Validations of the model predictions w</w:t>
      </w:r>
      <w:r w:rsidR="00EF5A73">
        <w:rPr>
          <w:rFonts w:ascii="Arial" w:eastAsia="Times New Roman" w:hAnsi="Arial" w:cs="Arial"/>
          <w:sz w:val="18"/>
          <w:szCs w:val="18"/>
        </w:rPr>
        <w:t>ere</w:t>
      </w:r>
      <w:r w:rsidRPr="00C75B0B">
        <w:rPr>
          <w:rFonts w:ascii="Arial" w:eastAsia="Times New Roman" w:hAnsi="Arial" w:cs="Arial"/>
          <w:sz w:val="18"/>
          <w:szCs w:val="18"/>
        </w:rPr>
        <w:t xml:space="preserve"> made through the profiles was formulated by simulation and compared to the experimental profiles obtained in the two flow rates of 5 L/h and 10 L/h (S</w:t>
      </w:r>
      <w:r>
        <w:rPr>
          <w:rFonts w:ascii="Arial" w:eastAsia="Times New Roman" w:hAnsi="Arial" w:cs="Arial"/>
          <w:sz w:val="18"/>
          <w:szCs w:val="18"/>
        </w:rPr>
        <w:t>ales</w:t>
      </w:r>
      <w:r w:rsidRPr="00C75B0B">
        <w:rPr>
          <w:rFonts w:ascii="Arial" w:eastAsia="Times New Roman" w:hAnsi="Arial" w:cs="Arial"/>
          <w:sz w:val="18"/>
          <w:szCs w:val="18"/>
        </w:rPr>
        <w:t>,2001).</w:t>
      </w:r>
    </w:p>
    <w:p w:rsidR="00E15E85" w:rsidRPr="00F263FE" w:rsidRDefault="00E15E85" w:rsidP="00E15E85">
      <w:pPr>
        <w:pStyle w:val="PargrafodaLista"/>
        <w:numPr>
          <w:ilvl w:val="0"/>
          <w:numId w:val="22"/>
        </w:numPr>
        <w:tabs>
          <w:tab w:val="left" w:pos="0"/>
        </w:tabs>
        <w:spacing w:after="0" w:line="264" w:lineRule="auto"/>
        <w:ind w:left="180" w:hanging="180"/>
        <w:jc w:val="both"/>
        <w:rPr>
          <w:rFonts w:ascii="Arial" w:eastAsia="Times New Roman" w:hAnsi="Arial" w:cs="Arial"/>
          <w:sz w:val="18"/>
          <w:szCs w:val="18"/>
        </w:rPr>
      </w:pPr>
      <w:r w:rsidRPr="00C75B0B">
        <w:rPr>
          <w:rFonts w:ascii="Arial" w:eastAsia="Times New Roman" w:hAnsi="Arial" w:cs="Arial"/>
          <w:sz w:val="18"/>
          <w:szCs w:val="18"/>
        </w:rPr>
        <w:t xml:space="preserve">The concentrations of the aldehydes (syringaldehyde and p-hydroxybenzaldehyde) increased throughout the reactor. With a higher flow rate, a </w:t>
      </w:r>
      <w:r w:rsidR="00EF5A73">
        <w:rPr>
          <w:rFonts w:ascii="Arial" w:eastAsia="Times New Roman" w:hAnsi="Arial" w:cs="Arial"/>
          <w:sz w:val="18"/>
          <w:szCs w:val="18"/>
        </w:rPr>
        <w:t>more significant</w:t>
      </w:r>
      <w:r w:rsidRPr="00C75B0B">
        <w:rPr>
          <w:rFonts w:ascii="Arial" w:eastAsia="Times New Roman" w:hAnsi="Arial" w:cs="Arial"/>
          <w:sz w:val="18"/>
          <w:szCs w:val="18"/>
        </w:rPr>
        <w:t xml:space="preserve"> amount of syringaldehyde is obtained at the end of the reactor. For p-hydroxybenzaldehyde</w:t>
      </w:r>
      <w:r w:rsidR="00EF5A73">
        <w:rPr>
          <w:rFonts w:ascii="Arial" w:eastAsia="Times New Roman" w:hAnsi="Arial" w:cs="Arial"/>
          <w:sz w:val="18"/>
          <w:szCs w:val="18"/>
        </w:rPr>
        <w:t>,</w:t>
      </w:r>
      <w:r w:rsidRPr="00C75B0B">
        <w:rPr>
          <w:rFonts w:ascii="Arial" w:eastAsia="Times New Roman" w:hAnsi="Arial" w:cs="Arial"/>
          <w:sz w:val="18"/>
          <w:szCs w:val="18"/>
        </w:rPr>
        <w:t xml:space="preserve"> the effect of the flow of the fluid phase was also observed for 10L/h and 5L/h, reaching 15 mmol/L and 13 mmol/L</w:t>
      </w:r>
      <w:r>
        <w:rPr>
          <w:rFonts w:ascii="Arial" w:eastAsia="Times New Roman" w:hAnsi="Arial" w:cs="Arial"/>
          <w:sz w:val="18"/>
          <w:szCs w:val="18"/>
        </w:rPr>
        <w:t>,</w:t>
      </w:r>
      <w:r w:rsidRPr="00C75B0B">
        <w:rPr>
          <w:rFonts w:ascii="Arial" w:eastAsia="Times New Roman" w:hAnsi="Arial" w:cs="Arial"/>
          <w:sz w:val="18"/>
          <w:szCs w:val="18"/>
        </w:rPr>
        <w:t xml:space="preserve"> respectively.</w:t>
      </w:r>
    </w:p>
    <w:p w:rsidR="00085585" w:rsidRDefault="00085585" w:rsidP="00E15E85">
      <w:pPr>
        <w:pStyle w:val="CETReference"/>
      </w:pPr>
    </w:p>
    <w:p w:rsidR="00E15E85" w:rsidRDefault="00E15E85" w:rsidP="00E15E85">
      <w:pPr>
        <w:pStyle w:val="CETReference"/>
      </w:pPr>
      <w:r w:rsidRPr="00B57B36">
        <w:lastRenderedPageBreak/>
        <w:t>References</w:t>
      </w:r>
    </w:p>
    <w:p w:rsidR="00E15E85" w:rsidRPr="00085585" w:rsidRDefault="00E15E85" w:rsidP="00E15E85">
      <w:pPr>
        <w:pStyle w:val="CETReferencetext"/>
      </w:pPr>
      <w:r w:rsidRPr="00085585">
        <w:t xml:space="preserve">Bugg, T. D., </w:t>
      </w:r>
      <w:proofErr w:type="spellStart"/>
      <w:r w:rsidRPr="00085585">
        <w:t>Rahmanpour</w:t>
      </w:r>
      <w:proofErr w:type="spellEnd"/>
      <w:r w:rsidRPr="00085585">
        <w:t>, R. 2015. Enzymatic conversion of lignin into renewable chemicals. Current opinion in chemical biology, 29, 10-17.</w:t>
      </w:r>
    </w:p>
    <w:p w:rsidR="00E15E85" w:rsidRPr="00085585" w:rsidRDefault="00E15E85" w:rsidP="00E15E85">
      <w:pPr>
        <w:pStyle w:val="CETReferencetext"/>
      </w:pPr>
      <w:r w:rsidRPr="00085585">
        <w:rPr>
          <w:lang w:val="en-US"/>
        </w:rPr>
        <w:t xml:space="preserve">Cruz, B. M., da Silva, J. D. (2017). </w:t>
      </w:r>
      <w:r w:rsidRPr="00085585">
        <w:t xml:space="preserve">A two-dimensional mathematical model for the catalytic steam reforming of methane in both conventional fixed-bed and fixed-bed membrane reactors </w:t>
      </w:r>
      <w:proofErr w:type="gramStart"/>
      <w:r w:rsidRPr="00085585">
        <w:t>for the Production of</w:t>
      </w:r>
      <w:proofErr w:type="gramEnd"/>
      <w:r w:rsidRPr="00085585">
        <w:t xml:space="preserve"> hydrogen. International Journal of Hydrogen Energy, 42(37), 23670-23690.</w:t>
      </w:r>
    </w:p>
    <w:p w:rsidR="00E15E85" w:rsidRPr="00085585" w:rsidRDefault="00E15E85" w:rsidP="00E15E85">
      <w:pPr>
        <w:pStyle w:val="CETReferencetext"/>
      </w:pPr>
      <w:proofErr w:type="spellStart"/>
      <w:r w:rsidRPr="00085585">
        <w:t>Fache</w:t>
      </w:r>
      <w:proofErr w:type="spellEnd"/>
      <w:r w:rsidRPr="00085585">
        <w:t xml:space="preserve">, M., </w:t>
      </w:r>
      <w:proofErr w:type="spellStart"/>
      <w:r w:rsidRPr="00085585">
        <w:t>Boutevin</w:t>
      </w:r>
      <w:proofErr w:type="spellEnd"/>
      <w:r w:rsidRPr="00085585">
        <w:t xml:space="preserve">, B., </w:t>
      </w:r>
      <w:proofErr w:type="spellStart"/>
      <w:r w:rsidRPr="00085585">
        <w:t>Caillol</w:t>
      </w:r>
      <w:proofErr w:type="spellEnd"/>
      <w:r w:rsidRPr="00085585">
        <w:t>, S. 2015. Vanillin production from lignin and its use as a renewable chemical. ACS sustainable chemistry &amp; engineering, 4(1), 35-46.</w:t>
      </w:r>
    </w:p>
    <w:p w:rsidR="00E15E85" w:rsidRPr="00085585" w:rsidRDefault="00E15E85" w:rsidP="00E15E85">
      <w:pPr>
        <w:pStyle w:val="CETReferencetext"/>
        <w:rPr>
          <w:rFonts w:cs="Arial"/>
          <w:shd w:val="clear" w:color="auto" w:fill="FFFFFF"/>
        </w:rPr>
      </w:pPr>
      <w:proofErr w:type="spellStart"/>
      <w:r w:rsidRPr="00085585">
        <w:rPr>
          <w:rFonts w:cs="Arial"/>
          <w:shd w:val="clear" w:color="auto" w:fill="FFFFFF"/>
          <w:lang w:val="en-US"/>
        </w:rPr>
        <w:t>Fargues</w:t>
      </w:r>
      <w:proofErr w:type="spellEnd"/>
      <w:r w:rsidRPr="00085585">
        <w:rPr>
          <w:rFonts w:cs="Arial"/>
          <w:shd w:val="clear" w:color="auto" w:fill="FFFFFF"/>
          <w:lang w:val="en-US"/>
        </w:rPr>
        <w:t xml:space="preserve">, C., Mathias, Á., Rodrigues, A. 1996. </w:t>
      </w:r>
      <w:r w:rsidRPr="00085585">
        <w:rPr>
          <w:rFonts w:cs="Arial"/>
          <w:shd w:val="clear" w:color="auto" w:fill="FFFFFF"/>
        </w:rPr>
        <w:t xml:space="preserve">Kinetics of vanillin production from </w:t>
      </w:r>
      <w:proofErr w:type="spellStart"/>
      <w:r w:rsidRPr="00085585">
        <w:rPr>
          <w:rFonts w:cs="Arial"/>
          <w:shd w:val="clear" w:color="auto" w:fill="FFFFFF"/>
        </w:rPr>
        <w:t>kraft</w:t>
      </w:r>
      <w:proofErr w:type="spellEnd"/>
      <w:r w:rsidRPr="00085585">
        <w:rPr>
          <w:rFonts w:cs="Arial"/>
          <w:shd w:val="clear" w:color="auto" w:fill="FFFFFF"/>
        </w:rPr>
        <w:t xml:space="preserve"> lignin oxidation. </w:t>
      </w:r>
      <w:r w:rsidRPr="00085585">
        <w:rPr>
          <w:rFonts w:cs="Arial"/>
          <w:i/>
          <w:iCs/>
          <w:shd w:val="clear" w:color="auto" w:fill="FFFFFF"/>
        </w:rPr>
        <w:t>Ind</w:t>
      </w:r>
      <w:r w:rsidR="00085585">
        <w:rPr>
          <w:rFonts w:cs="Arial"/>
          <w:i/>
          <w:iCs/>
          <w:shd w:val="clear" w:color="auto" w:fill="FFFFFF"/>
        </w:rPr>
        <w:t>.</w:t>
      </w:r>
      <w:r w:rsidRPr="00085585">
        <w:rPr>
          <w:rFonts w:cs="Arial"/>
          <w:i/>
          <w:iCs/>
          <w:shd w:val="clear" w:color="auto" w:fill="FFFFFF"/>
        </w:rPr>
        <w:t xml:space="preserve"> engineering chemistry research</w:t>
      </w:r>
      <w:r w:rsidRPr="00085585">
        <w:rPr>
          <w:rFonts w:cs="Arial"/>
          <w:shd w:val="clear" w:color="auto" w:fill="FFFFFF"/>
        </w:rPr>
        <w:t>, </w:t>
      </w:r>
      <w:r w:rsidRPr="00085585">
        <w:rPr>
          <w:rFonts w:cs="Arial"/>
          <w:i/>
          <w:iCs/>
          <w:shd w:val="clear" w:color="auto" w:fill="FFFFFF"/>
        </w:rPr>
        <w:t>35</w:t>
      </w:r>
      <w:r w:rsidRPr="00085585">
        <w:rPr>
          <w:rFonts w:cs="Arial"/>
          <w:shd w:val="clear" w:color="auto" w:fill="FFFFFF"/>
        </w:rPr>
        <w:t>(1), 28-36.</w:t>
      </w:r>
    </w:p>
    <w:p w:rsidR="00E15E85" w:rsidRPr="00085585" w:rsidRDefault="00E15E85" w:rsidP="00E15E85">
      <w:pPr>
        <w:pStyle w:val="CETReferencetext"/>
      </w:pPr>
      <w:r w:rsidRPr="00085585">
        <w:rPr>
          <w:lang w:val="en-US"/>
        </w:rPr>
        <w:t xml:space="preserve">Oliveira, C., Silva, J. D., Araujo, F. A. D., Caldas, R., Abreu, C. 2015. </w:t>
      </w:r>
      <w:r w:rsidRPr="00085585">
        <w:t>Kinetic Evaluation of Carbohydrate Biomass Conversions. Chemical Engineering Transactions, 43, 949-954.</w:t>
      </w:r>
    </w:p>
    <w:p w:rsidR="00E15E85" w:rsidRPr="00085585" w:rsidRDefault="00E15E85" w:rsidP="00E15E85">
      <w:pPr>
        <w:pStyle w:val="CETReferencetext"/>
        <w:rPr>
          <w:lang w:val="en"/>
        </w:rPr>
      </w:pPr>
      <w:r w:rsidRPr="00085585">
        <w:rPr>
          <w:lang w:val="en-US"/>
        </w:rPr>
        <w:t xml:space="preserve">Sales, F.G, 2001. </w:t>
      </w:r>
      <w:r w:rsidRPr="00085585">
        <w:rPr>
          <w:lang w:val="en"/>
        </w:rPr>
        <w:t>Catalytic wet oxidation of lignin in three-phase reactors with production of aromatic aldehyde. Campinas, SP: Doctoral thesis, State University of Campinas, graduate program in Chemical Engineering.</w:t>
      </w:r>
    </w:p>
    <w:p w:rsidR="00E15E85" w:rsidRPr="00085585" w:rsidRDefault="00E15E85" w:rsidP="00E15E85">
      <w:pPr>
        <w:pStyle w:val="CETReferencetext"/>
      </w:pPr>
      <w:proofErr w:type="spellStart"/>
      <w:r w:rsidRPr="00085585">
        <w:t>Schutyser</w:t>
      </w:r>
      <w:proofErr w:type="spellEnd"/>
      <w:r w:rsidRPr="00085585">
        <w:t xml:space="preserve">, W., Renders, T., Van den Bosch, S., </w:t>
      </w:r>
      <w:proofErr w:type="spellStart"/>
      <w:r w:rsidRPr="00085585">
        <w:t>Koelewijn</w:t>
      </w:r>
      <w:proofErr w:type="spellEnd"/>
      <w:r w:rsidRPr="00085585">
        <w:t xml:space="preserve">, S. F., Beckham, G. T., </w:t>
      </w:r>
      <w:proofErr w:type="spellStart"/>
      <w:r w:rsidRPr="00085585">
        <w:t>Sels</w:t>
      </w:r>
      <w:proofErr w:type="spellEnd"/>
      <w:r w:rsidRPr="00085585">
        <w:t>, B. F. 2018. Chemicals from lignin: an interplay of lignocellulose fractionation, depolymeri</w:t>
      </w:r>
      <w:r w:rsidR="0020437E" w:rsidRPr="00085585">
        <w:t>z</w:t>
      </w:r>
      <w:r w:rsidRPr="00085585">
        <w:t>ation, and upgrading. Chemical Society Reviews, 47(3), 852-908.</w:t>
      </w:r>
    </w:p>
    <w:p w:rsidR="00E15E85" w:rsidRPr="00085585" w:rsidRDefault="00E15E85" w:rsidP="00E15E85">
      <w:pPr>
        <w:pStyle w:val="CETReferencetext"/>
      </w:pPr>
      <w:r w:rsidRPr="00085585">
        <w:t>Silva, J. D. (2015). Numerical modelling for a catalytic trickle-bed reactor using Laplace transform technique. Chemical Engineering Transactions, 43, 1573-1578.</w:t>
      </w:r>
    </w:p>
    <w:p w:rsidR="00E15E85" w:rsidRPr="00085585" w:rsidRDefault="00E15E85" w:rsidP="00E15E85">
      <w:pPr>
        <w:pStyle w:val="CETReferencetext"/>
      </w:pPr>
      <w:r w:rsidRPr="00085585">
        <w:rPr>
          <w:lang w:val="en-US"/>
        </w:rPr>
        <w:t xml:space="preserve">Silva, J. D., de Abreu, C. A. M. (2016). </w:t>
      </w:r>
      <w:r w:rsidRPr="00085585">
        <w:t>Modelling and simulation in conventional fixed-bed and fixed-bed membrane reactors for the steam reforming of methane. International Journal of Hydrogen Energy, 41(27), 11660-11674.</w:t>
      </w:r>
    </w:p>
    <w:p w:rsidR="00E15E85" w:rsidRPr="00085585" w:rsidRDefault="00E15E85" w:rsidP="00E15E85">
      <w:pPr>
        <w:pStyle w:val="CETReferencetext"/>
      </w:pPr>
      <w:proofErr w:type="spellStart"/>
      <w:r w:rsidRPr="00085585">
        <w:t>Tarabanko</w:t>
      </w:r>
      <w:proofErr w:type="spellEnd"/>
      <w:r w:rsidRPr="00085585">
        <w:t xml:space="preserve">, V., </w:t>
      </w:r>
      <w:proofErr w:type="spellStart"/>
      <w:r w:rsidRPr="00085585">
        <w:t>Tarabanko</w:t>
      </w:r>
      <w:proofErr w:type="spellEnd"/>
      <w:r w:rsidRPr="00085585">
        <w:t xml:space="preserve">, N. 2017. Catalytic oxidation of </w:t>
      </w:r>
      <w:proofErr w:type="spellStart"/>
      <w:r w:rsidRPr="00085585">
        <w:t>lignins</w:t>
      </w:r>
      <w:proofErr w:type="spellEnd"/>
      <w:r w:rsidRPr="00085585">
        <w:t xml:space="preserve"> into the aromatic aldehydes: general process trends and development prospects. International journal of molecular sciences, 18(11), 2421.</w:t>
      </w:r>
    </w:p>
    <w:p w:rsidR="00E15E85" w:rsidRPr="00085585" w:rsidRDefault="00E15E85" w:rsidP="00E15E85">
      <w:pPr>
        <w:pStyle w:val="CETReferencetext"/>
      </w:pPr>
      <w:proofErr w:type="spellStart"/>
      <w:r w:rsidRPr="00085585">
        <w:t>Tsodikov</w:t>
      </w:r>
      <w:proofErr w:type="spellEnd"/>
      <w:r w:rsidRPr="00085585">
        <w:t xml:space="preserve">, M., </w:t>
      </w:r>
      <w:proofErr w:type="spellStart"/>
      <w:r w:rsidRPr="00085585">
        <w:t>Arapova</w:t>
      </w:r>
      <w:proofErr w:type="spellEnd"/>
      <w:r w:rsidRPr="00085585">
        <w:t xml:space="preserve">, O., Nikolaev, S. A., </w:t>
      </w:r>
      <w:proofErr w:type="spellStart"/>
      <w:r w:rsidRPr="00085585">
        <w:t>Chistyakov</w:t>
      </w:r>
      <w:proofErr w:type="spellEnd"/>
      <w:r w:rsidRPr="00085585">
        <w:t xml:space="preserve">, A., </w:t>
      </w:r>
      <w:proofErr w:type="spellStart"/>
      <w:r w:rsidRPr="00085585">
        <w:t>Maksimov</w:t>
      </w:r>
      <w:proofErr w:type="spellEnd"/>
      <w:r w:rsidRPr="00085585">
        <w:t>, Y. V. (2018). Benefit of Fe-containing catalytic systems for dry reforming of lignin to syngas under microwave radiation. Chemical Engineering Transactions, 65, 367-372.</w:t>
      </w:r>
    </w:p>
    <w:p w:rsidR="00E15E85" w:rsidRPr="00085585" w:rsidRDefault="00E15E85" w:rsidP="00E15E85">
      <w:pPr>
        <w:pStyle w:val="CETReferencetext"/>
      </w:pPr>
      <w:r w:rsidRPr="00085585">
        <w:t>Zhang, Y. H. P. (2008). Reviving the carbohydrate economy via multi-product lignocellulose biorefineries. Journal of industrial microbiology &amp; biotechnology, 35(5), 367-375.</w:t>
      </w:r>
    </w:p>
    <w:p w:rsidR="00E15E85" w:rsidRPr="00085585" w:rsidRDefault="00E15E85" w:rsidP="00E15E85">
      <w:pPr>
        <w:pStyle w:val="CETHeading1"/>
        <w:numPr>
          <w:ilvl w:val="0"/>
          <w:numId w:val="0"/>
        </w:numPr>
      </w:pPr>
    </w:p>
    <w:p w:rsidR="004628D2" w:rsidRDefault="004628D2" w:rsidP="00E15E85">
      <w:pPr>
        <w:pStyle w:val="CETTitle"/>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46C" w:rsidRDefault="00C1646C" w:rsidP="004F5E36">
      <w:r>
        <w:separator/>
      </w:r>
    </w:p>
  </w:endnote>
  <w:endnote w:type="continuationSeparator" w:id="0">
    <w:p w:rsidR="00C1646C" w:rsidRDefault="00C1646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46C" w:rsidRDefault="00C1646C" w:rsidP="004F5E36">
      <w:r>
        <w:separator/>
      </w:r>
    </w:p>
  </w:footnote>
  <w:footnote w:type="continuationSeparator" w:id="0">
    <w:p w:rsidR="00C1646C" w:rsidRDefault="00C1646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7774382"/>
    <w:multiLevelType w:val="hybridMultilevel"/>
    <w:tmpl w:val="19924082"/>
    <w:lvl w:ilvl="0" w:tplc="74D20EC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10F40"/>
    <w:rsid w:val="000117CB"/>
    <w:rsid w:val="0003148D"/>
    <w:rsid w:val="00047D7F"/>
    <w:rsid w:val="00051566"/>
    <w:rsid w:val="00062A9A"/>
    <w:rsid w:val="00065058"/>
    <w:rsid w:val="00085585"/>
    <w:rsid w:val="00086C39"/>
    <w:rsid w:val="000A03B2"/>
    <w:rsid w:val="000A35FA"/>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684B"/>
    <w:rsid w:val="001D53FC"/>
    <w:rsid w:val="001F42A5"/>
    <w:rsid w:val="001F7B9D"/>
    <w:rsid w:val="0020437E"/>
    <w:rsid w:val="002224B4"/>
    <w:rsid w:val="002447EF"/>
    <w:rsid w:val="00251550"/>
    <w:rsid w:val="00252C1A"/>
    <w:rsid w:val="00263B05"/>
    <w:rsid w:val="0027221A"/>
    <w:rsid w:val="00275B61"/>
    <w:rsid w:val="00282656"/>
    <w:rsid w:val="00296B83"/>
    <w:rsid w:val="002B78CE"/>
    <w:rsid w:val="002C2FB6"/>
    <w:rsid w:val="002D5BCD"/>
    <w:rsid w:val="003009B7"/>
    <w:rsid w:val="00300E56"/>
    <w:rsid w:val="0030469C"/>
    <w:rsid w:val="00317AB0"/>
    <w:rsid w:val="00321CA6"/>
    <w:rsid w:val="00334C09"/>
    <w:rsid w:val="003365E3"/>
    <w:rsid w:val="003723D4"/>
    <w:rsid w:val="003756C8"/>
    <w:rsid w:val="00384CC8"/>
    <w:rsid w:val="003871FD"/>
    <w:rsid w:val="003A1E30"/>
    <w:rsid w:val="003A7D1C"/>
    <w:rsid w:val="003B304B"/>
    <w:rsid w:val="003B3146"/>
    <w:rsid w:val="003B60F3"/>
    <w:rsid w:val="003F015E"/>
    <w:rsid w:val="00400414"/>
    <w:rsid w:val="00401A6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0632"/>
    <w:rsid w:val="007661C8"/>
    <w:rsid w:val="0077098D"/>
    <w:rsid w:val="007931FA"/>
    <w:rsid w:val="007A7BBA"/>
    <w:rsid w:val="007B0C50"/>
    <w:rsid w:val="007C1A43"/>
    <w:rsid w:val="007E1DC6"/>
    <w:rsid w:val="00813288"/>
    <w:rsid w:val="008168FC"/>
    <w:rsid w:val="00830996"/>
    <w:rsid w:val="008345F1"/>
    <w:rsid w:val="00865B07"/>
    <w:rsid w:val="008667EA"/>
    <w:rsid w:val="0087637F"/>
    <w:rsid w:val="008904B9"/>
    <w:rsid w:val="00892AD5"/>
    <w:rsid w:val="008A1512"/>
    <w:rsid w:val="008C78C1"/>
    <w:rsid w:val="008D32B9"/>
    <w:rsid w:val="008D433B"/>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14E3"/>
    <w:rsid w:val="00AE377D"/>
    <w:rsid w:val="00B03B7C"/>
    <w:rsid w:val="00B17FBD"/>
    <w:rsid w:val="00B315A6"/>
    <w:rsid w:val="00B31813"/>
    <w:rsid w:val="00B33365"/>
    <w:rsid w:val="00B50C2F"/>
    <w:rsid w:val="00B57B36"/>
    <w:rsid w:val="00B8686D"/>
    <w:rsid w:val="00BC30C9"/>
    <w:rsid w:val="00BE3E58"/>
    <w:rsid w:val="00BE75F2"/>
    <w:rsid w:val="00C01616"/>
    <w:rsid w:val="00C0162B"/>
    <w:rsid w:val="00C055C1"/>
    <w:rsid w:val="00C1646C"/>
    <w:rsid w:val="00C345B1"/>
    <w:rsid w:val="00C40142"/>
    <w:rsid w:val="00C57182"/>
    <w:rsid w:val="00C57863"/>
    <w:rsid w:val="00C655FD"/>
    <w:rsid w:val="00C870A8"/>
    <w:rsid w:val="00C94434"/>
    <w:rsid w:val="00CA0D75"/>
    <w:rsid w:val="00CA1C95"/>
    <w:rsid w:val="00CA5A9C"/>
    <w:rsid w:val="00CD3517"/>
    <w:rsid w:val="00CD5A00"/>
    <w:rsid w:val="00CD5FE2"/>
    <w:rsid w:val="00CE2C04"/>
    <w:rsid w:val="00CE7C68"/>
    <w:rsid w:val="00D02B4C"/>
    <w:rsid w:val="00D040C4"/>
    <w:rsid w:val="00D57C84"/>
    <w:rsid w:val="00D6057D"/>
    <w:rsid w:val="00D84576"/>
    <w:rsid w:val="00D84B44"/>
    <w:rsid w:val="00DA1399"/>
    <w:rsid w:val="00DA24C6"/>
    <w:rsid w:val="00DA4D7B"/>
    <w:rsid w:val="00DE264A"/>
    <w:rsid w:val="00E02D18"/>
    <w:rsid w:val="00E041E7"/>
    <w:rsid w:val="00E15E85"/>
    <w:rsid w:val="00E23CA1"/>
    <w:rsid w:val="00E26995"/>
    <w:rsid w:val="00E409A8"/>
    <w:rsid w:val="00E50C12"/>
    <w:rsid w:val="00E65B91"/>
    <w:rsid w:val="00E7209D"/>
    <w:rsid w:val="00E77223"/>
    <w:rsid w:val="00E8528B"/>
    <w:rsid w:val="00E85B94"/>
    <w:rsid w:val="00E978D0"/>
    <w:rsid w:val="00EA4613"/>
    <w:rsid w:val="00EA7F91"/>
    <w:rsid w:val="00EB1523"/>
    <w:rsid w:val="00EC0E49"/>
    <w:rsid w:val="00EE0131"/>
    <w:rsid w:val="00EF5A73"/>
    <w:rsid w:val="00F155B2"/>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8EED4"/>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60632"/>
    <w:pPr>
      <w:keepNext/>
      <w:suppressAutoHyphens/>
      <w:spacing w:before="120" w:after="120" w:line="240" w:lineRule="auto"/>
      <w:jc w:val="both"/>
    </w:pPr>
    <w:rPr>
      <w:rFonts w:ascii="Arial" w:eastAsia="Times New Roman" w:hAnsi="Arial" w:cs="Times New Roman"/>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60632"/>
    <w:rPr>
      <w:rFonts w:ascii="Arial" w:eastAsia="Times New Roman" w:hAnsi="Arial" w:cs="Times New Roman"/>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val="0"/>
      <w:sz w:val="18"/>
      <w:szCs w:val="20"/>
      <w:lang w:val="en-US"/>
    </w:rPr>
  </w:style>
  <w:style w:type="paragraph" w:customStyle="1" w:styleId="SectionBody">
    <w:name w:val="Section Body"/>
    <w:rsid w:val="00E15E85"/>
    <w:pPr>
      <w:spacing w:after="0" w:line="240" w:lineRule="auto"/>
      <w:ind w:firstLine="340"/>
      <w:jc w:val="both"/>
    </w:pPr>
    <w:rPr>
      <w:rFonts w:ascii="Times New Roman" w:eastAsia="Times New Roman" w:hAnsi="Times New Roman" w:cs="Times New Roman"/>
      <w:sz w:val="20"/>
      <w:szCs w:val="20"/>
      <w:lang w:val="en-US" w:eastAsia="pt-BR"/>
    </w:rPr>
  </w:style>
  <w:style w:type="paragraph" w:customStyle="1" w:styleId="Default">
    <w:name w:val="Default"/>
    <w:rsid w:val="00E15E85"/>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paragraph" w:styleId="PargrafodaLista">
    <w:name w:val="List Paragraph"/>
    <w:basedOn w:val="Normal"/>
    <w:uiPriority w:val="34"/>
    <w:qFormat/>
    <w:rsid w:val="00E15E85"/>
    <w:pPr>
      <w:tabs>
        <w:tab w:val="clear" w:pos="7100"/>
      </w:tabs>
      <w:spacing w:after="160" w:line="259" w:lineRule="auto"/>
      <w:ind w:left="720"/>
      <w:contextualSpacing/>
      <w:jc w:val="left"/>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image" Target="media/image16.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B0230-F151-46BB-8D58-76397AFE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2723</Words>
  <Characters>14705</Characters>
  <Application>Microsoft Office Word</Application>
  <DocSecurity>0</DocSecurity>
  <Lines>122</Lines>
  <Paragraphs>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Cláudio Thor</cp:lastModifiedBy>
  <cp:revision>2</cp:revision>
  <cp:lastPrinted>2015-05-12T18:31:00Z</cp:lastPrinted>
  <dcterms:created xsi:type="dcterms:W3CDTF">2019-04-11T22:12:00Z</dcterms:created>
  <dcterms:modified xsi:type="dcterms:W3CDTF">2019-04-11T22:12:00Z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