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980719">
        <w:trPr>
          <w:trHeight w:val="852"/>
          <w:jc w:val="center"/>
        </w:trPr>
        <w:tc>
          <w:tcPr>
            <w:tcW w:w="6946" w:type="dxa"/>
            <w:vMerge w:val="restart"/>
            <w:tcBorders>
              <w:right w:val="single" w:sz="4" w:space="0" w:color="auto"/>
            </w:tcBorders>
          </w:tcPr>
          <w:p w:rsidR="000A03B2" w:rsidRPr="00783E37" w:rsidRDefault="0033143A" w:rsidP="00DE264A">
            <w:pPr>
              <w:tabs>
                <w:tab w:val="left" w:pos="-108"/>
              </w:tabs>
              <w:ind w:left="-108"/>
              <w:jc w:val="left"/>
              <w:rPr>
                <w:rFonts w:cs="Arial"/>
                <w:b/>
                <w:bCs/>
                <w:i/>
                <w:iCs/>
                <w:color w:val="000066"/>
                <w:sz w:val="12"/>
                <w:szCs w:val="12"/>
                <w:lang w:eastAsia="it-IT"/>
              </w:rPr>
            </w:pPr>
            <w:r w:rsidRPr="00783E37">
              <w:rPr>
                <w:rFonts w:ascii="AdvP6960" w:hAnsi="AdvP6960" w:cs="AdvP6960"/>
                <w:noProof/>
                <w:color w:val="241F20"/>
                <w:szCs w:val="18"/>
                <w:lang w:val="it-IT" w:eastAsia="it-IT"/>
              </w:rPr>
              <w:drawing>
                <wp:inline distT="0" distB="0" distL="0" distR="0">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70569" name="Picture 13" descr="cetlogo"/>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40080" cy="373380"/>
                          </a:xfrm>
                          <a:prstGeom prst="rect">
                            <a:avLst/>
                          </a:prstGeom>
                          <a:noFill/>
                          <a:ln>
                            <a:noFill/>
                          </a:ln>
                        </pic:spPr>
                      </pic:pic>
                    </a:graphicData>
                  </a:graphic>
                </wp:inline>
              </w:drawing>
            </w:r>
            <w:r w:rsidRPr="00783E37">
              <w:rPr>
                <w:rFonts w:ascii="AdvP6960" w:hAnsi="AdvP6960" w:cs="AdvP6960"/>
                <w:color w:val="241F20"/>
                <w:szCs w:val="18"/>
                <w:lang w:eastAsia="it-IT"/>
              </w:rPr>
              <w:t xml:space="preserve"> </w:t>
            </w:r>
            <w:r w:rsidRPr="00783E37">
              <w:rPr>
                <w:rFonts w:cs="Arial"/>
                <w:b/>
                <w:bCs/>
                <w:i/>
                <w:iCs/>
                <w:color w:val="000066"/>
                <w:sz w:val="24"/>
                <w:szCs w:val="24"/>
                <w:lang w:eastAsia="it-IT"/>
              </w:rPr>
              <w:t>CHEMICAL ENGINEERING</w:t>
            </w:r>
            <w:r w:rsidRPr="00783E37">
              <w:rPr>
                <w:rFonts w:cs="Arial"/>
                <w:b/>
                <w:bCs/>
                <w:i/>
                <w:iCs/>
                <w:color w:val="0033FF"/>
                <w:sz w:val="24"/>
                <w:szCs w:val="24"/>
                <w:lang w:eastAsia="it-IT"/>
              </w:rPr>
              <w:t xml:space="preserve"> </w:t>
            </w:r>
            <w:r w:rsidRPr="00783E37">
              <w:rPr>
                <w:rFonts w:cs="Arial"/>
                <w:b/>
                <w:bCs/>
                <w:i/>
                <w:iCs/>
                <w:color w:val="666666"/>
                <w:sz w:val="24"/>
                <w:szCs w:val="24"/>
                <w:lang w:eastAsia="it-IT"/>
              </w:rPr>
              <w:t>TRANSACTIONS</w:t>
            </w:r>
            <w:r w:rsidRPr="00783E37">
              <w:rPr>
                <w:color w:val="333333"/>
                <w:sz w:val="24"/>
                <w:szCs w:val="24"/>
                <w:lang w:eastAsia="it-IT"/>
              </w:rPr>
              <w:t xml:space="preserve"> </w:t>
            </w:r>
            <w:r w:rsidRPr="00783E37">
              <w:rPr>
                <w:rFonts w:cs="Arial"/>
                <w:b/>
                <w:bCs/>
                <w:i/>
                <w:iCs/>
                <w:color w:val="000066"/>
                <w:sz w:val="27"/>
                <w:szCs w:val="27"/>
                <w:lang w:eastAsia="it-IT"/>
              </w:rPr>
              <w:br/>
            </w:r>
          </w:p>
          <w:p w:rsidR="000A03B2" w:rsidRPr="00B57B36" w:rsidRDefault="0033143A" w:rsidP="009635B9">
            <w:pPr>
              <w:tabs>
                <w:tab w:val="left" w:pos="-108"/>
              </w:tabs>
              <w:ind w:left="-108"/>
              <w:rPr>
                <w:rFonts w:cs="Arial"/>
                <w:b/>
                <w:bCs/>
                <w:i/>
                <w:iCs/>
                <w:color w:val="000066"/>
                <w:sz w:val="22"/>
                <w:szCs w:val="22"/>
                <w:lang w:eastAsia="it-IT"/>
              </w:rPr>
            </w:pPr>
            <w:r w:rsidRPr="00783E37">
              <w:rPr>
                <w:rFonts w:cs="Arial"/>
                <w:b/>
                <w:bCs/>
                <w:i/>
                <w:iCs/>
                <w:color w:val="000066"/>
                <w:sz w:val="22"/>
                <w:szCs w:val="22"/>
                <w:lang w:eastAsia="it-IT"/>
              </w:rPr>
              <w:t xml:space="preserve">VOL. </w:t>
            </w:r>
            <w:r w:rsidR="007931FA" w:rsidRPr="00783E37">
              <w:rPr>
                <w:rFonts w:cs="Arial"/>
                <w:b/>
                <w:bCs/>
                <w:i/>
                <w:iCs/>
                <w:color w:val="000066"/>
                <w:sz w:val="22"/>
                <w:szCs w:val="22"/>
                <w:lang w:eastAsia="it-IT"/>
              </w:rPr>
              <w:t>7</w:t>
            </w:r>
            <w:r w:rsidR="009635B9" w:rsidRPr="00783E37">
              <w:rPr>
                <w:rFonts w:cs="Arial"/>
                <w:b/>
                <w:bCs/>
                <w:i/>
                <w:iCs/>
                <w:color w:val="000066"/>
                <w:sz w:val="22"/>
                <w:szCs w:val="22"/>
                <w:lang w:eastAsia="it-IT"/>
              </w:rPr>
              <w:t>6</w:t>
            </w:r>
            <w:r w:rsidR="00FA5F5F" w:rsidRPr="00783E37">
              <w:rPr>
                <w:rFonts w:cs="Arial"/>
                <w:b/>
                <w:bCs/>
                <w:i/>
                <w:iCs/>
                <w:color w:val="000066"/>
                <w:sz w:val="22"/>
                <w:szCs w:val="22"/>
                <w:lang w:eastAsia="it-IT"/>
              </w:rPr>
              <w:t>, 201</w:t>
            </w:r>
            <w:r w:rsidR="007931FA" w:rsidRPr="00783E37">
              <w:rPr>
                <w:rFonts w:cs="Arial"/>
                <w:b/>
                <w:bCs/>
                <w:i/>
                <w:iCs/>
                <w:color w:val="000066"/>
                <w:sz w:val="22"/>
                <w:szCs w:val="22"/>
                <w:lang w:eastAsia="it-IT"/>
              </w:rPr>
              <w:t>9</w:t>
            </w:r>
          </w:p>
        </w:tc>
        <w:tc>
          <w:tcPr>
            <w:tcW w:w="1843" w:type="dxa"/>
            <w:tcBorders>
              <w:left w:val="single" w:sz="4" w:space="0" w:color="auto"/>
              <w:bottom w:val="nil"/>
              <w:right w:val="single" w:sz="4" w:space="0" w:color="auto"/>
            </w:tcBorders>
          </w:tcPr>
          <w:p w:rsidR="000A03B2" w:rsidRPr="00783E37" w:rsidRDefault="0033143A" w:rsidP="00CD5FE2">
            <w:pPr>
              <w:spacing w:line="140" w:lineRule="atLeast"/>
              <w:jc w:val="right"/>
              <w:rPr>
                <w:rFonts w:cs="Arial"/>
                <w:sz w:val="14"/>
                <w:szCs w:val="14"/>
              </w:rPr>
            </w:pPr>
            <w:r w:rsidRPr="00783E37">
              <w:rPr>
                <w:rFonts w:cs="Arial"/>
                <w:sz w:val="14"/>
                <w:szCs w:val="14"/>
              </w:rPr>
              <w:t>A publication of</w:t>
            </w:r>
          </w:p>
          <w:p w:rsidR="000A03B2" w:rsidRPr="00783E37" w:rsidRDefault="0033143A" w:rsidP="00CD5FE2">
            <w:pPr>
              <w:jc w:val="right"/>
            </w:pPr>
            <w:r w:rsidRPr="00783E37">
              <w:rPr>
                <w:noProof/>
                <w:lang w:val="it-IT" w:eastAsia="it-IT"/>
              </w:rPr>
              <w:drawing>
                <wp:inline distT="0" distB="0" distL="0" distR="0">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09834" name="Picture 14" descr="aidiclogo_grand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70560" cy="358140"/>
                          </a:xfrm>
                          <a:prstGeom prst="rect">
                            <a:avLst/>
                          </a:prstGeom>
                          <a:noFill/>
                          <a:ln>
                            <a:noFill/>
                          </a:ln>
                        </pic:spPr>
                      </pic:pic>
                    </a:graphicData>
                  </a:graphic>
                </wp:inline>
              </w:drawing>
            </w:r>
          </w:p>
        </w:tc>
      </w:tr>
      <w:tr w:rsidR="00980719">
        <w:trPr>
          <w:trHeight w:val="567"/>
          <w:jc w:val="center"/>
        </w:trPr>
        <w:tc>
          <w:tcPr>
            <w:tcW w:w="6946" w:type="dxa"/>
            <w:vMerge/>
            <w:tcBorders>
              <w:right w:val="single" w:sz="4" w:space="0" w:color="auto"/>
            </w:tcBorders>
          </w:tcPr>
          <w:p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rsidR="000A03B2" w:rsidRPr="00783E37" w:rsidRDefault="0033143A" w:rsidP="00CD5FE2">
            <w:pPr>
              <w:spacing w:line="140" w:lineRule="atLeast"/>
              <w:jc w:val="right"/>
              <w:rPr>
                <w:rFonts w:cs="Arial"/>
                <w:sz w:val="14"/>
                <w:szCs w:val="14"/>
              </w:rPr>
            </w:pPr>
            <w:r w:rsidRPr="00783E37">
              <w:rPr>
                <w:rFonts w:cs="Arial"/>
                <w:sz w:val="14"/>
                <w:szCs w:val="14"/>
              </w:rPr>
              <w:t>The Italian Association</w:t>
            </w:r>
          </w:p>
          <w:p w:rsidR="000A03B2" w:rsidRPr="00783E37" w:rsidRDefault="0033143A" w:rsidP="00CD5FE2">
            <w:pPr>
              <w:spacing w:line="140" w:lineRule="atLeast"/>
              <w:jc w:val="right"/>
              <w:rPr>
                <w:rFonts w:cs="Arial"/>
                <w:sz w:val="14"/>
                <w:szCs w:val="14"/>
              </w:rPr>
            </w:pPr>
            <w:r w:rsidRPr="00783E37">
              <w:rPr>
                <w:rFonts w:cs="Arial"/>
                <w:sz w:val="14"/>
                <w:szCs w:val="14"/>
              </w:rPr>
              <w:t>of Chemical Engineering</w:t>
            </w:r>
          </w:p>
          <w:p w:rsidR="000A03B2" w:rsidRPr="00783E37" w:rsidRDefault="0033143A" w:rsidP="00162642">
            <w:pPr>
              <w:spacing w:line="140" w:lineRule="atLeast"/>
              <w:jc w:val="right"/>
              <w:rPr>
                <w:rFonts w:cs="Arial"/>
                <w:sz w:val="14"/>
                <w:szCs w:val="14"/>
              </w:rPr>
            </w:pPr>
            <w:r w:rsidRPr="00783E37">
              <w:rPr>
                <w:rFonts w:cs="Arial"/>
                <w:sz w:val="14"/>
                <w:szCs w:val="14"/>
              </w:rPr>
              <w:t xml:space="preserve">Online at </w:t>
            </w:r>
            <w:r w:rsidR="00162642" w:rsidRPr="00783E37">
              <w:rPr>
                <w:rFonts w:cs="Arial"/>
                <w:sz w:val="14"/>
                <w:szCs w:val="14"/>
              </w:rPr>
              <w:t>www.cetjournal.it</w:t>
            </w:r>
          </w:p>
        </w:tc>
      </w:tr>
      <w:tr w:rsidR="00980719">
        <w:trPr>
          <w:trHeight w:val="68"/>
          <w:jc w:val="center"/>
        </w:trPr>
        <w:tc>
          <w:tcPr>
            <w:tcW w:w="8789" w:type="dxa"/>
            <w:gridSpan w:val="2"/>
          </w:tcPr>
          <w:p w:rsidR="00300E56" w:rsidRPr="00783E37" w:rsidRDefault="0033143A" w:rsidP="003365E3">
            <w:pPr>
              <w:ind w:left="-107"/>
              <w:rPr>
                <w:lang w:val="it-IT"/>
              </w:rPr>
            </w:pPr>
            <w:r w:rsidRPr="00783E37">
              <w:rPr>
                <w:rFonts w:ascii="Tahoma" w:hAnsi="Tahoma" w:cs="Tahoma"/>
                <w:iCs/>
                <w:color w:val="333333"/>
                <w:sz w:val="14"/>
                <w:szCs w:val="14"/>
                <w:lang w:val="it-IT" w:eastAsia="it-IT"/>
              </w:rPr>
              <w:t>Guest Editors:</w:t>
            </w:r>
            <w:r w:rsidR="00904C62" w:rsidRPr="00783E37">
              <w:rPr>
                <w:rFonts w:ascii="Tahoma" w:hAnsi="Tahoma" w:cs="Tahoma"/>
                <w:iCs/>
                <w:color w:val="333333"/>
                <w:sz w:val="14"/>
                <w:szCs w:val="14"/>
                <w:lang w:val="it-IT" w:eastAsia="it-IT"/>
              </w:rPr>
              <w:t xml:space="preserve"> </w:t>
            </w:r>
            <w:r w:rsidR="009635B9" w:rsidRPr="00783E37">
              <w:rPr>
                <w:rFonts w:ascii="Tahoma" w:hAnsi="Tahoma" w:cs="Tahoma"/>
                <w:sz w:val="14"/>
                <w:szCs w:val="14"/>
                <w:lang w:val="it-IT"/>
              </w:rPr>
              <w:t>Sauro Pierucci,</w:t>
            </w:r>
            <w:r w:rsidR="003B60F3" w:rsidRPr="00783E37">
              <w:rPr>
                <w:rFonts w:ascii="Tahoma" w:hAnsi="Tahoma" w:cs="Tahoma"/>
                <w:sz w:val="14"/>
                <w:szCs w:val="14"/>
                <w:lang w:val="it-IT"/>
              </w:rPr>
              <w:t xml:space="preserve"> </w:t>
            </w:r>
            <w:r w:rsidR="00047D7F" w:rsidRPr="00783E37">
              <w:rPr>
                <w:rFonts w:ascii="Tahoma" w:hAnsi="Tahoma" w:cs="Tahoma"/>
                <w:sz w:val="14"/>
                <w:szCs w:val="14"/>
                <w:shd w:val="clear" w:color="auto" w:fill="FFFFFF"/>
                <w:lang w:val="it-IT"/>
              </w:rPr>
              <w:t>Jiří Jaromír Klemeš</w:t>
            </w:r>
            <w:r w:rsidR="00252C1A" w:rsidRPr="00783E37">
              <w:rPr>
                <w:rFonts w:ascii="Tahoma" w:hAnsi="Tahoma" w:cs="Tahoma"/>
                <w:sz w:val="14"/>
                <w:szCs w:val="14"/>
                <w:shd w:val="clear" w:color="auto" w:fill="FFFFFF"/>
                <w:lang w:val="it-IT"/>
              </w:rPr>
              <w:t>, Laura Piazza</w:t>
            </w:r>
          </w:p>
          <w:p w:rsidR="000A03B2" w:rsidRPr="00B57B36" w:rsidRDefault="0033143A" w:rsidP="00131FAB">
            <w:pPr>
              <w:tabs>
                <w:tab w:val="left" w:pos="-108"/>
              </w:tabs>
              <w:spacing w:line="140" w:lineRule="atLeast"/>
              <w:ind w:left="-107"/>
              <w:jc w:val="left"/>
            </w:pPr>
            <w:r w:rsidRPr="00783E37">
              <w:rPr>
                <w:rFonts w:ascii="Tahoma" w:hAnsi="Tahoma" w:cs="Tahoma"/>
                <w:iCs/>
                <w:color w:val="333333"/>
                <w:sz w:val="14"/>
                <w:szCs w:val="14"/>
                <w:lang w:eastAsia="it-IT"/>
              </w:rPr>
              <w:t>Copyright © 201</w:t>
            </w:r>
            <w:r w:rsidR="007931FA" w:rsidRPr="00783E37">
              <w:rPr>
                <w:rFonts w:ascii="Tahoma" w:hAnsi="Tahoma" w:cs="Tahoma"/>
                <w:iCs/>
                <w:color w:val="333333"/>
                <w:sz w:val="14"/>
                <w:szCs w:val="14"/>
                <w:lang w:eastAsia="it-IT"/>
              </w:rPr>
              <w:t>9</w:t>
            </w:r>
            <w:r w:rsidR="00904C62" w:rsidRPr="00783E37">
              <w:rPr>
                <w:rFonts w:ascii="Tahoma" w:hAnsi="Tahoma" w:cs="Tahoma"/>
                <w:iCs/>
                <w:color w:val="333333"/>
                <w:sz w:val="14"/>
                <w:szCs w:val="14"/>
                <w:lang w:eastAsia="it-IT"/>
              </w:rPr>
              <w:t xml:space="preserve">, AIDIC </w:t>
            </w:r>
            <w:proofErr w:type="spellStart"/>
            <w:r w:rsidR="00904C62" w:rsidRPr="00783E37">
              <w:rPr>
                <w:rFonts w:ascii="Tahoma" w:hAnsi="Tahoma" w:cs="Tahoma"/>
                <w:iCs/>
                <w:color w:val="333333"/>
                <w:sz w:val="14"/>
                <w:szCs w:val="14"/>
                <w:lang w:eastAsia="it-IT"/>
              </w:rPr>
              <w:t>Servizi</w:t>
            </w:r>
            <w:proofErr w:type="spellEnd"/>
            <w:r w:rsidR="00904C62" w:rsidRPr="00783E37">
              <w:rPr>
                <w:rFonts w:ascii="Tahoma" w:hAnsi="Tahoma" w:cs="Tahoma"/>
                <w:iCs/>
                <w:color w:val="333333"/>
                <w:sz w:val="14"/>
                <w:szCs w:val="14"/>
                <w:lang w:eastAsia="it-IT"/>
              </w:rPr>
              <w:t xml:space="preserve"> </w:t>
            </w:r>
            <w:proofErr w:type="spellStart"/>
            <w:r w:rsidR="00904C62" w:rsidRPr="00783E37">
              <w:rPr>
                <w:rFonts w:ascii="Tahoma" w:hAnsi="Tahoma" w:cs="Tahoma"/>
                <w:iCs/>
                <w:color w:val="333333"/>
                <w:sz w:val="14"/>
                <w:szCs w:val="14"/>
                <w:lang w:eastAsia="it-IT"/>
              </w:rPr>
              <w:t>S.r.l</w:t>
            </w:r>
            <w:proofErr w:type="spellEnd"/>
            <w:r w:rsidR="00904C62" w:rsidRPr="00783E37">
              <w:rPr>
                <w:rFonts w:ascii="Tahoma" w:hAnsi="Tahoma" w:cs="Tahoma"/>
                <w:iCs/>
                <w:color w:val="333333"/>
                <w:sz w:val="14"/>
                <w:szCs w:val="14"/>
                <w:lang w:eastAsia="it-IT"/>
              </w:rPr>
              <w:t>.</w:t>
            </w:r>
            <w:r w:rsidR="00300E56" w:rsidRPr="00783E37">
              <w:rPr>
                <w:rFonts w:ascii="Tahoma" w:hAnsi="Tahoma" w:cs="Tahoma"/>
                <w:iCs/>
                <w:color w:val="333333"/>
                <w:sz w:val="14"/>
                <w:szCs w:val="14"/>
                <w:lang w:eastAsia="it-IT"/>
              </w:rPr>
              <w:br/>
            </w:r>
            <w:r w:rsidR="00300E56" w:rsidRPr="00783E37">
              <w:rPr>
                <w:rFonts w:ascii="Tahoma" w:hAnsi="Tahoma" w:cs="Tahoma"/>
                <w:b/>
                <w:iCs/>
                <w:color w:val="000000"/>
                <w:sz w:val="14"/>
                <w:szCs w:val="14"/>
                <w:lang w:eastAsia="it-IT"/>
              </w:rPr>
              <w:t>ISBN</w:t>
            </w:r>
            <w:r w:rsidR="00300E56" w:rsidRPr="00783E37">
              <w:rPr>
                <w:rFonts w:ascii="Tahoma" w:hAnsi="Tahoma" w:cs="Tahoma"/>
                <w:iCs/>
                <w:color w:val="000000"/>
                <w:sz w:val="14"/>
                <w:szCs w:val="14"/>
                <w:lang w:eastAsia="it-IT"/>
              </w:rPr>
              <w:t xml:space="preserve"> </w:t>
            </w:r>
            <w:r w:rsidR="008D32B9" w:rsidRPr="00783E37">
              <w:rPr>
                <w:rFonts w:ascii="Tahoma" w:hAnsi="Tahoma" w:cs="Tahoma"/>
                <w:sz w:val="14"/>
                <w:szCs w:val="14"/>
              </w:rPr>
              <w:t>978-88-95608-</w:t>
            </w:r>
            <w:r w:rsidR="009635B9" w:rsidRPr="00783E37">
              <w:rPr>
                <w:rFonts w:ascii="Tahoma" w:hAnsi="Tahoma" w:cs="Tahoma"/>
                <w:sz w:val="14"/>
                <w:szCs w:val="14"/>
              </w:rPr>
              <w:t>73</w:t>
            </w:r>
            <w:r w:rsidR="008D32B9" w:rsidRPr="00783E37">
              <w:rPr>
                <w:rFonts w:ascii="Tahoma" w:hAnsi="Tahoma" w:cs="Tahoma"/>
                <w:sz w:val="14"/>
                <w:szCs w:val="14"/>
              </w:rPr>
              <w:t>-</w:t>
            </w:r>
            <w:r w:rsidR="009635B9" w:rsidRPr="00783E37">
              <w:rPr>
                <w:rFonts w:ascii="Tahoma" w:hAnsi="Tahoma" w:cs="Tahoma"/>
                <w:sz w:val="14"/>
                <w:szCs w:val="14"/>
              </w:rPr>
              <w:t>0</w:t>
            </w:r>
            <w:r w:rsidR="00300E56" w:rsidRPr="00783E37">
              <w:rPr>
                <w:rFonts w:ascii="Tahoma" w:hAnsi="Tahoma" w:cs="Tahoma"/>
                <w:iCs/>
                <w:color w:val="333333"/>
                <w:sz w:val="14"/>
                <w:szCs w:val="14"/>
                <w:lang w:eastAsia="it-IT"/>
              </w:rPr>
              <w:t xml:space="preserve">; </w:t>
            </w:r>
            <w:r w:rsidR="00300E56" w:rsidRPr="00783E37">
              <w:rPr>
                <w:rFonts w:ascii="Tahoma" w:hAnsi="Tahoma" w:cs="Tahoma"/>
                <w:b/>
                <w:iCs/>
                <w:color w:val="333333"/>
                <w:sz w:val="14"/>
                <w:szCs w:val="14"/>
                <w:lang w:eastAsia="it-IT"/>
              </w:rPr>
              <w:t>ISSN</w:t>
            </w:r>
            <w:r w:rsidR="00300E56" w:rsidRPr="00783E37">
              <w:rPr>
                <w:rFonts w:ascii="Tahoma" w:hAnsi="Tahoma" w:cs="Tahoma"/>
                <w:iCs/>
                <w:color w:val="333333"/>
                <w:sz w:val="14"/>
                <w:szCs w:val="14"/>
                <w:lang w:eastAsia="it-IT"/>
              </w:rPr>
              <w:t xml:space="preserve"> 2283-9216</w:t>
            </w:r>
          </w:p>
        </w:tc>
      </w:tr>
    </w:tbl>
    <w:p w:rsidR="000A03B2" w:rsidRPr="00B57B36" w:rsidRDefault="000A03B2" w:rsidP="000A03B2">
      <w:pPr>
        <w:pStyle w:val="CETAuthors"/>
        <w:sectPr w:rsidR="000A03B2" w:rsidRPr="00B57B36">
          <w:type w:val="continuous"/>
          <w:pgSz w:w="11906" w:h="16838" w:code="9"/>
          <w:pgMar w:top="1701" w:right="1418" w:bottom="1701" w:left="1701" w:header="1701" w:footer="0" w:gutter="0"/>
          <w:cols w:space="708"/>
          <w:titlePg/>
          <w:docGrid w:linePitch="360"/>
        </w:sectPr>
      </w:pPr>
    </w:p>
    <w:p w:rsidR="00565D99" w:rsidRPr="00670D32" w:rsidRDefault="0033143A" w:rsidP="00565D99">
      <w:pPr>
        <w:pStyle w:val="CETTitle"/>
      </w:pPr>
      <w:r w:rsidRPr="00670D32">
        <w:t>DYNAMIC ANALYSIS TO PRODUCE HYDROGEN IN A FIXED BED CATALYTIC REACTOR BY THE STEAM REFORMING OF TOLUENE</w:t>
      </w:r>
    </w:p>
    <w:p w:rsidR="00565D99" w:rsidRPr="009A0382" w:rsidRDefault="0033143A" w:rsidP="00565D99">
      <w:pPr>
        <w:pStyle w:val="CETAuthors"/>
        <w:rPr>
          <w:vertAlign w:val="superscript"/>
          <w:lang w:val="pt-BR"/>
        </w:rPr>
      </w:pPr>
      <w:r w:rsidRPr="00670D32">
        <w:rPr>
          <w:lang w:val="pt-BR"/>
        </w:rPr>
        <w:t>Emerson B. Anjos</w:t>
      </w:r>
      <w:r w:rsidRPr="00670D32">
        <w:rPr>
          <w:vertAlign w:val="superscript"/>
          <w:lang w:val="pt-BR"/>
        </w:rPr>
        <w:t>a,*</w:t>
      </w:r>
      <w:r w:rsidRPr="00670D32">
        <w:rPr>
          <w:lang w:val="pt-BR"/>
        </w:rPr>
        <w:t>, Claudio C.B.</w:t>
      </w:r>
      <w:r w:rsidR="006A3851" w:rsidRPr="00670D32">
        <w:rPr>
          <w:lang w:val="pt-BR"/>
        </w:rPr>
        <w:t xml:space="preserve"> </w:t>
      </w:r>
      <w:r w:rsidRPr="00670D32">
        <w:rPr>
          <w:lang w:val="pt-BR"/>
        </w:rPr>
        <w:t>Oliveira</w:t>
      </w:r>
      <w:r w:rsidRPr="00670D32">
        <w:rPr>
          <w:vertAlign w:val="superscript"/>
          <w:lang w:val="pt-BR"/>
        </w:rPr>
        <w:t>b,</w:t>
      </w:r>
      <w:r w:rsidRPr="00670D32">
        <w:rPr>
          <w:lang w:val="pt-BR"/>
        </w:rPr>
        <w:t>*, Jornandes D.</w:t>
      </w:r>
      <w:r w:rsidR="006A3851" w:rsidRPr="00670D32">
        <w:rPr>
          <w:lang w:val="pt-BR"/>
        </w:rPr>
        <w:t xml:space="preserve"> </w:t>
      </w:r>
      <w:r w:rsidRPr="00670D32">
        <w:rPr>
          <w:lang w:val="pt-BR"/>
        </w:rPr>
        <w:t>Silva</w:t>
      </w:r>
      <w:r w:rsidRPr="00670D32">
        <w:rPr>
          <w:vertAlign w:val="superscript"/>
          <w:lang w:val="pt-BR"/>
        </w:rPr>
        <w:t>a</w:t>
      </w:r>
    </w:p>
    <w:p w:rsidR="00565D99" w:rsidRDefault="0033143A" w:rsidP="00565D99">
      <w:pPr>
        <w:pStyle w:val="CETAddress"/>
      </w:pPr>
      <w:r w:rsidRPr="00670D32">
        <w:rPr>
          <w:vertAlign w:val="superscript"/>
        </w:rPr>
        <w:t>a</w:t>
      </w:r>
      <w:r w:rsidRPr="00670D32">
        <w:t xml:space="preserve">Polytechnic School – UPE, Laboratory of Environmental and Energetic Technology; Rua Benfica – 455, Madalena, Recife – PE, Brazil. Cep: 50750-470. </w:t>
      </w:r>
    </w:p>
    <w:p w:rsidR="00565D99" w:rsidRDefault="0033143A" w:rsidP="00565D99">
      <w:pPr>
        <w:pStyle w:val="CETAddress"/>
      </w:pPr>
      <w:r w:rsidRPr="00670D32">
        <w:rPr>
          <w:vertAlign w:val="superscript"/>
        </w:rPr>
        <w:t>b</w:t>
      </w:r>
      <w:r w:rsidRPr="00670D32">
        <w:t xml:space="preserve">Department of Chemical Engineering, Federal University of Pernambuco (UFPE), Phone (81) 2126-8901, R. </w:t>
      </w:r>
      <w:r w:rsidRPr="00783E37">
        <w:t xml:space="preserve">Prof. Artur de Sá, 50740-521, Recife - PE Brazil. </w:t>
      </w:r>
    </w:p>
    <w:p w:rsidR="00565D99" w:rsidRPr="00783E37" w:rsidRDefault="0033143A" w:rsidP="00565D99">
      <w:pPr>
        <w:pStyle w:val="CETAddress"/>
      </w:pPr>
      <w:r w:rsidRPr="00783E37">
        <w:t>emersonanjos@poli.br</w:t>
      </w:r>
    </w:p>
    <w:p w:rsidR="00565D99" w:rsidRDefault="00565D99" w:rsidP="00565D99">
      <w:pPr>
        <w:pStyle w:val="CETBodytext"/>
        <w:rPr>
          <w:lang w:val="en-GB"/>
        </w:rPr>
      </w:pPr>
      <w:bookmarkStart w:id="0" w:name="_Hlk495475023"/>
    </w:p>
    <w:p w:rsidR="00565D99" w:rsidRPr="00B57B36" w:rsidRDefault="0033143A" w:rsidP="00565D99">
      <w:pPr>
        <w:pStyle w:val="CETBodytext"/>
        <w:rPr>
          <w:lang w:val="en-GB"/>
        </w:rPr>
      </w:pPr>
      <w:r w:rsidRPr="00670D32">
        <w:rPr>
          <w:lang w:val="en-GB"/>
        </w:rPr>
        <w:t xml:space="preserve">Hydrogen is considered as an essential fuel of the future, which can reduce the reliance on oil. It can be produced via </w:t>
      </w:r>
      <w:r w:rsidR="00D753FD" w:rsidRPr="00670D32">
        <w:rPr>
          <w:lang w:val="en-GB"/>
        </w:rPr>
        <w:t>the various chemical process</w:t>
      </w:r>
      <w:r w:rsidRPr="00670D32">
        <w:rPr>
          <w:lang w:val="en-GB"/>
        </w:rPr>
        <w:t xml:space="preserve"> including ion exchange membranes, biomass gasification, steam reforming. The use of biomass as </w:t>
      </w:r>
      <w:r>
        <w:rPr>
          <w:lang w:val="en-GB"/>
        </w:rPr>
        <w:t>alternative energy</w:t>
      </w:r>
      <w:r w:rsidRPr="00670D32">
        <w:rPr>
          <w:lang w:val="en-GB"/>
        </w:rPr>
        <w:t xml:space="preserve"> for fossil fuels has been attracting attention </w:t>
      </w:r>
      <w:r w:rsidR="00D753FD" w:rsidRPr="00670D32">
        <w:rPr>
          <w:lang w:val="en-GB"/>
        </w:rPr>
        <w:t>recently due to the</w:t>
      </w:r>
      <w:r w:rsidRPr="00670D32">
        <w:rPr>
          <w:lang w:val="en-GB"/>
        </w:rPr>
        <w:t xml:space="preserve"> rapid depletion of fossil fuel sources and the costly price tag of crude. However, one of the critical challenges in biomass gasification technology is the removal of tar, which contains oxygenated hydrocarbons and aromatic hydrocarbons which are difficult to degrade and can lead to a decrease in efficiency of the process operations and an increase in maintenance and operating costs. The steam reform is a widely known technique for the removal of tar, avoiding equipment damage, and can produce hydrogen fuel that is a relevant alternative for reducing environmental impact. In this sense, this paper presents a numerical analysis of the steam reforming using toluene as a model compound to produce hydrogen in a fixed bed catalytic reactor. The main objective of this paper was the development of a dynamic mathematical model to study non-isothermal steam reforming of toluene in a catalytic reactor. This model is described by a system of Partial Differential Equations (PDEs). Also, to solve these PDEs, it was us</w:t>
      </w:r>
      <w:r w:rsidR="00D753FD" w:rsidRPr="00670D32">
        <w:rPr>
          <w:lang w:val="en-GB"/>
        </w:rPr>
        <w:t>ing</w:t>
      </w:r>
      <w:r w:rsidRPr="00670D32">
        <w:rPr>
          <w:lang w:val="en-GB"/>
        </w:rPr>
        <w:t xml:space="preserve"> the technique Coupled Integral Equation Approach (CIEA) and with a code in FORTRAN 95 language that allowed obtaining data about the temperature profiles and H</w:t>
      </w:r>
      <w:r w:rsidRPr="00670D32">
        <w:rPr>
          <w:vertAlign w:val="subscript"/>
          <w:lang w:val="en-GB"/>
        </w:rPr>
        <w:t>2</w:t>
      </w:r>
      <w:r w:rsidRPr="00670D32">
        <w:rPr>
          <w:lang w:val="en-GB"/>
        </w:rPr>
        <w:t xml:space="preserve"> production.</w:t>
      </w:r>
    </w:p>
    <w:bookmarkEnd w:id="0"/>
    <w:p w:rsidR="00565D99" w:rsidRPr="00670D32" w:rsidRDefault="0033143A" w:rsidP="00565D99">
      <w:pPr>
        <w:pStyle w:val="CETHeading1"/>
        <w:rPr>
          <w:lang w:val="en-GB"/>
        </w:rPr>
      </w:pPr>
      <w:r w:rsidRPr="00670D32">
        <w:rPr>
          <w:lang w:val="en-GB"/>
        </w:rPr>
        <w:t>Introduction</w:t>
      </w:r>
    </w:p>
    <w:p w:rsidR="00565D99" w:rsidRPr="009A0382" w:rsidRDefault="0033143A" w:rsidP="00565D99">
      <w:pPr>
        <w:pStyle w:val="CETBodytext"/>
        <w:rPr>
          <w:lang w:val="en-GB"/>
        </w:rPr>
      </w:pPr>
      <w:r w:rsidRPr="00670D32">
        <w:t>Nowadays fossil fuels are used as the main energy source. However, the current fossil fuel sources are running, and new sources are difficult to find and use (</w:t>
      </w:r>
      <w:proofErr w:type="spellStart"/>
      <w:r w:rsidRPr="00670D32">
        <w:t>Setiadjid</w:t>
      </w:r>
      <w:proofErr w:type="spellEnd"/>
      <w:r w:rsidRPr="00670D32">
        <w:t xml:space="preserve">, 2018). The renewable, pollution-free green energy resources as a </w:t>
      </w:r>
      <w:r>
        <w:t>hotspot</w:t>
      </w:r>
      <w:r w:rsidRPr="00670D32">
        <w:t xml:space="preserve"> in the world energy field require a full development now and, in the future (Sun, 2018). Hydrogen</w:t>
      </w:r>
      <w:r w:rsidRPr="00670D32">
        <w:rPr>
          <w:lang w:val="en-GB"/>
        </w:rPr>
        <w:t xml:space="preserve"> is considered as an essential fuel of the future, which can reduce the reliance on oil. </w:t>
      </w:r>
      <w:r w:rsidR="000546BF" w:rsidRPr="00670D32">
        <w:rPr>
          <w:lang w:val="en-GB"/>
        </w:rPr>
        <w:t>It</w:t>
      </w:r>
      <w:r w:rsidRPr="00670D32">
        <w:rPr>
          <w:lang w:val="en-GB"/>
        </w:rPr>
        <w:t xml:space="preserve"> can be produced via </w:t>
      </w:r>
      <w:r w:rsidR="00D753FD" w:rsidRPr="00670D32">
        <w:rPr>
          <w:lang w:val="en-GB"/>
        </w:rPr>
        <w:t xml:space="preserve">the </w:t>
      </w:r>
      <w:r w:rsidRPr="00670D32">
        <w:rPr>
          <w:lang w:val="en-GB"/>
        </w:rPr>
        <w:t>various chemical process including ion exchange membranes, biomass gasification, steam reforming. The use of biomass as</w:t>
      </w:r>
      <w:r>
        <w:rPr>
          <w:lang w:val="en-GB"/>
        </w:rPr>
        <w:t xml:space="preserve"> alternative energy</w:t>
      </w:r>
      <w:r w:rsidRPr="00670D32">
        <w:rPr>
          <w:lang w:val="en-GB"/>
        </w:rPr>
        <w:t xml:space="preserve"> for fossil fuels has been attracting attention recently due the </w:t>
      </w:r>
      <w:proofErr w:type="spellStart"/>
      <w:r w:rsidR="00D753FD" w:rsidRPr="00670D32">
        <w:rPr>
          <w:lang w:val="en-GB"/>
        </w:rPr>
        <w:t>to</w:t>
      </w:r>
      <w:proofErr w:type="spellEnd"/>
      <w:r w:rsidR="00D753FD" w:rsidRPr="00670D32">
        <w:rPr>
          <w:lang w:val="en-GB"/>
        </w:rPr>
        <w:t xml:space="preserve"> </w:t>
      </w:r>
      <w:r w:rsidRPr="00670D32">
        <w:rPr>
          <w:lang w:val="en-GB"/>
        </w:rPr>
        <w:t xml:space="preserve">rapid depletion of fossil fuel sources and the costly price tag of crude. </w:t>
      </w:r>
    </w:p>
    <w:p w:rsidR="00565D99" w:rsidRPr="009A0382" w:rsidRDefault="0033143A" w:rsidP="00565D99">
      <w:pPr>
        <w:pStyle w:val="CETBodytext"/>
        <w:rPr>
          <w:lang w:val="en-GB"/>
        </w:rPr>
      </w:pPr>
      <w:r w:rsidRPr="00670D32">
        <w:rPr>
          <w:lang w:val="en-GB"/>
        </w:rPr>
        <w:t>The biomass gasification for producing syngas (H</w:t>
      </w:r>
      <w:r w:rsidRPr="00670D32">
        <w:rPr>
          <w:vertAlign w:val="subscript"/>
          <w:lang w:val="en-GB"/>
        </w:rPr>
        <w:t>2</w:t>
      </w:r>
      <w:r w:rsidRPr="00670D32">
        <w:rPr>
          <w:lang w:val="en-GB"/>
        </w:rPr>
        <w:t xml:space="preserve"> + CO) is regarded as one of the most promising options. The gasification is defined as the thermochemical process which converts solid and liquid fuels into a combustible gas mixture of low or medium in the presence of a </w:t>
      </w:r>
      <w:proofErr w:type="spellStart"/>
      <w:r w:rsidRPr="00670D32">
        <w:rPr>
          <w:lang w:val="en-GB"/>
        </w:rPr>
        <w:t>gasifying</w:t>
      </w:r>
      <w:proofErr w:type="spellEnd"/>
      <w:r w:rsidRPr="00670D32">
        <w:rPr>
          <w:lang w:val="en-GB"/>
        </w:rPr>
        <w:t xml:space="preserve"> agent. However, one of the critical challenges in biomass gasification technology is the removal of tar, which contains oxygenated hydrocarbons and aromatic hydrocarbons which are difficult to degrade and can lead to a decrease in efficiency of the process operations and an increase in maintenance and operating costs.  Tar is the inevitable by-product during </w:t>
      </w:r>
      <w:r w:rsidR="00D753FD" w:rsidRPr="00670D32">
        <w:rPr>
          <w:lang w:val="en-GB"/>
        </w:rPr>
        <w:t xml:space="preserve">the </w:t>
      </w:r>
      <w:r w:rsidRPr="00670D32">
        <w:rPr>
          <w:lang w:val="en-GB"/>
        </w:rPr>
        <w:t>biomass gasification process and is a complex mixture of al</w:t>
      </w:r>
      <w:r w:rsidR="00D753FD" w:rsidRPr="00670D32">
        <w:rPr>
          <w:lang w:val="en-GB"/>
        </w:rPr>
        <w:t>l</w:t>
      </w:r>
      <w:r w:rsidRPr="00670D32">
        <w:rPr>
          <w:lang w:val="en-GB"/>
        </w:rPr>
        <w:t xml:space="preserve"> organic compounds, among which toluene represents 24% from composition (</w:t>
      </w:r>
      <w:proofErr w:type="spellStart"/>
      <w:r w:rsidRPr="00670D32">
        <w:rPr>
          <w:lang w:val="en-GB"/>
        </w:rPr>
        <w:t>Mitran</w:t>
      </w:r>
      <w:proofErr w:type="spellEnd"/>
      <w:r w:rsidRPr="00670D32">
        <w:rPr>
          <w:lang w:val="en-GB"/>
        </w:rPr>
        <w:t xml:space="preserve"> et al</w:t>
      </w:r>
      <w:r w:rsidR="000546BF" w:rsidRPr="00670D32">
        <w:rPr>
          <w:lang w:val="en-GB"/>
        </w:rPr>
        <w:t>.,</w:t>
      </w:r>
      <w:r w:rsidRPr="00670D32">
        <w:rPr>
          <w:lang w:val="en-GB"/>
        </w:rPr>
        <w:t xml:space="preserve"> 2017). </w:t>
      </w:r>
    </w:p>
    <w:p w:rsidR="00565D99" w:rsidRPr="009A0382" w:rsidRDefault="0033143A" w:rsidP="00565D99">
      <w:pPr>
        <w:pStyle w:val="CETBodytext"/>
        <w:rPr>
          <w:lang w:val="en-GB"/>
        </w:rPr>
      </w:pPr>
      <w:r w:rsidRPr="00670D32">
        <w:rPr>
          <w:lang w:val="en-GB"/>
        </w:rPr>
        <w:lastRenderedPageBreak/>
        <w:t xml:space="preserve">Several typical aromatics have been adopted as model biomass tar compounds, such as phenol and toluene. Moreover, several researchers study the reforming of hydrocarbons, provided that this process can reduce the tar and produce hydrogen fuel. Silva (2014), </w:t>
      </w:r>
      <w:proofErr w:type="spellStart"/>
      <w:r w:rsidRPr="00670D32">
        <w:rPr>
          <w:lang w:val="en-GB"/>
        </w:rPr>
        <w:t>modeled</w:t>
      </w:r>
      <w:proofErr w:type="spellEnd"/>
      <w:r w:rsidRPr="00670D32">
        <w:rPr>
          <w:lang w:val="en-GB"/>
        </w:rPr>
        <w:t xml:space="preserve"> and simulated one-dimensional isothermal </w:t>
      </w:r>
      <w:proofErr w:type="spellStart"/>
      <w:r w:rsidRPr="00670D32">
        <w:rPr>
          <w:lang w:val="en-GB"/>
        </w:rPr>
        <w:t>modeling</w:t>
      </w:r>
      <w:proofErr w:type="spellEnd"/>
      <w:r w:rsidRPr="00670D32">
        <w:rPr>
          <w:lang w:val="en-GB"/>
        </w:rPr>
        <w:t xml:space="preserve"> for the steam methane reforming in a fixed bed membrane reactor. Oliveira and Silva (2013), studied the steam reforming of toluene in the isothermal </w:t>
      </w:r>
      <w:proofErr w:type="spellStart"/>
      <w:r w:rsidRPr="00670D32">
        <w:rPr>
          <w:lang w:val="en-GB"/>
        </w:rPr>
        <w:t>modeling</w:t>
      </w:r>
      <w:proofErr w:type="spellEnd"/>
      <w:r w:rsidRPr="00670D32">
        <w:rPr>
          <w:lang w:val="en-GB"/>
        </w:rPr>
        <w:t xml:space="preserve"> in a fixed bed reactor, Aydin et al</w:t>
      </w:r>
      <w:r w:rsidR="000546BF" w:rsidRPr="00670D32">
        <w:rPr>
          <w:lang w:val="en-GB"/>
        </w:rPr>
        <w:t>.</w:t>
      </w:r>
      <w:r w:rsidRPr="00670D32">
        <w:rPr>
          <w:lang w:val="en-GB"/>
        </w:rPr>
        <w:t xml:space="preserve"> (2018) did a numerical and experimental investigation of hydrogen-rich syngas production via biomass and Wu et al.</w:t>
      </w:r>
      <w:r w:rsidR="000546BF" w:rsidRPr="00670D32">
        <w:rPr>
          <w:lang w:val="en-GB"/>
        </w:rPr>
        <w:t xml:space="preserve"> </w:t>
      </w:r>
      <w:r w:rsidRPr="00670D32">
        <w:rPr>
          <w:lang w:val="en-GB"/>
        </w:rPr>
        <w:t xml:space="preserve">(2013), </w:t>
      </w:r>
      <w:proofErr w:type="spellStart"/>
      <w:r w:rsidRPr="00670D32">
        <w:rPr>
          <w:lang w:val="en-GB"/>
        </w:rPr>
        <w:t>analyzed</w:t>
      </w:r>
      <w:proofErr w:type="spellEnd"/>
      <w:r w:rsidRPr="00670D32">
        <w:rPr>
          <w:lang w:val="en-GB"/>
        </w:rPr>
        <w:t xml:space="preserve"> hydrogen production from </w:t>
      </w:r>
      <w:r w:rsidR="00D753FD" w:rsidRPr="00670D32">
        <w:rPr>
          <w:lang w:val="en-GB"/>
        </w:rPr>
        <w:t xml:space="preserve">the </w:t>
      </w:r>
      <w:r w:rsidRPr="00670D32">
        <w:rPr>
          <w:lang w:val="en-GB"/>
        </w:rPr>
        <w:t>catalytic steam reforming of toluene over experimental nature. In this work, toluene is chosen as the model compound of biomass gasification because it exists as a tar component in a significant high quantity and represents a stable aromatic structure apparent in tar forming processes.</w:t>
      </w:r>
    </w:p>
    <w:p w:rsidR="00565D99" w:rsidRDefault="0033143A" w:rsidP="00565D99">
      <w:pPr>
        <w:pStyle w:val="CETBodytext"/>
        <w:rPr>
          <w:lang w:val="en-GB"/>
        </w:rPr>
      </w:pPr>
      <w:r w:rsidRPr="00670D32">
        <w:rPr>
          <w:lang w:val="en-GB"/>
        </w:rPr>
        <w:t>Therefore, the primary objective of this paper was the development of a dynamic mathematical model to study non-isothermal steam reforming of toluene in a catalytic reactor. A system of partial differential equations (PDE) was obtained for describing governing equations of the energy and mass balances. Applying the methodology of the Coupled Integral Equation Approach (CIEA), it was possible to transform the PDE into Ordinary Differential Equations (ODE) and to obtain the graphs of the temperatures, referring to the energy balance, and the concentrations of the chemical compounds present in the mathematical model.</w:t>
      </w:r>
    </w:p>
    <w:p w:rsidR="00565D99" w:rsidRPr="00670D32" w:rsidRDefault="0033143A" w:rsidP="00565D99">
      <w:pPr>
        <w:pStyle w:val="CETHeading1"/>
        <w:tabs>
          <w:tab w:val="clear" w:pos="360"/>
          <w:tab w:val="right" w:pos="7100"/>
        </w:tabs>
        <w:jc w:val="both"/>
        <w:rPr>
          <w:lang w:val="en-GB"/>
        </w:rPr>
      </w:pPr>
      <w:r w:rsidRPr="00670D32">
        <w:rPr>
          <w:lang w:val="en-GB"/>
        </w:rPr>
        <w:t>Problem Formulation</w:t>
      </w:r>
    </w:p>
    <w:p w:rsidR="00565D99" w:rsidRPr="00670D32" w:rsidRDefault="0033143A" w:rsidP="00565D99">
      <w:pPr>
        <w:pStyle w:val="CETheadingx"/>
      </w:pPr>
      <w:r w:rsidRPr="00670D32">
        <w:rPr>
          <w:rFonts w:eastAsia="Arial" w:cs="Arial"/>
        </w:rPr>
        <w:t>A kinetic mechanism for this search</w:t>
      </w:r>
    </w:p>
    <w:p w:rsidR="00565D99" w:rsidRDefault="0033143A" w:rsidP="00565D99">
      <w:pPr>
        <w:pStyle w:val="CETBodytext"/>
        <w:rPr>
          <w:lang w:val="en-GB"/>
        </w:rPr>
      </w:pPr>
      <w:r w:rsidRPr="00670D32">
        <w:rPr>
          <w:lang w:val="en-GB"/>
        </w:rPr>
        <w:t xml:space="preserve">The kinetic models specify the </w:t>
      </w:r>
      <w:proofErr w:type="spellStart"/>
      <w:r w:rsidR="00783E37" w:rsidRPr="00670D32">
        <w:rPr>
          <w:lang w:val="en-GB"/>
        </w:rPr>
        <w:t>behavior</w:t>
      </w:r>
      <w:proofErr w:type="spellEnd"/>
      <w:r w:rsidRPr="00670D32">
        <w:rPr>
          <w:lang w:val="en-GB"/>
        </w:rPr>
        <w:t xml:space="preserve">, rates of chemical reactions as well as the resulting concentrations of species at any point in time and space of a system. These models generally refer to specific processes, providing relevant information of the reaction mechanisms and ways to control the rate of a reaction or process. Herein, the process consists of the primary reactions of the steam reforming of toluene. The reactions (1), (2) and (3) in operating conditions describe: the steam reforming reaction of toluene, the partial steam reforming reaction of methane, and the </w:t>
      </w:r>
      <w:r w:rsidR="007655F3" w:rsidRPr="00670D32">
        <w:rPr>
          <w:lang w:val="en-GB"/>
        </w:rPr>
        <w:t xml:space="preserve">water </w:t>
      </w:r>
      <w:r w:rsidRPr="00670D32">
        <w:rPr>
          <w:lang w:val="en-GB"/>
        </w:rPr>
        <w:t xml:space="preserve">gas </w:t>
      </w:r>
      <w:r>
        <w:rPr>
          <w:lang w:val="en-GB"/>
        </w:rPr>
        <w:t>s</w:t>
      </w:r>
      <w:r w:rsidRPr="00670D32">
        <w:rPr>
          <w:lang w:val="en-GB"/>
        </w:rPr>
        <w:t>hift reaction, respectively. Note that (1) is an irreversible reaction, while (2) and (3) are reversible (equilibrium) ones.</w:t>
      </w:r>
    </w:p>
    <w:tbl>
      <w:tblPr>
        <w:tblW w:w="5000" w:type="pct"/>
        <w:tblLook w:val="04A0" w:firstRow="1" w:lastRow="0" w:firstColumn="1" w:lastColumn="0" w:noHBand="0" w:noVBand="1"/>
      </w:tblPr>
      <w:tblGrid>
        <w:gridCol w:w="7995"/>
        <w:gridCol w:w="792"/>
      </w:tblGrid>
      <w:tr w:rsidR="00980719" w:rsidTr="000546BF">
        <w:tc>
          <w:tcPr>
            <w:tcW w:w="7995" w:type="dxa"/>
            <w:shd w:val="clear" w:color="auto" w:fill="auto"/>
            <w:vAlign w:val="center"/>
          </w:tcPr>
          <w:p w:rsidR="00565D99" w:rsidRPr="00B57B36" w:rsidRDefault="0033143A" w:rsidP="0044623B">
            <w:pPr>
              <w:pStyle w:val="CETEquation"/>
            </w:pPr>
            <w:r>
              <w:rPr>
                <w:position w:val="-10"/>
                <w:sz w:val="24"/>
                <w:szCs w:val="24"/>
              </w:rPr>
              <w:object w:dxaOrig="4776" w:dyaOrig="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7pt;height:14.55pt" o:ole="">
                  <v:imagedata r:id="rId8" o:title=""/>
                </v:shape>
                <o:OLEObject Type="Embed" ProgID="Equation.DSMT4" ShapeID="_x0000_i1025" DrawAspect="Content" ObjectID="_1616780404" r:id="rId9"/>
              </w:object>
            </w:r>
          </w:p>
        </w:tc>
        <w:tc>
          <w:tcPr>
            <w:tcW w:w="792" w:type="dxa"/>
            <w:shd w:val="clear" w:color="auto" w:fill="auto"/>
            <w:vAlign w:val="center"/>
          </w:tcPr>
          <w:p w:rsidR="00565D99" w:rsidRPr="00670D32" w:rsidRDefault="0033143A" w:rsidP="0044623B">
            <w:pPr>
              <w:pStyle w:val="CETEquation"/>
              <w:jc w:val="right"/>
            </w:pPr>
            <w:r w:rsidRPr="00670D32">
              <w:t>(1)</w:t>
            </w:r>
          </w:p>
        </w:tc>
      </w:tr>
      <w:tr w:rsidR="00980719" w:rsidTr="000546BF">
        <w:tc>
          <w:tcPr>
            <w:tcW w:w="7995" w:type="dxa"/>
            <w:shd w:val="clear" w:color="auto" w:fill="auto"/>
            <w:vAlign w:val="center"/>
          </w:tcPr>
          <w:p w:rsidR="00565D99" w:rsidRPr="009A0382" w:rsidRDefault="0033143A" w:rsidP="0044623B">
            <w:pPr>
              <w:pStyle w:val="CETBodytext"/>
              <w:rPr>
                <w:lang w:val="en-GB"/>
              </w:rPr>
            </w:pPr>
            <w:r>
              <w:rPr>
                <w:rFonts w:ascii="Times New Roman" w:hAnsi="Times New Roman"/>
                <w:position w:val="-10"/>
                <w:sz w:val="24"/>
                <w:szCs w:val="24"/>
              </w:rPr>
              <w:object w:dxaOrig="4488" w:dyaOrig="288">
                <v:shape id="_x0000_i1026" type="#_x0000_t75" style="width:224.55pt;height:14.55pt" o:ole="">
                  <v:imagedata r:id="rId10" o:title=""/>
                </v:shape>
                <o:OLEObject Type="Embed" ProgID="Equation.DSMT4" ShapeID="_x0000_i1026" DrawAspect="Content" ObjectID="_1616780405" r:id="rId11"/>
              </w:object>
            </w:r>
          </w:p>
        </w:tc>
        <w:tc>
          <w:tcPr>
            <w:tcW w:w="792" w:type="dxa"/>
            <w:shd w:val="clear" w:color="auto" w:fill="auto"/>
            <w:vAlign w:val="center"/>
          </w:tcPr>
          <w:p w:rsidR="00565D99" w:rsidRPr="00670D32" w:rsidRDefault="0033143A" w:rsidP="0044623B">
            <w:pPr>
              <w:pStyle w:val="CETEquation"/>
              <w:jc w:val="right"/>
            </w:pPr>
            <w:r w:rsidRPr="00670D32">
              <w:t>(2)</w:t>
            </w:r>
          </w:p>
        </w:tc>
      </w:tr>
      <w:tr w:rsidR="00980719" w:rsidTr="000546BF">
        <w:tc>
          <w:tcPr>
            <w:tcW w:w="7995" w:type="dxa"/>
            <w:shd w:val="clear" w:color="auto" w:fill="auto"/>
            <w:vAlign w:val="center"/>
          </w:tcPr>
          <w:p w:rsidR="00565D99" w:rsidRPr="009A0382" w:rsidRDefault="0033143A" w:rsidP="0044623B">
            <w:pPr>
              <w:pStyle w:val="CETBodytext"/>
              <w:rPr>
                <w:lang w:val="en-GB"/>
              </w:rPr>
            </w:pPr>
            <w:r>
              <w:rPr>
                <w:rFonts w:ascii="Times New Roman" w:hAnsi="Times New Roman"/>
                <w:position w:val="-10"/>
                <w:sz w:val="24"/>
                <w:szCs w:val="24"/>
              </w:rPr>
              <w:object w:dxaOrig="4212" w:dyaOrig="288">
                <v:shape id="_x0000_i1027" type="#_x0000_t75" style="width:210.45pt;height:14.55pt" o:ole="">
                  <v:imagedata r:id="rId12" o:title=""/>
                </v:shape>
                <o:OLEObject Type="Embed" ProgID="Equation.DSMT4" ShapeID="_x0000_i1027" DrawAspect="Content" ObjectID="_1616780406" r:id="rId13"/>
              </w:object>
            </w:r>
          </w:p>
        </w:tc>
        <w:tc>
          <w:tcPr>
            <w:tcW w:w="792" w:type="dxa"/>
            <w:shd w:val="clear" w:color="auto" w:fill="auto"/>
            <w:vAlign w:val="center"/>
          </w:tcPr>
          <w:p w:rsidR="00565D99" w:rsidRPr="00670D32" w:rsidRDefault="0033143A" w:rsidP="0044623B">
            <w:pPr>
              <w:pStyle w:val="CETEquation"/>
              <w:jc w:val="right"/>
            </w:pPr>
            <w:r w:rsidRPr="00670D32">
              <w:t>(3)</w:t>
            </w:r>
          </w:p>
        </w:tc>
      </w:tr>
    </w:tbl>
    <w:p w:rsidR="00565D99" w:rsidRDefault="0033143A" w:rsidP="00565D99">
      <w:pPr>
        <w:pStyle w:val="CETBodytext"/>
      </w:pPr>
      <w:r w:rsidRPr="00670D32">
        <w:t>Thermodynamically, (1) and (2) are endothermic reactions and (3) is exothermic one. Chemical species of model reactions are known as toluene (C7H8), water (H2O), carbon monoxide (CO), hydrogen (H2), methane (CH4) and carbon dioxide (CO2).</w:t>
      </w:r>
    </w:p>
    <w:p w:rsidR="00565D99" w:rsidRPr="00670D32" w:rsidRDefault="0033143A" w:rsidP="00565D99">
      <w:pPr>
        <w:pStyle w:val="CETheadingx"/>
      </w:pPr>
      <w:r w:rsidRPr="00670D32">
        <w:rPr>
          <w:rFonts w:eastAsia="Arial" w:cs="Arial"/>
        </w:rPr>
        <w:t xml:space="preserve"> Simplified Mathematical Model for a Catalytic Reactor</w:t>
      </w:r>
    </w:p>
    <w:p w:rsidR="00565D99" w:rsidRDefault="0033143A" w:rsidP="00565D99">
      <w:pPr>
        <w:pStyle w:val="CETBodytext"/>
        <w:rPr>
          <w:lang w:val="en-GB"/>
        </w:rPr>
      </w:pPr>
      <w:r w:rsidRPr="00670D32">
        <w:rPr>
          <w:lang w:val="en-GB"/>
        </w:rPr>
        <w:t>Figure 1 shows the schematic diagram of a Fixed-Bed Reactor (FBR). The model with fluid co-</w:t>
      </w:r>
      <w:r w:rsidR="006577EA" w:rsidRPr="00670D32">
        <w:rPr>
          <w:lang w:val="en-GB"/>
        </w:rPr>
        <w:t>current, over</w:t>
      </w:r>
      <w:r w:rsidRPr="00670D32">
        <w:rPr>
          <w:lang w:val="en-GB"/>
        </w:rPr>
        <w:t xml:space="preserve"> particles, as illustrated in Figure 1, can be considered as an initial value problem. Thus, it is a useful tool, and it is possible to estimate the temperatures and the chemical species as a function of time. Mathematical models can be used to </w:t>
      </w:r>
      <w:proofErr w:type="spellStart"/>
      <w:r w:rsidR="00783E37" w:rsidRPr="00670D32">
        <w:rPr>
          <w:lang w:val="en-GB"/>
        </w:rPr>
        <w:t>analyze</w:t>
      </w:r>
      <w:proofErr w:type="spellEnd"/>
      <w:r w:rsidRPr="00670D32">
        <w:rPr>
          <w:lang w:val="en-GB"/>
        </w:rPr>
        <w:t xml:space="preserve"> reactor designs and their operating conditions. This work presents a one-dimensional model to predict the evolution of the temperatures in the gas-liquid and solid phases and evolution of chemical species during the steam reforming of toluene.</w:t>
      </w:r>
    </w:p>
    <w:p w:rsidR="00565D99" w:rsidRDefault="0033143A" w:rsidP="00565D99">
      <w:pPr>
        <w:pStyle w:val="CETBodytext"/>
        <w:rPr>
          <w:noProof/>
        </w:rPr>
      </w:pPr>
      <w:r w:rsidRPr="00670D32">
        <w:rPr>
          <w:noProof/>
        </w:rPr>
        <w:drawing>
          <wp:inline distT="0" distB="0" distL="0" distR="0">
            <wp:extent cx="3119493" cy="1752600"/>
            <wp:effectExtent l="0" t="0" r="508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42536" name="Imagem 1"/>
                    <pic:cNvPicPr>
                      <a:picLocks noChangeAspect="1" noChangeArrowheads="1"/>
                    </pic:cNvPicPr>
                  </pic:nvPicPr>
                  <pic:blipFill>
                    <a:blip r:embed="rId14" cstate="print">
                      <a:extLst>
                        <a:ext uri="{28A0092B-C50C-407E-A947-70E740481C1C}">
                          <a14:useLocalDpi xmlns:a14="http://schemas.microsoft.com/office/drawing/2010/main" val="0"/>
                        </a:ext>
                      </a:extLst>
                    </a:blip>
                    <a:srcRect l="23280" t="20541" r="7967" b="10648"/>
                    <a:stretch>
                      <a:fillRect/>
                    </a:stretch>
                  </pic:blipFill>
                  <pic:spPr bwMode="auto">
                    <a:xfrm>
                      <a:off x="0" y="0"/>
                      <a:ext cx="3139818" cy="1764019"/>
                    </a:xfrm>
                    <a:prstGeom prst="rect">
                      <a:avLst/>
                    </a:prstGeom>
                    <a:noFill/>
                    <a:ln>
                      <a:noFill/>
                    </a:ln>
                  </pic:spPr>
                </pic:pic>
              </a:graphicData>
            </a:graphic>
          </wp:inline>
        </w:drawing>
      </w:r>
    </w:p>
    <w:p w:rsidR="00565D99" w:rsidRPr="00670D32" w:rsidRDefault="0033143A" w:rsidP="00565D99">
      <w:pPr>
        <w:pStyle w:val="CETCaption"/>
      </w:pPr>
      <w:r w:rsidRPr="00670D32">
        <w:t>Figure 1: Schematic diagram of the FBR</w:t>
      </w:r>
    </w:p>
    <w:p w:rsidR="00565D99" w:rsidRDefault="0033143A" w:rsidP="00C470E1">
      <w:pPr>
        <w:pStyle w:val="CETBodytext"/>
        <w:spacing w:after="120"/>
      </w:pPr>
      <w:r w:rsidRPr="00670D32">
        <w:lastRenderedPageBreak/>
        <w:t xml:space="preserve">The mathematical modeling can act significantly to explain the evolution of model components of chemical reactions </w:t>
      </w:r>
      <w:r w:rsidR="00C470E1" w:rsidRPr="00670D32">
        <w:t>Eq</w:t>
      </w:r>
      <w:r w:rsidR="00783E37" w:rsidRPr="00670D32">
        <w:t xml:space="preserve"> (</w:t>
      </w:r>
      <w:r w:rsidRPr="00670D32">
        <w:t>1, 2 and 3</w:t>
      </w:r>
      <w:r w:rsidR="00C470E1" w:rsidRPr="00670D32">
        <w:t>)</w:t>
      </w:r>
      <w:r w:rsidRPr="00670D32">
        <w:t xml:space="preserve"> in </w:t>
      </w:r>
      <w:r w:rsidR="000546BF" w:rsidRPr="00670D32">
        <w:t>FBR</w:t>
      </w:r>
      <w:r w:rsidRPr="00670D32">
        <w:t>. The set of assumptions for the energy balance are: (</w:t>
      </w:r>
      <w:proofErr w:type="spellStart"/>
      <w:r w:rsidRPr="00670D32">
        <w:t>i</w:t>
      </w:r>
      <w:proofErr w:type="spellEnd"/>
      <w:r w:rsidRPr="00670D32">
        <w:t>) temperature gradients in the axial direction of the FBR, (ii) temperature gradients in the radial direction of the particle, (iii) only thermal effects are considered in both phases of the proposed model, (iv) the wall temperature of the FBR is deemed to be constant, and (v) the particle has a uniform size. Also, the mass balance equations take the following assumptions into account: (</w:t>
      </w:r>
      <w:proofErr w:type="spellStart"/>
      <w:r w:rsidRPr="00670D32">
        <w:t>i</w:t>
      </w:r>
      <w:proofErr w:type="spellEnd"/>
      <w:r w:rsidRPr="00670D32">
        <w:t>) the term of accumulation, (ii) convection and (iii) dispersion of the chemical species in the process have been considered, and (iv) the net rate for each chemical compound have also been studied. Based on these assumptions, a simplified mathematical model for FBR is formulated by the mass and energy balance equations to describe the dynamic behavior.</w:t>
      </w:r>
      <w:r w:rsidR="00C470E1" w:rsidRPr="00670D32">
        <w:t xml:space="preserve"> Table 1 contains the initial and boundary conditions of Eq (4,5 and 6). </w:t>
      </w:r>
    </w:p>
    <w:p w:rsidR="00565D99" w:rsidRPr="00670D32" w:rsidRDefault="0033143A" w:rsidP="00565D99">
      <w:pPr>
        <w:pStyle w:val="PargrafodaLista"/>
        <w:numPr>
          <w:ilvl w:val="0"/>
          <w:numId w:val="22"/>
        </w:numPr>
        <w:ind w:left="0" w:firstLine="0"/>
        <w:jc w:val="both"/>
        <w:rPr>
          <w:rFonts w:ascii="Arial" w:eastAsia="Arial" w:hAnsi="Arial" w:cs="Arial"/>
          <w:sz w:val="18"/>
        </w:rPr>
      </w:pPr>
      <w:r w:rsidRPr="00670D32">
        <w:rPr>
          <w:rFonts w:ascii="Arial" w:eastAsia="Arial" w:hAnsi="Arial" w:cs="Arial"/>
          <w:sz w:val="18"/>
        </w:rPr>
        <w:t>Energy balance for liquid-gas phase</w:t>
      </w:r>
    </w:p>
    <w:tbl>
      <w:tblPr>
        <w:tblW w:w="5000" w:type="pct"/>
        <w:tblLook w:val="04A0" w:firstRow="1" w:lastRow="0" w:firstColumn="1" w:lastColumn="0" w:noHBand="0" w:noVBand="1"/>
      </w:tblPr>
      <w:tblGrid>
        <w:gridCol w:w="8023"/>
        <w:gridCol w:w="764"/>
      </w:tblGrid>
      <w:tr w:rsidR="00980719" w:rsidTr="0044623B">
        <w:tc>
          <w:tcPr>
            <w:tcW w:w="8188" w:type="dxa"/>
            <w:shd w:val="clear" w:color="auto" w:fill="auto"/>
            <w:vAlign w:val="center"/>
          </w:tcPr>
          <w:p w:rsidR="00565D99" w:rsidRPr="00B57B36" w:rsidRDefault="0033143A" w:rsidP="0044623B">
            <w:pPr>
              <w:pStyle w:val="CETEquation"/>
            </w:pPr>
            <w:r>
              <w:rPr>
                <w:position w:val="-28"/>
              </w:rPr>
              <w:object w:dxaOrig="6747" w:dyaOrig="696">
                <v:shape id="_x0000_i1028" type="#_x0000_t75" style="width:337.3pt;height:34.7pt" o:ole="">
                  <v:imagedata r:id="rId15" o:title=""/>
                </v:shape>
                <o:OLEObject Type="Embed" ProgID="Equation.DSMT4" ShapeID="_x0000_i1028" DrawAspect="Content" ObjectID="_1616780407" r:id="rId16"/>
              </w:object>
            </w:r>
          </w:p>
        </w:tc>
        <w:tc>
          <w:tcPr>
            <w:tcW w:w="815" w:type="dxa"/>
            <w:shd w:val="clear" w:color="auto" w:fill="auto"/>
            <w:vAlign w:val="center"/>
          </w:tcPr>
          <w:p w:rsidR="00565D99" w:rsidRPr="00670D32" w:rsidRDefault="0033143A" w:rsidP="0044623B">
            <w:pPr>
              <w:pStyle w:val="CETEquation"/>
              <w:jc w:val="right"/>
            </w:pPr>
            <w:r w:rsidRPr="00670D32">
              <w:t>(4)</w:t>
            </w:r>
          </w:p>
        </w:tc>
      </w:tr>
    </w:tbl>
    <w:p w:rsidR="00565D99" w:rsidRPr="00670D32" w:rsidRDefault="0033143A" w:rsidP="00565D99">
      <w:pPr>
        <w:pStyle w:val="CETBodytext"/>
        <w:spacing w:after="120"/>
      </w:pPr>
      <w:r w:rsidRPr="00670D32">
        <w:t xml:space="preserve">Where, </w:t>
      </w:r>
      <w:r w:rsidRPr="00670D32">
        <w:rPr>
          <w:rFonts w:ascii="Symbol" w:hAnsi="Symbol"/>
        </w:rPr>
        <w:sym w:font="Symbol" w:char="F066"/>
      </w:r>
      <w:r w:rsidRPr="00670D32">
        <w:rPr>
          <w:vertAlign w:val="subscript"/>
        </w:rPr>
        <w:t>gℓ</w:t>
      </w:r>
      <w:r w:rsidRPr="00670D32">
        <w:t xml:space="preserve"> (</w:t>
      </w:r>
      <w:r w:rsidR="007655F3" w:rsidRPr="00670D32">
        <w:t>kJ</w:t>
      </w:r>
      <w:r w:rsidRPr="00670D32">
        <w:t>/m</w:t>
      </w:r>
      <w:r w:rsidRPr="00670D32">
        <w:rPr>
          <w:vertAlign w:val="superscript"/>
        </w:rPr>
        <w:t>3</w:t>
      </w:r>
      <w:r w:rsidRPr="00670D32">
        <w:t xml:space="preserve">K) is the coefficient of the term of thermal accumulation, </w:t>
      </w:r>
      <w:proofErr w:type="spellStart"/>
      <w:r w:rsidRPr="00670D32">
        <w:t>T</w:t>
      </w:r>
      <w:r w:rsidRPr="00670D32">
        <w:rPr>
          <w:vertAlign w:val="subscript"/>
        </w:rPr>
        <w:t>gl</w:t>
      </w:r>
      <w:proofErr w:type="spellEnd"/>
      <w:r w:rsidRPr="00670D32">
        <w:t xml:space="preserve"> (K) is the gas-liquid phase temperature, </w:t>
      </w:r>
      <w:r w:rsidRPr="00670D32">
        <w:rPr>
          <w:rFonts w:ascii="Symbol" w:hAnsi="Symbol"/>
        </w:rPr>
        <w:sym w:font="Symbol" w:char="F04A"/>
      </w:r>
      <w:r w:rsidRPr="00670D32">
        <w:rPr>
          <w:vertAlign w:val="subscript"/>
        </w:rPr>
        <w:t>gℓ</w:t>
      </w:r>
      <w:r w:rsidRPr="00670D32">
        <w:t xml:space="preserve"> (kJ/m</w:t>
      </w:r>
      <w:r w:rsidRPr="00670D32">
        <w:rPr>
          <w:vertAlign w:val="superscript"/>
        </w:rPr>
        <w:t>3</w:t>
      </w:r>
      <w:r w:rsidRPr="00670D32">
        <w:t xml:space="preserve">K h) is the coefficient of the term of thermal convection, t (h) is the time, z (m) is the coordinate in the axial direction, </w:t>
      </w:r>
      <w:r w:rsidRPr="00670D32">
        <w:rPr>
          <w:rFonts w:ascii="Symbol" w:hAnsi="Symbol"/>
        </w:rPr>
        <w:sym w:font="Symbol" w:char="F06D"/>
      </w:r>
      <w:r w:rsidRPr="00670D32">
        <w:rPr>
          <w:vertAlign w:val="subscript"/>
        </w:rPr>
        <w:t>gℓ</w:t>
      </w:r>
      <w:r w:rsidRPr="00670D32">
        <w:t xml:space="preserve"> (kJ/m</w:t>
      </w:r>
      <w:r w:rsidRPr="00670D32">
        <w:rPr>
          <w:vertAlign w:val="superscript"/>
        </w:rPr>
        <w:t>3</w:t>
      </w:r>
      <w:r w:rsidRPr="00670D32">
        <w:t xml:space="preserve">K h) is the coefficient of the term of thermal dispersion, </w:t>
      </w:r>
      <w:proofErr w:type="spellStart"/>
      <w:r w:rsidRPr="00670D32">
        <w:t>h</w:t>
      </w:r>
      <w:r w:rsidRPr="00670D32">
        <w:rPr>
          <w:vertAlign w:val="subscript"/>
        </w:rPr>
        <w:t>fp</w:t>
      </w:r>
      <w:proofErr w:type="spellEnd"/>
      <w:r w:rsidRPr="00670D32">
        <w:t xml:space="preserve"> (kJ/m</w:t>
      </w:r>
      <w:r w:rsidRPr="00670D32">
        <w:rPr>
          <w:vertAlign w:val="superscript"/>
        </w:rPr>
        <w:t>2</w:t>
      </w:r>
      <w:r w:rsidRPr="00670D32">
        <w:t>K s) is the coefficient of heat transfer in fluid-particle, r</w:t>
      </w:r>
      <w:r w:rsidRPr="00670D32">
        <w:rPr>
          <w:vertAlign w:val="subscript"/>
        </w:rPr>
        <w:t>p</w:t>
      </w:r>
      <w:r w:rsidRPr="00670D32">
        <w:t xml:space="preserve"> (m) radius of particle, </w:t>
      </w:r>
      <w:r w:rsidRPr="00670D32">
        <w:rPr>
          <w:rFonts w:ascii="Symbol" w:hAnsi="Symbol"/>
        </w:rPr>
        <w:sym w:font="Symbol" w:char="F065"/>
      </w:r>
      <w:r w:rsidRPr="00670D32">
        <w:rPr>
          <w:vertAlign w:val="subscript"/>
        </w:rPr>
        <w:t>b</w:t>
      </w:r>
      <w:r w:rsidRPr="00670D32">
        <w:t xml:space="preserve"> (m</w:t>
      </w:r>
      <w:r w:rsidRPr="00670D32">
        <w:rPr>
          <w:vertAlign w:val="superscript"/>
        </w:rPr>
        <w:t>3</w:t>
      </w:r>
      <w:r w:rsidRPr="00670D32">
        <w:t xml:space="preserve"> of fluid/m</w:t>
      </w:r>
      <w:r w:rsidRPr="00670D32">
        <w:rPr>
          <w:vertAlign w:val="superscript"/>
        </w:rPr>
        <w:t>3</w:t>
      </w:r>
      <w:r w:rsidRPr="00670D32">
        <w:t xml:space="preserve"> of reactor) is the bed porosity, T</w:t>
      </w:r>
      <w:r w:rsidRPr="00670D32">
        <w:rPr>
          <w:vertAlign w:val="subscript"/>
        </w:rPr>
        <w:t>s</w:t>
      </w:r>
      <w:r w:rsidRPr="00670D32">
        <w:t xml:space="preserve"> (K) is the solid phase temperature.</w:t>
      </w:r>
    </w:p>
    <w:p w:rsidR="00565D99" w:rsidRPr="00670D32" w:rsidRDefault="0033143A" w:rsidP="00565D99">
      <w:pPr>
        <w:pStyle w:val="CETBodytext"/>
      </w:pPr>
      <w:r w:rsidRPr="00670D32">
        <w:t>- Energy balance for Solid Phase</w:t>
      </w:r>
    </w:p>
    <w:tbl>
      <w:tblPr>
        <w:tblW w:w="5000" w:type="pct"/>
        <w:tblLook w:val="04A0" w:firstRow="1" w:lastRow="0" w:firstColumn="1" w:lastColumn="0" w:noHBand="0" w:noVBand="1"/>
      </w:tblPr>
      <w:tblGrid>
        <w:gridCol w:w="7996"/>
        <w:gridCol w:w="791"/>
      </w:tblGrid>
      <w:tr w:rsidR="00980719" w:rsidTr="0044623B">
        <w:tc>
          <w:tcPr>
            <w:tcW w:w="8188" w:type="dxa"/>
            <w:shd w:val="clear" w:color="auto" w:fill="auto"/>
            <w:vAlign w:val="center"/>
          </w:tcPr>
          <w:p w:rsidR="00565D99" w:rsidRPr="00B57B36" w:rsidRDefault="0033143A" w:rsidP="0044623B">
            <w:pPr>
              <w:pStyle w:val="CETEquation"/>
            </w:pPr>
            <w:r>
              <w:rPr>
                <w:rFonts w:cs="Arial"/>
                <w:position w:val="-28"/>
                <w:szCs w:val="18"/>
              </w:rPr>
              <w:object w:dxaOrig="4920" w:dyaOrig="672">
                <v:shape id="_x0000_i1029" type="#_x0000_t75" style="width:246pt;height:33.45pt" o:ole="" fillcolor="window">
                  <v:imagedata r:id="rId17" o:title=""/>
                </v:shape>
                <o:OLEObject Type="Embed" ProgID="Equation.DSMT4" ShapeID="_x0000_i1029" DrawAspect="Content" ObjectID="_1616780408" r:id="rId18"/>
              </w:object>
            </w:r>
          </w:p>
        </w:tc>
        <w:tc>
          <w:tcPr>
            <w:tcW w:w="815" w:type="dxa"/>
            <w:shd w:val="clear" w:color="auto" w:fill="auto"/>
            <w:vAlign w:val="center"/>
          </w:tcPr>
          <w:p w:rsidR="00565D99" w:rsidRPr="00670D32" w:rsidRDefault="0033143A" w:rsidP="0044623B">
            <w:pPr>
              <w:pStyle w:val="CETEquation"/>
              <w:jc w:val="right"/>
            </w:pPr>
            <w:r w:rsidRPr="00670D32">
              <w:t>(5)</w:t>
            </w:r>
          </w:p>
        </w:tc>
      </w:tr>
    </w:tbl>
    <w:p w:rsidR="00565D99" w:rsidRPr="00670D32" w:rsidRDefault="0033143A" w:rsidP="00565D99">
      <w:pPr>
        <w:pStyle w:val="CETBodytext"/>
        <w:spacing w:after="120"/>
        <w:rPr>
          <w:i/>
        </w:rPr>
      </w:pPr>
      <w:r w:rsidRPr="00670D32">
        <w:t xml:space="preserve">Where, </w:t>
      </w:r>
      <w:r w:rsidRPr="00670D32">
        <w:rPr>
          <w:rFonts w:ascii="Symbol" w:hAnsi="Symbol"/>
        </w:rPr>
        <w:sym w:font="Symbol" w:char="F072"/>
      </w:r>
      <w:r w:rsidRPr="00670D32">
        <w:rPr>
          <w:vertAlign w:val="subscript"/>
        </w:rPr>
        <w:t>s</w:t>
      </w:r>
      <w:r w:rsidRPr="00670D32">
        <w:t>(kg/m</w:t>
      </w:r>
      <w:r w:rsidRPr="00670D32">
        <w:rPr>
          <w:vertAlign w:val="superscript"/>
        </w:rPr>
        <w:t>3</w:t>
      </w:r>
      <w:r w:rsidRPr="00670D32">
        <w:t>) is the solid phase density, C</w:t>
      </w:r>
      <w:r w:rsidRPr="00670D32">
        <w:rPr>
          <w:vertAlign w:val="subscript"/>
        </w:rPr>
        <w:t>p,s</w:t>
      </w:r>
      <w:r w:rsidRPr="00670D32">
        <w:t>(kJ/kg</w:t>
      </w:r>
      <w:r w:rsidRPr="00670D32">
        <w:rPr>
          <w:rFonts w:ascii="Symbol" w:hAnsi="Symbol"/>
        </w:rPr>
        <w:sym w:font="Symbol" w:char="F0D7"/>
      </w:r>
      <w:r w:rsidRPr="00670D32">
        <w:t xml:space="preserve">K) is the heat capacity of the solid phase, </w:t>
      </w:r>
      <w:r w:rsidRPr="00670D32">
        <w:rPr>
          <w:rFonts w:ascii="Symbol" w:hAnsi="Symbol"/>
        </w:rPr>
        <w:sym w:font="Symbol" w:char="F06C"/>
      </w:r>
      <w:r w:rsidRPr="00670D32">
        <w:rPr>
          <w:vertAlign w:val="subscript"/>
        </w:rPr>
        <w:t>s</w:t>
      </w:r>
      <w:r w:rsidRPr="00670D32">
        <w:t xml:space="preserve"> (kJ/m K h) is the solid phase thermal conductivity, R (m) is the superficial radius of the solid phase, r (m) is the particle radius, </w:t>
      </w:r>
      <w:r>
        <w:rPr>
          <w:position w:val="-10"/>
        </w:rPr>
        <w:object w:dxaOrig="492" w:dyaOrig="312">
          <v:shape id="_x0000_i1030" type="#_x0000_t75" style="width:24.45pt;height:15.45pt" o:ole="">
            <v:imagedata r:id="rId19" o:title=""/>
          </v:shape>
          <o:OLEObject Type="Embed" ProgID="Equation.DSMT4" ShapeID="_x0000_i1030" DrawAspect="Content" ObjectID="_1616780409" r:id="rId20"/>
        </w:object>
      </w:r>
      <w:r w:rsidRPr="00670D32">
        <w:t xml:space="preserve">(kJ/mol) is the enthalpy of reaction, and </w:t>
      </w:r>
      <w:proofErr w:type="spellStart"/>
      <w:r w:rsidRPr="00670D32">
        <w:t>R</w:t>
      </w:r>
      <w:r w:rsidRPr="00670D32">
        <w:rPr>
          <w:vertAlign w:val="subscript"/>
        </w:rPr>
        <w:t>tol</w:t>
      </w:r>
      <w:proofErr w:type="spellEnd"/>
      <w:r w:rsidRPr="00670D32">
        <w:rPr>
          <w:vertAlign w:val="subscript"/>
        </w:rPr>
        <w:t xml:space="preserve"> </w:t>
      </w:r>
      <w:r w:rsidRPr="00670D32">
        <w:t xml:space="preserve">is the global rate of toluene, detailed discussion is given in </w:t>
      </w:r>
      <w:r w:rsidRPr="00670D32">
        <w:rPr>
          <w:i/>
        </w:rPr>
        <w:t>Oliveira and Silva (2013).</w:t>
      </w:r>
    </w:p>
    <w:p w:rsidR="00565D99" w:rsidRPr="00670D32" w:rsidRDefault="0033143A" w:rsidP="00565D99">
      <w:pPr>
        <w:pStyle w:val="CETBodytext"/>
      </w:pPr>
      <w:r w:rsidRPr="00670D32">
        <w:t xml:space="preserve">- </w:t>
      </w:r>
      <w:r w:rsidR="006577EA" w:rsidRPr="00670D32">
        <w:t>Mass balance</w:t>
      </w:r>
    </w:p>
    <w:tbl>
      <w:tblPr>
        <w:tblW w:w="5000" w:type="pct"/>
        <w:tblLook w:val="04A0" w:firstRow="1" w:lastRow="0" w:firstColumn="1" w:lastColumn="0" w:noHBand="0" w:noVBand="1"/>
      </w:tblPr>
      <w:tblGrid>
        <w:gridCol w:w="7997"/>
        <w:gridCol w:w="790"/>
      </w:tblGrid>
      <w:tr w:rsidR="00980719" w:rsidTr="0044623B">
        <w:tc>
          <w:tcPr>
            <w:tcW w:w="8188" w:type="dxa"/>
            <w:shd w:val="clear" w:color="auto" w:fill="auto"/>
            <w:vAlign w:val="center"/>
          </w:tcPr>
          <w:p w:rsidR="00565D99" w:rsidRPr="00B57B36" w:rsidRDefault="0033143A" w:rsidP="0044623B">
            <w:pPr>
              <w:pStyle w:val="CETEquation"/>
            </w:pPr>
            <w:r>
              <w:rPr>
                <w:rFonts w:cs="Arial"/>
                <w:position w:val="-28"/>
                <w:szCs w:val="18"/>
              </w:rPr>
              <w:object w:dxaOrig="5028" w:dyaOrig="696">
                <v:shape id="_x0000_i1031" type="#_x0000_t75" style="width:251.55pt;height:34.7pt" o:ole="">
                  <v:imagedata r:id="rId21" o:title=""/>
                </v:shape>
                <o:OLEObject Type="Embed" ProgID="Equation.DSMT4" ShapeID="_x0000_i1031" DrawAspect="Content" ObjectID="_1616780410" r:id="rId22"/>
              </w:object>
            </w:r>
          </w:p>
        </w:tc>
        <w:tc>
          <w:tcPr>
            <w:tcW w:w="815" w:type="dxa"/>
            <w:shd w:val="clear" w:color="auto" w:fill="auto"/>
            <w:vAlign w:val="center"/>
          </w:tcPr>
          <w:p w:rsidR="00565D99" w:rsidRPr="00670D32" w:rsidRDefault="0033143A" w:rsidP="0044623B">
            <w:pPr>
              <w:pStyle w:val="CETEquation"/>
              <w:jc w:val="right"/>
            </w:pPr>
            <w:r w:rsidRPr="00670D32">
              <w:t>(6)</w:t>
            </w:r>
          </w:p>
        </w:tc>
      </w:tr>
    </w:tbl>
    <w:p w:rsidR="00565D99" w:rsidRPr="00670D32" w:rsidRDefault="0033143A" w:rsidP="00565D99">
      <w:pPr>
        <w:pStyle w:val="CETBodytext"/>
        <w:rPr>
          <w:i/>
        </w:rPr>
      </w:pPr>
      <w:r w:rsidRPr="00670D32">
        <w:t xml:space="preserve">Where </w:t>
      </w:r>
      <w:proofErr w:type="spellStart"/>
      <w:r w:rsidRPr="00670D32">
        <w:t>i</w:t>
      </w:r>
      <w:proofErr w:type="spellEnd"/>
      <w:r w:rsidRPr="00670D32">
        <w:t xml:space="preserve"> is replaced by toluene (C</w:t>
      </w:r>
      <w:r w:rsidRPr="00670D32">
        <w:rPr>
          <w:vertAlign w:val="subscript"/>
        </w:rPr>
        <w:t>7</w:t>
      </w:r>
      <w:r w:rsidRPr="00670D32">
        <w:t>H</w:t>
      </w:r>
      <w:r w:rsidRPr="00670D32">
        <w:rPr>
          <w:vertAlign w:val="subscript"/>
        </w:rPr>
        <w:t>8</w:t>
      </w:r>
      <w:r w:rsidRPr="00670D32">
        <w:t>), water (H</w:t>
      </w:r>
      <w:r w:rsidRPr="00670D32">
        <w:rPr>
          <w:vertAlign w:val="subscript"/>
        </w:rPr>
        <w:t>2</w:t>
      </w:r>
      <w:r w:rsidRPr="00670D32">
        <w:t>O), carbon monoxide (CO), hydrogen (H</w:t>
      </w:r>
      <w:r w:rsidRPr="00670D32">
        <w:rPr>
          <w:vertAlign w:val="subscript"/>
        </w:rPr>
        <w:t>2</w:t>
      </w:r>
      <w:r w:rsidRPr="00670D32">
        <w:t>), methane (CH</w:t>
      </w:r>
      <w:r w:rsidRPr="00670D32">
        <w:rPr>
          <w:vertAlign w:val="subscript"/>
        </w:rPr>
        <w:t>4</w:t>
      </w:r>
      <w:r w:rsidRPr="00670D32">
        <w:t>) and carbon dioxide (CO</w:t>
      </w:r>
      <w:r w:rsidRPr="00670D32">
        <w:rPr>
          <w:vertAlign w:val="subscript"/>
        </w:rPr>
        <w:t>2</w:t>
      </w:r>
      <w:r w:rsidRPr="00670D32">
        <w:t xml:space="preserve">), </w:t>
      </w:r>
      <w:proofErr w:type="spellStart"/>
      <w:r w:rsidRPr="00670D32">
        <w:rPr>
          <w:rFonts w:ascii="Cambria Math" w:hAnsi="Cambria Math" w:cs="Cambria Math"/>
        </w:rPr>
        <w:t>ℇ</w:t>
      </w:r>
      <w:r w:rsidRPr="00670D32">
        <w:rPr>
          <w:vertAlign w:val="subscript"/>
        </w:rPr>
        <w:t>g</w:t>
      </w:r>
      <w:proofErr w:type="spellEnd"/>
      <w:r w:rsidRPr="00670D32">
        <w:rPr>
          <w:vertAlign w:val="subscript"/>
        </w:rPr>
        <w:t xml:space="preserve"> </w:t>
      </w:r>
      <w:r w:rsidRPr="00670D32">
        <w:t>(m</w:t>
      </w:r>
      <w:r w:rsidRPr="00670D32">
        <w:rPr>
          <w:vertAlign w:val="superscript"/>
        </w:rPr>
        <w:t>3</w:t>
      </w:r>
      <w:r w:rsidRPr="00670D32">
        <w:t xml:space="preserve"> of gas|m</w:t>
      </w:r>
      <w:r w:rsidRPr="00670D32">
        <w:rPr>
          <w:vertAlign w:val="superscript"/>
        </w:rPr>
        <w:t>3</w:t>
      </w:r>
      <w:r w:rsidRPr="00670D32">
        <w:t xml:space="preserve"> of </w:t>
      </w:r>
      <w:r w:rsidR="00783E37" w:rsidRPr="00670D32">
        <w:t xml:space="preserve">the </w:t>
      </w:r>
      <w:r w:rsidRPr="00670D32">
        <w:t>reactor) is the void fraction of the gas phase, C</w:t>
      </w:r>
      <w:r w:rsidRPr="00670D32">
        <w:rPr>
          <w:vertAlign w:val="subscript"/>
        </w:rPr>
        <w:t>i</w:t>
      </w:r>
      <w:r w:rsidRPr="00670D32">
        <w:t>(kg m</w:t>
      </w:r>
      <w:r w:rsidRPr="00670D32">
        <w:rPr>
          <w:vertAlign w:val="superscript"/>
        </w:rPr>
        <w:t>-3</w:t>
      </w:r>
      <w:r w:rsidRPr="00670D32">
        <w:t xml:space="preserve">) is the concentration of components, </w:t>
      </w:r>
      <w:proofErr w:type="spellStart"/>
      <w:r w:rsidRPr="00670D32">
        <w:t>Q</w:t>
      </w:r>
      <w:r w:rsidRPr="00670D32">
        <w:rPr>
          <w:vertAlign w:val="subscript"/>
        </w:rPr>
        <w:t>g</w:t>
      </w:r>
      <w:proofErr w:type="spellEnd"/>
      <w:r w:rsidRPr="00670D32">
        <w:t>(m</w:t>
      </w:r>
      <w:r w:rsidRPr="00670D32">
        <w:rPr>
          <w:vertAlign w:val="superscript"/>
        </w:rPr>
        <w:t>3</w:t>
      </w:r>
      <w:r w:rsidRPr="00670D32">
        <w:t>/h) is the gas flow rate, d</w:t>
      </w:r>
      <w:r w:rsidRPr="00670D32">
        <w:rPr>
          <w:vertAlign w:val="subscript"/>
        </w:rPr>
        <w:t>c</w:t>
      </w:r>
      <w:r w:rsidRPr="00670D32">
        <w:t>(m) is the catalytic reactor diameter, D</w:t>
      </w:r>
      <w:r w:rsidRPr="00670D32">
        <w:rPr>
          <w:vertAlign w:val="subscript"/>
        </w:rPr>
        <w:t>i</w:t>
      </w:r>
      <w:r w:rsidRPr="00670D32">
        <w:t xml:space="preserve"> (m²/h) is the diffusion coefficient of the components, and </w:t>
      </w:r>
      <w:proofErr w:type="spellStart"/>
      <w:r w:rsidRPr="00670D32">
        <w:t>r</w:t>
      </w:r>
      <w:r w:rsidRPr="00670D32">
        <w:rPr>
          <w:vertAlign w:val="subscript"/>
        </w:rPr>
        <w:t>i</w:t>
      </w:r>
      <w:proofErr w:type="spellEnd"/>
      <w:r w:rsidRPr="00670D32">
        <w:t>(kg m</w:t>
      </w:r>
      <w:r w:rsidRPr="00670D32">
        <w:rPr>
          <w:vertAlign w:val="superscript"/>
        </w:rPr>
        <w:t xml:space="preserve">-3 </w:t>
      </w:r>
      <w:r w:rsidRPr="00670D32">
        <w:t>h) is the net rate for  each chemical compound, a further discussion is given in Cruz and Silva (2017)</w:t>
      </w:r>
      <w:r w:rsidRPr="00670D32">
        <w:rPr>
          <w:i/>
        </w:rPr>
        <w:t>.</w:t>
      </w:r>
    </w:p>
    <w:p w:rsidR="00C470E1" w:rsidRPr="00670D32" w:rsidRDefault="0033143A" w:rsidP="00C470E1">
      <w:pPr>
        <w:pStyle w:val="CETTabletitle"/>
      </w:pPr>
      <w:r w:rsidRPr="00670D32">
        <w:t xml:space="preserve">Table 1: </w:t>
      </w:r>
      <w:r w:rsidRPr="00670D32">
        <w:rPr>
          <w:color w:val="000000"/>
          <w:shd w:val="clear" w:color="auto" w:fill="FFFFFF"/>
        </w:rPr>
        <w:t>Initial and boundary conditions</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114"/>
        <w:gridCol w:w="2826"/>
        <w:gridCol w:w="2847"/>
      </w:tblGrid>
      <w:tr w:rsidR="00980719" w:rsidTr="00C470E1">
        <w:tc>
          <w:tcPr>
            <w:tcW w:w="1772" w:type="pct"/>
            <w:tcBorders>
              <w:top w:val="single" w:sz="12" w:space="0" w:color="008000"/>
              <w:bottom w:val="single" w:sz="6" w:space="0" w:color="008000"/>
            </w:tcBorders>
            <w:shd w:val="clear" w:color="auto" w:fill="FFFFFF"/>
          </w:tcPr>
          <w:p w:rsidR="00C470E1" w:rsidRPr="00670D32" w:rsidRDefault="0033143A" w:rsidP="0044623B">
            <w:pPr>
              <w:pStyle w:val="CETBodytext"/>
            </w:pPr>
            <w:r w:rsidRPr="00670D32">
              <w:t>Liquid-Gas Phase</w:t>
            </w:r>
          </w:p>
          <w:p w:rsidR="00C470E1" w:rsidRPr="00F0356E" w:rsidRDefault="00C470E1" w:rsidP="0044623B">
            <w:pPr>
              <w:pStyle w:val="CETBodytext"/>
              <w:rPr>
                <w:b/>
              </w:rPr>
            </w:pPr>
          </w:p>
        </w:tc>
        <w:tc>
          <w:tcPr>
            <w:tcW w:w="1608" w:type="pct"/>
            <w:tcBorders>
              <w:top w:val="single" w:sz="12" w:space="0" w:color="008000"/>
              <w:bottom w:val="single" w:sz="6" w:space="0" w:color="008000"/>
            </w:tcBorders>
            <w:shd w:val="clear" w:color="auto" w:fill="FFFFFF"/>
          </w:tcPr>
          <w:p w:rsidR="00C470E1" w:rsidRPr="00670D32" w:rsidRDefault="0033143A" w:rsidP="0044623B">
            <w:pPr>
              <w:pStyle w:val="CETBodytext"/>
            </w:pPr>
            <w:r w:rsidRPr="00670D32">
              <w:t>Solid Phase</w:t>
            </w:r>
          </w:p>
        </w:tc>
        <w:tc>
          <w:tcPr>
            <w:tcW w:w="1620" w:type="pct"/>
            <w:tcBorders>
              <w:top w:val="single" w:sz="12" w:space="0" w:color="008000"/>
              <w:bottom w:val="single" w:sz="6" w:space="0" w:color="008000"/>
            </w:tcBorders>
            <w:shd w:val="clear" w:color="auto" w:fill="FFFFFF"/>
          </w:tcPr>
          <w:p w:rsidR="00C470E1" w:rsidRPr="00670D32" w:rsidRDefault="0033143A" w:rsidP="0044623B">
            <w:pPr>
              <w:pStyle w:val="CETBodytext"/>
            </w:pPr>
            <w:r w:rsidRPr="00670D32">
              <w:t>Mass Balance</w:t>
            </w:r>
          </w:p>
        </w:tc>
      </w:tr>
      <w:tr w:rsidR="00980719" w:rsidTr="00C470E1">
        <w:tc>
          <w:tcPr>
            <w:tcW w:w="1772" w:type="pct"/>
            <w:shd w:val="clear" w:color="auto" w:fill="FFFFFF"/>
          </w:tcPr>
          <w:p w:rsidR="00C470E1" w:rsidRPr="00F0356E" w:rsidRDefault="0033143A" w:rsidP="0044623B">
            <w:pPr>
              <w:pStyle w:val="CETBodytext"/>
              <w:rPr>
                <w:b/>
              </w:rPr>
            </w:pPr>
            <w:r>
              <w:rPr>
                <w:position w:val="-34"/>
              </w:rPr>
              <w:object w:dxaOrig="2736" w:dyaOrig="696">
                <v:shape id="_x0000_i1032" type="#_x0000_t75" style="width:136.7pt;height:34.7pt" o:ole="" fillcolor="window">
                  <v:imagedata r:id="rId23" o:title=""/>
                </v:shape>
                <o:OLEObject Type="Embed" ProgID="Equation.DSMT4" ShapeID="_x0000_i1032" DrawAspect="Content" ObjectID="_1616780411" r:id="rId24"/>
              </w:object>
            </w:r>
          </w:p>
        </w:tc>
        <w:tc>
          <w:tcPr>
            <w:tcW w:w="1608" w:type="pct"/>
            <w:shd w:val="clear" w:color="auto" w:fill="FFFFFF"/>
          </w:tcPr>
          <w:p w:rsidR="00C470E1" w:rsidRPr="00F0356E" w:rsidRDefault="0033143A" w:rsidP="0044623B">
            <w:pPr>
              <w:pStyle w:val="CETBodytext"/>
              <w:rPr>
                <w:b/>
              </w:rPr>
            </w:pPr>
            <w:r>
              <w:rPr>
                <w:position w:val="-36"/>
              </w:rPr>
              <w:object w:dxaOrig="2472" w:dyaOrig="708">
                <v:shape id="_x0000_i1033" type="#_x0000_t75" style="width:123.45pt;height:35.55pt" o:ole="">
                  <v:imagedata r:id="rId25" o:title=""/>
                </v:shape>
                <o:OLEObject Type="Embed" ProgID="Equation.DSMT4" ShapeID="_x0000_i1033" DrawAspect="Content" ObjectID="_1616780412" r:id="rId26"/>
              </w:object>
            </w:r>
          </w:p>
        </w:tc>
        <w:tc>
          <w:tcPr>
            <w:tcW w:w="1620" w:type="pct"/>
            <w:shd w:val="clear" w:color="auto" w:fill="FFFFFF"/>
          </w:tcPr>
          <w:p w:rsidR="00C470E1" w:rsidRPr="00F0356E" w:rsidRDefault="0033143A" w:rsidP="0044623B">
            <w:pPr>
              <w:pStyle w:val="CETBodytext"/>
            </w:pPr>
            <w:r>
              <w:rPr>
                <w:position w:val="-32"/>
              </w:rPr>
              <w:object w:dxaOrig="2496" w:dyaOrig="624">
                <v:shape id="_x0000_i1034" type="#_x0000_t75" style="width:124.7pt;height:31.3pt" o:ole="">
                  <v:imagedata r:id="rId27" o:title=""/>
                </v:shape>
                <o:OLEObject Type="Embed" ProgID="Equation.DSMT4" ShapeID="_x0000_i1034" DrawAspect="Content" ObjectID="_1616780413" r:id="rId28"/>
              </w:object>
            </w:r>
          </w:p>
        </w:tc>
      </w:tr>
      <w:tr w:rsidR="00980719" w:rsidTr="00C470E1">
        <w:tc>
          <w:tcPr>
            <w:tcW w:w="1772" w:type="pct"/>
            <w:shd w:val="clear" w:color="auto" w:fill="FFFFFF"/>
          </w:tcPr>
          <w:p w:rsidR="00C470E1" w:rsidRPr="00B57B36" w:rsidRDefault="0033143A" w:rsidP="0044623B">
            <w:pPr>
              <w:pStyle w:val="CETBodytext"/>
              <w:ind w:right="-1"/>
              <w:rPr>
                <w:rFonts w:cs="Arial"/>
                <w:szCs w:val="18"/>
                <w:lang w:val="en-GB"/>
              </w:rPr>
            </w:pPr>
            <w:r>
              <w:rPr>
                <w:position w:val="-34"/>
              </w:rPr>
              <w:object w:dxaOrig="1212" w:dyaOrig="756">
                <v:shape id="_x0000_i1035" type="#_x0000_t75" style="width:60.45pt;height:37.7pt" o:ole="" fillcolor="window">
                  <v:imagedata r:id="rId29" o:title=""/>
                </v:shape>
                <o:OLEObject Type="Embed" ProgID="Equation.DSMT4" ShapeID="_x0000_i1035" DrawAspect="Content" ObjectID="_1616780414" r:id="rId30"/>
              </w:object>
            </w:r>
          </w:p>
        </w:tc>
        <w:tc>
          <w:tcPr>
            <w:tcW w:w="1608" w:type="pct"/>
            <w:shd w:val="clear" w:color="auto" w:fill="FFFFFF"/>
          </w:tcPr>
          <w:p w:rsidR="00C470E1" w:rsidRPr="00F0356E" w:rsidRDefault="0033143A" w:rsidP="0044623B">
            <w:pPr>
              <w:pStyle w:val="CETBodytext"/>
            </w:pPr>
            <w:r>
              <w:rPr>
                <w:position w:val="-34"/>
              </w:rPr>
              <w:object w:dxaOrig="1128" w:dyaOrig="732">
                <v:shape id="_x0000_i1036" type="#_x0000_t75" style="width:56.55pt;height:36.45pt" o:ole="">
                  <v:imagedata r:id="rId31" o:title=""/>
                </v:shape>
                <o:OLEObject Type="Embed" ProgID="Equation.DSMT4" ShapeID="_x0000_i1036" DrawAspect="Content" ObjectID="_1616780415" r:id="rId32"/>
              </w:object>
            </w:r>
          </w:p>
        </w:tc>
        <w:tc>
          <w:tcPr>
            <w:tcW w:w="1620" w:type="pct"/>
            <w:shd w:val="clear" w:color="auto" w:fill="FFFFFF"/>
          </w:tcPr>
          <w:p w:rsidR="00C470E1" w:rsidRPr="00F0356E" w:rsidRDefault="0033143A" w:rsidP="0044623B">
            <w:pPr>
              <w:pStyle w:val="CETBodytext"/>
            </w:pPr>
            <w:r>
              <w:rPr>
                <w:position w:val="-32"/>
              </w:rPr>
              <w:object w:dxaOrig="1272" w:dyaOrig="672">
                <v:shape id="_x0000_i1037" type="#_x0000_t75" style="width:63.45pt;height:33.45pt" o:ole="">
                  <v:imagedata r:id="rId33" o:title=""/>
                </v:shape>
                <o:OLEObject Type="Embed" ProgID="Equation.DSMT4" ShapeID="_x0000_i1037" DrawAspect="Content" ObjectID="_1616780416" r:id="rId34"/>
              </w:object>
            </w:r>
          </w:p>
        </w:tc>
      </w:tr>
    </w:tbl>
    <w:p w:rsidR="00C470E1" w:rsidRDefault="00C470E1" w:rsidP="00565D99">
      <w:pPr>
        <w:pStyle w:val="CETBodytext"/>
        <w:rPr>
          <w:i/>
        </w:rPr>
      </w:pPr>
    </w:p>
    <w:p w:rsidR="00565D99" w:rsidRPr="00670D32" w:rsidRDefault="0033143A" w:rsidP="00565D99">
      <w:pPr>
        <w:pStyle w:val="CETHeading1"/>
        <w:rPr>
          <w:rFonts w:eastAsia="Arial"/>
        </w:rPr>
      </w:pPr>
      <w:r w:rsidRPr="00670D32">
        <w:rPr>
          <w:rFonts w:eastAsia="Arial"/>
        </w:rPr>
        <w:t>Numerical Solution</w:t>
      </w:r>
    </w:p>
    <w:p w:rsidR="00565D99" w:rsidRDefault="0033143A" w:rsidP="00565D99">
      <w:pPr>
        <w:pStyle w:val="CETBodytext"/>
        <w:rPr>
          <w:rFonts w:eastAsia="Arial"/>
        </w:rPr>
      </w:pPr>
      <w:r w:rsidRPr="00670D32">
        <w:rPr>
          <w:rFonts w:eastAsia="Arial"/>
        </w:rPr>
        <w:t xml:space="preserve">A mathematical model has been developed based on the mass and energy balance in the reactor. In order to solve the mathematical modeling of the energy and mass balance equations of the gas and solid phases </w:t>
      </w:r>
      <w:r w:rsidRPr="00670D32">
        <w:rPr>
          <w:rFonts w:eastAsia="Arial"/>
        </w:rPr>
        <w:lastRenderedPageBreak/>
        <w:t>together with the boundary conditions, the Coupled Integral Equations Approach (CIEA) method (Sousa, 2018</w:t>
      </w:r>
      <w:r w:rsidR="00C470E1" w:rsidRPr="00670D32">
        <w:rPr>
          <w:rFonts w:eastAsia="Arial"/>
        </w:rPr>
        <w:t xml:space="preserve">; </w:t>
      </w:r>
      <w:r w:rsidRPr="00670D32">
        <w:rPr>
          <w:rFonts w:eastAsia="Arial"/>
        </w:rPr>
        <w:t>Anjos et al</w:t>
      </w:r>
      <w:r w:rsidR="00C470E1" w:rsidRPr="00670D32">
        <w:rPr>
          <w:rFonts w:eastAsia="Arial"/>
        </w:rPr>
        <w:t>.,</w:t>
      </w:r>
      <w:r w:rsidRPr="00670D32">
        <w:rPr>
          <w:rFonts w:eastAsia="Arial"/>
        </w:rPr>
        <w:t xml:space="preserve"> 2017) was applied to transform the partial differential equations (PDEs) into ordinary differential equations (ODEs). </w:t>
      </w:r>
      <w:r>
        <w:rPr>
          <w:rFonts w:eastAsia="Arial"/>
        </w:rPr>
        <w:t>This method was chosen because i</w:t>
      </w:r>
      <w:r w:rsidRPr="00670D32">
        <w:rPr>
          <w:rFonts w:eastAsia="Arial"/>
        </w:rPr>
        <w:t>t is possible to reduce the number of independent variables without the minimum loss of information of the variable eliminated from the equation</w:t>
      </w:r>
      <w:r>
        <w:rPr>
          <w:rFonts w:eastAsia="Arial"/>
        </w:rPr>
        <w:t xml:space="preserve"> and by the simplicity when compared with traditional methods</w:t>
      </w:r>
      <w:r w:rsidRPr="00670D32">
        <w:rPr>
          <w:rFonts w:eastAsia="Arial"/>
        </w:rPr>
        <w:t xml:space="preserve">. The transformed equations are given next. </w:t>
      </w:r>
    </w:p>
    <w:p w:rsidR="00C470E1" w:rsidRDefault="00C470E1" w:rsidP="00565D99">
      <w:pPr>
        <w:pStyle w:val="CETBodytext"/>
        <w:rPr>
          <w:rFonts w:eastAsia="Arial"/>
        </w:rPr>
      </w:pPr>
    </w:p>
    <w:p w:rsidR="00565D99" w:rsidRPr="00670D32" w:rsidRDefault="0033143A" w:rsidP="00565D99">
      <w:pPr>
        <w:pStyle w:val="CETBodytext"/>
      </w:pPr>
      <w:r w:rsidRPr="00670D32">
        <w:t>- The transformed equation of the gas-liquid phase energy balance</w:t>
      </w:r>
    </w:p>
    <w:tbl>
      <w:tblPr>
        <w:tblW w:w="5000" w:type="pct"/>
        <w:tblLook w:val="04A0" w:firstRow="1" w:lastRow="0" w:firstColumn="1" w:lastColumn="0" w:noHBand="0" w:noVBand="1"/>
      </w:tblPr>
      <w:tblGrid>
        <w:gridCol w:w="7991"/>
        <w:gridCol w:w="796"/>
      </w:tblGrid>
      <w:tr w:rsidR="00980719" w:rsidTr="0044623B">
        <w:tc>
          <w:tcPr>
            <w:tcW w:w="8188" w:type="dxa"/>
            <w:shd w:val="clear" w:color="auto" w:fill="auto"/>
            <w:vAlign w:val="center"/>
          </w:tcPr>
          <w:p w:rsidR="00565D99" w:rsidRPr="00B57B36" w:rsidRDefault="0033143A" w:rsidP="0044623B">
            <w:pPr>
              <w:pStyle w:val="CETEquation"/>
            </w:pPr>
            <w:r>
              <w:rPr>
                <w:position w:val="-22"/>
              </w:rPr>
              <w:object w:dxaOrig="4056" w:dyaOrig="576">
                <v:shape id="_x0000_i1038" type="#_x0000_t75" style="width:202.7pt;height:28.7pt" o:ole="">
                  <v:imagedata r:id="rId35" o:title=""/>
                </v:shape>
                <o:OLEObject Type="Embed" ProgID="Equation.3" ShapeID="_x0000_i1038" DrawAspect="Content" ObjectID="_1616780417" r:id="rId36"/>
              </w:object>
            </w:r>
          </w:p>
        </w:tc>
        <w:tc>
          <w:tcPr>
            <w:tcW w:w="815" w:type="dxa"/>
            <w:shd w:val="clear" w:color="auto" w:fill="auto"/>
            <w:vAlign w:val="center"/>
          </w:tcPr>
          <w:p w:rsidR="00565D99" w:rsidRPr="00670D32" w:rsidRDefault="0033143A" w:rsidP="0044623B">
            <w:pPr>
              <w:pStyle w:val="CETEquation"/>
              <w:jc w:val="right"/>
            </w:pPr>
            <w:r w:rsidRPr="00670D32">
              <w:t>(</w:t>
            </w:r>
            <w:r w:rsidR="00C470E1" w:rsidRPr="00670D32">
              <w:t>7</w:t>
            </w:r>
            <w:r w:rsidRPr="00670D32">
              <w:t>)</w:t>
            </w:r>
          </w:p>
        </w:tc>
      </w:tr>
    </w:tbl>
    <w:p w:rsidR="00565D99" w:rsidRPr="00670D32" w:rsidRDefault="0033143A" w:rsidP="00565D99">
      <w:pPr>
        <w:pStyle w:val="CETBodytext"/>
      </w:pPr>
      <w:r w:rsidRPr="00670D32">
        <w:t>- The transformed equation of the solid phase energy balance</w:t>
      </w:r>
    </w:p>
    <w:tbl>
      <w:tblPr>
        <w:tblW w:w="5000" w:type="pct"/>
        <w:tblLook w:val="04A0" w:firstRow="1" w:lastRow="0" w:firstColumn="1" w:lastColumn="0" w:noHBand="0" w:noVBand="1"/>
      </w:tblPr>
      <w:tblGrid>
        <w:gridCol w:w="7993"/>
        <w:gridCol w:w="794"/>
      </w:tblGrid>
      <w:tr w:rsidR="00980719" w:rsidTr="0044623B">
        <w:tc>
          <w:tcPr>
            <w:tcW w:w="8188" w:type="dxa"/>
            <w:shd w:val="clear" w:color="auto" w:fill="auto"/>
            <w:vAlign w:val="center"/>
          </w:tcPr>
          <w:p w:rsidR="00565D99" w:rsidRPr="00B57B36" w:rsidRDefault="0033143A" w:rsidP="0044623B">
            <w:pPr>
              <w:pStyle w:val="CETEquation"/>
            </w:pPr>
            <w:r>
              <w:rPr>
                <w:position w:val="-22"/>
              </w:rPr>
              <w:object w:dxaOrig="4476" w:dyaOrig="588">
                <v:shape id="_x0000_i1039" type="#_x0000_t75" style="width:223.7pt;height:29.55pt" o:ole="">
                  <v:imagedata r:id="rId37" o:title=""/>
                </v:shape>
                <o:OLEObject Type="Embed" ProgID="Equation.3" ShapeID="_x0000_i1039" DrawAspect="Content" ObjectID="_1616780418" r:id="rId38"/>
              </w:object>
            </w:r>
          </w:p>
        </w:tc>
        <w:tc>
          <w:tcPr>
            <w:tcW w:w="815" w:type="dxa"/>
            <w:shd w:val="clear" w:color="auto" w:fill="auto"/>
            <w:vAlign w:val="center"/>
          </w:tcPr>
          <w:p w:rsidR="00565D99" w:rsidRPr="00670D32" w:rsidRDefault="0033143A" w:rsidP="0044623B">
            <w:pPr>
              <w:pStyle w:val="CETEquation"/>
              <w:jc w:val="right"/>
            </w:pPr>
            <w:r w:rsidRPr="00670D32">
              <w:t>(</w:t>
            </w:r>
            <w:r w:rsidR="00C470E1" w:rsidRPr="00670D32">
              <w:t>8</w:t>
            </w:r>
            <w:r w:rsidRPr="00670D32">
              <w:t>)</w:t>
            </w:r>
          </w:p>
        </w:tc>
      </w:tr>
    </w:tbl>
    <w:p w:rsidR="00565D99" w:rsidRPr="00670D32" w:rsidRDefault="0033143A" w:rsidP="00565D99">
      <w:pPr>
        <w:pStyle w:val="CETBodytext"/>
      </w:pPr>
      <w:r w:rsidRPr="00670D32">
        <w:t>- The transformed equation for component “</w:t>
      </w:r>
      <w:proofErr w:type="spellStart"/>
      <w:r w:rsidRPr="00670D32">
        <w:t>i</w:t>
      </w:r>
      <w:proofErr w:type="spellEnd"/>
      <w:r w:rsidRPr="00670D32">
        <w:t>” in the mobile gas phase mass balance</w:t>
      </w:r>
    </w:p>
    <w:tbl>
      <w:tblPr>
        <w:tblW w:w="5000" w:type="pct"/>
        <w:tblLook w:val="04A0" w:firstRow="1" w:lastRow="0" w:firstColumn="1" w:lastColumn="0" w:noHBand="0" w:noVBand="1"/>
      </w:tblPr>
      <w:tblGrid>
        <w:gridCol w:w="7987"/>
        <w:gridCol w:w="800"/>
      </w:tblGrid>
      <w:tr w:rsidR="00980719" w:rsidTr="0044623B">
        <w:tc>
          <w:tcPr>
            <w:tcW w:w="8188" w:type="dxa"/>
            <w:shd w:val="clear" w:color="auto" w:fill="auto"/>
            <w:vAlign w:val="center"/>
          </w:tcPr>
          <w:p w:rsidR="00565D99" w:rsidRPr="00B57B36" w:rsidRDefault="0033143A" w:rsidP="0044623B">
            <w:pPr>
              <w:pStyle w:val="CETEquation"/>
            </w:pPr>
            <w:r>
              <w:rPr>
                <w:position w:val="-20"/>
              </w:rPr>
              <w:object w:dxaOrig="2988" w:dyaOrig="552">
                <v:shape id="_x0000_i1040" type="#_x0000_t75" style="width:149.55pt;height:27.45pt" o:ole="">
                  <v:imagedata r:id="rId39" o:title=""/>
                </v:shape>
                <o:OLEObject Type="Embed" ProgID="Equation.DSMT4" ShapeID="_x0000_i1040" DrawAspect="Content" ObjectID="_1616780419" r:id="rId40"/>
              </w:object>
            </w:r>
          </w:p>
        </w:tc>
        <w:tc>
          <w:tcPr>
            <w:tcW w:w="815" w:type="dxa"/>
            <w:shd w:val="clear" w:color="auto" w:fill="auto"/>
            <w:vAlign w:val="center"/>
          </w:tcPr>
          <w:p w:rsidR="00565D99" w:rsidRPr="00670D32" w:rsidRDefault="0033143A" w:rsidP="0044623B">
            <w:pPr>
              <w:pStyle w:val="CETEquation"/>
              <w:jc w:val="right"/>
            </w:pPr>
            <w:r w:rsidRPr="00670D32">
              <w:t>(</w:t>
            </w:r>
            <w:r w:rsidR="00C470E1" w:rsidRPr="00670D32">
              <w:t>9</w:t>
            </w:r>
            <w:r w:rsidRPr="00670D32">
              <w:t>)</w:t>
            </w:r>
          </w:p>
        </w:tc>
      </w:tr>
    </w:tbl>
    <w:p w:rsidR="00565D99" w:rsidRPr="00670D32" w:rsidRDefault="0033143A" w:rsidP="00565D99">
      <w:pPr>
        <w:pStyle w:val="CETBodytext"/>
      </w:pPr>
      <w:r w:rsidRPr="00670D32">
        <w:t>Where,</w:t>
      </w:r>
      <w:r>
        <w:rPr>
          <w:position w:val="-14"/>
        </w:rPr>
        <w:object w:dxaOrig="2352" w:dyaOrig="348">
          <v:shape id="_x0000_i1041" type="#_x0000_t75" style="width:117.45pt;height:17.55pt" o:ole="">
            <v:imagedata r:id="rId41" o:title=""/>
          </v:shape>
          <o:OLEObject Type="Embed" ProgID="Equation.DSMT4" ShapeID="_x0000_i1041" DrawAspect="Content" ObjectID="_1616780420" r:id="rId42"/>
        </w:object>
      </w:r>
      <w:r w:rsidRPr="00670D32">
        <w:t>,</w:t>
      </w:r>
      <w:r>
        <w:rPr>
          <w:position w:val="-12"/>
        </w:rPr>
        <w:object w:dxaOrig="756" w:dyaOrig="312">
          <v:shape id="_x0000_i1042" type="#_x0000_t75" style="width:37.7pt;height:15.45pt" o:ole="">
            <v:imagedata r:id="rId43" o:title=""/>
          </v:shape>
          <o:OLEObject Type="Embed" ProgID="Equation.DSMT4" ShapeID="_x0000_i1042" DrawAspect="Content" ObjectID="_1616780421" r:id="rId44"/>
        </w:object>
      </w:r>
      <w:r w:rsidRPr="00670D32">
        <w:t>,</w:t>
      </w:r>
      <w:r>
        <w:rPr>
          <w:position w:val="-10"/>
        </w:rPr>
        <w:object w:dxaOrig="612" w:dyaOrig="312">
          <v:shape id="_x0000_i1043" type="#_x0000_t75" style="width:30.45pt;height:15.45pt" o:ole="">
            <v:imagedata r:id="rId45" o:title=""/>
          </v:shape>
          <o:OLEObject Type="Embed" ProgID="Equation.DSMT4" ShapeID="_x0000_i1043" DrawAspect="Content" ObjectID="_1616780422" r:id="rId46"/>
        </w:object>
      </w:r>
      <w:r w:rsidRPr="00670D32">
        <w:t xml:space="preserve"> and </w:t>
      </w:r>
      <w:r>
        <w:rPr>
          <w:position w:val="-10"/>
        </w:rPr>
        <w:object w:dxaOrig="312" w:dyaOrig="312">
          <v:shape id="_x0000_i1044" type="#_x0000_t75" style="width:15.45pt;height:15.45pt" o:ole="">
            <v:imagedata r:id="rId47" o:title=""/>
          </v:shape>
          <o:OLEObject Type="Embed" ProgID="Equation.DSMT4" ShapeID="_x0000_i1044" DrawAspect="Content" ObjectID="_1616780423" r:id="rId48"/>
        </w:object>
      </w:r>
      <w:r w:rsidRPr="00670D32">
        <w:t>are parameters obtained by the CIEA method.</w:t>
      </w:r>
    </w:p>
    <w:p w:rsidR="00565D99" w:rsidRPr="00670D32" w:rsidRDefault="0033143A" w:rsidP="00565D99">
      <w:pPr>
        <w:pStyle w:val="CETHeading1"/>
        <w:rPr>
          <w:rFonts w:eastAsia="Arial"/>
        </w:rPr>
      </w:pPr>
      <w:r w:rsidRPr="00670D32">
        <w:rPr>
          <w:rFonts w:eastAsia="Arial"/>
        </w:rPr>
        <w:t>Results and Discussion</w:t>
      </w:r>
    </w:p>
    <w:p w:rsidR="00565D99" w:rsidRDefault="0033143A" w:rsidP="00565D99">
      <w:pPr>
        <w:pStyle w:val="CETBodytext"/>
      </w:pPr>
      <w:r w:rsidRPr="00670D32">
        <w:t xml:space="preserve">The equations of the energy balance and mass balance are solved numerically </w:t>
      </w:r>
      <w:r w:rsidR="00783E37" w:rsidRPr="00670D32">
        <w:t>by</w:t>
      </w:r>
      <w:r w:rsidRPr="00670D32">
        <w:t xml:space="preserve"> the Euler method, implemented in Fortran PowerStation 4.0. The proposed model for this study was used to analyze the evolution of chemical species throughout the processing time, and the variations of the temperature until the stabilization moment, which is essential to know the behavior of the reactor. Moreover, table </w:t>
      </w:r>
      <w:r w:rsidR="00C470E1" w:rsidRPr="00670D32">
        <w:t>2</w:t>
      </w:r>
      <w:r w:rsidRPr="00670D32">
        <w:t xml:space="preserve"> contains the parameter of entry for the simulation.</w:t>
      </w:r>
    </w:p>
    <w:p w:rsidR="00565D99" w:rsidRPr="00670D32" w:rsidRDefault="0033143A" w:rsidP="00565D99">
      <w:pPr>
        <w:pStyle w:val="CETTabletitle"/>
      </w:pPr>
      <w:r w:rsidRPr="00670D32">
        <w:t xml:space="preserve">Table </w:t>
      </w:r>
      <w:r w:rsidR="00C470E1" w:rsidRPr="00670D32">
        <w:t>2</w:t>
      </w:r>
      <w:r w:rsidRPr="00670D32">
        <w:t xml:space="preserve">: </w:t>
      </w:r>
      <w:r w:rsidRPr="00670D32">
        <w:rPr>
          <w:color w:val="000000"/>
          <w:shd w:val="clear" w:color="auto" w:fill="FFFFFF"/>
        </w:rPr>
        <w:t>Entry data for the simulation</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65"/>
        <w:gridCol w:w="1466"/>
        <w:gridCol w:w="1466"/>
        <w:gridCol w:w="1464"/>
        <w:gridCol w:w="1464"/>
        <w:gridCol w:w="1462"/>
      </w:tblGrid>
      <w:tr w:rsidR="00980719" w:rsidTr="0044623B">
        <w:tc>
          <w:tcPr>
            <w:tcW w:w="834" w:type="pct"/>
            <w:tcBorders>
              <w:top w:val="single" w:sz="12" w:space="0" w:color="008000"/>
              <w:bottom w:val="single" w:sz="6" w:space="0" w:color="008000"/>
            </w:tcBorders>
            <w:shd w:val="clear" w:color="auto" w:fill="FFFFFF"/>
          </w:tcPr>
          <w:p w:rsidR="00565D99" w:rsidRPr="00670D32" w:rsidRDefault="0033143A" w:rsidP="0044623B">
            <w:pPr>
              <w:pStyle w:val="CETBodytext"/>
            </w:pPr>
            <w:r w:rsidRPr="00670D32">
              <w:t>Categories</w:t>
            </w:r>
          </w:p>
          <w:p w:rsidR="00565D99" w:rsidRPr="00F0356E" w:rsidRDefault="00565D99" w:rsidP="0044623B">
            <w:pPr>
              <w:pStyle w:val="CETBodytext"/>
              <w:rPr>
                <w:b/>
              </w:rPr>
            </w:pPr>
          </w:p>
        </w:tc>
        <w:tc>
          <w:tcPr>
            <w:tcW w:w="834" w:type="pct"/>
            <w:tcBorders>
              <w:top w:val="single" w:sz="12" w:space="0" w:color="008000"/>
              <w:bottom w:val="single" w:sz="6" w:space="0" w:color="008000"/>
            </w:tcBorders>
            <w:shd w:val="clear" w:color="auto" w:fill="FFFFFF"/>
          </w:tcPr>
          <w:p w:rsidR="00565D99" w:rsidRPr="00670D32" w:rsidRDefault="0033143A" w:rsidP="0044623B">
            <w:pPr>
              <w:pStyle w:val="CETBodytext"/>
            </w:pPr>
            <w:r w:rsidRPr="00670D32">
              <w:t>Symbol</w:t>
            </w:r>
          </w:p>
        </w:tc>
        <w:tc>
          <w:tcPr>
            <w:tcW w:w="834" w:type="pct"/>
            <w:tcBorders>
              <w:top w:val="single" w:sz="12" w:space="0" w:color="008000"/>
              <w:bottom w:val="single" w:sz="6" w:space="0" w:color="008000"/>
            </w:tcBorders>
            <w:shd w:val="clear" w:color="auto" w:fill="FFFFFF"/>
          </w:tcPr>
          <w:p w:rsidR="00565D99" w:rsidRPr="00670D32" w:rsidRDefault="0033143A" w:rsidP="0044623B">
            <w:pPr>
              <w:pStyle w:val="CETBodytext"/>
            </w:pPr>
            <w:r w:rsidRPr="00670D32">
              <w:t>Number value</w:t>
            </w:r>
          </w:p>
        </w:tc>
        <w:tc>
          <w:tcPr>
            <w:tcW w:w="833" w:type="pct"/>
            <w:tcBorders>
              <w:top w:val="single" w:sz="12" w:space="0" w:color="008000"/>
              <w:bottom w:val="single" w:sz="6" w:space="0" w:color="008000"/>
            </w:tcBorders>
            <w:shd w:val="clear" w:color="auto" w:fill="FFFFFF"/>
          </w:tcPr>
          <w:p w:rsidR="00565D99" w:rsidRPr="00670D32" w:rsidRDefault="0033143A" w:rsidP="0044623B">
            <w:pPr>
              <w:pStyle w:val="CETBodytext"/>
            </w:pPr>
            <w:r w:rsidRPr="00670D32">
              <w:t>Categories</w:t>
            </w:r>
          </w:p>
        </w:tc>
        <w:tc>
          <w:tcPr>
            <w:tcW w:w="833" w:type="pct"/>
            <w:tcBorders>
              <w:top w:val="single" w:sz="12" w:space="0" w:color="008000"/>
              <w:bottom w:val="single" w:sz="6" w:space="0" w:color="008000"/>
            </w:tcBorders>
            <w:shd w:val="clear" w:color="auto" w:fill="FFFFFF"/>
          </w:tcPr>
          <w:p w:rsidR="00565D99" w:rsidRPr="00670D32" w:rsidRDefault="0033143A" w:rsidP="0044623B">
            <w:pPr>
              <w:pStyle w:val="CETBodytext"/>
            </w:pPr>
            <w:r w:rsidRPr="00670D32">
              <w:t>Symbol</w:t>
            </w:r>
          </w:p>
        </w:tc>
        <w:tc>
          <w:tcPr>
            <w:tcW w:w="832" w:type="pct"/>
            <w:tcBorders>
              <w:top w:val="single" w:sz="12" w:space="0" w:color="008000"/>
              <w:bottom w:val="single" w:sz="6" w:space="0" w:color="008000"/>
            </w:tcBorders>
            <w:shd w:val="clear" w:color="auto" w:fill="FFFFFF"/>
          </w:tcPr>
          <w:p w:rsidR="00565D99" w:rsidRPr="00670D32" w:rsidRDefault="0033143A" w:rsidP="0044623B">
            <w:pPr>
              <w:pStyle w:val="CETBodytext"/>
            </w:pPr>
            <w:r w:rsidRPr="00670D32">
              <w:t>Number value</w:t>
            </w:r>
          </w:p>
        </w:tc>
      </w:tr>
      <w:tr w:rsidR="00980719" w:rsidTr="0044623B">
        <w:tc>
          <w:tcPr>
            <w:tcW w:w="834" w:type="pct"/>
            <w:shd w:val="clear" w:color="auto" w:fill="FFFFFF"/>
          </w:tcPr>
          <w:p w:rsidR="00565D99" w:rsidRPr="00670D32" w:rsidRDefault="0033143A" w:rsidP="0044623B">
            <w:pPr>
              <w:pStyle w:val="CETBodytext"/>
              <w:rPr>
                <w:b/>
              </w:rPr>
            </w:pPr>
            <w:r w:rsidRPr="00670D32">
              <w:t>Condition of</w:t>
            </w:r>
          </w:p>
        </w:tc>
        <w:tc>
          <w:tcPr>
            <w:tcW w:w="834" w:type="pct"/>
            <w:shd w:val="clear" w:color="auto" w:fill="FFFFFF"/>
          </w:tcPr>
          <w:p w:rsidR="00565D99" w:rsidRPr="00670D32" w:rsidRDefault="0033143A" w:rsidP="0044623B">
            <w:pPr>
              <w:pStyle w:val="CETBodytext"/>
              <w:rPr>
                <w:b/>
              </w:rPr>
            </w:pPr>
            <w:proofErr w:type="spellStart"/>
            <w:r w:rsidRPr="00670D32">
              <w:t>T</w:t>
            </w:r>
            <w:r w:rsidRPr="00670D32">
              <w:rPr>
                <w:vertAlign w:val="subscript"/>
              </w:rPr>
              <w:t>g</w:t>
            </w:r>
            <w:proofErr w:type="spellEnd"/>
            <w:r w:rsidRPr="00670D32">
              <w:rPr>
                <w:vertAlign w:val="subscript"/>
              </w:rPr>
              <w:t>ℓ,0</w:t>
            </w:r>
          </w:p>
        </w:tc>
        <w:tc>
          <w:tcPr>
            <w:tcW w:w="834" w:type="pct"/>
            <w:shd w:val="clear" w:color="auto" w:fill="FFFFFF"/>
          </w:tcPr>
          <w:p w:rsidR="00565D99" w:rsidRPr="00670D32" w:rsidRDefault="0033143A" w:rsidP="0044623B">
            <w:pPr>
              <w:pStyle w:val="CETBodytext"/>
            </w:pPr>
            <w:r w:rsidRPr="00670D32">
              <w:t>400</w:t>
            </w:r>
          </w:p>
        </w:tc>
        <w:tc>
          <w:tcPr>
            <w:tcW w:w="833" w:type="pct"/>
            <w:shd w:val="clear" w:color="auto" w:fill="FFFFFF"/>
          </w:tcPr>
          <w:p w:rsidR="00565D99" w:rsidRPr="00670D32" w:rsidRDefault="0033143A" w:rsidP="0044623B">
            <w:pPr>
              <w:pStyle w:val="CETBodytext"/>
              <w:rPr>
                <w:b/>
              </w:rPr>
            </w:pPr>
            <w:r w:rsidRPr="00670D32">
              <w:t xml:space="preserve">Properties of </w:t>
            </w:r>
          </w:p>
        </w:tc>
        <w:tc>
          <w:tcPr>
            <w:tcW w:w="833" w:type="pct"/>
            <w:shd w:val="clear" w:color="auto" w:fill="FFFFFF"/>
          </w:tcPr>
          <w:p w:rsidR="00565D99" w:rsidRPr="00670D32" w:rsidRDefault="0033143A" w:rsidP="0044623B">
            <w:pPr>
              <w:pStyle w:val="CETBodytext"/>
              <w:rPr>
                <w:b/>
                <w:vertAlign w:val="subscript"/>
              </w:rPr>
            </w:pPr>
            <w:r w:rsidRPr="00670D32">
              <w:t>C</w:t>
            </w:r>
            <w:r w:rsidRPr="00670D32">
              <w:rPr>
                <w:vertAlign w:val="subscript"/>
              </w:rPr>
              <w:t>p, l</w:t>
            </w:r>
          </w:p>
        </w:tc>
        <w:tc>
          <w:tcPr>
            <w:tcW w:w="832" w:type="pct"/>
            <w:shd w:val="clear" w:color="auto" w:fill="FFFFFF"/>
          </w:tcPr>
          <w:p w:rsidR="00565D99" w:rsidRPr="00670D32" w:rsidRDefault="0033143A" w:rsidP="0044623B">
            <w:pPr>
              <w:pStyle w:val="CETBodytext"/>
              <w:rPr>
                <w:b/>
              </w:rPr>
            </w:pPr>
            <w:r w:rsidRPr="00670D32">
              <w:t>2.001</w:t>
            </w:r>
          </w:p>
        </w:tc>
      </w:tr>
      <w:tr w:rsidR="00980719" w:rsidTr="0044623B">
        <w:tc>
          <w:tcPr>
            <w:tcW w:w="834" w:type="pct"/>
            <w:shd w:val="clear" w:color="auto" w:fill="FFFFFF"/>
          </w:tcPr>
          <w:p w:rsidR="00565D99" w:rsidRPr="00670D32" w:rsidRDefault="0033143A" w:rsidP="0044623B">
            <w:pPr>
              <w:pStyle w:val="CETBodytext"/>
              <w:rPr>
                <w:b/>
              </w:rPr>
            </w:pPr>
            <w:r w:rsidRPr="00670D32">
              <w:t>Operations</w:t>
            </w:r>
          </w:p>
        </w:tc>
        <w:tc>
          <w:tcPr>
            <w:tcW w:w="834" w:type="pct"/>
            <w:shd w:val="clear" w:color="auto" w:fill="FFFFFF"/>
          </w:tcPr>
          <w:p w:rsidR="00565D99" w:rsidRPr="00670D32" w:rsidRDefault="0033143A" w:rsidP="0044623B">
            <w:pPr>
              <w:pStyle w:val="CETBodytext"/>
              <w:rPr>
                <w:b/>
              </w:rPr>
            </w:pPr>
            <w:r w:rsidRPr="00670D32">
              <w:t>T</w:t>
            </w:r>
            <w:r w:rsidRPr="00670D32">
              <w:rPr>
                <w:vertAlign w:val="subscript"/>
              </w:rPr>
              <w:t>s,0</w:t>
            </w:r>
          </w:p>
        </w:tc>
        <w:tc>
          <w:tcPr>
            <w:tcW w:w="834" w:type="pct"/>
            <w:shd w:val="clear" w:color="auto" w:fill="FFFFFF"/>
          </w:tcPr>
          <w:p w:rsidR="00565D99" w:rsidRPr="00670D32" w:rsidRDefault="0033143A" w:rsidP="0044623B">
            <w:pPr>
              <w:pStyle w:val="CETBodytext"/>
            </w:pPr>
            <w:r w:rsidRPr="00670D32">
              <w:t>400</w:t>
            </w:r>
          </w:p>
        </w:tc>
        <w:tc>
          <w:tcPr>
            <w:tcW w:w="833" w:type="pct"/>
            <w:shd w:val="clear" w:color="auto" w:fill="FFFFFF"/>
          </w:tcPr>
          <w:p w:rsidR="00565D99" w:rsidRPr="00670D32" w:rsidRDefault="0033143A" w:rsidP="0044623B">
            <w:pPr>
              <w:pStyle w:val="CETBodytext"/>
              <w:rPr>
                <w:b/>
              </w:rPr>
            </w:pPr>
            <w:r w:rsidRPr="00670D32">
              <w:t>Liquid phase</w:t>
            </w:r>
          </w:p>
        </w:tc>
        <w:tc>
          <w:tcPr>
            <w:tcW w:w="833" w:type="pct"/>
            <w:shd w:val="clear" w:color="auto" w:fill="FFFFFF"/>
          </w:tcPr>
          <w:p w:rsidR="00565D99" w:rsidRPr="00670D32" w:rsidRDefault="0033143A" w:rsidP="0044623B">
            <w:pPr>
              <w:pStyle w:val="CETBodytext"/>
              <w:rPr>
                <w:rFonts w:eastAsia="Calibri"/>
                <w:vertAlign w:val="subscript"/>
              </w:rPr>
            </w:pPr>
            <w:r w:rsidRPr="00670D32">
              <w:rPr>
                <w:rFonts w:eastAsia="Calibri"/>
              </w:rPr>
              <w:t>h</w:t>
            </w:r>
            <w:r w:rsidRPr="00670D32">
              <w:rPr>
                <w:rFonts w:eastAsia="Calibri"/>
                <w:vertAlign w:val="subscript"/>
              </w:rPr>
              <w:t>ℓ</w:t>
            </w:r>
          </w:p>
        </w:tc>
        <w:tc>
          <w:tcPr>
            <w:tcW w:w="832" w:type="pct"/>
            <w:shd w:val="clear" w:color="auto" w:fill="FFFFFF"/>
          </w:tcPr>
          <w:p w:rsidR="00565D99" w:rsidRPr="00670D32" w:rsidRDefault="0033143A" w:rsidP="0044623B">
            <w:pPr>
              <w:pStyle w:val="CETBodytext"/>
            </w:pPr>
            <w:r w:rsidRPr="00670D32">
              <w:t>0.791</w:t>
            </w:r>
          </w:p>
        </w:tc>
      </w:tr>
      <w:tr w:rsidR="00980719" w:rsidTr="0044623B">
        <w:tc>
          <w:tcPr>
            <w:tcW w:w="834" w:type="pct"/>
            <w:shd w:val="clear" w:color="auto" w:fill="FFFFFF"/>
          </w:tcPr>
          <w:p w:rsidR="00565D99" w:rsidRPr="00B57B36" w:rsidRDefault="00565D99" w:rsidP="0044623B">
            <w:pPr>
              <w:pStyle w:val="CETBodytext"/>
              <w:ind w:right="-1"/>
              <w:rPr>
                <w:rFonts w:cs="Arial"/>
                <w:szCs w:val="18"/>
                <w:lang w:val="en-GB"/>
              </w:rPr>
            </w:pPr>
          </w:p>
        </w:tc>
        <w:tc>
          <w:tcPr>
            <w:tcW w:w="834" w:type="pct"/>
            <w:shd w:val="clear" w:color="auto" w:fill="FFFFFF"/>
          </w:tcPr>
          <w:p w:rsidR="00565D99" w:rsidRPr="00670D32" w:rsidRDefault="0033143A" w:rsidP="0044623B">
            <w:pPr>
              <w:pStyle w:val="CETBodytext"/>
            </w:pPr>
            <w:r w:rsidRPr="00670D32">
              <w:t>L</w:t>
            </w:r>
          </w:p>
        </w:tc>
        <w:tc>
          <w:tcPr>
            <w:tcW w:w="834" w:type="pct"/>
            <w:shd w:val="clear" w:color="auto" w:fill="FFFFFF"/>
          </w:tcPr>
          <w:p w:rsidR="00565D99" w:rsidRPr="00670D32" w:rsidRDefault="0033143A" w:rsidP="0044623B">
            <w:pPr>
              <w:pStyle w:val="CETBodytext"/>
            </w:pPr>
            <w:r w:rsidRPr="00670D32">
              <w:t>1.0</w:t>
            </w:r>
          </w:p>
        </w:tc>
        <w:tc>
          <w:tcPr>
            <w:tcW w:w="833" w:type="pct"/>
            <w:shd w:val="clear" w:color="auto" w:fill="FFFFFF"/>
          </w:tcPr>
          <w:p w:rsidR="00565D99" w:rsidRPr="00B57B36" w:rsidRDefault="00565D99" w:rsidP="0044623B">
            <w:pPr>
              <w:pStyle w:val="CETBodytext"/>
              <w:ind w:right="-1"/>
              <w:rPr>
                <w:rFonts w:cs="Arial"/>
                <w:szCs w:val="18"/>
                <w:lang w:val="en-GB"/>
              </w:rPr>
            </w:pPr>
          </w:p>
        </w:tc>
        <w:tc>
          <w:tcPr>
            <w:tcW w:w="833" w:type="pct"/>
            <w:shd w:val="clear" w:color="auto" w:fill="FFFFFF"/>
          </w:tcPr>
          <w:p w:rsidR="00565D99" w:rsidRPr="00670D32" w:rsidRDefault="0033143A" w:rsidP="0044623B">
            <w:pPr>
              <w:pStyle w:val="CETBodytext"/>
              <w:rPr>
                <w:rFonts w:eastAsia="Calibri"/>
                <w:vertAlign w:val="subscript"/>
              </w:rPr>
            </w:pPr>
            <w:proofErr w:type="gramStart"/>
            <w:r w:rsidRPr="00670D32">
              <w:rPr>
                <w:rFonts w:eastAsia="Calibri"/>
              </w:rPr>
              <w:t>V</w:t>
            </w:r>
            <w:r w:rsidRPr="00670D32">
              <w:rPr>
                <w:rFonts w:eastAsia="Calibri"/>
                <w:vertAlign w:val="subscript"/>
              </w:rPr>
              <w:t>s,ℓ</w:t>
            </w:r>
            <w:proofErr w:type="gramEnd"/>
          </w:p>
        </w:tc>
        <w:tc>
          <w:tcPr>
            <w:tcW w:w="832" w:type="pct"/>
            <w:shd w:val="clear" w:color="auto" w:fill="FFFFFF"/>
          </w:tcPr>
          <w:p w:rsidR="00565D99" w:rsidRPr="00783E37" w:rsidRDefault="0033143A" w:rsidP="0044623B">
            <w:pPr>
              <w:pStyle w:val="CETBodytext"/>
            </w:pPr>
            <w:r w:rsidRPr="00783E37">
              <w:t>2.01</w:t>
            </w:r>
          </w:p>
        </w:tc>
      </w:tr>
      <w:tr w:rsidR="00980719" w:rsidTr="0044623B">
        <w:tc>
          <w:tcPr>
            <w:tcW w:w="834" w:type="pct"/>
            <w:shd w:val="clear" w:color="auto" w:fill="FFFFFF"/>
          </w:tcPr>
          <w:p w:rsidR="00565D99" w:rsidRPr="00B57B36" w:rsidRDefault="00565D99" w:rsidP="0044623B">
            <w:pPr>
              <w:pStyle w:val="CETBodytext"/>
              <w:ind w:right="-1"/>
              <w:rPr>
                <w:rFonts w:cs="Arial"/>
                <w:szCs w:val="18"/>
                <w:lang w:val="en-GB"/>
              </w:rPr>
            </w:pPr>
          </w:p>
        </w:tc>
        <w:tc>
          <w:tcPr>
            <w:tcW w:w="834" w:type="pct"/>
            <w:shd w:val="clear" w:color="auto" w:fill="FFFFFF"/>
          </w:tcPr>
          <w:p w:rsidR="00565D99" w:rsidRPr="00783E37" w:rsidRDefault="0033143A" w:rsidP="0044623B">
            <w:pPr>
              <w:pStyle w:val="CETBodytext"/>
              <w:rPr>
                <w:vertAlign w:val="subscript"/>
              </w:rPr>
            </w:pPr>
            <w:r w:rsidRPr="00783E37">
              <w:rPr>
                <w:rFonts w:ascii="Symbol" w:hAnsi="Symbol"/>
              </w:rPr>
              <w:sym w:font="Symbol" w:char="F065"/>
            </w:r>
            <w:r w:rsidRPr="00783E37">
              <w:rPr>
                <w:vertAlign w:val="subscript"/>
              </w:rPr>
              <w:t>s</w:t>
            </w:r>
          </w:p>
        </w:tc>
        <w:tc>
          <w:tcPr>
            <w:tcW w:w="834" w:type="pct"/>
            <w:shd w:val="clear" w:color="auto" w:fill="FFFFFF"/>
          </w:tcPr>
          <w:p w:rsidR="00565D99" w:rsidRPr="00783E37" w:rsidRDefault="0033143A" w:rsidP="0044623B">
            <w:pPr>
              <w:pStyle w:val="CETBodytext"/>
            </w:pPr>
            <w:r w:rsidRPr="00783E37">
              <w:t>0.59</w:t>
            </w:r>
          </w:p>
        </w:tc>
        <w:tc>
          <w:tcPr>
            <w:tcW w:w="833" w:type="pct"/>
            <w:shd w:val="clear" w:color="auto" w:fill="FFFFFF"/>
          </w:tcPr>
          <w:p w:rsidR="00565D99" w:rsidRPr="00B57B36" w:rsidRDefault="00565D99" w:rsidP="0044623B">
            <w:pPr>
              <w:pStyle w:val="CETBodytext"/>
              <w:ind w:right="-1"/>
              <w:rPr>
                <w:rFonts w:cs="Arial"/>
                <w:szCs w:val="18"/>
                <w:lang w:val="en-GB"/>
              </w:rPr>
            </w:pPr>
          </w:p>
        </w:tc>
        <w:tc>
          <w:tcPr>
            <w:tcW w:w="833" w:type="pct"/>
            <w:shd w:val="clear" w:color="auto" w:fill="FFFFFF"/>
          </w:tcPr>
          <w:p w:rsidR="00565D99" w:rsidRPr="00783E37" w:rsidRDefault="0033143A" w:rsidP="0044623B">
            <w:pPr>
              <w:pStyle w:val="CETBodytext"/>
              <w:rPr>
                <w:rFonts w:eastAsia="Calibri"/>
                <w:vertAlign w:val="subscript"/>
              </w:rPr>
            </w:pPr>
            <w:r w:rsidRPr="00783E37">
              <w:rPr>
                <w:rFonts w:eastAsia="Calibri"/>
              </w:rPr>
              <w:t>ʎ</w:t>
            </w:r>
            <w:r w:rsidRPr="00783E37">
              <w:rPr>
                <w:rFonts w:eastAsia="Calibri"/>
                <w:vertAlign w:val="subscript"/>
              </w:rPr>
              <w:t>l</w:t>
            </w:r>
          </w:p>
        </w:tc>
        <w:tc>
          <w:tcPr>
            <w:tcW w:w="832" w:type="pct"/>
            <w:shd w:val="clear" w:color="auto" w:fill="FFFFFF"/>
          </w:tcPr>
          <w:p w:rsidR="00565D99" w:rsidRPr="00783E37" w:rsidRDefault="0033143A" w:rsidP="0044623B">
            <w:pPr>
              <w:pStyle w:val="CETBodytext"/>
            </w:pPr>
            <w:r w:rsidRPr="00783E37">
              <w:t>1.80x10</w:t>
            </w:r>
            <w:r w:rsidRPr="00783E37">
              <w:rPr>
                <w:vertAlign w:val="superscript"/>
              </w:rPr>
              <w:t>-2</w:t>
            </w:r>
          </w:p>
        </w:tc>
      </w:tr>
      <w:tr w:rsidR="00980719" w:rsidTr="0044623B">
        <w:trPr>
          <w:trHeight w:val="81"/>
        </w:trPr>
        <w:tc>
          <w:tcPr>
            <w:tcW w:w="834" w:type="pct"/>
            <w:tcBorders>
              <w:bottom w:val="nil"/>
            </w:tcBorders>
            <w:shd w:val="clear" w:color="auto" w:fill="FFFFFF"/>
          </w:tcPr>
          <w:p w:rsidR="00565D99" w:rsidRPr="00B57B36" w:rsidRDefault="00565D99" w:rsidP="0044623B">
            <w:pPr>
              <w:pStyle w:val="CETBodytext"/>
              <w:ind w:right="-1"/>
              <w:rPr>
                <w:rFonts w:cs="Arial"/>
                <w:szCs w:val="18"/>
                <w:lang w:val="en-GB"/>
              </w:rPr>
            </w:pPr>
          </w:p>
        </w:tc>
        <w:tc>
          <w:tcPr>
            <w:tcW w:w="834" w:type="pct"/>
            <w:tcBorders>
              <w:bottom w:val="nil"/>
            </w:tcBorders>
            <w:shd w:val="clear" w:color="auto" w:fill="FFFFFF"/>
          </w:tcPr>
          <w:p w:rsidR="00565D99" w:rsidRPr="00783E37" w:rsidRDefault="0033143A" w:rsidP="0044623B">
            <w:pPr>
              <w:pStyle w:val="CETBodytext"/>
              <w:rPr>
                <w:vertAlign w:val="subscript"/>
              </w:rPr>
            </w:pPr>
            <w:r w:rsidRPr="00783E37">
              <w:t>r</w:t>
            </w:r>
            <w:r w:rsidRPr="00783E37">
              <w:rPr>
                <w:vertAlign w:val="subscript"/>
              </w:rPr>
              <w:t>p</w:t>
            </w:r>
          </w:p>
        </w:tc>
        <w:tc>
          <w:tcPr>
            <w:tcW w:w="834" w:type="pct"/>
            <w:tcBorders>
              <w:bottom w:val="nil"/>
            </w:tcBorders>
            <w:shd w:val="clear" w:color="auto" w:fill="FFFFFF"/>
          </w:tcPr>
          <w:p w:rsidR="00565D99" w:rsidRPr="00783E37" w:rsidRDefault="0033143A" w:rsidP="0044623B">
            <w:pPr>
              <w:pStyle w:val="CETBodytext"/>
              <w:rPr>
                <w:vertAlign w:val="superscript"/>
              </w:rPr>
            </w:pPr>
            <w:r w:rsidRPr="00783E37">
              <w:t>3.2x10</w:t>
            </w:r>
            <w:r w:rsidRPr="00783E37">
              <w:rPr>
                <w:vertAlign w:val="superscript"/>
              </w:rPr>
              <w:t>-4</w:t>
            </w:r>
          </w:p>
        </w:tc>
        <w:tc>
          <w:tcPr>
            <w:tcW w:w="833" w:type="pct"/>
            <w:tcBorders>
              <w:bottom w:val="nil"/>
            </w:tcBorders>
            <w:shd w:val="clear" w:color="auto" w:fill="FFFFFF"/>
          </w:tcPr>
          <w:p w:rsidR="00565D99" w:rsidRPr="00B57B36" w:rsidRDefault="00565D99" w:rsidP="0044623B">
            <w:pPr>
              <w:pStyle w:val="CETBodytext"/>
              <w:ind w:right="-1"/>
              <w:rPr>
                <w:rFonts w:cs="Arial"/>
                <w:szCs w:val="18"/>
                <w:lang w:val="en-GB"/>
              </w:rPr>
            </w:pPr>
          </w:p>
        </w:tc>
        <w:tc>
          <w:tcPr>
            <w:tcW w:w="833" w:type="pct"/>
            <w:tcBorders>
              <w:bottom w:val="nil"/>
            </w:tcBorders>
            <w:shd w:val="clear" w:color="auto" w:fill="FFFFFF"/>
          </w:tcPr>
          <w:p w:rsidR="00565D99" w:rsidRPr="00783E37" w:rsidRDefault="0033143A" w:rsidP="0044623B">
            <w:pPr>
              <w:pStyle w:val="CETBodytext"/>
              <w:rPr>
                <w:rFonts w:eastAsia="Calibri"/>
                <w:vertAlign w:val="subscript"/>
              </w:rPr>
            </w:pPr>
            <w:r w:rsidRPr="00783E37">
              <w:rPr>
                <w:rFonts w:ascii="Symbol" w:eastAsia="Calibri" w:hAnsi="Symbol"/>
              </w:rPr>
              <w:sym w:font="Symbol" w:char="F072"/>
            </w:r>
            <w:r w:rsidRPr="00783E37">
              <w:rPr>
                <w:rFonts w:eastAsia="Calibri"/>
                <w:vertAlign w:val="subscript"/>
              </w:rPr>
              <w:t>L</w:t>
            </w:r>
          </w:p>
        </w:tc>
        <w:tc>
          <w:tcPr>
            <w:tcW w:w="832" w:type="pct"/>
            <w:tcBorders>
              <w:bottom w:val="nil"/>
            </w:tcBorders>
            <w:shd w:val="clear" w:color="auto" w:fill="FFFFFF"/>
          </w:tcPr>
          <w:p w:rsidR="00565D99" w:rsidRPr="00783E37" w:rsidRDefault="0033143A" w:rsidP="0044623B">
            <w:pPr>
              <w:pStyle w:val="CETBodytext"/>
            </w:pPr>
            <w:r w:rsidRPr="00783E37">
              <w:t>1.01x10</w:t>
            </w:r>
            <w:r w:rsidRPr="00783E37">
              <w:rPr>
                <w:vertAlign w:val="superscript"/>
              </w:rPr>
              <w:t>-2</w:t>
            </w:r>
          </w:p>
        </w:tc>
      </w:tr>
      <w:tr w:rsidR="00980719" w:rsidTr="0044623B">
        <w:tc>
          <w:tcPr>
            <w:tcW w:w="834" w:type="pct"/>
            <w:tcBorders>
              <w:top w:val="nil"/>
              <w:bottom w:val="single" w:sz="6" w:space="0" w:color="538135"/>
            </w:tcBorders>
            <w:shd w:val="clear" w:color="auto" w:fill="FFFFFF"/>
          </w:tcPr>
          <w:p w:rsidR="00565D99" w:rsidRPr="00B57B36" w:rsidRDefault="00565D99" w:rsidP="0044623B">
            <w:pPr>
              <w:pStyle w:val="CETBodytext"/>
              <w:ind w:right="-1"/>
              <w:rPr>
                <w:rFonts w:cs="Arial"/>
                <w:szCs w:val="18"/>
                <w:lang w:val="en-GB"/>
              </w:rPr>
            </w:pPr>
          </w:p>
        </w:tc>
        <w:tc>
          <w:tcPr>
            <w:tcW w:w="834" w:type="pct"/>
            <w:tcBorders>
              <w:top w:val="nil"/>
              <w:bottom w:val="single" w:sz="6" w:space="0" w:color="538135"/>
            </w:tcBorders>
            <w:shd w:val="clear" w:color="auto" w:fill="FFFFFF"/>
          </w:tcPr>
          <w:p w:rsidR="00565D99" w:rsidRPr="00783E37" w:rsidRDefault="0033143A" w:rsidP="0044623B">
            <w:pPr>
              <w:pStyle w:val="CETBodytext"/>
            </w:pPr>
            <w:r w:rsidRPr="00783E37">
              <w:t>R</w:t>
            </w:r>
          </w:p>
        </w:tc>
        <w:tc>
          <w:tcPr>
            <w:tcW w:w="834" w:type="pct"/>
            <w:tcBorders>
              <w:top w:val="nil"/>
              <w:bottom w:val="single" w:sz="6" w:space="0" w:color="538135"/>
            </w:tcBorders>
            <w:shd w:val="clear" w:color="auto" w:fill="FFFFFF"/>
          </w:tcPr>
          <w:p w:rsidR="00565D99" w:rsidRPr="00783E37" w:rsidRDefault="0033143A" w:rsidP="0044623B">
            <w:pPr>
              <w:pStyle w:val="CETBodytext"/>
            </w:pPr>
            <w:r w:rsidRPr="00783E37">
              <w:t>1.0</w:t>
            </w:r>
          </w:p>
        </w:tc>
        <w:tc>
          <w:tcPr>
            <w:tcW w:w="833" w:type="pct"/>
            <w:tcBorders>
              <w:top w:val="nil"/>
              <w:bottom w:val="single" w:sz="6" w:space="0" w:color="538135"/>
            </w:tcBorders>
            <w:shd w:val="clear" w:color="auto" w:fill="FFFFFF"/>
          </w:tcPr>
          <w:p w:rsidR="00565D99" w:rsidRPr="00B57B36" w:rsidRDefault="00565D99" w:rsidP="0044623B">
            <w:pPr>
              <w:pStyle w:val="CETBodytext"/>
              <w:ind w:right="-1"/>
              <w:rPr>
                <w:rFonts w:cs="Arial"/>
                <w:szCs w:val="18"/>
                <w:lang w:val="en-GB"/>
              </w:rPr>
            </w:pPr>
          </w:p>
        </w:tc>
        <w:tc>
          <w:tcPr>
            <w:tcW w:w="833" w:type="pct"/>
            <w:tcBorders>
              <w:top w:val="nil"/>
              <w:bottom w:val="single" w:sz="6" w:space="0" w:color="538135"/>
            </w:tcBorders>
            <w:shd w:val="clear" w:color="auto" w:fill="FFFFFF"/>
          </w:tcPr>
          <w:p w:rsidR="00565D99" w:rsidRPr="00B57B36" w:rsidRDefault="00565D99" w:rsidP="0044623B">
            <w:pPr>
              <w:pStyle w:val="CETBodytext"/>
              <w:ind w:right="-1"/>
              <w:rPr>
                <w:rFonts w:cs="Arial"/>
                <w:szCs w:val="18"/>
                <w:lang w:val="en-GB"/>
              </w:rPr>
            </w:pPr>
          </w:p>
        </w:tc>
        <w:tc>
          <w:tcPr>
            <w:tcW w:w="832" w:type="pct"/>
            <w:tcBorders>
              <w:top w:val="nil"/>
              <w:bottom w:val="single" w:sz="6" w:space="0" w:color="538135"/>
            </w:tcBorders>
            <w:shd w:val="clear" w:color="auto" w:fill="FFFFFF"/>
          </w:tcPr>
          <w:p w:rsidR="00565D99" w:rsidRPr="00B57B36" w:rsidRDefault="00565D99" w:rsidP="0044623B">
            <w:pPr>
              <w:pStyle w:val="CETBodytext"/>
              <w:ind w:right="-1"/>
              <w:rPr>
                <w:rFonts w:cs="Arial"/>
                <w:szCs w:val="18"/>
                <w:lang w:val="en-GB"/>
              </w:rPr>
            </w:pPr>
          </w:p>
        </w:tc>
      </w:tr>
      <w:tr w:rsidR="00980719" w:rsidTr="0044623B">
        <w:tc>
          <w:tcPr>
            <w:tcW w:w="834" w:type="pct"/>
            <w:tcBorders>
              <w:top w:val="single" w:sz="6" w:space="0" w:color="538135"/>
            </w:tcBorders>
            <w:shd w:val="clear" w:color="auto" w:fill="FFFFFF"/>
          </w:tcPr>
          <w:p w:rsidR="00565D99" w:rsidRPr="00783E37" w:rsidRDefault="0033143A" w:rsidP="0044623B">
            <w:pPr>
              <w:pStyle w:val="CETBodytext"/>
              <w:rPr>
                <w:b/>
              </w:rPr>
            </w:pPr>
            <w:r w:rsidRPr="00783E37">
              <w:t xml:space="preserve">Properties of </w:t>
            </w:r>
          </w:p>
        </w:tc>
        <w:tc>
          <w:tcPr>
            <w:tcW w:w="834" w:type="pct"/>
            <w:tcBorders>
              <w:top w:val="single" w:sz="6" w:space="0" w:color="538135"/>
            </w:tcBorders>
            <w:shd w:val="clear" w:color="auto" w:fill="FFFFFF"/>
          </w:tcPr>
          <w:p w:rsidR="00565D99" w:rsidRPr="00783E37" w:rsidRDefault="0033143A" w:rsidP="0044623B">
            <w:pPr>
              <w:pStyle w:val="CETBodytext"/>
              <w:rPr>
                <w:b/>
                <w:vertAlign w:val="subscript"/>
              </w:rPr>
            </w:pPr>
            <w:r w:rsidRPr="00783E37">
              <w:t>C</w:t>
            </w:r>
            <w:r w:rsidRPr="00783E37">
              <w:rPr>
                <w:vertAlign w:val="subscript"/>
              </w:rPr>
              <w:t>p, g</w:t>
            </w:r>
          </w:p>
        </w:tc>
        <w:tc>
          <w:tcPr>
            <w:tcW w:w="834" w:type="pct"/>
            <w:tcBorders>
              <w:top w:val="single" w:sz="6" w:space="0" w:color="538135"/>
            </w:tcBorders>
            <w:shd w:val="clear" w:color="auto" w:fill="FFFFFF"/>
          </w:tcPr>
          <w:p w:rsidR="00565D99" w:rsidRPr="00783E37" w:rsidRDefault="0033143A" w:rsidP="0044623B">
            <w:pPr>
              <w:pStyle w:val="CETBodytext"/>
            </w:pPr>
            <w:r w:rsidRPr="00783E37">
              <w:t>2.101x10</w:t>
            </w:r>
            <w:r w:rsidRPr="00783E37">
              <w:rPr>
                <w:vertAlign w:val="superscript"/>
              </w:rPr>
              <w:t>-1</w:t>
            </w:r>
          </w:p>
        </w:tc>
        <w:tc>
          <w:tcPr>
            <w:tcW w:w="833" w:type="pct"/>
            <w:tcBorders>
              <w:top w:val="single" w:sz="6" w:space="0" w:color="538135"/>
            </w:tcBorders>
            <w:shd w:val="clear" w:color="auto" w:fill="FFFFFF"/>
          </w:tcPr>
          <w:p w:rsidR="00565D99" w:rsidRPr="00783E37" w:rsidRDefault="0033143A" w:rsidP="0044623B">
            <w:pPr>
              <w:pStyle w:val="CETBodytext"/>
              <w:rPr>
                <w:b/>
              </w:rPr>
            </w:pPr>
            <w:r w:rsidRPr="00783E37">
              <w:t>Properties of</w:t>
            </w:r>
          </w:p>
        </w:tc>
        <w:tc>
          <w:tcPr>
            <w:tcW w:w="833" w:type="pct"/>
            <w:tcBorders>
              <w:top w:val="single" w:sz="6" w:space="0" w:color="538135"/>
            </w:tcBorders>
            <w:shd w:val="clear" w:color="auto" w:fill="FFFFFF"/>
          </w:tcPr>
          <w:p w:rsidR="00565D99" w:rsidRPr="00783E37" w:rsidRDefault="0033143A" w:rsidP="0044623B">
            <w:pPr>
              <w:pStyle w:val="CETBodytext"/>
              <w:rPr>
                <w:rFonts w:eastAsia="Calibri"/>
                <w:vertAlign w:val="subscript"/>
              </w:rPr>
            </w:pPr>
            <w:r w:rsidRPr="00783E37">
              <w:rPr>
                <w:rFonts w:eastAsia="Calibri"/>
              </w:rPr>
              <w:t>C</w:t>
            </w:r>
            <w:r w:rsidRPr="00783E37">
              <w:rPr>
                <w:rFonts w:eastAsia="Calibri"/>
                <w:vertAlign w:val="subscript"/>
              </w:rPr>
              <w:t>p, s</w:t>
            </w:r>
          </w:p>
        </w:tc>
        <w:tc>
          <w:tcPr>
            <w:tcW w:w="832" w:type="pct"/>
            <w:tcBorders>
              <w:top w:val="single" w:sz="6" w:space="0" w:color="538135"/>
            </w:tcBorders>
            <w:shd w:val="clear" w:color="auto" w:fill="FFFFFF"/>
          </w:tcPr>
          <w:p w:rsidR="00565D99" w:rsidRPr="00783E37" w:rsidRDefault="0033143A" w:rsidP="0044623B">
            <w:pPr>
              <w:pStyle w:val="CETBodytext"/>
            </w:pPr>
            <w:r w:rsidRPr="00783E37">
              <w:t>2.00x10</w:t>
            </w:r>
            <w:r w:rsidRPr="00783E37">
              <w:rPr>
                <w:vertAlign w:val="superscript"/>
              </w:rPr>
              <w:t>3</w:t>
            </w:r>
          </w:p>
        </w:tc>
      </w:tr>
      <w:tr w:rsidR="00980719" w:rsidTr="0044623B">
        <w:tc>
          <w:tcPr>
            <w:tcW w:w="834" w:type="pct"/>
            <w:shd w:val="clear" w:color="auto" w:fill="FFFFFF"/>
          </w:tcPr>
          <w:p w:rsidR="00565D99" w:rsidRPr="00783E37" w:rsidRDefault="0033143A" w:rsidP="0044623B">
            <w:pPr>
              <w:pStyle w:val="CETBodytext"/>
              <w:rPr>
                <w:b/>
              </w:rPr>
            </w:pPr>
            <w:r w:rsidRPr="00783E37">
              <w:t>Gaseous phase</w:t>
            </w:r>
          </w:p>
        </w:tc>
        <w:tc>
          <w:tcPr>
            <w:tcW w:w="834" w:type="pct"/>
            <w:shd w:val="clear" w:color="auto" w:fill="FFFFFF"/>
          </w:tcPr>
          <w:p w:rsidR="00565D99" w:rsidRPr="00783E37" w:rsidRDefault="0033143A" w:rsidP="0044623B">
            <w:pPr>
              <w:pStyle w:val="CETBodytext"/>
              <w:rPr>
                <w:b/>
                <w:vertAlign w:val="subscript"/>
              </w:rPr>
            </w:pPr>
            <w:r w:rsidRPr="00783E37">
              <w:t>h</w:t>
            </w:r>
            <w:r w:rsidRPr="00783E37">
              <w:rPr>
                <w:vertAlign w:val="subscript"/>
              </w:rPr>
              <w:t>g</w:t>
            </w:r>
          </w:p>
        </w:tc>
        <w:tc>
          <w:tcPr>
            <w:tcW w:w="834" w:type="pct"/>
            <w:shd w:val="clear" w:color="auto" w:fill="FFFFFF"/>
          </w:tcPr>
          <w:p w:rsidR="00565D99" w:rsidRPr="00783E37" w:rsidRDefault="0033143A" w:rsidP="0044623B">
            <w:pPr>
              <w:pStyle w:val="CETBodytext"/>
            </w:pPr>
            <w:r w:rsidRPr="00783E37">
              <w:t>0.80</w:t>
            </w:r>
          </w:p>
        </w:tc>
        <w:tc>
          <w:tcPr>
            <w:tcW w:w="833" w:type="pct"/>
            <w:shd w:val="clear" w:color="auto" w:fill="FFFFFF"/>
          </w:tcPr>
          <w:p w:rsidR="00565D99" w:rsidRPr="00783E37" w:rsidRDefault="0033143A" w:rsidP="0044623B">
            <w:pPr>
              <w:pStyle w:val="CETBodytext"/>
              <w:rPr>
                <w:b/>
              </w:rPr>
            </w:pPr>
            <w:r w:rsidRPr="00783E37">
              <w:t>Solid phase</w:t>
            </w:r>
          </w:p>
        </w:tc>
        <w:tc>
          <w:tcPr>
            <w:tcW w:w="833" w:type="pct"/>
            <w:shd w:val="clear" w:color="auto" w:fill="FFFFFF"/>
          </w:tcPr>
          <w:p w:rsidR="00565D99" w:rsidRPr="00783E37" w:rsidRDefault="0033143A" w:rsidP="0044623B">
            <w:pPr>
              <w:pStyle w:val="CETBodytext"/>
              <w:rPr>
                <w:rFonts w:eastAsia="Calibri"/>
              </w:rPr>
            </w:pPr>
            <w:proofErr w:type="spellStart"/>
            <w:r w:rsidRPr="00783E37">
              <w:rPr>
                <w:rFonts w:eastAsia="Calibri"/>
              </w:rPr>
              <w:t>h</w:t>
            </w:r>
            <w:r w:rsidRPr="00783E37">
              <w:rPr>
                <w:rFonts w:eastAsia="Calibri"/>
                <w:vertAlign w:val="subscript"/>
              </w:rPr>
              <w:t>fp</w:t>
            </w:r>
            <w:proofErr w:type="spellEnd"/>
          </w:p>
        </w:tc>
        <w:tc>
          <w:tcPr>
            <w:tcW w:w="832" w:type="pct"/>
            <w:shd w:val="clear" w:color="auto" w:fill="FFFFFF"/>
          </w:tcPr>
          <w:p w:rsidR="00565D99" w:rsidRPr="00783E37" w:rsidRDefault="0033143A" w:rsidP="0044623B">
            <w:pPr>
              <w:pStyle w:val="CETBodytext"/>
            </w:pPr>
            <w:r w:rsidRPr="00783E37">
              <w:t>2.635x10</w:t>
            </w:r>
            <w:r w:rsidRPr="00783E37">
              <w:rPr>
                <w:vertAlign w:val="superscript"/>
              </w:rPr>
              <w:t>-2</w:t>
            </w:r>
          </w:p>
        </w:tc>
      </w:tr>
      <w:tr w:rsidR="00980719" w:rsidTr="0044623B">
        <w:tc>
          <w:tcPr>
            <w:tcW w:w="834" w:type="pct"/>
            <w:shd w:val="clear" w:color="auto" w:fill="FFFFFF"/>
          </w:tcPr>
          <w:p w:rsidR="00565D99" w:rsidRPr="00F0356E" w:rsidRDefault="00565D99" w:rsidP="0044623B">
            <w:pPr>
              <w:pStyle w:val="CETBodytext"/>
            </w:pPr>
          </w:p>
        </w:tc>
        <w:tc>
          <w:tcPr>
            <w:tcW w:w="834" w:type="pct"/>
            <w:shd w:val="clear" w:color="auto" w:fill="FFFFFF"/>
          </w:tcPr>
          <w:p w:rsidR="00565D99" w:rsidRPr="00783E37" w:rsidRDefault="0033143A" w:rsidP="0044623B">
            <w:pPr>
              <w:pStyle w:val="CETBodytext"/>
              <w:rPr>
                <w:b/>
              </w:rPr>
            </w:pPr>
            <w:r w:rsidRPr="00783E37">
              <w:t>V</w:t>
            </w:r>
            <w:r w:rsidRPr="00783E37">
              <w:rPr>
                <w:vertAlign w:val="subscript"/>
              </w:rPr>
              <w:t>s, g</w:t>
            </w:r>
          </w:p>
        </w:tc>
        <w:tc>
          <w:tcPr>
            <w:tcW w:w="834" w:type="pct"/>
            <w:shd w:val="clear" w:color="auto" w:fill="FFFFFF"/>
          </w:tcPr>
          <w:p w:rsidR="00565D99" w:rsidRPr="00783E37" w:rsidRDefault="0033143A" w:rsidP="0044623B">
            <w:pPr>
              <w:pStyle w:val="CETBodytext"/>
            </w:pPr>
            <w:r w:rsidRPr="00783E37">
              <w:t>29.46x10</w:t>
            </w:r>
            <w:r w:rsidRPr="00783E37">
              <w:rPr>
                <w:vertAlign w:val="superscript"/>
              </w:rPr>
              <w:t>-1</w:t>
            </w:r>
          </w:p>
        </w:tc>
        <w:tc>
          <w:tcPr>
            <w:tcW w:w="833" w:type="pct"/>
            <w:shd w:val="clear" w:color="auto" w:fill="FFFFFF"/>
          </w:tcPr>
          <w:p w:rsidR="00565D99" w:rsidRPr="00F0356E" w:rsidRDefault="00565D99" w:rsidP="0044623B">
            <w:pPr>
              <w:pStyle w:val="CETBodytext"/>
              <w:rPr>
                <w:b/>
              </w:rPr>
            </w:pPr>
          </w:p>
        </w:tc>
        <w:tc>
          <w:tcPr>
            <w:tcW w:w="833" w:type="pct"/>
            <w:shd w:val="clear" w:color="auto" w:fill="FFFFFF"/>
          </w:tcPr>
          <w:p w:rsidR="00565D99" w:rsidRPr="00783E37" w:rsidRDefault="0033143A" w:rsidP="0044623B">
            <w:pPr>
              <w:pStyle w:val="CETBodytext"/>
              <w:rPr>
                <w:rFonts w:eastAsia="Calibri"/>
                <w:vertAlign w:val="subscript"/>
              </w:rPr>
            </w:pPr>
            <w:r w:rsidRPr="00783E37">
              <w:rPr>
                <w:rFonts w:eastAsia="Calibri"/>
              </w:rPr>
              <w:t>ʎ</w:t>
            </w:r>
            <w:r w:rsidRPr="00783E37">
              <w:rPr>
                <w:rFonts w:eastAsia="Calibri"/>
                <w:vertAlign w:val="subscript"/>
              </w:rPr>
              <w:t>s</w:t>
            </w:r>
          </w:p>
        </w:tc>
        <w:tc>
          <w:tcPr>
            <w:tcW w:w="832" w:type="pct"/>
            <w:shd w:val="clear" w:color="auto" w:fill="FFFFFF"/>
          </w:tcPr>
          <w:p w:rsidR="00565D99" w:rsidRPr="00783E37" w:rsidRDefault="0033143A" w:rsidP="0044623B">
            <w:pPr>
              <w:pStyle w:val="CETBodytext"/>
              <w:rPr>
                <w:vertAlign w:val="superscript"/>
              </w:rPr>
            </w:pPr>
            <w:r w:rsidRPr="00783E37">
              <w:t>1.559x10</w:t>
            </w:r>
            <w:r w:rsidRPr="00783E37">
              <w:rPr>
                <w:vertAlign w:val="superscript"/>
              </w:rPr>
              <w:t>+2</w:t>
            </w:r>
          </w:p>
        </w:tc>
      </w:tr>
      <w:tr w:rsidR="00980719" w:rsidTr="0044623B">
        <w:tc>
          <w:tcPr>
            <w:tcW w:w="834" w:type="pct"/>
            <w:tcBorders>
              <w:bottom w:val="nil"/>
            </w:tcBorders>
            <w:shd w:val="clear" w:color="auto" w:fill="FFFFFF"/>
          </w:tcPr>
          <w:p w:rsidR="00565D99" w:rsidRPr="00F0356E" w:rsidRDefault="00565D99" w:rsidP="0044623B">
            <w:pPr>
              <w:pStyle w:val="CETBodytext"/>
              <w:rPr>
                <w:b/>
              </w:rPr>
            </w:pPr>
          </w:p>
        </w:tc>
        <w:tc>
          <w:tcPr>
            <w:tcW w:w="834" w:type="pct"/>
            <w:tcBorders>
              <w:bottom w:val="nil"/>
            </w:tcBorders>
            <w:shd w:val="clear" w:color="auto" w:fill="FFFFFF"/>
          </w:tcPr>
          <w:p w:rsidR="00565D99" w:rsidRPr="00783E37" w:rsidRDefault="0033143A" w:rsidP="0044623B">
            <w:pPr>
              <w:pStyle w:val="CETBodytext"/>
              <w:rPr>
                <w:b/>
                <w:vertAlign w:val="subscript"/>
              </w:rPr>
            </w:pPr>
            <w:r w:rsidRPr="00783E37">
              <w:t>ʎ</w:t>
            </w:r>
            <w:r w:rsidRPr="00783E37">
              <w:rPr>
                <w:vertAlign w:val="subscript"/>
              </w:rPr>
              <w:t>g</w:t>
            </w:r>
          </w:p>
        </w:tc>
        <w:tc>
          <w:tcPr>
            <w:tcW w:w="834" w:type="pct"/>
            <w:tcBorders>
              <w:bottom w:val="nil"/>
            </w:tcBorders>
            <w:shd w:val="clear" w:color="auto" w:fill="FFFFFF"/>
          </w:tcPr>
          <w:p w:rsidR="00565D99" w:rsidRPr="00783E37" w:rsidRDefault="0033143A" w:rsidP="0044623B">
            <w:pPr>
              <w:pStyle w:val="CETBodytext"/>
            </w:pPr>
            <w:r w:rsidRPr="00783E37">
              <w:t>0.0547</w:t>
            </w:r>
          </w:p>
        </w:tc>
        <w:tc>
          <w:tcPr>
            <w:tcW w:w="833" w:type="pct"/>
            <w:tcBorders>
              <w:bottom w:val="nil"/>
            </w:tcBorders>
            <w:shd w:val="clear" w:color="auto" w:fill="FFFFFF"/>
          </w:tcPr>
          <w:p w:rsidR="00565D99" w:rsidRPr="00F0356E" w:rsidRDefault="00565D99" w:rsidP="0044623B">
            <w:pPr>
              <w:pStyle w:val="CETBodytext"/>
              <w:rPr>
                <w:b/>
              </w:rPr>
            </w:pPr>
          </w:p>
        </w:tc>
        <w:tc>
          <w:tcPr>
            <w:tcW w:w="833" w:type="pct"/>
            <w:tcBorders>
              <w:bottom w:val="nil"/>
            </w:tcBorders>
            <w:shd w:val="clear" w:color="auto" w:fill="FFFFFF"/>
          </w:tcPr>
          <w:p w:rsidR="00565D99" w:rsidRPr="00783E37" w:rsidRDefault="0033143A" w:rsidP="0044623B">
            <w:pPr>
              <w:pStyle w:val="CETBodytext"/>
              <w:rPr>
                <w:rFonts w:eastAsia="Calibri"/>
                <w:vertAlign w:val="subscript"/>
              </w:rPr>
            </w:pPr>
            <w:r w:rsidRPr="00783E37">
              <w:rPr>
                <w:rFonts w:ascii="Symbol" w:eastAsia="Calibri" w:hAnsi="Symbol"/>
              </w:rPr>
              <w:sym w:font="Symbol" w:char="F072"/>
            </w:r>
            <w:r w:rsidRPr="00783E37">
              <w:rPr>
                <w:rFonts w:eastAsia="Calibri"/>
                <w:vertAlign w:val="subscript"/>
              </w:rPr>
              <w:t>s</w:t>
            </w:r>
          </w:p>
        </w:tc>
        <w:tc>
          <w:tcPr>
            <w:tcW w:w="832" w:type="pct"/>
            <w:tcBorders>
              <w:bottom w:val="nil"/>
            </w:tcBorders>
            <w:shd w:val="clear" w:color="auto" w:fill="FFFFFF"/>
          </w:tcPr>
          <w:p w:rsidR="00565D99" w:rsidRPr="00783E37" w:rsidRDefault="0033143A" w:rsidP="0044623B">
            <w:pPr>
              <w:pStyle w:val="CETBodytext"/>
            </w:pPr>
            <w:r w:rsidRPr="00783E37">
              <w:t>1.08x10</w:t>
            </w:r>
            <w:r w:rsidRPr="00783E37">
              <w:rPr>
                <w:vertAlign w:val="superscript"/>
              </w:rPr>
              <w:t>-1</w:t>
            </w:r>
          </w:p>
        </w:tc>
      </w:tr>
      <w:tr w:rsidR="00980719" w:rsidTr="0044623B">
        <w:tc>
          <w:tcPr>
            <w:tcW w:w="834" w:type="pct"/>
            <w:tcBorders>
              <w:top w:val="nil"/>
              <w:bottom w:val="single" w:sz="6" w:space="0" w:color="538135"/>
            </w:tcBorders>
            <w:shd w:val="clear" w:color="auto" w:fill="FFFFFF"/>
          </w:tcPr>
          <w:p w:rsidR="00565D99" w:rsidRPr="00F0356E" w:rsidRDefault="00565D99" w:rsidP="0044623B">
            <w:pPr>
              <w:pStyle w:val="CETBodytext"/>
              <w:rPr>
                <w:b/>
              </w:rPr>
            </w:pPr>
          </w:p>
        </w:tc>
        <w:tc>
          <w:tcPr>
            <w:tcW w:w="834" w:type="pct"/>
            <w:tcBorders>
              <w:top w:val="nil"/>
              <w:bottom w:val="single" w:sz="6" w:space="0" w:color="538135"/>
            </w:tcBorders>
            <w:shd w:val="clear" w:color="auto" w:fill="FFFFFF"/>
          </w:tcPr>
          <w:p w:rsidR="00565D99" w:rsidRPr="00783E37" w:rsidRDefault="0033143A" w:rsidP="0044623B">
            <w:pPr>
              <w:pStyle w:val="CETBodytext"/>
              <w:rPr>
                <w:vertAlign w:val="subscript"/>
              </w:rPr>
            </w:pPr>
            <w:r w:rsidRPr="00783E37">
              <w:rPr>
                <w:rFonts w:ascii="Symbol" w:hAnsi="Symbol"/>
              </w:rPr>
              <w:sym w:font="Symbol" w:char="F065"/>
            </w:r>
            <w:r w:rsidRPr="00783E37">
              <w:rPr>
                <w:vertAlign w:val="subscript"/>
              </w:rPr>
              <w:t>g</w:t>
            </w:r>
          </w:p>
        </w:tc>
        <w:tc>
          <w:tcPr>
            <w:tcW w:w="834" w:type="pct"/>
            <w:tcBorders>
              <w:top w:val="nil"/>
              <w:bottom w:val="single" w:sz="6" w:space="0" w:color="538135"/>
            </w:tcBorders>
            <w:shd w:val="clear" w:color="auto" w:fill="FFFFFF"/>
          </w:tcPr>
          <w:p w:rsidR="00565D99" w:rsidRPr="00783E37" w:rsidRDefault="0033143A" w:rsidP="0044623B">
            <w:pPr>
              <w:pStyle w:val="CETBodytext"/>
            </w:pPr>
            <w:r w:rsidRPr="00783E37">
              <w:t>0.47</w:t>
            </w:r>
          </w:p>
        </w:tc>
        <w:tc>
          <w:tcPr>
            <w:tcW w:w="833" w:type="pct"/>
            <w:tcBorders>
              <w:top w:val="nil"/>
              <w:bottom w:val="single" w:sz="6" w:space="0" w:color="538135"/>
            </w:tcBorders>
            <w:shd w:val="clear" w:color="auto" w:fill="FFFFFF"/>
          </w:tcPr>
          <w:p w:rsidR="00565D99" w:rsidRPr="00B57B36" w:rsidRDefault="00565D99" w:rsidP="0044623B">
            <w:pPr>
              <w:pStyle w:val="CETBodytext"/>
              <w:ind w:right="-1"/>
              <w:rPr>
                <w:rFonts w:cs="Arial"/>
                <w:szCs w:val="18"/>
                <w:lang w:val="en-GB"/>
              </w:rPr>
            </w:pPr>
          </w:p>
        </w:tc>
        <w:tc>
          <w:tcPr>
            <w:tcW w:w="833" w:type="pct"/>
            <w:tcBorders>
              <w:top w:val="nil"/>
              <w:bottom w:val="single" w:sz="6" w:space="0" w:color="538135"/>
            </w:tcBorders>
            <w:shd w:val="clear" w:color="auto" w:fill="FFFFFF"/>
          </w:tcPr>
          <w:p w:rsidR="00565D99" w:rsidRPr="00B57B36" w:rsidRDefault="00565D99" w:rsidP="0044623B">
            <w:pPr>
              <w:pStyle w:val="CETBodytext"/>
              <w:ind w:right="-1"/>
              <w:rPr>
                <w:rFonts w:cs="Arial"/>
                <w:szCs w:val="18"/>
                <w:lang w:val="en-GB"/>
              </w:rPr>
            </w:pPr>
          </w:p>
        </w:tc>
        <w:tc>
          <w:tcPr>
            <w:tcW w:w="832" w:type="pct"/>
            <w:tcBorders>
              <w:top w:val="nil"/>
              <w:bottom w:val="single" w:sz="6" w:space="0" w:color="538135"/>
            </w:tcBorders>
            <w:shd w:val="clear" w:color="auto" w:fill="FFFFFF"/>
          </w:tcPr>
          <w:p w:rsidR="00565D99" w:rsidRPr="00B57B36" w:rsidRDefault="00565D99" w:rsidP="0044623B">
            <w:pPr>
              <w:pStyle w:val="CETBodytext"/>
              <w:ind w:right="-1"/>
              <w:rPr>
                <w:rFonts w:cs="Arial"/>
                <w:szCs w:val="18"/>
                <w:lang w:val="en-GB"/>
              </w:rPr>
            </w:pPr>
          </w:p>
        </w:tc>
      </w:tr>
      <w:tr w:rsidR="00980719" w:rsidTr="0044623B">
        <w:tc>
          <w:tcPr>
            <w:tcW w:w="834" w:type="pct"/>
            <w:tcBorders>
              <w:top w:val="single" w:sz="6" w:space="0" w:color="538135"/>
              <w:bottom w:val="nil"/>
            </w:tcBorders>
            <w:shd w:val="clear" w:color="auto" w:fill="FFFFFF"/>
          </w:tcPr>
          <w:p w:rsidR="00565D99" w:rsidRPr="00783E37" w:rsidRDefault="0033143A" w:rsidP="0044623B">
            <w:pPr>
              <w:pStyle w:val="CETBodytext"/>
            </w:pPr>
            <w:r w:rsidRPr="00783E37">
              <w:t>Initial</w:t>
            </w:r>
          </w:p>
        </w:tc>
        <w:tc>
          <w:tcPr>
            <w:tcW w:w="834" w:type="pct"/>
            <w:tcBorders>
              <w:top w:val="single" w:sz="6" w:space="0" w:color="538135"/>
              <w:bottom w:val="nil"/>
            </w:tcBorders>
            <w:shd w:val="clear" w:color="auto" w:fill="FFFFFF"/>
          </w:tcPr>
          <w:p w:rsidR="00565D99" w:rsidRPr="00783E37" w:rsidRDefault="0033143A" w:rsidP="0044623B">
            <w:pPr>
              <w:pStyle w:val="CETBodytext"/>
              <w:rPr>
                <w:vertAlign w:val="superscript"/>
              </w:rPr>
            </w:pPr>
            <w:r w:rsidRPr="00783E37">
              <w:t>C</w:t>
            </w:r>
            <w:r w:rsidRPr="00783E37">
              <w:rPr>
                <w:vertAlign w:val="superscript"/>
              </w:rPr>
              <w:t>0</w:t>
            </w:r>
            <w:r w:rsidRPr="00783E37">
              <w:rPr>
                <w:vertAlign w:val="subscript"/>
              </w:rPr>
              <w:t>C7H8</w:t>
            </w:r>
          </w:p>
        </w:tc>
        <w:tc>
          <w:tcPr>
            <w:tcW w:w="834" w:type="pct"/>
            <w:tcBorders>
              <w:top w:val="single" w:sz="6" w:space="0" w:color="538135"/>
              <w:bottom w:val="nil"/>
            </w:tcBorders>
            <w:shd w:val="clear" w:color="auto" w:fill="FFFFFF"/>
          </w:tcPr>
          <w:p w:rsidR="00565D99" w:rsidRPr="00783E37" w:rsidRDefault="0033143A" w:rsidP="0044623B">
            <w:pPr>
              <w:pStyle w:val="CETBodytext"/>
            </w:pPr>
            <w:r w:rsidRPr="00783E37">
              <w:t>0.20</w:t>
            </w:r>
          </w:p>
        </w:tc>
        <w:tc>
          <w:tcPr>
            <w:tcW w:w="833" w:type="pct"/>
            <w:tcBorders>
              <w:top w:val="single" w:sz="6" w:space="0" w:color="538135"/>
              <w:bottom w:val="nil"/>
            </w:tcBorders>
            <w:shd w:val="clear" w:color="auto" w:fill="FFFFFF"/>
          </w:tcPr>
          <w:p w:rsidR="00565D99" w:rsidRPr="00783E37" w:rsidRDefault="0033143A" w:rsidP="0044623B">
            <w:pPr>
              <w:pStyle w:val="CETBodytext"/>
            </w:pPr>
            <w:r w:rsidRPr="00783E37">
              <w:t xml:space="preserve">Diffusion </w:t>
            </w:r>
          </w:p>
        </w:tc>
        <w:tc>
          <w:tcPr>
            <w:tcW w:w="833" w:type="pct"/>
            <w:tcBorders>
              <w:top w:val="single" w:sz="6" w:space="0" w:color="538135"/>
              <w:bottom w:val="nil"/>
            </w:tcBorders>
            <w:shd w:val="clear" w:color="auto" w:fill="FFFFFF"/>
          </w:tcPr>
          <w:p w:rsidR="00565D99" w:rsidRPr="00783E37" w:rsidRDefault="0033143A" w:rsidP="0044623B">
            <w:pPr>
              <w:pStyle w:val="CETBodytext"/>
              <w:rPr>
                <w:rFonts w:eastAsia="Calibri"/>
              </w:rPr>
            </w:pPr>
            <w:r w:rsidRPr="00783E37">
              <w:t>D</w:t>
            </w:r>
            <w:r w:rsidRPr="00783E37">
              <w:rPr>
                <w:vertAlign w:val="subscript"/>
              </w:rPr>
              <w:t>C7H8</w:t>
            </w:r>
          </w:p>
        </w:tc>
        <w:tc>
          <w:tcPr>
            <w:tcW w:w="832" w:type="pct"/>
            <w:tcBorders>
              <w:top w:val="single" w:sz="6" w:space="0" w:color="538135"/>
              <w:bottom w:val="nil"/>
            </w:tcBorders>
            <w:shd w:val="clear" w:color="auto" w:fill="FFFFFF"/>
          </w:tcPr>
          <w:p w:rsidR="00565D99" w:rsidRPr="00783E37" w:rsidRDefault="0033143A" w:rsidP="0044623B">
            <w:pPr>
              <w:pStyle w:val="CETBodytext"/>
              <w:rPr>
                <w:vertAlign w:val="superscript"/>
              </w:rPr>
            </w:pPr>
            <w:r w:rsidRPr="00783E37">
              <w:t>5.566x10</w:t>
            </w:r>
            <w:r w:rsidRPr="00783E37">
              <w:rPr>
                <w:vertAlign w:val="superscript"/>
              </w:rPr>
              <w:t>-2</w:t>
            </w:r>
          </w:p>
        </w:tc>
      </w:tr>
      <w:tr w:rsidR="00980719" w:rsidTr="0044623B">
        <w:tc>
          <w:tcPr>
            <w:tcW w:w="834" w:type="pct"/>
            <w:tcBorders>
              <w:top w:val="nil"/>
              <w:bottom w:val="nil"/>
            </w:tcBorders>
            <w:shd w:val="clear" w:color="auto" w:fill="FFFFFF"/>
          </w:tcPr>
          <w:p w:rsidR="00565D99" w:rsidRPr="00783E37" w:rsidRDefault="0033143A" w:rsidP="0044623B">
            <w:pPr>
              <w:pStyle w:val="CETBodytext"/>
              <w:rPr>
                <w:b/>
              </w:rPr>
            </w:pPr>
            <w:r w:rsidRPr="00783E37">
              <w:t>Concentration</w:t>
            </w:r>
          </w:p>
        </w:tc>
        <w:tc>
          <w:tcPr>
            <w:tcW w:w="834" w:type="pct"/>
            <w:tcBorders>
              <w:top w:val="nil"/>
              <w:bottom w:val="nil"/>
            </w:tcBorders>
            <w:shd w:val="clear" w:color="auto" w:fill="FFFFFF"/>
          </w:tcPr>
          <w:p w:rsidR="00565D99" w:rsidRPr="00783E37" w:rsidRDefault="0033143A" w:rsidP="0044623B">
            <w:pPr>
              <w:pStyle w:val="CETBodytext"/>
            </w:pPr>
            <w:r w:rsidRPr="00783E37">
              <w:t>C</w:t>
            </w:r>
            <w:r w:rsidRPr="00783E37">
              <w:rPr>
                <w:vertAlign w:val="superscript"/>
              </w:rPr>
              <w:t>0</w:t>
            </w:r>
            <w:r w:rsidRPr="00783E37">
              <w:rPr>
                <w:vertAlign w:val="subscript"/>
              </w:rPr>
              <w:t>CH4</w:t>
            </w:r>
          </w:p>
        </w:tc>
        <w:tc>
          <w:tcPr>
            <w:tcW w:w="834" w:type="pct"/>
            <w:tcBorders>
              <w:top w:val="nil"/>
              <w:bottom w:val="nil"/>
            </w:tcBorders>
            <w:shd w:val="clear" w:color="auto" w:fill="FFFFFF"/>
          </w:tcPr>
          <w:p w:rsidR="00565D99" w:rsidRPr="00783E37" w:rsidRDefault="0033143A" w:rsidP="0044623B">
            <w:pPr>
              <w:pStyle w:val="CETBodytext"/>
            </w:pPr>
            <w:r w:rsidRPr="00783E37">
              <w:t>0.36</w:t>
            </w:r>
          </w:p>
        </w:tc>
        <w:tc>
          <w:tcPr>
            <w:tcW w:w="833" w:type="pct"/>
            <w:tcBorders>
              <w:top w:val="nil"/>
              <w:bottom w:val="nil"/>
            </w:tcBorders>
            <w:shd w:val="clear" w:color="auto" w:fill="FFFFFF"/>
          </w:tcPr>
          <w:p w:rsidR="00565D99" w:rsidRPr="00783E37" w:rsidRDefault="0033143A" w:rsidP="0044623B">
            <w:pPr>
              <w:pStyle w:val="CETBodytext"/>
              <w:rPr>
                <w:b/>
              </w:rPr>
            </w:pPr>
            <w:r w:rsidRPr="00783E37">
              <w:t>Coefficient</w:t>
            </w:r>
          </w:p>
        </w:tc>
        <w:tc>
          <w:tcPr>
            <w:tcW w:w="833" w:type="pct"/>
            <w:tcBorders>
              <w:top w:val="nil"/>
              <w:bottom w:val="nil"/>
            </w:tcBorders>
            <w:shd w:val="clear" w:color="auto" w:fill="FFFFFF"/>
          </w:tcPr>
          <w:p w:rsidR="00565D99" w:rsidRPr="00783E37" w:rsidRDefault="0033143A" w:rsidP="0044623B">
            <w:pPr>
              <w:pStyle w:val="CETBodytext"/>
              <w:rPr>
                <w:rFonts w:eastAsia="Calibri"/>
              </w:rPr>
            </w:pPr>
            <w:r w:rsidRPr="00783E37">
              <w:t>D</w:t>
            </w:r>
            <w:r w:rsidRPr="00783E37">
              <w:rPr>
                <w:vertAlign w:val="subscript"/>
              </w:rPr>
              <w:t>CH4</w:t>
            </w:r>
          </w:p>
        </w:tc>
        <w:tc>
          <w:tcPr>
            <w:tcW w:w="832" w:type="pct"/>
            <w:tcBorders>
              <w:top w:val="nil"/>
              <w:bottom w:val="nil"/>
            </w:tcBorders>
            <w:shd w:val="clear" w:color="auto" w:fill="FFFFFF"/>
          </w:tcPr>
          <w:p w:rsidR="00565D99" w:rsidRPr="00783E37" w:rsidRDefault="0033143A" w:rsidP="0044623B">
            <w:pPr>
              <w:pStyle w:val="CETBodytext"/>
              <w:rPr>
                <w:vertAlign w:val="superscript"/>
              </w:rPr>
            </w:pPr>
            <w:r w:rsidRPr="00783E37">
              <w:t>5.005x10</w:t>
            </w:r>
            <w:r w:rsidRPr="00783E37">
              <w:rPr>
                <w:vertAlign w:val="superscript"/>
              </w:rPr>
              <w:t>-2</w:t>
            </w:r>
          </w:p>
        </w:tc>
      </w:tr>
      <w:tr w:rsidR="00980719" w:rsidTr="0044623B">
        <w:tc>
          <w:tcPr>
            <w:tcW w:w="834" w:type="pct"/>
            <w:tcBorders>
              <w:top w:val="nil"/>
              <w:bottom w:val="nil"/>
            </w:tcBorders>
            <w:shd w:val="clear" w:color="auto" w:fill="FFFFFF"/>
          </w:tcPr>
          <w:p w:rsidR="00565D99" w:rsidRPr="00F0356E" w:rsidRDefault="00565D99" w:rsidP="0044623B">
            <w:pPr>
              <w:pStyle w:val="CETBodytext"/>
              <w:rPr>
                <w:b/>
              </w:rPr>
            </w:pPr>
          </w:p>
        </w:tc>
        <w:tc>
          <w:tcPr>
            <w:tcW w:w="834" w:type="pct"/>
            <w:tcBorders>
              <w:top w:val="nil"/>
              <w:bottom w:val="nil"/>
            </w:tcBorders>
            <w:shd w:val="clear" w:color="auto" w:fill="FFFFFF"/>
          </w:tcPr>
          <w:p w:rsidR="00565D99" w:rsidRPr="00783E37" w:rsidRDefault="0033143A" w:rsidP="0044623B">
            <w:pPr>
              <w:pStyle w:val="CETBodytext"/>
            </w:pPr>
            <w:r w:rsidRPr="00783E37">
              <w:t>C</w:t>
            </w:r>
            <w:r w:rsidRPr="00783E37">
              <w:rPr>
                <w:vertAlign w:val="superscript"/>
              </w:rPr>
              <w:t>0</w:t>
            </w:r>
            <w:r w:rsidRPr="00783E37">
              <w:rPr>
                <w:vertAlign w:val="subscript"/>
              </w:rPr>
              <w:t>H2O</w:t>
            </w:r>
          </w:p>
        </w:tc>
        <w:tc>
          <w:tcPr>
            <w:tcW w:w="834" w:type="pct"/>
            <w:tcBorders>
              <w:top w:val="nil"/>
              <w:bottom w:val="nil"/>
            </w:tcBorders>
            <w:shd w:val="clear" w:color="auto" w:fill="FFFFFF"/>
          </w:tcPr>
          <w:p w:rsidR="00565D99" w:rsidRPr="00783E37" w:rsidRDefault="0033143A" w:rsidP="0044623B">
            <w:pPr>
              <w:pStyle w:val="CETBodytext"/>
            </w:pPr>
            <w:r w:rsidRPr="00783E37">
              <w:t>0.60</w:t>
            </w:r>
          </w:p>
        </w:tc>
        <w:tc>
          <w:tcPr>
            <w:tcW w:w="833" w:type="pct"/>
            <w:tcBorders>
              <w:top w:val="nil"/>
              <w:bottom w:val="nil"/>
            </w:tcBorders>
            <w:shd w:val="clear" w:color="auto" w:fill="FFFFFF"/>
          </w:tcPr>
          <w:p w:rsidR="00565D99" w:rsidRPr="00F0356E" w:rsidRDefault="00565D99" w:rsidP="0044623B">
            <w:pPr>
              <w:pStyle w:val="CETBodytext"/>
              <w:rPr>
                <w:b/>
              </w:rPr>
            </w:pPr>
          </w:p>
        </w:tc>
        <w:tc>
          <w:tcPr>
            <w:tcW w:w="833" w:type="pct"/>
            <w:tcBorders>
              <w:top w:val="nil"/>
              <w:bottom w:val="nil"/>
            </w:tcBorders>
            <w:shd w:val="clear" w:color="auto" w:fill="FFFFFF"/>
          </w:tcPr>
          <w:p w:rsidR="00565D99" w:rsidRPr="00783E37" w:rsidRDefault="0033143A" w:rsidP="0044623B">
            <w:pPr>
              <w:pStyle w:val="CETBodytext"/>
              <w:rPr>
                <w:rFonts w:eastAsia="Calibri"/>
              </w:rPr>
            </w:pPr>
            <w:r w:rsidRPr="00783E37">
              <w:t>D</w:t>
            </w:r>
            <w:r w:rsidRPr="00783E37">
              <w:rPr>
                <w:vertAlign w:val="subscript"/>
              </w:rPr>
              <w:t>H2O</w:t>
            </w:r>
          </w:p>
        </w:tc>
        <w:tc>
          <w:tcPr>
            <w:tcW w:w="832" w:type="pct"/>
            <w:tcBorders>
              <w:top w:val="nil"/>
              <w:bottom w:val="nil"/>
            </w:tcBorders>
            <w:shd w:val="clear" w:color="auto" w:fill="FFFFFF"/>
          </w:tcPr>
          <w:p w:rsidR="00565D99" w:rsidRPr="00783E37" w:rsidRDefault="0033143A" w:rsidP="0044623B">
            <w:pPr>
              <w:pStyle w:val="CETBodytext"/>
              <w:rPr>
                <w:vertAlign w:val="superscript"/>
              </w:rPr>
            </w:pPr>
            <w:r w:rsidRPr="00783E37">
              <w:t>7.061x10</w:t>
            </w:r>
            <w:r w:rsidRPr="00783E37">
              <w:rPr>
                <w:vertAlign w:val="superscript"/>
              </w:rPr>
              <w:t>-1</w:t>
            </w:r>
          </w:p>
        </w:tc>
      </w:tr>
      <w:tr w:rsidR="00980719" w:rsidTr="0044623B">
        <w:tc>
          <w:tcPr>
            <w:tcW w:w="834" w:type="pct"/>
            <w:tcBorders>
              <w:top w:val="nil"/>
              <w:bottom w:val="nil"/>
            </w:tcBorders>
            <w:shd w:val="clear" w:color="auto" w:fill="FFFFFF"/>
          </w:tcPr>
          <w:p w:rsidR="00565D99" w:rsidRPr="00F0356E" w:rsidRDefault="00565D99" w:rsidP="0044623B">
            <w:pPr>
              <w:pStyle w:val="CETBodytext"/>
              <w:rPr>
                <w:b/>
              </w:rPr>
            </w:pPr>
          </w:p>
        </w:tc>
        <w:tc>
          <w:tcPr>
            <w:tcW w:w="834" w:type="pct"/>
            <w:tcBorders>
              <w:top w:val="nil"/>
              <w:bottom w:val="nil"/>
            </w:tcBorders>
            <w:shd w:val="clear" w:color="auto" w:fill="FFFFFF"/>
          </w:tcPr>
          <w:p w:rsidR="00565D99" w:rsidRPr="00783E37" w:rsidRDefault="0033143A" w:rsidP="0044623B">
            <w:pPr>
              <w:pStyle w:val="CETBodytext"/>
            </w:pPr>
            <w:r w:rsidRPr="00783E37">
              <w:t>C</w:t>
            </w:r>
            <w:r w:rsidRPr="00783E37">
              <w:rPr>
                <w:vertAlign w:val="superscript"/>
              </w:rPr>
              <w:t>0</w:t>
            </w:r>
            <w:r w:rsidRPr="00783E37">
              <w:rPr>
                <w:vertAlign w:val="subscript"/>
              </w:rPr>
              <w:t>CO</w:t>
            </w:r>
          </w:p>
        </w:tc>
        <w:tc>
          <w:tcPr>
            <w:tcW w:w="834" w:type="pct"/>
            <w:tcBorders>
              <w:top w:val="nil"/>
              <w:bottom w:val="nil"/>
            </w:tcBorders>
            <w:shd w:val="clear" w:color="auto" w:fill="FFFFFF"/>
          </w:tcPr>
          <w:p w:rsidR="00565D99" w:rsidRPr="00783E37" w:rsidRDefault="0033143A" w:rsidP="0044623B">
            <w:pPr>
              <w:pStyle w:val="CETBodytext"/>
            </w:pPr>
            <w:r w:rsidRPr="00783E37">
              <w:t>0.00</w:t>
            </w:r>
          </w:p>
        </w:tc>
        <w:tc>
          <w:tcPr>
            <w:tcW w:w="833" w:type="pct"/>
            <w:tcBorders>
              <w:top w:val="nil"/>
              <w:bottom w:val="nil"/>
            </w:tcBorders>
            <w:shd w:val="clear" w:color="auto" w:fill="FFFFFF"/>
          </w:tcPr>
          <w:p w:rsidR="00565D99" w:rsidRPr="00F0356E" w:rsidRDefault="00565D99" w:rsidP="0044623B">
            <w:pPr>
              <w:pStyle w:val="CETBodytext"/>
              <w:rPr>
                <w:b/>
              </w:rPr>
            </w:pPr>
          </w:p>
        </w:tc>
        <w:tc>
          <w:tcPr>
            <w:tcW w:w="833" w:type="pct"/>
            <w:tcBorders>
              <w:top w:val="nil"/>
              <w:bottom w:val="nil"/>
            </w:tcBorders>
            <w:shd w:val="clear" w:color="auto" w:fill="FFFFFF"/>
          </w:tcPr>
          <w:p w:rsidR="00565D99" w:rsidRPr="00783E37" w:rsidRDefault="0033143A" w:rsidP="0044623B">
            <w:pPr>
              <w:pStyle w:val="CETBodytext"/>
              <w:rPr>
                <w:rFonts w:eastAsia="Calibri"/>
              </w:rPr>
            </w:pPr>
            <w:r w:rsidRPr="00783E37">
              <w:t>D</w:t>
            </w:r>
            <w:r w:rsidRPr="00783E37">
              <w:rPr>
                <w:vertAlign w:val="subscript"/>
              </w:rPr>
              <w:t>CO</w:t>
            </w:r>
          </w:p>
        </w:tc>
        <w:tc>
          <w:tcPr>
            <w:tcW w:w="832" w:type="pct"/>
            <w:tcBorders>
              <w:top w:val="nil"/>
              <w:bottom w:val="nil"/>
            </w:tcBorders>
            <w:shd w:val="clear" w:color="auto" w:fill="FFFFFF"/>
          </w:tcPr>
          <w:p w:rsidR="00565D99" w:rsidRPr="00783E37" w:rsidRDefault="0033143A" w:rsidP="0044623B">
            <w:pPr>
              <w:pStyle w:val="CETBodytext"/>
              <w:rPr>
                <w:vertAlign w:val="superscript"/>
              </w:rPr>
            </w:pPr>
            <w:r w:rsidRPr="00783E37">
              <w:t>3.982x10</w:t>
            </w:r>
            <w:r w:rsidRPr="00783E37">
              <w:rPr>
                <w:vertAlign w:val="superscript"/>
              </w:rPr>
              <w:t>-1</w:t>
            </w:r>
          </w:p>
        </w:tc>
      </w:tr>
      <w:tr w:rsidR="00980719" w:rsidTr="00C470E1">
        <w:trPr>
          <w:trHeight w:val="99"/>
        </w:trPr>
        <w:tc>
          <w:tcPr>
            <w:tcW w:w="834" w:type="pct"/>
            <w:tcBorders>
              <w:top w:val="nil"/>
            </w:tcBorders>
            <w:shd w:val="clear" w:color="auto" w:fill="FFFFFF"/>
          </w:tcPr>
          <w:p w:rsidR="00565D99" w:rsidRPr="00F0356E" w:rsidRDefault="00565D99" w:rsidP="0044623B">
            <w:pPr>
              <w:pStyle w:val="CETBodytext"/>
              <w:rPr>
                <w:b/>
              </w:rPr>
            </w:pPr>
          </w:p>
        </w:tc>
        <w:tc>
          <w:tcPr>
            <w:tcW w:w="834" w:type="pct"/>
            <w:tcBorders>
              <w:top w:val="nil"/>
            </w:tcBorders>
            <w:shd w:val="clear" w:color="auto" w:fill="FFFFFF"/>
          </w:tcPr>
          <w:p w:rsidR="00565D99" w:rsidRPr="00783E37" w:rsidRDefault="0033143A" w:rsidP="0044623B">
            <w:pPr>
              <w:pStyle w:val="CETBodytext"/>
            </w:pPr>
            <w:r w:rsidRPr="00783E37">
              <w:t>C</w:t>
            </w:r>
            <w:r w:rsidRPr="00783E37">
              <w:rPr>
                <w:vertAlign w:val="superscript"/>
              </w:rPr>
              <w:t>0</w:t>
            </w:r>
            <w:r w:rsidRPr="00783E37">
              <w:rPr>
                <w:vertAlign w:val="subscript"/>
              </w:rPr>
              <w:t>CO2</w:t>
            </w:r>
          </w:p>
        </w:tc>
        <w:tc>
          <w:tcPr>
            <w:tcW w:w="834" w:type="pct"/>
            <w:tcBorders>
              <w:top w:val="nil"/>
            </w:tcBorders>
            <w:shd w:val="clear" w:color="auto" w:fill="FFFFFF"/>
          </w:tcPr>
          <w:p w:rsidR="00565D99" w:rsidRPr="00783E37" w:rsidRDefault="0033143A" w:rsidP="0044623B">
            <w:pPr>
              <w:pStyle w:val="CETBodytext"/>
            </w:pPr>
            <w:r w:rsidRPr="00783E37">
              <w:t>0.00</w:t>
            </w:r>
          </w:p>
        </w:tc>
        <w:tc>
          <w:tcPr>
            <w:tcW w:w="833" w:type="pct"/>
            <w:tcBorders>
              <w:top w:val="nil"/>
            </w:tcBorders>
            <w:shd w:val="clear" w:color="auto" w:fill="FFFFFF"/>
          </w:tcPr>
          <w:p w:rsidR="00565D99" w:rsidRPr="00F0356E" w:rsidRDefault="00565D99" w:rsidP="0044623B">
            <w:pPr>
              <w:pStyle w:val="CETBodytext"/>
              <w:rPr>
                <w:b/>
              </w:rPr>
            </w:pPr>
          </w:p>
        </w:tc>
        <w:tc>
          <w:tcPr>
            <w:tcW w:w="833" w:type="pct"/>
            <w:tcBorders>
              <w:top w:val="nil"/>
            </w:tcBorders>
            <w:shd w:val="clear" w:color="auto" w:fill="FFFFFF"/>
          </w:tcPr>
          <w:p w:rsidR="00565D99" w:rsidRPr="00783E37" w:rsidRDefault="0033143A" w:rsidP="0044623B">
            <w:pPr>
              <w:pStyle w:val="CETBodytext"/>
              <w:rPr>
                <w:rFonts w:eastAsia="Calibri"/>
              </w:rPr>
            </w:pPr>
            <w:r w:rsidRPr="00783E37">
              <w:t>D</w:t>
            </w:r>
            <w:r w:rsidRPr="00783E37">
              <w:rPr>
                <w:vertAlign w:val="subscript"/>
              </w:rPr>
              <w:t>CO2</w:t>
            </w:r>
          </w:p>
        </w:tc>
        <w:tc>
          <w:tcPr>
            <w:tcW w:w="832" w:type="pct"/>
            <w:tcBorders>
              <w:top w:val="nil"/>
            </w:tcBorders>
            <w:shd w:val="clear" w:color="auto" w:fill="FFFFFF"/>
          </w:tcPr>
          <w:p w:rsidR="00565D99" w:rsidRPr="00783E37" w:rsidRDefault="0033143A" w:rsidP="0044623B">
            <w:pPr>
              <w:pStyle w:val="CETBodytext"/>
              <w:rPr>
                <w:vertAlign w:val="superscript"/>
              </w:rPr>
            </w:pPr>
            <w:r w:rsidRPr="00783E37">
              <w:t>3.000x10</w:t>
            </w:r>
            <w:r w:rsidRPr="00783E37">
              <w:rPr>
                <w:vertAlign w:val="superscript"/>
              </w:rPr>
              <w:t>-2</w:t>
            </w:r>
          </w:p>
        </w:tc>
      </w:tr>
      <w:tr w:rsidR="00980719" w:rsidTr="0044623B">
        <w:tc>
          <w:tcPr>
            <w:tcW w:w="834" w:type="pct"/>
            <w:shd w:val="clear" w:color="auto" w:fill="FFFFFF"/>
          </w:tcPr>
          <w:p w:rsidR="00565D99" w:rsidRPr="00B57B36" w:rsidRDefault="00565D99" w:rsidP="0044623B">
            <w:pPr>
              <w:pStyle w:val="CETBodytext"/>
              <w:ind w:right="-1"/>
              <w:rPr>
                <w:rFonts w:cs="Arial"/>
                <w:szCs w:val="18"/>
                <w:lang w:val="en-GB"/>
              </w:rPr>
            </w:pPr>
          </w:p>
        </w:tc>
        <w:tc>
          <w:tcPr>
            <w:tcW w:w="834" w:type="pct"/>
            <w:shd w:val="clear" w:color="auto" w:fill="FFFFFF"/>
          </w:tcPr>
          <w:p w:rsidR="00565D99" w:rsidRPr="00783E37" w:rsidRDefault="0033143A" w:rsidP="0044623B">
            <w:pPr>
              <w:pStyle w:val="CETBodytext"/>
            </w:pPr>
            <w:r w:rsidRPr="00783E37">
              <w:t>C</w:t>
            </w:r>
            <w:r w:rsidRPr="00783E37">
              <w:rPr>
                <w:vertAlign w:val="superscript"/>
              </w:rPr>
              <w:t>0</w:t>
            </w:r>
            <w:r w:rsidRPr="00783E37">
              <w:rPr>
                <w:vertAlign w:val="subscript"/>
              </w:rPr>
              <w:t>H2</w:t>
            </w:r>
          </w:p>
        </w:tc>
        <w:tc>
          <w:tcPr>
            <w:tcW w:w="834" w:type="pct"/>
            <w:shd w:val="clear" w:color="auto" w:fill="FFFFFF"/>
          </w:tcPr>
          <w:p w:rsidR="00565D99" w:rsidRPr="00783E37" w:rsidRDefault="0033143A" w:rsidP="0044623B">
            <w:pPr>
              <w:pStyle w:val="CETBodytext"/>
            </w:pPr>
            <w:r w:rsidRPr="00783E37">
              <w:t>0.00</w:t>
            </w:r>
          </w:p>
        </w:tc>
        <w:tc>
          <w:tcPr>
            <w:tcW w:w="833" w:type="pct"/>
            <w:shd w:val="clear" w:color="auto" w:fill="FFFFFF"/>
          </w:tcPr>
          <w:p w:rsidR="00565D99" w:rsidRPr="00F0356E" w:rsidRDefault="00565D99" w:rsidP="0044623B">
            <w:pPr>
              <w:pStyle w:val="CETBodytext"/>
              <w:rPr>
                <w:b/>
              </w:rPr>
            </w:pPr>
          </w:p>
        </w:tc>
        <w:tc>
          <w:tcPr>
            <w:tcW w:w="833" w:type="pct"/>
            <w:shd w:val="clear" w:color="auto" w:fill="FFFFFF"/>
          </w:tcPr>
          <w:p w:rsidR="00565D99" w:rsidRPr="00783E37" w:rsidRDefault="0033143A" w:rsidP="0044623B">
            <w:pPr>
              <w:pStyle w:val="CETBodytext"/>
              <w:rPr>
                <w:rFonts w:eastAsia="Calibri"/>
              </w:rPr>
            </w:pPr>
            <w:r w:rsidRPr="00783E37">
              <w:t>D</w:t>
            </w:r>
            <w:r w:rsidRPr="00783E37">
              <w:rPr>
                <w:vertAlign w:val="subscript"/>
              </w:rPr>
              <w:t>H2</w:t>
            </w:r>
          </w:p>
        </w:tc>
        <w:tc>
          <w:tcPr>
            <w:tcW w:w="832" w:type="pct"/>
            <w:shd w:val="clear" w:color="auto" w:fill="FFFFFF"/>
          </w:tcPr>
          <w:p w:rsidR="00565D99" w:rsidRPr="00783E37" w:rsidRDefault="0033143A" w:rsidP="0044623B">
            <w:pPr>
              <w:pStyle w:val="CETBodytext"/>
              <w:rPr>
                <w:vertAlign w:val="superscript"/>
              </w:rPr>
            </w:pPr>
            <w:r w:rsidRPr="00783E37">
              <w:t>0.143x10</w:t>
            </w:r>
            <w:r w:rsidRPr="00783E37">
              <w:rPr>
                <w:vertAlign w:val="superscript"/>
              </w:rPr>
              <w:t>-1</w:t>
            </w:r>
          </w:p>
        </w:tc>
      </w:tr>
    </w:tbl>
    <w:p w:rsidR="00565D99" w:rsidRPr="00783E37" w:rsidRDefault="0033143A" w:rsidP="00565D99">
      <w:pPr>
        <w:spacing w:after="200" w:line="276" w:lineRule="auto"/>
        <w:rPr>
          <w:rFonts w:eastAsia="Arial" w:cs="Arial"/>
          <w:b/>
          <w:sz w:val="20"/>
          <w:lang w:val="en-US"/>
        </w:rPr>
      </w:pPr>
      <w:r w:rsidRPr="00783E37">
        <w:rPr>
          <w:rFonts w:eastAsia="Arial" w:cs="Arial"/>
          <w:b/>
          <w:sz w:val="20"/>
          <w:lang w:val="en-US"/>
        </w:rPr>
        <w:lastRenderedPageBreak/>
        <w:t xml:space="preserve"> </w:t>
      </w:r>
      <w:r w:rsidR="000D6CC6" w:rsidRPr="00783E37">
        <w:rPr>
          <w:rStyle w:val="CETBodytextCarattere"/>
          <w:rFonts w:eastAsia="Arial"/>
          <w:noProof/>
        </w:rPr>
        <w:drawing>
          <wp:inline distT="0" distB="0" distL="0" distR="0">
            <wp:extent cx="2664744" cy="1490472"/>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85672" name="Picture 277"/>
                    <pic:cNvPicPr>
                      <a:picLocks noChangeAspect="1" noChangeArrowheads="1"/>
                    </pic:cNvPicPr>
                  </pic:nvPicPr>
                  <pic:blipFill>
                    <a:blip r:embed="rId49" cstate="print">
                      <a:extLst>
                        <a:ext uri="{28A0092B-C50C-407E-A947-70E740481C1C}">
                          <a14:useLocalDpi xmlns:a14="http://schemas.microsoft.com/office/drawing/2010/main" val="0"/>
                        </a:ext>
                      </a:extLst>
                    </a:blip>
                    <a:srcRect l="3095" t="8789" r="26221" b="26518"/>
                    <a:stretch>
                      <a:fillRect/>
                    </a:stretch>
                  </pic:blipFill>
                  <pic:spPr bwMode="auto">
                    <a:xfrm>
                      <a:off x="0" y="0"/>
                      <a:ext cx="2664744" cy="1490472"/>
                    </a:xfrm>
                    <a:prstGeom prst="rect">
                      <a:avLst/>
                    </a:prstGeom>
                    <a:noFill/>
                    <a:ln>
                      <a:noFill/>
                    </a:ln>
                    <a:extLst>
                      <a:ext uri="{53640926-AAD7-44D8-BBD7-CCE9431645EC}">
                        <a14:shadowObscured xmlns:a14="http://schemas.microsoft.com/office/drawing/2010/main"/>
                      </a:ext>
                    </a:extLst>
                  </pic:spPr>
                </pic:pic>
              </a:graphicData>
            </a:graphic>
          </wp:inline>
        </w:drawing>
      </w:r>
      <w:r w:rsidR="000D6CC6" w:rsidRPr="00783E37">
        <w:rPr>
          <w:rStyle w:val="CETBodytextCarattere"/>
          <w:rFonts w:eastAsia="Arial"/>
          <w:noProof/>
        </w:rPr>
        <w:drawing>
          <wp:inline distT="0" distB="0" distL="0" distR="0">
            <wp:extent cx="2729582" cy="1490472"/>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82861" name="Picture 276"/>
                    <pic:cNvPicPr>
                      <a:picLocks noChangeAspect="1" noChangeArrowheads="1"/>
                    </pic:cNvPicPr>
                  </pic:nvPicPr>
                  <pic:blipFill>
                    <a:blip r:embed="rId50" cstate="print">
                      <a:extLst>
                        <a:ext uri="{28A0092B-C50C-407E-A947-70E740481C1C}">
                          <a14:useLocalDpi xmlns:a14="http://schemas.microsoft.com/office/drawing/2010/main" val="0"/>
                        </a:ext>
                      </a:extLst>
                    </a:blip>
                    <a:srcRect l="3460" t="9444" r="26346" b="26428"/>
                    <a:stretch>
                      <a:fillRect/>
                    </a:stretch>
                  </pic:blipFill>
                  <pic:spPr bwMode="auto">
                    <a:xfrm>
                      <a:off x="0" y="0"/>
                      <a:ext cx="2729582" cy="1490472"/>
                    </a:xfrm>
                    <a:prstGeom prst="rect">
                      <a:avLst/>
                    </a:prstGeom>
                    <a:noFill/>
                    <a:ln>
                      <a:noFill/>
                    </a:ln>
                    <a:extLst>
                      <a:ext uri="{53640926-AAD7-44D8-BBD7-CCE9431645EC}">
                        <a14:shadowObscured xmlns:a14="http://schemas.microsoft.com/office/drawing/2010/main"/>
                      </a:ext>
                    </a:extLst>
                  </pic:spPr>
                </pic:pic>
              </a:graphicData>
            </a:graphic>
          </wp:inline>
        </w:drawing>
      </w:r>
    </w:p>
    <w:p w:rsidR="00565D99" w:rsidRPr="00670D32" w:rsidRDefault="0033143A" w:rsidP="00565D99">
      <w:pPr>
        <w:pStyle w:val="CETCaption"/>
        <w:rPr>
          <w:rFonts w:eastAsia="Arial"/>
          <w:lang w:val="en-US"/>
        </w:rPr>
      </w:pPr>
      <w:r w:rsidRPr="00670D32">
        <w:rPr>
          <w:rFonts w:eastAsia="Arial"/>
          <w:lang w:val="en-US"/>
        </w:rPr>
        <w:t>Figure 2</w:t>
      </w:r>
      <w:r w:rsidR="00C470E1" w:rsidRPr="00670D32">
        <w:rPr>
          <w:rFonts w:eastAsia="Arial"/>
          <w:lang w:val="en-US"/>
        </w:rPr>
        <w:t>:</w:t>
      </w:r>
      <w:r w:rsidRPr="00670D32">
        <w:rPr>
          <w:rFonts w:eastAsia="Arial"/>
          <w:lang w:val="en-US"/>
        </w:rPr>
        <w:t xml:space="preserve"> Concentration of chemical compounds (a) and Average Temperature </w:t>
      </w:r>
      <w:r>
        <w:rPr>
          <w:rFonts w:eastAsia="Arial"/>
          <w:lang w:val="en-US"/>
        </w:rPr>
        <w:t>at the outlet of the reactor</w:t>
      </w:r>
      <w:r w:rsidR="00C470E1" w:rsidRPr="00670D32">
        <w:rPr>
          <w:rFonts w:eastAsia="Arial"/>
          <w:lang w:val="en-US"/>
        </w:rPr>
        <w:t>(b).</w:t>
      </w:r>
    </w:p>
    <w:p w:rsidR="00565D99" w:rsidRDefault="0033143A" w:rsidP="00565D99">
      <w:pPr>
        <w:pStyle w:val="CETBodytext"/>
        <w:rPr>
          <w:rFonts w:eastAsia="Arial" w:cs="Arial"/>
        </w:rPr>
      </w:pPr>
      <w:r w:rsidRPr="00670D32">
        <w:rPr>
          <w:rStyle w:val="CETBodytextCarattere"/>
          <w:rFonts w:eastAsia="Arial"/>
        </w:rPr>
        <w:t>Figure 2</w:t>
      </w:r>
      <w:r w:rsidR="00C470E1" w:rsidRPr="00670D32">
        <w:rPr>
          <w:rStyle w:val="CETBodytextCarattere"/>
          <w:rFonts w:eastAsia="Arial"/>
        </w:rPr>
        <w:t>a</w:t>
      </w:r>
      <w:r w:rsidRPr="00670D32">
        <w:rPr>
          <w:rStyle w:val="CETBodytextCarattere"/>
          <w:rFonts w:eastAsia="Arial"/>
        </w:rPr>
        <w:t xml:space="preserve"> shows that the dynamic </w:t>
      </w:r>
      <w:r>
        <w:rPr>
          <w:rStyle w:val="CETBodytextCarattere"/>
          <w:rFonts w:eastAsia="Arial"/>
        </w:rPr>
        <w:t>evolutions</w:t>
      </w:r>
      <w:r w:rsidRPr="00670D32">
        <w:rPr>
          <w:rStyle w:val="CETBodytextCarattere"/>
          <w:rFonts w:eastAsia="Arial"/>
        </w:rPr>
        <w:t xml:space="preserve"> of the product gas distribution reach stable levels hours after starting the operation. It can be observed that approximately 16 hours after beginning the FBR under initial conditions, all curves show the product gas distribution have achieved the steady-state. During the transient process, as </w:t>
      </w:r>
      <w:r w:rsidR="00783E37" w:rsidRPr="00670D32">
        <w:rPr>
          <w:rStyle w:val="CETBodytextCarattere"/>
          <w:rFonts w:eastAsia="Arial"/>
        </w:rPr>
        <w:t>the operation proceeds</w:t>
      </w:r>
      <w:r w:rsidRPr="00670D32">
        <w:rPr>
          <w:rStyle w:val="CETBodytextCarattere"/>
          <w:rFonts w:eastAsia="Arial"/>
        </w:rPr>
        <w:t xml:space="preserve">, methane and toluene are consumed with water available in </w:t>
      </w:r>
      <w:r w:rsidR="00783E37" w:rsidRPr="00670D32">
        <w:rPr>
          <w:rStyle w:val="CETBodytextCarattere"/>
          <w:rFonts w:eastAsia="Arial"/>
        </w:rPr>
        <w:t>an inlet gas mixture</w:t>
      </w:r>
      <w:r w:rsidRPr="00670D32">
        <w:rPr>
          <w:rStyle w:val="CETBodytextCarattere"/>
          <w:rFonts w:eastAsia="Arial"/>
        </w:rPr>
        <w:t xml:space="preserve"> (steam reforming). The concentrations of CH</w:t>
      </w:r>
      <w:r w:rsidRPr="00670D32">
        <w:rPr>
          <w:rStyle w:val="CETBodytextCarattere"/>
          <w:rFonts w:eastAsia="Arial"/>
          <w:vertAlign w:val="subscript"/>
        </w:rPr>
        <w:t>4</w:t>
      </w:r>
      <w:r w:rsidRPr="00670D32">
        <w:rPr>
          <w:rStyle w:val="CETBodytextCarattere"/>
          <w:rFonts w:eastAsia="Arial"/>
        </w:rPr>
        <w:t>, H</w:t>
      </w:r>
      <w:r w:rsidRPr="00670D32">
        <w:rPr>
          <w:rStyle w:val="CETBodytextCarattere"/>
          <w:rFonts w:eastAsia="Arial"/>
          <w:vertAlign w:val="subscript"/>
        </w:rPr>
        <w:t>2</w:t>
      </w:r>
      <w:r w:rsidRPr="00670D32">
        <w:rPr>
          <w:rStyle w:val="CETBodytextCarattere"/>
          <w:rFonts w:eastAsia="Arial"/>
        </w:rPr>
        <w:t>O, and C</w:t>
      </w:r>
      <w:r w:rsidRPr="00670D32">
        <w:rPr>
          <w:rStyle w:val="CETBodytextCarattere"/>
          <w:rFonts w:eastAsia="Arial"/>
          <w:vertAlign w:val="subscript"/>
        </w:rPr>
        <w:t>7</w:t>
      </w:r>
      <w:r w:rsidRPr="00670D32">
        <w:rPr>
          <w:rStyle w:val="CETBodytextCarattere"/>
          <w:rFonts w:eastAsia="Arial"/>
        </w:rPr>
        <w:t>H</w:t>
      </w:r>
      <w:r w:rsidRPr="00670D32">
        <w:rPr>
          <w:rStyle w:val="CETBodytextCarattere"/>
          <w:rFonts w:eastAsia="Arial"/>
          <w:vertAlign w:val="subscript"/>
        </w:rPr>
        <w:t>8</w:t>
      </w:r>
      <w:r w:rsidRPr="00670D32">
        <w:rPr>
          <w:rStyle w:val="CETBodytextCarattere"/>
          <w:rFonts w:eastAsia="Arial"/>
        </w:rPr>
        <w:t xml:space="preserve"> decrease continuously during the process while the concentrations of H</w:t>
      </w:r>
      <w:r w:rsidRPr="00670D32">
        <w:rPr>
          <w:rStyle w:val="CETBodytextCarattere"/>
          <w:rFonts w:eastAsia="Arial"/>
          <w:vertAlign w:val="subscript"/>
        </w:rPr>
        <w:t>2</w:t>
      </w:r>
      <w:r w:rsidRPr="00670D32">
        <w:rPr>
          <w:rStyle w:val="CETBodytextCarattere"/>
          <w:rFonts w:eastAsia="Arial"/>
        </w:rPr>
        <w:t>, CO</w:t>
      </w:r>
      <w:r w:rsidRPr="00670D32">
        <w:rPr>
          <w:rStyle w:val="CETBodytextCarattere"/>
          <w:rFonts w:eastAsia="Arial"/>
          <w:vertAlign w:val="subscript"/>
        </w:rPr>
        <w:t>2</w:t>
      </w:r>
      <w:r w:rsidRPr="00670D32">
        <w:rPr>
          <w:rStyle w:val="CETBodytextCarattere"/>
          <w:rFonts w:eastAsia="Arial"/>
        </w:rPr>
        <w:t>, and CO increase (behavior given by Eq</w:t>
      </w:r>
      <w:r w:rsidR="00783E37" w:rsidRPr="00670D32">
        <w:rPr>
          <w:rStyle w:val="CETBodytextCarattere"/>
          <w:rFonts w:eastAsia="Arial"/>
        </w:rPr>
        <w:t xml:space="preserve"> (</w:t>
      </w:r>
      <w:r w:rsidRPr="00670D32">
        <w:rPr>
          <w:rStyle w:val="CETBodytextCarattere"/>
          <w:rFonts w:eastAsia="Arial"/>
        </w:rPr>
        <w:t>1-3)). Under the operating conditions, the reactor temperature had a range of 300K-800</w:t>
      </w:r>
      <w:r w:rsidR="00C470E1" w:rsidRPr="00670D32">
        <w:rPr>
          <w:rStyle w:val="CETBodytextCarattere"/>
          <w:rFonts w:eastAsia="Arial"/>
        </w:rPr>
        <w:t>°C</w:t>
      </w:r>
      <w:r w:rsidRPr="00670D32">
        <w:rPr>
          <w:rStyle w:val="CETBodytextCarattere"/>
          <w:rFonts w:eastAsia="Arial"/>
        </w:rPr>
        <w:t xml:space="preserve"> in regime dynamic, and the wet basis products in the same process contain about 0.62 </w:t>
      </w:r>
      <w:proofErr w:type="spellStart"/>
      <w:r w:rsidRPr="00670D32">
        <w:rPr>
          <w:rStyle w:val="CETBodytextCarattere"/>
          <w:rFonts w:eastAsia="Arial"/>
        </w:rPr>
        <w:t>kmol</w:t>
      </w:r>
      <w:proofErr w:type="spellEnd"/>
      <w:r w:rsidRPr="00670D32">
        <w:rPr>
          <w:rStyle w:val="CETBodytextCarattere"/>
          <w:rFonts w:eastAsia="Arial"/>
        </w:rPr>
        <w:t>/h of H</w:t>
      </w:r>
      <w:r w:rsidRPr="00670D32">
        <w:rPr>
          <w:rStyle w:val="CETBodytextCarattere"/>
          <w:rFonts w:eastAsia="Arial"/>
          <w:vertAlign w:val="subscript"/>
        </w:rPr>
        <w:t>2</w:t>
      </w:r>
      <w:r w:rsidRPr="00670D32">
        <w:rPr>
          <w:rStyle w:val="CETBodytextCarattere"/>
          <w:rFonts w:eastAsia="Arial"/>
        </w:rPr>
        <w:t xml:space="preserve">, 0.10 </w:t>
      </w:r>
      <w:proofErr w:type="spellStart"/>
      <w:r w:rsidRPr="00670D32">
        <w:rPr>
          <w:rStyle w:val="CETBodytextCarattere"/>
          <w:rFonts w:eastAsia="Arial"/>
        </w:rPr>
        <w:t>kmol</w:t>
      </w:r>
      <w:proofErr w:type="spellEnd"/>
      <w:r w:rsidRPr="00670D32">
        <w:rPr>
          <w:rStyle w:val="CETBodytextCarattere"/>
          <w:rFonts w:eastAsia="Arial"/>
        </w:rPr>
        <w:t xml:space="preserve">/h of CO, 0.22 </w:t>
      </w:r>
      <w:proofErr w:type="spellStart"/>
      <w:r w:rsidRPr="00670D32">
        <w:rPr>
          <w:rStyle w:val="CETBodytextCarattere"/>
          <w:rFonts w:eastAsia="Arial"/>
        </w:rPr>
        <w:t>kmol</w:t>
      </w:r>
      <w:proofErr w:type="spellEnd"/>
      <w:r w:rsidRPr="00670D32">
        <w:rPr>
          <w:rStyle w:val="CETBodytextCarattere"/>
          <w:rFonts w:eastAsia="Arial"/>
        </w:rPr>
        <w:t>/h of CO</w:t>
      </w:r>
      <w:r w:rsidRPr="00670D32">
        <w:rPr>
          <w:rStyle w:val="CETBodytextCarattere"/>
          <w:rFonts w:eastAsia="Arial"/>
          <w:vertAlign w:val="subscript"/>
        </w:rPr>
        <w:t>2</w:t>
      </w:r>
      <w:r w:rsidRPr="00670D32">
        <w:rPr>
          <w:rStyle w:val="CETBodytextCarattere"/>
          <w:rFonts w:eastAsia="Arial"/>
        </w:rPr>
        <w:t xml:space="preserve">, 0.15 </w:t>
      </w:r>
      <w:proofErr w:type="spellStart"/>
      <w:r w:rsidRPr="00670D32">
        <w:rPr>
          <w:rStyle w:val="CETBodytextCarattere"/>
          <w:rFonts w:eastAsia="Arial"/>
        </w:rPr>
        <w:t>kmol</w:t>
      </w:r>
      <w:proofErr w:type="spellEnd"/>
      <w:r w:rsidRPr="00670D32">
        <w:rPr>
          <w:rStyle w:val="CETBodytextCarattere"/>
          <w:rFonts w:eastAsia="Arial"/>
        </w:rPr>
        <w:t>/h of CH</w:t>
      </w:r>
      <w:r w:rsidRPr="00670D32">
        <w:rPr>
          <w:rStyle w:val="CETBodytextCarattere"/>
          <w:rFonts w:eastAsia="Arial"/>
          <w:vertAlign w:val="subscript"/>
        </w:rPr>
        <w:t>4</w:t>
      </w:r>
      <w:r w:rsidRPr="00670D32">
        <w:rPr>
          <w:rStyle w:val="CETBodytextCarattere"/>
          <w:rFonts w:eastAsia="Arial"/>
        </w:rPr>
        <w:t xml:space="preserve">, 0.015 </w:t>
      </w:r>
      <w:proofErr w:type="spellStart"/>
      <w:r w:rsidRPr="00670D32">
        <w:rPr>
          <w:rStyle w:val="CETBodytextCarattere"/>
          <w:rFonts w:eastAsia="Arial"/>
        </w:rPr>
        <w:t>kmol</w:t>
      </w:r>
      <w:proofErr w:type="spellEnd"/>
      <w:r w:rsidRPr="00670D32">
        <w:rPr>
          <w:rStyle w:val="CETBodytextCarattere"/>
          <w:rFonts w:eastAsia="Arial"/>
        </w:rPr>
        <w:t>/h of C</w:t>
      </w:r>
      <w:r w:rsidRPr="00670D32">
        <w:rPr>
          <w:rStyle w:val="CETBodytextCarattere"/>
          <w:rFonts w:eastAsia="Arial"/>
          <w:vertAlign w:val="subscript"/>
        </w:rPr>
        <w:t>7</w:t>
      </w:r>
      <w:r w:rsidRPr="00670D32">
        <w:rPr>
          <w:rStyle w:val="CETBodytextCarattere"/>
          <w:rFonts w:eastAsia="Arial"/>
        </w:rPr>
        <w:t>H</w:t>
      </w:r>
      <w:r w:rsidRPr="00670D32">
        <w:rPr>
          <w:rStyle w:val="CETBodytextCarattere"/>
          <w:rFonts w:eastAsia="Arial"/>
          <w:vertAlign w:val="subscript"/>
        </w:rPr>
        <w:t>8</w:t>
      </w:r>
      <w:r w:rsidRPr="00670D32">
        <w:rPr>
          <w:rStyle w:val="CETBodytextCarattere"/>
          <w:rFonts w:eastAsia="Arial"/>
        </w:rPr>
        <w:t xml:space="preserve"> and 0.27 </w:t>
      </w:r>
      <w:proofErr w:type="spellStart"/>
      <w:r w:rsidRPr="00670D32">
        <w:rPr>
          <w:rStyle w:val="CETBodytextCarattere"/>
          <w:rFonts w:eastAsia="Arial"/>
        </w:rPr>
        <w:t>kmol</w:t>
      </w:r>
      <w:proofErr w:type="spellEnd"/>
      <w:r w:rsidRPr="00670D32">
        <w:rPr>
          <w:rStyle w:val="CETBodytextCarattere"/>
          <w:rFonts w:eastAsia="Arial"/>
        </w:rPr>
        <w:t>/ of H</w:t>
      </w:r>
      <w:r w:rsidRPr="00670D32">
        <w:rPr>
          <w:rStyle w:val="CETBodytextCarattere"/>
          <w:rFonts w:eastAsia="Arial"/>
          <w:vertAlign w:val="subscript"/>
        </w:rPr>
        <w:t>2</w:t>
      </w:r>
      <w:r w:rsidRPr="00670D32">
        <w:rPr>
          <w:rStyle w:val="CETBodytextCarattere"/>
          <w:rFonts w:eastAsia="Arial"/>
        </w:rPr>
        <w:t>O</w:t>
      </w:r>
      <w:r w:rsidRPr="00670D32">
        <w:rPr>
          <w:rFonts w:eastAsia="Arial" w:cs="Arial"/>
        </w:rPr>
        <w:t>.</w:t>
      </w:r>
    </w:p>
    <w:p w:rsidR="00565D99" w:rsidRDefault="0033143A" w:rsidP="00565D99">
      <w:pPr>
        <w:pStyle w:val="CETBodytext"/>
        <w:rPr>
          <w:rFonts w:eastAsia="Arial"/>
        </w:rPr>
      </w:pPr>
      <w:r w:rsidRPr="00670D32">
        <w:rPr>
          <w:rFonts w:eastAsia="Arial"/>
        </w:rPr>
        <w:t>Figure 2</w:t>
      </w:r>
      <w:r w:rsidR="00C470E1" w:rsidRPr="00670D32">
        <w:rPr>
          <w:rFonts w:eastAsia="Arial"/>
        </w:rPr>
        <w:t>b</w:t>
      </w:r>
      <w:r w:rsidRPr="00670D32">
        <w:rPr>
          <w:rFonts w:eastAsia="Arial"/>
        </w:rPr>
        <w:t xml:space="preserve"> shows a </w:t>
      </w:r>
      <w:r w:rsidR="00783E37" w:rsidRPr="00670D32">
        <w:rPr>
          <w:rFonts w:eastAsia="Arial"/>
        </w:rPr>
        <w:t>comparison</w:t>
      </w:r>
      <w:r w:rsidRPr="00670D32">
        <w:rPr>
          <w:rFonts w:eastAsia="Arial"/>
        </w:rPr>
        <w:t xml:space="preserve"> of the evolution of temperatures in each phase. It is observed that both curves represent a similar behavior, with slightly higher values in the solid phase compared to the gas-liquid phase. The differential between both temperatures reaches the steady-state after 20 hours. This </w:t>
      </w:r>
      <w:r w:rsidR="00783E37" w:rsidRPr="00670D32">
        <w:rPr>
          <w:rFonts w:eastAsia="Arial"/>
        </w:rPr>
        <w:t>slight</w:t>
      </w:r>
      <w:r w:rsidRPr="00670D32">
        <w:rPr>
          <w:rFonts w:eastAsia="Arial"/>
        </w:rPr>
        <w:t xml:space="preserve"> variation of the temperatures shows that the operation takes place in </w:t>
      </w:r>
      <w:r w:rsidR="00783E37" w:rsidRPr="00670D32">
        <w:rPr>
          <w:rFonts w:eastAsia="Arial"/>
        </w:rPr>
        <w:t>a controlled way</w:t>
      </w:r>
      <w:r w:rsidRPr="00670D32">
        <w:rPr>
          <w:rFonts w:eastAsia="Arial"/>
        </w:rPr>
        <w:t>.</w:t>
      </w:r>
    </w:p>
    <w:p w:rsidR="000D6CC6" w:rsidRDefault="000D6CC6" w:rsidP="00565D99">
      <w:pPr>
        <w:pStyle w:val="CETBodytext"/>
        <w:rPr>
          <w:rFonts w:eastAsia="Arial"/>
        </w:rPr>
      </w:pPr>
    </w:p>
    <w:p w:rsidR="00565D99" w:rsidRPr="00670D32" w:rsidRDefault="0033143A" w:rsidP="00565D99">
      <w:pPr>
        <w:spacing w:after="200" w:line="276" w:lineRule="auto"/>
        <w:rPr>
          <w:rFonts w:eastAsia="Arial" w:cs="Arial"/>
          <w:b/>
          <w:noProof/>
          <w:sz w:val="20"/>
          <w:lang w:val="en-US"/>
        </w:rPr>
      </w:pPr>
      <w:r w:rsidRPr="00670D32">
        <w:rPr>
          <w:rFonts w:eastAsia="Arial"/>
          <w:noProof/>
        </w:rPr>
        <w:drawing>
          <wp:inline distT="0" distB="0" distL="0" distR="0">
            <wp:extent cx="2748993" cy="1453896"/>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00623" name="Picture 274"/>
                    <pic:cNvPicPr>
                      <a:picLocks noChangeAspect="1" noChangeArrowheads="1"/>
                    </pic:cNvPicPr>
                  </pic:nvPicPr>
                  <pic:blipFill>
                    <a:blip r:embed="rId51" cstate="print">
                      <a:extLst>
                        <a:ext uri="{28A0092B-C50C-407E-A947-70E740481C1C}">
                          <a14:useLocalDpi xmlns:a14="http://schemas.microsoft.com/office/drawing/2010/main" val="0"/>
                        </a:ext>
                      </a:extLst>
                    </a:blip>
                    <a:srcRect l="3005" t="10139" r="26073" b="26573"/>
                    <a:stretch>
                      <a:fillRect/>
                    </a:stretch>
                  </pic:blipFill>
                  <pic:spPr bwMode="auto">
                    <a:xfrm>
                      <a:off x="0" y="0"/>
                      <a:ext cx="2748993" cy="1453896"/>
                    </a:xfrm>
                    <a:prstGeom prst="rect">
                      <a:avLst/>
                    </a:prstGeom>
                    <a:noFill/>
                    <a:ln>
                      <a:noFill/>
                    </a:ln>
                    <a:extLst>
                      <a:ext uri="{53640926-AAD7-44D8-BBD7-CCE9431645EC}">
                        <a14:shadowObscured xmlns:a14="http://schemas.microsoft.com/office/drawing/2010/main"/>
                      </a:ext>
                    </a:extLst>
                  </pic:spPr>
                </pic:pic>
              </a:graphicData>
            </a:graphic>
          </wp:inline>
        </w:drawing>
      </w:r>
      <w:r w:rsidRPr="00670D32">
        <w:rPr>
          <w:rFonts w:eastAsia="Arial" w:cs="Arial"/>
          <w:b/>
          <w:sz w:val="20"/>
          <w:lang w:val="en-US"/>
        </w:rPr>
        <w:t xml:space="preserve"> </w:t>
      </w:r>
      <w:r w:rsidRPr="00670D32">
        <w:rPr>
          <w:rFonts w:eastAsia="Arial"/>
          <w:noProof/>
        </w:rPr>
        <w:drawing>
          <wp:inline distT="0" distB="0" distL="0" distR="0">
            <wp:extent cx="2791481" cy="1453896"/>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82229" name="Picture 278"/>
                    <pic:cNvPicPr>
                      <a:picLocks noChangeAspect="1" noChangeArrowheads="1"/>
                    </pic:cNvPicPr>
                  </pic:nvPicPr>
                  <pic:blipFill>
                    <a:blip r:embed="rId52" cstate="print">
                      <a:extLst>
                        <a:ext uri="{28A0092B-C50C-407E-A947-70E740481C1C}">
                          <a14:useLocalDpi xmlns:a14="http://schemas.microsoft.com/office/drawing/2010/main" val="0"/>
                        </a:ext>
                      </a:extLst>
                    </a:blip>
                    <a:srcRect l="3641" t="10642" r="26437" b="27665"/>
                    <a:stretch>
                      <a:fillRect/>
                    </a:stretch>
                  </pic:blipFill>
                  <pic:spPr bwMode="auto">
                    <a:xfrm>
                      <a:off x="0" y="0"/>
                      <a:ext cx="2791481" cy="1453896"/>
                    </a:xfrm>
                    <a:prstGeom prst="rect">
                      <a:avLst/>
                    </a:prstGeom>
                    <a:noFill/>
                    <a:ln>
                      <a:noFill/>
                    </a:ln>
                    <a:extLst>
                      <a:ext uri="{53640926-AAD7-44D8-BBD7-CCE9431645EC}">
                        <a14:shadowObscured xmlns:a14="http://schemas.microsoft.com/office/drawing/2010/main"/>
                      </a:ext>
                    </a:extLst>
                  </pic:spPr>
                </pic:pic>
              </a:graphicData>
            </a:graphic>
          </wp:inline>
        </w:drawing>
      </w:r>
    </w:p>
    <w:p w:rsidR="00565D99" w:rsidRDefault="0033143A" w:rsidP="00565D99">
      <w:pPr>
        <w:pStyle w:val="CETCaption"/>
        <w:rPr>
          <w:rFonts w:eastAsia="Arial"/>
          <w:lang w:val="en-US"/>
        </w:rPr>
      </w:pPr>
      <w:r w:rsidRPr="00670D32">
        <w:rPr>
          <w:rFonts w:eastAsia="Arial"/>
          <w:lang w:val="en-US"/>
        </w:rPr>
        <w:t xml:space="preserve">Figure 3: </w:t>
      </w:r>
      <w:r w:rsidR="00C470E1" w:rsidRPr="00670D32">
        <w:rPr>
          <w:rFonts w:eastAsia="Arial"/>
          <w:lang w:val="en-US"/>
        </w:rPr>
        <w:t>Comparison</w:t>
      </w:r>
      <w:r w:rsidRPr="00670D32">
        <w:rPr>
          <w:rFonts w:eastAsia="Arial"/>
          <w:lang w:val="en-US"/>
        </w:rPr>
        <w:t xml:space="preserve"> between the experimental data and the theoretical optimized data of the present study</w:t>
      </w:r>
      <w:r w:rsidR="00783E37" w:rsidRPr="00670D32">
        <w:rPr>
          <w:rFonts w:eastAsia="Arial"/>
          <w:lang w:val="en-US"/>
        </w:rPr>
        <w:t xml:space="preserve"> (</w:t>
      </w:r>
      <w:r w:rsidRPr="00670D32">
        <w:rPr>
          <w:rFonts w:eastAsia="Arial"/>
          <w:lang w:val="en-US"/>
        </w:rPr>
        <w:t xml:space="preserve">a). Evolution of the heat flux throughout the processing time (b). </w:t>
      </w:r>
    </w:p>
    <w:p w:rsidR="00565D99" w:rsidRPr="001468CD" w:rsidRDefault="0033143A" w:rsidP="00565D99">
      <w:pPr>
        <w:pStyle w:val="CETBodytext"/>
        <w:rPr>
          <w:rFonts w:eastAsia="Arial"/>
        </w:rPr>
      </w:pPr>
      <w:r w:rsidRPr="00670D32">
        <w:rPr>
          <w:rFonts w:eastAsia="Arial"/>
        </w:rPr>
        <w:t xml:space="preserve">Figure 3a shows the comparison between the experimental data obtained by </w:t>
      </w:r>
      <w:proofErr w:type="spellStart"/>
      <w:r w:rsidRPr="00670D32">
        <w:rPr>
          <w:rFonts w:eastAsia="Arial"/>
        </w:rPr>
        <w:t>Rached</w:t>
      </w:r>
      <w:proofErr w:type="spellEnd"/>
      <w:r w:rsidRPr="00670D32">
        <w:rPr>
          <w:rFonts w:eastAsia="Arial"/>
        </w:rPr>
        <w:t xml:space="preserve"> et al. (2017) and the technical optimized data of the present study. The comparison was accomplished with points in the same temperature of both works and showed a good fit of the experimental and optimized for the toluene conversion.</w:t>
      </w:r>
    </w:p>
    <w:p w:rsidR="00565D99" w:rsidRPr="00F12433" w:rsidRDefault="0033143A" w:rsidP="00565D99">
      <w:pPr>
        <w:pStyle w:val="CETBodytext"/>
        <w:rPr>
          <w:rFonts w:eastAsia="Arial"/>
        </w:rPr>
      </w:pPr>
      <w:r w:rsidRPr="00670D32">
        <w:rPr>
          <w:rFonts w:eastAsia="Arial"/>
        </w:rPr>
        <w:t xml:space="preserve">Figure 3b shows the evolution of the heat flux throughout the processing time. </w:t>
      </w:r>
      <w:r w:rsidR="00783E37" w:rsidRPr="00670D32">
        <w:rPr>
          <w:rFonts w:eastAsia="Arial"/>
        </w:rPr>
        <w:t>The</w:t>
      </w:r>
      <w:r w:rsidRPr="00670D32">
        <w:rPr>
          <w:rFonts w:eastAsia="Arial"/>
        </w:rPr>
        <w:t xml:space="preserve"> heat flux is obtained </w:t>
      </w:r>
      <w:r w:rsidR="00783E37" w:rsidRPr="00670D32">
        <w:rPr>
          <w:rFonts w:eastAsia="Arial"/>
        </w:rPr>
        <w:t>from</w:t>
      </w:r>
      <w:r w:rsidRPr="00670D32">
        <w:rPr>
          <w:rFonts w:eastAsia="Arial"/>
        </w:rPr>
        <w:t xml:space="preserve"> the difference between the phases of the temperatures. A massive heat transfer is observed at the beginning of the operation, the influence of the parameter </w:t>
      </w:r>
      <w:r w:rsidR="00C470E1" w:rsidRPr="00670D32">
        <w:rPr>
          <w:rFonts w:eastAsia="Arial"/>
        </w:rPr>
        <w:t>coefficient of heat transfer (</w:t>
      </w:r>
      <w:proofErr w:type="spellStart"/>
      <w:r w:rsidRPr="00670D32">
        <w:rPr>
          <w:rFonts w:eastAsia="Arial"/>
        </w:rPr>
        <w:t>h</w:t>
      </w:r>
      <w:r w:rsidRPr="00670D32">
        <w:rPr>
          <w:rFonts w:eastAsia="Arial"/>
          <w:vertAlign w:val="subscript"/>
        </w:rPr>
        <w:t>fp</w:t>
      </w:r>
      <w:proofErr w:type="spellEnd"/>
      <w:r w:rsidR="00C470E1" w:rsidRPr="00670D32">
        <w:rPr>
          <w:rFonts w:eastAsia="Arial"/>
        </w:rPr>
        <w:t>)</w:t>
      </w:r>
      <w:r w:rsidRPr="00670D32">
        <w:rPr>
          <w:rFonts w:eastAsia="Arial"/>
        </w:rPr>
        <w:t xml:space="preserve"> has also been seen. A significative increase of the heat flux occurs as the </w:t>
      </w:r>
      <w:proofErr w:type="spellStart"/>
      <w:r w:rsidRPr="00670D32">
        <w:rPr>
          <w:rFonts w:eastAsia="Arial"/>
        </w:rPr>
        <w:t>hfp</w:t>
      </w:r>
      <w:proofErr w:type="spellEnd"/>
      <w:r w:rsidRPr="00670D32">
        <w:rPr>
          <w:rFonts w:eastAsia="Arial"/>
        </w:rPr>
        <w:t xml:space="preserve"> increases.  However, after 0.5 hours a </w:t>
      </w:r>
      <w:r w:rsidR="00783E37" w:rsidRPr="00670D32">
        <w:rPr>
          <w:rFonts w:eastAsia="Arial"/>
        </w:rPr>
        <w:t>slight</w:t>
      </w:r>
      <w:r w:rsidRPr="00670D32">
        <w:rPr>
          <w:rFonts w:eastAsia="Arial"/>
        </w:rPr>
        <w:t xml:space="preserve"> increase in heat flux is obtained reaching the steady-state in all cases. For instance, a large heat flux of 2.1 </w:t>
      </w:r>
      <w:proofErr w:type="spellStart"/>
      <w:r w:rsidRPr="00670D32">
        <w:rPr>
          <w:rFonts w:eastAsia="Arial"/>
        </w:rPr>
        <w:t>kj</w:t>
      </w:r>
      <w:proofErr w:type="spellEnd"/>
      <w:r w:rsidRPr="00670D32">
        <w:rPr>
          <w:rFonts w:eastAsia="Arial"/>
        </w:rPr>
        <w:t xml:space="preserve"> / m³ is received for a </w:t>
      </w:r>
      <w:proofErr w:type="spellStart"/>
      <w:r w:rsidRPr="00670D32">
        <w:rPr>
          <w:rFonts w:eastAsia="Arial"/>
        </w:rPr>
        <w:t>h</w:t>
      </w:r>
      <w:r w:rsidRPr="00670D32">
        <w:rPr>
          <w:rFonts w:eastAsia="Arial"/>
          <w:vertAlign w:val="subscript"/>
        </w:rPr>
        <w:t>fp</w:t>
      </w:r>
      <w:proofErr w:type="spellEnd"/>
      <w:r w:rsidRPr="00670D32">
        <w:rPr>
          <w:rFonts w:eastAsia="Arial"/>
        </w:rPr>
        <w:t xml:space="preserve"> of 7.1x10</w:t>
      </w:r>
      <w:r w:rsidRPr="00670D32">
        <w:rPr>
          <w:rFonts w:eastAsia="Arial"/>
          <w:vertAlign w:val="superscript"/>
        </w:rPr>
        <w:t>-2</w:t>
      </w:r>
      <w:r w:rsidRPr="00670D32">
        <w:rPr>
          <w:rFonts w:eastAsia="Arial"/>
        </w:rPr>
        <w:t xml:space="preserve"> and the variation of temperature, </w:t>
      </w:r>
      <w:r w:rsidR="00783E37" w:rsidRPr="00670D32">
        <w:rPr>
          <w:rFonts w:eastAsia="Arial"/>
        </w:rPr>
        <w:t>in</w:t>
      </w:r>
      <w:r w:rsidRPr="00670D32">
        <w:rPr>
          <w:rFonts w:eastAsia="Arial"/>
        </w:rPr>
        <w:t xml:space="preserve"> this case, it's already gone </w:t>
      </w:r>
      <w:r w:rsidR="00783E37" w:rsidRPr="00670D32">
        <w:rPr>
          <w:rFonts w:eastAsia="Arial"/>
        </w:rPr>
        <w:t>analyzed</w:t>
      </w:r>
      <w:r w:rsidRPr="00670D32">
        <w:rPr>
          <w:rFonts w:eastAsia="Arial"/>
        </w:rPr>
        <w:t xml:space="preserve"> in fig</w:t>
      </w:r>
      <w:r w:rsidR="00C470E1" w:rsidRPr="00670D32">
        <w:rPr>
          <w:rFonts w:eastAsia="Arial"/>
        </w:rPr>
        <w:t>ure 2b</w:t>
      </w:r>
      <w:r w:rsidRPr="00670D32">
        <w:rPr>
          <w:rFonts w:eastAsia="Arial"/>
        </w:rPr>
        <w:t>.</w:t>
      </w:r>
    </w:p>
    <w:p w:rsidR="00565D99" w:rsidRPr="00670D32" w:rsidRDefault="0033143A" w:rsidP="00565D99">
      <w:pPr>
        <w:pStyle w:val="CETHeading1"/>
        <w:rPr>
          <w:lang w:val="en-GB"/>
        </w:rPr>
      </w:pPr>
      <w:r w:rsidRPr="00670D32">
        <w:rPr>
          <w:lang w:val="en-GB"/>
        </w:rPr>
        <w:t>Conclusions</w:t>
      </w:r>
    </w:p>
    <w:p w:rsidR="00565D99" w:rsidRPr="001468CD" w:rsidRDefault="0033143A" w:rsidP="00565D99">
      <w:pPr>
        <w:pStyle w:val="CETBodytext"/>
        <w:rPr>
          <w:rFonts w:eastAsia="Arial"/>
        </w:rPr>
      </w:pPr>
      <w:bookmarkStart w:id="1" w:name="_Hlk535523021"/>
      <w:r w:rsidRPr="00670D32">
        <w:rPr>
          <w:rFonts w:eastAsia="Arial"/>
        </w:rPr>
        <w:t xml:space="preserve">A one-dimensional mathematical model was used to report the dynamics analysis of the catalytic steam reforming of toluene using an FBR reactor. For this purpose, two numerical methods (coupled integral equation approach and Euler Method) have been used to solve the developed mathematical models of FBR reactor. A computer code to process and </w:t>
      </w:r>
      <w:r w:rsidR="00783E37" w:rsidRPr="00670D32">
        <w:rPr>
          <w:rFonts w:eastAsia="Arial"/>
        </w:rPr>
        <w:t>analyze</w:t>
      </w:r>
      <w:r w:rsidRPr="00670D32">
        <w:rPr>
          <w:rFonts w:eastAsia="Arial"/>
        </w:rPr>
        <w:t xml:space="preserve"> the performance of the operating parameters allowed the following conclusions:</w:t>
      </w:r>
    </w:p>
    <w:p w:rsidR="00565D99" w:rsidRPr="00670D32" w:rsidRDefault="0033143A" w:rsidP="00565D99">
      <w:pPr>
        <w:pStyle w:val="CETBodytext"/>
        <w:rPr>
          <w:rFonts w:eastAsia="Arial"/>
        </w:rPr>
      </w:pPr>
      <w:r w:rsidRPr="00670D32">
        <w:rPr>
          <w:rFonts w:eastAsia="Arial"/>
        </w:rPr>
        <w:lastRenderedPageBreak/>
        <w:t>- In the FBR model, the solid phase temperature reaches higher values compared to the gas-solid phase temperature;</w:t>
      </w:r>
    </w:p>
    <w:p w:rsidR="00565D99" w:rsidRPr="001468CD" w:rsidRDefault="0033143A" w:rsidP="00565D99">
      <w:pPr>
        <w:pStyle w:val="CETBodytext"/>
        <w:rPr>
          <w:rFonts w:eastAsia="Arial"/>
        </w:rPr>
      </w:pPr>
      <w:r w:rsidRPr="00670D32">
        <w:rPr>
          <w:rFonts w:eastAsia="Arial"/>
        </w:rPr>
        <w:t xml:space="preserve">- The higher the </w:t>
      </w:r>
      <w:proofErr w:type="spellStart"/>
      <w:r w:rsidRPr="00670D32">
        <w:rPr>
          <w:rFonts w:eastAsia="Arial"/>
        </w:rPr>
        <w:t>h</w:t>
      </w:r>
      <w:r w:rsidRPr="00670D32">
        <w:rPr>
          <w:rFonts w:eastAsia="Arial"/>
          <w:vertAlign w:val="subscript"/>
        </w:rPr>
        <w:t>fp</w:t>
      </w:r>
      <w:proofErr w:type="spellEnd"/>
      <w:r w:rsidRPr="00670D32">
        <w:rPr>
          <w:rFonts w:eastAsia="Arial"/>
        </w:rPr>
        <w:t xml:space="preserve">, the more significant the amount of heat flux. It is essential to consider this phenomenon because it allowed determining the total heat flux (a large heat flux of 2.1 </w:t>
      </w:r>
      <w:r w:rsidR="00783E37" w:rsidRPr="00670D32">
        <w:rPr>
          <w:rFonts w:eastAsia="Arial"/>
        </w:rPr>
        <w:t>KJ</w:t>
      </w:r>
      <w:r w:rsidRPr="00670D32">
        <w:rPr>
          <w:rFonts w:eastAsia="Arial"/>
        </w:rPr>
        <w:t xml:space="preserve">/m³ is obtained for a </w:t>
      </w:r>
      <w:proofErr w:type="spellStart"/>
      <w:r w:rsidRPr="00670D32">
        <w:rPr>
          <w:rFonts w:eastAsia="Arial"/>
        </w:rPr>
        <w:t>hfp</w:t>
      </w:r>
      <w:proofErr w:type="spellEnd"/>
      <w:r w:rsidRPr="00670D32">
        <w:rPr>
          <w:rFonts w:eastAsia="Arial"/>
        </w:rPr>
        <w:t xml:space="preserve"> of 7.1x10</w:t>
      </w:r>
      <w:r w:rsidRPr="00670D32">
        <w:rPr>
          <w:rFonts w:eastAsia="Arial"/>
          <w:vertAlign w:val="superscript"/>
        </w:rPr>
        <w:t>-2</w:t>
      </w:r>
      <w:r w:rsidR="00783E37" w:rsidRPr="00670D32">
        <w:rPr>
          <w:rFonts w:eastAsia="Arial"/>
        </w:rPr>
        <w:t>)</w:t>
      </w:r>
      <w:r w:rsidRPr="00670D32">
        <w:rPr>
          <w:rFonts w:eastAsia="Arial"/>
        </w:rPr>
        <w:t xml:space="preserve"> and was checked that hot spots not exist </w:t>
      </w:r>
      <w:r w:rsidR="00783E37" w:rsidRPr="00670D32">
        <w:rPr>
          <w:rFonts w:eastAsia="Arial"/>
        </w:rPr>
        <w:t>in</w:t>
      </w:r>
      <w:r w:rsidRPr="00670D32">
        <w:rPr>
          <w:rFonts w:eastAsia="Arial"/>
        </w:rPr>
        <w:t xml:space="preserve"> this case;</w:t>
      </w:r>
    </w:p>
    <w:p w:rsidR="00565D99" w:rsidRDefault="0033143A" w:rsidP="00565D99">
      <w:pPr>
        <w:pStyle w:val="CETBodytext"/>
        <w:rPr>
          <w:rFonts w:eastAsia="Arial"/>
        </w:rPr>
      </w:pPr>
      <w:r w:rsidRPr="00670D32">
        <w:rPr>
          <w:rFonts w:eastAsia="Arial"/>
        </w:rPr>
        <w:t>- The dynamic behavior of the components of reactions was obtained. H</w:t>
      </w:r>
      <w:r w:rsidRPr="00670D32">
        <w:rPr>
          <w:rFonts w:eastAsia="Arial"/>
          <w:vertAlign w:val="subscript"/>
        </w:rPr>
        <w:t>2</w:t>
      </w:r>
      <w:r w:rsidRPr="00670D32">
        <w:rPr>
          <w:rFonts w:eastAsia="Arial"/>
        </w:rPr>
        <w:t>, CO, and CO</w:t>
      </w:r>
      <w:r w:rsidRPr="00670D32">
        <w:rPr>
          <w:rFonts w:eastAsia="Arial"/>
          <w:vertAlign w:val="subscript"/>
        </w:rPr>
        <w:t>2</w:t>
      </w:r>
      <w:r w:rsidRPr="00670D32">
        <w:rPr>
          <w:rFonts w:eastAsia="Arial"/>
        </w:rPr>
        <w:t xml:space="preserve"> are produced, and C</w:t>
      </w:r>
      <w:r w:rsidRPr="00670D32">
        <w:rPr>
          <w:rFonts w:eastAsia="Arial"/>
          <w:vertAlign w:val="subscript"/>
        </w:rPr>
        <w:t>7</w:t>
      </w:r>
      <w:r w:rsidRPr="00670D32">
        <w:rPr>
          <w:rFonts w:eastAsia="Arial"/>
        </w:rPr>
        <w:t>H</w:t>
      </w:r>
      <w:r w:rsidRPr="00670D32">
        <w:rPr>
          <w:rFonts w:eastAsia="Arial"/>
          <w:vertAlign w:val="subscript"/>
        </w:rPr>
        <w:t>8</w:t>
      </w:r>
      <w:r w:rsidRPr="00670D32">
        <w:rPr>
          <w:rFonts w:eastAsia="Arial"/>
        </w:rPr>
        <w:t>, CH</w:t>
      </w:r>
      <w:r w:rsidRPr="00670D32">
        <w:rPr>
          <w:rFonts w:eastAsia="Arial"/>
          <w:vertAlign w:val="subscript"/>
        </w:rPr>
        <w:t>4</w:t>
      </w:r>
      <w:r w:rsidRPr="00670D32">
        <w:rPr>
          <w:rFonts w:eastAsia="Arial"/>
        </w:rPr>
        <w:t>, and H</w:t>
      </w:r>
      <w:r w:rsidRPr="00670D32">
        <w:rPr>
          <w:rFonts w:eastAsia="Arial"/>
          <w:vertAlign w:val="subscript"/>
        </w:rPr>
        <w:t>2</w:t>
      </w:r>
      <w:r w:rsidRPr="00670D32">
        <w:rPr>
          <w:rFonts w:eastAsia="Arial"/>
        </w:rPr>
        <w:t>O are consumed;</w:t>
      </w:r>
    </w:p>
    <w:p w:rsidR="00565D99" w:rsidRPr="001468CD" w:rsidRDefault="0033143A" w:rsidP="00565D99">
      <w:pPr>
        <w:pStyle w:val="CETBodytext"/>
        <w:rPr>
          <w:rFonts w:eastAsia="Arial"/>
        </w:rPr>
      </w:pPr>
      <w:r w:rsidRPr="00670D32">
        <w:rPr>
          <w:rFonts w:eastAsia="Arial"/>
        </w:rPr>
        <w:t>- The concentration of the chemical species C</w:t>
      </w:r>
      <w:r w:rsidRPr="00670D32">
        <w:rPr>
          <w:rFonts w:eastAsia="Arial"/>
          <w:vertAlign w:val="subscript"/>
        </w:rPr>
        <w:t>7</w:t>
      </w:r>
      <w:r w:rsidRPr="00670D32">
        <w:rPr>
          <w:rFonts w:eastAsia="Arial"/>
        </w:rPr>
        <w:t>H</w:t>
      </w:r>
      <w:r w:rsidRPr="00670D32">
        <w:rPr>
          <w:rFonts w:eastAsia="Arial"/>
          <w:vertAlign w:val="subscript"/>
        </w:rPr>
        <w:t>8</w:t>
      </w:r>
      <w:r w:rsidRPr="00670D32">
        <w:rPr>
          <w:rFonts w:eastAsia="Arial"/>
        </w:rPr>
        <w:t xml:space="preserve"> (toluene) was used to perform the validation of the comparative results of this study and the results obtained by </w:t>
      </w:r>
      <w:proofErr w:type="spellStart"/>
      <w:r w:rsidRPr="00670D32">
        <w:rPr>
          <w:rFonts w:eastAsia="Arial"/>
        </w:rPr>
        <w:t>Rached</w:t>
      </w:r>
      <w:proofErr w:type="spellEnd"/>
      <w:r w:rsidRPr="00670D32">
        <w:rPr>
          <w:rFonts w:eastAsia="Arial"/>
        </w:rPr>
        <w:t xml:space="preserve"> et al. (2017).</w:t>
      </w:r>
    </w:p>
    <w:p w:rsidR="00565D99" w:rsidRDefault="0033143A" w:rsidP="00565D99">
      <w:pPr>
        <w:pStyle w:val="CETBodytext"/>
        <w:rPr>
          <w:rFonts w:eastAsia="Arial"/>
        </w:rPr>
      </w:pPr>
      <w:r w:rsidRPr="00670D32">
        <w:rPr>
          <w:rFonts w:eastAsia="Arial"/>
        </w:rPr>
        <w:t>- Almost all toluene and methane are consumed in the reaction. Reaching the objective of the present paper to carry out steam reforming of toluene with the help of partial steam reforming of methane to avoid damages caused by biomass and to produce hydrogen to contribute to the study of renewable energies.</w:t>
      </w:r>
    </w:p>
    <w:bookmarkEnd w:id="1"/>
    <w:p w:rsidR="00565D99" w:rsidRPr="00670D32" w:rsidRDefault="0033143A" w:rsidP="00565D99">
      <w:pPr>
        <w:pStyle w:val="CETAcknowledgementstitle"/>
      </w:pPr>
      <w:r w:rsidRPr="00670D32">
        <w:t>Acknowledgments</w:t>
      </w:r>
    </w:p>
    <w:p w:rsidR="00565D99" w:rsidRPr="00670D32" w:rsidRDefault="0033143A" w:rsidP="00565D99">
      <w:pPr>
        <w:pStyle w:val="CETBodytext"/>
        <w:rPr>
          <w:rFonts w:eastAsia="Arial"/>
        </w:rPr>
      </w:pPr>
      <w:bookmarkStart w:id="2" w:name="_Hlk535523202"/>
      <w:r w:rsidRPr="00670D32">
        <w:rPr>
          <w:rFonts w:eastAsia="Arial"/>
        </w:rPr>
        <w:t>The authors of this paper would like to thank the CNPQ (National Council for Scientific and Technological Development) for their financial support.</w:t>
      </w:r>
    </w:p>
    <w:bookmarkEnd w:id="2"/>
    <w:p w:rsidR="00565D99" w:rsidRPr="00670D32" w:rsidRDefault="0033143A" w:rsidP="00565D99">
      <w:pPr>
        <w:pStyle w:val="CETReference"/>
        <w:rPr>
          <w:lang w:val="pt-BR"/>
        </w:rPr>
      </w:pPr>
      <w:proofErr w:type="spellStart"/>
      <w:r w:rsidRPr="00670D32">
        <w:rPr>
          <w:lang w:val="pt-BR"/>
        </w:rPr>
        <w:t>References</w:t>
      </w:r>
      <w:proofErr w:type="spellEnd"/>
    </w:p>
    <w:p w:rsidR="00565D99" w:rsidRPr="0033143A" w:rsidRDefault="0033143A" w:rsidP="0033143A">
      <w:pPr>
        <w:pStyle w:val="CETReferencetext"/>
        <w:rPr>
          <w:rFonts w:eastAsia="Arial"/>
        </w:rPr>
      </w:pPr>
      <w:bookmarkStart w:id="3" w:name="_Hlk535523418"/>
      <w:r w:rsidRPr="00B210AB">
        <w:rPr>
          <w:rFonts w:eastAsia="Arial"/>
          <w:lang w:val="pt-BR"/>
        </w:rPr>
        <w:t xml:space="preserve">Anjos E., Silva J., Carvalho J., 2017. </w:t>
      </w:r>
      <w:r w:rsidRPr="0033143A">
        <w:rPr>
          <w:rFonts w:eastAsia="Arial"/>
        </w:rPr>
        <w:t>Dynamic Analysis of a Three-Phase Reactor of Fixed Bed for Petroleum and Petrochemical Industry. Prec. of 24th ABCM International Congress of Mechanical Engineering.</w:t>
      </w:r>
    </w:p>
    <w:p w:rsidR="00565D99" w:rsidRPr="0033143A" w:rsidRDefault="0033143A" w:rsidP="0033143A">
      <w:pPr>
        <w:pStyle w:val="CETReferencetext"/>
        <w:rPr>
          <w:rFonts w:eastAsia="Arial"/>
        </w:rPr>
      </w:pPr>
      <w:r w:rsidRPr="0033143A">
        <w:rPr>
          <w:rFonts w:eastAsia="Arial"/>
        </w:rPr>
        <w:t xml:space="preserve">Aydin, E. S., </w:t>
      </w:r>
      <w:proofErr w:type="spellStart"/>
      <w:r w:rsidRPr="0033143A">
        <w:rPr>
          <w:rFonts w:eastAsia="Arial"/>
        </w:rPr>
        <w:t>Yucel</w:t>
      </w:r>
      <w:proofErr w:type="spellEnd"/>
      <w:r w:rsidRPr="0033143A">
        <w:rPr>
          <w:rFonts w:eastAsia="Arial"/>
        </w:rPr>
        <w:t xml:space="preserve">, O., </w:t>
      </w:r>
      <w:proofErr w:type="spellStart"/>
      <w:r w:rsidRPr="0033143A">
        <w:rPr>
          <w:rFonts w:eastAsia="Arial"/>
        </w:rPr>
        <w:t>Sadikoglu</w:t>
      </w:r>
      <w:proofErr w:type="spellEnd"/>
      <w:r w:rsidRPr="0033143A">
        <w:rPr>
          <w:rFonts w:eastAsia="Arial"/>
        </w:rPr>
        <w:t>, H. 2018. Numerical and experimental investigation of hydrogen-rich syngas production via biomass gasification. International Journal of Hydrogen Energy, 4</w:t>
      </w:r>
      <w:r w:rsidR="00B210AB">
        <w:rPr>
          <w:rFonts w:eastAsia="Arial"/>
        </w:rPr>
        <w:t>3</w:t>
      </w:r>
      <w:r w:rsidRPr="0033143A">
        <w:rPr>
          <w:rFonts w:eastAsia="Arial"/>
        </w:rPr>
        <w:t>, 1105-1115.</w:t>
      </w:r>
    </w:p>
    <w:p w:rsidR="00565D99" w:rsidRPr="0033143A" w:rsidRDefault="0033143A" w:rsidP="0033143A">
      <w:pPr>
        <w:pStyle w:val="CETReferencetext"/>
      </w:pPr>
      <w:r w:rsidRPr="0033143A">
        <w:t xml:space="preserve">Cruz, B. M., da Silva, J. D. 2017. A two-dimensional mathematical model for the catalytic steam reforming of methane in both conventional fixed-bed and fixed-bed membrane reactors </w:t>
      </w:r>
      <w:proofErr w:type="gramStart"/>
      <w:r w:rsidRPr="0033143A">
        <w:t>for the Production of</w:t>
      </w:r>
      <w:proofErr w:type="gramEnd"/>
      <w:r w:rsidRPr="0033143A">
        <w:t xml:space="preserve"> hydrogen. International Journal of Hydrogen Energy, 42, 23670-23690.</w:t>
      </w:r>
    </w:p>
    <w:p w:rsidR="00565D99" w:rsidRPr="0033143A" w:rsidRDefault="0033143A" w:rsidP="0033143A">
      <w:pPr>
        <w:pStyle w:val="CETReferencetext"/>
      </w:pPr>
      <w:proofErr w:type="spellStart"/>
      <w:r w:rsidRPr="0033143A">
        <w:t>Mitran</w:t>
      </w:r>
      <w:proofErr w:type="spellEnd"/>
      <w:r w:rsidRPr="0033143A">
        <w:t xml:space="preserve">, G., </w:t>
      </w:r>
      <w:proofErr w:type="spellStart"/>
      <w:r w:rsidRPr="0033143A">
        <w:t>Mieritz</w:t>
      </w:r>
      <w:proofErr w:type="spellEnd"/>
      <w:r w:rsidRPr="0033143A">
        <w:t xml:space="preserve">, D. G., </w:t>
      </w:r>
      <w:proofErr w:type="spellStart"/>
      <w:r w:rsidRPr="0033143A">
        <w:t>Seo</w:t>
      </w:r>
      <w:proofErr w:type="spellEnd"/>
      <w:r w:rsidRPr="0033143A">
        <w:t>, D. K. 2017. Hydrotalcites with vanadium, effective catalysts for steam reforming of toluene. International Journal of Hydrogen Energy, 42, 21732-21740.</w:t>
      </w:r>
    </w:p>
    <w:p w:rsidR="000D6CC6" w:rsidRPr="0033143A" w:rsidRDefault="0033143A" w:rsidP="0033143A">
      <w:pPr>
        <w:pStyle w:val="CETReferencetext"/>
      </w:pPr>
      <w:proofErr w:type="spellStart"/>
      <w:r w:rsidRPr="0033143A">
        <w:t>Rached</w:t>
      </w:r>
      <w:proofErr w:type="spellEnd"/>
      <w:r w:rsidRPr="0033143A">
        <w:t xml:space="preserve">, J. A., El Hayek, C., </w:t>
      </w:r>
      <w:proofErr w:type="spellStart"/>
      <w:r w:rsidRPr="0033143A">
        <w:t>Dahdah</w:t>
      </w:r>
      <w:proofErr w:type="spellEnd"/>
      <w:r w:rsidRPr="0033143A">
        <w:t xml:space="preserve">, E., </w:t>
      </w:r>
      <w:proofErr w:type="spellStart"/>
      <w:r w:rsidRPr="0033143A">
        <w:t>Gennequin</w:t>
      </w:r>
      <w:proofErr w:type="spellEnd"/>
      <w:r w:rsidRPr="0033143A">
        <w:t xml:space="preserve">, C., </w:t>
      </w:r>
      <w:proofErr w:type="spellStart"/>
      <w:r w:rsidRPr="0033143A">
        <w:t>Aouad</w:t>
      </w:r>
      <w:proofErr w:type="spellEnd"/>
      <w:r w:rsidRPr="0033143A">
        <w:t xml:space="preserve">, S., </w:t>
      </w:r>
      <w:proofErr w:type="spellStart"/>
      <w:r w:rsidRPr="0033143A">
        <w:t>Tidahy</w:t>
      </w:r>
      <w:proofErr w:type="spellEnd"/>
      <w:r w:rsidRPr="0033143A">
        <w:t xml:space="preserve">, H. L., </w:t>
      </w:r>
      <w:proofErr w:type="spellStart"/>
      <w:r w:rsidRPr="0033143A">
        <w:t>Estephane</w:t>
      </w:r>
      <w:proofErr w:type="spellEnd"/>
      <w:r w:rsidRPr="0033143A">
        <w:t xml:space="preserve">, J., </w:t>
      </w:r>
      <w:proofErr w:type="spellStart"/>
      <w:r w:rsidRPr="0033143A">
        <w:t>Nsouli</w:t>
      </w:r>
      <w:proofErr w:type="spellEnd"/>
      <w:r w:rsidRPr="0033143A">
        <w:t xml:space="preserve">, B., </w:t>
      </w:r>
      <w:proofErr w:type="spellStart"/>
      <w:r w:rsidRPr="0033143A">
        <w:t>Abaukais</w:t>
      </w:r>
      <w:proofErr w:type="spellEnd"/>
      <w:r w:rsidRPr="0033143A">
        <w:t>, A., Abi-</w:t>
      </w:r>
      <w:proofErr w:type="spellStart"/>
      <w:r w:rsidRPr="0033143A">
        <w:t>Aad</w:t>
      </w:r>
      <w:proofErr w:type="spellEnd"/>
      <w:r w:rsidRPr="0033143A">
        <w:t xml:space="preserve">, E. 2017. Ni-based catalysts promoted with cerium used in the steam reforming of toluene for hydrogen production. International Journal of Hydrogen Energy, 42, 12829-12840. </w:t>
      </w:r>
    </w:p>
    <w:p w:rsidR="00BB2FA6" w:rsidRPr="0033143A" w:rsidRDefault="0033143A" w:rsidP="0033143A">
      <w:pPr>
        <w:pStyle w:val="CETReferencetext"/>
      </w:pPr>
      <w:proofErr w:type="spellStart"/>
      <w:r w:rsidRPr="0033143A">
        <w:t>Setiadjid</w:t>
      </w:r>
      <w:proofErr w:type="spellEnd"/>
      <w:r w:rsidRPr="0033143A">
        <w:t>, D. H. 2018. Green Energy Storage: A Developing Technique to Store Excess Electricity with Bicarbonate Salts. Chemical Engineering Transactions, 70, 409-414.</w:t>
      </w:r>
    </w:p>
    <w:p w:rsidR="00565D99" w:rsidRPr="0033143A" w:rsidRDefault="0033143A" w:rsidP="0033143A">
      <w:pPr>
        <w:pStyle w:val="CETReferencetext"/>
      </w:pPr>
      <w:r w:rsidRPr="0033143A">
        <w:t xml:space="preserve">Silva, J. D. 2014. Dynamic simulation of the steam reforming of methane </w:t>
      </w:r>
      <w:proofErr w:type="gramStart"/>
      <w:r w:rsidRPr="0033143A">
        <w:t>for the production of</w:t>
      </w:r>
      <w:proofErr w:type="gramEnd"/>
      <w:r w:rsidRPr="0033143A">
        <w:t xml:space="preserve"> hydrogen in a catalytic fixed bed membrane reactor. Chemical Engineering Transactions, 39, 961-966.</w:t>
      </w:r>
    </w:p>
    <w:p w:rsidR="00565D99" w:rsidRPr="0033143A" w:rsidRDefault="0033143A" w:rsidP="0033143A">
      <w:pPr>
        <w:pStyle w:val="CETReferencetext"/>
        <w:rPr>
          <w:rFonts w:eastAsia="Arial"/>
        </w:rPr>
      </w:pPr>
      <w:r w:rsidRPr="00B210AB">
        <w:rPr>
          <w:rFonts w:eastAsia="Arial"/>
          <w:lang w:val="en-US"/>
        </w:rPr>
        <w:t xml:space="preserve">Sousa, I. F., Cotta, C. P. N., </w:t>
      </w:r>
      <w:proofErr w:type="spellStart"/>
      <w:r w:rsidRPr="00B210AB">
        <w:rPr>
          <w:rFonts w:eastAsia="Arial"/>
          <w:lang w:val="en-US"/>
        </w:rPr>
        <w:t>Guerrieri</w:t>
      </w:r>
      <w:proofErr w:type="spellEnd"/>
      <w:r w:rsidRPr="00B210AB">
        <w:rPr>
          <w:rFonts w:eastAsia="Arial"/>
          <w:lang w:val="en-US"/>
        </w:rPr>
        <w:t xml:space="preserve">, D. C., Tiwari, M. K. (2019). </w:t>
      </w:r>
      <w:r w:rsidRPr="0033143A">
        <w:rPr>
          <w:rFonts w:eastAsia="Arial"/>
        </w:rPr>
        <w:t xml:space="preserve">On the Thermal Performance of a </w:t>
      </w:r>
      <w:proofErr w:type="spellStart"/>
      <w:r w:rsidRPr="0033143A">
        <w:rPr>
          <w:rFonts w:eastAsia="Arial"/>
        </w:rPr>
        <w:t>Microparallel</w:t>
      </w:r>
      <w:proofErr w:type="spellEnd"/>
      <w:r w:rsidRPr="0033143A">
        <w:rPr>
          <w:rFonts w:eastAsia="Arial"/>
        </w:rPr>
        <w:t xml:space="preserve"> Channels Heat Exchanger. Journal of Thermal Science and Engineering Applications, 11</w:t>
      </w:r>
      <w:bookmarkStart w:id="4" w:name="_GoBack"/>
      <w:bookmarkEnd w:id="4"/>
      <w:r w:rsidRPr="0033143A">
        <w:rPr>
          <w:rFonts w:eastAsia="Arial"/>
        </w:rPr>
        <w:t>, 021006.</w:t>
      </w:r>
    </w:p>
    <w:p w:rsidR="00BB2FA6" w:rsidRPr="0033143A" w:rsidRDefault="0033143A" w:rsidP="0033143A">
      <w:pPr>
        <w:pStyle w:val="CETReferencetext"/>
        <w:rPr>
          <w:rFonts w:eastAsia="Arial"/>
        </w:rPr>
      </w:pPr>
      <w:r w:rsidRPr="0033143A">
        <w:t>Sun, Y., Hasan, M. S., Zhou, J. 2018. The Development of Renewable Energy in Bangladesh. Chemical Engineering Transactions, 71, 1069-1074.</w:t>
      </w:r>
    </w:p>
    <w:p w:rsidR="00BB2FA6" w:rsidRPr="0033143A" w:rsidRDefault="0033143A" w:rsidP="0033143A">
      <w:pPr>
        <w:pStyle w:val="CETReferencetext"/>
      </w:pPr>
      <w:r w:rsidRPr="0033143A">
        <w:t xml:space="preserve">Oliveira, C. C. B., Silva, J. D. 2013. Mathematical </w:t>
      </w:r>
      <w:proofErr w:type="spellStart"/>
      <w:r w:rsidRPr="0033143A">
        <w:t>modeling</w:t>
      </w:r>
      <w:proofErr w:type="spellEnd"/>
      <w:r w:rsidRPr="0033143A">
        <w:t xml:space="preserve"> of the steam reforming of toluene for fuel gas production in a fixed bed catalytic reactor. Chemical Engineering Transactions, 35, 307-312.  </w:t>
      </w:r>
    </w:p>
    <w:p w:rsidR="00565D99" w:rsidRPr="0033143A" w:rsidRDefault="0033143A" w:rsidP="0033143A">
      <w:pPr>
        <w:pStyle w:val="CETReferencetext"/>
      </w:pPr>
      <w:r w:rsidRPr="0033143A">
        <w:t>Wu, C., Huang, J., Williams, P. T. 2013. Carbon nanotubes and hydrogen production from the reforming of toluene. International Journal of Hydrogen Energy, 38(21), 8790-8797.</w:t>
      </w:r>
    </w:p>
    <w:bookmarkEnd w:id="3"/>
    <w:p w:rsidR="004628D2" w:rsidRDefault="004628D2" w:rsidP="00565D99">
      <w:pPr>
        <w:pStyle w:val="CETTitle"/>
      </w:pPr>
    </w:p>
    <w:sectPr w:rsidR="004628D2" w:rsidSect="0077098D">
      <w:type w:val="continuous"/>
      <w:pgSz w:w="11906" w:h="16838" w:code="9"/>
      <w:pgMar w:top="1701" w:right="1418" w:bottom="1701" w:left="1701" w:header="1701" w:footer="0"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B27E3AA2">
      <w:start w:val="1"/>
      <w:numFmt w:val="bullet"/>
      <w:lvlText w:val=""/>
      <w:lvlJc w:val="left"/>
      <w:pPr>
        <w:ind w:left="720" w:hanging="360"/>
      </w:pPr>
      <w:rPr>
        <w:rFonts w:ascii="Symbol" w:hAnsi="Symbol" w:hint="default"/>
      </w:rPr>
    </w:lvl>
    <w:lvl w:ilvl="1" w:tplc="A2B6962E" w:tentative="1">
      <w:start w:val="1"/>
      <w:numFmt w:val="bullet"/>
      <w:lvlText w:val="o"/>
      <w:lvlJc w:val="left"/>
      <w:pPr>
        <w:ind w:left="1440" w:hanging="360"/>
      </w:pPr>
      <w:rPr>
        <w:rFonts w:ascii="Courier New" w:hAnsi="Courier New" w:cs="Courier New" w:hint="default"/>
      </w:rPr>
    </w:lvl>
    <w:lvl w:ilvl="2" w:tplc="C9484C20" w:tentative="1">
      <w:start w:val="1"/>
      <w:numFmt w:val="bullet"/>
      <w:lvlText w:val=""/>
      <w:lvlJc w:val="left"/>
      <w:pPr>
        <w:ind w:left="2160" w:hanging="360"/>
      </w:pPr>
      <w:rPr>
        <w:rFonts w:ascii="Wingdings" w:hAnsi="Wingdings" w:hint="default"/>
      </w:rPr>
    </w:lvl>
    <w:lvl w:ilvl="3" w:tplc="F94A55A0" w:tentative="1">
      <w:start w:val="1"/>
      <w:numFmt w:val="bullet"/>
      <w:lvlText w:val=""/>
      <w:lvlJc w:val="left"/>
      <w:pPr>
        <w:ind w:left="2880" w:hanging="360"/>
      </w:pPr>
      <w:rPr>
        <w:rFonts w:ascii="Symbol" w:hAnsi="Symbol" w:hint="default"/>
      </w:rPr>
    </w:lvl>
    <w:lvl w:ilvl="4" w:tplc="414A00D4" w:tentative="1">
      <w:start w:val="1"/>
      <w:numFmt w:val="bullet"/>
      <w:lvlText w:val="o"/>
      <w:lvlJc w:val="left"/>
      <w:pPr>
        <w:ind w:left="3600" w:hanging="360"/>
      </w:pPr>
      <w:rPr>
        <w:rFonts w:ascii="Courier New" w:hAnsi="Courier New" w:cs="Courier New" w:hint="default"/>
      </w:rPr>
    </w:lvl>
    <w:lvl w:ilvl="5" w:tplc="1046A62C" w:tentative="1">
      <w:start w:val="1"/>
      <w:numFmt w:val="bullet"/>
      <w:lvlText w:val=""/>
      <w:lvlJc w:val="left"/>
      <w:pPr>
        <w:ind w:left="4320" w:hanging="360"/>
      </w:pPr>
      <w:rPr>
        <w:rFonts w:ascii="Wingdings" w:hAnsi="Wingdings" w:hint="default"/>
      </w:rPr>
    </w:lvl>
    <w:lvl w:ilvl="6" w:tplc="6F929784" w:tentative="1">
      <w:start w:val="1"/>
      <w:numFmt w:val="bullet"/>
      <w:lvlText w:val=""/>
      <w:lvlJc w:val="left"/>
      <w:pPr>
        <w:ind w:left="5040" w:hanging="360"/>
      </w:pPr>
      <w:rPr>
        <w:rFonts w:ascii="Symbol" w:hAnsi="Symbol" w:hint="default"/>
      </w:rPr>
    </w:lvl>
    <w:lvl w:ilvl="7" w:tplc="1F8A5312" w:tentative="1">
      <w:start w:val="1"/>
      <w:numFmt w:val="bullet"/>
      <w:lvlText w:val="o"/>
      <w:lvlJc w:val="left"/>
      <w:pPr>
        <w:ind w:left="5760" w:hanging="360"/>
      </w:pPr>
      <w:rPr>
        <w:rFonts w:ascii="Courier New" w:hAnsi="Courier New" w:cs="Courier New" w:hint="default"/>
      </w:rPr>
    </w:lvl>
    <w:lvl w:ilvl="8" w:tplc="58485B86"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493E4C40">
      <w:start w:val="1"/>
      <w:numFmt w:val="bullet"/>
      <w:pStyle w:val="CETnumberingbullets"/>
      <w:lvlText w:val=""/>
      <w:lvlJc w:val="left"/>
      <w:pPr>
        <w:ind w:left="340" w:hanging="227"/>
      </w:pPr>
      <w:rPr>
        <w:rFonts w:ascii="Symbol" w:hAnsi="Symbol" w:hint="default"/>
      </w:rPr>
    </w:lvl>
    <w:lvl w:ilvl="1" w:tplc="90A8F4CA" w:tentative="1">
      <w:start w:val="1"/>
      <w:numFmt w:val="bullet"/>
      <w:lvlText w:val="o"/>
      <w:lvlJc w:val="left"/>
      <w:pPr>
        <w:ind w:left="1440" w:hanging="360"/>
      </w:pPr>
      <w:rPr>
        <w:rFonts w:ascii="Courier New" w:hAnsi="Courier New" w:cs="Courier New" w:hint="default"/>
      </w:rPr>
    </w:lvl>
    <w:lvl w:ilvl="2" w:tplc="B180F998" w:tentative="1">
      <w:start w:val="1"/>
      <w:numFmt w:val="bullet"/>
      <w:lvlText w:val=""/>
      <w:lvlJc w:val="left"/>
      <w:pPr>
        <w:ind w:left="2160" w:hanging="360"/>
      </w:pPr>
      <w:rPr>
        <w:rFonts w:ascii="Wingdings" w:hAnsi="Wingdings" w:hint="default"/>
      </w:rPr>
    </w:lvl>
    <w:lvl w:ilvl="3" w:tplc="C9DC8728" w:tentative="1">
      <w:start w:val="1"/>
      <w:numFmt w:val="bullet"/>
      <w:lvlText w:val=""/>
      <w:lvlJc w:val="left"/>
      <w:pPr>
        <w:ind w:left="2880" w:hanging="360"/>
      </w:pPr>
      <w:rPr>
        <w:rFonts w:ascii="Symbol" w:hAnsi="Symbol" w:hint="default"/>
      </w:rPr>
    </w:lvl>
    <w:lvl w:ilvl="4" w:tplc="919485EC" w:tentative="1">
      <w:start w:val="1"/>
      <w:numFmt w:val="bullet"/>
      <w:lvlText w:val="o"/>
      <w:lvlJc w:val="left"/>
      <w:pPr>
        <w:ind w:left="3600" w:hanging="360"/>
      </w:pPr>
      <w:rPr>
        <w:rFonts w:ascii="Courier New" w:hAnsi="Courier New" w:cs="Courier New" w:hint="default"/>
      </w:rPr>
    </w:lvl>
    <w:lvl w:ilvl="5" w:tplc="15EA1B96" w:tentative="1">
      <w:start w:val="1"/>
      <w:numFmt w:val="bullet"/>
      <w:lvlText w:val=""/>
      <w:lvlJc w:val="left"/>
      <w:pPr>
        <w:ind w:left="4320" w:hanging="360"/>
      </w:pPr>
      <w:rPr>
        <w:rFonts w:ascii="Wingdings" w:hAnsi="Wingdings" w:hint="default"/>
      </w:rPr>
    </w:lvl>
    <w:lvl w:ilvl="6" w:tplc="895ADC4C" w:tentative="1">
      <w:start w:val="1"/>
      <w:numFmt w:val="bullet"/>
      <w:lvlText w:val=""/>
      <w:lvlJc w:val="left"/>
      <w:pPr>
        <w:ind w:left="5040" w:hanging="360"/>
      </w:pPr>
      <w:rPr>
        <w:rFonts w:ascii="Symbol" w:hAnsi="Symbol" w:hint="default"/>
      </w:rPr>
    </w:lvl>
    <w:lvl w:ilvl="7" w:tplc="08CE3368" w:tentative="1">
      <w:start w:val="1"/>
      <w:numFmt w:val="bullet"/>
      <w:lvlText w:val="o"/>
      <w:lvlJc w:val="left"/>
      <w:pPr>
        <w:ind w:left="5760" w:hanging="360"/>
      </w:pPr>
      <w:rPr>
        <w:rFonts w:ascii="Courier New" w:hAnsi="Courier New" w:cs="Courier New" w:hint="default"/>
      </w:rPr>
    </w:lvl>
    <w:lvl w:ilvl="8" w:tplc="A448EBE4" w:tentative="1">
      <w:start w:val="1"/>
      <w:numFmt w:val="bullet"/>
      <w:lvlText w:val=""/>
      <w:lvlJc w:val="left"/>
      <w:pPr>
        <w:ind w:left="6480" w:hanging="360"/>
      </w:pPr>
      <w:rPr>
        <w:rFonts w:ascii="Wingdings" w:hAnsi="Wingdings" w:hint="default"/>
      </w:rPr>
    </w:lvl>
  </w:abstractNum>
  <w:abstractNum w:abstractNumId="13" w15:restartNumberingAfterBreak="0">
    <w:nsid w:val="3BF57852"/>
    <w:multiLevelType w:val="hybridMultilevel"/>
    <w:tmpl w:val="90F0DC2C"/>
    <w:lvl w:ilvl="0" w:tplc="8618B96C">
      <w:start w:val="2"/>
      <w:numFmt w:val="bullet"/>
      <w:lvlText w:val="-"/>
      <w:lvlJc w:val="left"/>
      <w:pPr>
        <w:ind w:left="720" w:hanging="360"/>
      </w:pPr>
      <w:rPr>
        <w:rFonts w:ascii="Arial" w:eastAsia="Arial" w:hAnsi="Arial" w:cs="Arial" w:hint="default"/>
      </w:rPr>
    </w:lvl>
    <w:lvl w:ilvl="1" w:tplc="1228EE52" w:tentative="1">
      <w:start w:val="1"/>
      <w:numFmt w:val="bullet"/>
      <w:lvlText w:val="o"/>
      <w:lvlJc w:val="left"/>
      <w:pPr>
        <w:ind w:left="1440" w:hanging="360"/>
      </w:pPr>
      <w:rPr>
        <w:rFonts w:ascii="Courier New" w:hAnsi="Courier New" w:cs="Courier New" w:hint="default"/>
      </w:rPr>
    </w:lvl>
    <w:lvl w:ilvl="2" w:tplc="81E23D04" w:tentative="1">
      <w:start w:val="1"/>
      <w:numFmt w:val="bullet"/>
      <w:lvlText w:val=""/>
      <w:lvlJc w:val="left"/>
      <w:pPr>
        <w:ind w:left="2160" w:hanging="360"/>
      </w:pPr>
      <w:rPr>
        <w:rFonts w:ascii="Wingdings" w:hAnsi="Wingdings" w:hint="default"/>
      </w:rPr>
    </w:lvl>
    <w:lvl w:ilvl="3" w:tplc="190063FC" w:tentative="1">
      <w:start w:val="1"/>
      <w:numFmt w:val="bullet"/>
      <w:lvlText w:val=""/>
      <w:lvlJc w:val="left"/>
      <w:pPr>
        <w:ind w:left="2880" w:hanging="360"/>
      </w:pPr>
      <w:rPr>
        <w:rFonts w:ascii="Symbol" w:hAnsi="Symbol" w:hint="default"/>
      </w:rPr>
    </w:lvl>
    <w:lvl w:ilvl="4" w:tplc="46883648" w:tentative="1">
      <w:start w:val="1"/>
      <w:numFmt w:val="bullet"/>
      <w:lvlText w:val="o"/>
      <w:lvlJc w:val="left"/>
      <w:pPr>
        <w:ind w:left="3600" w:hanging="360"/>
      </w:pPr>
      <w:rPr>
        <w:rFonts w:ascii="Courier New" w:hAnsi="Courier New" w:cs="Courier New" w:hint="default"/>
      </w:rPr>
    </w:lvl>
    <w:lvl w:ilvl="5" w:tplc="C6763834" w:tentative="1">
      <w:start w:val="1"/>
      <w:numFmt w:val="bullet"/>
      <w:lvlText w:val=""/>
      <w:lvlJc w:val="left"/>
      <w:pPr>
        <w:ind w:left="4320" w:hanging="360"/>
      </w:pPr>
      <w:rPr>
        <w:rFonts w:ascii="Wingdings" w:hAnsi="Wingdings" w:hint="default"/>
      </w:rPr>
    </w:lvl>
    <w:lvl w:ilvl="6" w:tplc="A4D4EBE6" w:tentative="1">
      <w:start w:val="1"/>
      <w:numFmt w:val="bullet"/>
      <w:lvlText w:val=""/>
      <w:lvlJc w:val="left"/>
      <w:pPr>
        <w:ind w:left="5040" w:hanging="360"/>
      </w:pPr>
      <w:rPr>
        <w:rFonts w:ascii="Symbol" w:hAnsi="Symbol" w:hint="default"/>
      </w:rPr>
    </w:lvl>
    <w:lvl w:ilvl="7" w:tplc="8C50747C" w:tentative="1">
      <w:start w:val="1"/>
      <w:numFmt w:val="bullet"/>
      <w:lvlText w:val="o"/>
      <w:lvlJc w:val="left"/>
      <w:pPr>
        <w:ind w:left="5760" w:hanging="360"/>
      </w:pPr>
      <w:rPr>
        <w:rFonts w:ascii="Courier New" w:hAnsi="Courier New" w:cs="Courier New" w:hint="default"/>
      </w:rPr>
    </w:lvl>
    <w:lvl w:ilvl="8" w:tplc="24845D28"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20BC5366">
      <w:start w:val="1"/>
      <w:numFmt w:val="decimal"/>
      <w:lvlText w:val="%1)"/>
      <w:lvlJc w:val="left"/>
      <w:pPr>
        <w:ind w:left="720" w:hanging="360"/>
      </w:pPr>
      <w:rPr>
        <w:rFonts w:hint="default"/>
      </w:rPr>
    </w:lvl>
    <w:lvl w:ilvl="1" w:tplc="F44ED606" w:tentative="1">
      <w:start w:val="1"/>
      <w:numFmt w:val="lowerLetter"/>
      <w:lvlText w:val="%2."/>
      <w:lvlJc w:val="left"/>
      <w:pPr>
        <w:ind w:left="1440" w:hanging="360"/>
      </w:pPr>
    </w:lvl>
    <w:lvl w:ilvl="2" w:tplc="5958F49C" w:tentative="1">
      <w:start w:val="1"/>
      <w:numFmt w:val="lowerRoman"/>
      <w:lvlText w:val="%3."/>
      <w:lvlJc w:val="right"/>
      <w:pPr>
        <w:ind w:left="2160" w:hanging="180"/>
      </w:pPr>
    </w:lvl>
    <w:lvl w:ilvl="3" w:tplc="9932BEE2" w:tentative="1">
      <w:start w:val="1"/>
      <w:numFmt w:val="decimal"/>
      <w:lvlText w:val="%4."/>
      <w:lvlJc w:val="left"/>
      <w:pPr>
        <w:ind w:left="2880" w:hanging="360"/>
      </w:pPr>
    </w:lvl>
    <w:lvl w:ilvl="4" w:tplc="7744FAC6" w:tentative="1">
      <w:start w:val="1"/>
      <w:numFmt w:val="lowerLetter"/>
      <w:lvlText w:val="%5."/>
      <w:lvlJc w:val="left"/>
      <w:pPr>
        <w:ind w:left="3600" w:hanging="360"/>
      </w:pPr>
    </w:lvl>
    <w:lvl w:ilvl="5" w:tplc="34EEDDC2" w:tentative="1">
      <w:start w:val="1"/>
      <w:numFmt w:val="lowerRoman"/>
      <w:lvlText w:val="%6."/>
      <w:lvlJc w:val="right"/>
      <w:pPr>
        <w:ind w:left="4320" w:hanging="180"/>
      </w:pPr>
    </w:lvl>
    <w:lvl w:ilvl="6" w:tplc="15DCE634" w:tentative="1">
      <w:start w:val="1"/>
      <w:numFmt w:val="decimal"/>
      <w:lvlText w:val="%7."/>
      <w:lvlJc w:val="left"/>
      <w:pPr>
        <w:ind w:left="5040" w:hanging="360"/>
      </w:pPr>
    </w:lvl>
    <w:lvl w:ilvl="7" w:tplc="E84E80F2" w:tentative="1">
      <w:start w:val="1"/>
      <w:numFmt w:val="lowerLetter"/>
      <w:lvlText w:val="%8."/>
      <w:lvlJc w:val="left"/>
      <w:pPr>
        <w:ind w:left="5760" w:hanging="360"/>
      </w:pPr>
    </w:lvl>
    <w:lvl w:ilvl="8" w:tplc="5E0A3228"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6A3C0618">
      <w:start w:val="1"/>
      <w:numFmt w:val="bullet"/>
      <w:lvlText w:val=""/>
      <w:lvlJc w:val="left"/>
      <w:pPr>
        <w:ind w:left="340" w:hanging="227"/>
      </w:pPr>
      <w:rPr>
        <w:rFonts w:ascii="Symbol" w:hAnsi="Symbol" w:hint="default"/>
      </w:rPr>
    </w:lvl>
    <w:lvl w:ilvl="1" w:tplc="315869DE" w:tentative="1">
      <w:start w:val="1"/>
      <w:numFmt w:val="bullet"/>
      <w:lvlText w:val="o"/>
      <w:lvlJc w:val="left"/>
      <w:pPr>
        <w:ind w:left="1440" w:hanging="360"/>
      </w:pPr>
      <w:rPr>
        <w:rFonts w:ascii="Courier New" w:hAnsi="Courier New" w:cs="Courier New" w:hint="default"/>
      </w:rPr>
    </w:lvl>
    <w:lvl w:ilvl="2" w:tplc="00B0D0CA" w:tentative="1">
      <w:start w:val="1"/>
      <w:numFmt w:val="bullet"/>
      <w:lvlText w:val=""/>
      <w:lvlJc w:val="left"/>
      <w:pPr>
        <w:ind w:left="2160" w:hanging="360"/>
      </w:pPr>
      <w:rPr>
        <w:rFonts w:ascii="Wingdings" w:hAnsi="Wingdings" w:hint="default"/>
      </w:rPr>
    </w:lvl>
    <w:lvl w:ilvl="3" w:tplc="6CA0C7BA" w:tentative="1">
      <w:start w:val="1"/>
      <w:numFmt w:val="bullet"/>
      <w:lvlText w:val=""/>
      <w:lvlJc w:val="left"/>
      <w:pPr>
        <w:ind w:left="2880" w:hanging="360"/>
      </w:pPr>
      <w:rPr>
        <w:rFonts w:ascii="Symbol" w:hAnsi="Symbol" w:hint="default"/>
      </w:rPr>
    </w:lvl>
    <w:lvl w:ilvl="4" w:tplc="D0AA9EB4" w:tentative="1">
      <w:start w:val="1"/>
      <w:numFmt w:val="bullet"/>
      <w:lvlText w:val="o"/>
      <w:lvlJc w:val="left"/>
      <w:pPr>
        <w:ind w:left="3600" w:hanging="360"/>
      </w:pPr>
      <w:rPr>
        <w:rFonts w:ascii="Courier New" w:hAnsi="Courier New" w:cs="Courier New" w:hint="default"/>
      </w:rPr>
    </w:lvl>
    <w:lvl w:ilvl="5" w:tplc="DF3ED996" w:tentative="1">
      <w:start w:val="1"/>
      <w:numFmt w:val="bullet"/>
      <w:lvlText w:val=""/>
      <w:lvlJc w:val="left"/>
      <w:pPr>
        <w:ind w:left="4320" w:hanging="360"/>
      </w:pPr>
      <w:rPr>
        <w:rFonts w:ascii="Wingdings" w:hAnsi="Wingdings" w:hint="default"/>
      </w:rPr>
    </w:lvl>
    <w:lvl w:ilvl="6" w:tplc="04D0DF3C" w:tentative="1">
      <w:start w:val="1"/>
      <w:numFmt w:val="bullet"/>
      <w:lvlText w:val=""/>
      <w:lvlJc w:val="left"/>
      <w:pPr>
        <w:ind w:left="5040" w:hanging="360"/>
      </w:pPr>
      <w:rPr>
        <w:rFonts w:ascii="Symbol" w:hAnsi="Symbol" w:hint="default"/>
      </w:rPr>
    </w:lvl>
    <w:lvl w:ilvl="7" w:tplc="99DC3958" w:tentative="1">
      <w:start w:val="1"/>
      <w:numFmt w:val="bullet"/>
      <w:lvlText w:val="o"/>
      <w:lvlJc w:val="left"/>
      <w:pPr>
        <w:ind w:left="5760" w:hanging="360"/>
      </w:pPr>
      <w:rPr>
        <w:rFonts w:ascii="Courier New" w:hAnsi="Courier New" w:cs="Courier New" w:hint="default"/>
      </w:rPr>
    </w:lvl>
    <w:lvl w:ilvl="8" w:tplc="6688C946"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D23CC82E">
      <w:start w:val="1"/>
      <w:numFmt w:val="decimal"/>
      <w:lvlText w:val="%1)"/>
      <w:lvlJc w:val="left"/>
      <w:pPr>
        <w:ind w:left="340" w:hanging="227"/>
      </w:pPr>
      <w:rPr>
        <w:rFonts w:hint="default"/>
      </w:rPr>
    </w:lvl>
    <w:lvl w:ilvl="1" w:tplc="3CE694BC" w:tentative="1">
      <w:start w:val="1"/>
      <w:numFmt w:val="bullet"/>
      <w:lvlText w:val="o"/>
      <w:lvlJc w:val="left"/>
      <w:pPr>
        <w:ind w:left="1440" w:hanging="360"/>
      </w:pPr>
      <w:rPr>
        <w:rFonts w:ascii="Courier New" w:hAnsi="Courier New" w:cs="Courier New" w:hint="default"/>
      </w:rPr>
    </w:lvl>
    <w:lvl w:ilvl="2" w:tplc="5FEC6502" w:tentative="1">
      <w:start w:val="1"/>
      <w:numFmt w:val="bullet"/>
      <w:lvlText w:val=""/>
      <w:lvlJc w:val="left"/>
      <w:pPr>
        <w:ind w:left="2160" w:hanging="360"/>
      </w:pPr>
      <w:rPr>
        <w:rFonts w:ascii="Wingdings" w:hAnsi="Wingdings" w:hint="default"/>
      </w:rPr>
    </w:lvl>
    <w:lvl w:ilvl="3" w:tplc="7EAE7866" w:tentative="1">
      <w:start w:val="1"/>
      <w:numFmt w:val="bullet"/>
      <w:lvlText w:val=""/>
      <w:lvlJc w:val="left"/>
      <w:pPr>
        <w:ind w:left="2880" w:hanging="360"/>
      </w:pPr>
      <w:rPr>
        <w:rFonts w:ascii="Symbol" w:hAnsi="Symbol" w:hint="default"/>
      </w:rPr>
    </w:lvl>
    <w:lvl w:ilvl="4" w:tplc="5956CF14" w:tentative="1">
      <w:start w:val="1"/>
      <w:numFmt w:val="bullet"/>
      <w:lvlText w:val="o"/>
      <w:lvlJc w:val="left"/>
      <w:pPr>
        <w:ind w:left="3600" w:hanging="360"/>
      </w:pPr>
      <w:rPr>
        <w:rFonts w:ascii="Courier New" w:hAnsi="Courier New" w:cs="Courier New" w:hint="default"/>
      </w:rPr>
    </w:lvl>
    <w:lvl w:ilvl="5" w:tplc="E75A22B0" w:tentative="1">
      <w:start w:val="1"/>
      <w:numFmt w:val="bullet"/>
      <w:lvlText w:val=""/>
      <w:lvlJc w:val="left"/>
      <w:pPr>
        <w:ind w:left="4320" w:hanging="360"/>
      </w:pPr>
      <w:rPr>
        <w:rFonts w:ascii="Wingdings" w:hAnsi="Wingdings" w:hint="default"/>
      </w:rPr>
    </w:lvl>
    <w:lvl w:ilvl="6" w:tplc="FD1EF556" w:tentative="1">
      <w:start w:val="1"/>
      <w:numFmt w:val="bullet"/>
      <w:lvlText w:val=""/>
      <w:lvlJc w:val="left"/>
      <w:pPr>
        <w:ind w:left="5040" w:hanging="360"/>
      </w:pPr>
      <w:rPr>
        <w:rFonts w:ascii="Symbol" w:hAnsi="Symbol" w:hint="default"/>
      </w:rPr>
    </w:lvl>
    <w:lvl w:ilvl="7" w:tplc="A6E29600" w:tentative="1">
      <w:start w:val="1"/>
      <w:numFmt w:val="bullet"/>
      <w:lvlText w:val="o"/>
      <w:lvlJc w:val="left"/>
      <w:pPr>
        <w:ind w:left="5760" w:hanging="360"/>
      </w:pPr>
      <w:rPr>
        <w:rFonts w:ascii="Courier New" w:hAnsi="Courier New" w:cs="Courier New" w:hint="default"/>
      </w:rPr>
    </w:lvl>
    <w:lvl w:ilvl="8" w:tplc="2890AA2C"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27460C62">
      <w:start w:val="1"/>
      <w:numFmt w:val="decimal"/>
      <w:pStyle w:val="CETnumbering1"/>
      <w:lvlText w:val="%1."/>
      <w:lvlJc w:val="left"/>
      <w:pPr>
        <w:ind w:left="720" w:hanging="360"/>
      </w:pPr>
    </w:lvl>
    <w:lvl w:ilvl="1" w:tplc="6F5699F8" w:tentative="1">
      <w:start w:val="1"/>
      <w:numFmt w:val="lowerLetter"/>
      <w:lvlText w:val="%2."/>
      <w:lvlJc w:val="left"/>
      <w:pPr>
        <w:ind w:left="1440" w:hanging="360"/>
      </w:pPr>
    </w:lvl>
    <w:lvl w:ilvl="2" w:tplc="4594A430" w:tentative="1">
      <w:start w:val="1"/>
      <w:numFmt w:val="lowerRoman"/>
      <w:lvlText w:val="%3."/>
      <w:lvlJc w:val="right"/>
      <w:pPr>
        <w:ind w:left="2160" w:hanging="180"/>
      </w:pPr>
    </w:lvl>
    <w:lvl w:ilvl="3" w:tplc="711A7476" w:tentative="1">
      <w:start w:val="1"/>
      <w:numFmt w:val="decimal"/>
      <w:lvlText w:val="%4."/>
      <w:lvlJc w:val="left"/>
      <w:pPr>
        <w:ind w:left="2880" w:hanging="360"/>
      </w:pPr>
    </w:lvl>
    <w:lvl w:ilvl="4" w:tplc="391C7622" w:tentative="1">
      <w:start w:val="1"/>
      <w:numFmt w:val="lowerLetter"/>
      <w:lvlText w:val="%5."/>
      <w:lvlJc w:val="left"/>
      <w:pPr>
        <w:ind w:left="3600" w:hanging="360"/>
      </w:pPr>
    </w:lvl>
    <w:lvl w:ilvl="5" w:tplc="8EB40366" w:tentative="1">
      <w:start w:val="1"/>
      <w:numFmt w:val="lowerRoman"/>
      <w:lvlText w:val="%6."/>
      <w:lvlJc w:val="right"/>
      <w:pPr>
        <w:ind w:left="4320" w:hanging="180"/>
      </w:pPr>
    </w:lvl>
    <w:lvl w:ilvl="6" w:tplc="9E106394" w:tentative="1">
      <w:start w:val="1"/>
      <w:numFmt w:val="decimal"/>
      <w:lvlText w:val="%7."/>
      <w:lvlJc w:val="left"/>
      <w:pPr>
        <w:ind w:left="5040" w:hanging="360"/>
      </w:pPr>
    </w:lvl>
    <w:lvl w:ilvl="7" w:tplc="7E0CF7EE" w:tentative="1">
      <w:start w:val="1"/>
      <w:numFmt w:val="lowerLetter"/>
      <w:lvlText w:val="%8."/>
      <w:lvlJc w:val="left"/>
      <w:pPr>
        <w:ind w:left="5760" w:hanging="360"/>
      </w:pPr>
    </w:lvl>
    <w:lvl w:ilvl="8" w:tplc="0FA444AA"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8360942C">
      <w:start w:val="1"/>
      <w:numFmt w:val="bullet"/>
      <w:lvlText w:val=""/>
      <w:lvlJc w:val="left"/>
      <w:pPr>
        <w:ind w:left="720" w:hanging="360"/>
      </w:pPr>
      <w:rPr>
        <w:rFonts w:ascii="Symbol" w:hAnsi="Symbol" w:hint="default"/>
      </w:rPr>
    </w:lvl>
    <w:lvl w:ilvl="1" w:tplc="DD3E3F2A" w:tentative="1">
      <w:start w:val="1"/>
      <w:numFmt w:val="bullet"/>
      <w:lvlText w:val="o"/>
      <w:lvlJc w:val="left"/>
      <w:pPr>
        <w:ind w:left="1440" w:hanging="360"/>
      </w:pPr>
      <w:rPr>
        <w:rFonts w:ascii="Courier New" w:hAnsi="Courier New" w:cs="Courier New" w:hint="default"/>
      </w:rPr>
    </w:lvl>
    <w:lvl w:ilvl="2" w:tplc="B282CED2" w:tentative="1">
      <w:start w:val="1"/>
      <w:numFmt w:val="bullet"/>
      <w:lvlText w:val=""/>
      <w:lvlJc w:val="left"/>
      <w:pPr>
        <w:ind w:left="2160" w:hanging="360"/>
      </w:pPr>
      <w:rPr>
        <w:rFonts w:ascii="Wingdings" w:hAnsi="Wingdings" w:hint="default"/>
      </w:rPr>
    </w:lvl>
    <w:lvl w:ilvl="3" w:tplc="01B6150C" w:tentative="1">
      <w:start w:val="1"/>
      <w:numFmt w:val="bullet"/>
      <w:lvlText w:val=""/>
      <w:lvlJc w:val="left"/>
      <w:pPr>
        <w:ind w:left="2880" w:hanging="360"/>
      </w:pPr>
      <w:rPr>
        <w:rFonts w:ascii="Symbol" w:hAnsi="Symbol" w:hint="default"/>
      </w:rPr>
    </w:lvl>
    <w:lvl w:ilvl="4" w:tplc="F6023D8E" w:tentative="1">
      <w:start w:val="1"/>
      <w:numFmt w:val="bullet"/>
      <w:lvlText w:val="o"/>
      <w:lvlJc w:val="left"/>
      <w:pPr>
        <w:ind w:left="3600" w:hanging="360"/>
      </w:pPr>
      <w:rPr>
        <w:rFonts w:ascii="Courier New" w:hAnsi="Courier New" w:cs="Courier New" w:hint="default"/>
      </w:rPr>
    </w:lvl>
    <w:lvl w:ilvl="5" w:tplc="EFF897F6" w:tentative="1">
      <w:start w:val="1"/>
      <w:numFmt w:val="bullet"/>
      <w:lvlText w:val=""/>
      <w:lvlJc w:val="left"/>
      <w:pPr>
        <w:ind w:left="4320" w:hanging="360"/>
      </w:pPr>
      <w:rPr>
        <w:rFonts w:ascii="Wingdings" w:hAnsi="Wingdings" w:hint="default"/>
      </w:rPr>
    </w:lvl>
    <w:lvl w:ilvl="6" w:tplc="3BF23E02" w:tentative="1">
      <w:start w:val="1"/>
      <w:numFmt w:val="bullet"/>
      <w:lvlText w:val=""/>
      <w:lvlJc w:val="left"/>
      <w:pPr>
        <w:ind w:left="5040" w:hanging="360"/>
      </w:pPr>
      <w:rPr>
        <w:rFonts w:ascii="Symbol" w:hAnsi="Symbol" w:hint="default"/>
      </w:rPr>
    </w:lvl>
    <w:lvl w:ilvl="7" w:tplc="55F4C668" w:tentative="1">
      <w:start w:val="1"/>
      <w:numFmt w:val="bullet"/>
      <w:lvlText w:val="o"/>
      <w:lvlJc w:val="left"/>
      <w:pPr>
        <w:ind w:left="5760" w:hanging="360"/>
      </w:pPr>
      <w:rPr>
        <w:rFonts w:ascii="Courier New" w:hAnsi="Courier New" w:cs="Courier New" w:hint="default"/>
      </w:rPr>
    </w:lvl>
    <w:lvl w:ilvl="8" w:tplc="3840546A"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9BAE4AA">
      <w:start w:val="1"/>
      <w:numFmt w:val="lowerLetter"/>
      <w:pStyle w:val="CETnumberinga"/>
      <w:lvlText w:val="%1."/>
      <w:lvlJc w:val="left"/>
      <w:pPr>
        <w:ind w:left="340" w:hanging="227"/>
      </w:pPr>
      <w:rPr>
        <w:rFonts w:hint="default"/>
      </w:rPr>
    </w:lvl>
    <w:lvl w:ilvl="1" w:tplc="F2183AD6" w:tentative="1">
      <w:start w:val="1"/>
      <w:numFmt w:val="bullet"/>
      <w:lvlText w:val="o"/>
      <w:lvlJc w:val="left"/>
      <w:pPr>
        <w:ind w:left="1440" w:hanging="360"/>
      </w:pPr>
      <w:rPr>
        <w:rFonts w:ascii="Courier New" w:hAnsi="Courier New" w:cs="Courier New" w:hint="default"/>
      </w:rPr>
    </w:lvl>
    <w:lvl w:ilvl="2" w:tplc="8B48B7CA" w:tentative="1">
      <w:start w:val="1"/>
      <w:numFmt w:val="bullet"/>
      <w:lvlText w:val=""/>
      <w:lvlJc w:val="left"/>
      <w:pPr>
        <w:ind w:left="2160" w:hanging="360"/>
      </w:pPr>
      <w:rPr>
        <w:rFonts w:ascii="Wingdings" w:hAnsi="Wingdings" w:hint="default"/>
      </w:rPr>
    </w:lvl>
    <w:lvl w:ilvl="3" w:tplc="42A40E4A" w:tentative="1">
      <w:start w:val="1"/>
      <w:numFmt w:val="bullet"/>
      <w:lvlText w:val=""/>
      <w:lvlJc w:val="left"/>
      <w:pPr>
        <w:ind w:left="2880" w:hanging="360"/>
      </w:pPr>
      <w:rPr>
        <w:rFonts w:ascii="Symbol" w:hAnsi="Symbol" w:hint="default"/>
      </w:rPr>
    </w:lvl>
    <w:lvl w:ilvl="4" w:tplc="84227AFA" w:tentative="1">
      <w:start w:val="1"/>
      <w:numFmt w:val="bullet"/>
      <w:lvlText w:val="o"/>
      <w:lvlJc w:val="left"/>
      <w:pPr>
        <w:ind w:left="3600" w:hanging="360"/>
      </w:pPr>
      <w:rPr>
        <w:rFonts w:ascii="Courier New" w:hAnsi="Courier New" w:cs="Courier New" w:hint="default"/>
      </w:rPr>
    </w:lvl>
    <w:lvl w:ilvl="5" w:tplc="5A748BA6" w:tentative="1">
      <w:start w:val="1"/>
      <w:numFmt w:val="bullet"/>
      <w:lvlText w:val=""/>
      <w:lvlJc w:val="left"/>
      <w:pPr>
        <w:ind w:left="4320" w:hanging="360"/>
      </w:pPr>
      <w:rPr>
        <w:rFonts w:ascii="Wingdings" w:hAnsi="Wingdings" w:hint="default"/>
      </w:rPr>
    </w:lvl>
    <w:lvl w:ilvl="6" w:tplc="FF4A7BD8" w:tentative="1">
      <w:start w:val="1"/>
      <w:numFmt w:val="bullet"/>
      <w:lvlText w:val=""/>
      <w:lvlJc w:val="left"/>
      <w:pPr>
        <w:ind w:left="5040" w:hanging="360"/>
      </w:pPr>
      <w:rPr>
        <w:rFonts w:ascii="Symbol" w:hAnsi="Symbol" w:hint="default"/>
      </w:rPr>
    </w:lvl>
    <w:lvl w:ilvl="7" w:tplc="811A38A4" w:tentative="1">
      <w:start w:val="1"/>
      <w:numFmt w:val="bullet"/>
      <w:lvlText w:val="o"/>
      <w:lvlJc w:val="left"/>
      <w:pPr>
        <w:ind w:left="5760" w:hanging="360"/>
      </w:pPr>
      <w:rPr>
        <w:rFonts w:ascii="Courier New" w:hAnsi="Courier New" w:cs="Courier New" w:hint="default"/>
      </w:rPr>
    </w:lvl>
    <w:lvl w:ilvl="8" w:tplc="59D46F80"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283"/>
  <w:clickAndTypeStyle w:val="CETBodytex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kwNKwFACte/oUtAAAA"/>
  </w:docVars>
  <w:rsids>
    <w:rsidRoot w:val="000E414A"/>
    <w:rsid w:val="000027C0"/>
    <w:rsid w:val="000052FB"/>
    <w:rsid w:val="00010F40"/>
    <w:rsid w:val="000117CB"/>
    <w:rsid w:val="00013329"/>
    <w:rsid w:val="0002176F"/>
    <w:rsid w:val="0003148D"/>
    <w:rsid w:val="00047D7F"/>
    <w:rsid w:val="00051566"/>
    <w:rsid w:val="000546BF"/>
    <w:rsid w:val="00062A9A"/>
    <w:rsid w:val="00065058"/>
    <w:rsid w:val="00086C39"/>
    <w:rsid w:val="000A03B2"/>
    <w:rsid w:val="000A3B79"/>
    <w:rsid w:val="000D34BE"/>
    <w:rsid w:val="000D6CC6"/>
    <w:rsid w:val="000E102F"/>
    <w:rsid w:val="000E36F1"/>
    <w:rsid w:val="000E3A73"/>
    <w:rsid w:val="000E414A"/>
    <w:rsid w:val="000F093C"/>
    <w:rsid w:val="000F16BD"/>
    <w:rsid w:val="000F787B"/>
    <w:rsid w:val="0012091F"/>
    <w:rsid w:val="00126BC2"/>
    <w:rsid w:val="001308B6"/>
    <w:rsid w:val="0013121F"/>
    <w:rsid w:val="00131FAB"/>
    <w:rsid w:val="00131FE6"/>
    <w:rsid w:val="0013263F"/>
    <w:rsid w:val="00134DE4"/>
    <w:rsid w:val="0014034D"/>
    <w:rsid w:val="001468CD"/>
    <w:rsid w:val="00150E59"/>
    <w:rsid w:val="00152DE3"/>
    <w:rsid w:val="00162642"/>
    <w:rsid w:val="00164CF9"/>
    <w:rsid w:val="00184AD6"/>
    <w:rsid w:val="001B0349"/>
    <w:rsid w:val="001B3B5F"/>
    <w:rsid w:val="001B65C1"/>
    <w:rsid w:val="001C684B"/>
    <w:rsid w:val="001D53FC"/>
    <w:rsid w:val="001F42A5"/>
    <w:rsid w:val="001F7B9D"/>
    <w:rsid w:val="002224B4"/>
    <w:rsid w:val="00234C87"/>
    <w:rsid w:val="002447EF"/>
    <w:rsid w:val="00251550"/>
    <w:rsid w:val="00252C1A"/>
    <w:rsid w:val="00263B05"/>
    <w:rsid w:val="0027221A"/>
    <w:rsid w:val="00275B61"/>
    <w:rsid w:val="0027674B"/>
    <w:rsid w:val="00282656"/>
    <w:rsid w:val="00296B83"/>
    <w:rsid w:val="002B78CE"/>
    <w:rsid w:val="002C2FB6"/>
    <w:rsid w:val="002D5BCD"/>
    <w:rsid w:val="003009B7"/>
    <w:rsid w:val="00300E56"/>
    <w:rsid w:val="0030469C"/>
    <w:rsid w:val="00321CA6"/>
    <w:rsid w:val="0033143A"/>
    <w:rsid w:val="00334C09"/>
    <w:rsid w:val="003365E3"/>
    <w:rsid w:val="003723D4"/>
    <w:rsid w:val="00384CC8"/>
    <w:rsid w:val="003871FD"/>
    <w:rsid w:val="003A1E30"/>
    <w:rsid w:val="003A7D1C"/>
    <w:rsid w:val="003B304B"/>
    <w:rsid w:val="003B3146"/>
    <w:rsid w:val="003B60F3"/>
    <w:rsid w:val="003F015E"/>
    <w:rsid w:val="00400414"/>
    <w:rsid w:val="0041446B"/>
    <w:rsid w:val="0044329C"/>
    <w:rsid w:val="0044623B"/>
    <w:rsid w:val="004577FE"/>
    <w:rsid w:val="00457B9C"/>
    <w:rsid w:val="0046164A"/>
    <w:rsid w:val="004628D2"/>
    <w:rsid w:val="00462DCD"/>
    <w:rsid w:val="004648AD"/>
    <w:rsid w:val="004703A9"/>
    <w:rsid w:val="004760DE"/>
    <w:rsid w:val="004A004E"/>
    <w:rsid w:val="004A24CF"/>
    <w:rsid w:val="004B6721"/>
    <w:rsid w:val="004C3D1D"/>
    <w:rsid w:val="004C7913"/>
    <w:rsid w:val="004E4DD6"/>
    <w:rsid w:val="004F5E36"/>
    <w:rsid w:val="00507B47"/>
    <w:rsid w:val="00507CC9"/>
    <w:rsid w:val="005119A5"/>
    <w:rsid w:val="005278B7"/>
    <w:rsid w:val="00532016"/>
    <w:rsid w:val="005346C8"/>
    <w:rsid w:val="00543E7D"/>
    <w:rsid w:val="00546B05"/>
    <w:rsid w:val="00547A68"/>
    <w:rsid w:val="005531C9"/>
    <w:rsid w:val="00565D99"/>
    <w:rsid w:val="005B2110"/>
    <w:rsid w:val="005B61E6"/>
    <w:rsid w:val="005C77E1"/>
    <w:rsid w:val="005D6A2F"/>
    <w:rsid w:val="005E1A82"/>
    <w:rsid w:val="005E794C"/>
    <w:rsid w:val="005F0A28"/>
    <w:rsid w:val="005F0E5E"/>
    <w:rsid w:val="00600535"/>
    <w:rsid w:val="00610CD6"/>
    <w:rsid w:val="00612316"/>
    <w:rsid w:val="00620DEE"/>
    <w:rsid w:val="00621F92"/>
    <w:rsid w:val="00625639"/>
    <w:rsid w:val="00631B33"/>
    <w:rsid w:val="0064184D"/>
    <w:rsid w:val="006422CC"/>
    <w:rsid w:val="006577EA"/>
    <w:rsid w:val="00660E3E"/>
    <w:rsid w:val="00662E74"/>
    <w:rsid w:val="00670D32"/>
    <w:rsid w:val="00680C23"/>
    <w:rsid w:val="00693766"/>
    <w:rsid w:val="006A3281"/>
    <w:rsid w:val="006A3851"/>
    <w:rsid w:val="006B4888"/>
    <w:rsid w:val="006C2E45"/>
    <w:rsid w:val="006C359C"/>
    <w:rsid w:val="006C5579"/>
    <w:rsid w:val="006E737D"/>
    <w:rsid w:val="0070195D"/>
    <w:rsid w:val="00710940"/>
    <w:rsid w:val="00720A24"/>
    <w:rsid w:val="00732386"/>
    <w:rsid w:val="007447F3"/>
    <w:rsid w:val="0075499F"/>
    <w:rsid w:val="007655F3"/>
    <w:rsid w:val="007661C8"/>
    <w:rsid w:val="0077098D"/>
    <w:rsid w:val="00783E37"/>
    <w:rsid w:val="007931FA"/>
    <w:rsid w:val="007A7BBA"/>
    <w:rsid w:val="007B0C50"/>
    <w:rsid w:val="007C1A43"/>
    <w:rsid w:val="007E1DC6"/>
    <w:rsid w:val="00813288"/>
    <w:rsid w:val="008168FC"/>
    <w:rsid w:val="00830996"/>
    <w:rsid w:val="008345F1"/>
    <w:rsid w:val="00865B07"/>
    <w:rsid w:val="008667EA"/>
    <w:rsid w:val="0087637F"/>
    <w:rsid w:val="008904B9"/>
    <w:rsid w:val="00892AD5"/>
    <w:rsid w:val="008A1512"/>
    <w:rsid w:val="008C6073"/>
    <w:rsid w:val="008C78C1"/>
    <w:rsid w:val="008D32B9"/>
    <w:rsid w:val="008D433B"/>
    <w:rsid w:val="008E566E"/>
    <w:rsid w:val="0090161A"/>
    <w:rsid w:val="00901EB6"/>
    <w:rsid w:val="00904C62"/>
    <w:rsid w:val="00924DAC"/>
    <w:rsid w:val="00927058"/>
    <w:rsid w:val="009450CE"/>
    <w:rsid w:val="00947179"/>
    <w:rsid w:val="0095164B"/>
    <w:rsid w:val="00954090"/>
    <w:rsid w:val="009573E7"/>
    <w:rsid w:val="009635B9"/>
    <w:rsid w:val="00963E05"/>
    <w:rsid w:val="00967D54"/>
    <w:rsid w:val="00980719"/>
    <w:rsid w:val="00996483"/>
    <w:rsid w:val="00996F5A"/>
    <w:rsid w:val="009A0382"/>
    <w:rsid w:val="009A0A3E"/>
    <w:rsid w:val="009B041A"/>
    <w:rsid w:val="009C7C86"/>
    <w:rsid w:val="009D2FF7"/>
    <w:rsid w:val="009E7884"/>
    <w:rsid w:val="009E788A"/>
    <w:rsid w:val="009F0E08"/>
    <w:rsid w:val="00A1763D"/>
    <w:rsid w:val="00A17CEC"/>
    <w:rsid w:val="00A27EF0"/>
    <w:rsid w:val="00A50B20"/>
    <w:rsid w:val="00A51390"/>
    <w:rsid w:val="00A60D13"/>
    <w:rsid w:val="00A72745"/>
    <w:rsid w:val="00A76EFC"/>
    <w:rsid w:val="00A826A8"/>
    <w:rsid w:val="00A91010"/>
    <w:rsid w:val="00A97F29"/>
    <w:rsid w:val="00AA702E"/>
    <w:rsid w:val="00AB0964"/>
    <w:rsid w:val="00AB5011"/>
    <w:rsid w:val="00AC7368"/>
    <w:rsid w:val="00AD16B9"/>
    <w:rsid w:val="00AE377D"/>
    <w:rsid w:val="00B17FBD"/>
    <w:rsid w:val="00B210AB"/>
    <w:rsid w:val="00B315A6"/>
    <w:rsid w:val="00B31813"/>
    <w:rsid w:val="00B33365"/>
    <w:rsid w:val="00B57B36"/>
    <w:rsid w:val="00B8686D"/>
    <w:rsid w:val="00BB2FA6"/>
    <w:rsid w:val="00BC30C9"/>
    <w:rsid w:val="00BE3E58"/>
    <w:rsid w:val="00C015A9"/>
    <w:rsid w:val="00C01616"/>
    <w:rsid w:val="00C0162B"/>
    <w:rsid w:val="00C345B1"/>
    <w:rsid w:val="00C40142"/>
    <w:rsid w:val="00C470E1"/>
    <w:rsid w:val="00C57182"/>
    <w:rsid w:val="00C57863"/>
    <w:rsid w:val="00C655FD"/>
    <w:rsid w:val="00C870A8"/>
    <w:rsid w:val="00C94434"/>
    <w:rsid w:val="00CA0D75"/>
    <w:rsid w:val="00CA1C95"/>
    <w:rsid w:val="00CA5A9C"/>
    <w:rsid w:val="00CD3517"/>
    <w:rsid w:val="00CD5A00"/>
    <w:rsid w:val="00CD5FE2"/>
    <w:rsid w:val="00CD7A38"/>
    <w:rsid w:val="00CE7C68"/>
    <w:rsid w:val="00D02B4C"/>
    <w:rsid w:val="00D040C4"/>
    <w:rsid w:val="00D57C84"/>
    <w:rsid w:val="00D6057D"/>
    <w:rsid w:val="00D753FD"/>
    <w:rsid w:val="00D84576"/>
    <w:rsid w:val="00DA1399"/>
    <w:rsid w:val="00DA24C6"/>
    <w:rsid w:val="00DA4D7B"/>
    <w:rsid w:val="00DE264A"/>
    <w:rsid w:val="00DE38AB"/>
    <w:rsid w:val="00E02D18"/>
    <w:rsid w:val="00E041E7"/>
    <w:rsid w:val="00E23CA1"/>
    <w:rsid w:val="00E26995"/>
    <w:rsid w:val="00E409A8"/>
    <w:rsid w:val="00E43B7D"/>
    <w:rsid w:val="00E50C12"/>
    <w:rsid w:val="00E65B91"/>
    <w:rsid w:val="00E7209D"/>
    <w:rsid w:val="00E77223"/>
    <w:rsid w:val="00E8528B"/>
    <w:rsid w:val="00E85B94"/>
    <w:rsid w:val="00E978D0"/>
    <w:rsid w:val="00EA4613"/>
    <w:rsid w:val="00EA7F91"/>
    <w:rsid w:val="00EB1523"/>
    <w:rsid w:val="00EC0E49"/>
    <w:rsid w:val="00ED4DED"/>
    <w:rsid w:val="00EE0131"/>
    <w:rsid w:val="00F0356E"/>
    <w:rsid w:val="00F12433"/>
    <w:rsid w:val="00F155B2"/>
    <w:rsid w:val="00F30C64"/>
    <w:rsid w:val="00F32CDB"/>
    <w:rsid w:val="00F63A70"/>
    <w:rsid w:val="00FA21D0"/>
    <w:rsid w:val="00FA5F5F"/>
    <w:rsid w:val="00FB730C"/>
    <w:rsid w:val="00FC2695"/>
    <w:rsid w:val="00FC3E03"/>
    <w:rsid w:val="00FC3FC1"/>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ECBE"/>
  <w15:docId w15:val="{D8833855-4738-4A7F-A6F2-7DBDE782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252C1A"/>
    <w:pPr>
      <w:numPr>
        <w:ilvl w:val="0"/>
        <w:numId w:val="0"/>
      </w:numPr>
      <w:spacing w:after="0"/>
    </w:pPr>
  </w:style>
  <w:style w:type="character" w:customStyle="1" w:styleId="CETHeadingxxChar">
    <w:name w:val="CET Headingxx Char"/>
    <w:basedOn w:val="CETheadingxCarattere"/>
    <w:link w:val="CETHeadingxx"/>
    <w:rsid w:val="00252C1A"/>
    <w:rPr>
      <w:rFonts w:ascii="Arial" w:eastAsia="Times New Roman" w:hAnsi="Arial" w:cs="Times New Roman"/>
      <w:b/>
      <w:sz w:val="18"/>
      <w:szCs w:val="20"/>
      <w:lang w:val="en-US"/>
    </w:rPr>
  </w:style>
  <w:style w:type="paragraph" w:styleId="PargrafodaLista">
    <w:name w:val="List Paragraph"/>
    <w:basedOn w:val="Normal"/>
    <w:uiPriority w:val="34"/>
    <w:qFormat/>
    <w:rsid w:val="00565D99"/>
    <w:pPr>
      <w:tabs>
        <w:tab w:val="clear" w:pos="7100"/>
      </w:tabs>
      <w:spacing w:line="240" w:lineRule="auto"/>
      <w:ind w:left="720"/>
      <w:contextualSpacing/>
      <w:jc w:val="left"/>
    </w:pPr>
    <w:rPr>
      <w:rFonts w:ascii="Times New Roman" w:hAnsi="Times New Roman"/>
      <w:sz w:val="20"/>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43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3.wmf"/><Relationship Id="rId50" Type="http://schemas.openxmlformats.org/officeDocument/2006/relationships/image" Target="media/image25.emf"/><Relationship Id="rId7" Type="http://schemas.openxmlformats.org/officeDocument/2006/relationships/image" Target="media/image2.jpeg"/><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wmf"/><Relationship Id="rId41" Type="http://schemas.openxmlformats.org/officeDocument/2006/relationships/image" Target="media/image20.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oleObject" Target="embeddings/oleObject16.bin"/><Relationship Id="rId45" Type="http://schemas.openxmlformats.org/officeDocument/2006/relationships/image" Target="media/image22.wmf"/><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4.emf"/><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18.bin"/><Relationship Id="rId52" Type="http://schemas.openxmlformats.org/officeDocument/2006/relationships/image" Target="media/image27.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0.bin"/><Relationship Id="rId8" Type="http://schemas.openxmlformats.org/officeDocument/2006/relationships/image" Target="media/image3.wmf"/><Relationship Id="rId51" Type="http://schemas.openxmlformats.org/officeDocument/2006/relationships/image" Target="media/image26.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4D29-0405-45B9-ABC6-D1E312CC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2831</Words>
  <Characters>16138</Characters>
  <Application>Microsoft Office Word</Application>
  <DocSecurity>0</DocSecurity>
  <Lines>134</Lines>
  <Paragraphs>37</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Emerson Barbosa</cp:lastModifiedBy>
  <cp:revision>14</cp:revision>
  <cp:lastPrinted>2015-05-12T18:31:00Z</cp:lastPrinted>
  <dcterms:created xsi:type="dcterms:W3CDTF">2019-01-30T16:38:00Z</dcterms:created>
  <dcterms:modified xsi:type="dcterms:W3CDTF">2019-04-14T23:53:00Z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