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36D75088" w14:textId="77777777">
        <w:trPr>
          <w:trHeight w:val="852"/>
          <w:jc w:val="center"/>
        </w:trPr>
        <w:tc>
          <w:tcPr>
            <w:tcW w:w="6946" w:type="dxa"/>
            <w:vMerge w:val="restart"/>
            <w:tcBorders>
              <w:right w:val="single" w:sz="4" w:space="0" w:color="auto"/>
            </w:tcBorders>
          </w:tcPr>
          <w:p w14:paraId="0EB46B8E"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s-MX" w:eastAsia="es-MX"/>
              </w:rPr>
              <w:drawing>
                <wp:inline distT="0" distB="0" distL="0" distR="0" wp14:anchorId="00E61612" wp14:editId="15E96AC3">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3A8ED51E"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1492B206"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AC446A7" w14:textId="77777777" w:rsidR="000A03B2" w:rsidRPr="00B57B36" w:rsidRDefault="000A03B2" w:rsidP="00CD5FE2">
            <w:pPr>
              <w:jc w:val="right"/>
            </w:pPr>
            <w:r w:rsidRPr="00B57B36">
              <w:rPr>
                <w:noProof/>
                <w:lang w:val="es-MX" w:eastAsia="es-MX"/>
              </w:rPr>
              <w:drawing>
                <wp:inline distT="0" distB="0" distL="0" distR="0" wp14:anchorId="36B1737D" wp14:editId="50A84DAD">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417C29D5" w14:textId="77777777">
        <w:trPr>
          <w:trHeight w:val="567"/>
          <w:jc w:val="center"/>
        </w:trPr>
        <w:tc>
          <w:tcPr>
            <w:tcW w:w="6946" w:type="dxa"/>
            <w:vMerge/>
            <w:tcBorders>
              <w:right w:val="single" w:sz="4" w:space="0" w:color="auto"/>
            </w:tcBorders>
          </w:tcPr>
          <w:p w14:paraId="7D393F67"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184255FF"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43E9C99D"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7AE86BCA" w14:textId="77777777"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14:paraId="1EF57A9E" w14:textId="77777777">
        <w:trPr>
          <w:trHeight w:val="68"/>
          <w:jc w:val="center"/>
        </w:trPr>
        <w:tc>
          <w:tcPr>
            <w:tcW w:w="8789" w:type="dxa"/>
            <w:gridSpan w:val="2"/>
          </w:tcPr>
          <w:p w14:paraId="535D972F"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487DD8DD"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4A6DBB31"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6EB31EB0" w14:textId="77777777" w:rsidR="00EF341C" w:rsidRPr="009033E2" w:rsidRDefault="00EF341C" w:rsidP="00EF341C">
      <w:pPr>
        <w:pStyle w:val="CETAuthors"/>
        <w:jc w:val="center"/>
        <w:rPr>
          <w:sz w:val="32"/>
          <w:szCs w:val="32"/>
          <w:lang w:val="es-MX"/>
        </w:rPr>
      </w:pPr>
      <w:r w:rsidRPr="00EF341C">
        <w:rPr>
          <w:sz w:val="32"/>
          <w:szCs w:val="32"/>
        </w:rPr>
        <w:t xml:space="preserve">Isolation and molecular identification of arsenic resistant microorganisms coming from Xichu River, Gto. </w:t>
      </w:r>
      <w:r w:rsidRPr="009033E2">
        <w:rPr>
          <w:sz w:val="32"/>
          <w:szCs w:val="32"/>
          <w:lang w:val="es-MX"/>
        </w:rPr>
        <w:t>Mexico.</w:t>
      </w:r>
    </w:p>
    <w:p w14:paraId="68AD489C" w14:textId="5B82C6BA" w:rsidR="00EF341C" w:rsidRPr="00EF341C" w:rsidRDefault="00447A28" w:rsidP="00EF341C">
      <w:pPr>
        <w:pStyle w:val="CETAddress"/>
        <w:jc w:val="center"/>
        <w:rPr>
          <w:lang w:val="es-MX"/>
        </w:rPr>
      </w:pPr>
      <w:r>
        <w:rPr>
          <w:sz w:val="24"/>
          <w:szCs w:val="24"/>
          <w:lang w:val="es-MX"/>
        </w:rPr>
        <w:t>Ulises E. Rodríguez</w:t>
      </w:r>
      <w:r w:rsidR="00EF341C" w:rsidRPr="008662A8">
        <w:rPr>
          <w:b/>
          <w:sz w:val="24"/>
          <w:szCs w:val="24"/>
          <w:lang w:val="es-MX"/>
        </w:rPr>
        <w:t xml:space="preserve"> </w:t>
      </w:r>
      <w:r w:rsidR="00EF341C" w:rsidRPr="008662A8">
        <w:rPr>
          <w:b/>
          <w:sz w:val="24"/>
          <w:szCs w:val="24"/>
          <w:vertAlign w:val="superscript"/>
          <w:lang w:val="es-MX"/>
        </w:rPr>
        <w:t>a</w:t>
      </w:r>
      <w:r w:rsidR="00684DB4">
        <w:rPr>
          <w:b/>
          <w:sz w:val="24"/>
          <w:szCs w:val="24"/>
          <w:vertAlign w:val="superscript"/>
          <w:lang w:val="es-MX"/>
        </w:rPr>
        <w:t>,</w:t>
      </w:r>
      <w:r w:rsidR="00684DB4">
        <w:rPr>
          <w:sz w:val="24"/>
          <w:szCs w:val="24"/>
          <w:lang w:val="es-MX"/>
        </w:rPr>
        <w:t>*</w:t>
      </w:r>
      <w:r>
        <w:rPr>
          <w:sz w:val="24"/>
          <w:szCs w:val="24"/>
          <w:lang w:val="es-MX"/>
        </w:rPr>
        <w:t xml:space="preserve"> , Alma H. Serafín</w:t>
      </w:r>
      <w:r w:rsidR="00EF341C" w:rsidRPr="00EF341C">
        <w:rPr>
          <w:sz w:val="24"/>
          <w:szCs w:val="24"/>
          <w:vertAlign w:val="superscript"/>
          <w:lang w:val="es-MX"/>
        </w:rPr>
        <w:t>b</w:t>
      </w:r>
      <w:r>
        <w:rPr>
          <w:sz w:val="24"/>
          <w:szCs w:val="24"/>
          <w:lang w:val="es-MX"/>
        </w:rPr>
        <w:t xml:space="preserve"> , Maria C. Cano</w:t>
      </w:r>
      <w:r w:rsidR="00EF341C">
        <w:rPr>
          <w:sz w:val="24"/>
          <w:szCs w:val="24"/>
          <w:vertAlign w:val="superscript"/>
          <w:lang w:val="es-MX"/>
        </w:rPr>
        <w:t>c</w:t>
      </w:r>
      <w:r>
        <w:rPr>
          <w:sz w:val="24"/>
          <w:szCs w:val="24"/>
          <w:lang w:val="es-MX"/>
        </w:rPr>
        <w:t xml:space="preserve"> , Norma L. Gutiérrez</w:t>
      </w:r>
      <w:r w:rsidR="00EF341C">
        <w:rPr>
          <w:sz w:val="24"/>
          <w:szCs w:val="24"/>
          <w:vertAlign w:val="superscript"/>
          <w:lang w:val="es-MX"/>
        </w:rPr>
        <w:t>b</w:t>
      </w:r>
      <w:r>
        <w:rPr>
          <w:sz w:val="24"/>
          <w:szCs w:val="24"/>
          <w:lang w:val="es-MX"/>
        </w:rPr>
        <w:t xml:space="preserve"> , Aurelio Álvarez</w:t>
      </w:r>
      <w:r w:rsidR="00EF341C">
        <w:rPr>
          <w:sz w:val="24"/>
          <w:szCs w:val="24"/>
          <w:vertAlign w:val="superscript"/>
          <w:lang w:val="es-MX"/>
        </w:rPr>
        <w:t>c</w:t>
      </w:r>
    </w:p>
    <w:p w14:paraId="5AC7807B" w14:textId="77777777" w:rsidR="00EF341C" w:rsidRPr="00885B1C" w:rsidRDefault="00EF341C" w:rsidP="008662A8">
      <w:pPr>
        <w:pStyle w:val="CETBodytext"/>
        <w:jc w:val="center"/>
        <w:rPr>
          <w:sz w:val="16"/>
          <w:szCs w:val="16"/>
          <w:lang w:val="es-MX"/>
        </w:rPr>
      </w:pPr>
      <w:r w:rsidRPr="007D4812">
        <w:rPr>
          <w:rStyle w:val="CETAddressCarattere"/>
          <w:lang w:val="es-MX"/>
        </w:rPr>
        <w:t>aUniversity of Guanajuato, Posgrado de Ciencias del Agua, División de Ingenierías, Guanajuato, Mexico</w:t>
      </w:r>
      <w:r w:rsidRPr="00EF341C">
        <w:rPr>
          <w:sz w:val="16"/>
          <w:szCs w:val="16"/>
          <w:lang w:val="es-MX"/>
        </w:rPr>
        <w:t xml:space="preserve">. </w:t>
      </w:r>
      <w:hyperlink r:id="rId10" w:history="1">
        <w:r w:rsidRPr="00885B1C">
          <w:rPr>
            <w:rStyle w:val="Hyperlink"/>
            <w:color w:val="auto"/>
            <w:sz w:val="16"/>
            <w:szCs w:val="16"/>
            <w:u w:val="none"/>
            <w:lang w:val="es-MX"/>
          </w:rPr>
          <w:t>erodriguezcastrejon@gmail.com</w:t>
        </w:r>
      </w:hyperlink>
    </w:p>
    <w:p w14:paraId="6590A3D3" w14:textId="77777777" w:rsidR="00885B1C" w:rsidRDefault="00EF341C" w:rsidP="008662A8">
      <w:pPr>
        <w:pStyle w:val="CETBodytext"/>
        <w:jc w:val="center"/>
        <w:rPr>
          <w:sz w:val="16"/>
          <w:szCs w:val="16"/>
          <w:lang w:val="es-MX"/>
        </w:rPr>
      </w:pPr>
      <w:r w:rsidRPr="007D4812">
        <w:rPr>
          <w:rStyle w:val="CETAddressCarattere"/>
          <w:lang w:val="es-MX"/>
        </w:rPr>
        <w:t>bUniversity of Guanajuato, División de Ingenierías, Guanajuato, Mexico</w:t>
      </w:r>
      <w:r w:rsidRPr="00885B1C">
        <w:rPr>
          <w:sz w:val="16"/>
          <w:szCs w:val="16"/>
          <w:lang w:val="es-MX"/>
        </w:rPr>
        <w:t>.</w:t>
      </w:r>
    </w:p>
    <w:p w14:paraId="3298D988" w14:textId="78E9C8D0" w:rsidR="00EF341C" w:rsidRPr="00885B1C" w:rsidRDefault="00EF341C" w:rsidP="008662A8">
      <w:pPr>
        <w:pStyle w:val="CETBodytext"/>
        <w:jc w:val="center"/>
        <w:rPr>
          <w:sz w:val="16"/>
          <w:szCs w:val="16"/>
          <w:lang w:val="es-MX"/>
        </w:rPr>
      </w:pPr>
      <w:r w:rsidRPr="00885B1C">
        <w:rPr>
          <w:sz w:val="16"/>
          <w:szCs w:val="16"/>
          <w:lang w:val="es-MX"/>
        </w:rPr>
        <w:t xml:space="preserve"> semuah@ugto.com.mx</w:t>
      </w:r>
    </w:p>
    <w:p w14:paraId="375B4518" w14:textId="77777777" w:rsidR="00885B1C" w:rsidRDefault="00EF341C" w:rsidP="00447A28">
      <w:pPr>
        <w:pStyle w:val="CETAddress"/>
        <w:jc w:val="center"/>
        <w:rPr>
          <w:rStyle w:val="Hyperlink"/>
          <w:color w:val="auto"/>
          <w:szCs w:val="16"/>
          <w:u w:val="none"/>
          <w:lang w:val="es-MX"/>
        </w:rPr>
      </w:pPr>
      <w:r w:rsidRPr="00885B1C">
        <w:rPr>
          <w:vertAlign w:val="superscript"/>
          <w:lang w:val="es-MX"/>
        </w:rPr>
        <w:t>c</w:t>
      </w:r>
      <w:r w:rsidRPr="00885B1C">
        <w:rPr>
          <w:lang w:val="es-MX"/>
        </w:rPr>
        <w:t>University of Guanajuato, División de Ciencias Naturales y Exactas, Guanajuato,</w:t>
      </w:r>
      <w:r w:rsidR="00885B1C">
        <w:rPr>
          <w:rStyle w:val="Hyperlink"/>
          <w:color w:val="auto"/>
          <w:szCs w:val="16"/>
          <w:u w:val="none"/>
          <w:lang w:val="es-MX"/>
        </w:rPr>
        <w:t xml:space="preserve"> Mexico.</w:t>
      </w:r>
    </w:p>
    <w:p w14:paraId="2CDE10FF" w14:textId="14E2E8E5" w:rsidR="00EF341C" w:rsidRPr="00885B1C" w:rsidRDefault="00885B1C" w:rsidP="008662A8">
      <w:pPr>
        <w:pStyle w:val="CETBodytext"/>
        <w:jc w:val="center"/>
        <w:rPr>
          <w:sz w:val="16"/>
          <w:szCs w:val="16"/>
          <w:lang w:val="es-MX"/>
        </w:rPr>
      </w:pPr>
      <w:r>
        <w:rPr>
          <w:rStyle w:val="Hyperlink"/>
          <w:color w:val="auto"/>
          <w:sz w:val="16"/>
          <w:szCs w:val="16"/>
          <w:u w:val="none"/>
          <w:lang w:val="es-MX"/>
        </w:rPr>
        <w:t xml:space="preserve"> dr.canocanchola.gmail.com</w:t>
      </w:r>
      <w:r w:rsidRPr="00885B1C">
        <w:rPr>
          <w:sz w:val="16"/>
          <w:szCs w:val="16"/>
          <w:lang w:val="es-MX"/>
        </w:rPr>
        <w:t xml:space="preserve"> </w:t>
      </w:r>
    </w:p>
    <w:p w14:paraId="5E3ED144" w14:textId="1488E75A" w:rsidR="00EF341C" w:rsidRDefault="00EF341C" w:rsidP="00447A28">
      <w:pPr>
        <w:pStyle w:val="CETAddress"/>
        <w:jc w:val="center"/>
        <w:rPr>
          <w:lang w:val="es-MX"/>
        </w:rPr>
      </w:pPr>
      <w:r w:rsidRPr="00885B1C">
        <w:rPr>
          <w:vertAlign w:val="superscript"/>
          <w:lang w:val="es-MX"/>
        </w:rPr>
        <w:t>c</w:t>
      </w:r>
      <w:r w:rsidRPr="00885B1C">
        <w:rPr>
          <w:lang w:val="es-MX"/>
        </w:rPr>
        <w:t>University of Guanajuato, División de Ciencias N</w:t>
      </w:r>
      <w:r w:rsidR="00885B1C">
        <w:rPr>
          <w:lang w:val="es-MX"/>
        </w:rPr>
        <w:t>aturales y Exactas, Guanajuato, Mexico.</w:t>
      </w:r>
    </w:p>
    <w:p w14:paraId="1C48C74C" w14:textId="74FBFA6B" w:rsidR="00EF341C" w:rsidRPr="004E7369" w:rsidRDefault="00E70A09" w:rsidP="00885B1C">
      <w:pPr>
        <w:pStyle w:val="CETBodytext"/>
        <w:jc w:val="center"/>
        <w:rPr>
          <w:sz w:val="16"/>
          <w:szCs w:val="16"/>
        </w:rPr>
      </w:pPr>
      <w:hyperlink r:id="rId11" w:history="1">
        <w:r w:rsidR="00885B1C" w:rsidRPr="004E7369">
          <w:rPr>
            <w:rStyle w:val="Hyperlink"/>
            <w:color w:val="auto"/>
            <w:sz w:val="16"/>
            <w:szCs w:val="16"/>
            <w:u w:val="none"/>
          </w:rPr>
          <w:t>Alvarezz80@hotmail.com</w:t>
        </w:r>
      </w:hyperlink>
    </w:p>
    <w:p w14:paraId="027B38BA" w14:textId="77777777" w:rsidR="0060701B" w:rsidRPr="004E7369" w:rsidRDefault="0060701B" w:rsidP="00EF341C">
      <w:pPr>
        <w:pStyle w:val="CETListbullets"/>
        <w:ind w:left="0" w:firstLine="113"/>
        <w:rPr>
          <w:sz w:val="16"/>
          <w:szCs w:val="16"/>
          <w:lang w:val="en-US"/>
        </w:rPr>
      </w:pPr>
    </w:p>
    <w:p w14:paraId="703B2CCC" w14:textId="35D2FEFB" w:rsidR="00DA24C6" w:rsidRPr="00447A28" w:rsidRDefault="00EF341C" w:rsidP="00447A28">
      <w:pPr>
        <w:pStyle w:val="CETBodytext"/>
      </w:pPr>
      <w:r w:rsidRPr="00447A28">
        <w:t>The arsenic is a toxic element for the human and other organisms´ health, it may affect the exploitation of</w:t>
      </w:r>
      <w:r w:rsidR="0060701B" w:rsidRPr="00447A28">
        <w:t xml:space="preserve"> </w:t>
      </w:r>
      <w:r w:rsidRPr="00447A28">
        <w:t>water, the agriculture development and the sustainable rational use of soil, the result is reflected within the socioeconomic gro</w:t>
      </w:r>
      <w:r w:rsidR="0060701B" w:rsidRPr="00447A28">
        <w:t>wth lag in the affected area</w:t>
      </w:r>
      <w:r w:rsidRPr="00447A28">
        <w:t>. Arsenic is mobilized in the environment by a combination of several natural processes, such as weathering reactions, biological activities and volcanic emissions, as well as by a group of anthropogenic act</w:t>
      </w:r>
      <w:r w:rsidR="0060701B" w:rsidRPr="00447A28">
        <w:t>ivities</w:t>
      </w:r>
      <w:r w:rsidRPr="00447A28">
        <w:t>.</w:t>
      </w:r>
      <w:r w:rsidR="008722BF">
        <w:t xml:space="preserve"> </w:t>
      </w:r>
      <w:r w:rsidRPr="00447A28">
        <w:t>Microorganism</w:t>
      </w:r>
      <w:r w:rsidR="008722BF">
        <w:t>s</w:t>
      </w:r>
      <w:r w:rsidRPr="00447A28">
        <w:t xml:space="preserve"> interact with the arsenic through a different mechanism such as adsorption, redox, precipitation, etc. On the other hand, the rate of arsenic releasing in geochemical environments is controlled mainly by microorganisms. In the environment, the major arsenic transformations include microbial oxidation, reduction, methylation and demethylation, those reactions have an enormous impact in the arsenic behavior that depends on its redox state that exhibits differences in its mobility and</w:t>
      </w:r>
      <w:r w:rsidR="0060701B" w:rsidRPr="00447A28">
        <w:t xml:space="preserve"> toxicity</w:t>
      </w:r>
      <w:r w:rsidRPr="00447A28">
        <w:t>. Normally, the arsenic resistance comes through the production of genes within operon ars, their location is us</w:t>
      </w:r>
      <w:r w:rsidR="008722BF">
        <w:t xml:space="preserve">ually </w:t>
      </w:r>
      <w:r w:rsidR="0060701B" w:rsidRPr="00447A28">
        <w:t>plasmid or chromosomic</w:t>
      </w:r>
      <w:r w:rsidR="008722BF">
        <w:t>. In this study</w:t>
      </w:r>
      <w:r w:rsidRPr="00447A28">
        <w:t>, it was achieved the isol</w:t>
      </w:r>
      <w:r w:rsidR="008662A8" w:rsidRPr="00447A28">
        <w:t xml:space="preserve">ation of 11 strains from which </w:t>
      </w:r>
      <w:r w:rsidR="007D33E5" w:rsidRPr="00447A28">
        <w:t>2</w:t>
      </w:r>
      <w:r w:rsidRPr="00447A28">
        <w:t xml:space="preserve"> have been reported as an arsenic resistant</w:t>
      </w:r>
      <w:r w:rsidR="008662A8" w:rsidRPr="00447A28">
        <w:t xml:space="preserve"> in this work</w:t>
      </w:r>
      <w:r w:rsidRPr="00447A28">
        <w:t>. The samples were collected from water, sediment and biofilm of Xichu River, which has been impacted by mining activity, exhibiting a high arsenic concentration (98 µg/l). All the strains were tested by several methods as arsenic resistance, colorimetric test for arsenate reduction, pDNA extraction as well as ars and aox genes amplification, which are the genes involved in arsenic transformation. It was obtained a great microbial diversi</w:t>
      </w:r>
      <w:r w:rsidR="00FA0BD7">
        <w:t>ty with different skills</w:t>
      </w:r>
      <w:r w:rsidRPr="00447A28">
        <w:t xml:space="preserve"> </w:t>
      </w:r>
      <w:r w:rsidR="00FA0BD7">
        <w:t xml:space="preserve">in </w:t>
      </w:r>
      <w:r w:rsidRPr="00447A28">
        <w:t>arsenic transformation. One of the isolated strains Rodoccoccus gordoniae, did not show the presence of any gen but it was the most likely microorganisms to grow in the presence of arsenic. Almost all the microorganisms showed arsenic resistant until 20 mM of arsenite and arsenate. The main contribution of this study is the development of knowledge to understand much better the arsenic biogeochemistry, as well as the development of new bio-technologies for water treatment</w:t>
      </w:r>
      <w:r w:rsidR="00345979">
        <w:t xml:space="preserve"> in rural communities</w:t>
      </w:r>
      <w:r w:rsidR="007017BC">
        <w:t xml:space="preserve"> impacted by mining activity</w:t>
      </w:r>
      <w:r w:rsidRPr="00447A28">
        <w:t>.</w:t>
      </w:r>
    </w:p>
    <w:p w14:paraId="29328CF7" w14:textId="77777777" w:rsidR="00600535" w:rsidRPr="00F16208" w:rsidRDefault="00600535" w:rsidP="00F16208">
      <w:pPr>
        <w:pStyle w:val="CETHeading1"/>
      </w:pPr>
      <w:r w:rsidRPr="00F16208">
        <w:t>Introduction</w:t>
      </w:r>
    </w:p>
    <w:p w14:paraId="550C19E2" w14:textId="32FB71C6" w:rsidR="008662A8" w:rsidRPr="002A52BD" w:rsidRDefault="006A1AC3" w:rsidP="00447A28">
      <w:pPr>
        <w:pStyle w:val="CETBodytext"/>
      </w:pPr>
      <w:r>
        <w:t xml:space="preserve">Heavy metals in aquatic environments is increasing due to industrialization and unconcerned polluted process. Some metals are classified as toxic to human and living environment. They are of particular concern in the treatment of industrial wastewaters including arsenic (III) and (V), cadmium (III), chromium (III), etc (Srisorrachatr, 2017) </w:t>
      </w:r>
      <w:r w:rsidR="008662A8" w:rsidRPr="002A5387">
        <w:t>Arsenic is a toxic element for humans and other living organisms</w:t>
      </w:r>
      <w:r w:rsidR="008662A8">
        <w:t>. By contaminating</w:t>
      </w:r>
      <w:r w:rsidR="008662A8" w:rsidRPr="002A5387">
        <w:t xml:space="preserve"> natural sources of water, it affects their use, the development of sustainable agriculture and the sustainability of the rational use of soils, which is reflected in the lagging socio-economic growth of the affected region (Litter</w:t>
      </w:r>
      <w:r w:rsidR="008662A8">
        <w:t xml:space="preserve"> et al.</w:t>
      </w:r>
      <w:r w:rsidR="00885B1C">
        <w:t>,</w:t>
      </w:r>
      <w:r w:rsidR="008662A8" w:rsidRPr="002A5387">
        <w:t xml:space="preserve"> 2009).  The toxic effects of As are related to its chemical form and its oxidation state</w:t>
      </w:r>
      <w:r w:rsidR="008662A8">
        <w:t>:</w:t>
      </w:r>
      <w:r w:rsidR="008662A8" w:rsidRPr="002A5387">
        <w:t xml:space="preserve"> its organic form is less toxic. On the other hand, in its inorganic form it occurs in t</w:t>
      </w:r>
      <w:r w:rsidR="008662A8">
        <w:t>wo redox states: the reduced form, arsenite (III), and the oxidized form arsenate (V), both of which</w:t>
      </w:r>
      <w:r w:rsidR="008662A8" w:rsidRPr="002A5387">
        <w:t xml:space="preserve"> are toxic to most organisms. Arsenic is commonly found in natural </w:t>
      </w:r>
      <w:r w:rsidR="008662A8" w:rsidRPr="002A5387">
        <w:lastRenderedPageBreak/>
        <w:t xml:space="preserve">waters in </w:t>
      </w:r>
      <w:r w:rsidR="008662A8">
        <w:t xml:space="preserve">its </w:t>
      </w:r>
      <w:r w:rsidR="008662A8" w:rsidRPr="002A5387">
        <w:t>dissolved form as oxyanions. As (V) is found in its H</w:t>
      </w:r>
      <w:r w:rsidR="008662A8" w:rsidRPr="002A5387">
        <w:rPr>
          <w:vertAlign w:val="subscript"/>
        </w:rPr>
        <w:t>3</w:t>
      </w:r>
      <w:r w:rsidR="008662A8" w:rsidRPr="002A5387">
        <w:t>AsO</w:t>
      </w:r>
      <w:r w:rsidR="008662A8" w:rsidRPr="002A5387">
        <w:rPr>
          <w:vertAlign w:val="subscript"/>
        </w:rPr>
        <w:t xml:space="preserve">4 </w:t>
      </w:r>
      <w:r w:rsidR="008662A8" w:rsidRPr="002A5387">
        <w:t>form and its corresponding dissociation products (H</w:t>
      </w:r>
      <w:r w:rsidR="008662A8" w:rsidRPr="002A5387">
        <w:rPr>
          <w:vertAlign w:val="subscript"/>
        </w:rPr>
        <w:t>2</w:t>
      </w:r>
      <w:r w:rsidR="008662A8" w:rsidRPr="002A5387">
        <w:t>AsO</w:t>
      </w:r>
      <w:r w:rsidR="008662A8" w:rsidRPr="002A5387">
        <w:rPr>
          <w:vertAlign w:val="superscript"/>
        </w:rPr>
        <w:t>-</w:t>
      </w:r>
      <w:r w:rsidR="008662A8" w:rsidRPr="002A5387">
        <w:rPr>
          <w:vertAlign w:val="subscript"/>
        </w:rPr>
        <w:t>4</w:t>
      </w:r>
      <w:r w:rsidR="008662A8" w:rsidRPr="002A5387">
        <w:t>, HAsO</w:t>
      </w:r>
      <w:r w:rsidR="008662A8" w:rsidRPr="002A5387">
        <w:rPr>
          <w:vertAlign w:val="subscript"/>
        </w:rPr>
        <w:t>4</w:t>
      </w:r>
      <w:r w:rsidR="008662A8" w:rsidRPr="002A5387">
        <w:rPr>
          <w:vertAlign w:val="superscript"/>
        </w:rPr>
        <w:t>2-</w:t>
      </w:r>
      <w:r w:rsidR="008662A8" w:rsidRPr="002A5387">
        <w:t xml:space="preserve"> and AsO</w:t>
      </w:r>
      <w:r w:rsidR="008662A8" w:rsidRPr="002A5387">
        <w:rPr>
          <w:vertAlign w:val="subscript"/>
        </w:rPr>
        <w:t>4</w:t>
      </w:r>
      <w:r w:rsidR="008662A8" w:rsidRPr="002A5387">
        <w:rPr>
          <w:vertAlign w:val="superscript"/>
        </w:rPr>
        <w:t>3-</w:t>
      </w:r>
      <w:r w:rsidR="008662A8" w:rsidRPr="002A5387">
        <w:t>). As (III) appears as H</w:t>
      </w:r>
      <w:r w:rsidR="008662A8" w:rsidRPr="002A5387">
        <w:rPr>
          <w:vertAlign w:val="subscript"/>
        </w:rPr>
        <w:t>3</w:t>
      </w:r>
      <w:r w:rsidR="008662A8" w:rsidRPr="002A5387">
        <w:t>AsO</w:t>
      </w:r>
      <w:r w:rsidR="008662A8" w:rsidRPr="002A5387">
        <w:rPr>
          <w:vertAlign w:val="subscript"/>
        </w:rPr>
        <w:t>3</w:t>
      </w:r>
      <w:r w:rsidR="008662A8" w:rsidRPr="002A5387">
        <w:t xml:space="preserve"> and its corresponding dissociation products (H</w:t>
      </w:r>
      <w:r w:rsidR="008662A8" w:rsidRPr="002A5387">
        <w:rPr>
          <w:vertAlign w:val="subscript"/>
        </w:rPr>
        <w:t>4</w:t>
      </w:r>
      <w:r w:rsidR="008662A8" w:rsidRPr="002A5387">
        <w:t>AsO</w:t>
      </w:r>
      <w:r w:rsidR="008662A8" w:rsidRPr="002A5387">
        <w:rPr>
          <w:vertAlign w:val="superscript"/>
        </w:rPr>
        <w:t>3+</w:t>
      </w:r>
      <w:r w:rsidR="008662A8" w:rsidRPr="002A5387">
        <w:t>, H</w:t>
      </w:r>
      <w:r w:rsidR="008662A8" w:rsidRPr="002A5387">
        <w:rPr>
          <w:vertAlign w:val="subscript"/>
        </w:rPr>
        <w:t>2</w:t>
      </w:r>
      <w:r w:rsidR="008662A8" w:rsidRPr="002A5387">
        <w:t>AsO</w:t>
      </w:r>
      <w:r w:rsidR="008662A8" w:rsidRPr="002A5387">
        <w:rPr>
          <w:vertAlign w:val="superscript"/>
        </w:rPr>
        <w:t>3-</w:t>
      </w:r>
      <w:r w:rsidR="008662A8" w:rsidRPr="002A5387">
        <w:t>, HAsO</w:t>
      </w:r>
      <w:r w:rsidR="008662A8" w:rsidRPr="002A5387">
        <w:rPr>
          <w:vertAlign w:val="subscript"/>
        </w:rPr>
        <w:t>3</w:t>
      </w:r>
      <w:r w:rsidR="008662A8" w:rsidRPr="002A5387">
        <w:rPr>
          <w:vertAlign w:val="superscript"/>
        </w:rPr>
        <w:t>2-</w:t>
      </w:r>
      <w:r w:rsidR="008662A8" w:rsidRPr="002A5387">
        <w:t xml:space="preserve"> and AsO</w:t>
      </w:r>
      <w:r w:rsidR="008662A8" w:rsidRPr="002A5387">
        <w:rPr>
          <w:vertAlign w:val="subscript"/>
        </w:rPr>
        <w:t>3</w:t>
      </w:r>
      <w:r w:rsidR="008662A8" w:rsidRPr="002A5387">
        <w:rPr>
          <w:vertAlign w:val="superscript"/>
        </w:rPr>
        <w:t>3-</w:t>
      </w:r>
      <w:r w:rsidR="008662A8" w:rsidRPr="002A5387">
        <w:t>), (Campos</w:t>
      </w:r>
      <w:r w:rsidR="008662A8">
        <w:t xml:space="preserve"> and</w:t>
      </w:r>
      <w:r w:rsidR="008662A8" w:rsidRPr="002A5387">
        <w:t xml:space="preserve"> Valenzuela</w:t>
      </w:r>
      <w:r w:rsidR="00885B1C">
        <w:t>.</w:t>
      </w:r>
      <w:r w:rsidR="008662A8" w:rsidRPr="002A5387">
        <w:t>, 2007).  Within the environment</w:t>
      </w:r>
      <w:r w:rsidR="008662A8">
        <w:t>,</w:t>
      </w:r>
      <w:r w:rsidR="008662A8" w:rsidRPr="002A5387">
        <w:t xml:space="preserve"> the most toxic chemical form is arsenite (</w:t>
      </w:r>
      <w:r w:rsidR="008662A8">
        <w:t>As</w:t>
      </w:r>
      <w:r w:rsidR="008662A8" w:rsidRPr="002A5387">
        <w:t>III) as it is more soluble and more mobile. Arsenate (</w:t>
      </w:r>
      <w:r w:rsidR="008662A8">
        <w:t>As</w:t>
      </w:r>
      <w:r w:rsidR="008662A8" w:rsidRPr="002A5387">
        <w:t xml:space="preserve">V) </w:t>
      </w:r>
      <w:r w:rsidR="008662A8">
        <w:t>is able to adhere</w:t>
      </w:r>
      <w:r w:rsidR="008662A8" w:rsidRPr="002A5387">
        <w:t xml:space="preserve"> to the surface of several minerals, such as ferrihydrite and alumina (Smedley</w:t>
      </w:r>
      <w:r w:rsidR="008662A8">
        <w:t xml:space="preserve"> and</w:t>
      </w:r>
      <w:r w:rsidR="008662A8" w:rsidRPr="002A5387">
        <w:t xml:space="preserve"> Kinniburgh</w:t>
      </w:r>
      <w:r w:rsidR="00885B1C">
        <w:t>.</w:t>
      </w:r>
      <w:r w:rsidR="008662A8" w:rsidRPr="002A5387">
        <w:t>, 2002) The mobilization of As in the environment occurs through the combination of natural processes such as weathering, biological activity and volcanic emissions, as well as through a group of anthropogenic activities (Hu and Gao</w:t>
      </w:r>
      <w:r w:rsidR="00885B1C">
        <w:t>.</w:t>
      </w:r>
      <w:r w:rsidR="008662A8" w:rsidRPr="002A5387">
        <w:t>, 2008). It has been reported that microorganisms present in water and soils play a fundamental role in the biogeochemical cycle of As, which influences its behavior in the environment, since they show differences in solubility or bioavailability and toxicity</w:t>
      </w:r>
      <w:r w:rsidR="008662A8">
        <w:t xml:space="preserve"> </w:t>
      </w:r>
      <w:r w:rsidR="008662A8" w:rsidRPr="002A5387">
        <w:t>depending on their chemical form (Nriagu</w:t>
      </w:r>
      <w:r w:rsidR="00885B1C">
        <w:t>.</w:t>
      </w:r>
      <w:r w:rsidR="008662A8" w:rsidRPr="002A5387">
        <w:t>,</w:t>
      </w:r>
      <w:r w:rsidR="008662A8">
        <w:t xml:space="preserve"> </w:t>
      </w:r>
      <w:r w:rsidR="008662A8" w:rsidRPr="002A5387">
        <w:t xml:space="preserve">1994). These </w:t>
      </w:r>
      <w:r w:rsidR="008662A8">
        <w:t xml:space="preserve">microorganisms </w:t>
      </w:r>
      <w:r w:rsidR="008662A8" w:rsidRPr="002A5387">
        <w:t>have developed various mechanisms of tolerance to the toxicity of As. Bacteria metabolize As by oxidation, reduction and methylation, etc. (Smedley</w:t>
      </w:r>
      <w:r w:rsidR="008662A8">
        <w:t xml:space="preserve"> and</w:t>
      </w:r>
      <w:r w:rsidR="008662A8" w:rsidRPr="002A5387">
        <w:t xml:space="preserve"> Kinniburgh</w:t>
      </w:r>
      <w:r w:rsidR="00885B1C">
        <w:t>.</w:t>
      </w:r>
      <w:r w:rsidR="008662A8" w:rsidRPr="002A5387">
        <w:t xml:space="preserve">, 2002). Arsenite oxidase is a heterodimeric enzyme (AioA and AioB), which catalyzes the oxidation of As (III) </w:t>
      </w:r>
      <w:r w:rsidR="008662A8">
        <w:t>(</w:t>
      </w:r>
      <w:r w:rsidR="008662A8" w:rsidRPr="002A5387">
        <w:t>Anderson</w:t>
      </w:r>
      <w:r w:rsidR="008662A8">
        <w:t xml:space="preserve"> and</w:t>
      </w:r>
      <w:r w:rsidR="008662A8" w:rsidRPr="002A5387">
        <w:t xml:space="preserve"> Williams</w:t>
      </w:r>
      <w:r w:rsidR="00885B1C">
        <w:t>.</w:t>
      </w:r>
      <w:r w:rsidR="008662A8" w:rsidRPr="002A5387">
        <w:t>, 1992).</w:t>
      </w:r>
      <w:r w:rsidR="00345979">
        <w:t xml:space="preserve"> </w:t>
      </w:r>
      <w:r w:rsidR="008662A8" w:rsidRPr="002A52BD">
        <w:t xml:space="preserve">Heterophilic bacteria have been reported in the oxidation of As (III), e.g. </w:t>
      </w:r>
      <w:r w:rsidR="008662A8" w:rsidRPr="00684DB4">
        <w:t>Agrobacterium albertimagni</w:t>
      </w:r>
      <w:r w:rsidR="008662A8">
        <w:t xml:space="preserve"> and </w:t>
      </w:r>
      <w:r w:rsidR="008662A8" w:rsidRPr="00345979">
        <w:t>Alcaligenes sp</w:t>
      </w:r>
      <w:r w:rsidR="008662A8" w:rsidRPr="00280705">
        <w:rPr>
          <w:i/>
        </w:rPr>
        <w:t>.</w:t>
      </w:r>
      <w:r w:rsidR="008662A8" w:rsidRPr="002A52BD">
        <w:t xml:space="preserve"> (Salamassi</w:t>
      </w:r>
      <w:r w:rsidR="00381EA9">
        <w:t xml:space="preserve"> et al</w:t>
      </w:r>
      <w:r w:rsidR="00885B1C">
        <w:t>.</w:t>
      </w:r>
      <w:r w:rsidR="008662A8" w:rsidRPr="002A52BD">
        <w:t xml:space="preserve">, 2002), while the </w:t>
      </w:r>
      <w:r w:rsidR="008662A8" w:rsidRPr="00684DB4">
        <w:t>Rhizobium bacterium</w:t>
      </w:r>
      <w:r w:rsidR="008662A8" w:rsidRPr="002A52BD">
        <w:t xml:space="preserve"> generates energy by using As (III) as an electron </w:t>
      </w:r>
      <w:r w:rsidR="008662A8" w:rsidRPr="00ED6D1C">
        <w:t>donor (Santini and. Sly</w:t>
      </w:r>
      <w:r w:rsidR="00885B1C" w:rsidRPr="00ED6D1C">
        <w:t>.</w:t>
      </w:r>
      <w:r w:rsidR="008662A8" w:rsidRPr="00ED6D1C">
        <w:t>, 2000).</w:t>
      </w:r>
      <w:r w:rsidR="008662A8" w:rsidRPr="002A52BD">
        <w:t xml:space="preserve"> Arsenate reductase (ArsC) is a small protein that can catalyze the conversion of As (V) to As (III</w:t>
      </w:r>
      <w:r w:rsidR="008662A8" w:rsidRPr="00DA1AE1">
        <w:t>) (Richey and Chovanec</w:t>
      </w:r>
      <w:r w:rsidR="00885B1C" w:rsidRPr="00DA1AE1">
        <w:t>.</w:t>
      </w:r>
      <w:r w:rsidR="008662A8" w:rsidRPr="00DA1AE1">
        <w:t>, 2009).</w:t>
      </w:r>
      <w:r w:rsidR="008662A8" w:rsidRPr="002A52BD">
        <w:t xml:space="preserve"> Tolerance or transformation mechanisms in some bacteria include a chromosomal or plasmid coded </w:t>
      </w:r>
      <w:r w:rsidR="008662A8" w:rsidRPr="002A52BD">
        <w:rPr>
          <w:i/>
        </w:rPr>
        <w:t>ars</w:t>
      </w:r>
      <w:r w:rsidR="008662A8" w:rsidRPr="002A52BD">
        <w:t xml:space="preserve"> operon with three or five genes. The operon includes a regulatory gene (ars R), a coding gene for a transmembrane ejection pump specific for arsenite (ars B) and a coding gene for an arsenate reductase (arsC) where the reduction from As (V) to As (III) is carried out by the same </w:t>
      </w:r>
      <w:r w:rsidR="008662A8">
        <w:t>(</w:t>
      </w:r>
      <w:r w:rsidR="008662A8" w:rsidRPr="002A52BD">
        <w:t xml:space="preserve">Aditi </w:t>
      </w:r>
      <w:r w:rsidR="008662A8">
        <w:t xml:space="preserve">and </w:t>
      </w:r>
      <w:r w:rsidR="008662A8" w:rsidRPr="002A52BD">
        <w:t>Sachin</w:t>
      </w:r>
      <w:r w:rsidR="00885B1C">
        <w:t>.</w:t>
      </w:r>
      <w:r w:rsidR="008662A8" w:rsidRPr="002A52BD">
        <w:t xml:space="preserve">, 2016). </w:t>
      </w:r>
    </w:p>
    <w:p w14:paraId="241DF605" w14:textId="77777777" w:rsidR="006A5D5D" w:rsidRDefault="008662A8" w:rsidP="00447A28">
      <w:pPr>
        <w:pStyle w:val="CETBodytext"/>
      </w:pPr>
      <w:r w:rsidRPr="002A52BD">
        <w:t xml:space="preserve">The study area is the mining </w:t>
      </w:r>
      <w:r>
        <w:t>district Xichú, Guanajuato (</w:t>
      </w:r>
      <w:r w:rsidRPr="002A52BD">
        <w:t>La Aurora</w:t>
      </w:r>
      <w:r>
        <w:t xml:space="preserve"> Mine</w:t>
      </w:r>
      <w:r w:rsidRPr="002A52BD">
        <w:t>), which is located 128 km northeast of the capital of the State of Guanajuato</w:t>
      </w:r>
      <w:r>
        <w:t>. T</w:t>
      </w:r>
      <w:r w:rsidRPr="002A52BD">
        <w:t>he municipality is adjacent to the states of San Luis Potosí</w:t>
      </w:r>
      <w:r>
        <w:t>,</w:t>
      </w:r>
      <w:r w:rsidRPr="002A52BD">
        <w:t xml:space="preserve"> to the northeast</w:t>
      </w:r>
      <w:r>
        <w:t>,</w:t>
      </w:r>
      <w:r w:rsidRPr="002A52BD">
        <w:t xml:space="preserve"> and Queretaro</w:t>
      </w:r>
      <w:r>
        <w:t>,</w:t>
      </w:r>
      <w:r w:rsidRPr="002A52BD">
        <w:t xml:space="preserve"> to the east</w:t>
      </w:r>
      <w:r>
        <w:t>,</w:t>
      </w:r>
      <w:r w:rsidRPr="002A52BD">
        <w:t xml:space="preserve"> and belongs to the hydrological region</w:t>
      </w:r>
      <w:r>
        <w:t xml:space="preserve"> number </w:t>
      </w:r>
      <w:r w:rsidRPr="002A52BD">
        <w:t xml:space="preserve">26 corresponding to the </w:t>
      </w:r>
      <w:r>
        <w:t xml:space="preserve">sub-region of the </w:t>
      </w:r>
      <w:r w:rsidRPr="002A52BD">
        <w:t xml:space="preserve">Upper Panuco </w:t>
      </w:r>
      <w:r>
        <w:t xml:space="preserve">River, the Upper Panuco Basin, </w:t>
      </w:r>
      <w:r w:rsidRPr="002A52BD">
        <w:t>Santa Maria</w:t>
      </w:r>
      <w:r>
        <w:t xml:space="preserve"> River and</w:t>
      </w:r>
      <w:r w:rsidRPr="002A52BD">
        <w:t xml:space="preserve"> </w:t>
      </w:r>
      <w:r>
        <w:t xml:space="preserve">the </w:t>
      </w:r>
      <w:r w:rsidRPr="002A52BD">
        <w:t>Tamu</w:t>
      </w:r>
      <w:r>
        <w:t>í</w:t>
      </w:r>
      <w:r w:rsidRPr="002A52BD">
        <w:t>n</w:t>
      </w:r>
      <w:r>
        <w:t xml:space="preserve"> River</w:t>
      </w:r>
      <w:r w:rsidRPr="002A52BD">
        <w:t xml:space="preserve">. </w:t>
      </w:r>
      <w:r>
        <w:t>Records suggest that there has been mining activity in Xichú</w:t>
      </w:r>
      <w:r w:rsidRPr="002A52BD">
        <w:t xml:space="preserve"> since the sixteenth century, leaving approximately one million tons of w</w:t>
      </w:r>
      <w:r>
        <w:t xml:space="preserve">aste around the natural reserve Sierra Gorda of </w:t>
      </w:r>
      <w:r w:rsidRPr="002A52BD">
        <w:t>Guanajuato</w:t>
      </w:r>
      <w:r>
        <w:t>.</w:t>
      </w:r>
      <w:r w:rsidRPr="002A52BD">
        <w:t xml:space="preserve"> </w:t>
      </w:r>
      <w:r>
        <w:t>This waste (mine tailings) is</w:t>
      </w:r>
      <w:r w:rsidRPr="002A52BD">
        <w:t xml:space="preserve"> disposed on one side of the Xichú River</w:t>
      </w:r>
      <w:r>
        <w:t>. D</w:t>
      </w:r>
      <w:r w:rsidRPr="002A52BD">
        <w:t xml:space="preserve">ue to </w:t>
      </w:r>
      <w:r>
        <w:t>its proximity, the local population is exposed</w:t>
      </w:r>
      <w:r w:rsidRPr="002A52BD">
        <w:t xml:space="preserve"> to possible contamination </w:t>
      </w:r>
      <w:r>
        <w:t>from</w:t>
      </w:r>
      <w:r w:rsidRPr="002A52BD">
        <w:t xml:space="preserve"> potentially toxic </w:t>
      </w:r>
      <w:r w:rsidRPr="006920FC">
        <w:t>elements (PTE) (Salas</w:t>
      </w:r>
      <w:r w:rsidR="006A5D5D">
        <w:t>,</w:t>
      </w:r>
      <w:r w:rsidRPr="002A52BD">
        <w:t xml:space="preserve"> 2014), in this case As. Around the world, it is estimated that more than 40 million people are at risk of drinking water contaminated with As (Nordstrom</w:t>
      </w:r>
      <w:r w:rsidR="00885B1C">
        <w:t>.</w:t>
      </w:r>
      <w:r w:rsidRPr="002A52BD">
        <w:t>, 2002)</w:t>
      </w:r>
      <w:r w:rsidR="006A5D5D">
        <w:t>.</w:t>
      </w:r>
      <w:r>
        <w:t xml:space="preserve"> </w:t>
      </w:r>
    </w:p>
    <w:p w14:paraId="75FC9034" w14:textId="47D908F6" w:rsidR="006A5D5D" w:rsidRDefault="006A5D5D" w:rsidP="00447A28">
      <w:pPr>
        <w:pStyle w:val="CETBodytext"/>
      </w:pPr>
      <w:r>
        <w:t xml:space="preserve">Normally, it´s use it phisico-chemicals treatments to remove several metallic ions included arsenic from water, for instance, ion exchange, filtration, reverse osmosis, etc; but they have many environmental implications and also are expensive (Denisova et al. 2017) for rural communities.   </w:t>
      </w:r>
    </w:p>
    <w:p w14:paraId="49C32322" w14:textId="2C73EA9F" w:rsidR="002C35C6" w:rsidRDefault="008662A8" w:rsidP="00447A28">
      <w:pPr>
        <w:pStyle w:val="CETBodytext"/>
      </w:pPr>
      <w:r>
        <w:t xml:space="preserve">For these </w:t>
      </w:r>
      <w:r w:rsidRPr="002A52BD">
        <w:t xml:space="preserve">reasons, this </w:t>
      </w:r>
      <w:r>
        <w:t>study</w:t>
      </w:r>
      <w:r w:rsidRPr="002A52BD">
        <w:t xml:space="preserve"> involved the isolation of microbial strains from the Xichú River, their molecular identification and amplification of As</w:t>
      </w:r>
      <w:r>
        <w:t>-</w:t>
      </w:r>
      <w:r w:rsidRPr="002A52BD">
        <w:t xml:space="preserve">oxidizing or </w:t>
      </w:r>
      <w:r>
        <w:t>-</w:t>
      </w:r>
      <w:r w:rsidRPr="002A52BD">
        <w:t>reducing genes, as well as the co</w:t>
      </w:r>
      <w:r w:rsidR="00136938">
        <w:t>ntribution to developing bio-treatments to remove arsenic from water in rural communities where mining activity is principal source of contamination.</w:t>
      </w:r>
    </w:p>
    <w:p w14:paraId="30C6A32A" w14:textId="05D94B5F" w:rsidR="002C35C6" w:rsidRPr="00F16208" w:rsidRDefault="002C35C6" w:rsidP="00F16208">
      <w:pPr>
        <w:pStyle w:val="CETHeading1"/>
      </w:pPr>
      <w:r w:rsidRPr="002C35C6">
        <w:t>2. Materials and Methods.</w:t>
      </w:r>
    </w:p>
    <w:p w14:paraId="6AC9E497" w14:textId="76F8EF78" w:rsidR="00F16208" w:rsidRPr="00F16208" w:rsidRDefault="00132A80" w:rsidP="00F16208">
      <w:pPr>
        <w:pStyle w:val="CETheadingx"/>
      </w:pPr>
      <w:r>
        <w:t>Description of the site and S</w:t>
      </w:r>
      <w:r w:rsidR="002C35C6" w:rsidRPr="00F16208">
        <w:t xml:space="preserve">ampling.  </w:t>
      </w:r>
    </w:p>
    <w:p w14:paraId="58B7C256" w14:textId="569540DB" w:rsidR="002C35C6" w:rsidRPr="00132A80" w:rsidRDefault="002C35C6" w:rsidP="00132A80">
      <w:pPr>
        <w:pStyle w:val="CETBodytext"/>
      </w:pPr>
      <w:r w:rsidRPr="002C35C6">
        <w:t>Samples were collected from the Xichú River located within the municipality of Xichú, Gto, (100°03 of Longitude West of the Greenwich Meridian and at 21°18¨, Mexico). Eleven microbiological samples were obtained, four water samples: AJ (14N 392 952 E2358733N), J (14N 392914E 2359028N), DJ (14N 393054E 2359191N) and OA (14N 402757E 2371745N), four sediment samples (AJS, SM, EJS and JS) and one biofilm (BiofJ). For water monitoring sampling the</w:t>
      </w:r>
      <w:r w:rsidR="001278D4">
        <w:t xml:space="preserve"> Mexicans normativity NMX-AA-14-1980 and</w:t>
      </w:r>
      <w:r w:rsidRPr="002C35C6">
        <w:t xml:space="preserve"> </w:t>
      </w:r>
      <w:r w:rsidR="001278D4" w:rsidRPr="001278D4">
        <w:t>NMX-AA-132-SCFI-2006</w:t>
      </w:r>
      <w:r w:rsidR="001278D4">
        <w:t xml:space="preserve"> were</w:t>
      </w:r>
      <w:r w:rsidRPr="002C35C6">
        <w:t xml:space="preserve"> taken into co</w:t>
      </w:r>
      <w:r w:rsidR="001278D4">
        <w:t>nsideration</w:t>
      </w:r>
      <w:r w:rsidRPr="002C35C6">
        <w:t>. The plastic containers used were first treated with HNO</w:t>
      </w:r>
      <w:r w:rsidRPr="002C35C6">
        <w:rPr>
          <w:vertAlign w:val="subscript"/>
        </w:rPr>
        <w:t>3</w:t>
      </w:r>
      <w:r w:rsidRPr="002C35C6">
        <w:t xml:space="preserve"> 10% for 24 hours, before being washed with distilled water. For the collection of water samples, the plastic container was introduced into the water body until it was filled and sealed before being removed from the water body. In the case of sediment samples, a previously sterilized metallic spatula was used, and samples were deposited in sterile 50 ml falcon tubes. Finally, biofilm samples (Van Hullebusch et al.</w:t>
      </w:r>
      <w:r w:rsidR="00885B1C">
        <w:t>,</w:t>
      </w:r>
      <w:r w:rsidRPr="002C35C6">
        <w:t xml:space="preserve"> 2003) were collected in the same way as sediment samples. </w:t>
      </w:r>
    </w:p>
    <w:p w14:paraId="581B19BA" w14:textId="4F3EE078" w:rsidR="002C35C6" w:rsidRPr="00F16208" w:rsidRDefault="002C35C6" w:rsidP="00F16208">
      <w:pPr>
        <w:pStyle w:val="CETheadingx"/>
      </w:pPr>
      <w:r w:rsidRPr="002C35C6">
        <w:t>Physico-chemi</w:t>
      </w:r>
      <w:bookmarkStart w:id="0" w:name="_GoBack"/>
      <w:bookmarkEnd w:id="0"/>
      <w:r w:rsidRPr="002C35C6">
        <w:t>cal characterization</w:t>
      </w:r>
      <w:r w:rsidR="00132A80">
        <w:t xml:space="preserve"> of Water S</w:t>
      </w:r>
      <w:r w:rsidRPr="002C35C6">
        <w:t>amples.</w:t>
      </w:r>
    </w:p>
    <w:p w14:paraId="5D6C3D89" w14:textId="5E661DB5" w:rsidR="002C35C6" w:rsidRPr="002C35C6" w:rsidRDefault="002C35C6" w:rsidP="00447A28">
      <w:pPr>
        <w:pStyle w:val="CETBodytext"/>
      </w:pPr>
      <w:r w:rsidRPr="002C35C6">
        <w:t>The quantification of total arsenic was carried out in two stages: the first one was in-situ with an Arsenator Wagtech Arsenator® (WHO, 10 ppb μl</w:t>
      </w:r>
      <w:r w:rsidRPr="002C35C6">
        <w:rPr>
          <w:vertAlign w:val="superscript"/>
        </w:rPr>
        <w:t>-1</w:t>
      </w:r>
      <w:r w:rsidRPr="002C35C6">
        <w:t>), besides the quantification of S</w:t>
      </w:r>
      <w:r w:rsidRPr="002C35C6">
        <w:rPr>
          <w:vertAlign w:val="superscript"/>
        </w:rPr>
        <w:t>2-</w:t>
      </w:r>
      <w:r w:rsidRPr="002C35C6">
        <w:t>, SO</w:t>
      </w:r>
      <w:r w:rsidRPr="002C35C6">
        <w:rPr>
          <w:vertAlign w:val="superscript"/>
        </w:rPr>
        <w:t>4-</w:t>
      </w:r>
      <w:r w:rsidRPr="002C35C6">
        <w:t>, Fe</w:t>
      </w:r>
      <w:r w:rsidRPr="002C35C6">
        <w:rPr>
          <w:vertAlign w:val="superscript"/>
        </w:rPr>
        <w:t>2+</w:t>
      </w:r>
      <w:r w:rsidRPr="002C35C6">
        <w:t>, pH, temperature (°C), and dissolved oxygen (O.D), with a HACH DR 3900 and a Thermo scientific potentiometer (Water analysis) respectively. The second stage was in the laboratory, where a Perkin Elmer atomic absorption equipment model PinnAcle 900T with hydride generator was used for the quantification of total arsenic. Nitrites and other heavy metal cations such as Zn</w:t>
      </w:r>
      <w:r w:rsidRPr="002C35C6">
        <w:rPr>
          <w:vertAlign w:val="superscript"/>
        </w:rPr>
        <w:t>2+</w:t>
      </w:r>
      <w:r w:rsidRPr="002C35C6">
        <w:t>, Mn</w:t>
      </w:r>
      <w:r w:rsidRPr="002C35C6">
        <w:rPr>
          <w:vertAlign w:val="superscript"/>
        </w:rPr>
        <w:t>2+</w:t>
      </w:r>
      <w:r w:rsidRPr="002C35C6">
        <w:t>, Pb</w:t>
      </w:r>
      <w:r w:rsidRPr="002C35C6">
        <w:rPr>
          <w:vertAlign w:val="superscript"/>
        </w:rPr>
        <w:t>2+</w:t>
      </w:r>
      <w:r w:rsidRPr="002C35C6">
        <w:t>, Cd</w:t>
      </w:r>
      <w:r w:rsidRPr="002C35C6">
        <w:rPr>
          <w:vertAlign w:val="superscript"/>
        </w:rPr>
        <w:t>2+</w:t>
      </w:r>
      <w:r w:rsidRPr="002C35C6">
        <w:t xml:space="preserve"> and NO</w:t>
      </w:r>
      <w:r w:rsidRPr="002C35C6">
        <w:rPr>
          <w:vertAlign w:val="subscript"/>
        </w:rPr>
        <w:t>2</w:t>
      </w:r>
      <w:r w:rsidRPr="002C35C6">
        <w:rPr>
          <w:vertAlign w:val="superscript"/>
        </w:rPr>
        <w:t>-</w:t>
      </w:r>
      <w:r w:rsidRPr="002C35C6">
        <w:t xml:space="preserve"> were also quantified.</w:t>
      </w:r>
    </w:p>
    <w:p w14:paraId="31C907AC" w14:textId="4F2DB828" w:rsidR="002C35C6" w:rsidRPr="00F16208" w:rsidRDefault="00132A80" w:rsidP="00F16208">
      <w:pPr>
        <w:pStyle w:val="CETheadingx"/>
      </w:pPr>
      <w:r>
        <w:lastRenderedPageBreak/>
        <w:t xml:space="preserve"> Isolation of M</w:t>
      </w:r>
      <w:r w:rsidR="002C35C6" w:rsidRPr="002C35C6">
        <w:t xml:space="preserve">icroorganisms. </w:t>
      </w:r>
    </w:p>
    <w:p w14:paraId="6AC98484" w14:textId="338557B9" w:rsidR="002C35C6" w:rsidRPr="00F16208" w:rsidRDefault="002C35C6" w:rsidP="00447A28">
      <w:pPr>
        <w:pStyle w:val="CETBodytext"/>
      </w:pPr>
      <w:r w:rsidRPr="002C35C6">
        <w:t xml:space="preserve">Nutritional Agar (AN) was prepared with different concentrations of Arsenate (Sodium arsenate, </w:t>
      </w:r>
      <w:r w:rsidRPr="002C35C6">
        <w:rPr>
          <w:color w:val="222222"/>
          <w:shd w:val="clear" w:color="auto" w:fill="FFFFFF"/>
        </w:rPr>
        <w:t>Na</w:t>
      </w:r>
      <w:r w:rsidRPr="002C35C6">
        <w:rPr>
          <w:color w:val="222222"/>
          <w:shd w:val="clear" w:color="auto" w:fill="FFFFFF"/>
          <w:vertAlign w:val="subscript"/>
        </w:rPr>
        <w:t>3</w:t>
      </w:r>
      <w:r w:rsidRPr="002C35C6">
        <w:rPr>
          <w:color w:val="222222"/>
          <w:shd w:val="clear" w:color="auto" w:fill="FFFFFF"/>
        </w:rPr>
        <w:t>AsO</w:t>
      </w:r>
      <w:r w:rsidRPr="002C35C6">
        <w:rPr>
          <w:color w:val="222222"/>
          <w:shd w:val="clear" w:color="auto" w:fill="FFFFFF"/>
          <w:vertAlign w:val="subscript"/>
        </w:rPr>
        <w:t>4</w:t>
      </w:r>
      <w:r w:rsidRPr="002C35C6">
        <w:t xml:space="preserve">) and Arsenite (Sodium arsenite, </w:t>
      </w:r>
      <w:r w:rsidRPr="002C35C6">
        <w:rPr>
          <w:color w:val="222222"/>
          <w:shd w:val="clear" w:color="auto" w:fill="FFFFFF"/>
        </w:rPr>
        <w:t>NaAsO</w:t>
      </w:r>
      <w:r w:rsidRPr="002C35C6">
        <w:rPr>
          <w:color w:val="222222"/>
          <w:shd w:val="clear" w:color="auto" w:fill="FFFFFF"/>
          <w:vertAlign w:val="subscript"/>
        </w:rPr>
        <w:t>2</w:t>
      </w:r>
      <w:r w:rsidRPr="002C35C6">
        <w:t xml:space="preserve">) which ranged from 3.5 mM to 20 mM. Incubation conditions for all samples were 37°C for both aerobic and anaerobic samples. In the case of the strains exposed in anaerobiosis, an anaerobic chamber was used with GasPack. For the first inoculation they were taken directly from the microbiological water sample (50, 100 and 200 </w:t>
      </w:r>
      <w:r w:rsidRPr="002C35C6">
        <w:rPr>
          <w:lang w:val="es-ES_tradnl"/>
        </w:rPr>
        <w:t>μ</w:t>
      </w:r>
      <w:r w:rsidRPr="002C35C6">
        <w:t xml:space="preserve">l). In the case of sediments and biofilms, a sample was taken and resuspended in 20 ml of sterile water, from which 50 and 100 </w:t>
      </w:r>
      <w:r w:rsidRPr="002C35C6">
        <w:rPr>
          <w:lang w:val="es-ES_tradnl"/>
        </w:rPr>
        <w:t>μ</w:t>
      </w:r>
      <w:r w:rsidRPr="002C35C6">
        <w:t>l was later taken for inoculation.</w:t>
      </w:r>
    </w:p>
    <w:p w14:paraId="6C417455" w14:textId="224F390E" w:rsidR="002C35C6" w:rsidRPr="00F16208" w:rsidRDefault="00132A80" w:rsidP="00F16208">
      <w:pPr>
        <w:pStyle w:val="CETheadingx"/>
      </w:pPr>
      <w:r>
        <w:t>Reduction-Oxidation of As by Microbial A</w:t>
      </w:r>
      <w:r w:rsidR="002C35C6" w:rsidRPr="002C35C6">
        <w:t xml:space="preserve">ction. </w:t>
      </w:r>
    </w:p>
    <w:p w14:paraId="1E9D4C8F" w14:textId="547C2917" w:rsidR="002C35C6" w:rsidRPr="00F16208" w:rsidRDefault="002C35C6" w:rsidP="00447A28">
      <w:pPr>
        <w:pStyle w:val="CETBodytext"/>
        <w:rPr>
          <w:highlight w:val="yellow"/>
        </w:rPr>
      </w:pPr>
      <w:r w:rsidRPr="002C35C6">
        <w:t>In order to determine the oxidation or reduction of arsenic various colorimetric tests can be applied in order to infer, according to the colouring presented, the type of mechanism used by each of the bacterial isolates to resist the toxicity of the metalloid, either by means of the reduction of As (V) through the reaction with KMnO</w:t>
      </w:r>
      <w:r w:rsidRPr="002C35C6">
        <w:rPr>
          <w:vertAlign w:val="subscript"/>
        </w:rPr>
        <w:t xml:space="preserve">4 </w:t>
      </w:r>
      <w:r w:rsidRPr="002C35C6">
        <w:t>to As (III) (Salmassi et al.</w:t>
      </w:r>
      <w:r w:rsidR="00885B1C">
        <w:t>,</w:t>
      </w:r>
      <w:r w:rsidRPr="002C35C6">
        <w:t xml:space="preserve"> 2002). Where the first steps is the preparation of a fresh culture 24 hours before the assay, followed by a preparation of a medium with low concentrations of As(III) and As(V), 1 -3 mM each medium for a subsequent inoculation. Incubation conditions were 72 hours, 37°C and 120 rpm. Ones obtained the cultures it were centrifuges 10,000 rpm during 5 minutes, it’s necessary to take out 3 ml of the supernatant followed by an addition of KMnO</w:t>
      </w:r>
      <w:r w:rsidRPr="002C35C6">
        <w:rPr>
          <w:vertAlign w:val="subscript"/>
        </w:rPr>
        <w:t xml:space="preserve">4 </w:t>
      </w:r>
      <w:r w:rsidRPr="002C35C6">
        <w:t xml:space="preserve">(10mM). </w:t>
      </w:r>
    </w:p>
    <w:p w14:paraId="6A24C0CE" w14:textId="18944626" w:rsidR="002C35C6" w:rsidRPr="00F16208" w:rsidRDefault="00132A80" w:rsidP="00F16208">
      <w:pPr>
        <w:pStyle w:val="CETheadingx"/>
      </w:pPr>
      <w:r>
        <w:t>Growth K</w:t>
      </w:r>
      <w:r w:rsidR="002C35C6" w:rsidRPr="002C35C6">
        <w:t>inetics.</w:t>
      </w:r>
    </w:p>
    <w:p w14:paraId="1F058E55" w14:textId="77777777" w:rsidR="002C35C6" w:rsidRPr="002C35C6" w:rsidRDefault="002C35C6" w:rsidP="00447A28">
      <w:pPr>
        <w:pStyle w:val="CETBodytext"/>
      </w:pPr>
      <w:r w:rsidRPr="002C35C6">
        <w:t xml:space="preserve">In order to observe the growth time of the isolates, 4 growth curves will be used, as described below: </w:t>
      </w:r>
    </w:p>
    <w:p w14:paraId="33321125" w14:textId="3E424DE8" w:rsidR="002C35C6" w:rsidRPr="002C35C6" w:rsidRDefault="002C35C6" w:rsidP="00447A28">
      <w:pPr>
        <w:pStyle w:val="CETBodytext"/>
      </w:pPr>
      <w:r w:rsidRPr="002C35C6">
        <w:t xml:space="preserve">Growth kinetics in Nutrient </w:t>
      </w:r>
      <w:r w:rsidR="003B1DBA">
        <w:t>Broth (NB)</w:t>
      </w:r>
      <w:r w:rsidRPr="002C35C6">
        <w:t xml:space="preserve">: in 50 ml falcon tubes add 30 ml of NB medium and incubate at 37°C at 120 rpm for 7 days. Each assay it were measured every 24 hours. </w:t>
      </w:r>
    </w:p>
    <w:p w14:paraId="22C8901C" w14:textId="77777777" w:rsidR="002C35C6" w:rsidRPr="002C35C6" w:rsidRDefault="002C35C6" w:rsidP="00447A28">
      <w:pPr>
        <w:pStyle w:val="CETBodytext"/>
      </w:pPr>
      <w:r w:rsidRPr="002C35C6">
        <w:t>Growth kinetics in YEM with As(III) 10 mM. Incubation conditions: in 50 ml falcon tubes add 30 ml YEM medium added with 10 mM Sodium arsenite and incubate at 37°C at 120 rpm for 8 days.</w:t>
      </w:r>
    </w:p>
    <w:p w14:paraId="034D4995" w14:textId="77777777" w:rsidR="002C35C6" w:rsidRPr="002C35C6" w:rsidRDefault="002C35C6" w:rsidP="00447A28">
      <w:pPr>
        <w:pStyle w:val="CETBodytext"/>
      </w:pPr>
      <w:r w:rsidRPr="002C35C6">
        <w:t>Growth kinetics in YEM with As(V) 10 mM. Incubation conditions: In 50 ml falcon tubes add 30 ml of YEM medium added with 10 mM Sodium Arsenate and incubate at 37°C at 120 rpm for 8 days.</w:t>
      </w:r>
    </w:p>
    <w:p w14:paraId="4F87CB70" w14:textId="02E05AE4" w:rsidR="00F16208" w:rsidRPr="002C35C6" w:rsidRDefault="002C35C6" w:rsidP="00447A28">
      <w:pPr>
        <w:pStyle w:val="CETBodytext"/>
      </w:pPr>
      <w:r w:rsidRPr="002C35C6">
        <w:t>Growth kinetics in YEM with As(III) and (V) 10 mM. Incubation conditions: in 50 ml falcon tubes add 30 ml of added YEM medium with a concentration of 10 mM of both As(III) and As(V) and incubate at 37°C at 120 rpm for 8 days.</w:t>
      </w:r>
    </w:p>
    <w:p w14:paraId="614525AB" w14:textId="1ADCBFF2" w:rsidR="002C35C6" w:rsidRPr="00F16208" w:rsidRDefault="00132A80" w:rsidP="00F16208">
      <w:pPr>
        <w:pStyle w:val="CETheadingx"/>
      </w:pPr>
      <w:r>
        <w:t>Molecular identification of Microorganisms and Amplification of ars and aox G</w:t>
      </w:r>
      <w:r w:rsidR="002C35C6" w:rsidRPr="002C35C6">
        <w:t>enes.</w:t>
      </w:r>
    </w:p>
    <w:p w14:paraId="34C3093B" w14:textId="77777777" w:rsidR="002C35C6" w:rsidRPr="002C35C6" w:rsidRDefault="002C35C6" w:rsidP="00447A28">
      <w:pPr>
        <w:pStyle w:val="CETBodytext"/>
      </w:pPr>
      <w:r w:rsidRPr="002C35C6">
        <w:t>The extraction of the genomic DNA of the bacteria was carried out based on the protocol described by Murray and Thompson (1980), where the technique of extraction with Cetyl Trimethyl Ammonium Bromide (CTAB)/NaCl was used. Once the extraction was finished, an electrophoresis was performed in a 1% agarose gel with ethidium bromide to check the quality and concentration of the DNAg. This was followed by the amplification of the Ribosomal 16S gene by PCR,and the purification of the PCR product using the GE Healthcare kit, illustrated, GFX PCR DNA and Gel Band Purification, in which protocols and supplier suggestions are followed. The purified PCR products were sent to the National Laboratory of Agricultural, Medical and Environmental Biotechnology (LANBAMA) in San Luis Potosí, which is operated and supported jointly by the Division of Molecular Biology and the Division of Environmental Sciences of the Instituto Potosino de Investigación Científica y Tecnológica (IPICYT). Finally, the data was corroborated with Gen Bank.</w:t>
      </w:r>
    </w:p>
    <w:p w14:paraId="0B316EFB" w14:textId="64819D56" w:rsidR="0060701B" w:rsidRDefault="002C35C6" w:rsidP="00447A28">
      <w:pPr>
        <w:pStyle w:val="CETBodytext"/>
      </w:pPr>
      <w:r w:rsidRPr="002C35C6">
        <w:t>The amplification of the ars and aox genes was also carried out using the following methodology, which was used on each of the isolated bacterial strains in order to detect the presence or absence of those genes that are directly related to the resistance to arsenic (As). In order to do this, PCR was mixed with Water miliQ, Buffer PCR (10X), MgCl2, dNTPs, the initiators ars A Forward and ars Reverse, in the case of arsenate reductase (arr A), and the initiators aox A and aox B in the case of arsenite oxidase, DNAg and Taq Polymerase (Invitrogen). The reaction was carried out in a Thermocycler (LabNet), at an alignment temperature of 60 °C, ending with the Extension Phase at 72 ºC for 1 minute. Finally, a cycle was applied for a final extension of 10 min. at 72ºC and finally a maintenance stage was programmed at 4°C.</w:t>
      </w:r>
    </w:p>
    <w:p w14:paraId="06A1FE38" w14:textId="77777777" w:rsidR="00447A28" w:rsidRDefault="00447A28" w:rsidP="00447A28">
      <w:pPr>
        <w:pStyle w:val="CETBodytext"/>
      </w:pPr>
    </w:p>
    <w:p w14:paraId="0FA25BF3" w14:textId="77777777" w:rsidR="00447A28" w:rsidRDefault="00447A28" w:rsidP="00447A28">
      <w:pPr>
        <w:pStyle w:val="CETBodytext"/>
      </w:pPr>
    </w:p>
    <w:p w14:paraId="62AE3631" w14:textId="77777777" w:rsidR="00447A28" w:rsidRDefault="00447A28" w:rsidP="00447A28">
      <w:pPr>
        <w:pStyle w:val="CETBodytext"/>
      </w:pPr>
    </w:p>
    <w:p w14:paraId="5061E97D" w14:textId="77777777" w:rsidR="00447A28" w:rsidRDefault="00447A28" w:rsidP="00447A28">
      <w:pPr>
        <w:pStyle w:val="CETBodytext"/>
      </w:pPr>
    </w:p>
    <w:p w14:paraId="57474BA2" w14:textId="77777777" w:rsidR="00447A28" w:rsidRDefault="00447A28" w:rsidP="00447A28">
      <w:pPr>
        <w:pStyle w:val="CETBodytext"/>
      </w:pPr>
    </w:p>
    <w:p w14:paraId="652D5CEB" w14:textId="77777777" w:rsidR="00447A28" w:rsidRDefault="00447A28" w:rsidP="00447A28">
      <w:pPr>
        <w:pStyle w:val="CETBodytext"/>
      </w:pPr>
    </w:p>
    <w:p w14:paraId="18527FC3" w14:textId="77777777" w:rsidR="00447A28" w:rsidRDefault="00447A28" w:rsidP="00447A28">
      <w:pPr>
        <w:pStyle w:val="CETBodytext"/>
      </w:pPr>
    </w:p>
    <w:p w14:paraId="2FFC0DE5" w14:textId="77777777" w:rsidR="00447A28" w:rsidRDefault="00447A28" w:rsidP="00447A28">
      <w:pPr>
        <w:pStyle w:val="CETBodytext"/>
      </w:pPr>
    </w:p>
    <w:p w14:paraId="1E914983" w14:textId="77777777" w:rsidR="00132A80" w:rsidRPr="00447A28" w:rsidRDefault="00132A80" w:rsidP="00447A28">
      <w:pPr>
        <w:pStyle w:val="CETBodytext"/>
      </w:pPr>
    </w:p>
    <w:p w14:paraId="7F92FC9B" w14:textId="73FB990D" w:rsidR="002C35C6" w:rsidRPr="00F16208" w:rsidRDefault="002C35C6" w:rsidP="00F16208">
      <w:pPr>
        <w:pStyle w:val="CETHeading1"/>
      </w:pPr>
      <w:r w:rsidRPr="00FC2A64">
        <w:lastRenderedPageBreak/>
        <w:t>Results.</w:t>
      </w:r>
    </w:p>
    <w:p w14:paraId="085118D3" w14:textId="379615D2" w:rsidR="002C35C6" w:rsidRPr="00F16208" w:rsidRDefault="002C35C6" w:rsidP="00F16208">
      <w:pPr>
        <w:pStyle w:val="CETheadingx"/>
      </w:pPr>
      <w:r w:rsidRPr="00FC2A64">
        <w:t xml:space="preserve"> Physic</w:t>
      </w:r>
      <w:r w:rsidR="00132A80">
        <w:t>o-chemical characterization of Water S</w:t>
      </w:r>
      <w:r w:rsidRPr="00FC2A64">
        <w:t>amples.</w:t>
      </w:r>
    </w:p>
    <w:p w14:paraId="5B8D933D" w14:textId="6BD18B35" w:rsidR="00070E90" w:rsidRDefault="002C35C6" w:rsidP="00447A28">
      <w:pPr>
        <w:pStyle w:val="CETBodytext"/>
        <w:rPr>
          <w:i/>
        </w:rPr>
      </w:pPr>
      <w:r w:rsidRPr="00070E90">
        <w:t>The results of the in-situ water characterization are shown below in table (1).</w:t>
      </w:r>
      <w:r w:rsidR="00070E90" w:rsidRPr="00070E90">
        <w:rPr>
          <w:i/>
        </w:rPr>
        <w:t xml:space="preserve"> </w:t>
      </w:r>
    </w:p>
    <w:p w14:paraId="61566F43" w14:textId="77777777" w:rsidR="002C35C6" w:rsidRPr="00070E90" w:rsidRDefault="00070E90" w:rsidP="00746EE0">
      <w:pPr>
        <w:pStyle w:val="CETTabletitle"/>
        <w:rPr>
          <w:lang w:val="en-US"/>
        </w:rPr>
      </w:pPr>
      <w:r w:rsidRPr="00070E90">
        <w:rPr>
          <w:lang w:val="en-US"/>
        </w:rPr>
        <w:t>Table 1.  In-situ physicochemical characterization of water samples in low season (April) and rainy season (September). Ast was measured in laboratory for AAS.</w:t>
      </w:r>
    </w:p>
    <w:tbl>
      <w:tblPr>
        <w:tblStyle w:val="PlainTable2"/>
        <w:tblpPr w:leftFromText="141" w:rightFromText="141" w:vertAnchor="text" w:horzAnchor="margin" w:tblpY="78"/>
        <w:tblW w:w="8890" w:type="dxa"/>
        <w:tblLook w:val="04A0" w:firstRow="1" w:lastRow="0" w:firstColumn="1" w:lastColumn="0" w:noHBand="0" w:noVBand="1"/>
      </w:tblPr>
      <w:tblGrid>
        <w:gridCol w:w="1415"/>
        <w:gridCol w:w="567"/>
        <w:gridCol w:w="667"/>
        <w:gridCol w:w="667"/>
        <w:gridCol w:w="654"/>
        <w:gridCol w:w="918"/>
        <w:gridCol w:w="667"/>
        <w:gridCol w:w="667"/>
        <w:gridCol w:w="667"/>
        <w:gridCol w:w="667"/>
        <w:gridCol w:w="667"/>
        <w:gridCol w:w="667"/>
      </w:tblGrid>
      <w:tr w:rsidR="002C35C6" w:rsidRPr="000E2240" w14:paraId="06930541" w14:textId="77777777" w:rsidTr="00C6588D">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415" w:type="dxa"/>
            <w:vMerge w:val="restart"/>
            <w:tcBorders>
              <w:top w:val="single" w:sz="12" w:space="0" w:color="9BBB59" w:themeColor="accent3"/>
              <w:right w:val="single" w:sz="4" w:space="0" w:color="9BBB59" w:themeColor="accent3"/>
            </w:tcBorders>
            <w:noWrap/>
            <w:hideMark/>
          </w:tcPr>
          <w:p w14:paraId="4BF750F4" w14:textId="77777777" w:rsidR="002C35C6" w:rsidRPr="00876FDC" w:rsidRDefault="002C35C6" w:rsidP="00C6588D">
            <w:pPr>
              <w:pStyle w:val="CETBodytext"/>
              <w:jc w:val="center"/>
              <w:rPr>
                <w:rFonts w:cs="Arial"/>
                <w:b w:val="0"/>
                <w:szCs w:val="18"/>
                <w:lang w:eastAsia="es-MX"/>
              </w:rPr>
            </w:pPr>
            <w:r w:rsidRPr="00876FDC">
              <w:rPr>
                <w:rFonts w:cs="Arial"/>
                <w:b w:val="0"/>
                <w:szCs w:val="18"/>
                <w:lang w:eastAsia="es-MX"/>
              </w:rPr>
              <w:t>Parameters</w:t>
            </w:r>
          </w:p>
        </w:tc>
        <w:tc>
          <w:tcPr>
            <w:tcW w:w="3473" w:type="dxa"/>
            <w:gridSpan w:val="5"/>
            <w:tcBorders>
              <w:top w:val="single" w:sz="12" w:space="0" w:color="9BBB59" w:themeColor="accent3"/>
              <w:left w:val="single" w:sz="4" w:space="0" w:color="9BBB59" w:themeColor="accent3"/>
              <w:right w:val="single" w:sz="4" w:space="0" w:color="9BBB59"/>
            </w:tcBorders>
            <w:noWrap/>
            <w:hideMark/>
          </w:tcPr>
          <w:p w14:paraId="69E984E4" w14:textId="77777777" w:rsidR="002C35C6" w:rsidRPr="00876FDC" w:rsidRDefault="002C35C6" w:rsidP="00C6588D">
            <w:pPr>
              <w:pStyle w:val="CETBodytext"/>
              <w:jc w:val="center"/>
              <w:cnfStyle w:val="100000000000" w:firstRow="1" w:lastRow="0" w:firstColumn="0" w:lastColumn="0" w:oddVBand="0" w:evenVBand="0" w:oddHBand="0" w:evenHBand="0" w:firstRowFirstColumn="0" w:firstRowLastColumn="0" w:lastRowFirstColumn="0" w:lastRowLastColumn="0"/>
              <w:rPr>
                <w:rFonts w:cs="Arial"/>
                <w:b w:val="0"/>
                <w:szCs w:val="18"/>
                <w:lang w:eastAsia="es-MX"/>
              </w:rPr>
            </w:pPr>
            <w:r w:rsidRPr="00876FDC">
              <w:rPr>
                <w:rFonts w:cs="Arial"/>
                <w:b w:val="0"/>
                <w:szCs w:val="18"/>
                <w:lang w:eastAsia="es-MX"/>
              </w:rPr>
              <w:t>Samples - April</w:t>
            </w:r>
          </w:p>
        </w:tc>
        <w:tc>
          <w:tcPr>
            <w:tcW w:w="4002" w:type="dxa"/>
            <w:gridSpan w:val="6"/>
            <w:tcBorders>
              <w:top w:val="single" w:sz="12" w:space="0" w:color="9BBB59" w:themeColor="accent3"/>
              <w:left w:val="single" w:sz="4" w:space="0" w:color="9BBB59"/>
            </w:tcBorders>
            <w:noWrap/>
            <w:hideMark/>
          </w:tcPr>
          <w:p w14:paraId="3E9C2061" w14:textId="77777777" w:rsidR="002C35C6" w:rsidRPr="00876FDC" w:rsidRDefault="002C35C6" w:rsidP="00C6588D">
            <w:pPr>
              <w:pStyle w:val="CETBodytext"/>
              <w:jc w:val="center"/>
              <w:cnfStyle w:val="100000000000" w:firstRow="1" w:lastRow="0" w:firstColumn="0" w:lastColumn="0" w:oddVBand="0" w:evenVBand="0" w:oddHBand="0" w:evenHBand="0" w:firstRowFirstColumn="0" w:firstRowLastColumn="0" w:lastRowFirstColumn="0" w:lastRowLastColumn="0"/>
              <w:rPr>
                <w:rFonts w:cs="Arial"/>
                <w:b w:val="0"/>
                <w:szCs w:val="18"/>
                <w:lang w:eastAsia="es-MX"/>
              </w:rPr>
            </w:pPr>
            <w:r w:rsidRPr="00876FDC">
              <w:rPr>
                <w:rFonts w:cs="Arial"/>
                <w:b w:val="0"/>
                <w:szCs w:val="18"/>
                <w:lang w:eastAsia="es-MX"/>
              </w:rPr>
              <w:t>Samples - September</w:t>
            </w:r>
          </w:p>
        </w:tc>
      </w:tr>
      <w:tr w:rsidR="000E2240" w:rsidRPr="000E2240" w14:paraId="544D5703" w14:textId="77777777" w:rsidTr="00C6588D">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9BBB59" w:themeColor="accent3"/>
              <w:right w:val="single" w:sz="4" w:space="0" w:color="9BBB59" w:themeColor="accent3"/>
            </w:tcBorders>
            <w:hideMark/>
          </w:tcPr>
          <w:p w14:paraId="513D4430" w14:textId="77777777" w:rsidR="002C35C6" w:rsidRPr="00876FDC" w:rsidRDefault="002C35C6" w:rsidP="00C6588D">
            <w:pPr>
              <w:pStyle w:val="CETBodytext"/>
              <w:jc w:val="center"/>
              <w:rPr>
                <w:rFonts w:cs="Arial"/>
                <w:b w:val="0"/>
                <w:szCs w:val="18"/>
                <w:lang w:eastAsia="es-MX"/>
              </w:rPr>
            </w:pPr>
          </w:p>
        </w:tc>
        <w:tc>
          <w:tcPr>
            <w:tcW w:w="567" w:type="dxa"/>
            <w:tcBorders>
              <w:top w:val="single" w:sz="4" w:space="0" w:color="9BBB59"/>
              <w:left w:val="single" w:sz="4" w:space="0" w:color="9BBB59" w:themeColor="accent3"/>
              <w:bottom w:val="single" w:sz="4" w:space="0" w:color="9BBB59" w:themeColor="accent3"/>
            </w:tcBorders>
            <w:noWrap/>
            <w:hideMark/>
          </w:tcPr>
          <w:p w14:paraId="366DBA68"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AJ</w:t>
            </w:r>
          </w:p>
        </w:tc>
        <w:tc>
          <w:tcPr>
            <w:tcW w:w="667" w:type="dxa"/>
            <w:tcBorders>
              <w:top w:val="single" w:sz="4" w:space="0" w:color="9BBB59"/>
              <w:bottom w:val="single" w:sz="4" w:space="0" w:color="9BBB59" w:themeColor="accent3"/>
            </w:tcBorders>
            <w:noWrap/>
            <w:hideMark/>
          </w:tcPr>
          <w:p w14:paraId="2A9500DF"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J</w:t>
            </w:r>
          </w:p>
        </w:tc>
        <w:tc>
          <w:tcPr>
            <w:tcW w:w="667" w:type="dxa"/>
            <w:tcBorders>
              <w:top w:val="single" w:sz="4" w:space="0" w:color="9BBB59"/>
              <w:bottom w:val="single" w:sz="4" w:space="0" w:color="9BBB59" w:themeColor="accent3"/>
            </w:tcBorders>
            <w:noWrap/>
            <w:hideMark/>
          </w:tcPr>
          <w:p w14:paraId="314F43BA"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EJ</w:t>
            </w:r>
          </w:p>
        </w:tc>
        <w:tc>
          <w:tcPr>
            <w:tcW w:w="654" w:type="dxa"/>
            <w:tcBorders>
              <w:top w:val="single" w:sz="4" w:space="0" w:color="9BBB59"/>
              <w:bottom w:val="single" w:sz="4" w:space="0" w:color="9BBB59" w:themeColor="accent3"/>
            </w:tcBorders>
            <w:noWrap/>
            <w:hideMark/>
          </w:tcPr>
          <w:p w14:paraId="48E612CF"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DJ</w:t>
            </w:r>
          </w:p>
        </w:tc>
        <w:tc>
          <w:tcPr>
            <w:tcW w:w="918" w:type="dxa"/>
            <w:tcBorders>
              <w:top w:val="single" w:sz="4" w:space="0" w:color="9BBB59"/>
              <w:bottom w:val="single" w:sz="4" w:space="0" w:color="9BBB59" w:themeColor="accent3"/>
            </w:tcBorders>
            <w:noWrap/>
            <w:hideMark/>
          </w:tcPr>
          <w:p w14:paraId="3D6C59AE"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OA</w:t>
            </w:r>
          </w:p>
        </w:tc>
        <w:tc>
          <w:tcPr>
            <w:tcW w:w="667" w:type="dxa"/>
            <w:tcBorders>
              <w:top w:val="single" w:sz="4" w:space="0" w:color="9BBB59"/>
              <w:bottom w:val="single" w:sz="4" w:space="0" w:color="9BBB59" w:themeColor="accent3"/>
            </w:tcBorders>
            <w:noWrap/>
            <w:hideMark/>
          </w:tcPr>
          <w:p w14:paraId="00B930D2"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AJ</w:t>
            </w:r>
          </w:p>
        </w:tc>
        <w:tc>
          <w:tcPr>
            <w:tcW w:w="667" w:type="dxa"/>
            <w:tcBorders>
              <w:top w:val="single" w:sz="4" w:space="0" w:color="9BBB59"/>
              <w:bottom w:val="single" w:sz="4" w:space="0" w:color="9BBB59" w:themeColor="accent3"/>
            </w:tcBorders>
            <w:noWrap/>
            <w:hideMark/>
          </w:tcPr>
          <w:p w14:paraId="5B929C23"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J</w:t>
            </w:r>
          </w:p>
        </w:tc>
        <w:tc>
          <w:tcPr>
            <w:tcW w:w="667" w:type="dxa"/>
            <w:tcBorders>
              <w:top w:val="single" w:sz="4" w:space="0" w:color="9BBB59"/>
              <w:bottom w:val="single" w:sz="4" w:space="0" w:color="9BBB59" w:themeColor="accent3"/>
            </w:tcBorders>
            <w:noWrap/>
            <w:hideMark/>
          </w:tcPr>
          <w:p w14:paraId="227CDF3B"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EJ</w:t>
            </w:r>
          </w:p>
        </w:tc>
        <w:tc>
          <w:tcPr>
            <w:tcW w:w="667" w:type="dxa"/>
            <w:tcBorders>
              <w:top w:val="single" w:sz="4" w:space="0" w:color="9BBB59"/>
              <w:bottom w:val="single" w:sz="4" w:space="0" w:color="9BBB59" w:themeColor="accent3"/>
            </w:tcBorders>
            <w:noWrap/>
            <w:hideMark/>
          </w:tcPr>
          <w:p w14:paraId="2B8CAAAF"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DJ</w:t>
            </w:r>
          </w:p>
        </w:tc>
        <w:tc>
          <w:tcPr>
            <w:tcW w:w="667" w:type="dxa"/>
            <w:tcBorders>
              <w:top w:val="single" w:sz="4" w:space="0" w:color="9BBB59"/>
              <w:bottom w:val="single" w:sz="4" w:space="0" w:color="9BBB59" w:themeColor="accent3"/>
            </w:tcBorders>
            <w:noWrap/>
            <w:hideMark/>
          </w:tcPr>
          <w:p w14:paraId="4E7CC3A8"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MZ</w:t>
            </w:r>
          </w:p>
        </w:tc>
        <w:tc>
          <w:tcPr>
            <w:tcW w:w="667" w:type="dxa"/>
            <w:tcBorders>
              <w:top w:val="single" w:sz="4" w:space="0" w:color="9BBB59"/>
              <w:bottom w:val="single" w:sz="4" w:space="0" w:color="9BBB59" w:themeColor="accent3"/>
            </w:tcBorders>
            <w:noWrap/>
            <w:hideMark/>
          </w:tcPr>
          <w:p w14:paraId="236AD3D5"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RT</w:t>
            </w:r>
          </w:p>
        </w:tc>
      </w:tr>
      <w:tr w:rsidR="00FC2A64" w:rsidRPr="000E2240" w14:paraId="1BDA27B5" w14:textId="77777777" w:rsidTr="00C6588D">
        <w:trPr>
          <w:trHeight w:val="400"/>
        </w:trPr>
        <w:tc>
          <w:tcPr>
            <w:cnfStyle w:val="001000000000" w:firstRow="0" w:lastRow="0" w:firstColumn="1" w:lastColumn="0" w:oddVBand="0" w:evenVBand="0" w:oddHBand="0" w:evenHBand="0" w:firstRowFirstColumn="0" w:firstRowLastColumn="0" w:lastRowFirstColumn="0" w:lastRowLastColumn="0"/>
            <w:tcW w:w="1415" w:type="dxa"/>
            <w:tcBorders>
              <w:top w:val="single" w:sz="4" w:space="0" w:color="9BBB59" w:themeColor="accent3"/>
              <w:bottom w:val="single" w:sz="4" w:space="0" w:color="9BBB59" w:themeColor="accent3"/>
              <w:right w:val="nil"/>
            </w:tcBorders>
            <w:noWrap/>
            <w:hideMark/>
          </w:tcPr>
          <w:p w14:paraId="360FF69E" w14:textId="77777777" w:rsidR="002C35C6" w:rsidRPr="00876FDC" w:rsidRDefault="002C35C6" w:rsidP="00C6588D">
            <w:pPr>
              <w:pStyle w:val="CETBodytext"/>
              <w:jc w:val="center"/>
              <w:rPr>
                <w:rFonts w:cs="Arial"/>
                <w:b w:val="0"/>
                <w:szCs w:val="18"/>
                <w:lang w:eastAsia="es-MX"/>
              </w:rPr>
            </w:pPr>
            <w:r w:rsidRPr="00876FDC">
              <w:rPr>
                <w:rFonts w:cs="Arial"/>
                <w:b w:val="0"/>
                <w:szCs w:val="18"/>
                <w:lang w:eastAsia="es-MX"/>
              </w:rPr>
              <w:t>SO</w:t>
            </w:r>
            <w:r w:rsidRPr="00876FDC">
              <w:rPr>
                <w:rFonts w:cs="Arial"/>
                <w:b w:val="0"/>
                <w:szCs w:val="18"/>
                <w:vertAlign w:val="subscript"/>
                <w:lang w:eastAsia="es-MX"/>
              </w:rPr>
              <w:t>4</w:t>
            </w:r>
            <w:r w:rsidRPr="00876FDC">
              <w:rPr>
                <w:rFonts w:cs="Arial"/>
                <w:b w:val="0"/>
                <w:szCs w:val="18"/>
                <w:vertAlign w:val="superscript"/>
                <w:lang w:eastAsia="es-MX"/>
              </w:rPr>
              <w:t>2-</w:t>
            </w:r>
            <w:r w:rsidRPr="00876FDC">
              <w:rPr>
                <w:rFonts w:cs="Arial"/>
                <w:b w:val="0"/>
                <w:szCs w:val="18"/>
                <w:lang w:eastAsia="es-MX"/>
              </w:rPr>
              <w:t>mg L</w:t>
            </w:r>
            <w:r w:rsidRPr="00876FDC">
              <w:rPr>
                <w:rFonts w:cs="Arial"/>
                <w:b w:val="0"/>
                <w:szCs w:val="18"/>
                <w:vertAlign w:val="superscript"/>
                <w:lang w:eastAsia="es-MX"/>
              </w:rPr>
              <w:t>-1</w:t>
            </w:r>
          </w:p>
        </w:tc>
        <w:tc>
          <w:tcPr>
            <w:tcW w:w="567" w:type="dxa"/>
            <w:tcBorders>
              <w:top w:val="single" w:sz="4" w:space="0" w:color="9BBB59" w:themeColor="accent3"/>
              <w:left w:val="nil"/>
              <w:bottom w:val="single" w:sz="4" w:space="0" w:color="9BBB59" w:themeColor="accent3"/>
            </w:tcBorders>
            <w:noWrap/>
            <w:hideMark/>
          </w:tcPr>
          <w:p w14:paraId="1D74CDCA"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110</w:t>
            </w:r>
          </w:p>
        </w:tc>
        <w:tc>
          <w:tcPr>
            <w:tcW w:w="667" w:type="dxa"/>
            <w:tcBorders>
              <w:top w:val="single" w:sz="4" w:space="0" w:color="9BBB59" w:themeColor="accent3"/>
              <w:bottom w:val="single" w:sz="4" w:space="0" w:color="9BBB59" w:themeColor="accent3"/>
            </w:tcBorders>
            <w:noWrap/>
            <w:hideMark/>
          </w:tcPr>
          <w:p w14:paraId="25076F50"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132.5</w:t>
            </w:r>
          </w:p>
        </w:tc>
        <w:tc>
          <w:tcPr>
            <w:tcW w:w="667" w:type="dxa"/>
            <w:tcBorders>
              <w:top w:val="single" w:sz="4" w:space="0" w:color="9BBB59" w:themeColor="accent3"/>
              <w:bottom w:val="single" w:sz="4" w:space="0" w:color="9BBB59" w:themeColor="accent3"/>
            </w:tcBorders>
            <w:noWrap/>
            <w:hideMark/>
          </w:tcPr>
          <w:p w14:paraId="29461AFE"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145</w:t>
            </w:r>
          </w:p>
        </w:tc>
        <w:tc>
          <w:tcPr>
            <w:tcW w:w="654" w:type="dxa"/>
            <w:tcBorders>
              <w:top w:val="single" w:sz="4" w:space="0" w:color="9BBB59" w:themeColor="accent3"/>
              <w:bottom w:val="single" w:sz="4" w:space="0" w:color="9BBB59" w:themeColor="accent3"/>
            </w:tcBorders>
            <w:noWrap/>
            <w:hideMark/>
          </w:tcPr>
          <w:p w14:paraId="01864E54"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160</w:t>
            </w:r>
          </w:p>
        </w:tc>
        <w:tc>
          <w:tcPr>
            <w:tcW w:w="918" w:type="dxa"/>
            <w:tcBorders>
              <w:top w:val="single" w:sz="4" w:space="0" w:color="9BBB59" w:themeColor="accent3"/>
              <w:bottom w:val="single" w:sz="4" w:space="0" w:color="9BBB59" w:themeColor="accent3"/>
            </w:tcBorders>
            <w:noWrap/>
            <w:hideMark/>
          </w:tcPr>
          <w:p w14:paraId="1877AE01"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122.5</w:t>
            </w:r>
          </w:p>
        </w:tc>
        <w:tc>
          <w:tcPr>
            <w:tcW w:w="667" w:type="dxa"/>
            <w:tcBorders>
              <w:top w:val="single" w:sz="4" w:space="0" w:color="9BBB59" w:themeColor="accent3"/>
              <w:bottom w:val="single" w:sz="4" w:space="0" w:color="9BBB59" w:themeColor="accent3"/>
            </w:tcBorders>
            <w:noWrap/>
            <w:hideMark/>
          </w:tcPr>
          <w:p w14:paraId="425B2CC3"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12.3</w:t>
            </w:r>
          </w:p>
        </w:tc>
        <w:tc>
          <w:tcPr>
            <w:tcW w:w="667" w:type="dxa"/>
            <w:tcBorders>
              <w:top w:val="single" w:sz="4" w:space="0" w:color="9BBB59" w:themeColor="accent3"/>
              <w:bottom w:val="single" w:sz="4" w:space="0" w:color="9BBB59" w:themeColor="accent3"/>
            </w:tcBorders>
            <w:noWrap/>
            <w:hideMark/>
          </w:tcPr>
          <w:p w14:paraId="3ED1165C"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17.6</w:t>
            </w:r>
          </w:p>
        </w:tc>
        <w:tc>
          <w:tcPr>
            <w:tcW w:w="667" w:type="dxa"/>
            <w:tcBorders>
              <w:top w:val="single" w:sz="4" w:space="0" w:color="9BBB59" w:themeColor="accent3"/>
              <w:bottom w:val="single" w:sz="4" w:space="0" w:color="9BBB59" w:themeColor="accent3"/>
            </w:tcBorders>
            <w:noWrap/>
            <w:hideMark/>
          </w:tcPr>
          <w:p w14:paraId="76539D96"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12</w:t>
            </w:r>
          </w:p>
        </w:tc>
        <w:tc>
          <w:tcPr>
            <w:tcW w:w="667" w:type="dxa"/>
            <w:tcBorders>
              <w:top w:val="single" w:sz="4" w:space="0" w:color="9BBB59" w:themeColor="accent3"/>
              <w:bottom w:val="single" w:sz="4" w:space="0" w:color="9BBB59" w:themeColor="accent3"/>
            </w:tcBorders>
            <w:noWrap/>
            <w:hideMark/>
          </w:tcPr>
          <w:p w14:paraId="00D17F5A"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15.3</w:t>
            </w:r>
          </w:p>
        </w:tc>
        <w:tc>
          <w:tcPr>
            <w:tcW w:w="667" w:type="dxa"/>
            <w:tcBorders>
              <w:top w:val="single" w:sz="4" w:space="0" w:color="9BBB59" w:themeColor="accent3"/>
            </w:tcBorders>
            <w:noWrap/>
            <w:hideMark/>
          </w:tcPr>
          <w:p w14:paraId="000F5CEA"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24</w:t>
            </w:r>
          </w:p>
        </w:tc>
        <w:tc>
          <w:tcPr>
            <w:tcW w:w="667" w:type="dxa"/>
            <w:tcBorders>
              <w:top w:val="single" w:sz="4" w:space="0" w:color="9BBB59" w:themeColor="accent3"/>
              <w:bottom w:val="single" w:sz="4" w:space="0" w:color="9BBB59" w:themeColor="accent3"/>
            </w:tcBorders>
            <w:noWrap/>
            <w:hideMark/>
          </w:tcPr>
          <w:p w14:paraId="686C3FD8"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18</w:t>
            </w:r>
          </w:p>
        </w:tc>
      </w:tr>
      <w:tr w:rsidR="002C35C6" w:rsidRPr="000E2240" w14:paraId="74FCE4F5" w14:textId="77777777" w:rsidTr="00C6588D">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415" w:type="dxa"/>
            <w:tcBorders>
              <w:top w:val="single" w:sz="4" w:space="0" w:color="9BBB59" w:themeColor="accent3"/>
              <w:bottom w:val="single" w:sz="4" w:space="0" w:color="9BBB59" w:themeColor="accent3"/>
            </w:tcBorders>
            <w:noWrap/>
            <w:hideMark/>
          </w:tcPr>
          <w:p w14:paraId="1B321D1A" w14:textId="77777777" w:rsidR="002C35C6" w:rsidRPr="00876FDC" w:rsidRDefault="002C35C6" w:rsidP="00C6588D">
            <w:pPr>
              <w:pStyle w:val="CETBodytext"/>
              <w:jc w:val="center"/>
              <w:rPr>
                <w:rFonts w:cs="Arial"/>
                <w:b w:val="0"/>
                <w:szCs w:val="18"/>
                <w:lang w:eastAsia="es-MX"/>
              </w:rPr>
            </w:pPr>
            <w:r w:rsidRPr="00876FDC">
              <w:rPr>
                <w:rFonts w:cs="Arial"/>
                <w:b w:val="0"/>
                <w:szCs w:val="18"/>
                <w:lang w:eastAsia="es-MX"/>
              </w:rPr>
              <w:t>pH</w:t>
            </w:r>
          </w:p>
        </w:tc>
        <w:tc>
          <w:tcPr>
            <w:tcW w:w="567" w:type="dxa"/>
            <w:tcBorders>
              <w:top w:val="single" w:sz="4" w:space="0" w:color="9BBB59" w:themeColor="accent3"/>
              <w:bottom w:val="single" w:sz="4" w:space="0" w:color="9BBB59" w:themeColor="accent3"/>
            </w:tcBorders>
            <w:noWrap/>
            <w:hideMark/>
          </w:tcPr>
          <w:p w14:paraId="6C9339D2"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9.3</w:t>
            </w:r>
          </w:p>
        </w:tc>
        <w:tc>
          <w:tcPr>
            <w:tcW w:w="667" w:type="dxa"/>
            <w:tcBorders>
              <w:top w:val="single" w:sz="4" w:space="0" w:color="9BBB59" w:themeColor="accent3"/>
              <w:bottom w:val="single" w:sz="4" w:space="0" w:color="9BBB59" w:themeColor="accent3"/>
            </w:tcBorders>
            <w:noWrap/>
            <w:hideMark/>
          </w:tcPr>
          <w:p w14:paraId="671E2326"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9.55</w:t>
            </w:r>
          </w:p>
        </w:tc>
        <w:tc>
          <w:tcPr>
            <w:tcW w:w="667" w:type="dxa"/>
            <w:tcBorders>
              <w:top w:val="single" w:sz="4" w:space="0" w:color="9BBB59" w:themeColor="accent3"/>
              <w:bottom w:val="single" w:sz="4" w:space="0" w:color="9BBB59" w:themeColor="accent3"/>
            </w:tcBorders>
            <w:noWrap/>
            <w:hideMark/>
          </w:tcPr>
          <w:p w14:paraId="0A375E5F"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9.5</w:t>
            </w:r>
          </w:p>
        </w:tc>
        <w:tc>
          <w:tcPr>
            <w:tcW w:w="654" w:type="dxa"/>
            <w:tcBorders>
              <w:top w:val="single" w:sz="4" w:space="0" w:color="9BBB59" w:themeColor="accent3"/>
              <w:bottom w:val="single" w:sz="4" w:space="0" w:color="9BBB59" w:themeColor="accent3"/>
            </w:tcBorders>
            <w:noWrap/>
            <w:hideMark/>
          </w:tcPr>
          <w:p w14:paraId="092C15C4"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10.2</w:t>
            </w:r>
          </w:p>
        </w:tc>
        <w:tc>
          <w:tcPr>
            <w:tcW w:w="918" w:type="dxa"/>
            <w:tcBorders>
              <w:top w:val="single" w:sz="4" w:space="0" w:color="9BBB59" w:themeColor="accent3"/>
              <w:bottom w:val="single" w:sz="4" w:space="0" w:color="9BBB59" w:themeColor="accent3"/>
            </w:tcBorders>
            <w:noWrap/>
            <w:hideMark/>
          </w:tcPr>
          <w:p w14:paraId="7B4BBCF7"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7.5</w:t>
            </w:r>
          </w:p>
        </w:tc>
        <w:tc>
          <w:tcPr>
            <w:tcW w:w="667" w:type="dxa"/>
            <w:tcBorders>
              <w:top w:val="single" w:sz="4" w:space="0" w:color="9BBB59" w:themeColor="accent3"/>
              <w:bottom w:val="single" w:sz="4" w:space="0" w:color="9BBB59" w:themeColor="accent3"/>
            </w:tcBorders>
            <w:noWrap/>
            <w:hideMark/>
          </w:tcPr>
          <w:p w14:paraId="239D5BD9"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8.43</w:t>
            </w:r>
          </w:p>
        </w:tc>
        <w:tc>
          <w:tcPr>
            <w:tcW w:w="667" w:type="dxa"/>
            <w:tcBorders>
              <w:top w:val="single" w:sz="4" w:space="0" w:color="9BBB59" w:themeColor="accent3"/>
              <w:bottom w:val="single" w:sz="4" w:space="0" w:color="9BBB59" w:themeColor="accent3"/>
            </w:tcBorders>
            <w:noWrap/>
            <w:hideMark/>
          </w:tcPr>
          <w:p w14:paraId="66D96115"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8.38</w:t>
            </w:r>
          </w:p>
        </w:tc>
        <w:tc>
          <w:tcPr>
            <w:tcW w:w="667" w:type="dxa"/>
            <w:tcBorders>
              <w:top w:val="single" w:sz="4" w:space="0" w:color="9BBB59" w:themeColor="accent3"/>
              <w:bottom w:val="single" w:sz="4" w:space="0" w:color="9BBB59" w:themeColor="accent3"/>
            </w:tcBorders>
            <w:noWrap/>
            <w:hideMark/>
          </w:tcPr>
          <w:p w14:paraId="3C6E46E2"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8.34</w:t>
            </w:r>
          </w:p>
        </w:tc>
        <w:tc>
          <w:tcPr>
            <w:tcW w:w="667" w:type="dxa"/>
            <w:tcBorders>
              <w:top w:val="single" w:sz="4" w:space="0" w:color="9BBB59" w:themeColor="accent3"/>
              <w:bottom w:val="single" w:sz="4" w:space="0" w:color="9BBB59" w:themeColor="accent3"/>
            </w:tcBorders>
            <w:noWrap/>
            <w:hideMark/>
          </w:tcPr>
          <w:p w14:paraId="6DA22749"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8.66</w:t>
            </w:r>
          </w:p>
        </w:tc>
        <w:tc>
          <w:tcPr>
            <w:tcW w:w="667" w:type="dxa"/>
            <w:tcBorders>
              <w:bottom w:val="single" w:sz="4" w:space="0" w:color="9BBB59" w:themeColor="accent3"/>
            </w:tcBorders>
            <w:noWrap/>
            <w:hideMark/>
          </w:tcPr>
          <w:p w14:paraId="00CA1DE6"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8.6</w:t>
            </w:r>
          </w:p>
        </w:tc>
        <w:tc>
          <w:tcPr>
            <w:tcW w:w="667" w:type="dxa"/>
            <w:tcBorders>
              <w:top w:val="single" w:sz="4" w:space="0" w:color="9BBB59" w:themeColor="accent3"/>
              <w:bottom w:val="single" w:sz="4" w:space="0" w:color="9BBB59" w:themeColor="accent3"/>
            </w:tcBorders>
            <w:noWrap/>
            <w:hideMark/>
          </w:tcPr>
          <w:p w14:paraId="64E9B620"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8.77</w:t>
            </w:r>
          </w:p>
        </w:tc>
      </w:tr>
      <w:tr w:rsidR="00FC2A64" w:rsidRPr="000E2240" w14:paraId="68125845" w14:textId="77777777" w:rsidTr="00C6588D">
        <w:trPr>
          <w:trHeight w:val="353"/>
        </w:trPr>
        <w:tc>
          <w:tcPr>
            <w:cnfStyle w:val="001000000000" w:firstRow="0" w:lastRow="0" w:firstColumn="1" w:lastColumn="0" w:oddVBand="0" w:evenVBand="0" w:oddHBand="0" w:evenHBand="0" w:firstRowFirstColumn="0" w:firstRowLastColumn="0" w:lastRowFirstColumn="0" w:lastRowLastColumn="0"/>
            <w:tcW w:w="1415" w:type="dxa"/>
            <w:tcBorders>
              <w:top w:val="single" w:sz="4" w:space="0" w:color="9BBB59" w:themeColor="accent3"/>
              <w:bottom w:val="single" w:sz="4" w:space="0" w:color="9BBB59" w:themeColor="accent3"/>
            </w:tcBorders>
            <w:noWrap/>
            <w:hideMark/>
          </w:tcPr>
          <w:p w14:paraId="24E86F8F" w14:textId="77777777" w:rsidR="002C35C6" w:rsidRPr="00876FDC" w:rsidRDefault="002C35C6" w:rsidP="00C6588D">
            <w:pPr>
              <w:pStyle w:val="CETBodytext"/>
              <w:jc w:val="center"/>
              <w:rPr>
                <w:rFonts w:cs="Arial"/>
                <w:b w:val="0"/>
                <w:szCs w:val="18"/>
                <w:lang w:eastAsia="es-MX"/>
              </w:rPr>
            </w:pPr>
            <w:r w:rsidRPr="00876FDC">
              <w:rPr>
                <w:rFonts w:cs="Arial"/>
                <w:b w:val="0"/>
                <w:szCs w:val="18"/>
                <w:lang w:eastAsia="es-MX"/>
              </w:rPr>
              <w:t>S</w:t>
            </w:r>
            <w:r w:rsidRPr="00876FDC">
              <w:rPr>
                <w:rFonts w:cs="Arial"/>
                <w:b w:val="0"/>
                <w:szCs w:val="18"/>
                <w:vertAlign w:val="superscript"/>
                <w:lang w:eastAsia="es-MX"/>
              </w:rPr>
              <w:t>2-</w:t>
            </w:r>
            <w:r w:rsidRPr="00876FDC">
              <w:rPr>
                <w:rFonts w:cs="Arial"/>
                <w:b w:val="0"/>
                <w:szCs w:val="18"/>
                <w:lang w:eastAsia="es-MX"/>
              </w:rPr>
              <w:t>mg L</w:t>
            </w:r>
            <w:r w:rsidRPr="00876FDC">
              <w:rPr>
                <w:rFonts w:cs="Arial"/>
                <w:b w:val="0"/>
                <w:szCs w:val="18"/>
                <w:vertAlign w:val="superscript"/>
                <w:lang w:eastAsia="es-MX"/>
              </w:rPr>
              <w:t>-1</w:t>
            </w:r>
          </w:p>
        </w:tc>
        <w:tc>
          <w:tcPr>
            <w:tcW w:w="567" w:type="dxa"/>
            <w:tcBorders>
              <w:top w:val="single" w:sz="4" w:space="0" w:color="9BBB59" w:themeColor="accent3"/>
              <w:bottom w:val="single" w:sz="4" w:space="0" w:color="9BBB59" w:themeColor="accent3"/>
            </w:tcBorders>
            <w:noWrap/>
            <w:hideMark/>
          </w:tcPr>
          <w:p w14:paraId="040C91CD"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0</w:t>
            </w:r>
          </w:p>
        </w:tc>
        <w:tc>
          <w:tcPr>
            <w:tcW w:w="667" w:type="dxa"/>
            <w:tcBorders>
              <w:top w:val="single" w:sz="4" w:space="0" w:color="9BBB59" w:themeColor="accent3"/>
              <w:bottom w:val="single" w:sz="4" w:space="0" w:color="9BBB59" w:themeColor="accent3"/>
            </w:tcBorders>
            <w:noWrap/>
            <w:hideMark/>
          </w:tcPr>
          <w:p w14:paraId="71421892"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0</w:t>
            </w:r>
          </w:p>
        </w:tc>
        <w:tc>
          <w:tcPr>
            <w:tcW w:w="667" w:type="dxa"/>
            <w:tcBorders>
              <w:top w:val="single" w:sz="4" w:space="0" w:color="9BBB59" w:themeColor="accent3"/>
              <w:bottom w:val="single" w:sz="4" w:space="0" w:color="9BBB59" w:themeColor="accent3"/>
            </w:tcBorders>
            <w:noWrap/>
            <w:hideMark/>
          </w:tcPr>
          <w:p w14:paraId="0FB59499"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0</w:t>
            </w:r>
          </w:p>
        </w:tc>
        <w:tc>
          <w:tcPr>
            <w:tcW w:w="654" w:type="dxa"/>
            <w:tcBorders>
              <w:top w:val="single" w:sz="4" w:space="0" w:color="9BBB59" w:themeColor="accent3"/>
              <w:bottom w:val="single" w:sz="4" w:space="0" w:color="9BBB59" w:themeColor="accent3"/>
            </w:tcBorders>
            <w:noWrap/>
            <w:hideMark/>
          </w:tcPr>
          <w:p w14:paraId="4412794A"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0</w:t>
            </w:r>
          </w:p>
        </w:tc>
        <w:tc>
          <w:tcPr>
            <w:tcW w:w="918" w:type="dxa"/>
            <w:tcBorders>
              <w:top w:val="single" w:sz="4" w:space="0" w:color="9BBB59" w:themeColor="accent3"/>
              <w:bottom w:val="single" w:sz="4" w:space="0" w:color="9BBB59" w:themeColor="accent3"/>
            </w:tcBorders>
            <w:noWrap/>
            <w:hideMark/>
          </w:tcPr>
          <w:p w14:paraId="13C3DF35"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0</w:t>
            </w:r>
          </w:p>
        </w:tc>
        <w:tc>
          <w:tcPr>
            <w:tcW w:w="667" w:type="dxa"/>
            <w:tcBorders>
              <w:top w:val="single" w:sz="4" w:space="0" w:color="9BBB59" w:themeColor="accent3"/>
              <w:bottom w:val="single" w:sz="4" w:space="0" w:color="9BBB59" w:themeColor="accent3"/>
            </w:tcBorders>
            <w:noWrap/>
            <w:hideMark/>
          </w:tcPr>
          <w:p w14:paraId="5C56A721"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0.09</w:t>
            </w:r>
          </w:p>
        </w:tc>
        <w:tc>
          <w:tcPr>
            <w:tcW w:w="667" w:type="dxa"/>
            <w:tcBorders>
              <w:top w:val="single" w:sz="4" w:space="0" w:color="9BBB59" w:themeColor="accent3"/>
              <w:bottom w:val="single" w:sz="4" w:space="0" w:color="9BBB59" w:themeColor="accent3"/>
            </w:tcBorders>
            <w:noWrap/>
            <w:hideMark/>
          </w:tcPr>
          <w:p w14:paraId="035683A5"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0.15</w:t>
            </w:r>
          </w:p>
        </w:tc>
        <w:tc>
          <w:tcPr>
            <w:tcW w:w="667" w:type="dxa"/>
            <w:tcBorders>
              <w:top w:val="single" w:sz="4" w:space="0" w:color="9BBB59" w:themeColor="accent3"/>
              <w:bottom w:val="single" w:sz="4" w:space="0" w:color="9BBB59" w:themeColor="accent3"/>
            </w:tcBorders>
            <w:noWrap/>
            <w:hideMark/>
          </w:tcPr>
          <w:p w14:paraId="2904FE93"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0.14</w:t>
            </w:r>
          </w:p>
        </w:tc>
        <w:tc>
          <w:tcPr>
            <w:tcW w:w="667" w:type="dxa"/>
            <w:tcBorders>
              <w:top w:val="single" w:sz="4" w:space="0" w:color="9BBB59" w:themeColor="accent3"/>
              <w:bottom w:val="single" w:sz="4" w:space="0" w:color="9BBB59" w:themeColor="accent3"/>
            </w:tcBorders>
            <w:noWrap/>
            <w:hideMark/>
          </w:tcPr>
          <w:p w14:paraId="3FA718A1"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0.1</w:t>
            </w:r>
          </w:p>
        </w:tc>
        <w:tc>
          <w:tcPr>
            <w:tcW w:w="667" w:type="dxa"/>
            <w:tcBorders>
              <w:top w:val="single" w:sz="4" w:space="0" w:color="9BBB59" w:themeColor="accent3"/>
              <w:bottom w:val="single" w:sz="4" w:space="0" w:color="9BBB59" w:themeColor="accent3"/>
            </w:tcBorders>
            <w:noWrap/>
            <w:hideMark/>
          </w:tcPr>
          <w:p w14:paraId="0868C06B"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0.14</w:t>
            </w:r>
          </w:p>
        </w:tc>
        <w:tc>
          <w:tcPr>
            <w:tcW w:w="667" w:type="dxa"/>
            <w:tcBorders>
              <w:top w:val="single" w:sz="4" w:space="0" w:color="9BBB59" w:themeColor="accent3"/>
              <w:bottom w:val="single" w:sz="4" w:space="0" w:color="9BBB59" w:themeColor="accent3"/>
            </w:tcBorders>
            <w:noWrap/>
            <w:hideMark/>
          </w:tcPr>
          <w:p w14:paraId="35AA79E0"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0.07</w:t>
            </w:r>
          </w:p>
        </w:tc>
      </w:tr>
      <w:tr w:rsidR="002C35C6" w:rsidRPr="000E2240" w14:paraId="77F71EF2" w14:textId="77777777" w:rsidTr="00C6588D">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415" w:type="dxa"/>
            <w:tcBorders>
              <w:top w:val="single" w:sz="4" w:space="0" w:color="9BBB59" w:themeColor="accent3"/>
              <w:bottom w:val="single" w:sz="4" w:space="0" w:color="9BBB59" w:themeColor="accent3"/>
            </w:tcBorders>
            <w:noWrap/>
            <w:hideMark/>
          </w:tcPr>
          <w:p w14:paraId="22D13D5D" w14:textId="77777777" w:rsidR="002C35C6" w:rsidRPr="00876FDC" w:rsidRDefault="002C35C6" w:rsidP="00C6588D">
            <w:pPr>
              <w:pStyle w:val="CETBodytext"/>
              <w:jc w:val="center"/>
              <w:rPr>
                <w:rFonts w:cs="Arial"/>
                <w:b w:val="0"/>
                <w:szCs w:val="18"/>
                <w:lang w:eastAsia="es-MX"/>
              </w:rPr>
            </w:pPr>
            <w:r w:rsidRPr="00876FDC">
              <w:rPr>
                <w:rFonts w:cs="Arial"/>
                <w:b w:val="0"/>
                <w:szCs w:val="18"/>
                <w:lang w:eastAsia="es-MX"/>
              </w:rPr>
              <w:t>C.E μS cm</w:t>
            </w:r>
            <w:r w:rsidRPr="00876FDC">
              <w:rPr>
                <w:rFonts w:cs="Arial"/>
                <w:b w:val="0"/>
                <w:szCs w:val="18"/>
                <w:vertAlign w:val="superscript"/>
                <w:lang w:eastAsia="es-MX"/>
              </w:rPr>
              <w:t>-1</w:t>
            </w:r>
          </w:p>
        </w:tc>
        <w:tc>
          <w:tcPr>
            <w:tcW w:w="567" w:type="dxa"/>
            <w:tcBorders>
              <w:top w:val="single" w:sz="4" w:space="0" w:color="9BBB59" w:themeColor="accent3"/>
              <w:bottom w:val="single" w:sz="4" w:space="0" w:color="9BBB59" w:themeColor="accent3"/>
            </w:tcBorders>
            <w:noWrap/>
            <w:hideMark/>
          </w:tcPr>
          <w:p w14:paraId="502BDAA5"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630</w:t>
            </w:r>
          </w:p>
        </w:tc>
        <w:tc>
          <w:tcPr>
            <w:tcW w:w="667" w:type="dxa"/>
            <w:tcBorders>
              <w:top w:val="single" w:sz="4" w:space="0" w:color="9BBB59" w:themeColor="accent3"/>
              <w:bottom w:val="single" w:sz="4" w:space="0" w:color="9BBB59" w:themeColor="accent3"/>
            </w:tcBorders>
            <w:noWrap/>
            <w:hideMark/>
          </w:tcPr>
          <w:p w14:paraId="3D6FDF2E"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957</w:t>
            </w:r>
          </w:p>
        </w:tc>
        <w:tc>
          <w:tcPr>
            <w:tcW w:w="667" w:type="dxa"/>
            <w:tcBorders>
              <w:top w:val="single" w:sz="4" w:space="0" w:color="9BBB59" w:themeColor="accent3"/>
              <w:bottom w:val="single" w:sz="4" w:space="0" w:color="9BBB59" w:themeColor="accent3"/>
            </w:tcBorders>
            <w:noWrap/>
            <w:hideMark/>
          </w:tcPr>
          <w:p w14:paraId="07D1CF7E"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653</w:t>
            </w:r>
          </w:p>
        </w:tc>
        <w:tc>
          <w:tcPr>
            <w:tcW w:w="654" w:type="dxa"/>
            <w:tcBorders>
              <w:top w:val="single" w:sz="4" w:space="0" w:color="9BBB59" w:themeColor="accent3"/>
              <w:bottom w:val="single" w:sz="4" w:space="0" w:color="9BBB59" w:themeColor="accent3"/>
            </w:tcBorders>
            <w:noWrap/>
            <w:hideMark/>
          </w:tcPr>
          <w:p w14:paraId="1711B7D8"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661</w:t>
            </w:r>
          </w:p>
        </w:tc>
        <w:tc>
          <w:tcPr>
            <w:tcW w:w="918" w:type="dxa"/>
            <w:tcBorders>
              <w:top w:val="single" w:sz="4" w:space="0" w:color="9BBB59" w:themeColor="accent3"/>
              <w:bottom w:val="single" w:sz="4" w:space="0" w:color="9BBB59" w:themeColor="accent3"/>
            </w:tcBorders>
            <w:noWrap/>
            <w:hideMark/>
          </w:tcPr>
          <w:p w14:paraId="1DC68D3F"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647</w:t>
            </w:r>
          </w:p>
        </w:tc>
        <w:tc>
          <w:tcPr>
            <w:tcW w:w="667" w:type="dxa"/>
            <w:tcBorders>
              <w:top w:val="single" w:sz="4" w:space="0" w:color="9BBB59" w:themeColor="accent3"/>
              <w:bottom w:val="single" w:sz="4" w:space="0" w:color="9BBB59" w:themeColor="accent3"/>
            </w:tcBorders>
            <w:noWrap/>
            <w:hideMark/>
          </w:tcPr>
          <w:p w14:paraId="65257111"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155.9</w:t>
            </w:r>
          </w:p>
        </w:tc>
        <w:tc>
          <w:tcPr>
            <w:tcW w:w="667" w:type="dxa"/>
            <w:tcBorders>
              <w:top w:val="single" w:sz="4" w:space="0" w:color="9BBB59" w:themeColor="accent3"/>
              <w:bottom w:val="single" w:sz="4" w:space="0" w:color="9BBB59" w:themeColor="accent3"/>
            </w:tcBorders>
            <w:noWrap/>
            <w:hideMark/>
          </w:tcPr>
          <w:p w14:paraId="686F8871"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156.6</w:t>
            </w:r>
          </w:p>
        </w:tc>
        <w:tc>
          <w:tcPr>
            <w:tcW w:w="667" w:type="dxa"/>
            <w:tcBorders>
              <w:top w:val="single" w:sz="4" w:space="0" w:color="9BBB59" w:themeColor="accent3"/>
              <w:bottom w:val="single" w:sz="4" w:space="0" w:color="9BBB59" w:themeColor="accent3"/>
            </w:tcBorders>
            <w:noWrap/>
            <w:hideMark/>
          </w:tcPr>
          <w:p w14:paraId="19D24D24"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157.3</w:t>
            </w:r>
          </w:p>
        </w:tc>
        <w:tc>
          <w:tcPr>
            <w:tcW w:w="667" w:type="dxa"/>
            <w:tcBorders>
              <w:top w:val="single" w:sz="4" w:space="0" w:color="9BBB59" w:themeColor="accent3"/>
              <w:bottom w:val="single" w:sz="4" w:space="0" w:color="9BBB59" w:themeColor="accent3"/>
            </w:tcBorders>
            <w:noWrap/>
            <w:hideMark/>
          </w:tcPr>
          <w:p w14:paraId="33E61BBF"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161.4</w:t>
            </w:r>
          </w:p>
        </w:tc>
        <w:tc>
          <w:tcPr>
            <w:tcW w:w="667" w:type="dxa"/>
            <w:tcBorders>
              <w:top w:val="single" w:sz="4" w:space="0" w:color="9BBB59" w:themeColor="accent3"/>
              <w:bottom w:val="single" w:sz="4" w:space="0" w:color="9BBB59" w:themeColor="accent3"/>
            </w:tcBorders>
            <w:noWrap/>
            <w:hideMark/>
          </w:tcPr>
          <w:p w14:paraId="1DC334AC"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188.6</w:t>
            </w:r>
          </w:p>
        </w:tc>
        <w:tc>
          <w:tcPr>
            <w:tcW w:w="667" w:type="dxa"/>
            <w:tcBorders>
              <w:top w:val="single" w:sz="4" w:space="0" w:color="9BBB59" w:themeColor="accent3"/>
              <w:bottom w:val="single" w:sz="4" w:space="0" w:color="9BBB59" w:themeColor="accent3"/>
            </w:tcBorders>
            <w:noWrap/>
            <w:hideMark/>
          </w:tcPr>
          <w:p w14:paraId="64C86C7F"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230.8</w:t>
            </w:r>
          </w:p>
        </w:tc>
      </w:tr>
      <w:tr w:rsidR="00FC2A64" w:rsidRPr="000E2240" w14:paraId="02A23D67" w14:textId="77777777" w:rsidTr="00C6588D">
        <w:trPr>
          <w:trHeight w:val="307"/>
        </w:trPr>
        <w:tc>
          <w:tcPr>
            <w:cnfStyle w:val="001000000000" w:firstRow="0" w:lastRow="0" w:firstColumn="1" w:lastColumn="0" w:oddVBand="0" w:evenVBand="0" w:oddHBand="0" w:evenHBand="0" w:firstRowFirstColumn="0" w:firstRowLastColumn="0" w:lastRowFirstColumn="0" w:lastRowLastColumn="0"/>
            <w:tcW w:w="1415" w:type="dxa"/>
            <w:tcBorders>
              <w:top w:val="single" w:sz="4" w:space="0" w:color="9BBB59" w:themeColor="accent3"/>
              <w:bottom w:val="single" w:sz="4" w:space="0" w:color="9BBB59" w:themeColor="accent3"/>
            </w:tcBorders>
            <w:noWrap/>
            <w:hideMark/>
          </w:tcPr>
          <w:p w14:paraId="5E6B2FCF" w14:textId="77777777" w:rsidR="002C35C6" w:rsidRPr="00876FDC" w:rsidRDefault="002C35C6" w:rsidP="00C6588D">
            <w:pPr>
              <w:pStyle w:val="CETBodytext"/>
              <w:jc w:val="center"/>
              <w:rPr>
                <w:rFonts w:cs="Arial"/>
                <w:b w:val="0"/>
                <w:szCs w:val="18"/>
                <w:lang w:eastAsia="es-MX"/>
              </w:rPr>
            </w:pPr>
            <w:r w:rsidRPr="00876FDC">
              <w:rPr>
                <w:rFonts w:cs="Arial"/>
                <w:b w:val="0"/>
                <w:szCs w:val="18"/>
                <w:lang w:eastAsia="es-MX"/>
              </w:rPr>
              <w:t>O.D mg L</w:t>
            </w:r>
            <w:r w:rsidRPr="00876FDC">
              <w:rPr>
                <w:rFonts w:cs="Arial"/>
                <w:b w:val="0"/>
                <w:szCs w:val="18"/>
                <w:vertAlign w:val="superscript"/>
                <w:lang w:eastAsia="es-MX"/>
              </w:rPr>
              <w:t>-1</w:t>
            </w:r>
          </w:p>
        </w:tc>
        <w:tc>
          <w:tcPr>
            <w:tcW w:w="567" w:type="dxa"/>
            <w:tcBorders>
              <w:top w:val="single" w:sz="4" w:space="0" w:color="9BBB59" w:themeColor="accent3"/>
              <w:bottom w:val="single" w:sz="4" w:space="0" w:color="9BBB59" w:themeColor="accent3"/>
            </w:tcBorders>
            <w:noWrap/>
            <w:hideMark/>
          </w:tcPr>
          <w:p w14:paraId="511608D1"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5.7</w:t>
            </w:r>
          </w:p>
        </w:tc>
        <w:tc>
          <w:tcPr>
            <w:tcW w:w="667" w:type="dxa"/>
            <w:tcBorders>
              <w:top w:val="single" w:sz="4" w:space="0" w:color="9BBB59" w:themeColor="accent3"/>
              <w:bottom w:val="single" w:sz="4" w:space="0" w:color="9BBB59" w:themeColor="accent3"/>
            </w:tcBorders>
            <w:noWrap/>
            <w:hideMark/>
          </w:tcPr>
          <w:p w14:paraId="555D13FD"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4.68</w:t>
            </w:r>
          </w:p>
        </w:tc>
        <w:tc>
          <w:tcPr>
            <w:tcW w:w="667" w:type="dxa"/>
            <w:tcBorders>
              <w:top w:val="single" w:sz="4" w:space="0" w:color="9BBB59" w:themeColor="accent3"/>
              <w:bottom w:val="single" w:sz="4" w:space="0" w:color="9BBB59" w:themeColor="accent3"/>
            </w:tcBorders>
            <w:noWrap/>
            <w:hideMark/>
          </w:tcPr>
          <w:p w14:paraId="6ED4B77C"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4.18</w:t>
            </w:r>
          </w:p>
        </w:tc>
        <w:tc>
          <w:tcPr>
            <w:tcW w:w="654" w:type="dxa"/>
            <w:tcBorders>
              <w:top w:val="single" w:sz="4" w:space="0" w:color="9BBB59" w:themeColor="accent3"/>
              <w:bottom w:val="single" w:sz="4" w:space="0" w:color="9BBB59" w:themeColor="accent3"/>
            </w:tcBorders>
            <w:noWrap/>
            <w:hideMark/>
          </w:tcPr>
          <w:p w14:paraId="7190036F"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4.45</w:t>
            </w:r>
          </w:p>
        </w:tc>
        <w:tc>
          <w:tcPr>
            <w:tcW w:w="918" w:type="dxa"/>
            <w:tcBorders>
              <w:top w:val="single" w:sz="4" w:space="0" w:color="9BBB59" w:themeColor="accent3"/>
              <w:bottom w:val="single" w:sz="4" w:space="0" w:color="9BBB59" w:themeColor="accent3"/>
            </w:tcBorders>
            <w:noWrap/>
            <w:hideMark/>
          </w:tcPr>
          <w:p w14:paraId="3CE0AF09"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4.2</w:t>
            </w:r>
          </w:p>
        </w:tc>
        <w:tc>
          <w:tcPr>
            <w:tcW w:w="667" w:type="dxa"/>
            <w:tcBorders>
              <w:top w:val="single" w:sz="4" w:space="0" w:color="9BBB59" w:themeColor="accent3"/>
              <w:bottom w:val="single" w:sz="4" w:space="0" w:color="9BBB59" w:themeColor="accent3"/>
            </w:tcBorders>
            <w:noWrap/>
            <w:hideMark/>
          </w:tcPr>
          <w:p w14:paraId="12A7D3E6"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2.08</w:t>
            </w:r>
          </w:p>
        </w:tc>
        <w:tc>
          <w:tcPr>
            <w:tcW w:w="667" w:type="dxa"/>
            <w:tcBorders>
              <w:top w:val="single" w:sz="4" w:space="0" w:color="9BBB59" w:themeColor="accent3"/>
              <w:bottom w:val="single" w:sz="4" w:space="0" w:color="9BBB59" w:themeColor="accent3"/>
            </w:tcBorders>
            <w:noWrap/>
            <w:hideMark/>
          </w:tcPr>
          <w:p w14:paraId="4B78DA0C"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1.67</w:t>
            </w:r>
          </w:p>
        </w:tc>
        <w:tc>
          <w:tcPr>
            <w:tcW w:w="667" w:type="dxa"/>
            <w:tcBorders>
              <w:top w:val="single" w:sz="4" w:space="0" w:color="9BBB59" w:themeColor="accent3"/>
              <w:bottom w:val="single" w:sz="4" w:space="0" w:color="9BBB59" w:themeColor="accent3"/>
            </w:tcBorders>
            <w:noWrap/>
            <w:hideMark/>
          </w:tcPr>
          <w:p w14:paraId="7651E0BD"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0.8</w:t>
            </w:r>
          </w:p>
        </w:tc>
        <w:tc>
          <w:tcPr>
            <w:tcW w:w="667" w:type="dxa"/>
            <w:tcBorders>
              <w:top w:val="single" w:sz="4" w:space="0" w:color="9BBB59" w:themeColor="accent3"/>
              <w:bottom w:val="single" w:sz="4" w:space="0" w:color="9BBB59" w:themeColor="accent3"/>
            </w:tcBorders>
            <w:noWrap/>
            <w:hideMark/>
          </w:tcPr>
          <w:p w14:paraId="3E279F75"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1.6</w:t>
            </w:r>
          </w:p>
        </w:tc>
        <w:tc>
          <w:tcPr>
            <w:tcW w:w="667" w:type="dxa"/>
            <w:tcBorders>
              <w:top w:val="single" w:sz="4" w:space="0" w:color="9BBB59" w:themeColor="accent3"/>
              <w:bottom w:val="single" w:sz="4" w:space="0" w:color="9BBB59" w:themeColor="accent3"/>
            </w:tcBorders>
            <w:noWrap/>
            <w:hideMark/>
          </w:tcPr>
          <w:p w14:paraId="111D1B75"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1.2</w:t>
            </w:r>
          </w:p>
        </w:tc>
        <w:tc>
          <w:tcPr>
            <w:tcW w:w="667" w:type="dxa"/>
            <w:tcBorders>
              <w:top w:val="single" w:sz="4" w:space="0" w:color="9BBB59" w:themeColor="accent3"/>
              <w:bottom w:val="single" w:sz="4" w:space="0" w:color="9BBB59" w:themeColor="accent3"/>
            </w:tcBorders>
            <w:noWrap/>
            <w:hideMark/>
          </w:tcPr>
          <w:p w14:paraId="24B303B7"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0.96</w:t>
            </w:r>
          </w:p>
        </w:tc>
      </w:tr>
      <w:tr w:rsidR="002C35C6" w:rsidRPr="000E2240" w14:paraId="4558A385" w14:textId="77777777" w:rsidTr="00C6588D">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415" w:type="dxa"/>
            <w:tcBorders>
              <w:top w:val="single" w:sz="4" w:space="0" w:color="9BBB59" w:themeColor="accent3"/>
              <w:bottom w:val="single" w:sz="4" w:space="0" w:color="9BBB59" w:themeColor="accent3"/>
            </w:tcBorders>
            <w:noWrap/>
            <w:hideMark/>
          </w:tcPr>
          <w:p w14:paraId="251A5B8E" w14:textId="77777777" w:rsidR="002C35C6" w:rsidRPr="00876FDC" w:rsidRDefault="002C35C6" w:rsidP="00C6588D">
            <w:pPr>
              <w:pStyle w:val="CETBodytext"/>
              <w:jc w:val="center"/>
              <w:rPr>
                <w:rFonts w:cs="Arial"/>
                <w:b w:val="0"/>
                <w:szCs w:val="18"/>
                <w:lang w:eastAsia="es-MX"/>
              </w:rPr>
            </w:pPr>
            <w:r w:rsidRPr="00876FDC">
              <w:rPr>
                <w:rFonts w:cs="Arial"/>
                <w:b w:val="0"/>
                <w:szCs w:val="18"/>
                <w:lang w:eastAsia="es-MX"/>
              </w:rPr>
              <w:t>T(°C)</w:t>
            </w:r>
          </w:p>
        </w:tc>
        <w:tc>
          <w:tcPr>
            <w:tcW w:w="567" w:type="dxa"/>
            <w:tcBorders>
              <w:top w:val="single" w:sz="4" w:space="0" w:color="9BBB59" w:themeColor="accent3"/>
              <w:bottom w:val="single" w:sz="4" w:space="0" w:color="9BBB59" w:themeColor="accent3"/>
            </w:tcBorders>
            <w:noWrap/>
            <w:hideMark/>
          </w:tcPr>
          <w:p w14:paraId="7F3726D5"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20</w:t>
            </w:r>
          </w:p>
        </w:tc>
        <w:tc>
          <w:tcPr>
            <w:tcW w:w="667" w:type="dxa"/>
            <w:tcBorders>
              <w:top w:val="single" w:sz="4" w:space="0" w:color="9BBB59" w:themeColor="accent3"/>
              <w:bottom w:val="single" w:sz="4" w:space="0" w:color="9BBB59" w:themeColor="accent3"/>
            </w:tcBorders>
            <w:noWrap/>
            <w:hideMark/>
          </w:tcPr>
          <w:p w14:paraId="01D9BED5"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20.5</w:t>
            </w:r>
          </w:p>
        </w:tc>
        <w:tc>
          <w:tcPr>
            <w:tcW w:w="667" w:type="dxa"/>
            <w:tcBorders>
              <w:top w:val="single" w:sz="4" w:space="0" w:color="9BBB59" w:themeColor="accent3"/>
              <w:bottom w:val="single" w:sz="4" w:space="0" w:color="9BBB59" w:themeColor="accent3"/>
            </w:tcBorders>
            <w:noWrap/>
            <w:hideMark/>
          </w:tcPr>
          <w:p w14:paraId="197A91D3"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22.6</w:t>
            </w:r>
          </w:p>
        </w:tc>
        <w:tc>
          <w:tcPr>
            <w:tcW w:w="654" w:type="dxa"/>
            <w:tcBorders>
              <w:top w:val="single" w:sz="4" w:space="0" w:color="9BBB59" w:themeColor="accent3"/>
              <w:bottom w:val="single" w:sz="4" w:space="0" w:color="9BBB59" w:themeColor="accent3"/>
            </w:tcBorders>
            <w:noWrap/>
            <w:hideMark/>
          </w:tcPr>
          <w:p w14:paraId="0E391816"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17.8</w:t>
            </w:r>
          </w:p>
        </w:tc>
        <w:tc>
          <w:tcPr>
            <w:tcW w:w="918" w:type="dxa"/>
            <w:tcBorders>
              <w:top w:val="single" w:sz="4" w:space="0" w:color="9BBB59" w:themeColor="accent3"/>
              <w:bottom w:val="single" w:sz="4" w:space="0" w:color="9BBB59" w:themeColor="accent3"/>
            </w:tcBorders>
            <w:noWrap/>
            <w:hideMark/>
          </w:tcPr>
          <w:p w14:paraId="3F5DB299"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27.1</w:t>
            </w:r>
          </w:p>
        </w:tc>
        <w:tc>
          <w:tcPr>
            <w:tcW w:w="667" w:type="dxa"/>
            <w:tcBorders>
              <w:top w:val="single" w:sz="4" w:space="0" w:color="9BBB59" w:themeColor="accent3"/>
              <w:bottom w:val="single" w:sz="4" w:space="0" w:color="9BBB59" w:themeColor="accent3"/>
            </w:tcBorders>
            <w:noWrap/>
            <w:hideMark/>
          </w:tcPr>
          <w:p w14:paraId="089970AD"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17.8</w:t>
            </w:r>
          </w:p>
        </w:tc>
        <w:tc>
          <w:tcPr>
            <w:tcW w:w="667" w:type="dxa"/>
            <w:tcBorders>
              <w:top w:val="single" w:sz="4" w:space="0" w:color="9BBB59" w:themeColor="accent3"/>
              <w:bottom w:val="single" w:sz="4" w:space="0" w:color="9BBB59" w:themeColor="accent3"/>
            </w:tcBorders>
            <w:noWrap/>
            <w:hideMark/>
          </w:tcPr>
          <w:p w14:paraId="01844F34"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17.7</w:t>
            </w:r>
          </w:p>
        </w:tc>
        <w:tc>
          <w:tcPr>
            <w:tcW w:w="667" w:type="dxa"/>
            <w:tcBorders>
              <w:top w:val="single" w:sz="4" w:space="0" w:color="9BBB59" w:themeColor="accent3"/>
              <w:bottom w:val="single" w:sz="4" w:space="0" w:color="9BBB59" w:themeColor="accent3"/>
            </w:tcBorders>
            <w:noWrap/>
            <w:hideMark/>
          </w:tcPr>
          <w:p w14:paraId="4BDF33C4"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17.7</w:t>
            </w:r>
          </w:p>
        </w:tc>
        <w:tc>
          <w:tcPr>
            <w:tcW w:w="667" w:type="dxa"/>
            <w:tcBorders>
              <w:top w:val="single" w:sz="4" w:space="0" w:color="9BBB59" w:themeColor="accent3"/>
              <w:bottom w:val="single" w:sz="4" w:space="0" w:color="9BBB59" w:themeColor="accent3"/>
            </w:tcBorders>
            <w:noWrap/>
            <w:hideMark/>
          </w:tcPr>
          <w:p w14:paraId="4CD1B0AF"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18.1</w:t>
            </w:r>
          </w:p>
        </w:tc>
        <w:tc>
          <w:tcPr>
            <w:tcW w:w="667" w:type="dxa"/>
            <w:tcBorders>
              <w:top w:val="single" w:sz="4" w:space="0" w:color="9BBB59" w:themeColor="accent3"/>
              <w:bottom w:val="single" w:sz="4" w:space="0" w:color="9BBB59" w:themeColor="accent3"/>
            </w:tcBorders>
            <w:noWrap/>
            <w:hideMark/>
          </w:tcPr>
          <w:p w14:paraId="2373FDA5"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21.1</w:t>
            </w:r>
          </w:p>
        </w:tc>
        <w:tc>
          <w:tcPr>
            <w:tcW w:w="667" w:type="dxa"/>
            <w:tcBorders>
              <w:top w:val="single" w:sz="4" w:space="0" w:color="9BBB59" w:themeColor="accent3"/>
              <w:bottom w:val="single" w:sz="4" w:space="0" w:color="9BBB59" w:themeColor="accent3"/>
            </w:tcBorders>
            <w:noWrap/>
            <w:hideMark/>
          </w:tcPr>
          <w:p w14:paraId="33D67524"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22.9</w:t>
            </w:r>
          </w:p>
        </w:tc>
      </w:tr>
      <w:tr w:rsidR="00FC2A64" w:rsidRPr="000E2240" w14:paraId="55E48D41" w14:textId="77777777" w:rsidTr="00C6588D">
        <w:trPr>
          <w:trHeight w:val="307"/>
        </w:trPr>
        <w:tc>
          <w:tcPr>
            <w:cnfStyle w:val="001000000000" w:firstRow="0" w:lastRow="0" w:firstColumn="1" w:lastColumn="0" w:oddVBand="0" w:evenVBand="0" w:oddHBand="0" w:evenHBand="0" w:firstRowFirstColumn="0" w:firstRowLastColumn="0" w:lastRowFirstColumn="0" w:lastRowLastColumn="0"/>
            <w:tcW w:w="1415" w:type="dxa"/>
            <w:tcBorders>
              <w:top w:val="single" w:sz="4" w:space="0" w:color="9BBB59" w:themeColor="accent3"/>
              <w:bottom w:val="single" w:sz="4" w:space="0" w:color="9BBB59" w:themeColor="accent3"/>
            </w:tcBorders>
            <w:noWrap/>
            <w:hideMark/>
          </w:tcPr>
          <w:p w14:paraId="7485FD0E" w14:textId="77777777" w:rsidR="002C35C6" w:rsidRPr="00876FDC" w:rsidRDefault="002C35C6" w:rsidP="00C6588D">
            <w:pPr>
              <w:pStyle w:val="CETBodytext"/>
              <w:jc w:val="center"/>
              <w:rPr>
                <w:rFonts w:cs="Arial"/>
                <w:b w:val="0"/>
                <w:szCs w:val="18"/>
                <w:lang w:eastAsia="es-MX"/>
              </w:rPr>
            </w:pPr>
            <w:r w:rsidRPr="00876FDC">
              <w:rPr>
                <w:rFonts w:cs="Arial"/>
                <w:b w:val="0"/>
                <w:szCs w:val="18"/>
                <w:lang w:eastAsia="es-MX"/>
              </w:rPr>
              <w:t>Ast μg L</w:t>
            </w:r>
            <w:r w:rsidRPr="00876FDC">
              <w:rPr>
                <w:rFonts w:cs="Arial"/>
                <w:b w:val="0"/>
                <w:szCs w:val="18"/>
                <w:vertAlign w:val="superscript"/>
                <w:lang w:eastAsia="es-MX"/>
              </w:rPr>
              <w:t>-1</w:t>
            </w:r>
          </w:p>
        </w:tc>
        <w:tc>
          <w:tcPr>
            <w:tcW w:w="567" w:type="dxa"/>
            <w:tcBorders>
              <w:top w:val="single" w:sz="4" w:space="0" w:color="9BBB59" w:themeColor="accent3"/>
            </w:tcBorders>
            <w:noWrap/>
            <w:hideMark/>
          </w:tcPr>
          <w:p w14:paraId="5349F6D3"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35</w:t>
            </w:r>
          </w:p>
        </w:tc>
        <w:tc>
          <w:tcPr>
            <w:tcW w:w="667" w:type="dxa"/>
            <w:tcBorders>
              <w:top w:val="single" w:sz="4" w:space="0" w:color="9BBB59" w:themeColor="accent3"/>
              <w:bottom w:val="single" w:sz="4" w:space="0" w:color="9BBB59" w:themeColor="accent3"/>
            </w:tcBorders>
            <w:noWrap/>
            <w:hideMark/>
          </w:tcPr>
          <w:p w14:paraId="578ED67E"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40</w:t>
            </w:r>
          </w:p>
        </w:tc>
        <w:tc>
          <w:tcPr>
            <w:tcW w:w="667" w:type="dxa"/>
            <w:tcBorders>
              <w:top w:val="single" w:sz="4" w:space="0" w:color="9BBB59" w:themeColor="accent3"/>
              <w:bottom w:val="single" w:sz="4" w:space="0" w:color="9BBB59" w:themeColor="accent3"/>
            </w:tcBorders>
            <w:noWrap/>
            <w:hideMark/>
          </w:tcPr>
          <w:p w14:paraId="1DC77173"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50</w:t>
            </w:r>
          </w:p>
        </w:tc>
        <w:tc>
          <w:tcPr>
            <w:tcW w:w="654" w:type="dxa"/>
            <w:tcBorders>
              <w:top w:val="single" w:sz="4" w:space="0" w:color="9BBB59" w:themeColor="accent3"/>
              <w:bottom w:val="single" w:sz="4" w:space="0" w:color="9BBB59" w:themeColor="accent3"/>
            </w:tcBorders>
            <w:noWrap/>
            <w:hideMark/>
          </w:tcPr>
          <w:p w14:paraId="0757FBCF"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98</w:t>
            </w:r>
          </w:p>
        </w:tc>
        <w:tc>
          <w:tcPr>
            <w:tcW w:w="918" w:type="dxa"/>
            <w:tcBorders>
              <w:top w:val="single" w:sz="4" w:space="0" w:color="9BBB59" w:themeColor="accent3"/>
              <w:bottom w:val="single" w:sz="4" w:space="0" w:color="9BBB59" w:themeColor="accent3"/>
            </w:tcBorders>
            <w:noWrap/>
            <w:hideMark/>
          </w:tcPr>
          <w:p w14:paraId="5563DC0F"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8.9</w:t>
            </w:r>
          </w:p>
        </w:tc>
        <w:tc>
          <w:tcPr>
            <w:tcW w:w="667" w:type="dxa"/>
            <w:tcBorders>
              <w:top w:val="single" w:sz="4" w:space="0" w:color="9BBB59" w:themeColor="accent3"/>
              <w:bottom w:val="single" w:sz="4" w:space="0" w:color="9BBB59" w:themeColor="accent3"/>
            </w:tcBorders>
            <w:noWrap/>
            <w:hideMark/>
          </w:tcPr>
          <w:p w14:paraId="72FE1D90"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1</w:t>
            </w:r>
          </w:p>
        </w:tc>
        <w:tc>
          <w:tcPr>
            <w:tcW w:w="667" w:type="dxa"/>
            <w:tcBorders>
              <w:top w:val="single" w:sz="4" w:space="0" w:color="9BBB59" w:themeColor="accent3"/>
              <w:bottom w:val="single" w:sz="4" w:space="0" w:color="9BBB59" w:themeColor="accent3"/>
            </w:tcBorders>
            <w:noWrap/>
            <w:hideMark/>
          </w:tcPr>
          <w:p w14:paraId="19C10FA8"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0</w:t>
            </w:r>
          </w:p>
        </w:tc>
        <w:tc>
          <w:tcPr>
            <w:tcW w:w="667" w:type="dxa"/>
            <w:tcBorders>
              <w:top w:val="single" w:sz="4" w:space="0" w:color="9BBB59" w:themeColor="accent3"/>
              <w:bottom w:val="single" w:sz="4" w:space="0" w:color="9BBB59" w:themeColor="accent3"/>
            </w:tcBorders>
            <w:noWrap/>
            <w:hideMark/>
          </w:tcPr>
          <w:p w14:paraId="1E825AB4"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0</w:t>
            </w:r>
          </w:p>
        </w:tc>
        <w:tc>
          <w:tcPr>
            <w:tcW w:w="667" w:type="dxa"/>
            <w:tcBorders>
              <w:top w:val="single" w:sz="4" w:space="0" w:color="9BBB59" w:themeColor="accent3"/>
              <w:bottom w:val="single" w:sz="4" w:space="0" w:color="9BBB59" w:themeColor="accent3"/>
            </w:tcBorders>
            <w:noWrap/>
            <w:hideMark/>
          </w:tcPr>
          <w:p w14:paraId="09DE677D"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0</w:t>
            </w:r>
          </w:p>
        </w:tc>
        <w:tc>
          <w:tcPr>
            <w:tcW w:w="667" w:type="dxa"/>
            <w:tcBorders>
              <w:top w:val="single" w:sz="4" w:space="0" w:color="9BBB59" w:themeColor="accent3"/>
              <w:bottom w:val="single" w:sz="4" w:space="0" w:color="9BBB59" w:themeColor="accent3"/>
            </w:tcBorders>
            <w:noWrap/>
            <w:hideMark/>
          </w:tcPr>
          <w:p w14:paraId="3434CD73"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0</w:t>
            </w:r>
          </w:p>
        </w:tc>
        <w:tc>
          <w:tcPr>
            <w:tcW w:w="667" w:type="dxa"/>
            <w:tcBorders>
              <w:top w:val="single" w:sz="4" w:space="0" w:color="9BBB59" w:themeColor="accent3"/>
              <w:bottom w:val="single" w:sz="4" w:space="0" w:color="9BBB59" w:themeColor="accent3"/>
            </w:tcBorders>
            <w:noWrap/>
            <w:hideMark/>
          </w:tcPr>
          <w:p w14:paraId="68BA809A"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0</w:t>
            </w:r>
          </w:p>
        </w:tc>
      </w:tr>
      <w:tr w:rsidR="002C35C6" w:rsidRPr="000E2240" w14:paraId="051CC4C9" w14:textId="77777777" w:rsidTr="00C6588D">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415" w:type="dxa"/>
            <w:tcBorders>
              <w:top w:val="single" w:sz="4" w:space="0" w:color="9BBB59" w:themeColor="accent3"/>
              <w:bottom w:val="single" w:sz="4" w:space="0" w:color="9BBB59" w:themeColor="accent3"/>
            </w:tcBorders>
            <w:noWrap/>
            <w:hideMark/>
          </w:tcPr>
          <w:p w14:paraId="3C0BD360" w14:textId="77777777" w:rsidR="002C35C6" w:rsidRPr="00876FDC" w:rsidRDefault="002C35C6" w:rsidP="00C6588D">
            <w:pPr>
              <w:pStyle w:val="CETBodytext"/>
              <w:jc w:val="center"/>
              <w:rPr>
                <w:rFonts w:cs="Arial"/>
                <w:b w:val="0"/>
                <w:szCs w:val="18"/>
                <w:lang w:eastAsia="es-MX"/>
              </w:rPr>
            </w:pPr>
            <w:r w:rsidRPr="00876FDC">
              <w:rPr>
                <w:rFonts w:cs="Arial"/>
                <w:b w:val="0"/>
                <w:szCs w:val="18"/>
                <w:lang w:eastAsia="es-MX"/>
              </w:rPr>
              <w:t>Fe</w:t>
            </w:r>
            <w:r w:rsidRPr="00876FDC">
              <w:rPr>
                <w:rFonts w:cs="Arial"/>
                <w:b w:val="0"/>
                <w:szCs w:val="18"/>
                <w:vertAlign w:val="superscript"/>
                <w:lang w:eastAsia="es-MX"/>
              </w:rPr>
              <w:t>2+</w:t>
            </w:r>
            <w:r w:rsidRPr="00876FDC">
              <w:rPr>
                <w:rFonts w:cs="Arial"/>
                <w:b w:val="0"/>
                <w:szCs w:val="18"/>
                <w:lang w:eastAsia="es-MX"/>
              </w:rPr>
              <w:t>mg L</w:t>
            </w:r>
            <w:r w:rsidRPr="00876FDC">
              <w:rPr>
                <w:rFonts w:cs="Arial"/>
                <w:b w:val="0"/>
                <w:szCs w:val="18"/>
                <w:vertAlign w:val="superscript"/>
                <w:lang w:eastAsia="es-MX"/>
              </w:rPr>
              <w:t>-1</w:t>
            </w:r>
          </w:p>
        </w:tc>
        <w:tc>
          <w:tcPr>
            <w:tcW w:w="567" w:type="dxa"/>
            <w:tcBorders>
              <w:bottom w:val="single" w:sz="4" w:space="0" w:color="9BBB59" w:themeColor="accent3"/>
            </w:tcBorders>
            <w:noWrap/>
            <w:hideMark/>
          </w:tcPr>
          <w:p w14:paraId="2CB8DEC5"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0.04</w:t>
            </w:r>
          </w:p>
        </w:tc>
        <w:tc>
          <w:tcPr>
            <w:tcW w:w="667" w:type="dxa"/>
            <w:tcBorders>
              <w:top w:val="single" w:sz="4" w:space="0" w:color="9BBB59" w:themeColor="accent3"/>
              <w:bottom w:val="single" w:sz="4" w:space="0" w:color="9BBB59" w:themeColor="accent3"/>
            </w:tcBorders>
            <w:noWrap/>
            <w:hideMark/>
          </w:tcPr>
          <w:p w14:paraId="4B46FDB0"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0.036</w:t>
            </w:r>
          </w:p>
        </w:tc>
        <w:tc>
          <w:tcPr>
            <w:tcW w:w="667" w:type="dxa"/>
            <w:tcBorders>
              <w:top w:val="single" w:sz="4" w:space="0" w:color="9BBB59" w:themeColor="accent3"/>
              <w:bottom w:val="single" w:sz="4" w:space="0" w:color="9BBB59" w:themeColor="accent3"/>
            </w:tcBorders>
            <w:noWrap/>
            <w:hideMark/>
          </w:tcPr>
          <w:p w14:paraId="7D7F25C5"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0.042</w:t>
            </w:r>
          </w:p>
        </w:tc>
        <w:tc>
          <w:tcPr>
            <w:tcW w:w="654" w:type="dxa"/>
            <w:tcBorders>
              <w:top w:val="single" w:sz="4" w:space="0" w:color="9BBB59" w:themeColor="accent3"/>
              <w:bottom w:val="single" w:sz="4" w:space="0" w:color="9BBB59" w:themeColor="accent3"/>
            </w:tcBorders>
            <w:noWrap/>
            <w:hideMark/>
          </w:tcPr>
          <w:p w14:paraId="11D8F8CC"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0.08</w:t>
            </w:r>
          </w:p>
        </w:tc>
        <w:tc>
          <w:tcPr>
            <w:tcW w:w="918" w:type="dxa"/>
            <w:tcBorders>
              <w:top w:val="single" w:sz="4" w:space="0" w:color="9BBB59" w:themeColor="accent3"/>
              <w:bottom w:val="single" w:sz="4" w:space="0" w:color="9BBB59" w:themeColor="accent3"/>
            </w:tcBorders>
            <w:noWrap/>
            <w:hideMark/>
          </w:tcPr>
          <w:p w14:paraId="4BCD51E5"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0.022</w:t>
            </w:r>
          </w:p>
        </w:tc>
        <w:tc>
          <w:tcPr>
            <w:tcW w:w="667" w:type="dxa"/>
            <w:tcBorders>
              <w:top w:val="single" w:sz="4" w:space="0" w:color="9BBB59" w:themeColor="accent3"/>
              <w:bottom w:val="single" w:sz="4" w:space="0" w:color="9BBB59" w:themeColor="accent3"/>
            </w:tcBorders>
            <w:noWrap/>
            <w:hideMark/>
          </w:tcPr>
          <w:p w14:paraId="1ECBA957"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0.34</w:t>
            </w:r>
          </w:p>
        </w:tc>
        <w:tc>
          <w:tcPr>
            <w:tcW w:w="667" w:type="dxa"/>
            <w:tcBorders>
              <w:top w:val="single" w:sz="4" w:space="0" w:color="9BBB59" w:themeColor="accent3"/>
              <w:bottom w:val="single" w:sz="4" w:space="0" w:color="9BBB59" w:themeColor="accent3"/>
            </w:tcBorders>
            <w:noWrap/>
            <w:hideMark/>
          </w:tcPr>
          <w:p w14:paraId="062C3EB5"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0.39</w:t>
            </w:r>
          </w:p>
        </w:tc>
        <w:tc>
          <w:tcPr>
            <w:tcW w:w="667" w:type="dxa"/>
            <w:tcBorders>
              <w:top w:val="single" w:sz="4" w:space="0" w:color="9BBB59" w:themeColor="accent3"/>
            </w:tcBorders>
            <w:noWrap/>
            <w:hideMark/>
          </w:tcPr>
          <w:p w14:paraId="6A6E5FE5"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0.73</w:t>
            </w:r>
          </w:p>
        </w:tc>
        <w:tc>
          <w:tcPr>
            <w:tcW w:w="667" w:type="dxa"/>
            <w:tcBorders>
              <w:top w:val="single" w:sz="4" w:space="0" w:color="9BBB59" w:themeColor="accent3"/>
              <w:bottom w:val="single" w:sz="4" w:space="0" w:color="9BBB59" w:themeColor="accent3"/>
            </w:tcBorders>
            <w:noWrap/>
            <w:hideMark/>
          </w:tcPr>
          <w:p w14:paraId="2761D299"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0.34</w:t>
            </w:r>
          </w:p>
        </w:tc>
        <w:tc>
          <w:tcPr>
            <w:tcW w:w="667" w:type="dxa"/>
            <w:tcBorders>
              <w:top w:val="single" w:sz="4" w:space="0" w:color="9BBB59" w:themeColor="accent3"/>
              <w:bottom w:val="single" w:sz="4" w:space="0" w:color="9BBB59" w:themeColor="accent3"/>
            </w:tcBorders>
            <w:noWrap/>
            <w:hideMark/>
          </w:tcPr>
          <w:p w14:paraId="6ED8FB77"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0.56</w:t>
            </w:r>
          </w:p>
        </w:tc>
        <w:tc>
          <w:tcPr>
            <w:tcW w:w="667" w:type="dxa"/>
            <w:tcBorders>
              <w:top w:val="single" w:sz="4" w:space="0" w:color="9BBB59" w:themeColor="accent3"/>
              <w:bottom w:val="single" w:sz="4" w:space="0" w:color="9BBB59" w:themeColor="accent3"/>
            </w:tcBorders>
            <w:noWrap/>
            <w:hideMark/>
          </w:tcPr>
          <w:p w14:paraId="1533F3CD" w14:textId="77777777" w:rsidR="002C35C6" w:rsidRPr="00876FDC" w:rsidRDefault="002C35C6" w:rsidP="00C6588D">
            <w:pPr>
              <w:pStyle w:val="CETBodytext"/>
              <w:jc w:val="center"/>
              <w:cnfStyle w:val="000000100000" w:firstRow="0" w:lastRow="0" w:firstColumn="0" w:lastColumn="0" w:oddVBand="0" w:evenVBand="0" w:oddHBand="1" w:evenHBand="0" w:firstRowFirstColumn="0" w:firstRowLastColumn="0" w:lastRowFirstColumn="0" w:lastRowLastColumn="0"/>
              <w:rPr>
                <w:rFonts w:cs="Arial"/>
                <w:szCs w:val="18"/>
                <w:lang w:eastAsia="es-MX"/>
              </w:rPr>
            </w:pPr>
            <w:r w:rsidRPr="00876FDC">
              <w:rPr>
                <w:rFonts w:cs="Arial"/>
                <w:szCs w:val="18"/>
                <w:lang w:eastAsia="es-MX"/>
              </w:rPr>
              <w:t>0.24</w:t>
            </w:r>
          </w:p>
        </w:tc>
      </w:tr>
      <w:tr w:rsidR="00FC2A64" w:rsidRPr="000E2240" w14:paraId="73ECD0EF" w14:textId="77777777" w:rsidTr="00C6588D">
        <w:trPr>
          <w:trHeight w:val="368"/>
        </w:trPr>
        <w:tc>
          <w:tcPr>
            <w:cnfStyle w:val="001000000000" w:firstRow="0" w:lastRow="0" w:firstColumn="1" w:lastColumn="0" w:oddVBand="0" w:evenVBand="0" w:oddHBand="0" w:evenHBand="0" w:firstRowFirstColumn="0" w:firstRowLastColumn="0" w:lastRowFirstColumn="0" w:lastRowLastColumn="0"/>
            <w:tcW w:w="1415" w:type="dxa"/>
            <w:tcBorders>
              <w:top w:val="single" w:sz="4" w:space="0" w:color="9BBB59" w:themeColor="accent3"/>
              <w:bottom w:val="single" w:sz="12" w:space="0" w:color="9BBB59" w:themeColor="accent3"/>
            </w:tcBorders>
            <w:noWrap/>
            <w:hideMark/>
          </w:tcPr>
          <w:p w14:paraId="3BB6072C" w14:textId="77777777" w:rsidR="002C35C6" w:rsidRPr="00876FDC" w:rsidRDefault="002C35C6" w:rsidP="00C6588D">
            <w:pPr>
              <w:pStyle w:val="CETBodytext"/>
              <w:jc w:val="center"/>
              <w:rPr>
                <w:rFonts w:cs="Arial"/>
                <w:b w:val="0"/>
                <w:szCs w:val="18"/>
                <w:lang w:eastAsia="es-MX"/>
              </w:rPr>
            </w:pPr>
            <w:r w:rsidRPr="00876FDC">
              <w:rPr>
                <w:rFonts w:cs="Arial"/>
                <w:b w:val="0"/>
                <w:szCs w:val="18"/>
                <w:lang w:eastAsia="es-MX"/>
              </w:rPr>
              <w:t>NO</w:t>
            </w:r>
            <w:r w:rsidRPr="00876FDC">
              <w:rPr>
                <w:rFonts w:cs="Arial"/>
                <w:b w:val="0"/>
                <w:szCs w:val="18"/>
                <w:vertAlign w:val="subscript"/>
                <w:lang w:eastAsia="es-MX"/>
              </w:rPr>
              <w:t>3</w:t>
            </w:r>
            <w:r w:rsidRPr="00876FDC">
              <w:rPr>
                <w:rFonts w:cs="Arial"/>
                <w:b w:val="0"/>
                <w:szCs w:val="18"/>
                <w:vertAlign w:val="superscript"/>
                <w:lang w:eastAsia="es-MX"/>
              </w:rPr>
              <w:t>-</w:t>
            </w:r>
            <w:r w:rsidRPr="00876FDC">
              <w:rPr>
                <w:rFonts w:cs="Arial"/>
                <w:b w:val="0"/>
                <w:szCs w:val="18"/>
                <w:lang w:eastAsia="es-MX"/>
              </w:rPr>
              <w:t>mg L</w:t>
            </w:r>
            <w:r w:rsidRPr="00876FDC">
              <w:rPr>
                <w:rFonts w:cs="Arial"/>
                <w:b w:val="0"/>
                <w:szCs w:val="18"/>
                <w:vertAlign w:val="superscript"/>
                <w:lang w:eastAsia="es-MX"/>
              </w:rPr>
              <w:t>-1</w:t>
            </w:r>
          </w:p>
        </w:tc>
        <w:tc>
          <w:tcPr>
            <w:tcW w:w="567" w:type="dxa"/>
            <w:tcBorders>
              <w:top w:val="single" w:sz="4" w:space="0" w:color="9BBB59" w:themeColor="accent3"/>
              <w:bottom w:val="single" w:sz="12" w:space="0" w:color="9BBB59" w:themeColor="accent3"/>
            </w:tcBorders>
            <w:noWrap/>
            <w:hideMark/>
          </w:tcPr>
          <w:p w14:paraId="513DE6A5"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9.6</w:t>
            </w:r>
          </w:p>
        </w:tc>
        <w:tc>
          <w:tcPr>
            <w:tcW w:w="667" w:type="dxa"/>
            <w:tcBorders>
              <w:top w:val="single" w:sz="4" w:space="0" w:color="9BBB59" w:themeColor="accent3"/>
              <w:bottom w:val="single" w:sz="12" w:space="0" w:color="9BBB59" w:themeColor="accent3"/>
            </w:tcBorders>
            <w:noWrap/>
            <w:hideMark/>
          </w:tcPr>
          <w:p w14:paraId="4EC6229B"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1.25</w:t>
            </w:r>
          </w:p>
        </w:tc>
        <w:tc>
          <w:tcPr>
            <w:tcW w:w="667" w:type="dxa"/>
            <w:tcBorders>
              <w:top w:val="single" w:sz="4" w:space="0" w:color="9BBB59" w:themeColor="accent3"/>
              <w:bottom w:val="single" w:sz="12" w:space="0" w:color="9BBB59" w:themeColor="accent3"/>
            </w:tcBorders>
            <w:noWrap/>
            <w:hideMark/>
          </w:tcPr>
          <w:p w14:paraId="222A65E8"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6.8</w:t>
            </w:r>
          </w:p>
        </w:tc>
        <w:tc>
          <w:tcPr>
            <w:tcW w:w="654" w:type="dxa"/>
            <w:tcBorders>
              <w:top w:val="single" w:sz="4" w:space="0" w:color="9BBB59" w:themeColor="accent3"/>
              <w:bottom w:val="single" w:sz="12" w:space="0" w:color="9BBB59" w:themeColor="accent3"/>
            </w:tcBorders>
            <w:noWrap/>
            <w:hideMark/>
          </w:tcPr>
          <w:p w14:paraId="4F9447B4"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0.9</w:t>
            </w:r>
          </w:p>
        </w:tc>
        <w:tc>
          <w:tcPr>
            <w:tcW w:w="918" w:type="dxa"/>
            <w:tcBorders>
              <w:top w:val="single" w:sz="4" w:space="0" w:color="9BBB59" w:themeColor="accent3"/>
              <w:bottom w:val="single" w:sz="12" w:space="0" w:color="9BBB59" w:themeColor="accent3"/>
            </w:tcBorders>
            <w:noWrap/>
            <w:hideMark/>
          </w:tcPr>
          <w:p w14:paraId="068F96BE"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4</w:t>
            </w:r>
          </w:p>
        </w:tc>
        <w:tc>
          <w:tcPr>
            <w:tcW w:w="667" w:type="dxa"/>
            <w:tcBorders>
              <w:top w:val="single" w:sz="4" w:space="0" w:color="9BBB59" w:themeColor="accent3"/>
              <w:bottom w:val="single" w:sz="12" w:space="0" w:color="9BBB59" w:themeColor="accent3"/>
            </w:tcBorders>
            <w:noWrap/>
            <w:hideMark/>
          </w:tcPr>
          <w:p w14:paraId="4D969C0A"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2.6</w:t>
            </w:r>
          </w:p>
        </w:tc>
        <w:tc>
          <w:tcPr>
            <w:tcW w:w="667" w:type="dxa"/>
            <w:tcBorders>
              <w:top w:val="single" w:sz="4" w:space="0" w:color="9BBB59" w:themeColor="accent3"/>
              <w:bottom w:val="single" w:sz="12" w:space="0" w:color="9BBB59" w:themeColor="accent3"/>
            </w:tcBorders>
            <w:noWrap/>
            <w:hideMark/>
          </w:tcPr>
          <w:p w14:paraId="25ECFB22"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2.9</w:t>
            </w:r>
          </w:p>
        </w:tc>
        <w:tc>
          <w:tcPr>
            <w:tcW w:w="667" w:type="dxa"/>
            <w:tcBorders>
              <w:bottom w:val="single" w:sz="12" w:space="0" w:color="9BBB59" w:themeColor="accent3"/>
            </w:tcBorders>
            <w:noWrap/>
            <w:hideMark/>
          </w:tcPr>
          <w:p w14:paraId="0F6B167B"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2.1</w:t>
            </w:r>
          </w:p>
        </w:tc>
        <w:tc>
          <w:tcPr>
            <w:tcW w:w="667" w:type="dxa"/>
            <w:tcBorders>
              <w:top w:val="single" w:sz="4" w:space="0" w:color="9BBB59" w:themeColor="accent3"/>
              <w:bottom w:val="single" w:sz="12" w:space="0" w:color="9BBB59" w:themeColor="accent3"/>
            </w:tcBorders>
            <w:noWrap/>
            <w:hideMark/>
          </w:tcPr>
          <w:p w14:paraId="1A4A18F8"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4.4</w:t>
            </w:r>
          </w:p>
        </w:tc>
        <w:tc>
          <w:tcPr>
            <w:tcW w:w="667" w:type="dxa"/>
            <w:tcBorders>
              <w:top w:val="single" w:sz="4" w:space="0" w:color="9BBB59" w:themeColor="accent3"/>
              <w:bottom w:val="single" w:sz="12" w:space="0" w:color="9BBB59" w:themeColor="accent3"/>
            </w:tcBorders>
            <w:noWrap/>
            <w:hideMark/>
          </w:tcPr>
          <w:p w14:paraId="27ACA2FC"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5.8</w:t>
            </w:r>
          </w:p>
        </w:tc>
        <w:tc>
          <w:tcPr>
            <w:tcW w:w="667" w:type="dxa"/>
            <w:tcBorders>
              <w:top w:val="single" w:sz="4" w:space="0" w:color="9BBB59" w:themeColor="accent3"/>
              <w:bottom w:val="single" w:sz="12" w:space="0" w:color="9BBB59" w:themeColor="accent3"/>
            </w:tcBorders>
            <w:noWrap/>
            <w:hideMark/>
          </w:tcPr>
          <w:p w14:paraId="24F55C90" w14:textId="77777777" w:rsidR="002C35C6" w:rsidRPr="00876FDC" w:rsidRDefault="002C35C6" w:rsidP="00C6588D">
            <w:pPr>
              <w:pStyle w:val="CETBodytext"/>
              <w:jc w:val="center"/>
              <w:cnfStyle w:val="000000000000" w:firstRow="0" w:lastRow="0" w:firstColumn="0" w:lastColumn="0" w:oddVBand="0" w:evenVBand="0" w:oddHBand="0" w:evenHBand="0" w:firstRowFirstColumn="0" w:firstRowLastColumn="0" w:lastRowFirstColumn="0" w:lastRowLastColumn="0"/>
              <w:rPr>
                <w:rFonts w:cs="Arial"/>
                <w:szCs w:val="18"/>
                <w:lang w:eastAsia="es-MX"/>
              </w:rPr>
            </w:pPr>
            <w:r w:rsidRPr="00876FDC">
              <w:rPr>
                <w:rFonts w:cs="Arial"/>
                <w:szCs w:val="18"/>
                <w:lang w:eastAsia="es-MX"/>
              </w:rPr>
              <w:t>5.3</w:t>
            </w:r>
          </w:p>
        </w:tc>
      </w:tr>
    </w:tbl>
    <w:p w14:paraId="421EC005" w14:textId="77777777" w:rsidR="002C35C6" w:rsidRPr="002C35C6" w:rsidRDefault="002C35C6" w:rsidP="002C35C6">
      <w:pPr>
        <w:pStyle w:val="Default"/>
        <w:spacing w:line="276" w:lineRule="auto"/>
        <w:rPr>
          <w:rFonts w:ascii="Arial" w:hAnsi="Arial" w:cs="Arial"/>
          <w:sz w:val="18"/>
          <w:szCs w:val="18"/>
          <w:lang w:val="en-US"/>
        </w:rPr>
      </w:pPr>
    </w:p>
    <w:p w14:paraId="4FD7090B" w14:textId="09C3D3D3" w:rsidR="002C35C6" w:rsidRPr="00746EE0" w:rsidRDefault="002C35C6" w:rsidP="00746EE0">
      <w:pPr>
        <w:pStyle w:val="CETheadingx"/>
      </w:pPr>
      <w:r w:rsidRPr="00FC2A64">
        <w:t>Isolation of Microorganisms.</w:t>
      </w:r>
    </w:p>
    <w:p w14:paraId="3D1F8A6D" w14:textId="323B9774" w:rsidR="002C35C6" w:rsidRPr="00746EE0" w:rsidRDefault="002C35C6" w:rsidP="00447A28">
      <w:pPr>
        <w:pStyle w:val="CETBodytext"/>
      </w:pPr>
      <w:r w:rsidRPr="002C35C6">
        <w:t>From the collected samples, a total of 16 strains were isolated: 10 strains from water samples, 5 strains from sediments and 1 strain from biofilms. Most of them resisted up to 20 mM in solid media and 10 mM in liquid media of arsenite and arsenate except for one strain from the OA water sample, which is strictly anaerobic and only resisted up to 10 mM from both As species</w:t>
      </w:r>
      <w:r w:rsidR="007D33E5">
        <w:t>. In these study only 2</w:t>
      </w:r>
      <w:r w:rsidRPr="002C35C6">
        <w:t xml:space="preserve"> strains were analyzed. </w:t>
      </w:r>
    </w:p>
    <w:p w14:paraId="051235FA" w14:textId="6158074C" w:rsidR="002C35C6" w:rsidRPr="00746EE0" w:rsidRDefault="00132A80" w:rsidP="00746EE0">
      <w:pPr>
        <w:pStyle w:val="CETheadingx"/>
      </w:pPr>
      <w:r>
        <w:t>Oxide- Reduction by Microbial A</w:t>
      </w:r>
      <w:r w:rsidR="002C35C6" w:rsidRPr="00FC2A64">
        <w:t xml:space="preserve">ction. </w:t>
      </w:r>
    </w:p>
    <w:p w14:paraId="26AD703E" w14:textId="0BBFEEF9" w:rsidR="002C35C6" w:rsidRPr="002C35C6" w:rsidRDefault="00D15D00" w:rsidP="00447A28">
      <w:pPr>
        <w:pStyle w:val="CETBodytext"/>
      </w:pPr>
      <w:r>
        <w:t>In relation with colorimetric test, o</w:t>
      </w:r>
      <w:r w:rsidR="007D33E5">
        <w:t>nly one strain was</w:t>
      </w:r>
      <w:r>
        <w:t xml:space="preserve"> observed from</w:t>
      </w:r>
      <w:r w:rsidR="002C35C6" w:rsidRPr="002C35C6">
        <w:t xml:space="preserve"> </w:t>
      </w:r>
      <w:r w:rsidR="00BF4C4A">
        <w:t>biofilm</w:t>
      </w:r>
      <w:r>
        <w:t xml:space="preserve"> sample</w:t>
      </w:r>
      <w:r w:rsidR="002C35C6" w:rsidRPr="002C35C6">
        <w:t xml:space="preserve"> </w:t>
      </w:r>
      <w:r w:rsidR="007D33E5">
        <w:t>capable of reducing As (V), B13</w:t>
      </w:r>
      <w:r w:rsidR="00746EE0">
        <w:t>. (Fig 1</w:t>
      </w:r>
      <w:r w:rsidR="002C35C6" w:rsidRPr="002C35C6">
        <w:t>), The reaction with KMnO</w:t>
      </w:r>
      <w:r w:rsidR="002C35C6" w:rsidRPr="002C35C6">
        <w:rPr>
          <w:vertAlign w:val="subscript"/>
        </w:rPr>
        <w:t>4</w:t>
      </w:r>
      <w:r w:rsidR="002C35C6" w:rsidRPr="002C35C6">
        <w:t xml:space="preserve"> turns the medium pink in the presence of As (V), whilst it turns a light yellow if the reduction to As (III) occurs. (Salmassi et al.</w:t>
      </w:r>
      <w:r w:rsidR="00885B1C">
        <w:t>,</w:t>
      </w:r>
      <w:r w:rsidR="002C35C6" w:rsidRPr="002C35C6">
        <w:t xml:space="preserve"> 2002).</w:t>
      </w:r>
    </w:p>
    <w:p w14:paraId="66B7CBBE" w14:textId="77777777" w:rsidR="002C35C6" w:rsidRPr="002C35C6" w:rsidRDefault="002C35C6" w:rsidP="002C35C6">
      <w:pPr>
        <w:pStyle w:val="Default"/>
        <w:spacing w:line="276" w:lineRule="auto"/>
        <w:rPr>
          <w:rFonts w:ascii="Arial" w:hAnsi="Arial" w:cs="Arial"/>
          <w:sz w:val="18"/>
          <w:szCs w:val="18"/>
          <w:lang w:val="en-US"/>
        </w:rPr>
      </w:pPr>
      <w:r w:rsidRPr="002C35C6">
        <w:rPr>
          <w:rFonts w:ascii="Arial" w:hAnsi="Arial" w:cs="Arial"/>
          <w:noProof/>
          <w:sz w:val="18"/>
          <w:szCs w:val="18"/>
          <w:lang w:eastAsia="es-MX"/>
        </w:rPr>
        <w:drawing>
          <wp:anchor distT="0" distB="0" distL="114300" distR="114300" simplePos="0" relativeHeight="251659264" behindDoc="0" locked="0" layoutInCell="1" allowOverlap="1" wp14:anchorId="54ABDD55" wp14:editId="1532D0C2">
            <wp:simplePos x="0" y="0"/>
            <wp:positionH relativeFrom="margin">
              <wp:align>left</wp:align>
            </wp:positionH>
            <wp:positionV relativeFrom="paragraph">
              <wp:posOffset>76200</wp:posOffset>
            </wp:positionV>
            <wp:extent cx="2562225" cy="1545590"/>
            <wp:effectExtent l="0" t="0" r="0" b="0"/>
            <wp:wrapSquare wrapText="bothSides"/>
            <wp:docPr id="44" name="Picture 44" descr="C:\Users\Emiliano\Dropbox\Tesis mca\20180301_130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iliano\Dropbox\Tesis mca\20180301_13012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828" cy="1551702"/>
                    </a:xfrm>
                    <a:prstGeom prst="rect">
                      <a:avLst/>
                    </a:prstGeom>
                    <a:noFill/>
                    <a:ln w="19050">
                      <a:noFill/>
                    </a:ln>
                  </pic:spPr>
                </pic:pic>
              </a:graphicData>
            </a:graphic>
            <wp14:sizeRelH relativeFrom="margin">
              <wp14:pctWidth>0</wp14:pctWidth>
            </wp14:sizeRelH>
            <wp14:sizeRelV relativeFrom="margin">
              <wp14:pctHeight>0</wp14:pctHeight>
            </wp14:sizeRelV>
          </wp:anchor>
        </w:drawing>
      </w:r>
    </w:p>
    <w:p w14:paraId="34103455" w14:textId="77777777" w:rsidR="002C35C6" w:rsidRPr="002C35C6" w:rsidRDefault="002C35C6" w:rsidP="002C35C6">
      <w:pPr>
        <w:pStyle w:val="Default"/>
        <w:spacing w:line="276" w:lineRule="auto"/>
        <w:rPr>
          <w:rFonts w:ascii="Arial" w:hAnsi="Arial" w:cs="Arial"/>
          <w:sz w:val="18"/>
          <w:szCs w:val="18"/>
          <w:lang w:val="en-US"/>
        </w:rPr>
      </w:pPr>
    </w:p>
    <w:p w14:paraId="6CB46177" w14:textId="77777777" w:rsidR="002C35C6" w:rsidRPr="002C35C6" w:rsidRDefault="002C35C6" w:rsidP="002C35C6">
      <w:pPr>
        <w:pStyle w:val="Default"/>
        <w:spacing w:line="276" w:lineRule="auto"/>
        <w:rPr>
          <w:rFonts w:ascii="Arial" w:hAnsi="Arial" w:cs="Arial"/>
          <w:sz w:val="18"/>
          <w:szCs w:val="18"/>
          <w:lang w:val="en-US"/>
        </w:rPr>
      </w:pPr>
    </w:p>
    <w:p w14:paraId="5F0C0219" w14:textId="77777777" w:rsidR="002C35C6" w:rsidRPr="002C35C6" w:rsidRDefault="002C35C6" w:rsidP="002C35C6">
      <w:pPr>
        <w:pStyle w:val="Default"/>
        <w:spacing w:line="276" w:lineRule="auto"/>
        <w:rPr>
          <w:rFonts w:ascii="Arial" w:hAnsi="Arial" w:cs="Arial"/>
          <w:sz w:val="18"/>
          <w:szCs w:val="18"/>
          <w:lang w:val="en-US"/>
        </w:rPr>
      </w:pPr>
    </w:p>
    <w:p w14:paraId="6AB95A43" w14:textId="77777777" w:rsidR="002C35C6" w:rsidRPr="002C35C6" w:rsidRDefault="002C35C6" w:rsidP="002C35C6">
      <w:pPr>
        <w:pStyle w:val="Default"/>
        <w:spacing w:line="276" w:lineRule="auto"/>
        <w:rPr>
          <w:rFonts w:ascii="Arial" w:hAnsi="Arial" w:cs="Arial"/>
          <w:sz w:val="18"/>
          <w:szCs w:val="18"/>
          <w:lang w:val="en-US"/>
        </w:rPr>
      </w:pPr>
    </w:p>
    <w:p w14:paraId="63C8ACBB" w14:textId="77777777" w:rsidR="002C35C6" w:rsidRPr="002C35C6" w:rsidRDefault="002C35C6" w:rsidP="002C35C6">
      <w:pPr>
        <w:pStyle w:val="Default"/>
        <w:spacing w:line="276" w:lineRule="auto"/>
        <w:rPr>
          <w:rFonts w:ascii="Arial" w:hAnsi="Arial" w:cs="Arial"/>
          <w:sz w:val="18"/>
          <w:szCs w:val="18"/>
          <w:lang w:val="en-US"/>
        </w:rPr>
      </w:pPr>
    </w:p>
    <w:p w14:paraId="24976D75" w14:textId="77777777" w:rsidR="002C35C6" w:rsidRPr="002C35C6" w:rsidRDefault="002C35C6" w:rsidP="002C35C6">
      <w:pPr>
        <w:pStyle w:val="Default"/>
        <w:spacing w:line="276" w:lineRule="auto"/>
        <w:rPr>
          <w:rFonts w:ascii="Arial" w:hAnsi="Arial" w:cs="Arial"/>
          <w:sz w:val="18"/>
          <w:szCs w:val="18"/>
          <w:lang w:val="en-US"/>
        </w:rPr>
      </w:pPr>
    </w:p>
    <w:p w14:paraId="604EEE14" w14:textId="77777777" w:rsidR="002C35C6" w:rsidRPr="002C35C6" w:rsidRDefault="002C35C6" w:rsidP="002C35C6">
      <w:pPr>
        <w:pStyle w:val="Default"/>
        <w:spacing w:line="276" w:lineRule="auto"/>
        <w:rPr>
          <w:rFonts w:ascii="Arial" w:hAnsi="Arial" w:cs="Arial"/>
          <w:sz w:val="18"/>
          <w:szCs w:val="18"/>
          <w:lang w:val="en-US"/>
        </w:rPr>
      </w:pPr>
    </w:p>
    <w:p w14:paraId="6DD9706D" w14:textId="77777777" w:rsidR="00FC2A64" w:rsidRDefault="00FC2A64" w:rsidP="00746EE0">
      <w:pPr>
        <w:pStyle w:val="Default"/>
        <w:spacing w:line="276" w:lineRule="auto"/>
        <w:rPr>
          <w:rFonts w:ascii="Arial" w:hAnsi="Arial" w:cs="Arial"/>
          <w:sz w:val="18"/>
          <w:szCs w:val="18"/>
          <w:lang w:val="en-US"/>
        </w:rPr>
      </w:pPr>
    </w:p>
    <w:p w14:paraId="6E5CB36D" w14:textId="77777777" w:rsidR="00885B1C" w:rsidRDefault="00885B1C" w:rsidP="00746EE0">
      <w:pPr>
        <w:pStyle w:val="Default"/>
        <w:spacing w:line="276" w:lineRule="auto"/>
        <w:rPr>
          <w:rFonts w:ascii="Arial" w:hAnsi="Arial" w:cs="Arial"/>
          <w:sz w:val="18"/>
          <w:szCs w:val="18"/>
          <w:lang w:val="en-US"/>
        </w:rPr>
      </w:pPr>
    </w:p>
    <w:p w14:paraId="05F8B8D3" w14:textId="77777777" w:rsidR="00132A80" w:rsidRPr="002C35C6" w:rsidRDefault="00132A80" w:rsidP="00746EE0">
      <w:pPr>
        <w:pStyle w:val="Default"/>
        <w:spacing w:line="276" w:lineRule="auto"/>
        <w:rPr>
          <w:rFonts w:ascii="Arial" w:hAnsi="Arial" w:cs="Arial"/>
          <w:sz w:val="18"/>
          <w:szCs w:val="18"/>
          <w:lang w:val="en-US"/>
        </w:rPr>
      </w:pPr>
    </w:p>
    <w:p w14:paraId="262B032F" w14:textId="44D812CF" w:rsidR="002C35C6" w:rsidRPr="00746EE0" w:rsidRDefault="002C35C6" w:rsidP="00132A80">
      <w:pPr>
        <w:pStyle w:val="CETCaption"/>
        <w:rPr>
          <w:lang w:val="en-US"/>
        </w:rPr>
      </w:pPr>
      <w:r w:rsidRPr="00746EE0">
        <w:rPr>
          <w:lang w:val="en-US"/>
        </w:rPr>
        <w:t>Fig</w:t>
      </w:r>
      <w:r w:rsidR="00746EE0" w:rsidRPr="00746EE0">
        <w:rPr>
          <w:lang w:val="en-US"/>
        </w:rPr>
        <w:t>ure 1</w:t>
      </w:r>
      <w:r w:rsidRPr="00746EE0">
        <w:rPr>
          <w:lang w:val="en-US"/>
        </w:rPr>
        <w:t>. Colorimetric test with KMnO</w:t>
      </w:r>
      <w:r w:rsidRPr="00746EE0">
        <w:rPr>
          <w:vertAlign w:val="subscript"/>
          <w:lang w:val="en-US"/>
        </w:rPr>
        <w:t>4</w:t>
      </w:r>
      <w:r w:rsidRPr="00746EE0">
        <w:rPr>
          <w:lang w:val="en-US"/>
        </w:rPr>
        <w:t xml:space="preserve"> for the observation of reducing strains of As (V).</w:t>
      </w:r>
    </w:p>
    <w:p w14:paraId="5AB13804" w14:textId="34D780AF" w:rsidR="002C35C6" w:rsidRPr="00746EE0" w:rsidRDefault="00132A80" w:rsidP="00746EE0">
      <w:pPr>
        <w:pStyle w:val="CETheadingx"/>
      </w:pPr>
      <w:r>
        <w:t>Growth K</w:t>
      </w:r>
      <w:r w:rsidR="002C35C6" w:rsidRPr="00FC2A64">
        <w:t>inetics.</w:t>
      </w:r>
    </w:p>
    <w:p w14:paraId="5BBED4F5" w14:textId="4D20790A" w:rsidR="002C35C6" w:rsidRPr="002C35C6" w:rsidRDefault="002C35C6" w:rsidP="00447A28">
      <w:pPr>
        <w:pStyle w:val="CETBodytext"/>
      </w:pPr>
      <w:r w:rsidRPr="002C35C6">
        <w:t xml:space="preserve"> The growth kinetics of the different behaviors of the isol</w:t>
      </w:r>
      <w:r w:rsidR="00746EE0">
        <w:t>ates are presented below. Fig. 2</w:t>
      </w:r>
      <w:r w:rsidRPr="002C35C6">
        <w:t xml:space="preserve"> corresponds to strain A1, grown in YEM without As and with As (V), 10 mM; As (III), 10 mM and the mixture of the two salts of As at a final concentration between them of 10 mM. The growth kinetics of this A1 strain in all growing conditions was similar, without it being af</w:t>
      </w:r>
      <w:r w:rsidR="007D4812">
        <w:t>fected by any of the arsenic salt.</w:t>
      </w:r>
      <w:r w:rsidRPr="002C35C6">
        <w:t>.</w:t>
      </w:r>
    </w:p>
    <w:p w14:paraId="1DCDD451" w14:textId="77777777" w:rsidR="002C35C6" w:rsidRPr="002C35C6" w:rsidRDefault="002C35C6" w:rsidP="00447A28">
      <w:pPr>
        <w:pStyle w:val="CETBodytext"/>
      </w:pPr>
    </w:p>
    <w:p w14:paraId="5D062457" w14:textId="2ED2AA66" w:rsidR="002C35C6" w:rsidRDefault="00746EE0" w:rsidP="00447A28">
      <w:pPr>
        <w:pStyle w:val="CETBodytext"/>
      </w:pPr>
      <w:r>
        <w:lastRenderedPageBreak/>
        <w:t>Figures 3</w:t>
      </w:r>
      <w:r w:rsidR="007A46B9">
        <w:t>, corresponding to strain</w:t>
      </w:r>
      <w:r w:rsidR="002C35C6" w:rsidRPr="002C35C6">
        <w:t xml:space="preserve"> B13 grown in YEM without As and with As (V), 10mM; As (III), 10 mM and the mixture of the two salts of As to a final concentration between both of 10 mM. The growth kinetics of this strain show that it grows better according to this order (where the symbols represent, = equal kinetics and &gt; better growth): As (V) &gt; As (III) = mixture &gt; Control.</w:t>
      </w:r>
    </w:p>
    <w:p w14:paraId="2D53C083" w14:textId="12B093FA" w:rsidR="00746EE0" w:rsidRDefault="00746EE0" w:rsidP="00746EE0">
      <w:pPr>
        <w:pStyle w:val="Default"/>
        <w:spacing w:line="276" w:lineRule="auto"/>
        <w:ind w:firstLine="708"/>
        <w:jc w:val="both"/>
        <w:rPr>
          <w:rFonts w:ascii="Arial" w:hAnsi="Arial" w:cs="Arial"/>
          <w:sz w:val="18"/>
          <w:szCs w:val="18"/>
          <w:lang w:val="en-US"/>
        </w:rPr>
      </w:pPr>
    </w:p>
    <w:p w14:paraId="4FAD0D66" w14:textId="1B29A0F5" w:rsidR="00FC2A64" w:rsidRPr="002C35C6" w:rsidRDefault="0028519D" w:rsidP="00746EE0">
      <w:pPr>
        <w:pStyle w:val="Default"/>
        <w:spacing w:line="276" w:lineRule="auto"/>
        <w:ind w:firstLine="708"/>
        <w:jc w:val="both"/>
        <w:rPr>
          <w:rFonts w:ascii="Arial" w:hAnsi="Arial" w:cs="Arial"/>
          <w:sz w:val="18"/>
          <w:szCs w:val="18"/>
          <w:lang w:val="en-US"/>
        </w:rPr>
      </w:pPr>
      <w:r w:rsidRPr="008263D6">
        <w:rPr>
          <w:noProof/>
          <w:lang w:eastAsia="es-MX"/>
        </w:rPr>
        <w:drawing>
          <wp:anchor distT="0" distB="0" distL="114300" distR="114300" simplePos="0" relativeHeight="251661312" behindDoc="0" locked="0" layoutInCell="1" allowOverlap="1" wp14:anchorId="6FF14E5B" wp14:editId="01AFDE36">
            <wp:simplePos x="0" y="0"/>
            <wp:positionH relativeFrom="page">
              <wp:posOffset>1409700</wp:posOffset>
            </wp:positionH>
            <wp:positionV relativeFrom="paragraph">
              <wp:posOffset>231140</wp:posOffset>
            </wp:positionV>
            <wp:extent cx="3819525" cy="2419350"/>
            <wp:effectExtent l="0" t="0" r="9525" b="0"/>
            <wp:wrapTopAndBottom/>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24BB5522" w14:textId="66E30FD8" w:rsidR="00FC2A64" w:rsidRDefault="00F13E05" w:rsidP="00746EE0">
      <w:pPr>
        <w:pStyle w:val="CETCaption"/>
        <w:rPr>
          <w:lang w:val="en-US"/>
        </w:rPr>
      </w:pPr>
      <w:r w:rsidRPr="00F13E05">
        <w:rPr>
          <w:lang w:val="en-US"/>
        </w:rPr>
        <w:t xml:space="preserve">Figure </w:t>
      </w:r>
      <w:r w:rsidR="00746EE0">
        <w:rPr>
          <w:lang w:val="en-US"/>
        </w:rPr>
        <w:t>2</w:t>
      </w:r>
      <w:r w:rsidR="007A46B9">
        <w:rPr>
          <w:lang w:val="en-US"/>
        </w:rPr>
        <w:t>. Growth kinetics of strain A1</w:t>
      </w:r>
      <w:r w:rsidRPr="00F13E05">
        <w:rPr>
          <w:lang w:val="en-US"/>
        </w:rPr>
        <w:t>, in NB medium without As and YEM medium with As.</w:t>
      </w:r>
    </w:p>
    <w:p w14:paraId="41BDBFA2" w14:textId="4FBF29AC" w:rsidR="00FC2A64" w:rsidRDefault="00746EE0" w:rsidP="008662A8">
      <w:pPr>
        <w:pStyle w:val="CETnumberingbullets"/>
        <w:numPr>
          <w:ilvl w:val="0"/>
          <w:numId w:val="0"/>
        </w:numPr>
        <w:jc w:val="both"/>
        <w:rPr>
          <w:lang w:val="en-US"/>
        </w:rPr>
      </w:pPr>
      <w:r w:rsidRPr="008263D6">
        <w:rPr>
          <w:noProof/>
          <w:szCs w:val="18"/>
          <w:lang w:val="es-MX" w:eastAsia="es-MX"/>
        </w:rPr>
        <w:drawing>
          <wp:anchor distT="0" distB="0" distL="114300" distR="114300" simplePos="0" relativeHeight="251663360" behindDoc="0" locked="0" layoutInCell="1" allowOverlap="1" wp14:anchorId="6EC9B9E5" wp14:editId="0EAF92BB">
            <wp:simplePos x="0" y="0"/>
            <wp:positionH relativeFrom="page">
              <wp:posOffset>1439612</wp:posOffset>
            </wp:positionH>
            <wp:positionV relativeFrom="paragraph">
              <wp:posOffset>32565</wp:posOffset>
            </wp:positionV>
            <wp:extent cx="3743325" cy="2228850"/>
            <wp:effectExtent l="0" t="0" r="9525" b="0"/>
            <wp:wrapSquare wrapText="bothSides"/>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276D923A" w14:textId="32BABF9F" w:rsidR="00FC2A64" w:rsidRDefault="00FC2A64" w:rsidP="008662A8">
      <w:pPr>
        <w:pStyle w:val="CETnumberingbullets"/>
        <w:numPr>
          <w:ilvl w:val="0"/>
          <w:numId w:val="0"/>
        </w:numPr>
        <w:jc w:val="both"/>
        <w:rPr>
          <w:lang w:val="en-US"/>
        </w:rPr>
      </w:pPr>
    </w:p>
    <w:p w14:paraId="318F95E2" w14:textId="77777777" w:rsidR="00FC2A64" w:rsidRDefault="00FC2A64" w:rsidP="008662A8">
      <w:pPr>
        <w:pStyle w:val="CETnumberingbullets"/>
        <w:numPr>
          <w:ilvl w:val="0"/>
          <w:numId w:val="0"/>
        </w:numPr>
        <w:jc w:val="both"/>
        <w:rPr>
          <w:lang w:val="en-US"/>
        </w:rPr>
      </w:pPr>
    </w:p>
    <w:p w14:paraId="6C75DEA2" w14:textId="77777777" w:rsidR="00FC2A64" w:rsidRDefault="00FC2A64" w:rsidP="008662A8">
      <w:pPr>
        <w:pStyle w:val="CETnumberingbullets"/>
        <w:numPr>
          <w:ilvl w:val="0"/>
          <w:numId w:val="0"/>
        </w:numPr>
        <w:jc w:val="both"/>
        <w:rPr>
          <w:lang w:val="en-US"/>
        </w:rPr>
      </w:pPr>
    </w:p>
    <w:p w14:paraId="00EADD66" w14:textId="77777777" w:rsidR="00FC2A64" w:rsidRDefault="00FC2A64" w:rsidP="008662A8">
      <w:pPr>
        <w:pStyle w:val="CETnumberingbullets"/>
        <w:numPr>
          <w:ilvl w:val="0"/>
          <w:numId w:val="0"/>
        </w:numPr>
        <w:jc w:val="both"/>
        <w:rPr>
          <w:lang w:val="en-US"/>
        </w:rPr>
      </w:pPr>
    </w:p>
    <w:p w14:paraId="4D3C3EF0" w14:textId="77777777" w:rsidR="00FC2A64" w:rsidRDefault="00FC2A64" w:rsidP="008662A8">
      <w:pPr>
        <w:pStyle w:val="CETnumberingbullets"/>
        <w:numPr>
          <w:ilvl w:val="0"/>
          <w:numId w:val="0"/>
        </w:numPr>
        <w:jc w:val="both"/>
        <w:rPr>
          <w:lang w:val="en-US"/>
        </w:rPr>
      </w:pPr>
    </w:p>
    <w:p w14:paraId="1B474F76" w14:textId="77777777" w:rsidR="00FC2A64" w:rsidRDefault="00FC2A64" w:rsidP="008662A8">
      <w:pPr>
        <w:pStyle w:val="CETnumberingbullets"/>
        <w:numPr>
          <w:ilvl w:val="0"/>
          <w:numId w:val="0"/>
        </w:numPr>
        <w:jc w:val="both"/>
        <w:rPr>
          <w:lang w:val="en-US"/>
        </w:rPr>
      </w:pPr>
    </w:p>
    <w:p w14:paraId="19C031BE" w14:textId="77777777" w:rsidR="00FC2A64" w:rsidRDefault="00FC2A64" w:rsidP="008662A8">
      <w:pPr>
        <w:pStyle w:val="CETnumberingbullets"/>
        <w:numPr>
          <w:ilvl w:val="0"/>
          <w:numId w:val="0"/>
        </w:numPr>
        <w:jc w:val="both"/>
        <w:rPr>
          <w:lang w:val="en-US"/>
        </w:rPr>
      </w:pPr>
    </w:p>
    <w:p w14:paraId="7D41119F" w14:textId="77777777" w:rsidR="00FC2A64" w:rsidRDefault="00FC2A64" w:rsidP="008662A8">
      <w:pPr>
        <w:pStyle w:val="CETnumberingbullets"/>
        <w:numPr>
          <w:ilvl w:val="0"/>
          <w:numId w:val="0"/>
        </w:numPr>
        <w:jc w:val="both"/>
        <w:rPr>
          <w:lang w:val="en-US"/>
        </w:rPr>
      </w:pPr>
    </w:p>
    <w:p w14:paraId="444E0B87" w14:textId="77777777" w:rsidR="00FC2A64" w:rsidRDefault="00FC2A64" w:rsidP="008662A8">
      <w:pPr>
        <w:pStyle w:val="CETnumberingbullets"/>
        <w:numPr>
          <w:ilvl w:val="0"/>
          <w:numId w:val="0"/>
        </w:numPr>
        <w:jc w:val="both"/>
        <w:rPr>
          <w:lang w:val="en-US"/>
        </w:rPr>
      </w:pPr>
    </w:p>
    <w:p w14:paraId="011D232C" w14:textId="4873C7C8" w:rsidR="00FC2A64" w:rsidRDefault="00FC2A64" w:rsidP="008662A8">
      <w:pPr>
        <w:pStyle w:val="CETnumberingbullets"/>
        <w:numPr>
          <w:ilvl w:val="0"/>
          <w:numId w:val="0"/>
        </w:numPr>
        <w:jc w:val="both"/>
        <w:rPr>
          <w:lang w:val="en-US"/>
        </w:rPr>
      </w:pPr>
    </w:p>
    <w:p w14:paraId="55DAFC64" w14:textId="4DB9FF9A" w:rsidR="00FC2A64" w:rsidRDefault="00FC2A64" w:rsidP="008662A8">
      <w:pPr>
        <w:pStyle w:val="CETnumberingbullets"/>
        <w:numPr>
          <w:ilvl w:val="0"/>
          <w:numId w:val="0"/>
        </w:numPr>
        <w:jc w:val="both"/>
        <w:rPr>
          <w:lang w:val="en-US"/>
        </w:rPr>
      </w:pPr>
    </w:p>
    <w:p w14:paraId="2F5D23D8" w14:textId="531A5283" w:rsidR="00FC2A64" w:rsidRDefault="00FC2A64" w:rsidP="008662A8">
      <w:pPr>
        <w:pStyle w:val="CETnumberingbullets"/>
        <w:numPr>
          <w:ilvl w:val="0"/>
          <w:numId w:val="0"/>
        </w:numPr>
        <w:jc w:val="both"/>
        <w:rPr>
          <w:rFonts w:cs="Arial"/>
          <w:lang w:val="en-US"/>
        </w:rPr>
      </w:pPr>
    </w:p>
    <w:p w14:paraId="2B56AB8A" w14:textId="77777777" w:rsidR="00746EE0" w:rsidRDefault="00746EE0" w:rsidP="008662A8">
      <w:pPr>
        <w:pStyle w:val="CETnumberingbullets"/>
        <w:numPr>
          <w:ilvl w:val="0"/>
          <w:numId w:val="0"/>
        </w:numPr>
        <w:jc w:val="both"/>
        <w:rPr>
          <w:rFonts w:cs="Arial"/>
          <w:lang w:val="en-US"/>
        </w:rPr>
      </w:pPr>
    </w:p>
    <w:p w14:paraId="36FF8B66" w14:textId="77777777" w:rsidR="00746EE0" w:rsidRDefault="00746EE0" w:rsidP="008662A8">
      <w:pPr>
        <w:pStyle w:val="CETnumberingbullets"/>
        <w:numPr>
          <w:ilvl w:val="0"/>
          <w:numId w:val="0"/>
        </w:numPr>
        <w:jc w:val="both"/>
        <w:rPr>
          <w:rFonts w:cs="Arial"/>
          <w:lang w:val="en-US"/>
        </w:rPr>
      </w:pPr>
    </w:p>
    <w:p w14:paraId="04939FBA" w14:textId="77777777" w:rsidR="00746EE0" w:rsidRPr="00F13E05" w:rsidRDefault="00746EE0" w:rsidP="008662A8">
      <w:pPr>
        <w:pStyle w:val="CETnumberingbullets"/>
        <w:numPr>
          <w:ilvl w:val="0"/>
          <w:numId w:val="0"/>
        </w:numPr>
        <w:jc w:val="both"/>
        <w:rPr>
          <w:rFonts w:cs="Arial"/>
          <w:lang w:val="en-US"/>
        </w:rPr>
      </w:pPr>
    </w:p>
    <w:p w14:paraId="5ED42BE5" w14:textId="4E3DCFB4" w:rsidR="00FC2A64" w:rsidRDefault="00746EE0" w:rsidP="00746EE0">
      <w:pPr>
        <w:pStyle w:val="CETCaption"/>
        <w:rPr>
          <w:lang w:val="en-US"/>
        </w:rPr>
      </w:pPr>
      <w:r>
        <w:rPr>
          <w:lang w:val="en-US"/>
        </w:rPr>
        <w:t>Figure 3</w:t>
      </w:r>
      <w:r w:rsidR="00F13E05" w:rsidRPr="00F13E05">
        <w:rPr>
          <w:b/>
          <w:lang w:val="en-US"/>
        </w:rPr>
        <w:t>.</w:t>
      </w:r>
      <w:r w:rsidR="00F13E05" w:rsidRPr="00F13E05">
        <w:rPr>
          <w:lang w:val="en-US"/>
        </w:rPr>
        <w:t xml:space="preserve"> Growth kinetics of strain B13, in NB medium wi</w:t>
      </w:r>
      <w:r w:rsidR="00D15D00">
        <w:rPr>
          <w:lang w:val="en-US"/>
        </w:rPr>
        <w:t>thout As and YEM medium with As.</w:t>
      </w:r>
    </w:p>
    <w:p w14:paraId="7C2E5904" w14:textId="77777777" w:rsidR="00746EE0" w:rsidRDefault="00746EE0" w:rsidP="00746EE0">
      <w:pPr>
        <w:jc w:val="center"/>
        <w:rPr>
          <w:rFonts w:cs="Arial"/>
          <w:i/>
          <w:lang w:val="en-US"/>
        </w:rPr>
      </w:pPr>
    </w:p>
    <w:p w14:paraId="71C8C895" w14:textId="77777777" w:rsidR="00885B1C" w:rsidRDefault="00885B1C" w:rsidP="00746EE0">
      <w:pPr>
        <w:jc w:val="center"/>
        <w:rPr>
          <w:rFonts w:cs="Arial"/>
          <w:i/>
          <w:lang w:val="en-US"/>
        </w:rPr>
      </w:pPr>
    </w:p>
    <w:p w14:paraId="3EC3E64D" w14:textId="77777777" w:rsidR="00885B1C" w:rsidRDefault="00885B1C" w:rsidP="00746EE0">
      <w:pPr>
        <w:jc w:val="center"/>
        <w:rPr>
          <w:rFonts w:cs="Arial"/>
          <w:i/>
          <w:lang w:val="en-US"/>
        </w:rPr>
      </w:pPr>
    </w:p>
    <w:p w14:paraId="7C6700A5" w14:textId="77777777" w:rsidR="00885B1C" w:rsidRDefault="00885B1C" w:rsidP="00746EE0">
      <w:pPr>
        <w:jc w:val="center"/>
        <w:rPr>
          <w:rFonts w:cs="Arial"/>
          <w:i/>
          <w:lang w:val="en-US"/>
        </w:rPr>
      </w:pPr>
    </w:p>
    <w:p w14:paraId="1690B0A1" w14:textId="77777777" w:rsidR="00885B1C" w:rsidRDefault="00885B1C" w:rsidP="00746EE0">
      <w:pPr>
        <w:jc w:val="center"/>
        <w:rPr>
          <w:rFonts w:cs="Arial"/>
          <w:i/>
          <w:lang w:val="en-US"/>
        </w:rPr>
      </w:pPr>
    </w:p>
    <w:p w14:paraId="47D4DF8A" w14:textId="77777777" w:rsidR="00885B1C" w:rsidRDefault="00885B1C" w:rsidP="00746EE0">
      <w:pPr>
        <w:jc w:val="center"/>
        <w:rPr>
          <w:rFonts w:cs="Arial"/>
          <w:i/>
          <w:lang w:val="en-US"/>
        </w:rPr>
      </w:pPr>
    </w:p>
    <w:p w14:paraId="4C907CCF" w14:textId="77777777" w:rsidR="00885B1C" w:rsidRDefault="00885B1C" w:rsidP="00746EE0">
      <w:pPr>
        <w:jc w:val="center"/>
        <w:rPr>
          <w:rFonts w:cs="Arial"/>
          <w:i/>
          <w:lang w:val="en-US"/>
        </w:rPr>
      </w:pPr>
    </w:p>
    <w:p w14:paraId="5E10FC92" w14:textId="77777777" w:rsidR="00885B1C" w:rsidRDefault="00885B1C" w:rsidP="00746EE0">
      <w:pPr>
        <w:jc w:val="center"/>
        <w:rPr>
          <w:rFonts w:cs="Arial"/>
          <w:i/>
          <w:lang w:val="en-US"/>
        </w:rPr>
      </w:pPr>
    </w:p>
    <w:p w14:paraId="4CB6520B" w14:textId="77777777" w:rsidR="00885B1C" w:rsidRDefault="00885B1C" w:rsidP="00746EE0">
      <w:pPr>
        <w:jc w:val="center"/>
        <w:rPr>
          <w:rFonts w:cs="Arial"/>
          <w:i/>
          <w:lang w:val="en-US"/>
        </w:rPr>
      </w:pPr>
    </w:p>
    <w:p w14:paraId="09764425" w14:textId="77777777" w:rsidR="00885B1C" w:rsidRDefault="00885B1C" w:rsidP="00746EE0">
      <w:pPr>
        <w:jc w:val="center"/>
        <w:rPr>
          <w:rFonts w:cs="Arial"/>
          <w:i/>
          <w:lang w:val="en-US"/>
        </w:rPr>
      </w:pPr>
    </w:p>
    <w:p w14:paraId="41B4C105" w14:textId="77777777" w:rsidR="00746EE0" w:rsidRDefault="00746EE0" w:rsidP="00746EE0">
      <w:pPr>
        <w:rPr>
          <w:rFonts w:ascii="Times New Roman" w:hAnsi="Times New Roman"/>
          <w:i/>
          <w:lang w:val="en-US"/>
        </w:rPr>
      </w:pPr>
    </w:p>
    <w:p w14:paraId="4EC29482" w14:textId="77777777" w:rsidR="0060701B" w:rsidRDefault="0060701B" w:rsidP="00746EE0">
      <w:pPr>
        <w:rPr>
          <w:rFonts w:ascii="Times New Roman" w:hAnsi="Times New Roman"/>
          <w:i/>
          <w:lang w:val="en-US"/>
        </w:rPr>
      </w:pPr>
    </w:p>
    <w:p w14:paraId="795AAE50" w14:textId="77777777" w:rsidR="0060701B" w:rsidRPr="00746EE0" w:rsidRDefault="0060701B" w:rsidP="00746EE0">
      <w:pPr>
        <w:rPr>
          <w:rFonts w:ascii="Times New Roman" w:hAnsi="Times New Roman"/>
          <w:i/>
          <w:lang w:val="en-US"/>
        </w:rPr>
      </w:pPr>
    </w:p>
    <w:p w14:paraId="2AE42FB0" w14:textId="5CBFD093" w:rsidR="00F13E05" w:rsidRPr="00746EE0" w:rsidRDefault="00132A80" w:rsidP="00746EE0">
      <w:pPr>
        <w:pStyle w:val="CETheadingx"/>
      </w:pPr>
      <w:r>
        <w:lastRenderedPageBreak/>
        <w:t>Molecular identification of M</w:t>
      </w:r>
      <w:r w:rsidR="00F13E05" w:rsidRPr="00F13E05">
        <w:t>icroorganisms.</w:t>
      </w:r>
    </w:p>
    <w:p w14:paraId="7D78BCC4" w14:textId="5CC6E85E" w:rsidR="00746EE0" w:rsidRPr="00746EE0" w:rsidRDefault="00F13E05" w:rsidP="00447A28">
      <w:pPr>
        <w:pStyle w:val="CETBodytext"/>
      </w:pPr>
      <w:r w:rsidRPr="00746EE0">
        <w:t>The molecular identifications of 6 isolated strains are presented, the results are shown in Table (2).</w:t>
      </w:r>
    </w:p>
    <w:p w14:paraId="5A5B5F8A" w14:textId="77777777" w:rsidR="00F13E05" w:rsidRPr="00F13E05" w:rsidRDefault="00F13E05" w:rsidP="00132A80">
      <w:pPr>
        <w:pStyle w:val="CETTabletitle"/>
        <w:rPr>
          <w:lang w:val="en-US"/>
        </w:rPr>
      </w:pPr>
      <w:r w:rsidRPr="00F13E05">
        <w:rPr>
          <w:lang w:val="en-US"/>
        </w:rPr>
        <w:t xml:space="preserve">Table 2. Identification of isolated strains, resistance to As and the presents of </w:t>
      </w:r>
      <w:r w:rsidRPr="00132A80">
        <w:t>genes</w:t>
      </w:r>
      <w:r w:rsidRPr="00F13E05">
        <w:rPr>
          <w:lang w:val="en-US"/>
        </w:rPr>
        <w:t xml:space="preserve"> ars and aox.</w:t>
      </w:r>
      <w:r w:rsidRPr="00F13E05">
        <w:rPr>
          <w:lang w:val="en-US" w:eastAsia="es-MX"/>
        </w:rPr>
        <w:t xml:space="preserve"> </w:t>
      </w:r>
    </w:p>
    <w:tbl>
      <w:tblPr>
        <w:tblStyle w:val="PlainTable2"/>
        <w:tblpPr w:leftFromText="141" w:rightFromText="141" w:vertAnchor="text" w:horzAnchor="margin" w:tblpY="21"/>
        <w:tblW w:w="5743" w:type="dxa"/>
        <w:tblLook w:val="04A0" w:firstRow="1" w:lastRow="0" w:firstColumn="1" w:lastColumn="0" w:noHBand="0" w:noVBand="1"/>
      </w:tblPr>
      <w:tblGrid>
        <w:gridCol w:w="608"/>
        <w:gridCol w:w="903"/>
        <w:gridCol w:w="1327"/>
        <w:gridCol w:w="1888"/>
        <w:gridCol w:w="488"/>
        <w:gridCol w:w="529"/>
      </w:tblGrid>
      <w:tr w:rsidR="005604F0" w:rsidRPr="00070E90" w14:paraId="61985DFA" w14:textId="77777777" w:rsidTr="005604F0">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608" w:type="dxa"/>
            <w:vMerge w:val="restart"/>
            <w:tcBorders>
              <w:top w:val="single" w:sz="12" w:space="0" w:color="9BBB59" w:themeColor="accent3"/>
            </w:tcBorders>
            <w:hideMark/>
          </w:tcPr>
          <w:p w14:paraId="0D12D7DA" w14:textId="77777777" w:rsidR="005604F0" w:rsidRPr="005604F0" w:rsidRDefault="005604F0" w:rsidP="005604F0">
            <w:pPr>
              <w:pStyle w:val="CETBodytext"/>
              <w:rPr>
                <w:b w:val="0"/>
              </w:rPr>
            </w:pPr>
            <w:r w:rsidRPr="005604F0">
              <w:rPr>
                <w:b w:val="0"/>
              </w:rPr>
              <w:t>Key</w:t>
            </w:r>
          </w:p>
        </w:tc>
        <w:tc>
          <w:tcPr>
            <w:tcW w:w="903" w:type="dxa"/>
            <w:vMerge w:val="restart"/>
            <w:tcBorders>
              <w:top w:val="single" w:sz="12" w:space="0" w:color="9BBB59" w:themeColor="accent3"/>
            </w:tcBorders>
            <w:hideMark/>
          </w:tcPr>
          <w:p w14:paraId="26EF752D" w14:textId="77777777" w:rsidR="005604F0" w:rsidRPr="005604F0" w:rsidRDefault="005604F0" w:rsidP="005604F0">
            <w:pPr>
              <w:pStyle w:val="CETBodytext"/>
              <w:cnfStyle w:val="100000000000" w:firstRow="1" w:lastRow="0" w:firstColumn="0" w:lastColumn="0" w:oddVBand="0" w:evenVBand="0" w:oddHBand="0" w:evenHBand="0" w:firstRowFirstColumn="0" w:firstRowLastColumn="0" w:lastRowFirstColumn="0" w:lastRowLastColumn="0"/>
              <w:rPr>
                <w:b w:val="0"/>
              </w:rPr>
            </w:pPr>
            <w:r w:rsidRPr="005604F0">
              <w:rPr>
                <w:b w:val="0"/>
              </w:rPr>
              <w:t>Identity</w:t>
            </w:r>
          </w:p>
        </w:tc>
        <w:tc>
          <w:tcPr>
            <w:tcW w:w="1327" w:type="dxa"/>
            <w:vMerge w:val="restart"/>
            <w:tcBorders>
              <w:top w:val="single" w:sz="12" w:space="0" w:color="9BBB59" w:themeColor="accent3"/>
            </w:tcBorders>
            <w:hideMark/>
          </w:tcPr>
          <w:p w14:paraId="4B6F14EA" w14:textId="77777777" w:rsidR="005604F0" w:rsidRPr="005604F0" w:rsidRDefault="005604F0" w:rsidP="005604F0">
            <w:pPr>
              <w:pStyle w:val="CETBodytext"/>
              <w:cnfStyle w:val="100000000000" w:firstRow="1" w:lastRow="0" w:firstColumn="0" w:lastColumn="0" w:oddVBand="0" w:evenVBand="0" w:oddHBand="0" w:evenHBand="0" w:firstRowFirstColumn="0" w:firstRowLastColumn="0" w:lastRowFirstColumn="0" w:lastRowLastColumn="0"/>
              <w:rPr>
                <w:b w:val="0"/>
              </w:rPr>
            </w:pPr>
            <w:r w:rsidRPr="005604F0">
              <w:rPr>
                <w:b w:val="0"/>
              </w:rPr>
              <w:t>Accession Number</w:t>
            </w:r>
          </w:p>
        </w:tc>
        <w:tc>
          <w:tcPr>
            <w:tcW w:w="1888" w:type="dxa"/>
            <w:vMerge w:val="restart"/>
            <w:tcBorders>
              <w:top w:val="single" w:sz="12" w:space="0" w:color="9BBB59" w:themeColor="accent3"/>
            </w:tcBorders>
            <w:hideMark/>
          </w:tcPr>
          <w:p w14:paraId="7F823F7A" w14:textId="77777777" w:rsidR="005604F0" w:rsidRPr="005604F0" w:rsidRDefault="005604F0" w:rsidP="005604F0">
            <w:pPr>
              <w:pStyle w:val="CETBodytext"/>
              <w:cnfStyle w:val="100000000000" w:firstRow="1" w:lastRow="0" w:firstColumn="0" w:lastColumn="0" w:oddVBand="0" w:evenVBand="0" w:oddHBand="0" w:evenHBand="0" w:firstRowFirstColumn="0" w:firstRowLastColumn="0" w:lastRowFirstColumn="0" w:lastRowLastColumn="0"/>
              <w:rPr>
                <w:b w:val="0"/>
              </w:rPr>
            </w:pPr>
            <w:r w:rsidRPr="005604F0">
              <w:rPr>
                <w:b w:val="0"/>
              </w:rPr>
              <w:t>Genus and Species</w:t>
            </w:r>
          </w:p>
        </w:tc>
        <w:tc>
          <w:tcPr>
            <w:tcW w:w="1017" w:type="dxa"/>
            <w:gridSpan w:val="2"/>
            <w:tcBorders>
              <w:top w:val="single" w:sz="12" w:space="0" w:color="9BBB59" w:themeColor="accent3"/>
            </w:tcBorders>
            <w:noWrap/>
            <w:hideMark/>
          </w:tcPr>
          <w:p w14:paraId="42CA2FCB" w14:textId="77777777" w:rsidR="005604F0" w:rsidRPr="005604F0" w:rsidRDefault="005604F0" w:rsidP="005604F0">
            <w:pPr>
              <w:pStyle w:val="CETBodytext"/>
              <w:cnfStyle w:val="100000000000" w:firstRow="1" w:lastRow="0" w:firstColumn="0" w:lastColumn="0" w:oddVBand="0" w:evenVBand="0" w:oddHBand="0" w:evenHBand="0" w:firstRowFirstColumn="0" w:firstRowLastColumn="0" w:lastRowFirstColumn="0" w:lastRowLastColumn="0"/>
              <w:rPr>
                <w:b w:val="0"/>
              </w:rPr>
            </w:pPr>
            <w:r w:rsidRPr="005604F0">
              <w:rPr>
                <w:b w:val="0"/>
              </w:rPr>
              <w:t>Genes Presence</w:t>
            </w:r>
          </w:p>
        </w:tc>
      </w:tr>
      <w:tr w:rsidR="005604F0" w:rsidRPr="00070E90" w14:paraId="4C2E5E2C" w14:textId="77777777" w:rsidTr="005604F0">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608" w:type="dxa"/>
            <w:vMerge/>
            <w:tcBorders>
              <w:bottom w:val="single" w:sz="4" w:space="0" w:color="9BBB59" w:themeColor="accent3"/>
            </w:tcBorders>
            <w:hideMark/>
          </w:tcPr>
          <w:p w14:paraId="2D5A3ADB" w14:textId="77777777" w:rsidR="005604F0" w:rsidRPr="005604F0" w:rsidRDefault="005604F0" w:rsidP="005604F0">
            <w:pPr>
              <w:pStyle w:val="CETBodytext"/>
              <w:rPr>
                <w:b w:val="0"/>
              </w:rPr>
            </w:pPr>
          </w:p>
        </w:tc>
        <w:tc>
          <w:tcPr>
            <w:tcW w:w="903" w:type="dxa"/>
            <w:vMerge/>
            <w:tcBorders>
              <w:bottom w:val="single" w:sz="4" w:space="0" w:color="9BBB59" w:themeColor="accent3"/>
            </w:tcBorders>
            <w:hideMark/>
          </w:tcPr>
          <w:p w14:paraId="7990A0C6" w14:textId="77777777" w:rsidR="005604F0" w:rsidRPr="005604F0" w:rsidRDefault="005604F0" w:rsidP="005604F0">
            <w:pPr>
              <w:pStyle w:val="CETBodytext"/>
              <w:cnfStyle w:val="000000100000" w:firstRow="0" w:lastRow="0" w:firstColumn="0" w:lastColumn="0" w:oddVBand="0" w:evenVBand="0" w:oddHBand="1" w:evenHBand="0" w:firstRowFirstColumn="0" w:firstRowLastColumn="0" w:lastRowFirstColumn="0" w:lastRowLastColumn="0"/>
            </w:pPr>
          </w:p>
        </w:tc>
        <w:tc>
          <w:tcPr>
            <w:tcW w:w="1327" w:type="dxa"/>
            <w:vMerge/>
            <w:tcBorders>
              <w:bottom w:val="single" w:sz="4" w:space="0" w:color="9BBB59" w:themeColor="accent3"/>
            </w:tcBorders>
            <w:hideMark/>
          </w:tcPr>
          <w:p w14:paraId="3C74B521" w14:textId="77777777" w:rsidR="005604F0" w:rsidRPr="005604F0" w:rsidRDefault="005604F0" w:rsidP="005604F0">
            <w:pPr>
              <w:pStyle w:val="CETBodytext"/>
              <w:cnfStyle w:val="000000100000" w:firstRow="0" w:lastRow="0" w:firstColumn="0" w:lastColumn="0" w:oddVBand="0" w:evenVBand="0" w:oddHBand="1" w:evenHBand="0" w:firstRowFirstColumn="0" w:firstRowLastColumn="0" w:lastRowFirstColumn="0" w:lastRowLastColumn="0"/>
            </w:pPr>
          </w:p>
        </w:tc>
        <w:tc>
          <w:tcPr>
            <w:tcW w:w="1888" w:type="dxa"/>
            <w:vMerge/>
            <w:tcBorders>
              <w:bottom w:val="single" w:sz="4" w:space="0" w:color="9BBB59" w:themeColor="accent3"/>
            </w:tcBorders>
            <w:hideMark/>
          </w:tcPr>
          <w:p w14:paraId="64558DB9" w14:textId="77777777" w:rsidR="005604F0" w:rsidRPr="005604F0" w:rsidRDefault="005604F0" w:rsidP="005604F0">
            <w:pPr>
              <w:pStyle w:val="CETBodytext"/>
              <w:cnfStyle w:val="000000100000" w:firstRow="0" w:lastRow="0" w:firstColumn="0" w:lastColumn="0" w:oddVBand="0" w:evenVBand="0" w:oddHBand="1" w:evenHBand="0" w:firstRowFirstColumn="0" w:firstRowLastColumn="0" w:lastRowFirstColumn="0" w:lastRowLastColumn="0"/>
            </w:pPr>
          </w:p>
        </w:tc>
        <w:tc>
          <w:tcPr>
            <w:tcW w:w="488" w:type="dxa"/>
            <w:tcBorders>
              <w:top w:val="single" w:sz="4" w:space="0" w:color="9BBB59" w:themeColor="accent3"/>
              <w:bottom w:val="single" w:sz="4" w:space="0" w:color="9BBB59" w:themeColor="accent3"/>
            </w:tcBorders>
            <w:noWrap/>
            <w:hideMark/>
          </w:tcPr>
          <w:p w14:paraId="412AF123" w14:textId="77777777" w:rsidR="005604F0" w:rsidRPr="005604F0" w:rsidRDefault="005604F0" w:rsidP="005604F0">
            <w:pPr>
              <w:pStyle w:val="CETBodytext"/>
              <w:cnfStyle w:val="000000100000" w:firstRow="0" w:lastRow="0" w:firstColumn="0" w:lastColumn="0" w:oddVBand="0" w:evenVBand="0" w:oddHBand="1" w:evenHBand="0" w:firstRowFirstColumn="0" w:firstRowLastColumn="0" w:lastRowFirstColumn="0" w:lastRowLastColumn="0"/>
            </w:pPr>
            <w:r w:rsidRPr="005604F0">
              <w:t>ars</w:t>
            </w:r>
          </w:p>
        </w:tc>
        <w:tc>
          <w:tcPr>
            <w:tcW w:w="529" w:type="dxa"/>
            <w:tcBorders>
              <w:top w:val="single" w:sz="4" w:space="0" w:color="9BBB59" w:themeColor="accent3"/>
              <w:bottom w:val="single" w:sz="4" w:space="0" w:color="9BBB59" w:themeColor="accent3"/>
            </w:tcBorders>
            <w:noWrap/>
            <w:hideMark/>
          </w:tcPr>
          <w:p w14:paraId="27719A04" w14:textId="77777777" w:rsidR="005604F0" w:rsidRPr="005604F0" w:rsidRDefault="005604F0" w:rsidP="005604F0">
            <w:pPr>
              <w:pStyle w:val="CETBodytext"/>
              <w:cnfStyle w:val="000000100000" w:firstRow="0" w:lastRow="0" w:firstColumn="0" w:lastColumn="0" w:oddVBand="0" w:evenVBand="0" w:oddHBand="1" w:evenHBand="0" w:firstRowFirstColumn="0" w:firstRowLastColumn="0" w:lastRowFirstColumn="0" w:lastRowLastColumn="0"/>
            </w:pPr>
            <w:r w:rsidRPr="005604F0">
              <w:t>aox</w:t>
            </w:r>
          </w:p>
        </w:tc>
      </w:tr>
      <w:tr w:rsidR="005604F0" w:rsidRPr="00070E90" w14:paraId="3E4F398A" w14:textId="77777777" w:rsidTr="005604F0">
        <w:trPr>
          <w:trHeight w:val="499"/>
        </w:trPr>
        <w:tc>
          <w:tcPr>
            <w:cnfStyle w:val="001000000000" w:firstRow="0" w:lastRow="0" w:firstColumn="1" w:lastColumn="0" w:oddVBand="0" w:evenVBand="0" w:oddHBand="0" w:evenHBand="0" w:firstRowFirstColumn="0" w:firstRowLastColumn="0" w:lastRowFirstColumn="0" w:lastRowLastColumn="0"/>
            <w:tcW w:w="608" w:type="dxa"/>
            <w:tcBorders>
              <w:top w:val="single" w:sz="4" w:space="0" w:color="9BBB59" w:themeColor="accent3"/>
              <w:bottom w:val="single" w:sz="4" w:space="0" w:color="9BBB59" w:themeColor="accent3"/>
            </w:tcBorders>
            <w:noWrap/>
            <w:hideMark/>
          </w:tcPr>
          <w:p w14:paraId="29DFAC35" w14:textId="77777777" w:rsidR="005604F0" w:rsidRPr="005604F0" w:rsidRDefault="005604F0" w:rsidP="005604F0">
            <w:pPr>
              <w:pStyle w:val="CETBodytext"/>
              <w:rPr>
                <w:b w:val="0"/>
              </w:rPr>
            </w:pPr>
            <w:r w:rsidRPr="005604F0">
              <w:rPr>
                <w:b w:val="0"/>
              </w:rPr>
              <w:t>A1</w:t>
            </w:r>
          </w:p>
        </w:tc>
        <w:tc>
          <w:tcPr>
            <w:tcW w:w="903" w:type="dxa"/>
            <w:tcBorders>
              <w:top w:val="single" w:sz="4" w:space="0" w:color="9BBB59" w:themeColor="accent3"/>
              <w:bottom w:val="single" w:sz="4" w:space="0" w:color="9BBB59" w:themeColor="accent3"/>
            </w:tcBorders>
            <w:noWrap/>
            <w:hideMark/>
          </w:tcPr>
          <w:p w14:paraId="04DE2827" w14:textId="77777777" w:rsidR="005604F0" w:rsidRPr="005604F0" w:rsidRDefault="005604F0" w:rsidP="005604F0">
            <w:pPr>
              <w:pStyle w:val="CETBodytext"/>
              <w:cnfStyle w:val="000000000000" w:firstRow="0" w:lastRow="0" w:firstColumn="0" w:lastColumn="0" w:oddVBand="0" w:evenVBand="0" w:oddHBand="0" w:evenHBand="0" w:firstRowFirstColumn="0" w:firstRowLastColumn="0" w:lastRowFirstColumn="0" w:lastRowLastColumn="0"/>
            </w:pPr>
            <w:r w:rsidRPr="005604F0">
              <w:t>99%</w:t>
            </w:r>
          </w:p>
        </w:tc>
        <w:tc>
          <w:tcPr>
            <w:tcW w:w="1327" w:type="dxa"/>
            <w:tcBorders>
              <w:top w:val="single" w:sz="4" w:space="0" w:color="9BBB59" w:themeColor="accent3"/>
              <w:bottom w:val="single" w:sz="4" w:space="0" w:color="9BBB59" w:themeColor="accent3"/>
            </w:tcBorders>
            <w:noWrap/>
            <w:hideMark/>
          </w:tcPr>
          <w:p w14:paraId="59B70ACD" w14:textId="77777777" w:rsidR="005604F0" w:rsidRPr="005604F0" w:rsidRDefault="005604F0" w:rsidP="005604F0">
            <w:pPr>
              <w:pStyle w:val="CETBodytext"/>
              <w:cnfStyle w:val="000000000000" w:firstRow="0" w:lastRow="0" w:firstColumn="0" w:lastColumn="0" w:oddVBand="0" w:evenVBand="0" w:oddHBand="0" w:evenHBand="0" w:firstRowFirstColumn="0" w:firstRowLastColumn="0" w:lastRowFirstColumn="0" w:lastRowLastColumn="0"/>
            </w:pPr>
            <w:r w:rsidRPr="005604F0">
              <w:t>NR_025730.1</w:t>
            </w:r>
          </w:p>
        </w:tc>
        <w:tc>
          <w:tcPr>
            <w:tcW w:w="1888" w:type="dxa"/>
            <w:tcBorders>
              <w:top w:val="single" w:sz="4" w:space="0" w:color="9BBB59" w:themeColor="accent3"/>
              <w:bottom w:val="single" w:sz="4" w:space="0" w:color="9BBB59" w:themeColor="accent3"/>
            </w:tcBorders>
            <w:noWrap/>
            <w:hideMark/>
          </w:tcPr>
          <w:p w14:paraId="5E2641DF" w14:textId="77777777" w:rsidR="005604F0" w:rsidRPr="005604F0" w:rsidRDefault="005604F0" w:rsidP="005604F0">
            <w:pPr>
              <w:pStyle w:val="CETBodytext"/>
              <w:cnfStyle w:val="000000000000" w:firstRow="0" w:lastRow="0" w:firstColumn="0" w:lastColumn="0" w:oddVBand="0" w:evenVBand="0" w:oddHBand="0" w:evenHBand="0" w:firstRowFirstColumn="0" w:firstRowLastColumn="0" w:lastRowFirstColumn="0" w:lastRowLastColumn="0"/>
            </w:pPr>
            <w:r w:rsidRPr="005604F0">
              <w:t>Rhodococcus gordoniae</w:t>
            </w:r>
          </w:p>
          <w:p w14:paraId="7CB9FB53" w14:textId="77777777" w:rsidR="005604F0" w:rsidRPr="005604F0" w:rsidRDefault="005604F0" w:rsidP="005604F0">
            <w:pPr>
              <w:pStyle w:val="CETBodytext"/>
              <w:cnfStyle w:val="000000000000" w:firstRow="0" w:lastRow="0" w:firstColumn="0" w:lastColumn="0" w:oddVBand="0" w:evenVBand="0" w:oddHBand="0" w:evenHBand="0" w:firstRowFirstColumn="0" w:firstRowLastColumn="0" w:lastRowFirstColumn="0" w:lastRowLastColumn="0"/>
            </w:pPr>
          </w:p>
        </w:tc>
        <w:tc>
          <w:tcPr>
            <w:tcW w:w="488" w:type="dxa"/>
            <w:tcBorders>
              <w:top w:val="single" w:sz="4" w:space="0" w:color="9BBB59" w:themeColor="accent3"/>
              <w:bottom w:val="single" w:sz="4" w:space="0" w:color="9BBB59" w:themeColor="accent3"/>
            </w:tcBorders>
            <w:noWrap/>
            <w:hideMark/>
          </w:tcPr>
          <w:p w14:paraId="05EB8DE6" w14:textId="77777777" w:rsidR="005604F0" w:rsidRPr="005604F0" w:rsidRDefault="005604F0" w:rsidP="005604F0">
            <w:pPr>
              <w:pStyle w:val="CETBodytext"/>
              <w:cnfStyle w:val="000000000000" w:firstRow="0" w:lastRow="0" w:firstColumn="0" w:lastColumn="0" w:oddVBand="0" w:evenVBand="0" w:oddHBand="0" w:evenHBand="0" w:firstRowFirstColumn="0" w:firstRowLastColumn="0" w:lastRowFirstColumn="0" w:lastRowLastColumn="0"/>
            </w:pPr>
            <w:r w:rsidRPr="005604F0">
              <w:t>-</w:t>
            </w:r>
          </w:p>
        </w:tc>
        <w:tc>
          <w:tcPr>
            <w:tcW w:w="529" w:type="dxa"/>
            <w:tcBorders>
              <w:top w:val="single" w:sz="4" w:space="0" w:color="9BBB59" w:themeColor="accent3"/>
              <w:bottom w:val="single" w:sz="4" w:space="0" w:color="9BBB59" w:themeColor="accent3"/>
            </w:tcBorders>
            <w:noWrap/>
            <w:hideMark/>
          </w:tcPr>
          <w:p w14:paraId="38AF7604" w14:textId="77777777" w:rsidR="005604F0" w:rsidRPr="005604F0" w:rsidRDefault="005604F0" w:rsidP="005604F0">
            <w:pPr>
              <w:pStyle w:val="CETBodytext"/>
              <w:cnfStyle w:val="000000000000" w:firstRow="0" w:lastRow="0" w:firstColumn="0" w:lastColumn="0" w:oddVBand="0" w:evenVBand="0" w:oddHBand="0" w:evenHBand="0" w:firstRowFirstColumn="0" w:firstRowLastColumn="0" w:lastRowFirstColumn="0" w:lastRowLastColumn="0"/>
            </w:pPr>
            <w:r w:rsidRPr="005604F0">
              <w:t>-</w:t>
            </w:r>
          </w:p>
        </w:tc>
      </w:tr>
      <w:tr w:rsidR="005604F0" w:rsidRPr="00070E90" w14:paraId="7C67D7CB" w14:textId="77777777" w:rsidTr="005604F0">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608" w:type="dxa"/>
            <w:tcBorders>
              <w:top w:val="single" w:sz="4" w:space="0" w:color="9BBB59" w:themeColor="accent3"/>
              <w:bottom w:val="single" w:sz="12" w:space="0" w:color="9BBB59" w:themeColor="accent3"/>
            </w:tcBorders>
            <w:noWrap/>
          </w:tcPr>
          <w:p w14:paraId="005F44EB" w14:textId="77777777" w:rsidR="005604F0" w:rsidRPr="005604F0" w:rsidRDefault="005604F0" w:rsidP="005604F0">
            <w:pPr>
              <w:pStyle w:val="CETBodytext"/>
              <w:rPr>
                <w:b w:val="0"/>
              </w:rPr>
            </w:pPr>
            <w:r w:rsidRPr="005604F0">
              <w:rPr>
                <w:b w:val="0"/>
              </w:rPr>
              <w:t>B13</w:t>
            </w:r>
          </w:p>
        </w:tc>
        <w:tc>
          <w:tcPr>
            <w:tcW w:w="903" w:type="dxa"/>
            <w:tcBorders>
              <w:top w:val="single" w:sz="4" w:space="0" w:color="9BBB59" w:themeColor="accent3"/>
              <w:bottom w:val="single" w:sz="12" w:space="0" w:color="9BBB59" w:themeColor="accent3"/>
            </w:tcBorders>
            <w:noWrap/>
          </w:tcPr>
          <w:p w14:paraId="61E3A06B" w14:textId="77777777" w:rsidR="005604F0" w:rsidRPr="005604F0" w:rsidRDefault="005604F0" w:rsidP="005604F0">
            <w:pPr>
              <w:pStyle w:val="CETBodytext"/>
              <w:cnfStyle w:val="000000100000" w:firstRow="0" w:lastRow="0" w:firstColumn="0" w:lastColumn="0" w:oddVBand="0" w:evenVBand="0" w:oddHBand="1" w:evenHBand="0" w:firstRowFirstColumn="0" w:firstRowLastColumn="0" w:lastRowFirstColumn="0" w:lastRowLastColumn="0"/>
            </w:pPr>
            <w:r w:rsidRPr="005604F0">
              <w:t>99%</w:t>
            </w:r>
          </w:p>
        </w:tc>
        <w:tc>
          <w:tcPr>
            <w:tcW w:w="1327" w:type="dxa"/>
            <w:tcBorders>
              <w:top w:val="single" w:sz="4" w:space="0" w:color="9BBB59" w:themeColor="accent3"/>
              <w:bottom w:val="single" w:sz="12" w:space="0" w:color="9BBB59" w:themeColor="accent3"/>
            </w:tcBorders>
            <w:noWrap/>
          </w:tcPr>
          <w:p w14:paraId="748E19C9" w14:textId="77777777" w:rsidR="005604F0" w:rsidRPr="005604F0" w:rsidRDefault="005604F0" w:rsidP="005604F0">
            <w:pPr>
              <w:pStyle w:val="CETBodytext"/>
              <w:cnfStyle w:val="000000100000" w:firstRow="0" w:lastRow="0" w:firstColumn="0" w:lastColumn="0" w:oddVBand="0" w:evenVBand="0" w:oddHBand="1" w:evenHBand="0" w:firstRowFirstColumn="0" w:firstRowLastColumn="0" w:lastRowFirstColumn="0" w:lastRowLastColumn="0"/>
            </w:pPr>
            <w:r w:rsidRPr="005604F0">
              <w:t>NR_042263.1</w:t>
            </w:r>
          </w:p>
        </w:tc>
        <w:tc>
          <w:tcPr>
            <w:tcW w:w="1888" w:type="dxa"/>
            <w:tcBorders>
              <w:top w:val="single" w:sz="4" w:space="0" w:color="9BBB59" w:themeColor="accent3"/>
              <w:bottom w:val="single" w:sz="12" w:space="0" w:color="9BBB59" w:themeColor="accent3"/>
            </w:tcBorders>
            <w:noWrap/>
          </w:tcPr>
          <w:p w14:paraId="0A803859" w14:textId="77777777" w:rsidR="005604F0" w:rsidRPr="005604F0" w:rsidRDefault="005604F0" w:rsidP="005604F0">
            <w:pPr>
              <w:pStyle w:val="CETBodytext"/>
              <w:cnfStyle w:val="000000100000" w:firstRow="0" w:lastRow="0" w:firstColumn="0" w:lastColumn="0" w:oddVBand="0" w:evenVBand="0" w:oddHBand="1" w:evenHBand="0" w:firstRowFirstColumn="0" w:firstRowLastColumn="0" w:lastRowFirstColumn="0" w:lastRowLastColumn="0"/>
            </w:pPr>
            <w:r w:rsidRPr="005604F0">
              <w:t>Microbacterium hydrocarbonoxydans</w:t>
            </w:r>
          </w:p>
        </w:tc>
        <w:tc>
          <w:tcPr>
            <w:tcW w:w="488" w:type="dxa"/>
            <w:tcBorders>
              <w:top w:val="single" w:sz="4" w:space="0" w:color="9BBB59" w:themeColor="accent3"/>
              <w:bottom w:val="single" w:sz="12" w:space="0" w:color="9BBB59" w:themeColor="accent3"/>
            </w:tcBorders>
            <w:noWrap/>
          </w:tcPr>
          <w:p w14:paraId="73FE596A" w14:textId="77777777" w:rsidR="005604F0" w:rsidRPr="005604F0" w:rsidRDefault="005604F0" w:rsidP="005604F0">
            <w:pPr>
              <w:pStyle w:val="CETBodytext"/>
              <w:cnfStyle w:val="000000100000" w:firstRow="0" w:lastRow="0" w:firstColumn="0" w:lastColumn="0" w:oddVBand="0" w:evenVBand="0" w:oddHBand="1" w:evenHBand="0" w:firstRowFirstColumn="0" w:firstRowLastColumn="0" w:lastRowFirstColumn="0" w:lastRowLastColumn="0"/>
            </w:pPr>
            <w:r w:rsidRPr="005604F0">
              <w:t>-</w:t>
            </w:r>
          </w:p>
        </w:tc>
        <w:tc>
          <w:tcPr>
            <w:tcW w:w="529" w:type="dxa"/>
            <w:tcBorders>
              <w:top w:val="single" w:sz="4" w:space="0" w:color="9BBB59" w:themeColor="accent3"/>
              <w:bottom w:val="single" w:sz="12" w:space="0" w:color="9BBB59" w:themeColor="accent3"/>
            </w:tcBorders>
            <w:noWrap/>
          </w:tcPr>
          <w:p w14:paraId="7FB9225A" w14:textId="77777777" w:rsidR="005604F0" w:rsidRPr="005604F0" w:rsidRDefault="005604F0" w:rsidP="005604F0">
            <w:pPr>
              <w:pStyle w:val="CETBodytext"/>
              <w:cnfStyle w:val="000000100000" w:firstRow="0" w:lastRow="0" w:firstColumn="0" w:lastColumn="0" w:oddVBand="0" w:evenVBand="0" w:oddHBand="1" w:evenHBand="0" w:firstRowFirstColumn="0" w:firstRowLastColumn="0" w:lastRowFirstColumn="0" w:lastRowLastColumn="0"/>
            </w:pPr>
            <w:r w:rsidRPr="005604F0">
              <w:t>-</w:t>
            </w:r>
          </w:p>
        </w:tc>
      </w:tr>
    </w:tbl>
    <w:p w14:paraId="451FA9DF" w14:textId="777B4AB0" w:rsidR="00F13E05" w:rsidRPr="00F13E05" w:rsidRDefault="00F13E05" w:rsidP="00F13E05">
      <w:pPr>
        <w:pStyle w:val="Default"/>
        <w:spacing w:line="276" w:lineRule="auto"/>
        <w:rPr>
          <w:rFonts w:ascii="Arial" w:hAnsi="Arial" w:cs="Arial"/>
          <w:sz w:val="18"/>
          <w:szCs w:val="18"/>
          <w:lang w:val="en-US"/>
        </w:rPr>
      </w:pPr>
    </w:p>
    <w:p w14:paraId="6AC498EA" w14:textId="77777777" w:rsidR="00F13E05" w:rsidRPr="00F13E05" w:rsidRDefault="00F13E05" w:rsidP="00F13E05">
      <w:pPr>
        <w:pStyle w:val="Default"/>
        <w:spacing w:line="276" w:lineRule="auto"/>
        <w:jc w:val="center"/>
        <w:rPr>
          <w:rFonts w:ascii="Arial" w:hAnsi="Arial" w:cs="Arial"/>
          <w:sz w:val="18"/>
          <w:szCs w:val="18"/>
          <w:lang w:val="en-US"/>
        </w:rPr>
      </w:pPr>
    </w:p>
    <w:p w14:paraId="132B3F19" w14:textId="77777777" w:rsidR="00F13E05" w:rsidRPr="00F13E05" w:rsidRDefault="00F13E05" w:rsidP="00F13E05">
      <w:pPr>
        <w:pStyle w:val="Default"/>
        <w:spacing w:line="276" w:lineRule="auto"/>
        <w:jc w:val="center"/>
        <w:rPr>
          <w:rFonts w:ascii="Arial" w:hAnsi="Arial" w:cs="Arial"/>
          <w:sz w:val="18"/>
          <w:szCs w:val="18"/>
          <w:lang w:val="en-US"/>
        </w:rPr>
      </w:pPr>
    </w:p>
    <w:p w14:paraId="7D205FBF" w14:textId="77777777" w:rsidR="00F13E05" w:rsidRPr="00F13E05" w:rsidRDefault="00F13E05" w:rsidP="00F13E05">
      <w:pPr>
        <w:pStyle w:val="Default"/>
        <w:spacing w:line="276" w:lineRule="auto"/>
        <w:jc w:val="center"/>
        <w:rPr>
          <w:rFonts w:ascii="Arial" w:hAnsi="Arial" w:cs="Arial"/>
          <w:sz w:val="18"/>
          <w:szCs w:val="18"/>
          <w:lang w:val="en-US"/>
        </w:rPr>
      </w:pPr>
    </w:p>
    <w:p w14:paraId="5E060F08" w14:textId="77777777" w:rsidR="00F13E05" w:rsidRPr="00F13E05" w:rsidRDefault="00F13E05" w:rsidP="00F13E05">
      <w:pPr>
        <w:pStyle w:val="Default"/>
        <w:spacing w:line="276" w:lineRule="auto"/>
        <w:jc w:val="center"/>
        <w:rPr>
          <w:rFonts w:ascii="Arial" w:hAnsi="Arial" w:cs="Arial"/>
          <w:sz w:val="18"/>
          <w:szCs w:val="18"/>
          <w:lang w:val="en-US"/>
        </w:rPr>
      </w:pPr>
    </w:p>
    <w:p w14:paraId="297B8E6F" w14:textId="77777777" w:rsidR="00F13E05" w:rsidRPr="00F13E05" w:rsidRDefault="00F13E05" w:rsidP="00F13E05">
      <w:pPr>
        <w:pStyle w:val="Default"/>
        <w:spacing w:line="276" w:lineRule="auto"/>
        <w:jc w:val="center"/>
        <w:rPr>
          <w:rFonts w:ascii="Arial" w:hAnsi="Arial" w:cs="Arial"/>
          <w:sz w:val="18"/>
          <w:szCs w:val="18"/>
          <w:lang w:val="en-US"/>
        </w:rPr>
      </w:pPr>
    </w:p>
    <w:p w14:paraId="0413FAB7" w14:textId="77777777" w:rsidR="00F13E05" w:rsidRPr="00F13E05" w:rsidRDefault="00F13E05" w:rsidP="00F13E05">
      <w:pPr>
        <w:pStyle w:val="Default"/>
        <w:spacing w:line="276" w:lineRule="auto"/>
        <w:jc w:val="center"/>
        <w:rPr>
          <w:rFonts w:ascii="Arial" w:hAnsi="Arial" w:cs="Arial"/>
          <w:sz w:val="18"/>
          <w:szCs w:val="18"/>
          <w:lang w:val="en-US"/>
        </w:rPr>
      </w:pPr>
    </w:p>
    <w:p w14:paraId="0D85EF69" w14:textId="77777777" w:rsidR="00F13E05" w:rsidRPr="00F13E05" w:rsidRDefault="00F13E05" w:rsidP="00F13E05">
      <w:pPr>
        <w:pStyle w:val="Default"/>
        <w:spacing w:line="276" w:lineRule="auto"/>
        <w:jc w:val="center"/>
        <w:rPr>
          <w:rFonts w:ascii="Arial" w:hAnsi="Arial" w:cs="Arial"/>
          <w:sz w:val="18"/>
          <w:szCs w:val="18"/>
          <w:lang w:val="en-US"/>
        </w:rPr>
      </w:pPr>
    </w:p>
    <w:p w14:paraId="663E5A12" w14:textId="77777777" w:rsidR="00F13E05" w:rsidRPr="00F13E05" w:rsidRDefault="00F13E05" w:rsidP="00F13E05">
      <w:pPr>
        <w:pStyle w:val="Default"/>
        <w:spacing w:line="276" w:lineRule="auto"/>
        <w:jc w:val="center"/>
        <w:rPr>
          <w:rFonts w:ascii="Arial" w:hAnsi="Arial" w:cs="Arial"/>
          <w:sz w:val="18"/>
          <w:szCs w:val="18"/>
          <w:lang w:val="en-US"/>
        </w:rPr>
      </w:pPr>
    </w:p>
    <w:p w14:paraId="6A10E7CA" w14:textId="6C4EB6E9" w:rsidR="009033E2" w:rsidRPr="00A607B7" w:rsidRDefault="00600535" w:rsidP="00600535">
      <w:pPr>
        <w:pStyle w:val="CETHeading1"/>
        <w:rPr>
          <w:lang w:val="en-GB"/>
        </w:rPr>
      </w:pPr>
      <w:r w:rsidRPr="00B57B36">
        <w:rPr>
          <w:lang w:val="en-GB"/>
        </w:rPr>
        <w:t>Conclusions</w:t>
      </w:r>
    </w:p>
    <w:p w14:paraId="57B05AED" w14:textId="68EDE789" w:rsidR="009033E2" w:rsidRPr="009033E2" w:rsidRDefault="0028519D" w:rsidP="009033E2">
      <w:pPr>
        <w:pStyle w:val="CETBodytext"/>
        <w:rPr>
          <w:lang w:val="en-GB"/>
        </w:rPr>
      </w:pPr>
      <w:r>
        <w:rPr>
          <w:lang w:val="en-GB"/>
        </w:rPr>
        <w:tab/>
      </w:r>
      <w:r w:rsidR="009033E2" w:rsidRPr="009033E2">
        <w:rPr>
          <w:lang w:val="en-GB"/>
        </w:rPr>
        <w:t>In this study it has been possible to report bac</w:t>
      </w:r>
      <w:r w:rsidR="00D15D00">
        <w:rPr>
          <w:lang w:val="en-GB"/>
        </w:rPr>
        <w:t>terial species resistant to As:</w:t>
      </w:r>
      <w:r w:rsidR="009033E2">
        <w:rPr>
          <w:lang w:val="en-GB"/>
        </w:rPr>
        <w:t xml:space="preserve"> </w:t>
      </w:r>
      <w:r w:rsidR="009033E2" w:rsidRPr="00B85C5F">
        <w:rPr>
          <w:i/>
        </w:rPr>
        <w:t>M</w:t>
      </w:r>
      <w:r w:rsidR="009033E2" w:rsidRPr="00684DB4">
        <w:t>icrobacterium hydrocarbonoxydans</w:t>
      </w:r>
      <w:r w:rsidR="009033E2" w:rsidRPr="00684DB4">
        <w:rPr>
          <w:lang w:val="en-GB"/>
        </w:rPr>
        <w:t xml:space="preserve"> and Rhodococcus gordoniae</w:t>
      </w:r>
      <w:r w:rsidR="009033E2">
        <w:rPr>
          <w:i/>
          <w:lang w:val="en-GB"/>
        </w:rPr>
        <w:t xml:space="preserve">, </w:t>
      </w:r>
      <w:r w:rsidR="009033E2">
        <w:rPr>
          <w:lang w:val="en-GB"/>
        </w:rPr>
        <w:t>ich one resist until 20mM of arsenic salts As(III) and As(V) respectively.</w:t>
      </w:r>
    </w:p>
    <w:p w14:paraId="239D176E" w14:textId="7E69554C" w:rsidR="009033E2" w:rsidRPr="00684DB4" w:rsidRDefault="004B1D26" w:rsidP="009033E2">
      <w:pPr>
        <w:pStyle w:val="CETBodytext"/>
        <w:rPr>
          <w:lang w:val="en-GB"/>
        </w:rPr>
      </w:pPr>
      <w:r>
        <w:rPr>
          <w:lang w:val="en-GB"/>
        </w:rPr>
        <w:t>T</w:t>
      </w:r>
      <w:r w:rsidR="00AA2581">
        <w:rPr>
          <w:lang w:val="en-GB"/>
        </w:rPr>
        <w:t xml:space="preserve">he colorimetric test with </w:t>
      </w:r>
      <w:r w:rsidR="00AA2581" w:rsidRPr="002C35C6">
        <w:rPr>
          <w:rFonts w:cs="Arial"/>
          <w:szCs w:val="18"/>
        </w:rPr>
        <w:t>KMnO</w:t>
      </w:r>
      <w:r w:rsidR="00AA2581" w:rsidRPr="002C35C6">
        <w:rPr>
          <w:rFonts w:cs="Arial"/>
          <w:szCs w:val="18"/>
          <w:vertAlign w:val="subscript"/>
        </w:rPr>
        <w:t>4</w:t>
      </w:r>
      <w:r w:rsidR="00AA2581">
        <w:rPr>
          <w:rFonts w:cs="Arial"/>
          <w:szCs w:val="18"/>
          <w:vertAlign w:val="subscript"/>
        </w:rPr>
        <w:t xml:space="preserve"> </w:t>
      </w:r>
      <w:r w:rsidR="006E6BBD">
        <w:rPr>
          <w:rFonts w:cs="Arial"/>
          <w:szCs w:val="18"/>
        </w:rPr>
        <w:t>it was positive for these</w:t>
      </w:r>
      <w:r w:rsidR="00AA2581">
        <w:rPr>
          <w:rFonts w:cs="Arial"/>
          <w:szCs w:val="18"/>
        </w:rPr>
        <w:t xml:space="preserve"> strain</w:t>
      </w:r>
      <w:r w:rsidR="006E6BBD">
        <w:rPr>
          <w:rFonts w:cs="Arial"/>
          <w:szCs w:val="18"/>
        </w:rPr>
        <w:t>s</w:t>
      </w:r>
      <w:r w:rsidR="006E6BBD" w:rsidRPr="00807E1F">
        <w:t>.</w:t>
      </w:r>
      <w:r w:rsidR="00AA2581" w:rsidRPr="00807E1F">
        <w:t xml:space="preserve"> Nevertheless</w:t>
      </w:r>
      <w:r w:rsidR="00624005" w:rsidRPr="00807E1F">
        <w:t>,</w:t>
      </w:r>
      <w:r w:rsidR="00624005" w:rsidRPr="00807E1F">
        <w:rPr>
          <w:lang w:val="en-GB"/>
        </w:rPr>
        <w:t xml:space="preserve"> the ars and aox genes were not</w:t>
      </w:r>
      <w:r w:rsidR="006E6BBD" w:rsidRPr="00807E1F">
        <w:rPr>
          <w:lang w:val="en-GB"/>
        </w:rPr>
        <w:t xml:space="preserve"> detected through</w:t>
      </w:r>
      <w:r w:rsidR="00AA2581" w:rsidRPr="00807E1F">
        <w:rPr>
          <w:lang w:val="en-GB"/>
        </w:rPr>
        <w:t xml:space="preserve"> PCR test</w:t>
      </w:r>
      <w:r w:rsidR="00624005" w:rsidRPr="00807E1F">
        <w:rPr>
          <w:lang w:val="en-GB"/>
        </w:rPr>
        <w:t xml:space="preserve"> in these microorganisms</w:t>
      </w:r>
      <w:r w:rsidR="00AA2581" w:rsidRPr="00807E1F">
        <w:rPr>
          <w:lang w:val="en-GB"/>
        </w:rPr>
        <w:t>.</w:t>
      </w:r>
      <w:r w:rsidR="00AA2581" w:rsidRPr="00684DB4">
        <w:rPr>
          <w:lang w:val="en-GB"/>
        </w:rPr>
        <w:t xml:space="preserve"> Therefore</w:t>
      </w:r>
      <w:r w:rsidR="00624005">
        <w:rPr>
          <w:lang w:val="en-GB"/>
        </w:rPr>
        <w:t>,</w:t>
      </w:r>
      <w:r w:rsidRPr="00684DB4">
        <w:rPr>
          <w:lang w:val="en-GB"/>
        </w:rPr>
        <w:t xml:space="preserve"> it can be deduced that their expression </w:t>
      </w:r>
      <w:r w:rsidR="009033E2" w:rsidRPr="00684DB4">
        <w:rPr>
          <w:lang w:val="en-GB"/>
        </w:rPr>
        <w:t>is not a</w:t>
      </w:r>
      <w:r w:rsidRPr="00684DB4">
        <w:rPr>
          <w:lang w:val="en-GB"/>
        </w:rPr>
        <w:t xml:space="preserve"> factor that</w:t>
      </w:r>
      <w:r w:rsidR="00624005">
        <w:rPr>
          <w:lang w:val="en-GB"/>
        </w:rPr>
        <w:t xml:space="preserve"> favors their arsenic resistant or their </w:t>
      </w:r>
      <w:r w:rsidR="009033E2" w:rsidRPr="00684DB4">
        <w:rPr>
          <w:lang w:val="en-GB"/>
        </w:rPr>
        <w:t>proliferation in en</w:t>
      </w:r>
      <w:r w:rsidRPr="00684DB4">
        <w:rPr>
          <w:lang w:val="en-GB"/>
        </w:rPr>
        <w:t>vironments contaminated with this metalloid.</w:t>
      </w:r>
      <w:r w:rsidR="00553DF1" w:rsidRPr="00684DB4">
        <w:rPr>
          <w:lang w:val="en-GB"/>
        </w:rPr>
        <w:t xml:space="preserve"> </w:t>
      </w:r>
    </w:p>
    <w:p w14:paraId="5C98AEED" w14:textId="0BB1A868" w:rsidR="009033E2" w:rsidRPr="00684DB4" w:rsidRDefault="00FA1516" w:rsidP="009033E2">
      <w:pPr>
        <w:pStyle w:val="CETBodytext"/>
        <w:rPr>
          <w:lang w:val="en-GB"/>
        </w:rPr>
      </w:pPr>
      <w:r w:rsidRPr="00684DB4">
        <w:rPr>
          <w:lang w:val="en-GB"/>
        </w:rPr>
        <w:t>Likewise in t</w:t>
      </w:r>
      <w:r w:rsidR="009033E2" w:rsidRPr="00684DB4">
        <w:rPr>
          <w:lang w:val="en-GB"/>
        </w:rPr>
        <w:t>he strain R. gordoniae, isolated in this investigation</w:t>
      </w:r>
      <w:r w:rsidR="004B1D26" w:rsidRPr="00684DB4">
        <w:rPr>
          <w:lang w:val="en-GB"/>
        </w:rPr>
        <w:t xml:space="preserve">, </w:t>
      </w:r>
      <w:r w:rsidR="008D63E9">
        <w:rPr>
          <w:lang w:val="en-GB"/>
        </w:rPr>
        <w:t>neither it</w:t>
      </w:r>
      <w:r w:rsidR="004B1D26" w:rsidRPr="00684DB4">
        <w:rPr>
          <w:lang w:val="en-GB"/>
        </w:rPr>
        <w:t xml:space="preserve"> </w:t>
      </w:r>
      <w:r w:rsidR="00BF29DD" w:rsidRPr="00684DB4">
        <w:rPr>
          <w:lang w:val="en-GB"/>
        </w:rPr>
        <w:t>detected</w:t>
      </w:r>
      <w:r w:rsidR="009033E2" w:rsidRPr="00684DB4">
        <w:rPr>
          <w:lang w:val="en-GB"/>
        </w:rPr>
        <w:t xml:space="preserve"> any of these genes mentioned,</w:t>
      </w:r>
      <w:r w:rsidRPr="00684DB4">
        <w:rPr>
          <w:lang w:val="en-GB"/>
        </w:rPr>
        <w:t>(ars and aox)</w:t>
      </w:r>
      <w:r w:rsidR="009033E2" w:rsidRPr="00684DB4">
        <w:rPr>
          <w:lang w:val="en-GB"/>
        </w:rPr>
        <w:t>.</w:t>
      </w:r>
      <w:r w:rsidR="004B1D26" w:rsidRPr="00684DB4">
        <w:rPr>
          <w:lang w:val="en-GB"/>
        </w:rPr>
        <w:t>This leads us to the hypothesis that the strain R. gordoniae could bio-absorb on the surface of the cell the species</w:t>
      </w:r>
      <w:r w:rsidR="00467595" w:rsidRPr="00684DB4">
        <w:rPr>
          <w:lang w:val="en-GB"/>
        </w:rPr>
        <w:t xml:space="preserve"> of As (V) and (III) or use it as an</w:t>
      </w:r>
      <w:r w:rsidR="004B1D26" w:rsidRPr="00684DB4">
        <w:rPr>
          <w:lang w:val="en-GB"/>
        </w:rPr>
        <w:t xml:space="preserve"> energy production. </w:t>
      </w:r>
      <w:r w:rsidR="008D63E9">
        <w:rPr>
          <w:lang w:val="en-GB"/>
        </w:rPr>
        <w:t>According with the grown kinetic of both microorganisms they are greatest arsenite oxi</w:t>
      </w:r>
      <w:r w:rsidR="00624005">
        <w:rPr>
          <w:lang w:val="en-GB"/>
        </w:rPr>
        <w:t>dizer</w:t>
      </w:r>
      <w:r w:rsidR="008D63E9">
        <w:rPr>
          <w:lang w:val="en-GB"/>
        </w:rPr>
        <w:t>. That’s means</w:t>
      </w:r>
      <w:r w:rsidR="00624005">
        <w:rPr>
          <w:lang w:val="en-GB"/>
        </w:rPr>
        <w:t xml:space="preserve"> that</w:t>
      </w:r>
      <w:r w:rsidR="008D63E9">
        <w:rPr>
          <w:lang w:val="en-GB"/>
        </w:rPr>
        <w:t xml:space="preserve"> they are great candidates for remove arsenic from water. </w:t>
      </w:r>
    </w:p>
    <w:p w14:paraId="5AC39C2C" w14:textId="3141CC20" w:rsidR="009033E2" w:rsidRPr="00684DB4" w:rsidRDefault="009033E2" w:rsidP="009033E2">
      <w:pPr>
        <w:pStyle w:val="CETBodytext"/>
        <w:rPr>
          <w:lang w:val="en-GB"/>
        </w:rPr>
      </w:pPr>
      <w:r w:rsidRPr="00684DB4">
        <w:rPr>
          <w:lang w:val="en-GB"/>
        </w:rPr>
        <w:t>The relevance of the isolation of microorganisms from contaminated s</w:t>
      </w:r>
      <w:r w:rsidR="00807E1F">
        <w:rPr>
          <w:lang w:val="en-GB"/>
        </w:rPr>
        <w:t>ites, in the case of this study in</w:t>
      </w:r>
      <w:r w:rsidRPr="00684DB4">
        <w:rPr>
          <w:lang w:val="en-GB"/>
        </w:rPr>
        <w:t xml:space="preserve"> the </w:t>
      </w:r>
      <w:r w:rsidR="00E03B51">
        <w:rPr>
          <w:lang w:val="en-GB"/>
        </w:rPr>
        <w:t xml:space="preserve">municipality of Xichú, Gto, is their potential use to remove arsenic from water in this </w:t>
      </w:r>
      <w:r w:rsidR="00807E1F">
        <w:rPr>
          <w:lang w:val="en-GB"/>
        </w:rPr>
        <w:t>area</w:t>
      </w:r>
      <w:r w:rsidR="00E03B51">
        <w:rPr>
          <w:lang w:val="en-GB"/>
        </w:rPr>
        <w:t xml:space="preserve"> with low economic resources</w:t>
      </w:r>
      <w:r w:rsidRPr="00684DB4">
        <w:rPr>
          <w:lang w:val="en-GB"/>
        </w:rPr>
        <w:t xml:space="preserve">. It has been proven that, </w:t>
      </w:r>
      <w:r w:rsidRPr="00807E1F">
        <w:rPr>
          <w:lang w:val="en-GB"/>
        </w:rPr>
        <w:t>these</w:t>
      </w:r>
      <w:r w:rsidR="00E03B51" w:rsidRPr="00807E1F">
        <w:rPr>
          <w:lang w:val="en-GB"/>
        </w:rPr>
        <w:t xml:space="preserve"> biotechnologies</w:t>
      </w:r>
      <w:r w:rsidRPr="00807E1F">
        <w:rPr>
          <w:lang w:val="en-GB"/>
        </w:rPr>
        <w:t xml:space="preserve"> could</w:t>
      </w:r>
      <w:r w:rsidRPr="00684DB4">
        <w:rPr>
          <w:lang w:val="en-GB"/>
        </w:rPr>
        <w:t xml:space="preserve"> have a lower cost than chemical and physical treatments, </w:t>
      </w:r>
      <w:r w:rsidR="00807E1F">
        <w:rPr>
          <w:lang w:val="en-GB"/>
        </w:rPr>
        <w:t xml:space="preserve">and also it </w:t>
      </w:r>
      <w:r w:rsidRPr="00684DB4">
        <w:rPr>
          <w:lang w:val="en-GB"/>
        </w:rPr>
        <w:t>could be implem</w:t>
      </w:r>
      <w:r w:rsidR="00807E1F">
        <w:rPr>
          <w:lang w:val="en-GB"/>
        </w:rPr>
        <w:t>ented in marginalized sites, they</w:t>
      </w:r>
      <w:r w:rsidRPr="00684DB4">
        <w:rPr>
          <w:lang w:val="en-GB"/>
        </w:rPr>
        <w:t xml:space="preserve"> are sustainable and</w:t>
      </w:r>
      <w:r w:rsidR="00E03B51">
        <w:rPr>
          <w:lang w:val="en-GB"/>
        </w:rPr>
        <w:t xml:space="preserve"> therefore without environmental implications</w:t>
      </w:r>
      <w:r w:rsidRPr="00684DB4">
        <w:rPr>
          <w:lang w:val="en-GB"/>
        </w:rPr>
        <w:t>.</w:t>
      </w:r>
    </w:p>
    <w:p w14:paraId="6FC6C776" w14:textId="77777777" w:rsidR="00E03B51" w:rsidRPr="00684DB4" w:rsidRDefault="00E03B51" w:rsidP="00E03B51">
      <w:pPr>
        <w:pStyle w:val="CETBodytext"/>
        <w:rPr>
          <w:lang w:val="en-GB"/>
        </w:rPr>
      </w:pPr>
      <w:r w:rsidRPr="00684DB4">
        <w:rPr>
          <w:lang w:val="en-GB"/>
        </w:rPr>
        <w:t xml:space="preserve">It’s extremely important </w:t>
      </w:r>
      <w:r w:rsidRPr="00C6588D">
        <w:rPr>
          <w:lang w:val="en-GB"/>
        </w:rPr>
        <w:t>identify the capacities of each</w:t>
      </w:r>
      <w:r w:rsidRPr="00684DB4">
        <w:rPr>
          <w:lang w:val="en-GB"/>
        </w:rPr>
        <w:t xml:space="preserve"> strain for arsenic transformation, if it want to use a biological treatment for arsenic removal.</w:t>
      </w:r>
    </w:p>
    <w:p w14:paraId="0F8076AA" w14:textId="6033AEF7" w:rsidR="009033E2" w:rsidRPr="00684DB4" w:rsidRDefault="00C6588D" w:rsidP="009033E2">
      <w:pPr>
        <w:pStyle w:val="CETBodytext"/>
        <w:rPr>
          <w:lang w:val="en-GB"/>
        </w:rPr>
      </w:pPr>
      <w:r>
        <w:rPr>
          <w:lang w:val="en-GB"/>
        </w:rPr>
        <w:t>According with</w:t>
      </w:r>
      <w:r w:rsidR="009033E2" w:rsidRPr="00684DB4">
        <w:rPr>
          <w:lang w:val="en-GB"/>
        </w:rPr>
        <w:t xml:space="preserve"> the concentration of As</w:t>
      </w:r>
      <w:r>
        <w:rPr>
          <w:lang w:val="en-GB"/>
        </w:rPr>
        <w:t xml:space="preserve"> that it’s</w:t>
      </w:r>
      <w:r w:rsidR="009033E2" w:rsidRPr="00684DB4">
        <w:rPr>
          <w:lang w:val="en-GB"/>
        </w:rPr>
        <w:t xml:space="preserve"> found during the dry season (98 </w:t>
      </w:r>
      <w:r w:rsidR="009033E2" w:rsidRPr="00684DB4">
        <w:rPr>
          <w:rFonts w:cs="Arial"/>
          <w:lang w:val="en-GB"/>
        </w:rPr>
        <w:t>μ</w:t>
      </w:r>
      <w:r w:rsidR="009033E2" w:rsidRPr="00684DB4">
        <w:rPr>
          <w:lang w:val="en-GB"/>
        </w:rPr>
        <w:t>g L</w:t>
      </w:r>
      <w:r w:rsidR="009033E2" w:rsidRPr="00684DB4">
        <w:rPr>
          <w:vertAlign w:val="superscript"/>
          <w:lang w:val="en-GB"/>
        </w:rPr>
        <w:t>-1</w:t>
      </w:r>
      <w:r w:rsidR="009033E2" w:rsidRPr="00684DB4">
        <w:rPr>
          <w:lang w:val="en-GB"/>
        </w:rPr>
        <w:t>), this zone around the mine "La Aurora" is highly toxic due to the presence of heavy metals and m</w:t>
      </w:r>
      <w:r w:rsidR="003B1DBA">
        <w:rPr>
          <w:lang w:val="en-GB"/>
        </w:rPr>
        <w:t xml:space="preserve">etalloids in its surface waters, therefore, it can affect to the rural communities that live around the mine.  </w:t>
      </w:r>
    </w:p>
    <w:p w14:paraId="655B63FD" w14:textId="77777777" w:rsidR="00600535" w:rsidRPr="00B57B36" w:rsidRDefault="00600535" w:rsidP="00600535">
      <w:pPr>
        <w:pStyle w:val="CETAcknowledgementstitle"/>
      </w:pPr>
      <w:r w:rsidRPr="00B57B36">
        <w:t>Acknowledgments</w:t>
      </w:r>
    </w:p>
    <w:p w14:paraId="7E17C5AF" w14:textId="6A07F804" w:rsidR="00600535" w:rsidRPr="00B57B36" w:rsidRDefault="0060701B" w:rsidP="00600535">
      <w:pPr>
        <w:pStyle w:val="CETBodytext"/>
        <w:rPr>
          <w:lang w:val="en-GB"/>
        </w:rPr>
      </w:pPr>
      <w:r w:rsidRPr="0060701B">
        <w:rPr>
          <w:lang w:val="en-GB"/>
        </w:rPr>
        <w:t>This manuscript is extracted from the master degree. Thesis approved by University of Guanajuato and the CONACYT. The authors express their gratitude to the sponsors of the project</w:t>
      </w:r>
      <w:r>
        <w:rPr>
          <w:lang w:val="en-GB"/>
        </w:rPr>
        <w:t>.</w:t>
      </w:r>
    </w:p>
    <w:p w14:paraId="0D6A3EAD" w14:textId="58497F46" w:rsidR="00381EA9" w:rsidRPr="00B57B36" w:rsidRDefault="00600535" w:rsidP="00381EA9">
      <w:pPr>
        <w:pStyle w:val="CETReference"/>
      </w:pPr>
      <w:r w:rsidRPr="00B57B36">
        <w:t>References</w:t>
      </w:r>
    </w:p>
    <w:p w14:paraId="5B62863A" w14:textId="0AFA5AC7" w:rsidR="00381EA9" w:rsidRDefault="00381EA9" w:rsidP="005604F0">
      <w:pPr>
        <w:pStyle w:val="CETReferencetext"/>
      </w:pPr>
      <w:r w:rsidRPr="00381EA9">
        <w:t>Aditi V.</w:t>
      </w:r>
      <w:r w:rsidR="007D4812">
        <w:t>,</w:t>
      </w:r>
      <w:r w:rsidRPr="00381EA9">
        <w:t xml:space="preserve"> Sac</w:t>
      </w:r>
      <w:r w:rsidR="007D4812">
        <w:t>hin P., Bhushan B., Ashok P., 2016,</w:t>
      </w:r>
      <w:r w:rsidRPr="00381EA9">
        <w:t xml:space="preserve"> Characterization of Rese</w:t>
      </w:r>
      <w:r w:rsidR="0028519D">
        <w:t>omonas and Nocardiodes s</w:t>
      </w:r>
      <w:r w:rsidR="007D4812">
        <w:t>pp. for arsenic transformation,</w:t>
      </w:r>
      <w:r w:rsidRPr="00381EA9">
        <w:t xml:space="preserve"> Journal of H</w:t>
      </w:r>
      <w:r w:rsidR="007D4812">
        <w:t>azardous Materials,</w:t>
      </w:r>
      <w:r w:rsidRPr="00381EA9">
        <w:t xml:space="preserve"> ElSEVIER</w:t>
      </w:r>
      <w:r>
        <w:t>.</w:t>
      </w:r>
    </w:p>
    <w:p w14:paraId="6DC4445F" w14:textId="4F6DD189" w:rsidR="00381EA9" w:rsidRDefault="00381EA9" w:rsidP="005604F0">
      <w:pPr>
        <w:pStyle w:val="CETReferencetext"/>
      </w:pPr>
      <w:r w:rsidRPr="00381EA9">
        <w:t>Anderso</w:t>
      </w:r>
      <w:r w:rsidR="007D4812">
        <w:t>n</w:t>
      </w:r>
      <w:r w:rsidR="00F91C36">
        <w:t xml:space="preserve"> G. L.</w:t>
      </w:r>
      <w:r w:rsidR="007D4812">
        <w:t>, Williams</w:t>
      </w:r>
      <w:r w:rsidR="00F91C36">
        <w:t xml:space="preserve"> J. R.</w:t>
      </w:r>
      <w:r w:rsidR="007D4812">
        <w:t>,</w:t>
      </w:r>
      <w:r w:rsidR="00F91C36">
        <w:t xml:space="preserve"> Hille.</w:t>
      </w:r>
      <w:r w:rsidR="00DE542D">
        <w:t>, 1992,</w:t>
      </w:r>
      <w:r w:rsidR="00F91C36" w:rsidRPr="00381EA9">
        <w:t xml:space="preserve"> </w:t>
      </w:r>
      <w:r w:rsidRPr="00381EA9">
        <w:t>The purification and characterization of arsenite oxidase from Alcaligenes faecalis, a mo</w:t>
      </w:r>
      <w:r w:rsidR="00DE542D">
        <w:t>lybdenum-containing hydroxylase, J. Biol, Chem, 267-</w:t>
      </w:r>
      <w:r w:rsidRPr="00381EA9">
        <w:t>23674-23682.</w:t>
      </w:r>
    </w:p>
    <w:p w14:paraId="1D7FE088" w14:textId="0B1F385F" w:rsidR="00381EA9" w:rsidRPr="007D4812" w:rsidRDefault="00DE542D" w:rsidP="005604F0">
      <w:pPr>
        <w:pStyle w:val="CETReferencetext"/>
        <w:rPr>
          <w:lang w:val="es-MX"/>
        </w:rPr>
      </w:pPr>
      <w:r>
        <w:rPr>
          <w:lang w:val="es-MX"/>
        </w:rPr>
        <w:t>Campos</w:t>
      </w:r>
      <w:r w:rsidR="00381EA9" w:rsidRPr="0060701B">
        <w:rPr>
          <w:lang w:val="es-MX"/>
        </w:rPr>
        <w:t xml:space="preserve"> V.</w:t>
      </w:r>
      <w:r>
        <w:rPr>
          <w:lang w:val="es-MX"/>
        </w:rPr>
        <w:t>, Valenzuela</w:t>
      </w:r>
      <w:r w:rsidR="00381EA9" w:rsidRPr="0060701B">
        <w:rPr>
          <w:lang w:val="es-MX"/>
        </w:rPr>
        <w:t xml:space="preserve"> C.</w:t>
      </w:r>
      <w:r>
        <w:rPr>
          <w:lang w:val="es-MX"/>
        </w:rPr>
        <w:t>, Alcorta</w:t>
      </w:r>
      <w:r w:rsidR="00381EA9" w:rsidRPr="0060701B">
        <w:rPr>
          <w:lang w:val="es-MX"/>
        </w:rPr>
        <w:t xml:space="preserve"> </w:t>
      </w:r>
      <w:r w:rsidRPr="0060701B">
        <w:rPr>
          <w:lang w:val="es-MX"/>
        </w:rPr>
        <w:t>M.</w:t>
      </w:r>
      <w:r>
        <w:rPr>
          <w:lang w:val="es-MX"/>
        </w:rPr>
        <w:t xml:space="preserve">, </w:t>
      </w:r>
      <w:r>
        <w:rPr>
          <w:lang w:val="es-MX"/>
        </w:rPr>
        <w:t xml:space="preserve">Escalante </w:t>
      </w:r>
      <w:r w:rsidRPr="0060701B">
        <w:rPr>
          <w:lang w:val="es-MX"/>
        </w:rPr>
        <w:t>G.</w:t>
      </w:r>
      <w:r>
        <w:rPr>
          <w:lang w:val="es-MX"/>
        </w:rPr>
        <w:t>,</w:t>
      </w:r>
      <w:r>
        <w:rPr>
          <w:lang w:val="es-MX"/>
        </w:rPr>
        <w:t xml:space="preserve"> and</w:t>
      </w:r>
      <w:r w:rsidR="00381EA9" w:rsidRPr="0060701B">
        <w:rPr>
          <w:lang w:val="es-MX"/>
        </w:rPr>
        <w:t xml:space="preserve"> </w:t>
      </w:r>
      <w:r w:rsidRPr="0060701B">
        <w:rPr>
          <w:lang w:val="es-MX"/>
        </w:rPr>
        <w:t>Moncada</w:t>
      </w:r>
      <w:r w:rsidRPr="0060701B">
        <w:rPr>
          <w:lang w:val="es-MX"/>
        </w:rPr>
        <w:t xml:space="preserve"> </w:t>
      </w:r>
      <w:r w:rsidR="00381EA9" w:rsidRPr="0060701B">
        <w:rPr>
          <w:lang w:val="es-MX"/>
        </w:rPr>
        <w:t>M.</w:t>
      </w:r>
      <w:r>
        <w:rPr>
          <w:lang w:val="es-MX"/>
        </w:rPr>
        <w:t>,.2007,</w:t>
      </w:r>
      <w:r w:rsidR="00381EA9" w:rsidRPr="0060701B">
        <w:rPr>
          <w:lang w:val="es-MX"/>
        </w:rPr>
        <w:t xml:space="preserve"> Aislamiento de Bacterias Resistentes a Arsenico desde Muestras de rocas Volcánicas de la Quebrada Cama</w:t>
      </w:r>
      <w:r>
        <w:rPr>
          <w:lang w:val="es-MX"/>
        </w:rPr>
        <w:t>rones, región Parinacota, Chile,</w:t>
      </w:r>
      <w:r w:rsidR="00381EA9" w:rsidRPr="0060701B">
        <w:rPr>
          <w:lang w:val="es-MX"/>
        </w:rPr>
        <w:t xml:space="preserve"> </w:t>
      </w:r>
      <w:r w:rsidR="00381EA9" w:rsidRPr="007D4812">
        <w:rPr>
          <w:lang w:val="es-MX"/>
        </w:rPr>
        <w:t>Gayana</w:t>
      </w:r>
      <w:r>
        <w:rPr>
          <w:lang w:val="es-MX"/>
        </w:rPr>
        <w:t>,</w:t>
      </w:r>
      <w:r w:rsidR="00381EA9" w:rsidRPr="007D4812">
        <w:rPr>
          <w:lang w:val="es-MX"/>
        </w:rPr>
        <w:t xml:space="preserve"> 71(2): 150-155.</w:t>
      </w:r>
    </w:p>
    <w:p w14:paraId="6C39B3BC" w14:textId="2CD7EFF9" w:rsidR="006A5D5D" w:rsidRDefault="00DE542D" w:rsidP="005604F0">
      <w:pPr>
        <w:pStyle w:val="CETReferencetext"/>
      </w:pPr>
      <w:r>
        <w:t>Denisova</w:t>
      </w:r>
      <w:r w:rsidR="006A5D5D">
        <w:t xml:space="preserve"> V.</w:t>
      </w:r>
      <w:r>
        <w:t>,</w:t>
      </w:r>
      <w:r w:rsidR="00981019">
        <w:t xml:space="preserve"> Tihomirova</w:t>
      </w:r>
      <w:r w:rsidR="006A5D5D">
        <w:t xml:space="preserve"> K.</w:t>
      </w:r>
      <w:r w:rsidR="00981019">
        <w:t>, and Mezule</w:t>
      </w:r>
      <w:r w:rsidR="006A5D5D">
        <w:t xml:space="preserve"> L.</w:t>
      </w:r>
      <w:r w:rsidR="00981019">
        <w:t>, 2017,</w:t>
      </w:r>
      <w:r w:rsidR="006A5D5D">
        <w:t xml:space="preserve"> Biosorption of Zn(II) by Sphagnum Peat. CET Che</w:t>
      </w:r>
      <w:r w:rsidR="00981019">
        <w:t>mical Engineering erringactions, Vol 57,</w:t>
      </w:r>
      <w:r w:rsidR="006A5D5D">
        <w:t xml:space="preserve"> DOI: 10.3303/CET1757065.</w:t>
      </w:r>
    </w:p>
    <w:p w14:paraId="4DD58A29" w14:textId="5F325F3E" w:rsidR="00381EA9" w:rsidRPr="00A97A40" w:rsidRDefault="00A97A40" w:rsidP="005604F0">
      <w:pPr>
        <w:pStyle w:val="CETReferencetext"/>
        <w:rPr>
          <w:lang w:val="en-US"/>
        </w:rPr>
      </w:pPr>
      <w:r>
        <w:t>Hu Z., Gao S., 2008,</w:t>
      </w:r>
      <w:r w:rsidR="00381EA9" w:rsidRPr="00AC3AE1">
        <w:t xml:space="preserve"> Upper crustal abundances of trace </w:t>
      </w:r>
      <w:r>
        <w:t>elements: A revision and update,</w:t>
      </w:r>
      <w:r w:rsidR="00381EA9" w:rsidRPr="00AC3AE1">
        <w:t xml:space="preserve"> </w:t>
      </w:r>
      <w:r w:rsidR="00381EA9" w:rsidRPr="00A97A40">
        <w:rPr>
          <w:lang w:val="en-US"/>
        </w:rPr>
        <w:t>Chem Geol</w:t>
      </w:r>
      <w:r>
        <w:rPr>
          <w:lang w:val="en-US"/>
        </w:rPr>
        <w:t>,</w:t>
      </w:r>
      <w:r w:rsidR="00381EA9" w:rsidRPr="00A97A40">
        <w:rPr>
          <w:lang w:val="en-US"/>
        </w:rPr>
        <w:t xml:space="preserve"> 253:205- 221.</w:t>
      </w:r>
    </w:p>
    <w:p w14:paraId="23A4B71F" w14:textId="7FE39409" w:rsidR="0028519D" w:rsidRPr="00A97A40" w:rsidRDefault="00A97A40" w:rsidP="005604F0">
      <w:pPr>
        <w:pStyle w:val="CETReferencetext"/>
        <w:rPr>
          <w:lang w:val="es-MX"/>
        </w:rPr>
      </w:pPr>
      <w:r w:rsidRPr="00A97A40">
        <w:rPr>
          <w:lang w:val="es-MX"/>
        </w:rPr>
        <w:t>Litter</w:t>
      </w:r>
      <w:r w:rsidR="00381EA9" w:rsidRPr="00A97A40">
        <w:rPr>
          <w:lang w:val="es-MX"/>
        </w:rPr>
        <w:t xml:space="preserve"> M.</w:t>
      </w:r>
      <w:r w:rsidRPr="00A97A40">
        <w:rPr>
          <w:lang w:val="es-MX"/>
        </w:rPr>
        <w:t>I., Armienta M. A., and</w:t>
      </w:r>
      <w:r w:rsidR="00381EA9" w:rsidRPr="00A97A40">
        <w:rPr>
          <w:lang w:val="es-MX"/>
        </w:rPr>
        <w:t xml:space="preserve"> Fa</w:t>
      </w:r>
      <w:r w:rsidRPr="00A97A40">
        <w:rPr>
          <w:lang w:val="es-MX"/>
        </w:rPr>
        <w:t>rías</w:t>
      </w:r>
      <w:r w:rsidR="00381EA9" w:rsidRPr="00A97A40">
        <w:rPr>
          <w:lang w:val="es-MX"/>
        </w:rPr>
        <w:t xml:space="preserve"> S. S.</w:t>
      </w:r>
      <w:r w:rsidRPr="00A97A40">
        <w:rPr>
          <w:lang w:val="es-MX"/>
        </w:rPr>
        <w:t xml:space="preserve">, 2009, </w:t>
      </w:r>
      <w:r w:rsidR="00381EA9" w:rsidRPr="00A97A40">
        <w:rPr>
          <w:lang w:val="es-MX"/>
        </w:rPr>
        <w:t xml:space="preserve">Metodologías analíticas </w:t>
      </w:r>
      <w:r w:rsidR="00381EA9" w:rsidRPr="0060701B">
        <w:rPr>
          <w:lang w:val="es-MX"/>
        </w:rPr>
        <w:t>para la determinación y especiació</w:t>
      </w:r>
      <w:r>
        <w:rPr>
          <w:lang w:val="es-MX"/>
        </w:rPr>
        <w:t>n de arsénico en aguas y suelos,</w:t>
      </w:r>
      <w:r w:rsidR="00381EA9" w:rsidRPr="0060701B">
        <w:rPr>
          <w:lang w:val="es-MX"/>
        </w:rPr>
        <w:t xml:space="preserve"> </w:t>
      </w:r>
      <w:r w:rsidR="00381EA9" w:rsidRPr="00A97A40">
        <w:rPr>
          <w:lang w:val="es-MX"/>
        </w:rPr>
        <w:t>Argentina</w:t>
      </w:r>
      <w:r>
        <w:rPr>
          <w:lang w:val="es-MX"/>
        </w:rPr>
        <w:t>,</w:t>
      </w:r>
      <w:r w:rsidR="00381EA9" w:rsidRPr="00A97A40">
        <w:rPr>
          <w:lang w:val="es-MX"/>
        </w:rPr>
        <w:t xml:space="preserve"> </w:t>
      </w:r>
      <w:r w:rsidRPr="00A97A40">
        <w:rPr>
          <w:lang w:val="es-MX"/>
        </w:rPr>
        <w:t>Iberoarsen</w:t>
      </w:r>
      <w:r>
        <w:rPr>
          <w:lang w:val="es-MX"/>
        </w:rPr>
        <w:t>,</w:t>
      </w:r>
      <w:r w:rsidRPr="00A97A40">
        <w:rPr>
          <w:lang w:val="es-MX"/>
        </w:rPr>
        <w:t xml:space="preserve"> </w:t>
      </w:r>
      <w:r w:rsidR="00381EA9" w:rsidRPr="00A97A40">
        <w:rPr>
          <w:lang w:val="es-MX"/>
        </w:rPr>
        <w:t>CYTED.</w:t>
      </w:r>
    </w:p>
    <w:p w14:paraId="7E73A544" w14:textId="1C3AEE12" w:rsidR="00381EA9" w:rsidRPr="00381EA9" w:rsidRDefault="00A97A40" w:rsidP="005604F0">
      <w:pPr>
        <w:pStyle w:val="CETReferencetext"/>
        <w:rPr>
          <w:lang w:val="en-US"/>
        </w:rPr>
      </w:pPr>
      <w:r>
        <w:rPr>
          <w:lang w:val="en-US"/>
        </w:rPr>
        <w:t>Nordstrom</w:t>
      </w:r>
      <w:r w:rsidR="00381EA9" w:rsidRPr="00381EA9">
        <w:rPr>
          <w:lang w:val="en-US"/>
        </w:rPr>
        <w:t xml:space="preserve"> D. K.</w:t>
      </w:r>
      <w:r>
        <w:rPr>
          <w:lang w:val="en-US"/>
        </w:rPr>
        <w:t>, 2002,</w:t>
      </w:r>
      <w:r w:rsidR="00381EA9" w:rsidRPr="00381EA9">
        <w:rPr>
          <w:lang w:val="en-US"/>
        </w:rPr>
        <w:t xml:space="preserve"> Public health – Worldwide occurrences of arsenic in ground water. Science, 296(5576), 2143-2145.</w:t>
      </w:r>
    </w:p>
    <w:p w14:paraId="35980D9A" w14:textId="0E0AF4A5" w:rsidR="00381EA9" w:rsidRDefault="00A97A40" w:rsidP="005604F0">
      <w:pPr>
        <w:pStyle w:val="CETReferencetext"/>
      </w:pPr>
      <w:r>
        <w:lastRenderedPageBreak/>
        <w:t>Nriagu</w:t>
      </w:r>
      <w:r w:rsidR="00381EA9" w:rsidRPr="00381EA9">
        <w:t xml:space="preserve"> J.O.</w:t>
      </w:r>
      <w:r>
        <w:t>,</w:t>
      </w:r>
      <w:r w:rsidR="00381EA9" w:rsidRPr="00381EA9">
        <w:t xml:space="preserve"> </w:t>
      </w:r>
      <w:r w:rsidR="00876FDC" w:rsidRPr="00381EA9">
        <w:t>1994</w:t>
      </w:r>
      <w:r>
        <w:t>,</w:t>
      </w:r>
      <w:r w:rsidR="00876FDC">
        <w:t xml:space="preserve"> </w:t>
      </w:r>
      <w:r>
        <w:t>Arsenic in the Environment,</w:t>
      </w:r>
      <w:r w:rsidR="00381EA9" w:rsidRPr="00381EA9">
        <w:t xml:space="preserve"> Parts I &amp; II.</w:t>
      </w:r>
      <w:r>
        <w:t>,</w:t>
      </w:r>
      <w:r w:rsidR="00381EA9" w:rsidRPr="00381EA9">
        <w:t xml:space="preserve"> New York: John Wiley &amp; Sons, Inc. </w:t>
      </w:r>
    </w:p>
    <w:p w14:paraId="254E9601" w14:textId="519759C4" w:rsidR="00381EA9" w:rsidRPr="007D4812" w:rsidRDefault="00A97A40" w:rsidP="005604F0">
      <w:pPr>
        <w:pStyle w:val="CETReferencetext"/>
        <w:rPr>
          <w:lang w:val="en-US"/>
        </w:rPr>
      </w:pPr>
      <w:r>
        <w:t>Richey</w:t>
      </w:r>
      <w:r w:rsidR="00381EA9" w:rsidRPr="00381EA9">
        <w:t xml:space="preserve"> C.</w:t>
      </w:r>
      <w:r>
        <w:t>, Chovanec</w:t>
      </w:r>
      <w:r w:rsidR="00381EA9" w:rsidRPr="00381EA9">
        <w:t xml:space="preserve"> P.</w:t>
      </w:r>
      <w:r>
        <w:t>, Hoeft</w:t>
      </w:r>
      <w:r w:rsidR="00381EA9" w:rsidRPr="00381EA9">
        <w:t xml:space="preserve"> S.E.</w:t>
      </w:r>
      <w:r>
        <w:t>, Oremland</w:t>
      </w:r>
      <w:r w:rsidR="00381EA9" w:rsidRPr="00381EA9">
        <w:t xml:space="preserve"> R.S</w:t>
      </w:r>
      <w:r>
        <w:t>.,</w:t>
      </w:r>
      <w:r w:rsidR="00381EA9" w:rsidRPr="00381EA9">
        <w:t xml:space="preserve"> Basu .P</w:t>
      </w:r>
      <w:r w:rsidR="00CD27CE">
        <w:t>.</w:t>
      </w:r>
      <w:r>
        <w:t xml:space="preserve">, </w:t>
      </w:r>
      <w:r>
        <w:rPr>
          <w:lang w:val="en-US"/>
        </w:rPr>
        <w:t>Stolz</w:t>
      </w:r>
      <w:r w:rsidR="00381EA9" w:rsidRPr="007D4812">
        <w:rPr>
          <w:lang w:val="en-US"/>
        </w:rPr>
        <w:t xml:space="preserve"> J.F.</w:t>
      </w:r>
      <w:r>
        <w:rPr>
          <w:lang w:val="en-US"/>
        </w:rPr>
        <w:t>,</w:t>
      </w:r>
      <w:r w:rsidR="00381EA9" w:rsidRPr="007D4812">
        <w:rPr>
          <w:lang w:val="en-US"/>
        </w:rPr>
        <w:t xml:space="preserve"> </w:t>
      </w:r>
      <w:r>
        <w:rPr>
          <w:lang w:val="en-US"/>
        </w:rPr>
        <w:t>2009,</w:t>
      </w:r>
      <w:r w:rsidR="00876FDC" w:rsidRPr="007D4812">
        <w:rPr>
          <w:lang w:val="en-US"/>
        </w:rPr>
        <w:t xml:space="preserve"> </w:t>
      </w:r>
      <w:r w:rsidR="00381EA9" w:rsidRPr="007D4812">
        <w:rPr>
          <w:lang w:val="en-US"/>
        </w:rPr>
        <w:t xml:space="preserve">Respiratory arsenate reductase as a bidirectional enzyme, Biochem. </w:t>
      </w:r>
      <w:r w:rsidR="00CD27CE">
        <w:rPr>
          <w:lang w:val="en-US"/>
        </w:rPr>
        <w:t>Biophys, Res, Commun,</w:t>
      </w:r>
      <w:r w:rsidR="00381EA9" w:rsidRPr="007D4812">
        <w:rPr>
          <w:lang w:val="en-US"/>
        </w:rPr>
        <w:t xml:space="preserve"> 382 298-302.</w:t>
      </w:r>
    </w:p>
    <w:p w14:paraId="52DD5BA9" w14:textId="3B13E834" w:rsidR="00381EA9" w:rsidRDefault="00CD27CE" w:rsidP="005604F0">
      <w:pPr>
        <w:pStyle w:val="CETReferencetext"/>
        <w:rPr>
          <w:lang w:val="es-MX"/>
        </w:rPr>
      </w:pPr>
      <w:r w:rsidRPr="00CD27CE">
        <w:rPr>
          <w:lang w:val="es-MX"/>
        </w:rPr>
        <w:t>Salas E.</w:t>
      </w:r>
      <w:r w:rsidR="00876FDC" w:rsidRPr="00CD27CE">
        <w:rPr>
          <w:lang w:val="es-MX"/>
        </w:rPr>
        <w:t xml:space="preserve"> F.</w:t>
      </w:r>
      <w:r w:rsidRPr="00CD27CE">
        <w:rPr>
          <w:lang w:val="es-MX"/>
        </w:rPr>
        <w:t>, 20</w:t>
      </w:r>
      <w:r>
        <w:rPr>
          <w:lang w:val="es-MX"/>
        </w:rPr>
        <w:t>0</w:t>
      </w:r>
      <w:r w:rsidRPr="00CD27CE">
        <w:rPr>
          <w:lang w:val="es-MX"/>
        </w:rPr>
        <w:t>1,</w:t>
      </w:r>
      <w:r w:rsidR="002D4C22">
        <w:rPr>
          <w:lang w:val="es-MX"/>
        </w:rPr>
        <w:t>.</w:t>
      </w:r>
      <w:r w:rsidR="00381EA9" w:rsidRPr="00CD27CE">
        <w:rPr>
          <w:lang w:val="es-MX"/>
        </w:rPr>
        <w:t xml:space="preserve">Geoquímica y Mineralogía de Jales en Mina Aurora, Xichú, Guanajuato, </w:t>
      </w:r>
      <w:r w:rsidR="002D4C22">
        <w:rPr>
          <w:lang w:val="es-MX"/>
        </w:rPr>
        <w:t>Thesis, UNAM,</w:t>
      </w:r>
      <w:r w:rsidR="002D4C22" w:rsidRPr="00CD27CE">
        <w:rPr>
          <w:lang w:val="es-MX"/>
        </w:rPr>
        <w:t xml:space="preserve"> </w:t>
      </w:r>
      <w:r w:rsidR="002D4C22">
        <w:rPr>
          <w:lang w:val="es-MX"/>
        </w:rPr>
        <w:t>Mexico city.</w:t>
      </w:r>
    </w:p>
    <w:p w14:paraId="11123E2F" w14:textId="24EA139B" w:rsidR="00381EA9" w:rsidRDefault="00CD27CE" w:rsidP="005604F0">
      <w:pPr>
        <w:pStyle w:val="CETReferencetext"/>
      </w:pPr>
      <w:r>
        <w:t>Salmassi</w:t>
      </w:r>
      <w:r w:rsidR="00381EA9" w:rsidRPr="00381EA9">
        <w:t xml:space="preserve"> T. M.</w:t>
      </w:r>
      <w:r>
        <w:t>, Venkateswaren</w:t>
      </w:r>
      <w:r w:rsidR="00381EA9" w:rsidRPr="00381EA9">
        <w:t xml:space="preserve"> K.</w:t>
      </w:r>
      <w:r>
        <w:t>, Satomi</w:t>
      </w:r>
      <w:r w:rsidR="00381EA9" w:rsidRPr="00381EA9">
        <w:t xml:space="preserve"> M.</w:t>
      </w:r>
      <w:r>
        <w:t>,</w:t>
      </w:r>
      <w:r w:rsidR="00381EA9" w:rsidRPr="00381EA9">
        <w:t xml:space="preserve"> </w:t>
      </w:r>
      <w:r>
        <w:t>Newman D.</w:t>
      </w:r>
      <w:r w:rsidR="00876FDC">
        <w:t>K.</w:t>
      </w:r>
      <w:r>
        <w:t>,</w:t>
      </w:r>
      <w:r w:rsidR="00876FDC">
        <w:t xml:space="preserve"> Hernig J.G.</w:t>
      </w:r>
      <w:r>
        <w:t xml:space="preserve">, 2002, Oxidation of arsenite by </w:t>
      </w:r>
      <w:r w:rsidR="00381EA9" w:rsidRPr="00381EA9">
        <w:t>Agrobacterium albertimagi AOL15 sp. Nov. isol</w:t>
      </w:r>
      <w:r>
        <w:t>ated from hot creek, California, Geomicrobiol, J.,</w:t>
      </w:r>
      <w:r w:rsidR="00381EA9" w:rsidRPr="00381EA9">
        <w:t>1953-66.</w:t>
      </w:r>
    </w:p>
    <w:p w14:paraId="7922C3DE" w14:textId="76E87C99" w:rsidR="00ED6D1C" w:rsidRDefault="00ED6D1C" w:rsidP="005604F0">
      <w:pPr>
        <w:pStyle w:val="CETReferencetext"/>
      </w:pPr>
      <w:r>
        <w:t>Santini J.M.,</w:t>
      </w:r>
      <w:r w:rsidR="00CD27CE">
        <w:t xml:space="preserve"> </w:t>
      </w:r>
      <w:r>
        <w:t>Sly L.I., Schnagl R.D., Macy J.M.</w:t>
      </w:r>
      <w:r w:rsidR="00CD27CE">
        <w:t>, 2000,</w:t>
      </w:r>
      <w:r>
        <w:t xml:space="preserve"> A new chemolithoautotrophic arsenite-oxidizing bacterium isolated from a gold mine: phylogenetic, physiological, and </w:t>
      </w:r>
      <w:r w:rsidR="00CD27CE">
        <w:t>preliminary biochemical studies, Appl Environ Microbiol,</w:t>
      </w:r>
      <w:r>
        <w:t xml:space="preserve"> 66(1): 92-7.</w:t>
      </w:r>
    </w:p>
    <w:p w14:paraId="03E8581C" w14:textId="6F55A863" w:rsidR="00381EA9" w:rsidRDefault="00876FDC" w:rsidP="005604F0">
      <w:pPr>
        <w:pStyle w:val="CETReferencetext"/>
      </w:pPr>
      <w:r>
        <w:t>Santini J</w:t>
      </w:r>
      <w:r w:rsidR="00ED6D1C">
        <w:t>.</w:t>
      </w:r>
      <w:r>
        <w:t>M</w:t>
      </w:r>
      <w:r w:rsidR="00ED6D1C">
        <w:t>.</w:t>
      </w:r>
      <w:r>
        <w:t>, Ward S</w:t>
      </w:r>
      <w:r w:rsidR="00CD27CE">
        <w:t>.</w:t>
      </w:r>
      <w:r>
        <w:t>A.</w:t>
      </w:r>
      <w:r w:rsidR="00CD27CE">
        <w:t>, 2012,</w:t>
      </w:r>
      <w:r w:rsidR="00381EA9" w:rsidRPr="00381EA9">
        <w:t xml:space="preserve"> The metabolism of arsenite. I</w:t>
      </w:r>
      <w:r w:rsidR="00CD27CE">
        <w:t>n: Arsenic in the Environment 5,</w:t>
      </w:r>
      <w:r w:rsidR="00381EA9" w:rsidRPr="00381EA9">
        <w:t xml:space="preserve"> CRC Press, Boca Raton, Florida, 189 p.</w:t>
      </w:r>
    </w:p>
    <w:p w14:paraId="4CD0FB76" w14:textId="2497A02E" w:rsidR="006A1AC3" w:rsidRDefault="00CD27CE" w:rsidP="005604F0">
      <w:pPr>
        <w:pStyle w:val="CETReferencetext"/>
      </w:pPr>
      <w:r>
        <w:t>Srisorrachatr</w:t>
      </w:r>
      <w:r w:rsidR="006A1AC3">
        <w:t xml:space="preserve"> S.</w:t>
      </w:r>
      <w:r>
        <w:t>, 2017,</w:t>
      </w:r>
      <w:r w:rsidR="006A1AC3">
        <w:t xml:space="preserve"> Modified Sunflower Seed Husks for Metal Ions Removal from Wastewater</w:t>
      </w:r>
      <w:r>
        <w:t>,</w:t>
      </w:r>
      <w:r w:rsidR="0059513E">
        <w:t xml:space="preserve"> CET Chemical Engineering Transactio</w:t>
      </w:r>
      <w:r>
        <w:t>ns, Vol 57,</w:t>
      </w:r>
      <w:r w:rsidR="0059513E">
        <w:t xml:space="preserve"> DOI: 10.3303/CET1757042</w:t>
      </w:r>
    </w:p>
    <w:p w14:paraId="0388E525" w14:textId="73EAEEE6" w:rsidR="00381EA9" w:rsidRDefault="00CD27CE" w:rsidP="005604F0">
      <w:pPr>
        <w:pStyle w:val="CETReferencetext"/>
      </w:pPr>
      <w:r>
        <w:t>Smedley</w:t>
      </w:r>
      <w:r w:rsidR="00381EA9" w:rsidRPr="0060701B">
        <w:t xml:space="preserve"> P. L.</w:t>
      </w:r>
      <w:r>
        <w:t>, Kinniburgh</w:t>
      </w:r>
      <w:r w:rsidR="00381EA9" w:rsidRPr="0060701B">
        <w:t xml:space="preserve"> D. G.</w:t>
      </w:r>
      <w:r>
        <w:t>, 2002,</w:t>
      </w:r>
      <w:r w:rsidR="00381EA9" w:rsidRPr="0060701B">
        <w:t xml:space="preserve"> A Review of the source, behaviour and distributi</w:t>
      </w:r>
      <w:r>
        <w:t>on of arsenic in natural waters, Applied Geochemical,</w:t>
      </w:r>
      <w:r w:rsidR="00381EA9" w:rsidRPr="0060701B">
        <w:t xml:space="preserve"> 17: 517-568.</w:t>
      </w:r>
    </w:p>
    <w:p w14:paraId="1478FF47" w14:textId="6BB31697" w:rsidR="004628D2" w:rsidRPr="0028519D" w:rsidRDefault="00CD27CE" w:rsidP="005604F0">
      <w:pPr>
        <w:pStyle w:val="CETReferencetext"/>
        <w:rPr>
          <w:lang w:val="en-US"/>
        </w:rPr>
      </w:pPr>
      <w:r w:rsidRPr="00CD27CE">
        <w:rPr>
          <w:lang w:val="en-US"/>
        </w:rPr>
        <w:t>Van Huellebusch E.</w:t>
      </w:r>
      <w:r w:rsidR="00381EA9" w:rsidRPr="00CD27CE">
        <w:rPr>
          <w:lang w:val="en-US"/>
        </w:rPr>
        <w:t>D., Zandvoort</w:t>
      </w:r>
      <w:r w:rsidRPr="00CD27CE">
        <w:rPr>
          <w:lang w:val="en-US"/>
        </w:rPr>
        <w:t xml:space="preserve"> M.H., and Lens</w:t>
      </w:r>
      <w:r>
        <w:rPr>
          <w:lang w:val="en-US"/>
        </w:rPr>
        <w:t xml:space="preserve"> P.N.</w:t>
      </w:r>
      <w:r w:rsidR="00876FDC" w:rsidRPr="00CD27CE">
        <w:rPr>
          <w:lang w:val="en-US"/>
        </w:rPr>
        <w:t>L.</w:t>
      </w:r>
      <w:r>
        <w:rPr>
          <w:lang w:val="en-US"/>
        </w:rPr>
        <w:t>,</w:t>
      </w:r>
      <w:r w:rsidR="00876FDC" w:rsidRPr="00CD27CE">
        <w:rPr>
          <w:lang w:val="en-US"/>
        </w:rPr>
        <w:t xml:space="preserve"> </w:t>
      </w:r>
      <w:r>
        <w:rPr>
          <w:lang w:val="en-US"/>
        </w:rPr>
        <w:t>2003,</w:t>
      </w:r>
      <w:r w:rsidR="00381EA9" w:rsidRPr="00CD27CE">
        <w:rPr>
          <w:lang w:val="en-US"/>
        </w:rPr>
        <w:t xml:space="preserve"> </w:t>
      </w:r>
      <w:r w:rsidR="00381EA9" w:rsidRPr="00381EA9">
        <w:rPr>
          <w:lang w:val="en-US"/>
        </w:rPr>
        <w:t>Metal Immobilisation by biofilms: Mechanisms and analytucal tolos, Reviews in Environmental Management</w:t>
      </w:r>
      <w:r>
        <w:rPr>
          <w:lang w:val="en-US"/>
        </w:rPr>
        <w:t>,</w:t>
      </w:r>
      <w:r w:rsidR="00381EA9" w:rsidRPr="00381EA9">
        <w:rPr>
          <w:lang w:val="en-US"/>
        </w:rPr>
        <w:t xml:space="preserve"> 90(8), 2367-2376.</w:t>
      </w:r>
    </w:p>
    <w:sectPr w:rsidR="004628D2" w:rsidRPr="0028519D"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7DE61" w14:textId="77777777" w:rsidR="00E70A09" w:rsidRDefault="00E70A09" w:rsidP="004F5E36">
      <w:r>
        <w:separator/>
      </w:r>
    </w:p>
  </w:endnote>
  <w:endnote w:type="continuationSeparator" w:id="0">
    <w:p w14:paraId="2F132372" w14:textId="77777777" w:rsidR="00E70A09" w:rsidRDefault="00E70A0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4AE51" w14:textId="77777777" w:rsidR="00E70A09" w:rsidRDefault="00E70A09" w:rsidP="004F5E36">
      <w:r>
        <w:separator/>
      </w:r>
    </w:p>
  </w:footnote>
  <w:footnote w:type="continuationSeparator" w:id="0">
    <w:p w14:paraId="66111D9B" w14:textId="77777777" w:rsidR="00E70A09" w:rsidRDefault="00E70A09"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972854B0"/>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E0C1681"/>
    <w:multiLevelType w:val="hybridMultilevel"/>
    <w:tmpl w:val="5ACCBB04"/>
    <w:lvl w:ilvl="0" w:tplc="040A000F">
      <w:start w:val="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148D"/>
    <w:rsid w:val="00047D7F"/>
    <w:rsid w:val="00050229"/>
    <w:rsid w:val="00051566"/>
    <w:rsid w:val="00062A9A"/>
    <w:rsid w:val="00065058"/>
    <w:rsid w:val="00070E90"/>
    <w:rsid w:val="00086C39"/>
    <w:rsid w:val="000A03B2"/>
    <w:rsid w:val="000A3B79"/>
    <w:rsid w:val="000D34BE"/>
    <w:rsid w:val="000E102F"/>
    <w:rsid w:val="000E2240"/>
    <w:rsid w:val="000E36F1"/>
    <w:rsid w:val="000E3A73"/>
    <w:rsid w:val="000E414A"/>
    <w:rsid w:val="000F093C"/>
    <w:rsid w:val="000F16BD"/>
    <w:rsid w:val="000F787B"/>
    <w:rsid w:val="0012091F"/>
    <w:rsid w:val="00126BC2"/>
    <w:rsid w:val="001278D4"/>
    <w:rsid w:val="001308B6"/>
    <w:rsid w:val="0013121F"/>
    <w:rsid w:val="00131FAB"/>
    <w:rsid w:val="00131FE6"/>
    <w:rsid w:val="0013263F"/>
    <w:rsid w:val="00132A80"/>
    <w:rsid w:val="00134DE4"/>
    <w:rsid w:val="00136938"/>
    <w:rsid w:val="0014034D"/>
    <w:rsid w:val="00150E59"/>
    <w:rsid w:val="00152DE3"/>
    <w:rsid w:val="00162642"/>
    <w:rsid w:val="00164CF9"/>
    <w:rsid w:val="001751F1"/>
    <w:rsid w:val="00184AD6"/>
    <w:rsid w:val="001B0349"/>
    <w:rsid w:val="001B65C1"/>
    <w:rsid w:val="001C684B"/>
    <w:rsid w:val="001D53FC"/>
    <w:rsid w:val="001F42A5"/>
    <w:rsid w:val="001F7B9D"/>
    <w:rsid w:val="002224B4"/>
    <w:rsid w:val="002447EF"/>
    <w:rsid w:val="00251550"/>
    <w:rsid w:val="00252C1A"/>
    <w:rsid w:val="00263B05"/>
    <w:rsid w:val="00266500"/>
    <w:rsid w:val="0027221A"/>
    <w:rsid w:val="00275B61"/>
    <w:rsid w:val="00282656"/>
    <w:rsid w:val="0028519D"/>
    <w:rsid w:val="00296B83"/>
    <w:rsid w:val="002B78CE"/>
    <w:rsid w:val="002C2FB6"/>
    <w:rsid w:val="002C35C6"/>
    <w:rsid w:val="002D4C22"/>
    <w:rsid w:val="002D5BCD"/>
    <w:rsid w:val="002F4FBF"/>
    <w:rsid w:val="002F6B58"/>
    <w:rsid w:val="003009B7"/>
    <w:rsid w:val="00300E56"/>
    <w:rsid w:val="0030469C"/>
    <w:rsid w:val="00321CA6"/>
    <w:rsid w:val="00334C09"/>
    <w:rsid w:val="003365E3"/>
    <w:rsid w:val="00345979"/>
    <w:rsid w:val="003723D4"/>
    <w:rsid w:val="00381EA9"/>
    <w:rsid w:val="00384CC8"/>
    <w:rsid w:val="003871FD"/>
    <w:rsid w:val="003A1E30"/>
    <w:rsid w:val="003A7D1C"/>
    <w:rsid w:val="003B1DBA"/>
    <w:rsid w:val="003B304B"/>
    <w:rsid w:val="003B3146"/>
    <w:rsid w:val="003B60F3"/>
    <w:rsid w:val="003F015E"/>
    <w:rsid w:val="00400414"/>
    <w:rsid w:val="0041446B"/>
    <w:rsid w:val="0044329C"/>
    <w:rsid w:val="00447A28"/>
    <w:rsid w:val="004577FE"/>
    <w:rsid w:val="00457B9C"/>
    <w:rsid w:val="0046164A"/>
    <w:rsid w:val="004628D2"/>
    <w:rsid w:val="00462DCD"/>
    <w:rsid w:val="004648AD"/>
    <w:rsid w:val="00467595"/>
    <w:rsid w:val="004703A9"/>
    <w:rsid w:val="004760DE"/>
    <w:rsid w:val="004A004E"/>
    <w:rsid w:val="004A24CF"/>
    <w:rsid w:val="004B1D26"/>
    <w:rsid w:val="004B6721"/>
    <w:rsid w:val="004C3D1D"/>
    <w:rsid w:val="004C7913"/>
    <w:rsid w:val="004E4DD6"/>
    <w:rsid w:val="004E7369"/>
    <w:rsid w:val="004F5E36"/>
    <w:rsid w:val="00507B47"/>
    <w:rsid w:val="00507CC9"/>
    <w:rsid w:val="005119A5"/>
    <w:rsid w:val="005278B7"/>
    <w:rsid w:val="00532016"/>
    <w:rsid w:val="005346C8"/>
    <w:rsid w:val="00543E7D"/>
    <w:rsid w:val="00546B05"/>
    <w:rsid w:val="00547A68"/>
    <w:rsid w:val="005531C9"/>
    <w:rsid w:val="00553DF1"/>
    <w:rsid w:val="005604F0"/>
    <w:rsid w:val="0059513E"/>
    <w:rsid w:val="005B2110"/>
    <w:rsid w:val="005B61E6"/>
    <w:rsid w:val="005C77E1"/>
    <w:rsid w:val="005D6A2F"/>
    <w:rsid w:val="005E1A82"/>
    <w:rsid w:val="005E794C"/>
    <w:rsid w:val="005F0A28"/>
    <w:rsid w:val="005F0E5E"/>
    <w:rsid w:val="00600535"/>
    <w:rsid w:val="0060701B"/>
    <w:rsid w:val="00610CD6"/>
    <w:rsid w:val="006111B4"/>
    <w:rsid w:val="00620DEE"/>
    <w:rsid w:val="00621F92"/>
    <w:rsid w:val="00624005"/>
    <w:rsid w:val="00625639"/>
    <w:rsid w:val="00631B33"/>
    <w:rsid w:val="0064184D"/>
    <w:rsid w:val="006422CC"/>
    <w:rsid w:val="00650920"/>
    <w:rsid w:val="00660E3E"/>
    <w:rsid w:val="00662E74"/>
    <w:rsid w:val="00680C23"/>
    <w:rsid w:val="00684DB4"/>
    <w:rsid w:val="00693766"/>
    <w:rsid w:val="006A1AC3"/>
    <w:rsid w:val="006A3281"/>
    <w:rsid w:val="006A5D5D"/>
    <w:rsid w:val="006B4888"/>
    <w:rsid w:val="006C2E45"/>
    <w:rsid w:val="006C359C"/>
    <w:rsid w:val="006C5579"/>
    <w:rsid w:val="006E6BBD"/>
    <w:rsid w:val="006E737D"/>
    <w:rsid w:val="007017BC"/>
    <w:rsid w:val="0070195D"/>
    <w:rsid w:val="00720A24"/>
    <w:rsid w:val="00732386"/>
    <w:rsid w:val="007447F3"/>
    <w:rsid w:val="00746EE0"/>
    <w:rsid w:val="0075499F"/>
    <w:rsid w:val="007661C8"/>
    <w:rsid w:val="0077098D"/>
    <w:rsid w:val="007931FA"/>
    <w:rsid w:val="007A46B9"/>
    <w:rsid w:val="007A7BBA"/>
    <w:rsid w:val="007B0C50"/>
    <w:rsid w:val="007C1A43"/>
    <w:rsid w:val="007D33E5"/>
    <w:rsid w:val="007D4812"/>
    <w:rsid w:val="007D4E58"/>
    <w:rsid w:val="007E1DC6"/>
    <w:rsid w:val="00807E1F"/>
    <w:rsid w:val="00813288"/>
    <w:rsid w:val="008168FC"/>
    <w:rsid w:val="00830996"/>
    <w:rsid w:val="00833FE2"/>
    <w:rsid w:val="008345F1"/>
    <w:rsid w:val="00855205"/>
    <w:rsid w:val="00865B07"/>
    <w:rsid w:val="008662A8"/>
    <w:rsid w:val="008667EA"/>
    <w:rsid w:val="008722BF"/>
    <w:rsid w:val="0087637F"/>
    <w:rsid w:val="00876FDC"/>
    <w:rsid w:val="00885B1C"/>
    <w:rsid w:val="008904B9"/>
    <w:rsid w:val="00892AD5"/>
    <w:rsid w:val="008A1512"/>
    <w:rsid w:val="008C78C1"/>
    <w:rsid w:val="008D32B9"/>
    <w:rsid w:val="008D433B"/>
    <w:rsid w:val="008D63E9"/>
    <w:rsid w:val="008E566E"/>
    <w:rsid w:val="008F712E"/>
    <w:rsid w:val="0090161A"/>
    <w:rsid w:val="00901EB6"/>
    <w:rsid w:val="009033E2"/>
    <w:rsid w:val="00904C62"/>
    <w:rsid w:val="00915B13"/>
    <w:rsid w:val="009245AC"/>
    <w:rsid w:val="00924DAC"/>
    <w:rsid w:val="00927058"/>
    <w:rsid w:val="009450CE"/>
    <w:rsid w:val="00947179"/>
    <w:rsid w:val="0095164B"/>
    <w:rsid w:val="00954090"/>
    <w:rsid w:val="009573E7"/>
    <w:rsid w:val="009635B9"/>
    <w:rsid w:val="00963E05"/>
    <w:rsid w:val="00967D54"/>
    <w:rsid w:val="00981019"/>
    <w:rsid w:val="00996483"/>
    <w:rsid w:val="00996F5A"/>
    <w:rsid w:val="009A0A3E"/>
    <w:rsid w:val="009B041A"/>
    <w:rsid w:val="009C7C86"/>
    <w:rsid w:val="009D1584"/>
    <w:rsid w:val="009D2FF7"/>
    <w:rsid w:val="009E406C"/>
    <w:rsid w:val="009E7884"/>
    <w:rsid w:val="009E788A"/>
    <w:rsid w:val="009F0E08"/>
    <w:rsid w:val="00A1763D"/>
    <w:rsid w:val="00A17CEC"/>
    <w:rsid w:val="00A26C5F"/>
    <w:rsid w:val="00A27EF0"/>
    <w:rsid w:val="00A50B20"/>
    <w:rsid w:val="00A51390"/>
    <w:rsid w:val="00A607B7"/>
    <w:rsid w:val="00A60D13"/>
    <w:rsid w:val="00A72745"/>
    <w:rsid w:val="00A76EFC"/>
    <w:rsid w:val="00A91010"/>
    <w:rsid w:val="00A97A40"/>
    <w:rsid w:val="00A97F29"/>
    <w:rsid w:val="00AA2581"/>
    <w:rsid w:val="00AA702E"/>
    <w:rsid w:val="00AB0964"/>
    <w:rsid w:val="00AB5011"/>
    <w:rsid w:val="00AC3AE1"/>
    <w:rsid w:val="00AC7368"/>
    <w:rsid w:val="00AD16B9"/>
    <w:rsid w:val="00AE377D"/>
    <w:rsid w:val="00B13665"/>
    <w:rsid w:val="00B17FBD"/>
    <w:rsid w:val="00B315A6"/>
    <w:rsid w:val="00B31813"/>
    <w:rsid w:val="00B33365"/>
    <w:rsid w:val="00B57B36"/>
    <w:rsid w:val="00B85C5F"/>
    <w:rsid w:val="00B8686D"/>
    <w:rsid w:val="00BC30C9"/>
    <w:rsid w:val="00BE3E58"/>
    <w:rsid w:val="00BF29DD"/>
    <w:rsid w:val="00BF4C4A"/>
    <w:rsid w:val="00C01616"/>
    <w:rsid w:val="00C0162B"/>
    <w:rsid w:val="00C345B1"/>
    <w:rsid w:val="00C40142"/>
    <w:rsid w:val="00C57182"/>
    <w:rsid w:val="00C57863"/>
    <w:rsid w:val="00C655FD"/>
    <w:rsid w:val="00C6588D"/>
    <w:rsid w:val="00C870A8"/>
    <w:rsid w:val="00C94434"/>
    <w:rsid w:val="00CA0D75"/>
    <w:rsid w:val="00CA1C95"/>
    <w:rsid w:val="00CA5A9C"/>
    <w:rsid w:val="00CD27CE"/>
    <w:rsid w:val="00CD3517"/>
    <w:rsid w:val="00CD5A00"/>
    <w:rsid w:val="00CD5FE2"/>
    <w:rsid w:val="00CE7C68"/>
    <w:rsid w:val="00D02B4C"/>
    <w:rsid w:val="00D040C4"/>
    <w:rsid w:val="00D13150"/>
    <w:rsid w:val="00D15D00"/>
    <w:rsid w:val="00D57C84"/>
    <w:rsid w:val="00D6057D"/>
    <w:rsid w:val="00D84576"/>
    <w:rsid w:val="00DA1399"/>
    <w:rsid w:val="00DA1AE1"/>
    <w:rsid w:val="00DA24C6"/>
    <w:rsid w:val="00DA4D7B"/>
    <w:rsid w:val="00DD411B"/>
    <w:rsid w:val="00DE264A"/>
    <w:rsid w:val="00DE542D"/>
    <w:rsid w:val="00E02D18"/>
    <w:rsid w:val="00E03B51"/>
    <w:rsid w:val="00E041E7"/>
    <w:rsid w:val="00E23CA1"/>
    <w:rsid w:val="00E26995"/>
    <w:rsid w:val="00E409A8"/>
    <w:rsid w:val="00E50C12"/>
    <w:rsid w:val="00E65B91"/>
    <w:rsid w:val="00E70A09"/>
    <w:rsid w:val="00E7209D"/>
    <w:rsid w:val="00E77223"/>
    <w:rsid w:val="00E8528B"/>
    <w:rsid w:val="00E85B94"/>
    <w:rsid w:val="00E978D0"/>
    <w:rsid w:val="00EA4613"/>
    <w:rsid w:val="00EA7F91"/>
    <w:rsid w:val="00EB1523"/>
    <w:rsid w:val="00EC0E49"/>
    <w:rsid w:val="00ED6D1C"/>
    <w:rsid w:val="00EE0131"/>
    <w:rsid w:val="00EF341C"/>
    <w:rsid w:val="00F13E05"/>
    <w:rsid w:val="00F155B2"/>
    <w:rsid w:val="00F16208"/>
    <w:rsid w:val="00F30C64"/>
    <w:rsid w:val="00F32CDB"/>
    <w:rsid w:val="00F54E4F"/>
    <w:rsid w:val="00F60A64"/>
    <w:rsid w:val="00F63A70"/>
    <w:rsid w:val="00F91C36"/>
    <w:rsid w:val="00FA0BD7"/>
    <w:rsid w:val="00FA1516"/>
    <w:rsid w:val="00FA21D0"/>
    <w:rsid w:val="00FA5F5F"/>
    <w:rsid w:val="00FB2F9A"/>
    <w:rsid w:val="00FB730C"/>
    <w:rsid w:val="00FC2695"/>
    <w:rsid w:val="00FC2A64"/>
    <w:rsid w:val="00FC3E03"/>
    <w:rsid w:val="00FC3FC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604A8"/>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16208"/>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16208"/>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Default">
    <w:name w:val="Default"/>
    <w:rsid w:val="008662A8"/>
    <w:pPr>
      <w:autoSpaceDE w:val="0"/>
      <w:autoSpaceDN w:val="0"/>
      <w:adjustRightInd w:val="0"/>
      <w:spacing w:after="0" w:line="240" w:lineRule="auto"/>
    </w:pPr>
    <w:rPr>
      <w:rFonts w:ascii="Times New Roman" w:hAnsi="Times New Roman" w:cs="Times New Roman"/>
      <w:color w:val="000000"/>
      <w:sz w:val="24"/>
      <w:szCs w:val="24"/>
      <w:lang w:val="es-MX"/>
    </w:rPr>
  </w:style>
  <w:style w:type="table" w:customStyle="1" w:styleId="Tablaconcuadrcula6concolores1">
    <w:name w:val="Tabla con cuadrícula 6 con colores1"/>
    <w:basedOn w:val="TableNormal"/>
    <w:uiPriority w:val="51"/>
    <w:rsid w:val="002C35C6"/>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FC2A6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885B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varezz80@hot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rodriguezcastrejon@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H:\curvas%20de%20crecimient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curvas%20de%20crecimiento.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7749893418018881"/>
          <c:y val="7.2400851468369595E-2"/>
          <c:w val="0.75818261136976417"/>
          <c:h val="0.57689462045590756"/>
        </c:manualLayout>
      </c:layout>
      <c:scatterChart>
        <c:scatterStyle val="lineMarker"/>
        <c:varyColors val="0"/>
        <c:ser>
          <c:idx val="1"/>
          <c:order val="0"/>
          <c:tx>
            <c:strRef>
              <c:f>CN!$F$42</c:f>
              <c:strCache>
                <c:ptCount val="1"/>
                <c:pt idx="0">
                  <c:v>CN </c:v>
                </c:pt>
              </c:strCache>
            </c:strRef>
          </c:tx>
          <c:spPr>
            <a:ln w="22225" cap="rnd">
              <a:solidFill>
                <a:schemeClr val="dk1">
                  <a:tint val="55000"/>
                </a:schemeClr>
              </a:solidFill>
              <a:round/>
            </a:ln>
            <a:effectLst/>
          </c:spPr>
          <c:marker>
            <c:symbol val="square"/>
            <c:size val="6"/>
            <c:spPr>
              <a:solidFill>
                <a:schemeClr val="dk1">
                  <a:tint val="55000"/>
                </a:schemeClr>
              </a:solidFill>
              <a:ln w="9525">
                <a:solidFill>
                  <a:schemeClr val="dk1">
                    <a:tint val="55000"/>
                  </a:schemeClr>
                </a:solidFill>
                <a:round/>
              </a:ln>
              <a:effectLst/>
            </c:spPr>
          </c:marker>
          <c:xVal>
            <c:numRef>
              <c:f>CN!$E$43:$E$50</c:f>
              <c:numCache>
                <c:formatCode>General</c:formatCode>
                <c:ptCount val="8"/>
                <c:pt idx="0">
                  <c:v>0</c:v>
                </c:pt>
                <c:pt idx="1">
                  <c:v>24</c:v>
                </c:pt>
                <c:pt idx="2">
                  <c:v>48</c:v>
                </c:pt>
                <c:pt idx="3">
                  <c:v>72</c:v>
                </c:pt>
                <c:pt idx="4">
                  <c:v>96</c:v>
                </c:pt>
                <c:pt idx="5">
                  <c:v>120</c:v>
                </c:pt>
                <c:pt idx="6">
                  <c:v>144</c:v>
                </c:pt>
                <c:pt idx="7">
                  <c:v>168</c:v>
                </c:pt>
              </c:numCache>
            </c:numRef>
          </c:xVal>
          <c:yVal>
            <c:numRef>
              <c:f>CN!$F$43:$F$50</c:f>
              <c:numCache>
                <c:formatCode>General</c:formatCode>
                <c:ptCount val="8"/>
                <c:pt idx="0">
                  <c:v>0.13719999999999999</c:v>
                </c:pt>
                <c:pt idx="1">
                  <c:v>0.7147</c:v>
                </c:pt>
                <c:pt idx="2">
                  <c:v>1.0891999999999999</c:v>
                </c:pt>
                <c:pt idx="3">
                  <c:v>1.3014999999999999</c:v>
                </c:pt>
                <c:pt idx="4">
                  <c:v>1.3768500000000001</c:v>
                </c:pt>
                <c:pt idx="5">
                  <c:v>1.3947499999999999</c:v>
                </c:pt>
                <c:pt idx="6">
                  <c:v>1.4069</c:v>
                </c:pt>
                <c:pt idx="7">
                  <c:v>1.43265</c:v>
                </c:pt>
              </c:numCache>
            </c:numRef>
          </c:yVal>
          <c:smooth val="0"/>
          <c:extLst xmlns:c16r2="http://schemas.microsoft.com/office/drawing/2015/06/chart">
            <c:ext xmlns:c16="http://schemas.microsoft.com/office/drawing/2014/chart" uri="{C3380CC4-5D6E-409C-BE32-E72D297353CC}">
              <c16:uniqueId val="{00000000-2D38-7B4B-83DD-F4BF971F2345}"/>
            </c:ext>
          </c:extLst>
        </c:ser>
        <c:ser>
          <c:idx val="2"/>
          <c:order val="1"/>
          <c:tx>
            <c:strRef>
              <c:f>CN!$I$76</c:f>
              <c:strCache>
                <c:ptCount val="1"/>
                <c:pt idx="0">
                  <c:v>YEM As(V) </c:v>
                </c:pt>
              </c:strCache>
            </c:strRef>
          </c:tx>
          <c:spPr>
            <a:ln w="22225" cap="rnd">
              <a:solidFill>
                <a:schemeClr val="dk1">
                  <a:tint val="75000"/>
                </a:schemeClr>
              </a:solidFill>
              <a:round/>
            </a:ln>
            <a:effectLst/>
          </c:spPr>
          <c:marker>
            <c:symbol val="triangle"/>
            <c:size val="6"/>
            <c:spPr>
              <a:solidFill>
                <a:schemeClr val="dk1">
                  <a:tint val="75000"/>
                </a:schemeClr>
              </a:solidFill>
              <a:ln w="9525">
                <a:solidFill>
                  <a:schemeClr val="dk1">
                    <a:tint val="75000"/>
                  </a:schemeClr>
                </a:solidFill>
                <a:round/>
              </a:ln>
              <a:effectLst/>
            </c:spPr>
          </c:marker>
          <c:xVal>
            <c:numRef>
              <c:f>CN!$H$77:$H$84</c:f>
              <c:numCache>
                <c:formatCode>General</c:formatCode>
                <c:ptCount val="8"/>
                <c:pt idx="0">
                  <c:v>0</c:v>
                </c:pt>
                <c:pt idx="1">
                  <c:v>24</c:v>
                </c:pt>
                <c:pt idx="2">
                  <c:v>48</c:v>
                </c:pt>
                <c:pt idx="3">
                  <c:v>72</c:v>
                </c:pt>
                <c:pt idx="4">
                  <c:v>96</c:v>
                </c:pt>
                <c:pt idx="5">
                  <c:v>120</c:v>
                </c:pt>
                <c:pt idx="6">
                  <c:v>144</c:v>
                </c:pt>
                <c:pt idx="7">
                  <c:v>168</c:v>
                </c:pt>
              </c:numCache>
            </c:numRef>
          </c:xVal>
          <c:yVal>
            <c:numRef>
              <c:f>CN!$I$77:$I$84</c:f>
              <c:numCache>
                <c:formatCode>General</c:formatCode>
                <c:ptCount val="8"/>
                <c:pt idx="0">
                  <c:v>9.4100000000000003E-2</c:v>
                </c:pt>
                <c:pt idx="1">
                  <c:v>0.52734999999999999</c:v>
                </c:pt>
                <c:pt idx="2">
                  <c:v>0.87824999999999998</c:v>
                </c:pt>
                <c:pt idx="3">
                  <c:v>1.1874</c:v>
                </c:pt>
                <c:pt idx="4">
                  <c:v>1.2992999999999999</c:v>
                </c:pt>
                <c:pt idx="5">
                  <c:v>1.4015</c:v>
                </c:pt>
                <c:pt idx="6">
                  <c:v>1.4006050000000001</c:v>
                </c:pt>
                <c:pt idx="7">
                  <c:v>1.4511000000000001</c:v>
                </c:pt>
              </c:numCache>
            </c:numRef>
          </c:yVal>
          <c:smooth val="0"/>
          <c:extLst xmlns:c16r2="http://schemas.microsoft.com/office/drawing/2015/06/chart">
            <c:ext xmlns:c16="http://schemas.microsoft.com/office/drawing/2014/chart" uri="{C3380CC4-5D6E-409C-BE32-E72D297353CC}">
              <c16:uniqueId val="{00000001-2D38-7B4B-83DD-F4BF971F2345}"/>
            </c:ext>
          </c:extLst>
        </c:ser>
        <c:ser>
          <c:idx val="3"/>
          <c:order val="2"/>
          <c:tx>
            <c:strRef>
              <c:f>'YEM As(V,III) 10 mM'!$C$42</c:f>
              <c:strCache>
                <c:ptCount val="1"/>
                <c:pt idx="0">
                  <c:v>YEM As(V,III) 10 mM</c:v>
                </c:pt>
              </c:strCache>
            </c:strRef>
          </c:tx>
          <c:spPr>
            <a:ln w="22225" cap="rnd">
              <a:solidFill>
                <a:schemeClr val="dk1">
                  <a:tint val="98500"/>
                </a:schemeClr>
              </a:solidFill>
              <a:round/>
            </a:ln>
            <a:effectLst/>
          </c:spPr>
          <c:marker>
            <c:symbol val="x"/>
            <c:size val="6"/>
            <c:spPr>
              <a:noFill/>
              <a:ln w="9525">
                <a:solidFill>
                  <a:schemeClr val="dk1">
                    <a:tint val="98500"/>
                  </a:schemeClr>
                </a:solidFill>
                <a:round/>
              </a:ln>
              <a:effectLst/>
            </c:spPr>
          </c:marker>
          <c:xVal>
            <c:numRef>
              <c:f>'YEM As(V,III) 10 mM'!$B$43:$B$49</c:f>
              <c:numCache>
                <c:formatCode>General</c:formatCode>
                <c:ptCount val="7"/>
                <c:pt idx="0">
                  <c:v>0</c:v>
                </c:pt>
                <c:pt idx="1">
                  <c:v>24</c:v>
                </c:pt>
                <c:pt idx="2">
                  <c:v>48</c:v>
                </c:pt>
                <c:pt idx="3">
                  <c:v>72</c:v>
                </c:pt>
                <c:pt idx="4">
                  <c:v>96</c:v>
                </c:pt>
                <c:pt idx="5">
                  <c:v>120</c:v>
                </c:pt>
                <c:pt idx="6">
                  <c:v>144</c:v>
                </c:pt>
              </c:numCache>
            </c:numRef>
          </c:xVal>
          <c:yVal>
            <c:numRef>
              <c:f>'YEM As(V,III) 10 mM'!$C$43:$C$49</c:f>
              <c:numCache>
                <c:formatCode>General</c:formatCode>
                <c:ptCount val="7"/>
                <c:pt idx="0">
                  <c:v>0.1037</c:v>
                </c:pt>
                <c:pt idx="1">
                  <c:v>0.4627</c:v>
                </c:pt>
                <c:pt idx="2">
                  <c:v>0.82735000000000003</c:v>
                </c:pt>
                <c:pt idx="3">
                  <c:v>1.04505</c:v>
                </c:pt>
                <c:pt idx="4">
                  <c:v>1.2212000000000001</c:v>
                </c:pt>
                <c:pt idx="5">
                  <c:v>1.27495</c:v>
                </c:pt>
                <c:pt idx="6">
                  <c:v>1.3815</c:v>
                </c:pt>
              </c:numCache>
            </c:numRef>
          </c:yVal>
          <c:smooth val="0"/>
          <c:extLst xmlns:c16r2="http://schemas.microsoft.com/office/drawing/2015/06/chart">
            <c:ext xmlns:c16="http://schemas.microsoft.com/office/drawing/2014/chart" uri="{C3380CC4-5D6E-409C-BE32-E72D297353CC}">
              <c16:uniqueId val="{00000002-2D38-7B4B-83DD-F4BF971F2345}"/>
            </c:ext>
          </c:extLst>
        </c:ser>
        <c:ser>
          <c:idx val="0"/>
          <c:order val="3"/>
          <c:tx>
            <c:strRef>
              <c:f>'YEM As(III) 10mM'!$C$41</c:f>
              <c:strCache>
                <c:ptCount val="1"/>
                <c:pt idx="0">
                  <c:v>YEM As(V,III) 10 mM </c:v>
                </c:pt>
              </c:strCache>
            </c:strRef>
          </c:tx>
          <c:spPr>
            <a:ln w="22225" cap="rnd">
              <a:solidFill>
                <a:schemeClr val="dk1">
                  <a:tint val="88500"/>
                </a:schemeClr>
              </a:solidFill>
              <a:round/>
            </a:ln>
            <a:effectLst/>
          </c:spPr>
          <c:marker>
            <c:symbol val="diamond"/>
            <c:size val="6"/>
            <c:spPr>
              <a:solidFill>
                <a:schemeClr val="dk1">
                  <a:tint val="88500"/>
                </a:schemeClr>
              </a:solidFill>
              <a:ln w="9525">
                <a:solidFill>
                  <a:schemeClr val="dk1">
                    <a:tint val="88500"/>
                  </a:schemeClr>
                </a:solidFill>
                <a:round/>
              </a:ln>
              <a:effectLst/>
            </c:spPr>
          </c:marker>
          <c:xVal>
            <c:numRef>
              <c:f>'YEM As(III) 10mM'!$B$42:$B$49</c:f>
              <c:numCache>
                <c:formatCode>General</c:formatCode>
                <c:ptCount val="8"/>
                <c:pt idx="0">
                  <c:v>0</c:v>
                </c:pt>
                <c:pt idx="1">
                  <c:v>24</c:v>
                </c:pt>
                <c:pt idx="2">
                  <c:v>48</c:v>
                </c:pt>
                <c:pt idx="3">
                  <c:v>72</c:v>
                </c:pt>
                <c:pt idx="4">
                  <c:v>96</c:v>
                </c:pt>
                <c:pt idx="5">
                  <c:v>120</c:v>
                </c:pt>
                <c:pt idx="6">
                  <c:v>144</c:v>
                </c:pt>
                <c:pt idx="7">
                  <c:v>168</c:v>
                </c:pt>
              </c:numCache>
            </c:numRef>
          </c:xVal>
          <c:yVal>
            <c:numRef>
              <c:f>'YEM As(III) 10mM'!$C$42:$C$49</c:f>
              <c:numCache>
                <c:formatCode>General</c:formatCode>
                <c:ptCount val="8"/>
                <c:pt idx="0">
                  <c:v>0.11260000000000001</c:v>
                </c:pt>
                <c:pt idx="1">
                  <c:v>0.51854999999999996</c:v>
                </c:pt>
                <c:pt idx="2">
                  <c:v>0.83705000000000007</c:v>
                </c:pt>
                <c:pt idx="3">
                  <c:v>1.0642499999999999</c:v>
                </c:pt>
                <c:pt idx="4">
                  <c:v>1.2065000000000001</c:v>
                </c:pt>
                <c:pt idx="5">
                  <c:v>1.3124</c:v>
                </c:pt>
                <c:pt idx="6">
                  <c:v>1.4012500000000001</c:v>
                </c:pt>
                <c:pt idx="7">
                  <c:v>1.3935500000000001</c:v>
                </c:pt>
              </c:numCache>
            </c:numRef>
          </c:yVal>
          <c:smooth val="0"/>
          <c:extLst xmlns:c16r2="http://schemas.microsoft.com/office/drawing/2015/06/chart">
            <c:ext xmlns:c16="http://schemas.microsoft.com/office/drawing/2014/chart" uri="{C3380CC4-5D6E-409C-BE32-E72D297353CC}">
              <c16:uniqueId val="{00000003-2D38-7B4B-83DD-F4BF971F2345}"/>
            </c:ext>
          </c:extLst>
        </c:ser>
        <c:dLbls>
          <c:showLegendKey val="0"/>
          <c:showVal val="0"/>
          <c:showCatName val="0"/>
          <c:showSerName val="0"/>
          <c:showPercent val="0"/>
          <c:showBubbleSize val="0"/>
        </c:dLbls>
        <c:axId val="-1475160976"/>
        <c:axId val="-1475174576"/>
      </c:scatterChart>
      <c:valAx>
        <c:axId val="-1475160976"/>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s-MX"/>
                  <a:t>Horas</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475174576"/>
        <c:crosses val="autoZero"/>
        <c:crossBetween val="midCat"/>
      </c:valAx>
      <c:valAx>
        <c:axId val="-1475174576"/>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s-MX"/>
                  <a:t>Abs mg/ml</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475160976"/>
        <c:crosses val="autoZero"/>
        <c:crossBetween val="midCat"/>
      </c:valAx>
      <c:spPr>
        <a:noFill/>
        <a:ln>
          <a:noFill/>
        </a:ln>
        <a:effectLst/>
      </c:spPr>
    </c:plotArea>
    <c:legend>
      <c:legendPos val="t"/>
      <c:layout>
        <c:manualLayout>
          <c:xMode val="edge"/>
          <c:yMode val="edge"/>
          <c:x val="3.9206969453007889E-2"/>
          <c:y val="0.82939632545931763"/>
          <c:w val="0.9240696159862809"/>
          <c:h val="0.169292578585157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lt1"/>
    </a:solidFill>
    <a:ln w="12700" cap="flat" cmpd="sng" algn="ctr">
      <a:solidFill>
        <a:schemeClr val="tx1"/>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6336642383176408"/>
          <c:y val="4.3609484711846919E-2"/>
          <c:w val="0.77427762870423322"/>
          <c:h val="0.58514794625030842"/>
        </c:manualLayout>
      </c:layout>
      <c:scatterChart>
        <c:scatterStyle val="smoothMarker"/>
        <c:varyColors val="0"/>
        <c:ser>
          <c:idx val="1"/>
          <c:order val="0"/>
          <c:tx>
            <c:strRef>
              <c:f>CN!$Q$59</c:f>
              <c:strCache>
                <c:ptCount val="1"/>
                <c:pt idx="0">
                  <c:v>CN</c:v>
                </c:pt>
              </c:strCache>
            </c:strRef>
          </c:tx>
          <c:spPr>
            <a:ln w="19050" cap="rnd" cmpd="sng" algn="ctr">
              <a:solidFill>
                <a:schemeClr val="dk1">
                  <a:tint val="55000"/>
                </a:schemeClr>
              </a:solidFill>
              <a:prstDash val="solid"/>
              <a:round/>
            </a:ln>
            <a:effectLst/>
          </c:spPr>
          <c:marker>
            <c:symbol val="square"/>
            <c:size val="6"/>
            <c:spPr>
              <a:solidFill>
                <a:schemeClr val="dk1">
                  <a:tint val="55000"/>
                </a:schemeClr>
              </a:solidFill>
              <a:ln w="6350" cap="flat" cmpd="sng" algn="ctr">
                <a:solidFill>
                  <a:schemeClr val="dk1">
                    <a:tint val="55000"/>
                  </a:schemeClr>
                </a:solidFill>
                <a:prstDash val="solid"/>
                <a:round/>
              </a:ln>
              <a:effectLst/>
            </c:spPr>
          </c:marker>
          <c:xVal>
            <c:numRef>
              <c:f>CN!$P$60:$P$67</c:f>
              <c:numCache>
                <c:formatCode>General</c:formatCode>
                <c:ptCount val="8"/>
                <c:pt idx="0">
                  <c:v>0</c:v>
                </c:pt>
                <c:pt idx="1">
                  <c:v>24</c:v>
                </c:pt>
                <c:pt idx="2">
                  <c:v>48</c:v>
                </c:pt>
                <c:pt idx="3">
                  <c:v>72</c:v>
                </c:pt>
                <c:pt idx="4">
                  <c:v>96</c:v>
                </c:pt>
                <c:pt idx="5">
                  <c:v>120</c:v>
                </c:pt>
                <c:pt idx="6">
                  <c:v>144</c:v>
                </c:pt>
                <c:pt idx="7">
                  <c:v>168</c:v>
                </c:pt>
              </c:numCache>
            </c:numRef>
          </c:xVal>
          <c:yVal>
            <c:numRef>
              <c:f>CN!$Q$60:$Q$67</c:f>
              <c:numCache>
                <c:formatCode>General</c:formatCode>
                <c:ptCount val="8"/>
                <c:pt idx="0">
                  <c:v>8.165E-2</c:v>
                </c:pt>
                <c:pt idx="1">
                  <c:v>0.26615</c:v>
                </c:pt>
                <c:pt idx="2">
                  <c:v>0.29359999999999997</c:v>
                </c:pt>
                <c:pt idx="3">
                  <c:v>0.22715000000000002</c:v>
                </c:pt>
                <c:pt idx="4">
                  <c:v>0.2369</c:v>
                </c:pt>
                <c:pt idx="5">
                  <c:v>0.30940000000000001</c:v>
                </c:pt>
                <c:pt idx="6">
                  <c:v>0.35914999999999997</c:v>
                </c:pt>
                <c:pt idx="7">
                  <c:v>0.40800000000000003</c:v>
                </c:pt>
              </c:numCache>
            </c:numRef>
          </c:yVal>
          <c:smooth val="1"/>
          <c:extLst xmlns:c16r2="http://schemas.microsoft.com/office/drawing/2015/06/chart">
            <c:ext xmlns:c16="http://schemas.microsoft.com/office/drawing/2014/chart" uri="{C3380CC4-5D6E-409C-BE32-E72D297353CC}">
              <c16:uniqueId val="{00000000-36F7-534F-A5A3-1A7B9F543DED}"/>
            </c:ext>
          </c:extLst>
        </c:ser>
        <c:ser>
          <c:idx val="2"/>
          <c:order val="1"/>
          <c:tx>
            <c:strRef>
              <c:f>CN!$Z$75</c:f>
              <c:strCache>
                <c:ptCount val="1"/>
                <c:pt idx="0">
                  <c:v>YEM As(V)</c:v>
                </c:pt>
              </c:strCache>
            </c:strRef>
          </c:tx>
          <c:spPr>
            <a:ln w="19050" cap="rnd" cmpd="sng" algn="ctr">
              <a:solidFill>
                <a:schemeClr val="dk1">
                  <a:tint val="75000"/>
                </a:schemeClr>
              </a:solidFill>
              <a:prstDash val="solid"/>
              <a:round/>
            </a:ln>
            <a:effectLst/>
          </c:spPr>
          <c:marker>
            <c:symbol val="triangle"/>
            <c:size val="6"/>
            <c:spPr>
              <a:solidFill>
                <a:schemeClr val="dk1">
                  <a:tint val="75000"/>
                </a:schemeClr>
              </a:solidFill>
              <a:ln w="6350" cap="flat" cmpd="sng" algn="ctr">
                <a:solidFill>
                  <a:schemeClr val="dk1">
                    <a:tint val="75000"/>
                  </a:schemeClr>
                </a:solidFill>
                <a:prstDash val="solid"/>
                <a:round/>
              </a:ln>
              <a:effectLst/>
            </c:spPr>
          </c:marker>
          <c:xVal>
            <c:numRef>
              <c:f>CN!$Y$76:$Y$83</c:f>
              <c:numCache>
                <c:formatCode>General</c:formatCode>
                <c:ptCount val="8"/>
                <c:pt idx="0">
                  <c:v>0</c:v>
                </c:pt>
                <c:pt idx="1">
                  <c:v>24</c:v>
                </c:pt>
                <c:pt idx="2">
                  <c:v>48</c:v>
                </c:pt>
                <c:pt idx="3">
                  <c:v>72</c:v>
                </c:pt>
                <c:pt idx="4">
                  <c:v>96</c:v>
                </c:pt>
                <c:pt idx="5">
                  <c:v>120</c:v>
                </c:pt>
                <c:pt idx="6">
                  <c:v>144</c:v>
                </c:pt>
                <c:pt idx="7">
                  <c:v>168</c:v>
                </c:pt>
              </c:numCache>
            </c:numRef>
          </c:xVal>
          <c:yVal>
            <c:numRef>
              <c:f>CN!$Z$76:$Z$83</c:f>
              <c:numCache>
                <c:formatCode>General</c:formatCode>
                <c:ptCount val="8"/>
                <c:pt idx="0">
                  <c:v>1.7299999999999999E-2</c:v>
                </c:pt>
                <c:pt idx="1">
                  <c:v>0.19850000000000001</c:v>
                </c:pt>
                <c:pt idx="2">
                  <c:v>0.3765</c:v>
                </c:pt>
                <c:pt idx="3">
                  <c:v>0.69340000000000002</c:v>
                </c:pt>
                <c:pt idx="4">
                  <c:v>0.93569999999999998</c:v>
                </c:pt>
                <c:pt idx="5">
                  <c:v>1.1051</c:v>
                </c:pt>
                <c:pt idx="6">
                  <c:v>1.1151</c:v>
                </c:pt>
                <c:pt idx="7">
                  <c:v>1.1660999999999999</c:v>
                </c:pt>
              </c:numCache>
            </c:numRef>
          </c:yVal>
          <c:smooth val="1"/>
          <c:extLst xmlns:c16r2="http://schemas.microsoft.com/office/drawing/2015/06/chart">
            <c:ext xmlns:c16="http://schemas.microsoft.com/office/drawing/2014/chart" uri="{C3380CC4-5D6E-409C-BE32-E72D297353CC}">
              <c16:uniqueId val="{00000001-36F7-534F-A5A3-1A7B9F543DED}"/>
            </c:ext>
          </c:extLst>
        </c:ser>
        <c:ser>
          <c:idx val="3"/>
          <c:order val="2"/>
          <c:tx>
            <c:strRef>
              <c:f>CN!$AA$58</c:f>
              <c:strCache>
                <c:ptCount val="1"/>
                <c:pt idx="0">
                  <c:v>YEM As(III)</c:v>
                </c:pt>
              </c:strCache>
            </c:strRef>
          </c:tx>
          <c:spPr>
            <a:ln w="19050" cap="rnd" cmpd="sng" algn="ctr">
              <a:solidFill>
                <a:schemeClr val="dk1">
                  <a:tint val="98500"/>
                </a:schemeClr>
              </a:solidFill>
              <a:prstDash val="solid"/>
              <a:round/>
            </a:ln>
            <a:effectLst/>
          </c:spPr>
          <c:marker>
            <c:symbol val="x"/>
            <c:size val="6"/>
            <c:spPr>
              <a:noFill/>
              <a:ln w="6350" cap="flat" cmpd="sng" algn="ctr">
                <a:solidFill>
                  <a:schemeClr val="dk1">
                    <a:tint val="98500"/>
                  </a:schemeClr>
                </a:solidFill>
                <a:prstDash val="solid"/>
                <a:round/>
              </a:ln>
              <a:effectLst/>
            </c:spPr>
          </c:marker>
          <c:xVal>
            <c:numRef>
              <c:f>CN!$Z$59:$Z$66</c:f>
              <c:numCache>
                <c:formatCode>General</c:formatCode>
                <c:ptCount val="8"/>
                <c:pt idx="0">
                  <c:v>0</c:v>
                </c:pt>
                <c:pt idx="1">
                  <c:v>24</c:v>
                </c:pt>
                <c:pt idx="2">
                  <c:v>48</c:v>
                </c:pt>
                <c:pt idx="3">
                  <c:v>72</c:v>
                </c:pt>
                <c:pt idx="4">
                  <c:v>96</c:v>
                </c:pt>
                <c:pt idx="5">
                  <c:v>120</c:v>
                </c:pt>
                <c:pt idx="6">
                  <c:v>144</c:v>
                </c:pt>
                <c:pt idx="7">
                  <c:v>168</c:v>
                </c:pt>
              </c:numCache>
            </c:numRef>
          </c:xVal>
          <c:yVal>
            <c:numRef>
              <c:f>CN!$AA$59:$AA$66</c:f>
              <c:numCache>
                <c:formatCode>General</c:formatCode>
                <c:ptCount val="8"/>
                <c:pt idx="0">
                  <c:v>1.2500000000000001E-2</c:v>
                </c:pt>
                <c:pt idx="1">
                  <c:v>0.25455</c:v>
                </c:pt>
                <c:pt idx="2">
                  <c:v>0.48359999999999997</c:v>
                </c:pt>
                <c:pt idx="3">
                  <c:v>0.66279999999999994</c:v>
                </c:pt>
                <c:pt idx="4">
                  <c:v>0.78979999999999995</c:v>
                </c:pt>
                <c:pt idx="5">
                  <c:v>0.78539999999999999</c:v>
                </c:pt>
                <c:pt idx="6">
                  <c:v>0.9</c:v>
                </c:pt>
                <c:pt idx="7">
                  <c:v>0.79669999999999996</c:v>
                </c:pt>
              </c:numCache>
            </c:numRef>
          </c:yVal>
          <c:smooth val="1"/>
          <c:extLst xmlns:c16r2="http://schemas.microsoft.com/office/drawing/2015/06/chart">
            <c:ext xmlns:c16="http://schemas.microsoft.com/office/drawing/2014/chart" uri="{C3380CC4-5D6E-409C-BE32-E72D297353CC}">
              <c16:uniqueId val="{00000002-36F7-534F-A5A3-1A7B9F543DED}"/>
            </c:ext>
          </c:extLst>
        </c:ser>
        <c:ser>
          <c:idx val="0"/>
          <c:order val="3"/>
          <c:tx>
            <c:strRef>
              <c:f>'YEM As(V,III) 10 mM'!$C$109</c:f>
              <c:strCache>
                <c:ptCount val="1"/>
                <c:pt idx="0">
                  <c:v>YEM As(V,III) 10 mM</c:v>
                </c:pt>
              </c:strCache>
            </c:strRef>
          </c:tx>
          <c:spPr>
            <a:ln w="19050" cap="rnd" cmpd="sng" algn="ctr">
              <a:solidFill>
                <a:schemeClr val="dk1">
                  <a:tint val="88500"/>
                </a:schemeClr>
              </a:solidFill>
              <a:prstDash val="solid"/>
              <a:round/>
            </a:ln>
            <a:effectLst/>
          </c:spPr>
          <c:marker>
            <c:symbol val="diamond"/>
            <c:size val="6"/>
            <c:spPr>
              <a:solidFill>
                <a:schemeClr val="dk1">
                  <a:tint val="88500"/>
                </a:schemeClr>
              </a:solidFill>
              <a:ln w="6350" cap="flat" cmpd="sng" algn="ctr">
                <a:solidFill>
                  <a:schemeClr val="dk1">
                    <a:tint val="88500"/>
                  </a:schemeClr>
                </a:solidFill>
                <a:prstDash val="solid"/>
                <a:round/>
              </a:ln>
              <a:effectLst/>
            </c:spPr>
          </c:marker>
          <c:xVal>
            <c:numRef>
              <c:f>'YEM As(V,III) 10 mM'!$B$110:$B$116</c:f>
              <c:numCache>
                <c:formatCode>General</c:formatCode>
                <c:ptCount val="7"/>
                <c:pt idx="0">
                  <c:v>0</c:v>
                </c:pt>
                <c:pt idx="1">
                  <c:v>24</c:v>
                </c:pt>
                <c:pt idx="2">
                  <c:v>48</c:v>
                </c:pt>
                <c:pt idx="3">
                  <c:v>72</c:v>
                </c:pt>
                <c:pt idx="4">
                  <c:v>96</c:v>
                </c:pt>
                <c:pt idx="5">
                  <c:v>120</c:v>
                </c:pt>
                <c:pt idx="6">
                  <c:v>144</c:v>
                </c:pt>
              </c:numCache>
            </c:numRef>
          </c:xVal>
          <c:yVal>
            <c:numRef>
              <c:f>'YEM As(V,III) 10 mM'!$C$110:$C$116</c:f>
              <c:numCache>
                <c:formatCode>General</c:formatCode>
                <c:ptCount val="7"/>
                <c:pt idx="0">
                  <c:v>3.3E-3</c:v>
                </c:pt>
                <c:pt idx="1">
                  <c:v>0.15670000000000001</c:v>
                </c:pt>
                <c:pt idx="2">
                  <c:v>0.3891</c:v>
                </c:pt>
                <c:pt idx="3">
                  <c:v>0.61024999999999996</c:v>
                </c:pt>
                <c:pt idx="4">
                  <c:v>0.75364999999999993</c:v>
                </c:pt>
                <c:pt idx="5">
                  <c:v>0.76524999999999999</c:v>
                </c:pt>
                <c:pt idx="6">
                  <c:v>0.76059999999999994</c:v>
                </c:pt>
              </c:numCache>
            </c:numRef>
          </c:yVal>
          <c:smooth val="1"/>
          <c:extLst xmlns:c16r2="http://schemas.microsoft.com/office/drawing/2015/06/chart">
            <c:ext xmlns:c16="http://schemas.microsoft.com/office/drawing/2014/chart" uri="{C3380CC4-5D6E-409C-BE32-E72D297353CC}">
              <c16:uniqueId val="{00000003-36F7-534F-A5A3-1A7B9F543DED}"/>
            </c:ext>
          </c:extLst>
        </c:ser>
        <c:dLbls>
          <c:showLegendKey val="0"/>
          <c:showVal val="0"/>
          <c:showCatName val="0"/>
          <c:showSerName val="0"/>
          <c:showPercent val="0"/>
          <c:showBubbleSize val="0"/>
        </c:dLbls>
        <c:axId val="-1475169136"/>
        <c:axId val="-1475162064"/>
      </c:scatterChart>
      <c:valAx>
        <c:axId val="-147516913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s-MX" sz="1000">
                    <a:latin typeface="Times New Roman" panose="02020603050405020304" pitchFamily="18" charset="0"/>
                    <a:cs typeface="Times New Roman" panose="02020603050405020304" pitchFamily="18" charset="0"/>
                  </a:rPr>
                  <a:t>Horas</a:t>
                </a:r>
              </a:p>
            </c:rich>
          </c:tx>
          <c:layout>
            <c:manualLayout>
              <c:xMode val="edge"/>
              <c:yMode val="edge"/>
              <c:x val="0.49070983445505073"/>
              <c:y val="0.72105525270879589"/>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w="9525" cap="flat" cmpd="sng" algn="ctr">
            <a:solidFill>
              <a:schemeClr val="dk1">
                <a:lumMod val="15000"/>
                <a:lumOff val="85000"/>
                <a:alpha val="54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crossAx val="-1475162064"/>
        <c:crosses val="autoZero"/>
        <c:crossBetween val="midCat"/>
      </c:valAx>
      <c:valAx>
        <c:axId val="-1475162064"/>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s-MX" sz="1000">
                    <a:latin typeface="Times New Roman" panose="02020603050405020304" pitchFamily="18" charset="0"/>
                    <a:cs typeface="Times New Roman" panose="02020603050405020304" pitchFamily="18" charset="0"/>
                  </a:rPr>
                  <a:t>Abs mg/ml</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w="9525" cap="flat" cmpd="sng" algn="ctr">
            <a:solidFill>
              <a:schemeClr val="dk1">
                <a:lumMod val="15000"/>
                <a:lumOff val="85000"/>
                <a:alpha val="54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crossAx val="-1475169136"/>
        <c:crosses val="autoZero"/>
        <c:crossBetween val="midCat"/>
      </c:valAx>
      <c:spPr>
        <a:noFill/>
        <a:ln>
          <a:noFill/>
        </a:ln>
        <a:effectLst/>
      </c:spPr>
    </c:plotArea>
    <c:legend>
      <c:legendPos val="b"/>
      <c:layout>
        <c:manualLayout>
          <c:xMode val="edge"/>
          <c:yMode val="edge"/>
          <c:x val="0.11446134118731341"/>
          <c:y val="0.80697938398725788"/>
          <c:w val="0.79482599026266754"/>
          <c:h val="0.147436570428696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showDLblsOverMax val="0"/>
  </c:chart>
  <c:spPr>
    <a:solidFill>
      <a:schemeClr val="lt1"/>
    </a:solidFill>
    <a:ln w="12700" cap="flat" cmpd="sng" algn="ctr">
      <a:solidFill>
        <a:schemeClr val="tx1"/>
      </a:solidFill>
      <a:prstDash val="solid"/>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8EC68-571D-4004-A871-150DDD41E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3449</Words>
  <Characters>18970</Characters>
  <Application>Microsoft Office Word</Application>
  <DocSecurity>0</DocSecurity>
  <Lines>158</Lines>
  <Paragraphs>44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Emiliano Rodriguez Castrejón</cp:lastModifiedBy>
  <cp:revision>2</cp:revision>
  <cp:lastPrinted>2015-05-12T17:31:00Z</cp:lastPrinted>
  <dcterms:created xsi:type="dcterms:W3CDTF">2019-04-10T17:41:00Z</dcterms:created>
  <dcterms:modified xsi:type="dcterms:W3CDTF">2019-04-10T17:41:00Z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