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4"/>
        <w:gridCol w:w="1843"/>
      </w:tblGrid>
      <w:tr w:rsidR="000A03B2" w:rsidRPr="00B57B36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</w:rPr>
              <w:drawing>
                <wp:inline distT="0" distB="0" distL="0" distR="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B57B36" w:rsidRDefault="000A03B2" w:rsidP="00CD5FE2">
            <w:pPr>
              <w:jc w:val="right"/>
            </w:pPr>
            <w:r w:rsidRPr="00B57B36">
              <w:rPr>
                <w:noProof/>
              </w:rPr>
              <w:drawing>
                <wp:inline distT="0" distB="0" distL="0" distR="0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B57B36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162642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B57B36">
        <w:trPr>
          <w:trHeight w:val="68"/>
          <w:jc w:val="center"/>
        </w:trPr>
        <w:tc>
          <w:tcPr>
            <w:tcW w:w="8789" w:type="dxa"/>
            <w:gridSpan w:val="2"/>
          </w:tcPr>
          <w:p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</w:t>
            </w:r>
            <w:r w:rsidR="00904C62" w:rsidRPr="002856D8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Servizi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E978D0" w:rsidRPr="00A40964" w:rsidRDefault="00B226BA" w:rsidP="00A40964">
      <w:pPr>
        <w:pStyle w:val="CETTitle"/>
      </w:pPr>
      <w:r w:rsidRPr="00A40964">
        <w:lastRenderedPageBreak/>
        <w:t>Modeling and Simulation of</w:t>
      </w:r>
      <w:r>
        <w:t xml:space="preserve"> Novel Bi- a</w:t>
      </w:r>
      <w:r w:rsidRPr="00A40964">
        <w:t>nd Tri-Reforming Processes for the Production of Renewable Methanol</w:t>
      </w:r>
    </w:p>
    <w:p w:rsidR="00E978D0" w:rsidRPr="00B57B36" w:rsidRDefault="0023752D" w:rsidP="00AB5011">
      <w:pPr>
        <w:pStyle w:val="CETAuthors"/>
      </w:pPr>
      <w:r w:rsidRPr="0023752D">
        <w:t>Tuan B.H. Nguyen</w:t>
      </w:r>
      <w:r w:rsidR="00600535" w:rsidRPr="00B57B36">
        <w:t xml:space="preserve">*, </w:t>
      </w:r>
      <w:r w:rsidRPr="0023752D">
        <w:t>and Edwin Zondervan</w:t>
      </w:r>
    </w:p>
    <w:p w:rsidR="00E978D0" w:rsidRPr="00B57B36" w:rsidRDefault="0023752D" w:rsidP="00E978D0">
      <w:pPr>
        <w:pStyle w:val="CETAddress"/>
      </w:pPr>
      <w:r>
        <w:t xml:space="preserve"> </w:t>
      </w:r>
      <w:r w:rsidRPr="0023752D">
        <w:t>Laboratory of Process Systems Engineering, University of Bremen, UFT building, Room 1250, Leobener Str. 6, 28359 Bremen, Germany</w:t>
      </w:r>
    </w:p>
    <w:p w:rsidR="00E978D0" w:rsidRPr="00D97BEC" w:rsidRDefault="00AB5011" w:rsidP="00D97BEC">
      <w:pPr>
        <w:pStyle w:val="CETemail"/>
      </w:pPr>
      <w:r w:rsidRPr="00D97BEC">
        <w:t xml:space="preserve"> </w:t>
      </w:r>
      <w:r w:rsidR="0023752D" w:rsidRPr="00D97BEC">
        <w:t>nbhuutuan@uni-bremen.de</w:t>
      </w:r>
    </w:p>
    <w:p w:rsidR="00600535" w:rsidRPr="009B0760" w:rsidRDefault="0000582E" w:rsidP="00600535">
      <w:pPr>
        <w:pStyle w:val="CETBodytext"/>
      </w:pPr>
      <w:bookmarkStart w:id="0" w:name="_Hlk495475023"/>
      <w:r w:rsidRPr="0000582E">
        <w:rPr>
          <w:lang w:val="en-GB"/>
        </w:rPr>
        <w:t>Flue gases from coal, gas, or oil-fired power plants</w:t>
      </w:r>
      <w:r w:rsidR="00AF213B">
        <w:rPr>
          <w:lang w:val="en-GB"/>
        </w:rPr>
        <w:t>, as well as many heavy industries,</w:t>
      </w:r>
      <w:r w:rsidRPr="0000582E">
        <w:rPr>
          <w:lang w:val="en-GB"/>
        </w:rPr>
        <w:t xml:space="preserve"> </w:t>
      </w:r>
      <w:r w:rsidRPr="00AF213B">
        <w:rPr>
          <w:noProof/>
          <w:lang w:val="en-GB"/>
        </w:rPr>
        <w:t>are claimed</w:t>
      </w:r>
      <w:r w:rsidRPr="0000582E">
        <w:rPr>
          <w:lang w:val="en-GB"/>
        </w:rPr>
        <w:t xml:space="preserve"> as </w:t>
      </w:r>
      <w:r w:rsidR="007C58CB">
        <w:rPr>
          <w:noProof/>
          <w:lang w:val="en-GB"/>
        </w:rPr>
        <w:t>primary</w:t>
      </w:r>
      <w:r w:rsidRPr="0000582E">
        <w:rPr>
          <w:lang w:val="en-GB"/>
        </w:rPr>
        <w:t xml:space="preserve"> sources of CO</w:t>
      </w:r>
      <w:r w:rsidRPr="00F4036E">
        <w:rPr>
          <w:vertAlign w:val="subscript"/>
          <w:lang w:val="en-GB"/>
        </w:rPr>
        <w:t>2</w:t>
      </w:r>
      <w:r w:rsidRPr="0000582E">
        <w:rPr>
          <w:lang w:val="en-GB"/>
        </w:rPr>
        <w:t xml:space="preserve"> emissions. Although </w:t>
      </w:r>
      <w:r w:rsidR="00567A95" w:rsidRPr="00B53AC6">
        <w:rPr>
          <w:lang w:val="en-GB"/>
        </w:rPr>
        <w:t>CO</w:t>
      </w:r>
      <w:r w:rsidR="00567A95" w:rsidRPr="00B963B0">
        <w:rPr>
          <w:vertAlign w:val="subscript"/>
          <w:lang w:val="en-GB"/>
        </w:rPr>
        <w:t>2</w:t>
      </w:r>
      <w:r w:rsidR="00567A95" w:rsidRPr="00B53AC6">
        <w:rPr>
          <w:lang w:val="en-GB"/>
        </w:rPr>
        <w:t xml:space="preserve"> </w:t>
      </w:r>
      <w:r w:rsidRPr="0000582E">
        <w:rPr>
          <w:lang w:val="en-GB"/>
        </w:rPr>
        <w:t xml:space="preserve">capture and storage can play a role in decreasing </w:t>
      </w:r>
      <w:r w:rsidR="00567A95" w:rsidRPr="00B53AC6">
        <w:rPr>
          <w:lang w:val="en-GB"/>
        </w:rPr>
        <w:t>CO</w:t>
      </w:r>
      <w:r w:rsidR="00567A95" w:rsidRPr="00B963B0">
        <w:rPr>
          <w:vertAlign w:val="subscript"/>
          <w:lang w:val="en-GB"/>
        </w:rPr>
        <w:t>2</w:t>
      </w:r>
      <w:r w:rsidRPr="0000582E">
        <w:rPr>
          <w:lang w:val="en-GB"/>
        </w:rPr>
        <w:t xml:space="preserve">, its cost is preventing it from </w:t>
      </w:r>
      <w:r w:rsidR="00AF213B">
        <w:rPr>
          <w:lang w:val="en-GB"/>
        </w:rPr>
        <w:t xml:space="preserve">the </w:t>
      </w:r>
      <w:r w:rsidR="007C58CB">
        <w:rPr>
          <w:noProof/>
          <w:lang w:val="en-GB"/>
        </w:rPr>
        <w:t>broad</w:t>
      </w:r>
      <w:r w:rsidRPr="0000582E">
        <w:rPr>
          <w:lang w:val="en-GB"/>
        </w:rPr>
        <w:t xml:space="preserve"> application. Converting flue gases into methanol offers a change to mitigate </w:t>
      </w:r>
      <w:r w:rsidR="00567A95" w:rsidRPr="00B53AC6">
        <w:rPr>
          <w:lang w:val="en-GB"/>
        </w:rPr>
        <w:t>CO</w:t>
      </w:r>
      <w:r w:rsidR="00567A95" w:rsidRPr="00B963B0">
        <w:rPr>
          <w:vertAlign w:val="subscript"/>
          <w:lang w:val="en-GB"/>
        </w:rPr>
        <w:t>2</w:t>
      </w:r>
      <w:r w:rsidR="00567A95" w:rsidRPr="00B53AC6">
        <w:rPr>
          <w:lang w:val="en-GB"/>
        </w:rPr>
        <w:t xml:space="preserve"> </w:t>
      </w:r>
      <w:r w:rsidRPr="0000582E">
        <w:rPr>
          <w:lang w:val="en-GB"/>
        </w:rPr>
        <w:t xml:space="preserve">emissions and a way to produce useful chemicals. In this study, two novel technologies including bi- and tri-reforming </w:t>
      </w:r>
      <w:r w:rsidRPr="007C58CB">
        <w:rPr>
          <w:noProof/>
          <w:lang w:val="en-GB"/>
        </w:rPr>
        <w:t>are analy</w:t>
      </w:r>
      <w:r w:rsidR="00AF213B" w:rsidRPr="007C58CB">
        <w:rPr>
          <w:noProof/>
          <w:lang w:val="en-GB"/>
        </w:rPr>
        <w:t>z</w:t>
      </w:r>
      <w:r w:rsidRPr="007C58CB">
        <w:rPr>
          <w:noProof/>
          <w:lang w:val="en-GB"/>
        </w:rPr>
        <w:t>ed</w:t>
      </w:r>
      <w:r w:rsidRPr="0000582E">
        <w:rPr>
          <w:lang w:val="en-GB"/>
        </w:rPr>
        <w:t xml:space="preserve"> for methanol production from </w:t>
      </w:r>
      <w:r w:rsidR="00567A95" w:rsidRPr="00B53AC6">
        <w:rPr>
          <w:lang w:val="en-GB"/>
        </w:rPr>
        <w:t>CO</w:t>
      </w:r>
      <w:r w:rsidR="00567A95" w:rsidRPr="00B963B0">
        <w:rPr>
          <w:vertAlign w:val="subscript"/>
          <w:lang w:val="en-GB"/>
        </w:rPr>
        <w:t>2</w:t>
      </w:r>
      <w:r w:rsidRPr="0000582E">
        <w:rPr>
          <w:lang w:val="en-GB"/>
        </w:rPr>
        <w:t xml:space="preserve">. The environmental and economic results </w:t>
      </w:r>
      <w:r w:rsidRPr="007C58CB">
        <w:rPr>
          <w:noProof/>
          <w:lang w:val="en-GB"/>
        </w:rPr>
        <w:t>are examined</w:t>
      </w:r>
      <w:r w:rsidRPr="0000582E">
        <w:rPr>
          <w:lang w:val="en-GB"/>
        </w:rPr>
        <w:t xml:space="preserve"> as two </w:t>
      </w:r>
      <w:r w:rsidR="007C58CB">
        <w:rPr>
          <w:noProof/>
          <w:lang w:val="en-GB"/>
        </w:rPr>
        <w:t>significant</w:t>
      </w:r>
      <w:r w:rsidRPr="0000582E">
        <w:rPr>
          <w:lang w:val="en-GB"/>
        </w:rPr>
        <w:t xml:space="preserve"> factors for green design. Preliminary evaluations pointed out that the reforming-based routes can be considered as a hopeful method for </w:t>
      </w:r>
      <w:r w:rsidR="00567A95" w:rsidRPr="00B53AC6">
        <w:rPr>
          <w:lang w:val="en-GB"/>
        </w:rPr>
        <w:t>CO</w:t>
      </w:r>
      <w:r w:rsidR="00567A95" w:rsidRPr="00B963B0">
        <w:rPr>
          <w:vertAlign w:val="subscript"/>
          <w:lang w:val="en-GB"/>
        </w:rPr>
        <w:t>2</w:t>
      </w:r>
      <w:r w:rsidR="00567A95" w:rsidRPr="00B53AC6">
        <w:rPr>
          <w:lang w:val="en-GB"/>
        </w:rPr>
        <w:t xml:space="preserve"> </w:t>
      </w:r>
      <w:r w:rsidRPr="0000582E">
        <w:rPr>
          <w:lang w:val="en-GB"/>
        </w:rPr>
        <w:t xml:space="preserve">treatment during the transition stage from a carbon-based- to </w:t>
      </w:r>
      <w:r w:rsidR="00AF213B">
        <w:rPr>
          <w:lang w:val="en-GB"/>
        </w:rPr>
        <w:t xml:space="preserve">the </w:t>
      </w:r>
      <w:r w:rsidRPr="00AF213B">
        <w:rPr>
          <w:noProof/>
          <w:lang w:val="en-GB"/>
        </w:rPr>
        <w:t>carbon-free</w:t>
      </w:r>
      <w:r w:rsidRPr="0000582E">
        <w:rPr>
          <w:lang w:val="en-GB"/>
        </w:rPr>
        <w:t xml:space="preserve"> program</w:t>
      </w:r>
      <w:r>
        <w:rPr>
          <w:lang w:val="en-GB"/>
        </w:rPr>
        <w:t>.</w:t>
      </w:r>
    </w:p>
    <w:bookmarkEnd w:id="0"/>
    <w:p w:rsidR="00600535" w:rsidRPr="00B57B36" w:rsidRDefault="00EC0207" w:rsidP="00600535">
      <w:pPr>
        <w:pStyle w:val="CETHeading1"/>
        <w:rPr>
          <w:lang w:val="en-GB"/>
        </w:rPr>
      </w:pPr>
      <w:r>
        <w:rPr>
          <w:lang w:val="en-GB"/>
        </w:rPr>
        <w:t xml:space="preserve">1. </w:t>
      </w:r>
      <w:r w:rsidR="00600535" w:rsidRPr="00B57B36">
        <w:rPr>
          <w:lang w:val="en-GB"/>
        </w:rPr>
        <w:t>Introduction</w:t>
      </w:r>
    </w:p>
    <w:p w:rsidR="00C15FBE" w:rsidRDefault="004F6D08" w:rsidP="00600535">
      <w:pPr>
        <w:pStyle w:val="CETBodytext"/>
        <w:rPr>
          <w:lang w:val="en-GB"/>
        </w:rPr>
      </w:pPr>
      <w:r w:rsidRPr="004F6D08">
        <w:rPr>
          <w:lang w:val="en-GB"/>
        </w:rPr>
        <w:t>Anthropogenic emissions of CO</w:t>
      </w:r>
      <w:r w:rsidRPr="00B963B0">
        <w:rPr>
          <w:vertAlign w:val="subscript"/>
          <w:lang w:val="en-GB"/>
        </w:rPr>
        <w:t>2</w:t>
      </w:r>
      <w:r w:rsidRPr="004F6D08">
        <w:rPr>
          <w:lang w:val="en-GB"/>
        </w:rPr>
        <w:t xml:space="preserve"> have escalated remarkably in </w:t>
      </w:r>
      <w:r w:rsidRPr="00AF213B">
        <w:rPr>
          <w:noProof/>
          <w:lang w:val="en-GB"/>
        </w:rPr>
        <w:t>recent</w:t>
      </w:r>
      <w:r w:rsidRPr="004F6D08">
        <w:rPr>
          <w:lang w:val="en-GB"/>
        </w:rPr>
        <w:t xml:space="preserve"> years, leading to the </w:t>
      </w:r>
      <w:r w:rsidRPr="00AF213B">
        <w:rPr>
          <w:noProof/>
          <w:lang w:val="en-GB"/>
        </w:rPr>
        <w:t>ris</w:t>
      </w:r>
      <w:r w:rsidR="00AF213B">
        <w:rPr>
          <w:noProof/>
          <w:lang w:val="en-GB"/>
        </w:rPr>
        <w:t>ing</w:t>
      </w:r>
      <w:r w:rsidRPr="004F6D08">
        <w:rPr>
          <w:lang w:val="en-GB"/>
        </w:rPr>
        <w:t xml:space="preserve"> </w:t>
      </w:r>
      <w:r w:rsidR="00F414FD">
        <w:rPr>
          <w:lang w:val="en-GB"/>
        </w:rPr>
        <w:t>volume</w:t>
      </w:r>
      <w:r w:rsidRPr="004F6D08">
        <w:rPr>
          <w:lang w:val="en-GB"/>
        </w:rPr>
        <w:t xml:space="preserve"> of greenhouse gases in the air</w:t>
      </w:r>
      <w:r>
        <w:rPr>
          <w:lang w:val="en-GB"/>
        </w:rPr>
        <w:t xml:space="preserve">. </w:t>
      </w:r>
      <w:r w:rsidR="00847578">
        <w:rPr>
          <w:lang w:val="en-GB"/>
        </w:rPr>
        <w:t xml:space="preserve">As a result, </w:t>
      </w:r>
      <w:r w:rsidR="00847578" w:rsidRPr="00847578">
        <w:rPr>
          <w:lang w:val="en-GB"/>
        </w:rPr>
        <w:t xml:space="preserve">this </w:t>
      </w:r>
      <w:r w:rsidR="004F0D53">
        <w:rPr>
          <w:lang w:val="en-GB"/>
        </w:rPr>
        <w:t>situation</w:t>
      </w:r>
      <w:r w:rsidR="00847578" w:rsidRPr="00847578">
        <w:rPr>
          <w:lang w:val="en-GB"/>
        </w:rPr>
        <w:t xml:space="preserve"> </w:t>
      </w:r>
      <w:r w:rsidR="00847578">
        <w:rPr>
          <w:lang w:val="en-GB"/>
        </w:rPr>
        <w:t xml:space="preserve">has </w:t>
      </w:r>
      <w:r w:rsidR="00AF02BB">
        <w:rPr>
          <w:noProof/>
          <w:lang w:val="en-GB"/>
        </w:rPr>
        <w:t>increased to</w:t>
      </w:r>
      <w:r w:rsidR="00847578" w:rsidRPr="00847578">
        <w:rPr>
          <w:lang w:val="en-GB"/>
        </w:rPr>
        <w:t xml:space="preserve"> global temperature recently</w:t>
      </w:r>
      <w:r w:rsidR="00847578">
        <w:rPr>
          <w:lang w:val="en-GB"/>
        </w:rPr>
        <w:t xml:space="preserve">. </w:t>
      </w:r>
      <w:r w:rsidR="00B53AC6">
        <w:rPr>
          <w:lang w:val="en-GB"/>
        </w:rPr>
        <w:t>Therefore, converting CO</w:t>
      </w:r>
      <w:r w:rsidR="00B53AC6" w:rsidRPr="00B963B0">
        <w:rPr>
          <w:vertAlign w:val="subscript"/>
          <w:lang w:val="en-GB"/>
        </w:rPr>
        <w:t>2</w:t>
      </w:r>
      <w:r w:rsidR="00B53AC6">
        <w:rPr>
          <w:lang w:val="en-GB"/>
        </w:rPr>
        <w:t xml:space="preserve"> into useful chemicals </w:t>
      </w:r>
      <w:r w:rsidR="00B53AC6" w:rsidRPr="00B53AC6">
        <w:rPr>
          <w:lang w:val="en-GB"/>
        </w:rPr>
        <w:t xml:space="preserve">are </w:t>
      </w:r>
      <w:r w:rsidR="00B53AC6">
        <w:rPr>
          <w:lang w:val="en-GB"/>
        </w:rPr>
        <w:t>needed</w:t>
      </w:r>
      <w:r w:rsidR="00B53AC6" w:rsidRPr="00B53AC6">
        <w:rPr>
          <w:lang w:val="en-GB"/>
        </w:rPr>
        <w:t xml:space="preserve"> to </w:t>
      </w:r>
      <w:r w:rsidR="00B53AC6">
        <w:rPr>
          <w:lang w:val="en-GB"/>
        </w:rPr>
        <w:t>decrease</w:t>
      </w:r>
      <w:r w:rsidR="00B53AC6" w:rsidRPr="00B53AC6">
        <w:rPr>
          <w:lang w:val="en-GB"/>
        </w:rPr>
        <w:t xml:space="preserve"> CO</w:t>
      </w:r>
      <w:r w:rsidR="00B53AC6" w:rsidRPr="00B963B0">
        <w:rPr>
          <w:vertAlign w:val="subscript"/>
          <w:lang w:val="en-GB"/>
        </w:rPr>
        <w:t>2</w:t>
      </w:r>
      <w:r w:rsidR="00B53AC6" w:rsidRPr="00B53AC6">
        <w:rPr>
          <w:lang w:val="en-GB"/>
        </w:rPr>
        <w:t xml:space="preserve"> emissions</w:t>
      </w:r>
      <w:r w:rsidR="00E73A5D">
        <w:rPr>
          <w:lang w:val="en-GB"/>
        </w:rPr>
        <w:t xml:space="preserve">. </w:t>
      </w:r>
      <w:r w:rsidR="008848B9">
        <w:rPr>
          <w:lang w:val="en-GB"/>
        </w:rPr>
        <w:t>Useful</w:t>
      </w:r>
      <w:r w:rsidR="00C15FBE" w:rsidRPr="00C15FBE">
        <w:rPr>
          <w:lang w:val="en-GB"/>
        </w:rPr>
        <w:t xml:space="preserve"> industrial products </w:t>
      </w:r>
      <w:r w:rsidR="008848B9">
        <w:rPr>
          <w:lang w:val="en-GB"/>
        </w:rPr>
        <w:t>produced</w:t>
      </w:r>
      <w:r w:rsidR="00C15FBE" w:rsidRPr="00C15FBE">
        <w:rPr>
          <w:lang w:val="en-GB"/>
        </w:rPr>
        <w:t xml:space="preserve"> from CO</w:t>
      </w:r>
      <w:r w:rsidR="00C15FBE" w:rsidRPr="00B963B0">
        <w:rPr>
          <w:vertAlign w:val="subscript"/>
          <w:lang w:val="en-GB"/>
        </w:rPr>
        <w:t>2</w:t>
      </w:r>
      <w:r w:rsidR="00C15FBE" w:rsidRPr="00C15FBE">
        <w:rPr>
          <w:lang w:val="en-GB"/>
        </w:rPr>
        <w:t xml:space="preserve"> </w:t>
      </w:r>
      <w:r w:rsidR="008848B9">
        <w:rPr>
          <w:lang w:val="en-GB"/>
        </w:rPr>
        <w:t xml:space="preserve">can </w:t>
      </w:r>
      <w:r w:rsidR="0057351A">
        <w:rPr>
          <w:lang w:val="en-GB"/>
        </w:rPr>
        <w:t xml:space="preserve">not only </w:t>
      </w:r>
      <w:r w:rsidR="008848B9">
        <w:rPr>
          <w:lang w:val="en-GB"/>
        </w:rPr>
        <w:t>allow</w:t>
      </w:r>
      <w:r w:rsidR="00C15FBE" w:rsidRPr="00C15FBE">
        <w:rPr>
          <w:lang w:val="en-GB"/>
        </w:rPr>
        <w:t xml:space="preserve"> new processes</w:t>
      </w:r>
      <w:r w:rsidR="008848B9">
        <w:rPr>
          <w:lang w:val="en-GB"/>
        </w:rPr>
        <w:t xml:space="preserve"> to</w:t>
      </w:r>
      <w:r w:rsidR="00C15FBE" w:rsidRPr="00C15FBE">
        <w:rPr>
          <w:lang w:val="en-GB"/>
        </w:rPr>
        <w:t xml:space="preserve"> become </w:t>
      </w:r>
      <w:r w:rsidR="008848B9">
        <w:rPr>
          <w:lang w:val="en-GB"/>
        </w:rPr>
        <w:t>cost-</w:t>
      </w:r>
      <w:r w:rsidR="0091498C">
        <w:rPr>
          <w:lang w:val="en-GB"/>
        </w:rPr>
        <w:t>saving</w:t>
      </w:r>
      <w:r w:rsidR="0057351A">
        <w:rPr>
          <w:lang w:val="en-GB"/>
        </w:rPr>
        <w:t xml:space="preserve"> but also </w:t>
      </w:r>
      <w:r w:rsidR="00C15FBE" w:rsidRPr="00C15FBE">
        <w:rPr>
          <w:lang w:val="en-GB"/>
        </w:rPr>
        <w:t xml:space="preserve">gradually </w:t>
      </w:r>
      <w:r w:rsidR="008848B9">
        <w:rPr>
          <w:lang w:val="en-GB"/>
        </w:rPr>
        <w:t>lessen</w:t>
      </w:r>
      <w:r w:rsidR="00C15FBE" w:rsidRPr="00C15FBE">
        <w:rPr>
          <w:lang w:val="en-GB"/>
        </w:rPr>
        <w:t xml:space="preserve"> the </w:t>
      </w:r>
      <w:r w:rsidR="008848B9">
        <w:rPr>
          <w:lang w:val="en-GB"/>
        </w:rPr>
        <w:t xml:space="preserve">dependence </w:t>
      </w:r>
      <w:r w:rsidR="00AF02BB">
        <w:rPr>
          <w:noProof/>
          <w:lang w:val="en-GB"/>
        </w:rPr>
        <w:t>on</w:t>
      </w:r>
      <w:r w:rsidR="00C15FBE" w:rsidRPr="00C15FBE">
        <w:rPr>
          <w:lang w:val="en-GB"/>
        </w:rPr>
        <w:t xml:space="preserve"> fossil fuels. As a </w:t>
      </w:r>
      <w:r w:rsidR="005B1E47">
        <w:rPr>
          <w:lang w:val="en-GB"/>
        </w:rPr>
        <w:t>consequence</w:t>
      </w:r>
      <w:r w:rsidR="00C15FBE" w:rsidRPr="00C15FBE">
        <w:rPr>
          <w:lang w:val="en-GB"/>
        </w:rPr>
        <w:t xml:space="preserve">, the capture and </w:t>
      </w:r>
      <w:r w:rsidR="005B1E47">
        <w:rPr>
          <w:lang w:val="en-GB"/>
        </w:rPr>
        <w:t>synthesis</w:t>
      </w:r>
      <w:r w:rsidR="00C15FBE" w:rsidRPr="00C15FBE">
        <w:rPr>
          <w:lang w:val="en-GB"/>
        </w:rPr>
        <w:t xml:space="preserve"> of CO</w:t>
      </w:r>
      <w:r w:rsidR="00C15FBE" w:rsidRPr="00897045">
        <w:rPr>
          <w:vertAlign w:val="subscript"/>
          <w:lang w:val="en-GB"/>
        </w:rPr>
        <w:t>2</w:t>
      </w:r>
      <w:r w:rsidR="00C15FBE" w:rsidRPr="00C15FBE">
        <w:rPr>
          <w:lang w:val="en-GB"/>
        </w:rPr>
        <w:t xml:space="preserve"> into chemicals </w:t>
      </w:r>
      <w:r w:rsidR="005B1E47">
        <w:rPr>
          <w:lang w:val="en-GB"/>
        </w:rPr>
        <w:t xml:space="preserve">seems </w:t>
      </w:r>
      <w:r w:rsidR="00C15FBE" w:rsidRPr="00C15FBE">
        <w:rPr>
          <w:lang w:val="en-GB"/>
        </w:rPr>
        <w:t xml:space="preserve">to </w:t>
      </w:r>
      <w:r w:rsidR="005B1E47">
        <w:rPr>
          <w:lang w:val="en-GB"/>
        </w:rPr>
        <w:t>propose</w:t>
      </w:r>
      <w:r w:rsidR="00C15FBE" w:rsidRPr="00C15FBE">
        <w:rPr>
          <w:lang w:val="en-GB"/>
        </w:rPr>
        <w:t xml:space="preserve"> a high </w:t>
      </w:r>
      <w:r w:rsidR="00842031">
        <w:rPr>
          <w:lang w:val="en-GB"/>
        </w:rPr>
        <w:t>opportunity to mitigate CO</w:t>
      </w:r>
      <w:r w:rsidR="00842031" w:rsidRPr="00B963B0">
        <w:rPr>
          <w:vertAlign w:val="subscript"/>
          <w:lang w:val="en-GB"/>
        </w:rPr>
        <w:t>2</w:t>
      </w:r>
      <w:r w:rsidR="00C15FBE" w:rsidRPr="00C15FBE">
        <w:rPr>
          <w:lang w:val="en-GB"/>
        </w:rPr>
        <w:t xml:space="preserve"> </w:t>
      </w:r>
      <w:r w:rsidR="002D6967">
        <w:rPr>
          <w:lang w:val="en-GB"/>
        </w:rPr>
        <w:t>with l</w:t>
      </w:r>
      <w:r w:rsidR="0063100E">
        <w:rPr>
          <w:lang w:val="en-GB"/>
        </w:rPr>
        <w:t>ow cost and friendly environment</w:t>
      </w:r>
      <w:r w:rsidR="00C15FBE" w:rsidRPr="00C15FBE">
        <w:rPr>
          <w:lang w:val="en-GB"/>
        </w:rPr>
        <w:t>.</w:t>
      </w:r>
      <w:r w:rsidR="000C05CE">
        <w:rPr>
          <w:lang w:val="en-GB"/>
        </w:rPr>
        <w:t xml:space="preserve"> </w:t>
      </w:r>
    </w:p>
    <w:p w:rsidR="00C5430B" w:rsidRDefault="00C5430B" w:rsidP="00600535">
      <w:pPr>
        <w:pStyle w:val="CETBodytext"/>
        <w:rPr>
          <w:lang w:val="en-GB"/>
        </w:rPr>
      </w:pPr>
      <w:r w:rsidRPr="00C5430B">
        <w:rPr>
          <w:lang w:val="en-GB"/>
        </w:rPr>
        <w:t xml:space="preserve">Methanol </w:t>
      </w:r>
      <w:r w:rsidR="00C74081">
        <w:rPr>
          <w:lang w:val="en-GB"/>
        </w:rPr>
        <w:t xml:space="preserve">(MeOH) </w:t>
      </w:r>
      <w:r>
        <w:rPr>
          <w:lang w:val="en-GB"/>
        </w:rPr>
        <w:t>produced</w:t>
      </w:r>
      <w:r w:rsidRPr="00C5430B">
        <w:rPr>
          <w:lang w:val="en-GB"/>
        </w:rPr>
        <w:t xml:space="preserve"> through </w:t>
      </w:r>
      <w:r>
        <w:rPr>
          <w:lang w:val="en-GB"/>
        </w:rPr>
        <w:t>reforming</w:t>
      </w:r>
      <w:r w:rsidRPr="00C5430B">
        <w:rPr>
          <w:lang w:val="en-GB"/>
        </w:rPr>
        <w:t xml:space="preserve"> of CO</w:t>
      </w:r>
      <w:r w:rsidRPr="00B963B0">
        <w:rPr>
          <w:vertAlign w:val="subscript"/>
          <w:lang w:val="en-GB"/>
        </w:rPr>
        <w:t>2</w:t>
      </w:r>
      <w:r w:rsidRPr="00C5430B">
        <w:rPr>
          <w:lang w:val="en-GB"/>
        </w:rPr>
        <w:t xml:space="preserve"> has been </w:t>
      </w:r>
      <w:r>
        <w:rPr>
          <w:lang w:val="en-GB"/>
        </w:rPr>
        <w:t>broadly</w:t>
      </w:r>
      <w:r w:rsidRPr="00C5430B">
        <w:rPr>
          <w:lang w:val="en-GB"/>
        </w:rPr>
        <w:t xml:space="preserve"> </w:t>
      </w:r>
      <w:r>
        <w:rPr>
          <w:lang w:val="en-GB"/>
        </w:rPr>
        <w:t>targeted as a prospective solution</w:t>
      </w:r>
      <w:r w:rsidRPr="00C5430B">
        <w:rPr>
          <w:lang w:val="en-GB"/>
        </w:rPr>
        <w:t xml:space="preserve"> to </w:t>
      </w:r>
      <w:r>
        <w:rPr>
          <w:lang w:val="en-GB"/>
        </w:rPr>
        <w:t>substitute for</w:t>
      </w:r>
      <w:r w:rsidRPr="00C5430B">
        <w:rPr>
          <w:lang w:val="en-GB"/>
        </w:rPr>
        <w:t xml:space="preserve"> gasoline. </w:t>
      </w:r>
      <w:r w:rsidR="00AF02BB">
        <w:rPr>
          <w:noProof/>
          <w:lang w:val="en-GB"/>
        </w:rPr>
        <w:t>It is o</w:t>
      </w:r>
      <w:r w:rsidRPr="00AF02BB">
        <w:rPr>
          <w:noProof/>
          <w:lang w:val="en-GB"/>
        </w:rPr>
        <w:t>wing</w:t>
      </w:r>
      <w:r w:rsidR="00AF213B">
        <w:rPr>
          <w:noProof/>
          <w:lang w:val="en-GB"/>
        </w:rPr>
        <w:t xml:space="preserve"> to</w:t>
      </w:r>
      <w:r w:rsidRPr="00C5430B">
        <w:rPr>
          <w:lang w:val="en-GB"/>
        </w:rPr>
        <w:t xml:space="preserve"> excell</w:t>
      </w:r>
      <w:r w:rsidR="001455AB">
        <w:rPr>
          <w:lang w:val="en-GB"/>
        </w:rPr>
        <w:t>ent combustion characteristics and</w:t>
      </w:r>
      <w:r w:rsidRPr="00C5430B">
        <w:rPr>
          <w:lang w:val="en-GB"/>
        </w:rPr>
        <w:t xml:space="preserve"> lower pollutants than </w:t>
      </w:r>
      <w:r w:rsidR="001455AB">
        <w:rPr>
          <w:lang w:val="en-GB"/>
        </w:rPr>
        <w:t>gasoline</w:t>
      </w:r>
      <w:r w:rsidRPr="00C5430B">
        <w:rPr>
          <w:lang w:val="en-GB"/>
        </w:rPr>
        <w:t xml:space="preserve"> </w:t>
      </w:r>
      <w:r w:rsidR="001455AB">
        <w:rPr>
          <w:lang w:val="en-GB"/>
        </w:rPr>
        <w:t>permits</w:t>
      </w:r>
      <w:r w:rsidRPr="00C5430B">
        <w:rPr>
          <w:lang w:val="en-GB"/>
        </w:rPr>
        <w:t xml:space="preserve"> methanol to be a</w:t>
      </w:r>
      <w:r w:rsidR="001455AB">
        <w:rPr>
          <w:lang w:val="en-GB"/>
        </w:rPr>
        <w:t>n</w:t>
      </w:r>
      <w:r w:rsidRPr="00C5430B">
        <w:rPr>
          <w:lang w:val="en-GB"/>
        </w:rPr>
        <w:t xml:space="preserve"> </w:t>
      </w:r>
      <w:r w:rsidR="007C58CB">
        <w:rPr>
          <w:noProof/>
          <w:lang w:val="en-GB"/>
        </w:rPr>
        <w:t>essential</w:t>
      </w:r>
      <w:r w:rsidRPr="00C5430B">
        <w:rPr>
          <w:lang w:val="en-GB"/>
        </w:rPr>
        <w:t xml:space="preserve"> </w:t>
      </w:r>
      <w:r w:rsidR="001455AB">
        <w:rPr>
          <w:lang w:val="en-GB"/>
        </w:rPr>
        <w:t>substitution</w:t>
      </w:r>
      <w:r w:rsidRPr="00C5430B">
        <w:rPr>
          <w:lang w:val="en-GB"/>
        </w:rPr>
        <w:t xml:space="preserve"> as fuel in vehicles. </w:t>
      </w:r>
      <w:r w:rsidR="001455AB">
        <w:rPr>
          <w:lang w:val="en-GB"/>
        </w:rPr>
        <w:t>Moreover</w:t>
      </w:r>
      <w:r w:rsidRPr="00C5430B">
        <w:rPr>
          <w:lang w:val="en-GB"/>
        </w:rPr>
        <w:t xml:space="preserve">, methanol is </w:t>
      </w:r>
      <w:r w:rsidR="00696709">
        <w:rPr>
          <w:lang w:val="en-GB"/>
        </w:rPr>
        <w:t>commonly</w:t>
      </w:r>
      <w:r w:rsidRPr="00C5430B">
        <w:rPr>
          <w:lang w:val="en-GB"/>
        </w:rPr>
        <w:t xml:space="preserve"> </w:t>
      </w:r>
      <w:r w:rsidR="00696709">
        <w:rPr>
          <w:lang w:val="en-GB"/>
        </w:rPr>
        <w:t>employed</w:t>
      </w:r>
      <w:r w:rsidRPr="00C5430B">
        <w:rPr>
          <w:lang w:val="en-GB"/>
        </w:rPr>
        <w:t xml:space="preserve"> in the chemical industry as an intermediate to </w:t>
      </w:r>
      <w:r w:rsidR="00696709">
        <w:rPr>
          <w:lang w:val="en-GB"/>
        </w:rPr>
        <w:t>synthesize</w:t>
      </w:r>
      <w:r w:rsidRPr="00C5430B">
        <w:rPr>
          <w:lang w:val="en-GB"/>
        </w:rPr>
        <w:t xml:space="preserve"> other chemicals, especially dimethyl ether, formaldehyde, MTBE and acetic acid</w:t>
      </w:r>
      <w:r w:rsidR="006B7C06">
        <w:rPr>
          <w:lang w:val="en-GB"/>
        </w:rPr>
        <w:t xml:space="preserve"> </w:t>
      </w:r>
      <w:r w:rsidR="0089729C">
        <w:rPr>
          <w:lang w:val="en-GB"/>
        </w:rPr>
        <w:fldChar w:fldCharType="begin" w:fldLock="1"/>
      </w:r>
      <w:r w:rsidR="00127DDD">
        <w:rPr>
          <w:lang w:val="en-GB"/>
        </w:rPr>
        <w:instrText>ADDIN CSL_CITATION {"citationItems":[{"id":"ITEM-1","itemData":{"DOI":"10.1021/jo801260f","ISSN":"0022-3263","author":[{"dropping-particle":"","family":"Olah","given":"George A","non-dropping-particle":"","parse-names":false,"suffix":""},{"dropping-particle":"","family":"Goeppert","given":"Alain","non-dropping-particle":"","parse-names":false,"suffix":""},{"dropping-particle":"","family":"Prakash","given":"G K Surya","non-dropping-particle":"","parse-names":false,"suffix":""}],"container-title":"The Journal of Organic Chemistry","id":"ITEM-1","issue":"2","issued":{"date-parts":[["2009","1","16"]]},"note":"From Duplicate 1 (Chemical Recycling of Carbon Dioxide to Methanol and Dimethyl Ether: From Greenhouse Gas to Renewable, Environmentally Carbon Neutral Fuels and Synthetic Hydrocarbons - Olah, George A; Goeppert, Alain; Prakash, G K Surya)\n\ndoi: 10.1021/jo801260f","page":"487-498","publisher":"American Chemical Society","title":"Chemical Recycling of Carbon Dioxide to Methanol and Dimethyl Ether: From Greenhouse Gas to Renewable, Environmentally Carbon Neutral Fuels and Synthetic Hydrocarbons","type":"article-journal","volume":"74"},"uris":["http://www.mendeley.com/documents/?uuid=18926950-49d4-44d1-931b-013738557ee4"]}],"mendeley":{"formattedCitation":"(Olah, Goeppert and Prakash, 2009)","plainTextFormattedCitation":"(Olah, Goeppert and Prakash, 2009)","previouslyFormattedCitation":"(Olah, Goeppert and Prakash, 2009)"},"properties":{"noteIndex":0},"schema":"https://github.com/citation-style-language/schema/raw/master/csl-citation.json"}</w:instrText>
      </w:r>
      <w:r w:rsidR="0089729C">
        <w:rPr>
          <w:lang w:val="en-GB"/>
        </w:rPr>
        <w:fldChar w:fldCharType="separate"/>
      </w:r>
      <w:r w:rsidR="004526AA" w:rsidRPr="004526AA">
        <w:rPr>
          <w:noProof/>
          <w:lang w:val="en-GB"/>
        </w:rPr>
        <w:t>(Olah, Goeppert and Prakash, 2009)</w:t>
      </w:r>
      <w:r w:rsidR="0089729C">
        <w:rPr>
          <w:lang w:val="en-GB"/>
        </w:rPr>
        <w:fldChar w:fldCharType="end"/>
      </w:r>
      <w:r w:rsidR="005211B9">
        <w:rPr>
          <w:lang w:val="en-GB"/>
        </w:rPr>
        <w:t xml:space="preserve">. </w:t>
      </w:r>
    </w:p>
    <w:p w:rsidR="0091498C" w:rsidRPr="00FA5F5F" w:rsidRDefault="00B42617" w:rsidP="00600535">
      <w:pPr>
        <w:pStyle w:val="CETBodytext"/>
        <w:rPr>
          <w:lang w:val="en-GB"/>
        </w:rPr>
      </w:pPr>
      <w:r w:rsidRPr="00B42617">
        <w:rPr>
          <w:lang w:val="en-GB"/>
        </w:rPr>
        <w:t xml:space="preserve">In this </w:t>
      </w:r>
      <w:r>
        <w:rPr>
          <w:lang w:val="en-GB"/>
        </w:rPr>
        <w:t>study</w:t>
      </w:r>
      <w:r w:rsidRPr="00B42617">
        <w:rPr>
          <w:lang w:val="en-GB"/>
        </w:rPr>
        <w:t xml:space="preserve">, two thermochemical conversion </w:t>
      </w:r>
      <w:r>
        <w:rPr>
          <w:lang w:val="en-GB"/>
        </w:rPr>
        <w:t>routes including</w:t>
      </w:r>
      <w:r w:rsidRPr="00B42617">
        <w:rPr>
          <w:lang w:val="en-GB"/>
        </w:rPr>
        <w:t xml:space="preserve"> </w:t>
      </w:r>
      <w:r>
        <w:rPr>
          <w:lang w:val="en-GB"/>
        </w:rPr>
        <w:t xml:space="preserve">bi- and tri-reforming </w:t>
      </w:r>
      <w:r w:rsidR="006675B8">
        <w:rPr>
          <w:lang w:val="en-GB"/>
        </w:rPr>
        <w:t>of CO</w:t>
      </w:r>
      <w:r w:rsidR="006675B8" w:rsidRPr="00B963B0">
        <w:rPr>
          <w:vertAlign w:val="subscript"/>
          <w:lang w:val="en-GB"/>
        </w:rPr>
        <w:t>2</w:t>
      </w:r>
      <w:r w:rsidR="006675B8">
        <w:rPr>
          <w:lang w:val="en-GB"/>
        </w:rPr>
        <w:t xml:space="preserve"> </w:t>
      </w:r>
      <w:r w:rsidRPr="007C58CB">
        <w:rPr>
          <w:noProof/>
          <w:lang w:val="en-GB"/>
        </w:rPr>
        <w:t>are examined</w:t>
      </w:r>
      <w:r>
        <w:rPr>
          <w:lang w:val="en-GB"/>
        </w:rPr>
        <w:t xml:space="preserve">. </w:t>
      </w:r>
      <w:r w:rsidR="009F54E8" w:rsidRPr="009F54E8">
        <w:rPr>
          <w:lang w:val="en-GB"/>
        </w:rPr>
        <w:t xml:space="preserve">Designs of sustainable methanol </w:t>
      </w:r>
      <w:r w:rsidR="009F54E8">
        <w:rPr>
          <w:lang w:val="en-GB"/>
        </w:rPr>
        <w:t>processes</w:t>
      </w:r>
      <w:r w:rsidR="009F54E8" w:rsidRPr="009F54E8">
        <w:rPr>
          <w:lang w:val="en-GB"/>
        </w:rPr>
        <w:t xml:space="preserve"> </w:t>
      </w:r>
      <w:r w:rsidR="009F54E8">
        <w:rPr>
          <w:lang w:val="en-GB"/>
        </w:rPr>
        <w:t>utilized</w:t>
      </w:r>
      <w:r w:rsidR="009F54E8" w:rsidRPr="009F54E8">
        <w:rPr>
          <w:lang w:val="en-GB"/>
        </w:rPr>
        <w:t xml:space="preserve"> these </w:t>
      </w:r>
      <w:r w:rsidR="009F54E8">
        <w:rPr>
          <w:lang w:val="en-GB"/>
        </w:rPr>
        <w:t>routes</w:t>
      </w:r>
      <w:r w:rsidR="009F54E8" w:rsidRPr="009F54E8">
        <w:rPr>
          <w:lang w:val="en-GB"/>
        </w:rPr>
        <w:t xml:space="preserve"> </w:t>
      </w:r>
      <w:r w:rsidR="009F54E8" w:rsidRPr="007C58CB">
        <w:rPr>
          <w:noProof/>
          <w:lang w:val="en-GB"/>
        </w:rPr>
        <w:t>are proposed</w:t>
      </w:r>
      <w:r w:rsidR="009F54E8">
        <w:rPr>
          <w:lang w:val="en-GB"/>
        </w:rPr>
        <w:t xml:space="preserve"> while </w:t>
      </w:r>
      <w:r w:rsidR="009F54E8" w:rsidRPr="009F54E8">
        <w:rPr>
          <w:lang w:val="en-GB"/>
        </w:rPr>
        <w:t>the net CO</w:t>
      </w:r>
      <w:r w:rsidR="009F54E8" w:rsidRPr="00B963B0">
        <w:rPr>
          <w:vertAlign w:val="subscript"/>
          <w:lang w:val="en-GB"/>
        </w:rPr>
        <w:t>2</w:t>
      </w:r>
      <w:r w:rsidR="009F54E8" w:rsidRPr="009F54E8">
        <w:rPr>
          <w:lang w:val="en-GB"/>
        </w:rPr>
        <w:t xml:space="preserve"> flow and economic </w:t>
      </w:r>
      <w:r w:rsidR="001234B3">
        <w:rPr>
          <w:lang w:val="en-GB"/>
        </w:rPr>
        <w:t>factors</w:t>
      </w:r>
      <w:r w:rsidR="009F54E8" w:rsidRPr="009F54E8">
        <w:rPr>
          <w:lang w:val="en-GB"/>
        </w:rPr>
        <w:t xml:space="preserve"> of </w:t>
      </w:r>
      <w:r w:rsidR="00674853">
        <w:rPr>
          <w:lang w:val="en-GB"/>
        </w:rPr>
        <w:t>these</w:t>
      </w:r>
      <w:r w:rsidR="009F54E8" w:rsidRPr="009F54E8">
        <w:rPr>
          <w:lang w:val="en-GB"/>
        </w:rPr>
        <w:t xml:space="preserve"> </w:t>
      </w:r>
      <w:r w:rsidR="009F54E8">
        <w:rPr>
          <w:lang w:val="en-GB"/>
        </w:rPr>
        <w:t>technologies</w:t>
      </w:r>
      <w:r w:rsidR="009F54E8" w:rsidRPr="009F54E8">
        <w:rPr>
          <w:lang w:val="en-GB"/>
        </w:rPr>
        <w:t xml:space="preserve"> </w:t>
      </w:r>
      <w:r w:rsidR="009F54E8" w:rsidRPr="007C58CB">
        <w:rPr>
          <w:noProof/>
          <w:lang w:val="en-GB"/>
        </w:rPr>
        <w:t>are compared</w:t>
      </w:r>
      <w:r w:rsidR="009F54E8">
        <w:rPr>
          <w:lang w:val="en-GB"/>
        </w:rPr>
        <w:t>.</w:t>
      </w:r>
    </w:p>
    <w:p w:rsidR="00600535" w:rsidRPr="00B57B36" w:rsidRDefault="00EC0207" w:rsidP="00600535">
      <w:pPr>
        <w:pStyle w:val="CETHeading1"/>
        <w:tabs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2. </w:t>
      </w:r>
      <w:r w:rsidR="00867E07">
        <w:rPr>
          <w:lang w:val="en-GB"/>
        </w:rPr>
        <w:t>Process d</w:t>
      </w:r>
      <w:r w:rsidR="00C83749">
        <w:rPr>
          <w:lang w:val="en-GB"/>
        </w:rPr>
        <w:t>escription</w:t>
      </w:r>
    </w:p>
    <w:p w:rsidR="00600535" w:rsidRDefault="005230DA" w:rsidP="00600535">
      <w:pPr>
        <w:pStyle w:val="CETBodytext"/>
        <w:rPr>
          <w:lang w:val="en-GB"/>
        </w:rPr>
      </w:pPr>
      <w:r w:rsidRPr="005230DA">
        <w:rPr>
          <w:lang w:val="en-GB"/>
        </w:rPr>
        <w:t>In this study, two methanol production processes are developed and compared.</w:t>
      </w:r>
      <w:r w:rsidR="0026095E" w:rsidRPr="0026095E">
        <w:t xml:space="preserve"> </w:t>
      </w:r>
      <w:r w:rsidR="006F7430">
        <w:t>All</w:t>
      </w:r>
      <w:r w:rsidR="0026095E" w:rsidRPr="0026095E">
        <w:rPr>
          <w:lang w:val="en-GB"/>
        </w:rPr>
        <w:t xml:space="preserve"> process</w:t>
      </w:r>
      <w:r w:rsidR="006F7430">
        <w:rPr>
          <w:lang w:val="en-GB"/>
        </w:rPr>
        <w:t>es</w:t>
      </w:r>
      <w:r w:rsidR="0026095E" w:rsidRPr="0026095E">
        <w:rPr>
          <w:lang w:val="en-GB"/>
        </w:rPr>
        <w:t xml:space="preserve"> </w:t>
      </w:r>
      <w:r w:rsidR="00DC7CAB">
        <w:rPr>
          <w:lang w:val="en-GB"/>
        </w:rPr>
        <w:t>employ</w:t>
      </w:r>
      <w:r w:rsidR="0026095E" w:rsidRPr="0026095E">
        <w:rPr>
          <w:lang w:val="en-GB"/>
        </w:rPr>
        <w:t xml:space="preserve"> </w:t>
      </w:r>
      <w:r w:rsidR="00DC7CAB">
        <w:rPr>
          <w:lang w:val="en-GB"/>
        </w:rPr>
        <w:t xml:space="preserve">captured </w:t>
      </w:r>
      <w:r w:rsidR="0026095E" w:rsidRPr="0026095E">
        <w:rPr>
          <w:lang w:val="en-GB"/>
        </w:rPr>
        <w:t>CO</w:t>
      </w:r>
      <w:r w:rsidR="0026095E" w:rsidRPr="004B71BC">
        <w:rPr>
          <w:vertAlign w:val="subscript"/>
          <w:lang w:val="en-GB"/>
        </w:rPr>
        <w:t>2</w:t>
      </w:r>
      <w:r w:rsidR="0026095E" w:rsidRPr="0026095E">
        <w:rPr>
          <w:lang w:val="en-GB"/>
        </w:rPr>
        <w:t xml:space="preserve"> </w:t>
      </w:r>
      <w:r w:rsidR="00BF30B0">
        <w:rPr>
          <w:lang w:val="en-GB"/>
        </w:rPr>
        <w:t>of</w:t>
      </w:r>
      <w:r w:rsidR="0026095E" w:rsidRPr="0026095E">
        <w:rPr>
          <w:lang w:val="en-GB"/>
        </w:rPr>
        <w:t xml:space="preserve"> the flue gas from different sources.</w:t>
      </w:r>
      <w:r w:rsidR="00BF30B0">
        <w:rPr>
          <w:lang w:val="en-GB"/>
        </w:rPr>
        <w:t xml:space="preserve"> Normally, </w:t>
      </w:r>
      <w:r w:rsidR="007F0BC9" w:rsidRPr="007F0BC9">
        <w:rPr>
          <w:lang w:val="en-GB"/>
        </w:rPr>
        <w:t xml:space="preserve">flue gases </w:t>
      </w:r>
      <w:r w:rsidR="007F0BC9">
        <w:rPr>
          <w:lang w:val="en-GB"/>
        </w:rPr>
        <w:t>include</w:t>
      </w:r>
      <w:r w:rsidR="007F0BC9" w:rsidRPr="007F0BC9">
        <w:rPr>
          <w:lang w:val="en-GB"/>
        </w:rPr>
        <w:t xml:space="preserve"> CO</w:t>
      </w:r>
      <w:r w:rsidR="007F0BC9" w:rsidRPr="004B71BC">
        <w:rPr>
          <w:vertAlign w:val="subscript"/>
          <w:lang w:val="en-GB"/>
        </w:rPr>
        <w:t>2</w:t>
      </w:r>
      <w:r w:rsidR="007F0BC9" w:rsidRPr="007F0BC9">
        <w:rPr>
          <w:lang w:val="en-GB"/>
        </w:rPr>
        <w:t>, N</w:t>
      </w:r>
      <w:r w:rsidR="007F0BC9" w:rsidRPr="004B71BC">
        <w:rPr>
          <w:vertAlign w:val="subscript"/>
          <w:lang w:val="en-GB"/>
        </w:rPr>
        <w:t>2</w:t>
      </w:r>
      <w:r w:rsidR="007F0BC9" w:rsidRPr="007F0BC9">
        <w:rPr>
          <w:lang w:val="en-GB"/>
        </w:rPr>
        <w:t>, O</w:t>
      </w:r>
      <w:r w:rsidR="007F0BC9" w:rsidRPr="004B71BC">
        <w:rPr>
          <w:vertAlign w:val="subscript"/>
          <w:lang w:val="en-GB"/>
        </w:rPr>
        <w:t>2</w:t>
      </w:r>
      <w:r w:rsidR="007F0BC9" w:rsidRPr="007F0BC9">
        <w:rPr>
          <w:lang w:val="en-GB"/>
        </w:rPr>
        <w:t>, H</w:t>
      </w:r>
      <w:r w:rsidR="007F0BC9" w:rsidRPr="004B71BC">
        <w:rPr>
          <w:vertAlign w:val="subscript"/>
          <w:lang w:val="en-GB"/>
        </w:rPr>
        <w:t>2</w:t>
      </w:r>
      <w:r w:rsidR="007F0BC9" w:rsidRPr="007F0BC9">
        <w:rPr>
          <w:lang w:val="en-GB"/>
        </w:rPr>
        <w:t>O, CO, H</w:t>
      </w:r>
      <w:r w:rsidR="007F0BC9" w:rsidRPr="004B71BC">
        <w:rPr>
          <w:vertAlign w:val="subscript"/>
          <w:lang w:val="en-GB"/>
        </w:rPr>
        <w:t>2</w:t>
      </w:r>
      <w:r w:rsidR="007F0BC9" w:rsidRPr="007F0BC9">
        <w:rPr>
          <w:lang w:val="en-GB"/>
        </w:rPr>
        <w:t>, and several trace components of NOx, SOx, and other compounds</w:t>
      </w:r>
      <w:r w:rsidR="007F0BC9">
        <w:rPr>
          <w:lang w:val="en-GB"/>
        </w:rPr>
        <w:t xml:space="preserve">. However, </w:t>
      </w:r>
      <w:r w:rsidR="00F448C7">
        <w:rPr>
          <w:lang w:val="en-GB"/>
        </w:rPr>
        <w:t>only captured</w:t>
      </w:r>
      <w:r w:rsidR="00F448C7" w:rsidRPr="00F448C7">
        <w:rPr>
          <w:lang w:val="en-GB"/>
        </w:rPr>
        <w:t xml:space="preserve"> CO</w:t>
      </w:r>
      <w:r w:rsidR="00F448C7" w:rsidRPr="004B71BC">
        <w:rPr>
          <w:vertAlign w:val="subscript"/>
          <w:lang w:val="en-GB"/>
        </w:rPr>
        <w:t>2</w:t>
      </w:r>
      <w:r w:rsidR="00F448C7" w:rsidRPr="00F448C7">
        <w:rPr>
          <w:lang w:val="en-GB"/>
        </w:rPr>
        <w:t xml:space="preserve"> from flue gases by absorption or other technologies is </w:t>
      </w:r>
      <w:r w:rsidR="00F448C7">
        <w:rPr>
          <w:lang w:val="en-GB"/>
        </w:rPr>
        <w:t>utilized</w:t>
      </w:r>
      <w:r w:rsidR="00F448C7" w:rsidRPr="00F448C7">
        <w:rPr>
          <w:lang w:val="en-GB"/>
        </w:rPr>
        <w:t xml:space="preserve"> </w:t>
      </w:r>
      <w:r w:rsidR="00F448C7">
        <w:rPr>
          <w:lang w:val="en-GB"/>
        </w:rPr>
        <w:t xml:space="preserve">as an input </w:t>
      </w:r>
      <w:r w:rsidR="00F448C7" w:rsidRPr="00F448C7">
        <w:rPr>
          <w:lang w:val="en-GB"/>
        </w:rPr>
        <w:t xml:space="preserve">to </w:t>
      </w:r>
      <w:r w:rsidR="00F448C7">
        <w:rPr>
          <w:lang w:val="en-GB"/>
        </w:rPr>
        <w:t>methanol processes</w:t>
      </w:r>
      <w:r w:rsidR="005E7FA2">
        <w:rPr>
          <w:lang w:val="en-GB"/>
        </w:rPr>
        <w:t xml:space="preserve"> in this paper</w:t>
      </w:r>
      <w:r w:rsidR="00F448C7" w:rsidRPr="00F448C7">
        <w:rPr>
          <w:lang w:val="en-GB"/>
        </w:rPr>
        <w:t xml:space="preserve">. The details of </w:t>
      </w:r>
      <w:r w:rsidR="005E7FA2">
        <w:rPr>
          <w:lang w:val="en-GB"/>
        </w:rPr>
        <w:t>capturing CO</w:t>
      </w:r>
      <w:r w:rsidR="005E7FA2" w:rsidRPr="005E7FA2">
        <w:rPr>
          <w:vertAlign w:val="subscript"/>
          <w:lang w:val="en-GB"/>
        </w:rPr>
        <w:t>2</w:t>
      </w:r>
      <w:r w:rsidR="00F448C7" w:rsidRPr="00F448C7">
        <w:rPr>
          <w:lang w:val="en-GB"/>
        </w:rPr>
        <w:t xml:space="preserve"> from </w:t>
      </w:r>
      <w:r w:rsidR="005E7FA2">
        <w:rPr>
          <w:lang w:val="en-GB"/>
        </w:rPr>
        <w:t>various</w:t>
      </w:r>
      <w:r w:rsidR="00F448C7" w:rsidRPr="00F448C7">
        <w:rPr>
          <w:lang w:val="en-GB"/>
        </w:rPr>
        <w:t xml:space="preserve"> sources </w:t>
      </w:r>
      <w:r w:rsidR="00F448C7" w:rsidRPr="007C58CB">
        <w:rPr>
          <w:noProof/>
          <w:lang w:val="en-GB"/>
        </w:rPr>
        <w:t xml:space="preserve">are </w:t>
      </w:r>
      <w:r w:rsidR="00A53855" w:rsidRPr="007C58CB">
        <w:rPr>
          <w:noProof/>
          <w:lang w:val="en-GB"/>
        </w:rPr>
        <w:t>presented</w:t>
      </w:r>
      <w:r w:rsidR="00F448C7" w:rsidRPr="00F448C7">
        <w:rPr>
          <w:lang w:val="en-GB"/>
        </w:rPr>
        <w:t xml:space="preserve"> by Tuan</w:t>
      </w:r>
      <w:r w:rsidR="006B7C06">
        <w:rPr>
          <w:lang w:val="en-GB"/>
        </w:rPr>
        <w:t xml:space="preserve"> </w:t>
      </w:r>
      <w:r w:rsidR="006B7C06">
        <w:rPr>
          <w:lang w:val="en-GB"/>
        </w:rPr>
        <w:fldChar w:fldCharType="begin" w:fldLock="1"/>
      </w:r>
      <w:r w:rsidR="00127DDD">
        <w:rPr>
          <w:lang w:val="en-GB"/>
        </w:rPr>
        <w:instrText>ADDIN CSL_CITATION {"citationItems":[{"id":"ITEM-1","itemData":{"DOI":"10.1021/acssuschemeng.7b04247","ISSN":"21680485","author":[{"dropping-particle":"","family":"Nguyen","given":"Tuan B.H.","non-dropping-particle":"","parse-names":false,"suffix":""},{"dropping-particle":"","family":"Zondervan","given":"Edwin","non-dropping-particle":"","parse-names":false,"suffix":""}],"container-title":"ACS Sustainable Chemistry &amp; Engineering","id":"ITEM-1","issue":"4","issued":{"date-parts":[["2018","4","2"]]},"note":"From Duplicate 2 (Ionic Liquid as a Selective Capture Method of CO2 from Different Sources: Comparison with MEA - Nguyen, Tuan B H; Zondervan, Edwin)\n\nFrom Duplicate 2 (Ionic Liquid as a Selective Capture Method of CO2 from Different Sources: Comparison with MEA - Nguyen, Tuan B H; Zondervan, Edwin)\n\ndoi: 10.1021/acssuschemeng.7b04247","page":"4845-4853","publisher":"American Chemical Society","title":"Ionic Liquid as a Selective Capture Method of CO2 from Different Sources: Comparison with MEA","type":"article-journal","volume":"6"},"uris":["http://www.mendeley.com/documents/?uuid=87663205-2223-46f7-8ceb-c5f4de83ddbb"]}],"mendeley":{"formattedCitation":"(Nguyen and Zondervan, 2018)","plainTextFormattedCitation":"(Nguyen and Zondervan, 2018)","previouslyFormattedCitation":"(Nguyen and Zondervan, 2018)"},"properties":{"noteIndex":0},"schema":"https://github.com/citation-style-language/schema/raw/master/csl-citation.json"}</w:instrText>
      </w:r>
      <w:r w:rsidR="006B7C06">
        <w:rPr>
          <w:lang w:val="en-GB"/>
        </w:rPr>
        <w:fldChar w:fldCharType="separate"/>
      </w:r>
      <w:r w:rsidR="004526AA" w:rsidRPr="004526AA">
        <w:rPr>
          <w:noProof/>
          <w:lang w:val="en-GB"/>
        </w:rPr>
        <w:t>(Nguyen and Zondervan, 2018)</w:t>
      </w:r>
      <w:r w:rsidR="006B7C06">
        <w:rPr>
          <w:lang w:val="en-GB"/>
        </w:rPr>
        <w:fldChar w:fldCharType="end"/>
      </w:r>
      <w:r w:rsidR="00F448C7" w:rsidRPr="00F448C7">
        <w:rPr>
          <w:lang w:val="en-GB"/>
        </w:rPr>
        <w:t>.</w:t>
      </w:r>
      <w:r w:rsidR="002740C4">
        <w:rPr>
          <w:lang w:val="en-GB"/>
        </w:rPr>
        <w:t xml:space="preserve"> </w:t>
      </w:r>
      <w:r w:rsidR="002740C4" w:rsidRPr="002740C4">
        <w:rPr>
          <w:lang w:val="en-GB"/>
        </w:rPr>
        <w:t xml:space="preserve">The captured </w:t>
      </w:r>
      <w:r w:rsidR="002740C4">
        <w:rPr>
          <w:lang w:val="en-GB"/>
        </w:rPr>
        <w:t>CO</w:t>
      </w:r>
      <w:r w:rsidR="002740C4" w:rsidRPr="004B71BC">
        <w:rPr>
          <w:vertAlign w:val="subscript"/>
          <w:lang w:val="en-GB"/>
        </w:rPr>
        <w:t>2</w:t>
      </w:r>
      <w:r w:rsidR="002740C4">
        <w:rPr>
          <w:lang w:val="en-GB"/>
        </w:rPr>
        <w:t xml:space="preserve"> must have</w:t>
      </w:r>
      <w:r w:rsidR="002740C4" w:rsidRPr="002740C4">
        <w:rPr>
          <w:lang w:val="en-GB"/>
        </w:rPr>
        <w:t xml:space="preserve"> at least 95 mol% of CO</w:t>
      </w:r>
      <w:r w:rsidR="002740C4" w:rsidRPr="004B71BC">
        <w:rPr>
          <w:vertAlign w:val="subscript"/>
          <w:lang w:val="en-GB"/>
        </w:rPr>
        <w:t>2</w:t>
      </w:r>
      <w:r w:rsidR="002740C4" w:rsidRPr="002740C4">
        <w:rPr>
          <w:lang w:val="en-GB"/>
        </w:rPr>
        <w:t>, not more than 4 mol% of N</w:t>
      </w:r>
      <w:r w:rsidR="002740C4" w:rsidRPr="00BC1E3C">
        <w:rPr>
          <w:vertAlign w:val="subscript"/>
          <w:lang w:val="en-GB"/>
        </w:rPr>
        <w:t>2</w:t>
      </w:r>
      <w:r w:rsidR="002740C4" w:rsidRPr="002740C4">
        <w:rPr>
          <w:lang w:val="en-GB"/>
        </w:rPr>
        <w:t xml:space="preserve"> and the remaining to </w:t>
      </w:r>
      <w:r w:rsidR="002740C4">
        <w:rPr>
          <w:lang w:val="en-GB"/>
        </w:rPr>
        <w:t>satisfy</w:t>
      </w:r>
      <w:r w:rsidR="002740C4" w:rsidRPr="002740C4">
        <w:rPr>
          <w:lang w:val="en-GB"/>
        </w:rPr>
        <w:t xml:space="preserve"> the pipeline quality specifications</w:t>
      </w:r>
      <w:r w:rsidR="00360B4B">
        <w:rPr>
          <w:lang w:val="en-GB"/>
        </w:rPr>
        <w:t xml:space="preserve"> </w:t>
      </w:r>
      <w:r w:rsidR="00360B4B">
        <w:rPr>
          <w:lang w:val="en-GB"/>
        </w:rPr>
        <w:fldChar w:fldCharType="begin" w:fldLock="1"/>
      </w:r>
      <w:r w:rsidR="00D11044">
        <w:rPr>
          <w:lang w:val="en-GB"/>
        </w:rPr>
        <w:instrText>ADDIN CSL_CITATION {"citationItems":[{"id":"ITEM-1","itemData":{"URL":"https://www.ipcc.ch/pdf/special-reports/srccs/srccs_wholereport.pdf","accessed":{"date-parts":[["2017","7","1"]]},"author":[{"dropping-particle":"","family":"Metz","given":"Bert","non-dropping-particle":"","parse-names":false,"suffix":""},{"dropping-particle":"","family":"Davidson","given":"Ogunlade","non-dropping-particle":"","parse-names":false,"suffix":""},{"dropping-particle":"","family":"Coninck","given":"Heleen","non-dropping-particle":"De","parse-names":false,"suffix":""},{"dropping-particle":"","family":"Loos","given":"Manuela","non-dropping-particle":"","parse-names":false,"suffix":""},{"dropping-particle":"","family":"Meyer","given":"Leo","non-dropping-particle":"","parse-names":false,"suffix":""}],"id":"ITEM-1","issued":{"date-parts":[["2005"]]},"publisher":"Intergovernmental Panel on Climate Change, Geneva (Switzerland). Working Group III","title":"IPCC special report on carbon dioxide capture and storage.","type":"webpage"},"uris":["http://www.mendeley.com/documents/?uuid=ad5b6188-c8c9-40c2-ba68-c319fb8dc30f"]}],"mendeley":{"formattedCitation":"(Metz &lt;i&gt;et al.&lt;/i&gt;, 2005)","plainTextFormattedCitation":"(Metz et al., 2005)","previouslyFormattedCitation":"(Metz &lt;i&gt;et al.&lt;/i&gt;, 2005)"},"properties":{"noteIndex":0},"schema":"https://github.com/citation-style-language/schema/raw/master/csl-citation.json"}</w:instrText>
      </w:r>
      <w:r w:rsidR="00360B4B">
        <w:rPr>
          <w:lang w:val="en-GB"/>
        </w:rPr>
        <w:fldChar w:fldCharType="separate"/>
      </w:r>
      <w:r w:rsidR="004526AA" w:rsidRPr="004526AA">
        <w:rPr>
          <w:noProof/>
          <w:lang w:val="en-GB"/>
        </w:rPr>
        <w:t xml:space="preserve">(Metz </w:t>
      </w:r>
      <w:r w:rsidR="004526AA" w:rsidRPr="008D373C">
        <w:rPr>
          <w:noProof/>
          <w:lang w:val="en-GB"/>
        </w:rPr>
        <w:t>et al.</w:t>
      </w:r>
      <w:r w:rsidR="004526AA" w:rsidRPr="004526AA">
        <w:rPr>
          <w:noProof/>
          <w:lang w:val="en-GB"/>
        </w:rPr>
        <w:t>, 2005)</w:t>
      </w:r>
      <w:r w:rsidR="00360B4B">
        <w:rPr>
          <w:lang w:val="en-GB"/>
        </w:rPr>
        <w:fldChar w:fldCharType="end"/>
      </w:r>
      <w:r w:rsidR="00EF6324" w:rsidRPr="00EF6324">
        <w:rPr>
          <w:lang w:val="en-GB"/>
        </w:rPr>
        <w:t xml:space="preserve">. Natural gas </w:t>
      </w:r>
      <w:r w:rsidR="00EF6324">
        <w:rPr>
          <w:lang w:val="en-GB"/>
        </w:rPr>
        <w:t>employed</w:t>
      </w:r>
      <w:r w:rsidR="00EF6324" w:rsidRPr="00EF6324">
        <w:rPr>
          <w:lang w:val="en-GB"/>
        </w:rPr>
        <w:t xml:space="preserve"> in</w:t>
      </w:r>
      <w:r w:rsidR="005D6829">
        <w:rPr>
          <w:lang w:val="en-GB"/>
        </w:rPr>
        <w:t xml:space="preserve"> this research</w:t>
      </w:r>
      <w:r w:rsidR="00EF6324" w:rsidRPr="00EF6324">
        <w:rPr>
          <w:lang w:val="en-GB"/>
        </w:rPr>
        <w:t xml:space="preserve"> has the compositions of 88.71 mol% CH</w:t>
      </w:r>
      <w:r w:rsidR="00EF6324" w:rsidRPr="004B71BC">
        <w:rPr>
          <w:vertAlign w:val="subscript"/>
          <w:lang w:val="en-GB"/>
        </w:rPr>
        <w:t>4</w:t>
      </w:r>
      <w:r w:rsidR="00EF6324" w:rsidRPr="00EF6324">
        <w:rPr>
          <w:lang w:val="en-GB"/>
        </w:rPr>
        <w:t>, 6.93 mol% C</w:t>
      </w:r>
      <w:r w:rsidR="00EF6324" w:rsidRPr="004B71BC">
        <w:rPr>
          <w:vertAlign w:val="subscript"/>
          <w:lang w:val="en-GB"/>
        </w:rPr>
        <w:t>2</w:t>
      </w:r>
      <w:r w:rsidR="00EF6324" w:rsidRPr="00EF6324">
        <w:rPr>
          <w:lang w:val="en-GB"/>
        </w:rPr>
        <w:t>H</w:t>
      </w:r>
      <w:r w:rsidR="00EF6324" w:rsidRPr="004B71BC">
        <w:rPr>
          <w:vertAlign w:val="subscript"/>
          <w:lang w:val="en-GB"/>
        </w:rPr>
        <w:t>6</w:t>
      </w:r>
      <w:r w:rsidR="00EF6324" w:rsidRPr="00EF6324">
        <w:rPr>
          <w:lang w:val="en-GB"/>
        </w:rPr>
        <w:t>, 1.25 mol% C</w:t>
      </w:r>
      <w:r w:rsidR="00EF6324" w:rsidRPr="004B71BC">
        <w:rPr>
          <w:vertAlign w:val="subscript"/>
          <w:lang w:val="en-GB"/>
        </w:rPr>
        <w:t>3</w:t>
      </w:r>
      <w:r w:rsidR="00EF6324" w:rsidRPr="00EF6324">
        <w:rPr>
          <w:lang w:val="en-GB"/>
        </w:rPr>
        <w:t>H</w:t>
      </w:r>
      <w:r w:rsidR="00EF6324" w:rsidRPr="004B71BC">
        <w:rPr>
          <w:vertAlign w:val="subscript"/>
          <w:lang w:val="en-GB"/>
        </w:rPr>
        <w:t>8</w:t>
      </w:r>
      <w:r w:rsidR="00EF6324" w:rsidRPr="00EF6324">
        <w:rPr>
          <w:lang w:val="en-GB"/>
        </w:rPr>
        <w:t>, 0.28 mol% n-C</w:t>
      </w:r>
      <w:r w:rsidR="00EF6324" w:rsidRPr="004B71BC">
        <w:rPr>
          <w:vertAlign w:val="subscript"/>
          <w:lang w:val="en-GB"/>
        </w:rPr>
        <w:t>4</w:t>
      </w:r>
      <w:r w:rsidR="00EF6324" w:rsidRPr="00EF6324">
        <w:rPr>
          <w:lang w:val="en-GB"/>
        </w:rPr>
        <w:t>H</w:t>
      </w:r>
      <w:r w:rsidR="00EF6324" w:rsidRPr="004B71BC">
        <w:rPr>
          <w:vertAlign w:val="subscript"/>
          <w:lang w:val="en-GB"/>
        </w:rPr>
        <w:t>10</w:t>
      </w:r>
      <w:r w:rsidR="00EF6324" w:rsidRPr="00EF6324">
        <w:rPr>
          <w:lang w:val="en-GB"/>
        </w:rPr>
        <w:t>, 0.05 mol% n-C</w:t>
      </w:r>
      <w:r w:rsidR="00EF6324" w:rsidRPr="004B71BC">
        <w:rPr>
          <w:vertAlign w:val="subscript"/>
          <w:lang w:val="en-GB"/>
        </w:rPr>
        <w:t>5</w:t>
      </w:r>
      <w:r w:rsidR="00EF6324" w:rsidRPr="00EF6324">
        <w:rPr>
          <w:lang w:val="en-GB"/>
        </w:rPr>
        <w:t>H</w:t>
      </w:r>
      <w:r w:rsidR="00EF6324" w:rsidRPr="004B71BC">
        <w:rPr>
          <w:vertAlign w:val="subscript"/>
          <w:lang w:val="en-GB"/>
        </w:rPr>
        <w:t>12</w:t>
      </w:r>
      <w:r w:rsidR="00EF6324" w:rsidRPr="00EF6324">
        <w:rPr>
          <w:lang w:val="en-GB"/>
        </w:rPr>
        <w:t>, 0.02 mol% n-C</w:t>
      </w:r>
      <w:r w:rsidR="00EF6324" w:rsidRPr="004B71BC">
        <w:rPr>
          <w:vertAlign w:val="subscript"/>
          <w:lang w:val="en-GB"/>
        </w:rPr>
        <w:t>6</w:t>
      </w:r>
      <w:r w:rsidR="00EF6324" w:rsidRPr="00EF6324">
        <w:rPr>
          <w:lang w:val="en-GB"/>
        </w:rPr>
        <w:t>H</w:t>
      </w:r>
      <w:r w:rsidR="00EF6324" w:rsidRPr="004B71BC">
        <w:rPr>
          <w:vertAlign w:val="subscript"/>
          <w:lang w:val="en-GB"/>
        </w:rPr>
        <w:t>14</w:t>
      </w:r>
      <w:r w:rsidR="00EF6324" w:rsidRPr="00EF6324">
        <w:rPr>
          <w:lang w:val="en-GB"/>
        </w:rPr>
        <w:t>, 0.82 mol% N</w:t>
      </w:r>
      <w:r w:rsidR="00EF6324" w:rsidRPr="004B71BC">
        <w:rPr>
          <w:vertAlign w:val="subscript"/>
          <w:lang w:val="en-GB"/>
        </w:rPr>
        <w:t>2</w:t>
      </w:r>
      <w:r w:rsidR="00EF6324" w:rsidRPr="00EF6324">
        <w:rPr>
          <w:lang w:val="en-GB"/>
        </w:rPr>
        <w:t>, and 1.94 mol% CO</w:t>
      </w:r>
      <w:r w:rsidR="00EF6324" w:rsidRPr="004B71BC">
        <w:rPr>
          <w:vertAlign w:val="subscript"/>
          <w:lang w:val="en-GB"/>
        </w:rPr>
        <w:t>2</w:t>
      </w:r>
      <w:r w:rsidR="001F1FB3">
        <w:rPr>
          <w:vertAlign w:val="subscript"/>
          <w:lang w:val="en-GB"/>
        </w:rPr>
        <w:t xml:space="preserve"> </w:t>
      </w:r>
      <w:r w:rsidR="001F1FB3">
        <w:rPr>
          <w:vertAlign w:val="subscript"/>
          <w:lang w:val="en-GB"/>
        </w:rPr>
        <w:fldChar w:fldCharType="begin" w:fldLock="1"/>
      </w:r>
      <w:r w:rsidR="00127DDD">
        <w:rPr>
          <w:vertAlign w:val="subscript"/>
          <w:lang w:val="en-GB"/>
        </w:rPr>
        <w:instrText>ADDIN CSL_CITATION {"citationItems":[{"id":"ITEM-1","itemData":{"author":[{"dropping-particle":"","family":"Altfeld","given":"K","non-dropping-particle":"","parse-names":false,"suffix":""},{"dropping-particle":"","family":"Schley","given":"P","non-dropping-particle":"","parse-names":false,"suffix":""},{"dropping-particle":"","family":"Ruhrgas","given":"E O N","non-dropping-particle":"","parse-names":false,"suffix":""}],"container-title":"Gas Qual","id":"ITEM-1","issued":{"date-parts":[["2011"]]},"page":"544-550","title":"Development of natural gas qualities in Europe","type":"article-journal","volume":"152"},"uris":["http://www.mendeley.com/documents/?uuid=a2bc2007-9706-42e2-a7d0-047e9c96598b"]}],"mendeley":{"formattedCitation":"(Altfeld, Schley and Ruhrgas, 2011)","plainTextFormattedCitation":"(Altfeld, Schley and Ruhrgas, 2011)","previouslyFormattedCitation":"(Altfeld, Schley and Ruhrgas, 2011)"},"properties":{"noteIndex":0},"schema":"https://github.com/citation-style-language/schema/raw/master/csl-citation.json"}</w:instrText>
      </w:r>
      <w:r w:rsidR="001F1FB3">
        <w:rPr>
          <w:vertAlign w:val="subscript"/>
          <w:lang w:val="en-GB"/>
        </w:rPr>
        <w:fldChar w:fldCharType="separate"/>
      </w:r>
      <w:r w:rsidR="001F1FB3" w:rsidRPr="001F1FB3">
        <w:rPr>
          <w:noProof/>
          <w:lang w:val="en-GB"/>
        </w:rPr>
        <w:t>(Altfeld, Schley and Ruhrgas, 2011)</w:t>
      </w:r>
      <w:r w:rsidR="001F1FB3">
        <w:rPr>
          <w:vertAlign w:val="subscript"/>
          <w:lang w:val="en-GB"/>
        </w:rPr>
        <w:fldChar w:fldCharType="end"/>
      </w:r>
      <w:r w:rsidR="00801189">
        <w:rPr>
          <w:lang w:val="en-GB"/>
        </w:rPr>
        <w:t xml:space="preserve">. </w:t>
      </w:r>
      <w:r w:rsidR="00E9326C">
        <w:rPr>
          <w:lang w:val="en-GB"/>
        </w:rPr>
        <w:t xml:space="preserve">The bi-reforming-based route </w:t>
      </w:r>
      <w:r w:rsidR="009B29B3" w:rsidRPr="009B29B3">
        <w:rPr>
          <w:lang w:val="en-GB"/>
        </w:rPr>
        <w:t>produce</w:t>
      </w:r>
      <w:r w:rsidR="009B29B3">
        <w:rPr>
          <w:lang w:val="en-GB"/>
        </w:rPr>
        <w:t>s syngas</w:t>
      </w:r>
      <w:r w:rsidR="009B29B3" w:rsidRPr="009B29B3">
        <w:rPr>
          <w:lang w:val="en-GB"/>
        </w:rPr>
        <w:t xml:space="preserve"> </w:t>
      </w:r>
      <w:r w:rsidR="009B29B3" w:rsidRPr="009B29B3">
        <w:rPr>
          <w:lang w:val="en-GB"/>
        </w:rPr>
        <w:lastRenderedPageBreak/>
        <w:t xml:space="preserve">through </w:t>
      </w:r>
      <w:r w:rsidR="00B94A11" w:rsidRPr="00B94A11">
        <w:rPr>
          <w:lang w:val="en-GB"/>
        </w:rPr>
        <w:t xml:space="preserve">one reforming stage </w:t>
      </w:r>
      <w:r w:rsidR="009B29B3" w:rsidRPr="009B29B3">
        <w:rPr>
          <w:lang w:val="en-GB"/>
        </w:rPr>
        <w:t>(</w:t>
      </w:r>
      <w:r w:rsidR="00B94A11">
        <w:rPr>
          <w:lang w:val="en-GB"/>
        </w:rPr>
        <w:t xml:space="preserve">combination of steam reforming </w:t>
      </w:r>
      <w:r w:rsidR="009B29B3" w:rsidRPr="009B29B3">
        <w:rPr>
          <w:lang w:val="en-GB"/>
        </w:rPr>
        <w:t xml:space="preserve">and </w:t>
      </w:r>
      <w:r w:rsidR="009B29B3">
        <w:rPr>
          <w:lang w:val="en-GB"/>
        </w:rPr>
        <w:t>dry reforming</w:t>
      </w:r>
      <w:r w:rsidR="00B94A11">
        <w:rPr>
          <w:lang w:val="en-GB"/>
        </w:rPr>
        <w:t xml:space="preserve"> steps</w:t>
      </w:r>
      <w:r w:rsidR="009B29B3" w:rsidRPr="009B29B3">
        <w:rPr>
          <w:lang w:val="en-GB"/>
        </w:rPr>
        <w:t>)</w:t>
      </w:r>
      <w:r w:rsidR="00AF213B">
        <w:rPr>
          <w:lang w:val="en-GB"/>
        </w:rPr>
        <w:t>,</w:t>
      </w:r>
      <w:r w:rsidR="009B29B3" w:rsidRPr="009B29B3">
        <w:rPr>
          <w:lang w:val="en-GB"/>
        </w:rPr>
        <w:t xml:space="preserve"> </w:t>
      </w:r>
      <w:r w:rsidR="009B29B3" w:rsidRPr="00AF213B">
        <w:rPr>
          <w:noProof/>
          <w:lang w:val="en-GB"/>
        </w:rPr>
        <w:t>and</w:t>
      </w:r>
      <w:r w:rsidR="009B29B3" w:rsidRPr="009B29B3">
        <w:rPr>
          <w:lang w:val="en-GB"/>
        </w:rPr>
        <w:t xml:space="preserve"> methanol </w:t>
      </w:r>
      <w:r w:rsidR="009B29B3" w:rsidRPr="007C58CB">
        <w:rPr>
          <w:noProof/>
          <w:lang w:val="en-GB"/>
        </w:rPr>
        <w:t>is synthesized</w:t>
      </w:r>
      <w:r w:rsidR="009B29B3" w:rsidRPr="009B29B3">
        <w:rPr>
          <w:lang w:val="en-GB"/>
        </w:rPr>
        <w:t xml:space="preserve"> from the produced syngas</w:t>
      </w:r>
      <w:r w:rsidR="009B29B3">
        <w:rPr>
          <w:lang w:val="en-GB"/>
        </w:rPr>
        <w:t xml:space="preserve">. </w:t>
      </w:r>
      <w:r w:rsidR="00450C2B">
        <w:rPr>
          <w:lang w:val="en-GB"/>
        </w:rPr>
        <w:t>Another way to produce methanol from CO</w:t>
      </w:r>
      <w:r w:rsidR="00450C2B" w:rsidRPr="004B71BC">
        <w:rPr>
          <w:vertAlign w:val="subscript"/>
          <w:lang w:val="en-GB"/>
        </w:rPr>
        <w:t>2</w:t>
      </w:r>
      <w:r w:rsidR="00450C2B">
        <w:rPr>
          <w:lang w:val="en-GB"/>
        </w:rPr>
        <w:t xml:space="preserve"> is </w:t>
      </w:r>
      <w:r w:rsidR="005203B7">
        <w:rPr>
          <w:lang w:val="en-GB"/>
        </w:rPr>
        <w:t xml:space="preserve">the </w:t>
      </w:r>
      <w:r w:rsidR="00253F00">
        <w:rPr>
          <w:lang w:val="en-GB"/>
        </w:rPr>
        <w:t>tri-reforming technology</w:t>
      </w:r>
      <w:r w:rsidR="00036533">
        <w:rPr>
          <w:lang w:val="en-GB"/>
        </w:rPr>
        <w:t xml:space="preserve"> which includes partial oxidation reactions along with reforming reactions</w:t>
      </w:r>
      <w:r w:rsidR="00253F00">
        <w:rPr>
          <w:lang w:val="en-GB"/>
        </w:rPr>
        <w:t xml:space="preserve">. </w:t>
      </w:r>
      <w:r w:rsidR="007A46D9" w:rsidRPr="007A46D9">
        <w:rPr>
          <w:lang w:val="en-GB"/>
        </w:rPr>
        <w:t xml:space="preserve">This </w:t>
      </w:r>
      <w:r w:rsidR="00253F00">
        <w:rPr>
          <w:lang w:val="en-GB"/>
        </w:rPr>
        <w:t>technology</w:t>
      </w:r>
      <w:r w:rsidR="007A46D9" w:rsidRPr="007A46D9">
        <w:rPr>
          <w:lang w:val="en-GB"/>
        </w:rPr>
        <w:t xml:space="preserve"> </w:t>
      </w:r>
      <w:r w:rsidR="00036533">
        <w:rPr>
          <w:lang w:val="en-GB"/>
        </w:rPr>
        <w:t>has energy efficiency</w:t>
      </w:r>
      <w:r w:rsidR="00442AA2">
        <w:rPr>
          <w:lang w:val="en-GB"/>
        </w:rPr>
        <w:t xml:space="preserve"> as a result of</w:t>
      </w:r>
      <w:r w:rsidR="007A46D9" w:rsidRPr="007A46D9">
        <w:rPr>
          <w:lang w:val="en-GB"/>
        </w:rPr>
        <w:t xml:space="preserve"> </w:t>
      </w:r>
      <w:r w:rsidR="00442AA2">
        <w:rPr>
          <w:lang w:val="en-GB"/>
        </w:rPr>
        <w:t>using</w:t>
      </w:r>
      <w:r w:rsidR="007A46D9">
        <w:rPr>
          <w:lang w:val="en-GB"/>
        </w:rPr>
        <w:t xml:space="preserve"> endothermic </w:t>
      </w:r>
      <w:r w:rsidR="009B2FB2">
        <w:rPr>
          <w:lang w:val="en-GB"/>
        </w:rPr>
        <w:t xml:space="preserve">(reforming) and exothermic (partial oxidation) </w:t>
      </w:r>
      <w:r w:rsidR="007A46D9" w:rsidRPr="007A46D9">
        <w:rPr>
          <w:lang w:val="en-GB"/>
        </w:rPr>
        <w:t xml:space="preserve">reactions in </w:t>
      </w:r>
      <w:r w:rsidR="00442AA2" w:rsidRPr="00AF02BB">
        <w:rPr>
          <w:noProof/>
          <w:lang w:val="en-GB"/>
        </w:rPr>
        <w:t>one</w:t>
      </w:r>
      <w:r w:rsidR="007A46D9" w:rsidRPr="007A46D9">
        <w:rPr>
          <w:lang w:val="en-GB"/>
        </w:rPr>
        <w:t xml:space="preserve"> reactor. The</w:t>
      </w:r>
      <w:r w:rsidR="00E87D1B">
        <w:rPr>
          <w:lang w:val="en-GB"/>
        </w:rPr>
        <w:t xml:space="preserve"> advantage of employing</w:t>
      </w:r>
      <w:r w:rsidR="007A46D9" w:rsidRPr="007A46D9">
        <w:rPr>
          <w:lang w:val="en-GB"/>
        </w:rPr>
        <w:t xml:space="preserve"> </w:t>
      </w:r>
      <w:r w:rsidR="00E87D1B">
        <w:rPr>
          <w:lang w:val="en-GB"/>
        </w:rPr>
        <w:t xml:space="preserve">the </w:t>
      </w:r>
      <w:r w:rsidR="007A46D9" w:rsidRPr="007A46D9">
        <w:rPr>
          <w:lang w:val="en-GB"/>
        </w:rPr>
        <w:t>tri-reformi</w:t>
      </w:r>
      <w:r w:rsidR="007A46D9">
        <w:rPr>
          <w:lang w:val="en-GB"/>
        </w:rPr>
        <w:t xml:space="preserve">ng </w:t>
      </w:r>
      <w:r w:rsidR="00E87D1B">
        <w:rPr>
          <w:lang w:val="en-GB"/>
        </w:rPr>
        <w:t>route</w:t>
      </w:r>
      <w:r w:rsidR="007A46D9">
        <w:rPr>
          <w:lang w:val="en-GB"/>
        </w:rPr>
        <w:t xml:space="preserve"> </w:t>
      </w:r>
      <w:r w:rsidR="00E87D1B">
        <w:rPr>
          <w:lang w:val="en-GB"/>
        </w:rPr>
        <w:t>is to minimize</w:t>
      </w:r>
      <w:r w:rsidR="007A46D9">
        <w:rPr>
          <w:lang w:val="en-GB"/>
        </w:rPr>
        <w:t xml:space="preserve"> </w:t>
      </w:r>
      <w:r w:rsidR="007A46D9" w:rsidRPr="007A46D9">
        <w:rPr>
          <w:lang w:val="en-GB"/>
        </w:rPr>
        <w:t xml:space="preserve">coke </w:t>
      </w:r>
      <w:r w:rsidR="00E87D1B">
        <w:rPr>
          <w:lang w:val="en-GB"/>
        </w:rPr>
        <w:t>formation</w:t>
      </w:r>
      <w:r w:rsidR="007A46D9" w:rsidRPr="007A46D9">
        <w:rPr>
          <w:lang w:val="en-GB"/>
        </w:rPr>
        <w:t xml:space="preserve"> and </w:t>
      </w:r>
      <w:r w:rsidR="00E87D1B">
        <w:rPr>
          <w:lang w:val="en-GB"/>
        </w:rPr>
        <w:t xml:space="preserve">lower </w:t>
      </w:r>
      <w:r w:rsidR="007A46D9" w:rsidRPr="007A46D9">
        <w:rPr>
          <w:lang w:val="en-GB"/>
        </w:rPr>
        <w:t xml:space="preserve">energy </w:t>
      </w:r>
      <w:r w:rsidR="00E87D1B">
        <w:rPr>
          <w:lang w:val="en-GB"/>
        </w:rPr>
        <w:t>requirement</w:t>
      </w:r>
      <w:r w:rsidR="008B13DE">
        <w:rPr>
          <w:lang w:val="en-GB"/>
        </w:rPr>
        <w:t xml:space="preserve"> through integrating </w:t>
      </w:r>
      <w:r w:rsidR="007A46D9">
        <w:rPr>
          <w:lang w:val="en-GB"/>
        </w:rPr>
        <w:t>H</w:t>
      </w:r>
      <w:r w:rsidR="007A46D9" w:rsidRPr="004B71BC">
        <w:rPr>
          <w:vertAlign w:val="subscript"/>
          <w:lang w:val="en-GB"/>
        </w:rPr>
        <w:t>2</w:t>
      </w:r>
      <w:r w:rsidR="007A46D9">
        <w:rPr>
          <w:lang w:val="en-GB"/>
        </w:rPr>
        <w:t xml:space="preserve">O </w:t>
      </w:r>
      <w:r w:rsidR="007A46D9" w:rsidRPr="007A46D9">
        <w:rPr>
          <w:lang w:val="en-GB"/>
        </w:rPr>
        <w:t>and O</w:t>
      </w:r>
      <w:r w:rsidR="007A46D9" w:rsidRPr="004B71BC">
        <w:rPr>
          <w:vertAlign w:val="subscript"/>
          <w:lang w:val="en-GB"/>
        </w:rPr>
        <w:t>2</w:t>
      </w:r>
      <w:r w:rsidR="007A46D9">
        <w:rPr>
          <w:lang w:val="en-GB"/>
        </w:rPr>
        <w:t xml:space="preserve"> </w:t>
      </w:r>
      <w:r w:rsidR="00E87D1B">
        <w:rPr>
          <w:lang w:val="en-GB"/>
        </w:rPr>
        <w:t xml:space="preserve">in a single reactor. </w:t>
      </w:r>
      <w:r w:rsidR="0026095E" w:rsidRPr="0026095E">
        <w:rPr>
          <w:lang w:val="en-GB"/>
        </w:rPr>
        <w:t xml:space="preserve">The reactions </w:t>
      </w:r>
      <w:r w:rsidR="003609B8">
        <w:rPr>
          <w:lang w:val="en-GB"/>
        </w:rPr>
        <w:t>used for</w:t>
      </w:r>
      <w:r w:rsidR="0026095E" w:rsidRPr="0026095E">
        <w:rPr>
          <w:lang w:val="en-GB"/>
        </w:rPr>
        <w:t xml:space="preserve"> each </w:t>
      </w:r>
      <w:r w:rsidR="00E377A6">
        <w:rPr>
          <w:lang w:val="en-GB"/>
        </w:rPr>
        <w:t>technology</w:t>
      </w:r>
      <w:r w:rsidR="0026095E" w:rsidRPr="0026095E">
        <w:rPr>
          <w:lang w:val="en-GB"/>
        </w:rPr>
        <w:t xml:space="preserve"> </w:t>
      </w:r>
      <w:r w:rsidR="0026095E" w:rsidRPr="007C58CB">
        <w:rPr>
          <w:noProof/>
          <w:lang w:val="en-GB"/>
        </w:rPr>
        <w:t xml:space="preserve">are </w:t>
      </w:r>
      <w:r w:rsidR="00E377A6" w:rsidRPr="007C58CB">
        <w:rPr>
          <w:noProof/>
          <w:lang w:val="en-GB"/>
        </w:rPr>
        <w:t>shown</w:t>
      </w:r>
      <w:r w:rsidR="0026095E" w:rsidRPr="0026095E">
        <w:rPr>
          <w:lang w:val="en-GB"/>
        </w:rPr>
        <w:t xml:space="preserve"> in Table 1.</w:t>
      </w:r>
    </w:p>
    <w:p w:rsidR="009144A1" w:rsidRPr="00624683" w:rsidRDefault="009144A1" w:rsidP="00624683">
      <w:pPr>
        <w:pStyle w:val="CETTabletitle"/>
      </w:pPr>
      <w:r w:rsidRPr="00624683">
        <w:t xml:space="preserve">Table 1: Different reactions </w:t>
      </w:r>
      <w:r w:rsidR="00AF02BB">
        <w:rPr>
          <w:noProof/>
        </w:rPr>
        <w:t>to</w:t>
      </w:r>
      <w:r w:rsidRPr="00624683">
        <w:t xml:space="preserve"> the methanol production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0"/>
        <w:gridCol w:w="2286"/>
        <w:gridCol w:w="1944"/>
      </w:tblGrid>
      <w:tr w:rsidR="00731F80" w:rsidRPr="008B0B7E" w:rsidTr="004B71BC">
        <w:tc>
          <w:tcPr>
            <w:tcW w:w="16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:rsidR="00731F80" w:rsidRPr="008B0B7E" w:rsidRDefault="00731F80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:rsidR="00731F80" w:rsidRPr="008B0B7E" w:rsidRDefault="00731F80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Reaction equation</w:t>
            </w:r>
          </w:p>
        </w:tc>
        <w:tc>
          <w:tcPr>
            <w:tcW w:w="194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  <w:vAlign w:val="center"/>
          </w:tcPr>
          <w:p w:rsidR="00731F80" w:rsidRPr="008B0B7E" w:rsidRDefault="00731F80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Operating conditions</w:t>
            </w:r>
          </w:p>
        </w:tc>
      </w:tr>
      <w:tr w:rsidR="00F35E5E" w:rsidRPr="008B0B7E" w:rsidTr="004B71BC">
        <w:tc>
          <w:tcPr>
            <w:tcW w:w="1620" w:type="dxa"/>
            <w:vMerge w:val="restart"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Bi-reforming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F35E5E" w:rsidRPr="008B0B7E" w:rsidRDefault="00F35E5E" w:rsidP="001F1D63">
            <w:pPr>
              <w:pStyle w:val="CETBodytext"/>
            </w:pPr>
            <w:bookmarkStart w:id="1" w:name="OLE_LINK18"/>
            <w:bookmarkStart w:id="2" w:name="OLE_LINK19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↔2</m:t>
                </m:r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  <w:bookmarkEnd w:id="1"/>
            <w:bookmarkEnd w:id="2"/>
          </w:p>
        </w:tc>
        <w:tc>
          <w:tcPr>
            <w:tcW w:w="1944" w:type="dxa"/>
            <w:shd w:val="clear" w:color="auto" w:fill="FFFFFF"/>
            <w:vAlign w:val="center"/>
          </w:tcPr>
          <w:p w:rsidR="00F35E5E" w:rsidRPr="008B0B7E" w:rsidRDefault="00FB7202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850 ~ 950 °C</w:t>
            </w:r>
          </w:p>
        </w:tc>
      </w:tr>
      <w:tr w:rsidR="00F35E5E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F35E5E" w:rsidRPr="008B0B7E" w:rsidRDefault="00F35E5E" w:rsidP="001F1D63">
            <w:pPr>
              <w:pStyle w:val="CETBodytext"/>
            </w:pPr>
            <w:bookmarkStart w:id="3" w:name="OLE_LINK16"/>
            <w:bookmarkStart w:id="4" w:name="OLE_LINK17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  <w:bookmarkEnd w:id="3"/>
            <w:bookmarkEnd w:id="4"/>
          </w:p>
        </w:tc>
        <w:tc>
          <w:tcPr>
            <w:tcW w:w="1944" w:type="dxa"/>
            <w:shd w:val="clear" w:color="auto" w:fill="FFFFFF"/>
            <w:vAlign w:val="center"/>
          </w:tcPr>
          <w:p w:rsidR="00F35E5E" w:rsidRPr="008B0B7E" w:rsidRDefault="00FB7202" w:rsidP="00910390">
            <w:pPr>
              <w:pStyle w:val="CETBodytext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20</w:t>
            </w:r>
            <w:r w:rsidR="0024339A" w:rsidRPr="008B0B7E">
              <w:rPr>
                <w:rFonts w:cs="Arial"/>
                <w:szCs w:val="18"/>
                <w:lang w:val="en-GB"/>
              </w:rPr>
              <w:t xml:space="preserve"> </w:t>
            </w:r>
            <w:r w:rsidRPr="008B0B7E">
              <w:rPr>
                <w:rFonts w:cs="Arial"/>
                <w:szCs w:val="18"/>
                <w:lang w:val="en-GB"/>
              </w:rPr>
              <w:t>~</w:t>
            </w:r>
            <w:r w:rsidR="0024339A" w:rsidRPr="008B0B7E">
              <w:rPr>
                <w:rFonts w:cs="Arial"/>
                <w:szCs w:val="18"/>
                <w:lang w:val="en-GB"/>
              </w:rPr>
              <w:t xml:space="preserve"> </w:t>
            </w:r>
            <w:r w:rsidRPr="008B0B7E">
              <w:rPr>
                <w:rFonts w:cs="Arial"/>
                <w:szCs w:val="18"/>
                <w:lang w:val="en-GB"/>
              </w:rPr>
              <w:t>30 bar</w:t>
            </w:r>
          </w:p>
        </w:tc>
      </w:tr>
      <w:tr w:rsidR="00F35E5E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F35E5E" w:rsidRPr="008B0B7E" w:rsidRDefault="00F35E5E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F35E5E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F35E5E" w:rsidRPr="008B0B7E" w:rsidRDefault="00F35E5E" w:rsidP="001F1D63">
            <w:pPr>
              <w:pStyle w:val="CETBodytext"/>
            </w:pPr>
            <w:bookmarkStart w:id="5" w:name="OLE_LINK20"/>
            <w:bookmarkStart w:id="6" w:name="OLE_LINK21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  <w:bookmarkEnd w:id="5"/>
            <w:bookmarkEnd w:id="6"/>
          </w:p>
        </w:tc>
        <w:tc>
          <w:tcPr>
            <w:tcW w:w="1944" w:type="dxa"/>
            <w:shd w:val="clear" w:color="auto" w:fill="FFFFFF"/>
            <w:vAlign w:val="center"/>
          </w:tcPr>
          <w:p w:rsidR="00F35E5E" w:rsidRPr="008B0B7E" w:rsidRDefault="00F35E5E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C9328C" w:rsidRPr="008B0B7E" w:rsidTr="004B71BC">
        <w:tc>
          <w:tcPr>
            <w:tcW w:w="1620" w:type="dxa"/>
            <w:shd w:val="clear" w:color="auto" w:fill="FFFFFF"/>
            <w:vAlign w:val="center"/>
          </w:tcPr>
          <w:p w:rsidR="00C9328C" w:rsidRPr="008B0B7E" w:rsidRDefault="00C9328C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C9328C" w:rsidRPr="008B0B7E" w:rsidRDefault="00C9328C" w:rsidP="00910390">
            <w:pPr>
              <w:pStyle w:val="CETBodytext"/>
              <w:jc w:val="left"/>
              <w:rPr>
                <w:rFonts w:cs="Arial"/>
                <w:iCs/>
                <w:szCs w:val="18"/>
                <w:lang w:val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C9328C" w:rsidRPr="008B0B7E" w:rsidRDefault="00C9328C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8B76BA" w:rsidRPr="008B0B7E" w:rsidTr="004B71BC">
        <w:tc>
          <w:tcPr>
            <w:tcW w:w="1620" w:type="dxa"/>
            <w:vMerge w:val="restart"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Tri-reforming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8B76BA" w:rsidRPr="008B0B7E" w:rsidRDefault="008B76BA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B76BA" w:rsidRPr="008B0B7E" w:rsidRDefault="00FB7202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850 ~ 950 °C</w:t>
            </w:r>
          </w:p>
        </w:tc>
      </w:tr>
      <w:tr w:rsidR="008B76BA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8B76BA" w:rsidRPr="008B0B7E" w:rsidRDefault="008B76BA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w:bookmarkStart w:id="7" w:name="OLE_LINK32"/>
                <w:bookmarkStart w:id="8" w:name="OLE_LINK33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w:bookmarkEnd w:id="7"/>
                <w:bookmarkEnd w:id="8"/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w:bookmarkStart w:id="9" w:name="OLE_LINK30"/>
                <w:bookmarkStart w:id="10" w:name="OLE_LINK31"/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w:bookmarkEnd w:id="9"/>
                <w:bookmarkEnd w:id="10"/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B76BA" w:rsidRPr="008B0B7E" w:rsidRDefault="00FB7202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20</w:t>
            </w:r>
            <w:r w:rsidR="0024339A" w:rsidRPr="008B0B7E">
              <w:rPr>
                <w:rFonts w:cs="Arial"/>
                <w:szCs w:val="18"/>
                <w:lang w:val="en-GB"/>
              </w:rPr>
              <w:t xml:space="preserve"> </w:t>
            </w:r>
            <w:r w:rsidRPr="008B0B7E">
              <w:rPr>
                <w:rFonts w:cs="Arial"/>
                <w:szCs w:val="18"/>
                <w:lang w:val="en-GB"/>
              </w:rPr>
              <w:t>~</w:t>
            </w:r>
            <w:r w:rsidR="0024339A" w:rsidRPr="008B0B7E">
              <w:rPr>
                <w:rFonts w:cs="Arial"/>
                <w:szCs w:val="18"/>
                <w:lang w:val="en-GB"/>
              </w:rPr>
              <w:t xml:space="preserve"> </w:t>
            </w:r>
            <w:r w:rsidRPr="008B0B7E">
              <w:rPr>
                <w:rFonts w:cs="Arial"/>
                <w:szCs w:val="18"/>
                <w:lang w:val="en-GB"/>
              </w:rPr>
              <w:t>30 bar</w:t>
            </w:r>
          </w:p>
        </w:tc>
      </w:tr>
      <w:tr w:rsidR="008B76BA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8B76BA" w:rsidRPr="008B0B7E" w:rsidRDefault="008B76BA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8B76BA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8B76BA" w:rsidRPr="008B0B7E" w:rsidRDefault="008B76BA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B76BA" w:rsidRPr="008B0B7E" w:rsidRDefault="008B76B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6D3BB2" w:rsidRPr="008B0B7E" w:rsidTr="004B71BC">
        <w:tc>
          <w:tcPr>
            <w:tcW w:w="1620" w:type="dxa"/>
            <w:shd w:val="clear" w:color="auto" w:fill="FFFFFF"/>
            <w:vAlign w:val="center"/>
          </w:tcPr>
          <w:p w:rsidR="006D3BB2" w:rsidRPr="008B0B7E" w:rsidRDefault="006D3BB2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6D3BB2" w:rsidRPr="008B0B7E" w:rsidRDefault="006D3BB2" w:rsidP="00910390">
            <w:pPr>
              <w:pStyle w:val="CETBodytext"/>
              <w:jc w:val="left"/>
              <w:rPr>
                <w:rFonts w:cs="Arial"/>
                <w:iCs/>
                <w:szCs w:val="18"/>
                <w:lang w:val="en-GB"/>
              </w:rPr>
            </w:pPr>
          </w:p>
        </w:tc>
        <w:tc>
          <w:tcPr>
            <w:tcW w:w="1944" w:type="dxa"/>
            <w:shd w:val="clear" w:color="auto" w:fill="FFFFFF"/>
            <w:vAlign w:val="center"/>
          </w:tcPr>
          <w:p w:rsidR="006D3BB2" w:rsidRPr="008B0B7E" w:rsidRDefault="006D3BB2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8A755D" w:rsidRPr="008B0B7E" w:rsidTr="004B71BC">
        <w:tc>
          <w:tcPr>
            <w:tcW w:w="1620" w:type="dxa"/>
            <w:vMerge w:val="restart"/>
            <w:shd w:val="clear" w:color="auto" w:fill="FFFFFF"/>
            <w:vAlign w:val="center"/>
          </w:tcPr>
          <w:p w:rsidR="008A755D" w:rsidRPr="008B0B7E" w:rsidRDefault="008A755D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Methanol synthesis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8A755D" w:rsidRPr="008B0B7E" w:rsidRDefault="008A755D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+3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OH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A755D" w:rsidRPr="008B0B7E" w:rsidRDefault="0024339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200 ~ 300 °C</w:t>
            </w:r>
          </w:p>
        </w:tc>
      </w:tr>
      <w:tr w:rsidR="008A755D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8A755D" w:rsidRPr="008B0B7E" w:rsidRDefault="008A755D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8A755D" w:rsidRPr="008B0B7E" w:rsidRDefault="008A755D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OH</m:t>
                </m:r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A755D" w:rsidRPr="008B0B7E" w:rsidRDefault="0024339A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 w:rsidRPr="008B0B7E">
              <w:rPr>
                <w:rFonts w:cs="Arial"/>
                <w:szCs w:val="18"/>
                <w:lang w:val="en-GB"/>
              </w:rPr>
              <w:t>50 ~ 100 bar</w:t>
            </w:r>
          </w:p>
        </w:tc>
      </w:tr>
      <w:tr w:rsidR="008A755D" w:rsidRPr="008B0B7E" w:rsidTr="004B71BC">
        <w:tc>
          <w:tcPr>
            <w:tcW w:w="1620" w:type="dxa"/>
            <w:vMerge/>
            <w:shd w:val="clear" w:color="auto" w:fill="FFFFFF"/>
            <w:vAlign w:val="center"/>
          </w:tcPr>
          <w:p w:rsidR="008A755D" w:rsidRPr="008B0B7E" w:rsidRDefault="008A755D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86" w:type="dxa"/>
            <w:shd w:val="clear" w:color="auto" w:fill="FFFFFF"/>
            <w:vAlign w:val="center"/>
          </w:tcPr>
          <w:p w:rsidR="008A755D" w:rsidRPr="008B0B7E" w:rsidRDefault="008A755D" w:rsidP="001F1D63">
            <w:pPr>
              <w:pStyle w:val="CETBodytext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C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↔</m:t>
                </m:r>
                <m:r>
                  <w:rPr>
                    <w:rFonts w:ascii="Cambria Math" w:hAnsi="Cambria Math"/>
                  </w:rPr>
                  <m:t>CO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O</m:t>
                </m:r>
              </m:oMath>
            </m:oMathPara>
          </w:p>
        </w:tc>
        <w:tc>
          <w:tcPr>
            <w:tcW w:w="1944" w:type="dxa"/>
            <w:shd w:val="clear" w:color="auto" w:fill="FFFFFF"/>
            <w:vAlign w:val="center"/>
          </w:tcPr>
          <w:p w:rsidR="008A755D" w:rsidRPr="008B0B7E" w:rsidRDefault="008A755D" w:rsidP="00910390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</w:tbl>
    <w:p w:rsidR="009144A1" w:rsidRDefault="009144A1" w:rsidP="00600535">
      <w:pPr>
        <w:pStyle w:val="CETBodytext"/>
        <w:rPr>
          <w:lang w:val="en-GB"/>
        </w:rPr>
      </w:pPr>
    </w:p>
    <w:p w:rsidR="006D3BB2" w:rsidRDefault="00A45158" w:rsidP="00600535">
      <w:pPr>
        <w:pStyle w:val="CETBodytext"/>
        <w:rPr>
          <w:lang w:val="en-GB"/>
        </w:rPr>
      </w:pPr>
      <w:r w:rsidRPr="00A45158">
        <w:rPr>
          <w:lang w:val="en-GB"/>
        </w:rPr>
        <w:t>The simulation flow</w:t>
      </w:r>
      <w:r>
        <w:rPr>
          <w:lang w:val="en-GB"/>
        </w:rPr>
        <w:t xml:space="preserve"> </w:t>
      </w:r>
      <w:r w:rsidRPr="00A45158">
        <w:rPr>
          <w:lang w:val="en-GB"/>
        </w:rPr>
        <w:t>sheet of the two methanol plants ha</w:t>
      </w:r>
      <w:r>
        <w:rPr>
          <w:lang w:val="en-GB"/>
        </w:rPr>
        <w:t>ve been developed in Aspen plus</w:t>
      </w:r>
      <w:r w:rsidRPr="00A45158">
        <w:t xml:space="preserve"> </w:t>
      </w:r>
      <w:r w:rsidR="00D01200">
        <w:rPr>
          <w:lang w:val="en-GB"/>
        </w:rPr>
        <w:t>utilizing</w:t>
      </w:r>
      <w:r w:rsidRPr="00A45158">
        <w:rPr>
          <w:lang w:val="en-GB"/>
        </w:rPr>
        <w:t xml:space="preserve"> standard models</w:t>
      </w:r>
      <w:r>
        <w:rPr>
          <w:lang w:val="en-GB"/>
        </w:rPr>
        <w:t xml:space="preserve"> for all equipment</w:t>
      </w:r>
      <w:r w:rsidRPr="00A45158">
        <w:rPr>
          <w:lang w:val="en-GB"/>
        </w:rPr>
        <w:t xml:space="preserve">. </w:t>
      </w:r>
      <w:r w:rsidR="00D01200" w:rsidRPr="00D01200">
        <w:rPr>
          <w:lang w:val="en-GB"/>
        </w:rPr>
        <w:t xml:space="preserve">RKSMHV2 was </w:t>
      </w:r>
      <w:r w:rsidR="00D01200">
        <w:rPr>
          <w:lang w:val="en-GB"/>
        </w:rPr>
        <w:t>used</w:t>
      </w:r>
      <w:r w:rsidR="00D01200" w:rsidRPr="00D01200">
        <w:rPr>
          <w:lang w:val="en-GB"/>
        </w:rPr>
        <w:t xml:space="preserve"> to </w:t>
      </w:r>
      <w:r w:rsidR="00D01200">
        <w:rPr>
          <w:lang w:val="en-GB"/>
        </w:rPr>
        <w:t>calculate</w:t>
      </w:r>
      <w:r w:rsidR="00D01200" w:rsidRPr="00D01200">
        <w:rPr>
          <w:lang w:val="en-GB"/>
        </w:rPr>
        <w:t xml:space="preserve"> thermodynamic properties for the high-pressure streams (&gt; 10 bar) while NRTL-RK </w:t>
      </w:r>
      <w:r w:rsidR="00D01200" w:rsidRPr="007C58CB">
        <w:rPr>
          <w:noProof/>
          <w:lang w:val="en-GB"/>
        </w:rPr>
        <w:t>was exerted</w:t>
      </w:r>
      <w:r w:rsidR="00D01200" w:rsidRPr="00D01200">
        <w:rPr>
          <w:lang w:val="en-GB"/>
        </w:rPr>
        <w:t xml:space="preserve"> for other streams</w:t>
      </w:r>
      <w:r w:rsidR="00D01200">
        <w:rPr>
          <w:lang w:val="en-GB"/>
        </w:rPr>
        <w:t xml:space="preserve">. </w:t>
      </w:r>
      <w:r w:rsidR="00A628E9">
        <w:rPr>
          <w:lang w:val="en-GB"/>
        </w:rPr>
        <w:t xml:space="preserve">For bi-reforming technology, </w:t>
      </w:r>
      <w:r w:rsidR="00C57B13" w:rsidRPr="00C57B13">
        <w:rPr>
          <w:lang w:val="en-GB"/>
        </w:rPr>
        <w:t>a kinetic model for the combined reforming by a Ni-CeO</w:t>
      </w:r>
      <w:r w:rsidR="00C57B13" w:rsidRPr="004205EE">
        <w:rPr>
          <w:vertAlign w:val="subscript"/>
          <w:lang w:val="en-GB"/>
        </w:rPr>
        <w:t>2</w:t>
      </w:r>
      <w:r w:rsidR="00C57B13" w:rsidRPr="00C57B13">
        <w:rPr>
          <w:lang w:val="en-GB"/>
        </w:rPr>
        <w:t>/MgAl</w:t>
      </w:r>
      <w:r w:rsidR="00C57B13" w:rsidRPr="004205EE">
        <w:rPr>
          <w:vertAlign w:val="subscript"/>
          <w:lang w:val="en-GB"/>
        </w:rPr>
        <w:t>2</w:t>
      </w:r>
      <w:r w:rsidR="00C57B13" w:rsidRPr="00C57B13">
        <w:rPr>
          <w:lang w:val="en-GB"/>
        </w:rPr>
        <w:t>O</w:t>
      </w:r>
      <w:r w:rsidR="00C57B13" w:rsidRPr="004205EE">
        <w:rPr>
          <w:vertAlign w:val="subscript"/>
          <w:lang w:val="en-GB"/>
        </w:rPr>
        <w:t>4</w:t>
      </w:r>
      <w:r w:rsidR="00C57B13" w:rsidRPr="00C57B13">
        <w:rPr>
          <w:lang w:val="en-GB"/>
        </w:rPr>
        <w:t xml:space="preserve"> catalyst is employed to predict the results of syngas synthesis from bi-reforming reactions</w:t>
      </w:r>
      <w:r w:rsidR="00C57B13">
        <w:rPr>
          <w:lang w:val="en-GB"/>
        </w:rPr>
        <w:t xml:space="preserve">. </w:t>
      </w:r>
      <w:r w:rsidR="00FF4CE8" w:rsidRPr="007C58CB">
        <w:rPr>
          <w:noProof/>
          <w:lang w:val="en-GB"/>
        </w:rPr>
        <w:t>Th</w:t>
      </w:r>
      <w:r w:rsidR="007C58CB" w:rsidRPr="007C58CB">
        <w:rPr>
          <w:noProof/>
          <w:lang w:val="en-GB"/>
        </w:rPr>
        <w:t>ese</w:t>
      </w:r>
      <w:r w:rsidR="00FF4CE8" w:rsidRPr="007C58CB">
        <w:rPr>
          <w:noProof/>
          <w:lang w:val="en-GB"/>
        </w:rPr>
        <w:t xml:space="preserve"> kinetic</w:t>
      </w:r>
      <w:r w:rsidR="00FF4CE8">
        <w:rPr>
          <w:lang w:val="en-GB"/>
        </w:rPr>
        <w:t xml:space="preserve"> rates </w:t>
      </w:r>
      <w:r w:rsidR="00D2300D" w:rsidRPr="007C58CB">
        <w:rPr>
          <w:noProof/>
          <w:lang w:val="en-GB"/>
        </w:rPr>
        <w:t xml:space="preserve">were </w:t>
      </w:r>
      <w:r w:rsidR="00FF4CE8" w:rsidRPr="007C58CB">
        <w:rPr>
          <w:noProof/>
          <w:lang w:val="en-GB"/>
        </w:rPr>
        <w:t>calculated</w:t>
      </w:r>
      <w:r w:rsidR="00FF4CE8">
        <w:rPr>
          <w:lang w:val="en-GB"/>
        </w:rPr>
        <w:t xml:space="preserve"> by experimental data from</w:t>
      </w:r>
      <w:r w:rsidR="00E44D3E">
        <w:rPr>
          <w:lang w:val="en-GB"/>
        </w:rPr>
        <w:t xml:space="preserve"> Park and his colleagues</w:t>
      </w:r>
      <w:r w:rsidR="00972840">
        <w:rPr>
          <w:lang w:val="en-GB"/>
        </w:rPr>
        <w:t xml:space="preserve"> </w:t>
      </w:r>
      <w:r w:rsidR="00972840">
        <w:rPr>
          <w:lang w:val="en-GB"/>
        </w:rPr>
        <w:fldChar w:fldCharType="begin" w:fldLock="1"/>
      </w:r>
      <w:r w:rsidR="00D11044">
        <w:rPr>
          <w:lang w:val="en-GB"/>
        </w:rPr>
        <w:instrText>ADDIN CSL_CITATION {"citationItems":[{"id":"ITEM-1","itemData":{"DOI":"10.1016/J.FUEL.2013.07.035","ISSN":"0016-2361","author":[{"dropping-particle":"","family":"Park","given":"Nonam","non-dropping-particle":"","parse-names":false,"suffix":""},{"dropping-particle":"","family":"Park","given":"Myung-June","non-dropping-particle":"","parse-names":false,"suffix":""},{"dropping-particle":"","family":"Baek","given":"Seung-Chan","non-dropping-particle":"","parse-names":false,"suffix":""},{"dropping-particle":"","family":"Ha","given":"Kyoung-Su","non-dropping-particle":"","parse-names":false,"suffix":""},{"dropping-particle":"","family":"Lee","given":"Yun-Jo","non-dropping-particle":"","parse-names":false,"suffix":""},{"dropping-particle":"","family":"Kwak","given":"Geunjae","non-dropping-particle":"","parse-names":false,"suffix":""},{"dropping-particle":"","family":"Park","given":"Hae-Gu","non-dropping-particle":"","parse-names":false,"suffix":""},{"dropping-particle":"","family":"Jun","given":"Ki-Won","non-dropping-particle":"","parse-names":false,"suffix":""}],"container-title":"Fuel","id":"ITEM-1","issued":{"date-parts":[["2014","1","1"]]},"page":"357-365","publisher":"Elsevier","title":"Modeling and optimization of the mixed reforming of methane: Maximizing CO2 utilization for non-equilibrated reaction","type":"article-journal","volume":"115"},"uris":["http://www.mendeley.com/documents/?uuid=ad68d2d9-71d1-3243-b34a-689a3039ad42"]}],"mendeley":{"formattedCitation":"(Park &lt;i&gt;et al.&lt;/i&gt;, 2014)","plainTextFormattedCitation":"(Park et al., 2014)","previouslyFormattedCitation":"(Park &lt;i&gt;et al.&lt;/i&gt;, 2014)"},"properties":{"noteIndex":0},"schema":"https://github.com/citation-style-language/schema/raw/master/csl-citation.json"}</w:instrText>
      </w:r>
      <w:r w:rsidR="00972840">
        <w:rPr>
          <w:lang w:val="en-GB"/>
        </w:rPr>
        <w:fldChar w:fldCharType="separate"/>
      </w:r>
      <w:r w:rsidR="004526AA" w:rsidRPr="004526AA">
        <w:rPr>
          <w:noProof/>
          <w:lang w:val="en-GB"/>
        </w:rPr>
        <w:t>(Park</w:t>
      </w:r>
      <w:r w:rsidR="004526AA" w:rsidRPr="00154E19">
        <w:rPr>
          <w:noProof/>
          <w:lang w:val="en-GB"/>
        </w:rPr>
        <w:t xml:space="preserve"> et al.,</w:t>
      </w:r>
      <w:r w:rsidR="004526AA" w:rsidRPr="004526AA">
        <w:rPr>
          <w:noProof/>
          <w:lang w:val="en-GB"/>
        </w:rPr>
        <w:t xml:space="preserve"> 2014)</w:t>
      </w:r>
      <w:r w:rsidR="00972840">
        <w:rPr>
          <w:lang w:val="en-GB"/>
        </w:rPr>
        <w:fldChar w:fldCharType="end"/>
      </w:r>
      <w:r w:rsidR="00D2300D">
        <w:rPr>
          <w:lang w:val="en-GB"/>
        </w:rPr>
        <w:t>.</w:t>
      </w:r>
      <w:r w:rsidR="00B027E6">
        <w:rPr>
          <w:lang w:val="en-GB"/>
        </w:rPr>
        <w:t xml:space="preserve"> </w:t>
      </w:r>
      <w:r w:rsidR="00895829">
        <w:rPr>
          <w:lang w:val="en-GB"/>
        </w:rPr>
        <w:t xml:space="preserve">Regarding </w:t>
      </w:r>
      <w:r w:rsidR="00AF213B">
        <w:rPr>
          <w:lang w:val="en-GB"/>
        </w:rPr>
        <w:t xml:space="preserve">the </w:t>
      </w:r>
      <w:r w:rsidR="00895829" w:rsidRPr="00AF213B">
        <w:rPr>
          <w:noProof/>
          <w:lang w:val="en-GB"/>
        </w:rPr>
        <w:t>tri-reforming</w:t>
      </w:r>
      <w:r w:rsidR="00895829">
        <w:rPr>
          <w:lang w:val="en-GB"/>
        </w:rPr>
        <w:t xml:space="preserve"> route, a </w:t>
      </w:r>
      <w:r w:rsidR="00895829" w:rsidRPr="007C58CB">
        <w:rPr>
          <w:noProof/>
          <w:lang w:val="en-GB"/>
        </w:rPr>
        <w:t>kinetic</w:t>
      </w:r>
      <w:r w:rsidR="00895829">
        <w:rPr>
          <w:lang w:val="en-GB"/>
        </w:rPr>
        <w:t xml:space="preserve"> model </w:t>
      </w:r>
      <w:r w:rsidR="00895829" w:rsidRPr="00895829">
        <w:rPr>
          <w:lang w:val="en-GB"/>
        </w:rPr>
        <w:t xml:space="preserve">developed by Xu and Froment </w:t>
      </w:r>
      <w:r w:rsidR="001D343E">
        <w:rPr>
          <w:lang w:val="en-GB"/>
        </w:rPr>
        <w:fldChar w:fldCharType="begin" w:fldLock="1"/>
      </w:r>
      <w:r w:rsidR="001D343E">
        <w:rPr>
          <w:lang w:val="en-GB"/>
        </w:rPr>
        <w:instrText>ADDIN CSL_CITATION {"citationItems":[{"id":"ITEM-1","itemData":{"DOI":"10.1002/aic.690350109","ISSN":"0001-1541","author":[{"dropping-particle":"","family":"Xu","given":"Jianguo","non-dropping-particle":"","parse-names":false,"suffix":""},{"dropping-particle":"","family":"Froment","given":"Gilbert F.","non-dropping-particle":"","parse-names":false,"suffix":""}],"container-title":"AIChE Journal","id":"ITEM-1","issue":"1","issued":{"date-parts":[["1989","1"]]},"page":"88-96","publisher":"Wiley-Blackwell","title":"Methane steam reforming, methanation and water-gas shift: I. Intrinsic kinetics","type":"article-journal","volume":"35"},"uris":["http://www.mendeley.com/documents/?uuid=38408f2e-bcc0-302d-b520-37c840295440"]}],"mendeley":{"formattedCitation":"(Xu and Froment, 1989)","plainTextFormattedCitation":"(Xu and Froment, 1989)","previouslyFormattedCitation":"(Xu and Froment, 1989)"},"properties":{"noteIndex":0},"schema":"https://github.com/citation-style-language/schema/raw/master/csl-citation.json"}</w:instrText>
      </w:r>
      <w:r w:rsidR="001D343E">
        <w:rPr>
          <w:lang w:val="en-GB"/>
        </w:rPr>
        <w:fldChar w:fldCharType="separate"/>
      </w:r>
      <w:r w:rsidR="001D343E" w:rsidRPr="001D343E">
        <w:rPr>
          <w:noProof/>
          <w:lang w:val="en-GB"/>
        </w:rPr>
        <w:t>(Xu and Froment, 1989)</w:t>
      </w:r>
      <w:r w:rsidR="001D343E">
        <w:rPr>
          <w:lang w:val="en-GB"/>
        </w:rPr>
        <w:fldChar w:fldCharType="end"/>
      </w:r>
      <w:r w:rsidR="001D343E">
        <w:rPr>
          <w:lang w:val="en-GB"/>
        </w:rPr>
        <w:t xml:space="preserve"> </w:t>
      </w:r>
      <w:r w:rsidR="00895829" w:rsidRPr="00895829">
        <w:rPr>
          <w:lang w:val="en-GB"/>
        </w:rPr>
        <w:t xml:space="preserve">as well as Trimm and Lam </w:t>
      </w:r>
      <w:r w:rsidR="001D343E">
        <w:rPr>
          <w:lang w:val="en-GB"/>
        </w:rPr>
        <w:fldChar w:fldCharType="begin" w:fldLock="1"/>
      </w:r>
      <w:r w:rsidR="001D343E">
        <w:rPr>
          <w:lang w:val="en-GB"/>
        </w:rPr>
        <w:instrText>ADDIN CSL_CITATION {"citationItems":[{"id":"ITEM-1","itemData":{"DOI":"10.1016/0009-2509(80)85134-7","ISSN":"0009-2509","author":[{"dropping-particle":"","family":"Trimm","given":"David L.","non-dropping-particle":"","parse-names":false,"suffix":""},{"dropping-particle":"","family":"Lam","given":"Chi-Wai","non-dropping-particle":"","parse-names":false,"suffix":""}],"container-title":"Chemical Engineering Science","id":"ITEM-1","issue":"6","issued":{"date-parts":[["1980","1","1"]]},"page":"1405-1413","publisher":"Pergamon","title":"The combustion of methane on platinum—alumina fibre catalysts—I: Kinetics and mechanism","type":"article-journal","volume":"35"},"uris":["http://www.mendeley.com/documents/?uuid=4f7a9fd6-663f-39f4-a691-a0b0b20e83f6"]}],"mendeley":{"formattedCitation":"(Trimm and Lam, 1980)","plainTextFormattedCitation":"(Trimm and Lam, 1980)","previouslyFormattedCitation":"(Trimm and Lam, 1980)"},"properties":{"noteIndex":0},"schema":"https://github.com/citation-style-language/schema/raw/master/csl-citation.json"}</w:instrText>
      </w:r>
      <w:r w:rsidR="001D343E">
        <w:rPr>
          <w:lang w:val="en-GB"/>
        </w:rPr>
        <w:fldChar w:fldCharType="separate"/>
      </w:r>
      <w:r w:rsidR="001D343E" w:rsidRPr="001D343E">
        <w:rPr>
          <w:noProof/>
          <w:lang w:val="en-GB"/>
        </w:rPr>
        <w:t>(Trimm and Lam, 1980)</w:t>
      </w:r>
      <w:r w:rsidR="001D343E">
        <w:rPr>
          <w:lang w:val="en-GB"/>
        </w:rPr>
        <w:fldChar w:fldCharType="end"/>
      </w:r>
      <w:r w:rsidR="001D343E">
        <w:rPr>
          <w:lang w:val="en-GB"/>
        </w:rPr>
        <w:t xml:space="preserve"> </w:t>
      </w:r>
      <w:r w:rsidR="00895829" w:rsidRPr="00895829">
        <w:rPr>
          <w:lang w:val="en-GB"/>
        </w:rPr>
        <w:t>over Ni-based catalyst</w:t>
      </w:r>
      <w:r w:rsidR="00895829">
        <w:rPr>
          <w:lang w:val="en-GB"/>
        </w:rPr>
        <w:t xml:space="preserve"> is applied to describe </w:t>
      </w:r>
      <w:r w:rsidR="00FB39FB">
        <w:rPr>
          <w:lang w:val="en-GB"/>
        </w:rPr>
        <w:t xml:space="preserve">tri-reforming. </w:t>
      </w:r>
      <w:r w:rsidR="005C6112" w:rsidRPr="007C58CB">
        <w:rPr>
          <w:noProof/>
          <w:lang w:val="en-GB"/>
        </w:rPr>
        <w:t>In addition</w:t>
      </w:r>
      <w:r w:rsidR="005C6112">
        <w:rPr>
          <w:lang w:val="en-GB"/>
        </w:rPr>
        <w:t xml:space="preserve">, </w:t>
      </w:r>
      <w:r w:rsidR="00AB26B2" w:rsidRPr="00AB26B2">
        <w:rPr>
          <w:lang w:val="en-GB"/>
        </w:rPr>
        <w:t>a Cu/ZnO/Al</w:t>
      </w:r>
      <w:r w:rsidR="00AB26B2" w:rsidRPr="004205EE">
        <w:rPr>
          <w:vertAlign w:val="subscript"/>
          <w:lang w:val="en-GB"/>
        </w:rPr>
        <w:t>2</w:t>
      </w:r>
      <w:r w:rsidR="00AB26B2" w:rsidRPr="00AB26B2">
        <w:rPr>
          <w:lang w:val="en-GB"/>
        </w:rPr>
        <w:t>O</w:t>
      </w:r>
      <w:r w:rsidR="00AB26B2" w:rsidRPr="004205EE">
        <w:rPr>
          <w:vertAlign w:val="subscript"/>
          <w:lang w:val="en-GB"/>
        </w:rPr>
        <w:t>3</w:t>
      </w:r>
      <w:r w:rsidR="00AB26B2" w:rsidRPr="00AB26B2">
        <w:rPr>
          <w:lang w:val="en-GB"/>
        </w:rPr>
        <w:t xml:space="preserve"> commercial catalyst with the model suggested by </w:t>
      </w:r>
      <w:r w:rsidR="00AB26B2">
        <w:rPr>
          <w:lang w:val="en-GB"/>
        </w:rPr>
        <w:t>Van den Bussche and Froment</w:t>
      </w:r>
      <w:r w:rsidR="001D343E">
        <w:rPr>
          <w:lang w:val="en-GB"/>
        </w:rPr>
        <w:t xml:space="preserve"> </w:t>
      </w:r>
      <w:r w:rsidR="001D343E">
        <w:rPr>
          <w:lang w:val="en-GB"/>
        </w:rPr>
        <w:fldChar w:fldCharType="begin" w:fldLock="1"/>
      </w:r>
      <w:r w:rsidR="001D343E">
        <w:rPr>
          <w:lang w:val="en-GB"/>
        </w:rPr>
        <w:instrText>ADDIN CSL_CITATION {"citationItems":[{"id":"ITEM-1","itemData":{"ISSN":"0021-9517","author":[{"dropping-particle":"Vanden","family":"Bussche","given":"K M","non-dropping-particle":"","parse-names":false,"suffix":""},{"dropping-particle":"","family":"Froment","given":"G F","non-dropping-particle":"","parse-names":false,"suffix":""}],"container-title":"Journal of Catalysis","id":"ITEM-1","issue":"1","issued":{"date-parts":[["1996"]]},"page":"1-10","publisher":"Elsevier","title":"A Steady-State Kinetic Model for Methanol Synthesis and the Water Gas Shift Reaction on a Commercial Cu/ZnO/Al2O3Catalyst","type":"article-journal","volume":"161"},"uris":["http://www.mendeley.com/documents/?uuid=14e2089c-3974-4167-93bf-ce7fac802048"]}],"mendeley":{"formattedCitation":"(Bussche and Froment, 1996)","plainTextFormattedCitation":"(Bussche and Froment, 1996)","previouslyFormattedCitation":"(Bussche and Froment, 1996)"},"properties":{"noteIndex":0},"schema":"https://github.com/citation-style-language/schema/raw/master/csl-citation.json"}</w:instrText>
      </w:r>
      <w:r w:rsidR="001D343E">
        <w:rPr>
          <w:lang w:val="en-GB"/>
        </w:rPr>
        <w:fldChar w:fldCharType="separate"/>
      </w:r>
      <w:r w:rsidR="001D343E" w:rsidRPr="001D343E">
        <w:rPr>
          <w:noProof/>
          <w:lang w:val="en-GB"/>
        </w:rPr>
        <w:t>(Bussche and Froment, 1996)</w:t>
      </w:r>
      <w:r w:rsidR="001D343E">
        <w:rPr>
          <w:lang w:val="en-GB"/>
        </w:rPr>
        <w:fldChar w:fldCharType="end"/>
      </w:r>
      <w:r w:rsidR="00AB26B2" w:rsidRPr="00AB26B2">
        <w:rPr>
          <w:lang w:val="en-GB"/>
        </w:rPr>
        <w:t>, mo</w:t>
      </w:r>
      <w:r w:rsidR="00AB26B2">
        <w:rPr>
          <w:lang w:val="en-GB"/>
        </w:rPr>
        <w:t xml:space="preserve">dified by Mignard and Pritchard </w:t>
      </w:r>
      <w:r w:rsidR="001D343E">
        <w:rPr>
          <w:lang w:val="en-GB"/>
        </w:rPr>
        <w:fldChar w:fldCharType="begin" w:fldLock="1"/>
      </w:r>
      <w:r w:rsidR="003D5854">
        <w:rPr>
          <w:lang w:val="en-GB"/>
        </w:rPr>
        <w:instrText>ADDIN CSL_CITATION {"citationItems":[{"id":"ITEM-1","itemData":{"DOI":"10.1016/J.CHERD.2007.12.008","ISSN":"0263-8762","author":[{"dropping-particle":"","family":"Mignard","given":"Dimitri","non-dropping-particle":"","parse-names":false,"suffix":""},{"dropping-particle":"","family":"Pritchard","given":"Colin","non-dropping-particle":"","parse-names":false,"suffix":""}],"container-title":"Chemical Engineering Research and Design","id":"ITEM-1","issue":"5","issued":{"date-parts":[["2008","5","1"]]},"page":"473-487","publisher":"Elsevier","title":"On the use of electrolytic hydrogen from variable renewable energies for the enhanced conversion of biomass to fuels","type":"article-journal","volume":"86"},"uris":["http://www.mendeley.com/documents/?uuid=f281dedd-fbce-47c3-a647-ee7d90d3ac61"]}],"mendeley":{"formattedCitation":"(Mignard and Pritchard, 2008)","plainTextFormattedCitation":"(Mignard and Pritchard, 2008)","previouslyFormattedCitation":"(Mignard and Pritchard, 2008)"},"properties":{"noteIndex":0},"schema":"https://github.com/citation-style-language/schema/raw/master/csl-citation.json"}</w:instrText>
      </w:r>
      <w:r w:rsidR="001D343E">
        <w:rPr>
          <w:lang w:val="en-GB"/>
        </w:rPr>
        <w:fldChar w:fldCharType="separate"/>
      </w:r>
      <w:r w:rsidR="001D343E" w:rsidRPr="001D343E">
        <w:rPr>
          <w:noProof/>
          <w:lang w:val="en-GB"/>
        </w:rPr>
        <w:t>(Mignard and Pritchard, 2008)</w:t>
      </w:r>
      <w:r w:rsidR="001D343E">
        <w:rPr>
          <w:lang w:val="en-GB"/>
        </w:rPr>
        <w:fldChar w:fldCharType="end"/>
      </w:r>
      <w:r w:rsidR="001D343E">
        <w:rPr>
          <w:lang w:val="en-GB"/>
        </w:rPr>
        <w:t xml:space="preserve"> </w:t>
      </w:r>
      <w:r w:rsidR="00AB26B2">
        <w:rPr>
          <w:lang w:val="en-GB"/>
        </w:rPr>
        <w:t xml:space="preserve">is used to simulate the methanol reactor </w:t>
      </w:r>
      <w:r w:rsidR="00583B62">
        <w:rPr>
          <w:lang w:val="en-GB"/>
        </w:rPr>
        <w:t xml:space="preserve">in which methanol </w:t>
      </w:r>
      <w:r w:rsidR="00583B62" w:rsidRPr="007C58CB">
        <w:rPr>
          <w:noProof/>
          <w:lang w:val="en-GB"/>
        </w:rPr>
        <w:t>is synthesized</w:t>
      </w:r>
      <w:r w:rsidR="00583B62">
        <w:rPr>
          <w:lang w:val="en-GB"/>
        </w:rPr>
        <w:t xml:space="preserve"> from syngas from the reforming steps. </w:t>
      </w:r>
      <w:r w:rsidR="00D22801" w:rsidRPr="00D22801">
        <w:rPr>
          <w:lang w:val="en-GB"/>
        </w:rPr>
        <w:t>The kinetic model</w:t>
      </w:r>
      <w:r w:rsidR="00C079A1">
        <w:rPr>
          <w:lang w:val="en-GB"/>
        </w:rPr>
        <w:t xml:space="preserve"> for methanol synthesis</w:t>
      </w:r>
      <w:r w:rsidR="00D22801" w:rsidRPr="00D22801">
        <w:rPr>
          <w:lang w:val="en-GB"/>
        </w:rPr>
        <w:t xml:space="preserve"> </w:t>
      </w:r>
      <w:r w:rsidR="00321E45">
        <w:rPr>
          <w:lang w:val="en-GB"/>
        </w:rPr>
        <w:t>(</w:t>
      </w:r>
      <w:r w:rsidR="00321E45" w:rsidRPr="00321E45">
        <w:rPr>
          <w:lang w:val="en-GB"/>
        </w:rPr>
        <w:t>including hydrogenation of CO</w:t>
      </w:r>
      <w:r w:rsidR="00321E45" w:rsidRPr="00321E45">
        <w:rPr>
          <w:vertAlign w:val="subscript"/>
          <w:lang w:val="en-GB"/>
        </w:rPr>
        <w:t>2</w:t>
      </w:r>
      <w:r w:rsidR="00321E45" w:rsidRPr="00321E45">
        <w:rPr>
          <w:lang w:val="en-GB"/>
        </w:rPr>
        <w:t xml:space="preserve"> and CO, and reverse water gas shift </w:t>
      </w:r>
      <w:r w:rsidR="00321E45">
        <w:rPr>
          <w:lang w:val="en-GB"/>
        </w:rPr>
        <w:t xml:space="preserve">(RWGS)) </w:t>
      </w:r>
      <w:r w:rsidR="00D22801" w:rsidRPr="00D22801">
        <w:rPr>
          <w:lang w:val="en-GB"/>
        </w:rPr>
        <w:t xml:space="preserve">is </w:t>
      </w:r>
      <w:r w:rsidR="00D22801">
        <w:rPr>
          <w:lang w:val="en-GB"/>
        </w:rPr>
        <w:t>described</w:t>
      </w:r>
      <w:r w:rsidR="00D22801" w:rsidRPr="00D22801">
        <w:rPr>
          <w:lang w:val="en-GB"/>
        </w:rPr>
        <w:t xml:space="preserve"> by Equations </w:t>
      </w:r>
      <w:r w:rsidR="00D22801">
        <w:rPr>
          <w:lang w:val="en-GB"/>
        </w:rPr>
        <w:t>1</w:t>
      </w:r>
      <w:r w:rsidR="00D22801" w:rsidRPr="00D22801">
        <w:rPr>
          <w:lang w:val="en-GB"/>
        </w:rPr>
        <w:t xml:space="preserve"> </w:t>
      </w:r>
      <w:r w:rsidR="00D22801">
        <w:rPr>
          <w:lang w:val="en-GB"/>
        </w:rPr>
        <w:t>-</w:t>
      </w:r>
      <w:r w:rsidR="00D22801" w:rsidRPr="00D22801">
        <w:rPr>
          <w:lang w:val="en-GB"/>
        </w:rPr>
        <w:t xml:space="preserve"> </w:t>
      </w:r>
      <w:r w:rsidR="00D22801">
        <w:rPr>
          <w:lang w:val="en-GB"/>
        </w:rPr>
        <w:t xml:space="preserve">5 while </w:t>
      </w:r>
      <w:r w:rsidR="00D22801" w:rsidRPr="00D22801">
        <w:rPr>
          <w:lang w:val="en-GB"/>
        </w:rPr>
        <w:t>the kinetic para</w:t>
      </w:r>
      <w:r w:rsidR="00D22801">
        <w:rPr>
          <w:lang w:val="en-GB"/>
        </w:rPr>
        <w:t xml:space="preserve">meters </w:t>
      </w:r>
      <w:r w:rsidR="00D22801" w:rsidRPr="007C58CB">
        <w:rPr>
          <w:noProof/>
          <w:lang w:val="en-GB"/>
        </w:rPr>
        <w:t>are shown</w:t>
      </w:r>
      <w:r w:rsidR="00C079A1">
        <w:rPr>
          <w:lang w:val="en-GB"/>
        </w:rPr>
        <w:t xml:space="preserve"> in Table 2</w:t>
      </w:r>
      <w:r w:rsidR="00D22801">
        <w:rPr>
          <w:lang w:val="en-GB"/>
        </w:rPr>
        <w:t xml:space="preserve">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90"/>
        <w:gridCol w:w="797"/>
      </w:tblGrid>
      <w:tr w:rsidR="00887259" w:rsidRPr="00ED35AC" w:rsidTr="00C079A1">
        <w:tc>
          <w:tcPr>
            <w:tcW w:w="7990" w:type="dxa"/>
            <w:shd w:val="clear" w:color="auto" w:fill="auto"/>
            <w:vAlign w:val="center"/>
          </w:tcPr>
          <w:p w:rsidR="00887259" w:rsidRPr="00ED35AC" w:rsidRDefault="00D11044" w:rsidP="00ED35AC">
            <w:pPr>
              <w:pStyle w:val="CETEquation"/>
            </w:pPr>
            <w:r w:rsidRPr="00ED35AC">
              <w:object w:dxaOrig="3040" w:dyaOrig="1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60pt" o:ole="">
                  <v:imagedata r:id="rId10" o:title=""/>
                </v:shape>
                <o:OLEObject Type="Embed" ProgID="Equation.DSMT4" ShapeID="_x0000_i1025" DrawAspect="Content" ObjectID="_1615484080" r:id="rId11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87259" w:rsidRPr="00ED35AC" w:rsidRDefault="00887259" w:rsidP="00ED35AC">
            <w:pPr>
              <w:pStyle w:val="CETEquation"/>
            </w:pPr>
            <w:r w:rsidRPr="00ED35AC">
              <w:t>(1)</w:t>
            </w:r>
          </w:p>
        </w:tc>
      </w:tr>
      <w:tr w:rsidR="00887259" w:rsidRPr="00ED35AC" w:rsidTr="00C079A1">
        <w:tc>
          <w:tcPr>
            <w:tcW w:w="7990" w:type="dxa"/>
            <w:shd w:val="clear" w:color="auto" w:fill="auto"/>
            <w:vAlign w:val="center"/>
          </w:tcPr>
          <w:p w:rsidR="00887259" w:rsidRPr="00ED35AC" w:rsidRDefault="00D11044" w:rsidP="00ED35AC">
            <w:pPr>
              <w:pStyle w:val="CETEquation"/>
            </w:pPr>
            <w:r w:rsidRPr="00ED35AC">
              <w:object w:dxaOrig="2940" w:dyaOrig="1240">
                <v:shape id="_x0000_i1026" type="#_x0000_t75" style="width:135.75pt;height:57.75pt" o:ole="">
                  <v:imagedata r:id="rId12" o:title=""/>
                </v:shape>
                <o:OLEObject Type="Embed" ProgID="Equation.DSMT4" ShapeID="_x0000_i1026" DrawAspect="Content" ObjectID="_1615484081" r:id="rId13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87259" w:rsidRPr="00ED35AC" w:rsidRDefault="00887259" w:rsidP="00ED35AC">
            <w:pPr>
              <w:pStyle w:val="CETEquation"/>
            </w:pPr>
            <w:r w:rsidRPr="00ED35AC">
              <w:t>(2)</w:t>
            </w:r>
          </w:p>
        </w:tc>
      </w:tr>
      <w:tr w:rsidR="00887259" w:rsidRPr="00ED35AC" w:rsidTr="00C079A1">
        <w:tc>
          <w:tcPr>
            <w:tcW w:w="7990" w:type="dxa"/>
            <w:shd w:val="clear" w:color="auto" w:fill="auto"/>
            <w:vAlign w:val="center"/>
          </w:tcPr>
          <w:p w:rsidR="00887259" w:rsidRPr="00ED35AC" w:rsidRDefault="00D11044" w:rsidP="00ED35AC">
            <w:pPr>
              <w:pStyle w:val="CETEquation"/>
            </w:pPr>
            <w:r w:rsidRPr="00ED35AC">
              <w:object w:dxaOrig="1400" w:dyaOrig="560">
                <v:shape id="_x0000_i1027" type="#_x0000_t75" style="width:1in;height:27.75pt" o:ole="">
                  <v:imagedata r:id="rId14" o:title=""/>
                </v:shape>
                <o:OLEObject Type="Embed" ProgID="Equation.DSMT4" ShapeID="_x0000_i1027" DrawAspect="Content" ObjectID="_1615484082" r:id="rId15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87259" w:rsidRPr="00ED35AC" w:rsidRDefault="00887259" w:rsidP="00ED35AC">
            <w:pPr>
              <w:pStyle w:val="CETEquation"/>
            </w:pPr>
            <w:r w:rsidRPr="00ED35AC">
              <w:t>(3)</w:t>
            </w:r>
          </w:p>
        </w:tc>
      </w:tr>
      <w:tr w:rsidR="00C35A05" w:rsidRPr="00ED35AC" w:rsidTr="00C079A1">
        <w:tc>
          <w:tcPr>
            <w:tcW w:w="7990" w:type="dxa"/>
            <w:shd w:val="clear" w:color="auto" w:fill="auto"/>
            <w:vAlign w:val="center"/>
          </w:tcPr>
          <w:p w:rsidR="00C35A05" w:rsidRPr="00ED35AC" w:rsidRDefault="00D11044" w:rsidP="00ED35AC">
            <w:pPr>
              <w:pStyle w:val="CETEquation"/>
            </w:pPr>
            <w:r w:rsidRPr="00ED35AC">
              <w:object w:dxaOrig="2100" w:dyaOrig="499">
                <v:shape id="_x0000_i1028" type="#_x0000_t75" style="width:99pt;height:24pt" o:ole="">
                  <v:imagedata r:id="rId16" o:title=""/>
                </v:shape>
                <o:OLEObject Type="Embed" ProgID="Equation.DSMT4" ShapeID="_x0000_i1028" DrawAspect="Content" ObjectID="_1615484083" r:id="rId17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35A05" w:rsidRPr="00ED35AC" w:rsidRDefault="00C35A05" w:rsidP="00ED35AC">
            <w:pPr>
              <w:pStyle w:val="CETEquation"/>
            </w:pPr>
            <w:r w:rsidRPr="00ED35AC">
              <w:t>(4)</w:t>
            </w:r>
          </w:p>
        </w:tc>
      </w:tr>
      <w:tr w:rsidR="00C35A05" w:rsidRPr="00ED35AC" w:rsidTr="00C079A1">
        <w:tc>
          <w:tcPr>
            <w:tcW w:w="7990" w:type="dxa"/>
            <w:shd w:val="clear" w:color="auto" w:fill="auto"/>
            <w:vAlign w:val="center"/>
          </w:tcPr>
          <w:p w:rsidR="00C35A05" w:rsidRPr="00ED35AC" w:rsidRDefault="00D11044" w:rsidP="00ED35AC">
            <w:pPr>
              <w:pStyle w:val="CETEquation"/>
            </w:pPr>
            <w:r w:rsidRPr="00ED35AC">
              <w:object w:dxaOrig="2200" w:dyaOrig="560">
                <v:shape id="_x0000_i1029" type="#_x0000_t75" style="width:97.5pt;height:25.5pt" o:ole="">
                  <v:imagedata r:id="rId18" o:title=""/>
                </v:shape>
                <o:OLEObject Type="Embed" ProgID="Equation.DSMT4" ShapeID="_x0000_i1029" DrawAspect="Content" ObjectID="_1615484084" r:id="rId19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C35A05" w:rsidRPr="00ED35AC" w:rsidRDefault="00C35A05" w:rsidP="00ED35AC">
            <w:pPr>
              <w:pStyle w:val="CETEquation"/>
            </w:pPr>
            <w:r w:rsidRPr="00ED35AC">
              <w:t>(5)</w:t>
            </w:r>
          </w:p>
        </w:tc>
      </w:tr>
    </w:tbl>
    <w:p w:rsidR="00C079A1" w:rsidRPr="00670040" w:rsidRDefault="00C079A1" w:rsidP="00670040">
      <w:pPr>
        <w:pStyle w:val="CETTabletitle"/>
      </w:pPr>
      <w:r w:rsidRPr="00670040">
        <w:t xml:space="preserve">Table 2: </w:t>
      </w:r>
      <w:r w:rsidR="006671DC" w:rsidRPr="00670040">
        <w:t xml:space="preserve">Parameters values for the kinetic model of </w:t>
      </w:r>
      <w:r w:rsidR="00033C61" w:rsidRPr="00670040">
        <w:t>methanol synthesis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0"/>
        <w:gridCol w:w="1170"/>
        <w:gridCol w:w="1260"/>
      </w:tblGrid>
      <w:tr w:rsidR="001F2DF0" w:rsidRPr="00B57B36" w:rsidTr="006338D8">
        <w:tc>
          <w:tcPr>
            <w:tcW w:w="1980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k</w:t>
            </w:r>
            <w:r w:rsidRPr="00785FE6">
              <w:rPr>
                <w:vertAlign w:val="subscript"/>
              </w:rPr>
              <w:t>1</w:t>
            </w:r>
            <w:r w:rsidRPr="00D17444">
              <w:t xml:space="preserve"> (mol.kg</w:t>
            </w:r>
            <w:r w:rsidRPr="00785FE6">
              <w:rPr>
                <w:vertAlign w:val="superscript"/>
              </w:rPr>
              <w:t>-1</w:t>
            </w:r>
            <w:r w:rsidRPr="00D17444">
              <w:t>s</w:t>
            </w:r>
            <w:r w:rsidRPr="00785FE6">
              <w:rPr>
                <w:vertAlign w:val="superscript"/>
              </w:rPr>
              <w:t>-1</w:t>
            </w:r>
            <w:r w:rsidRPr="00D17444">
              <w:t>bar</w:t>
            </w:r>
            <w:r w:rsidRPr="00785FE6">
              <w:rPr>
                <w:vertAlign w:val="superscript"/>
              </w:rPr>
              <w:t>-2</w:t>
            </w:r>
            <w:r w:rsidRPr="00D17444">
              <w:t>)</w:t>
            </w:r>
          </w:p>
        </w:tc>
        <w:tc>
          <w:tcPr>
            <w:tcW w:w="1170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A</w:t>
            </w:r>
            <w:r w:rsidRPr="0046301B">
              <w:rPr>
                <w:vertAlign w:val="subscript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1.07</w:t>
            </w:r>
          </w:p>
        </w:tc>
      </w:tr>
      <w:tr w:rsidR="001F2DF0" w:rsidRPr="00B57B36" w:rsidTr="006338D8">
        <w:tc>
          <w:tcPr>
            <w:tcW w:w="1980" w:type="dxa"/>
            <w:tcBorders>
              <w:top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B</w:t>
            </w:r>
            <w:r w:rsidRPr="0046301B">
              <w:rPr>
                <w:vertAlign w:val="subscript"/>
              </w:rPr>
              <w:t>1</w:t>
            </w:r>
            <w:r w:rsidRPr="00D17444">
              <w:t xml:space="preserve"> (J/mol)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40000</w:t>
            </w:r>
          </w:p>
        </w:tc>
      </w:tr>
      <w:tr w:rsidR="001F2DF0" w:rsidRPr="00B57B36" w:rsidTr="006338D8">
        <w:tc>
          <w:tcPr>
            <w:tcW w:w="198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k</w:t>
            </w:r>
            <w:r w:rsidRPr="00785FE6">
              <w:rPr>
                <w:vertAlign w:val="subscript"/>
              </w:rPr>
              <w:t>2</w:t>
            </w:r>
          </w:p>
        </w:tc>
        <w:tc>
          <w:tcPr>
            <w:tcW w:w="117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A</w:t>
            </w:r>
            <w:r w:rsidRPr="0046301B">
              <w:rPr>
                <w:vertAlign w:val="subscript"/>
              </w:rPr>
              <w:t>2</w:t>
            </w:r>
          </w:p>
        </w:tc>
        <w:tc>
          <w:tcPr>
            <w:tcW w:w="126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3453.38</w:t>
            </w:r>
          </w:p>
        </w:tc>
      </w:tr>
      <w:tr w:rsidR="001F2DF0" w:rsidRPr="00B57B36" w:rsidTr="006338D8">
        <w:tc>
          <w:tcPr>
            <w:tcW w:w="198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</w:p>
        </w:tc>
        <w:tc>
          <w:tcPr>
            <w:tcW w:w="117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B</w:t>
            </w:r>
            <w:r w:rsidRPr="0046301B">
              <w:rPr>
                <w:vertAlign w:val="subscript"/>
              </w:rPr>
              <w:t>2</w:t>
            </w:r>
            <w:r w:rsidRPr="00D17444">
              <w:t xml:space="preserve"> (J/mol)</w:t>
            </w:r>
          </w:p>
        </w:tc>
        <w:tc>
          <w:tcPr>
            <w:tcW w:w="126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-</w:t>
            </w:r>
          </w:p>
        </w:tc>
      </w:tr>
      <w:tr w:rsidR="001F2DF0" w:rsidRPr="00B57B36" w:rsidTr="006338D8">
        <w:tc>
          <w:tcPr>
            <w:tcW w:w="198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k</w:t>
            </w:r>
            <w:r w:rsidRPr="00785FE6">
              <w:rPr>
                <w:vertAlign w:val="subscript"/>
              </w:rPr>
              <w:t>3</w:t>
            </w:r>
            <w:r w:rsidRPr="00D17444">
              <w:t xml:space="preserve"> (bar</w:t>
            </w:r>
            <w:r w:rsidRPr="00785FE6">
              <w:rPr>
                <w:vertAlign w:val="superscript"/>
              </w:rPr>
              <w:t>-1/2</w:t>
            </w:r>
            <w:r w:rsidRPr="00D17444">
              <w:t>)</w:t>
            </w:r>
          </w:p>
        </w:tc>
        <w:tc>
          <w:tcPr>
            <w:tcW w:w="117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A</w:t>
            </w:r>
            <w:r w:rsidRPr="0046301B">
              <w:rPr>
                <w:vertAlign w:val="subscript"/>
              </w:rPr>
              <w:t>3</w:t>
            </w:r>
          </w:p>
        </w:tc>
        <w:tc>
          <w:tcPr>
            <w:tcW w:w="126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0.499</w:t>
            </w:r>
          </w:p>
        </w:tc>
      </w:tr>
      <w:tr w:rsidR="001F2DF0" w:rsidRPr="00B57B36" w:rsidTr="006338D8">
        <w:tc>
          <w:tcPr>
            <w:tcW w:w="198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</w:p>
        </w:tc>
        <w:tc>
          <w:tcPr>
            <w:tcW w:w="1170" w:type="dxa"/>
            <w:shd w:val="clear" w:color="auto" w:fill="FFFFFF"/>
          </w:tcPr>
          <w:p w:rsidR="001F2DF0" w:rsidRPr="00D17444" w:rsidRDefault="001F2DF0" w:rsidP="00564F31">
            <w:pPr>
              <w:pStyle w:val="CETBodytext"/>
            </w:pPr>
            <w:r w:rsidRPr="00D17444">
              <w:t>B</w:t>
            </w:r>
            <w:r w:rsidRPr="0046301B">
              <w:rPr>
                <w:vertAlign w:val="subscript"/>
              </w:rPr>
              <w:t>3</w:t>
            </w:r>
            <w:r w:rsidRPr="00D17444">
              <w:t xml:space="preserve"> (J/mol)</w:t>
            </w:r>
          </w:p>
        </w:tc>
        <w:tc>
          <w:tcPr>
            <w:tcW w:w="1260" w:type="dxa"/>
            <w:shd w:val="clear" w:color="auto" w:fill="FFFFFF"/>
          </w:tcPr>
          <w:p w:rsidR="001F2DF0" w:rsidRDefault="001F2DF0" w:rsidP="00564F31">
            <w:pPr>
              <w:pStyle w:val="CETBodytext"/>
            </w:pPr>
            <w:r w:rsidRPr="00D17444">
              <w:t>17197</w:t>
            </w:r>
          </w:p>
        </w:tc>
      </w:tr>
      <w:tr w:rsidR="001F2DF0" w:rsidRPr="00B57B36" w:rsidTr="006338D8">
        <w:tc>
          <w:tcPr>
            <w:tcW w:w="1980" w:type="dxa"/>
            <w:shd w:val="clear" w:color="auto" w:fill="FFFFFF"/>
          </w:tcPr>
          <w:p w:rsidR="001F2DF0" w:rsidRPr="00D17444" w:rsidRDefault="00196B2B" w:rsidP="00564F31">
            <w:pPr>
              <w:pStyle w:val="CETBodytext"/>
            </w:pPr>
            <w:r w:rsidRPr="00196B2B">
              <w:t>k</w:t>
            </w:r>
            <w:r w:rsidRPr="00785FE6">
              <w:rPr>
                <w:vertAlign w:val="subscript"/>
              </w:rPr>
              <w:t>4</w:t>
            </w:r>
            <w:r w:rsidRPr="00196B2B">
              <w:t xml:space="preserve"> (bar</w:t>
            </w:r>
            <w:r w:rsidRPr="00785FE6">
              <w:rPr>
                <w:vertAlign w:val="superscript"/>
              </w:rPr>
              <w:t>-1</w:t>
            </w:r>
            <w:r w:rsidRPr="00196B2B">
              <w:t>)</w:t>
            </w:r>
          </w:p>
        </w:tc>
        <w:tc>
          <w:tcPr>
            <w:tcW w:w="1170" w:type="dxa"/>
            <w:shd w:val="clear" w:color="auto" w:fill="FFFFFF"/>
          </w:tcPr>
          <w:p w:rsidR="001F2DF0" w:rsidRPr="00D17444" w:rsidRDefault="00196B2B" w:rsidP="00564F31">
            <w:pPr>
              <w:pStyle w:val="CETBodytext"/>
            </w:pPr>
            <w:r w:rsidRPr="00196B2B">
              <w:t>A</w:t>
            </w:r>
            <w:r w:rsidRPr="0046301B">
              <w:rPr>
                <w:vertAlign w:val="subscript"/>
              </w:rPr>
              <w:t>4</w:t>
            </w:r>
          </w:p>
        </w:tc>
        <w:tc>
          <w:tcPr>
            <w:tcW w:w="1260" w:type="dxa"/>
            <w:shd w:val="clear" w:color="auto" w:fill="FFFFFF"/>
          </w:tcPr>
          <w:p w:rsidR="001F2DF0" w:rsidRDefault="00196B2B" w:rsidP="00564F31">
            <w:pPr>
              <w:pStyle w:val="CETBodytext"/>
            </w:pPr>
            <w:r w:rsidRPr="00196B2B">
              <w:t>6.62 x 10</w:t>
            </w:r>
            <w:r w:rsidRPr="00785FE6">
              <w:rPr>
                <w:vertAlign w:val="superscript"/>
              </w:rPr>
              <w:t>-11</w:t>
            </w:r>
          </w:p>
        </w:tc>
      </w:tr>
      <w:tr w:rsidR="00196B2B" w:rsidRPr="00B57B36" w:rsidTr="006338D8">
        <w:tc>
          <w:tcPr>
            <w:tcW w:w="1980" w:type="dxa"/>
            <w:shd w:val="clear" w:color="auto" w:fill="FFFFFF"/>
          </w:tcPr>
          <w:p w:rsidR="00196B2B" w:rsidRPr="00D17444" w:rsidRDefault="00196B2B" w:rsidP="00564F31">
            <w:pPr>
              <w:pStyle w:val="CETBodytext"/>
            </w:pPr>
          </w:p>
        </w:tc>
        <w:tc>
          <w:tcPr>
            <w:tcW w:w="1170" w:type="dxa"/>
            <w:shd w:val="clear" w:color="auto" w:fill="FFFFFF"/>
          </w:tcPr>
          <w:p w:rsidR="00196B2B" w:rsidRPr="00F4423F" w:rsidRDefault="00196B2B" w:rsidP="00564F31">
            <w:pPr>
              <w:pStyle w:val="CETBodytext"/>
            </w:pPr>
            <w:r w:rsidRPr="00F4423F">
              <w:t>B</w:t>
            </w:r>
            <w:r w:rsidRPr="0046301B">
              <w:rPr>
                <w:vertAlign w:val="subscript"/>
              </w:rPr>
              <w:t>4</w:t>
            </w:r>
            <w:r w:rsidRPr="00F4423F">
              <w:t xml:space="preserve"> (J/mol)</w:t>
            </w:r>
          </w:p>
        </w:tc>
        <w:tc>
          <w:tcPr>
            <w:tcW w:w="1260" w:type="dxa"/>
            <w:shd w:val="clear" w:color="auto" w:fill="FFFFFF"/>
          </w:tcPr>
          <w:p w:rsidR="00196B2B" w:rsidRDefault="00196B2B" w:rsidP="00564F31">
            <w:pPr>
              <w:pStyle w:val="CETBodytext"/>
            </w:pPr>
            <w:r w:rsidRPr="00F4423F">
              <w:t>124119</w:t>
            </w:r>
          </w:p>
        </w:tc>
      </w:tr>
      <w:tr w:rsidR="00196B2B" w:rsidRPr="00B57B36" w:rsidTr="006338D8">
        <w:tc>
          <w:tcPr>
            <w:tcW w:w="1980" w:type="dxa"/>
            <w:shd w:val="clear" w:color="auto" w:fill="FFFFFF"/>
          </w:tcPr>
          <w:p w:rsidR="00196B2B" w:rsidRPr="00D17444" w:rsidRDefault="008551D9" w:rsidP="00564F31">
            <w:pPr>
              <w:pStyle w:val="CETBodytext"/>
            </w:pPr>
            <w:r w:rsidRPr="008551D9">
              <w:t>k</w:t>
            </w:r>
            <w:r w:rsidRPr="00785FE6">
              <w:rPr>
                <w:vertAlign w:val="subscript"/>
              </w:rPr>
              <w:t>5</w:t>
            </w:r>
            <w:r w:rsidRPr="008551D9">
              <w:t xml:space="preserve"> (mol.kg</w:t>
            </w:r>
            <w:r w:rsidRPr="00785FE6">
              <w:rPr>
                <w:vertAlign w:val="superscript"/>
              </w:rPr>
              <w:t>-1</w:t>
            </w:r>
            <w:r w:rsidRPr="008551D9">
              <w:t>s</w:t>
            </w:r>
            <w:r w:rsidRPr="00785FE6">
              <w:rPr>
                <w:vertAlign w:val="superscript"/>
              </w:rPr>
              <w:t>-1</w:t>
            </w:r>
            <w:r w:rsidRPr="008551D9">
              <w:t>bar</w:t>
            </w:r>
            <w:r w:rsidRPr="00785FE6">
              <w:rPr>
                <w:vertAlign w:val="superscript"/>
              </w:rPr>
              <w:t>-1</w:t>
            </w:r>
            <w:r w:rsidRPr="008551D9">
              <w:t>)</w:t>
            </w:r>
          </w:p>
        </w:tc>
        <w:tc>
          <w:tcPr>
            <w:tcW w:w="1170" w:type="dxa"/>
            <w:shd w:val="clear" w:color="auto" w:fill="FFFFFF"/>
          </w:tcPr>
          <w:p w:rsidR="00196B2B" w:rsidRPr="00F4423F" w:rsidRDefault="008551D9" w:rsidP="00564F31">
            <w:pPr>
              <w:pStyle w:val="CETBodytext"/>
            </w:pPr>
            <w:r w:rsidRPr="008551D9">
              <w:t>A</w:t>
            </w:r>
            <w:r w:rsidRPr="0046301B">
              <w:rPr>
                <w:vertAlign w:val="subscript"/>
              </w:rPr>
              <w:t>5</w:t>
            </w:r>
          </w:p>
        </w:tc>
        <w:tc>
          <w:tcPr>
            <w:tcW w:w="1260" w:type="dxa"/>
            <w:shd w:val="clear" w:color="auto" w:fill="FFFFFF"/>
          </w:tcPr>
          <w:p w:rsidR="00196B2B" w:rsidRPr="00F4423F" w:rsidRDefault="008551D9" w:rsidP="00564F31">
            <w:pPr>
              <w:pStyle w:val="CETBodytext"/>
            </w:pPr>
            <w:r w:rsidRPr="008551D9">
              <w:t>1.22 x 10</w:t>
            </w:r>
            <w:r w:rsidRPr="00785FE6">
              <w:rPr>
                <w:vertAlign w:val="superscript"/>
              </w:rPr>
              <w:t>10</w:t>
            </w:r>
          </w:p>
        </w:tc>
      </w:tr>
      <w:tr w:rsidR="00196B2B" w:rsidRPr="00B57B36" w:rsidTr="006338D8">
        <w:tc>
          <w:tcPr>
            <w:tcW w:w="1980" w:type="dxa"/>
            <w:shd w:val="clear" w:color="auto" w:fill="FFFFFF"/>
          </w:tcPr>
          <w:p w:rsidR="00196B2B" w:rsidRPr="00D17444" w:rsidRDefault="00196B2B" w:rsidP="00564F31">
            <w:pPr>
              <w:pStyle w:val="CETBodytext"/>
            </w:pPr>
          </w:p>
        </w:tc>
        <w:tc>
          <w:tcPr>
            <w:tcW w:w="1170" w:type="dxa"/>
            <w:shd w:val="clear" w:color="auto" w:fill="FFFFFF"/>
          </w:tcPr>
          <w:p w:rsidR="00196B2B" w:rsidRPr="00F4423F" w:rsidRDefault="008551D9" w:rsidP="00564F31">
            <w:pPr>
              <w:pStyle w:val="CETBodytext"/>
            </w:pPr>
            <w:r w:rsidRPr="008551D9">
              <w:t>B</w:t>
            </w:r>
            <w:r w:rsidRPr="0046301B">
              <w:rPr>
                <w:vertAlign w:val="subscript"/>
              </w:rPr>
              <w:t>5</w:t>
            </w:r>
            <w:r w:rsidRPr="008551D9">
              <w:t xml:space="preserve"> (J/mol)</w:t>
            </w:r>
          </w:p>
        </w:tc>
        <w:tc>
          <w:tcPr>
            <w:tcW w:w="1260" w:type="dxa"/>
            <w:shd w:val="clear" w:color="auto" w:fill="FFFFFF"/>
          </w:tcPr>
          <w:p w:rsidR="00196B2B" w:rsidRPr="00F4423F" w:rsidRDefault="008551D9" w:rsidP="00564F31">
            <w:pPr>
              <w:pStyle w:val="CETBodytext"/>
            </w:pPr>
            <w:r w:rsidRPr="008551D9">
              <w:t>-98084</w:t>
            </w:r>
          </w:p>
        </w:tc>
      </w:tr>
    </w:tbl>
    <w:p w:rsidR="00887259" w:rsidRDefault="00887259" w:rsidP="00600535">
      <w:pPr>
        <w:pStyle w:val="CETBodytext"/>
        <w:rPr>
          <w:lang w:val="en-GB"/>
        </w:rPr>
      </w:pPr>
    </w:p>
    <w:p w:rsidR="008551D9" w:rsidRDefault="0087087A" w:rsidP="00600535">
      <w:pPr>
        <w:pStyle w:val="CETBodytext"/>
        <w:rPr>
          <w:lang w:val="en-GB"/>
        </w:rPr>
      </w:pPr>
      <w:r w:rsidRPr="0087087A">
        <w:rPr>
          <w:lang w:val="en-GB"/>
        </w:rPr>
        <w:t>Where r is reaction rate; ki is the reaction rate constant; A, B are kinetic model parameters; P is the partial pressure in bar; T is the temperature in K; Keq is the thermodynamic equilibrium constant (Keq</w:t>
      </w:r>
      <w:r w:rsidRPr="00143E4D">
        <w:rPr>
          <w:vertAlign w:val="subscript"/>
          <w:lang w:val="en-GB"/>
        </w:rPr>
        <w:t>1</w:t>
      </w:r>
      <w:r w:rsidRPr="0087087A">
        <w:rPr>
          <w:lang w:val="en-GB"/>
        </w:rPr>
        <w:t xml:space="preserve"> in bar</w:t>
      </w:r>
      <w:r w:rsidRPr="00143E4D">
        <w:rPr>
          <w:vertAlign w:val="superscript"/>
          <w:lang w:val="en-GB"/>
        </w:rPr>
        <w:t>-2</w:t>
      </w:r>
      <w:r w:rsidRPr="0087087A">
        <w:rPr>
          <w:lang w:val="en-GB"/>
        </w:rPr>
        <w:t>, Keq</w:t>
      </w:r>
      <w:r w:rsidRPr="00143E4D">
        <w:rPr>
          <w:vertAlign w:val="subscript"/>
          <w:lang w:val="en-GB"/>
        </w:rPr>
        <w:t>2</w:t>
      </w:r>
      <w:r w:rsidRPr="0087087A">
        <w:rPr>
          <w:lang w:val="en-GB"/>
        </w:rPr>
        <w:t xml:space="preserve"> in dimensionless); and R is the molar gas constant (8.314 J.mol</w:t>
      </w:r>
      <w:r w:rsidRPr="00143E4D">
        <w:rPr>
          <w:vertAlign w:val="superscript"/>
          <w:lang w:val="en-GB"/>
        </w:rPr>
        <w:t>-1</w:t>
      </w:r>
      <w:r w:rsidRPr="0087087A">
        <w:rPr>
          <w:lang w:val="en-GB"/>
        </w:rPr>
        <w:t>K</w:t>
      </w:r>
      <w:r w:rsidRPr="00143E4D">
        <w:rPr>
          <w:vertAlign w:val="superscript"/>
          <w:lang w:val="en-GB"/>
        </w:rPr>
        <w:t>-1</w:t>
      </w:r>
      <w:r w:rsidRPr="0087087A">
        <w:rPr>
          <w:lang w:val="en-GB"/>
        </w:rPr>
        <w:t>).</w:t>
      </w:r>
    </w:p>
    <w:p w:rsidR="0087087A" w:rsidRDefault="00EF4E18" w:rsidP="00600535">
      <w:pPr>
        <w:pStyle w:val="CETBodytext"/>
        <w:rPr>
          <w:lang w:val="en-GB"/>
        </w:rPr>
      </w:pPr>
      <w:r w:rsidRPr="00EF4E18">
        <w:rPr>
          <w:lang w:val="en-GB"/>
        </w:rPr>
        <w:t xml:space="preserve">In this </w:t>
      </w:r>
      <w:r w:rsidR="001C6E92">
        <w:rPr>
          <w:lang w:val="en-GB"/>
        </w:rPr>
        <w:t>research</w:t>
      </w:r>
      <w:r w:rsidR="008D2521">
        <w:rPr>
          <w:lang w:val="en-GB"/>
        </w:rPr>
        <w:t>, the bi- or tri-r</w:t>
      </w:r>
      <w:r w:rsidRPr="00EF4E18">
        <w:rPr>
          <w:lang w:val="en-GB"/>
        </w:rPr>
        <w:t xml:space="preserve">eformer </w:t>
      </w:r>
      <w:r w:rsidRPr="007C58CB">
        <w:rPr>
          <w:noProof/>
          <w:lang w:val="en-GB"/>
        </w:rPr>
        <w:t>is simulated</w:t>
      </w:r>
      <w:r w:rsidRPr="00EF4E18">
        <w:rPr>
          <w:lang w:val="en-GB"/>
        </w:rPr>
        <w:t xml:space="preserve"> by two parts: </w:t>
      </w:r>
      <w:r>
        <w:rPr>
          <w:lang w:val="en-GB"/>
        </w:rPr>
        <w:t xml:space="preserve">the </w:t>
      </w:r>
      <w:r w:rsidRPr="00EF4E18">
        <w:rPr>
          <w:lang w:val="en-GB"/>
        </w:rPr>
        <w:t xml:space="preserve">RPLUG model </w:t>
      </w:r>
      <w:r>
        <w:rPr>
          <w:lang w:val="en-GB"/>
        </w:rPr>
        <w:t xml:space="preserve">to set up the reforming reactions </w:t>
      </w:r>
      <w:r w:rsidRPr="00EF4E18">
        <w:rPr>
          <w:lang w:val="en-GB"/>
        </w:rPr>
        <w:t>and the Gibbs reactor</w:t>
      </w:r>
      <w:r>
        <w:rPr>
          <w:lang w:val="en-GB"/>
        </w:rPr>
        <w:t xml:space="preserve"> to show the combustion of natural gas and air</w:t>
      </w:r>
      <w:r w:rsidRPr="00EF4E18">
        <w:rPr>
          <w:lang w:val="en-GB"/>
        </w:rPr>
        <w:t xml:space="preserve">. The heat </w:t>
      </w:r>
      <w:r w:rsidR="00163531">
        <w:rPr>
          <w:lang w:val="en-GB"/>
        </w:rPr>
        <w:t>released</w:t>
      </w:r>
      <w:r w:rsidRPr="00EF4E18">
        <w:rPr>
          <w:lang w:val="en-GB"/>
        </w:rPr>
        <w:t xml:space="preserve"> from the </w:t>
      </w:r>
      <w:r w:rsidR="00163531">
        <w:rPr>
          <w:lang w:val="en-GB"/>
        </w:rPr>
        <w:t>Gibbs reactor</w:t>
      </w:r>
      <w:r w:rsidRPr="00EF4E18">
        <w:rPr>
          <w:lang w:val="en-GB"/>
        </w:rPr>
        <w:t xml:space="preserve"> has to match the </w:t>
      </w:r>
      <w:r w:rsidRPr="007C58CB">
        <w:rPr>
          <w:noProof/>
          <w:lang w:val="en-GB"/>
        </w:rPr>
        <w:t>heat</w:t>
      </w:r>
      <w:r w:rsidRPr="00EF4E18">
        <w:rPr>
          <w:lang w:val="en-GB"/>
        </w:rPr>
        <w:t xml:space="preserve"> </w:t>
      </w:r>
      <w:r w:rsidR="00163531">
        <w:rPr>
          <w:lang w:val="en-GB"/>
        </w:rPr>
        <w:t>required</w:t>
      </w:r>
      <w:r w:rsidRPr="00EF4E18">
        <w:rPr>
          <w:lang w:val="en-GB"/>
        </w:rPr>
        <w:t xml:space="preserve"> in the </w:t>
      </w:r>
      <w:r w:rsidR="00163531">
        <w:rPr>
          <w:lang w:val="en-GB"/>
        </w:rPr>
        <w:t>reformer</w:t>
      </w:r>
      <w:r w:rsidRPr="00EF4E18">
        <w:rPr>
          <w:lang w:val="en-GB"/>
        </w:rPr>
        <w:t xml:space="preserve">. </w:t>
      </w:r>
      <w:r w:rsidRPr="007C58CB">
        <w:rPr>
          <w:noProof/>
          <w:lang w:val="en-GB"/>
        </w:rPr>
        <w:t xml:space="preserve">The pressure drop across the </w:t>
      </w:r>
      <w:r w:rsidR="004A2963" w:rsidRPr="007C58CB">
        <w:rPr>
          <w:noProof/>
          <w:lang w:val="en-GB"/>
        </w:rPr>
        <w:t>reformer</w:t>
      </w:r>
      <w:r w:rsidRPr="007C58CB">
        <w:rPr>
          <w:noProof/>
          <w:lang w:val="en-GB"/>
        </w:rPr>
        <w:t xml:space="preserve"> is evaluated by the Ergun equation</w:t>
      </w:r>
      <w:r w:rsidRPr="00EF4E18">
        <w:rPr>
          <w:lang w:val="en-GB"/>
        </w:rPr>
        <w:t xml:space="preserve"> in Aspen Plus. The catalysts and dimensions of the reformer </w:t>
      </w:r>
      <w:r w:rsidRPr="007C58CB">
        <w:rPr>
          <w:noProof/>
          <w:lang w:val="en-GB"/>
        </w:rPr>
        <w:t xml:space="preserve">are </w:t>
      </w:r>
      <w:r w:rsidR="00C94F0D" w:rsidRPr="007C58CB">
        <w:rPr>
          <w:noProof/>
          <w:lang w:val="en-GB"/>
        </w:rPr>
        <w:t>displayed</w:t>
      </w:r>
      <w:r w:rsidRPr="00EF4E18">
        <w:rPr>
          <w:lang w:val="en-GB"/>
        </w:rPr>
        <w:t xml:space="preserve"> in Table </w:t>
      </w:r>
      <w:r w:rsidR="00163531">
        <w:rPr>
          <w:lang w:val="en-GB"/>
        </w:rPr>
        <w:t>3</w:t>
      </w:r>
      <w:r w:rsidRPr="00EF4E18">
        <w:rPr>
          <w:lang w:val="en-GB"/>
        </w:rPr>
        <w:t>.</w:t>
      </w:r>
      <w:r w:rsidR="00163531">
        <w:rPr>
          <w:lang w:val="en-GB"/>
        </w:rPr>
        <w:t xml:space="preserve"> </w:t>
      </w:r>
      <w:r w:rsidR="00411F4C" w:rsidRPr="007C58CB">
        <w:rPr>
          <w:noProof/>
          <w:lang w:val="en-GB"/>
        </w:rPr>
        <w:t>In addition</w:t>
      </w:r>
      <w:r w:rsidR="00411F4C">
        <w:rPr>
          <w:lang w:val="en-GB"/>
        </w:rPr>
        <w:t xml:space="preserve">, </w:t>
      </w:r>
      <w:r w:rsidR="00411F4C" w:rsidRPr="00411F4C">
        <w:rPr>
          <w:lang w:val="en-GB"/>
        </w:rPr>
        <w:t xml:space="preserve">the </w:t>
      </w:r>
      <w:r w:rsidR="00411F4C">
        <w:rPr>
          <w:lang w:val="en-GB"/>
        </w:rPr>
        <w:t>methanol synthesis reactions</w:t>
      </w:r>
      <w:r w:rsidR="00411F4C" w:rsidRPr="00411F4C">
        <w:rPr>
          <w:lang w:val="en-GB"/>
        </w:rPr>
        <w:t xml:space="preserve"> </w:t>
      </w:r>
      <w:r w:rsidR="00AF213B" w:rsidRPr="007C58CB">
        <w:rPr>
          <w:noProof/>
          <w:lang w:val="en-GB"/>
        </w:rPr>
        <w:t>are</w:t>
      </w:r>
      <w:r w:rsidR="00411F4C" w:rsidRPr="007C58CB">
        <w:rPr>
          <w:noProof/>
        </w:rPr>
        <w:t xml:space="preserve"> modeled</w:t>
      </w:r>
      <w:r w:rsidR="00411F4C" w:rsidRPr="00411F4C">
        <w:rPr>
          <w:lang w:val="en-GB"/>
        </w:rPr>
        <w:t xml:space="preserve"> by </w:t>
      </w:r>
      <w:r w:rsidR="00C94F0D">
        <w:rPr>
          <w:lang w:val="en-GB"/>
        </w:rPr>
        <w:t>using</w:t>
      </w:r>
      <w:r w:rsidR="00411F4C" w:rsidRPr="00411F4C">
        <w:rPr>
          <w:lang w:val="en-GB"/>
        </w:rPr>
        <w:t xml:space="preserve"> the RPLUG model with a constant thermal fluid temperature. The thermal fluid temperature is </w:t>
      </w:r>
      <w:r w:rsidR="00C94F0D">
        <w:rPr>
          <w:lang w:val="en-GB"/>
        </w:rPr>
        <w:t>set up</w:t>
      </w:r>
      <w:r w:rsidR="00411F4C" w:rsidRPr="00411F4C">
        <w:rPr>
          <w:lang w:val="en-GB"/>
        </w:rPr>
        <w:t xml:space="preserve"> at 264 °C, </w:t>
      </w:r>
      <w:r w:rsidR="00C94F0D">
        <w:rPr>
          <w:lang w:val="en-GB"/>
        </w:rPr>
        <w:t xml:space="preserve">leading to </w:t>
      </w:r>
      <w:r w:rsidR="00411F4C" w:rsidRPr="00411F4C">
        <w:rPr>
          <w:lang w:val="en-GB"/>
        </w:rPr>
        <w:t xml:space="preserve">the production of high-pressure steam (254 °C and 42 bar). </w:t>
      </w:r>
      <w:r w:rsidR="00411F4C" w:rsidRPr="007C58CB">
        <w:rPr>
          <w:noProof/>
          <w:lang w:val="en-GB"/>
        </w:rPr>
        <w:t xml:space="preserve">The pressure drop across the reactor is </w:t>
      </w:r>
      <w:r w:rsidR="00C94F0D" w:rsidRPr="007C58CB">
        <w:rPr>
          <w:noProof/>
          <w:lang w:val="en-GB"/>
        </w:rPr>
        <w:t>also calculated</w:t>
      </w:r>
      <w:r w:rsidR="00411F4C" w:rsidRPr="007C58CB">
        <w:rPr>
          <w:noProof/>
          <w:lang w:val="en-GB"/>
        </w:rPr>
        <w:t xml:space="preserve"> by the Ergun equation</w:t>
      </w:r>
      <w:r w:rsidR="00411F4C" w:rsidRPr="00411F4C">
        <w:rPr>
          <w:lang w:val="en-GB"/>
        </w:rPr>
        <w:t xml:space="preserve"> in Aspen Plus. The catalysts and dimensions of the </w:t>
      </w:r>
      <w:r w:rsidR="00C94F0D">
        <w:rPr>
          <w:lang w:val="en-GB"/>
        </w:rPr>
        <w:t>methanol synthesis</w:t>
      </w:r>
      <w:r w:rsidR="00411F4C" w:rsidRPr="00411F4C">
        <w:rPr>
          <w:lang w:val="en-GB"/>
        </w:rPr>
        <w:t xml:space="preserve"> reactor </w:t>
      </w:r>
      <w:r w:rsidR="00411F4C" w:rsidRPr="007C58CB">
        <w:rPr>
          <w:noProof/>
          <w:lang w:val="en-GB"/>
        </w:rPr>
        <w:t xml:space="preserve">are </w:t>
      </w:r>
      <w:r w:rsidR="00C94F0D" w:rsidRPr="007C58CB">
        <w:rPr>
          <w:noProof/>
          <w:lang w:val="en-GB"/>
        </w:rPr>
        <w:t>shown</w:t>
      </w:r>
      <w:r w:rsidR="00411F4C" w:rsidRPr="00411F4C">
        <w:rPr>
          <w:lang w:val="en-GB"/>
        </w:rPr>
        <w:t xml:space="preserve"> in Table </w:t>
      </w:r>
      <w:r w:rsidR="00C94F0D">
        <w:rPr>
          <w:lang w:val="en-GB"/>
        </w:rPr>
        <w:t>4</w:t>
      </w:r>
      <w:r w:rsidR="00411F4C" w:rsidRPr="00411F4C">
        <w:rPr>
          <w:lang w:val="en-GB"/>
        </w:rPr>
        <w:t>.</w:t>
      </w:r>
    </w:p>
    <w:p w:rsidR="00160272" w:rsidRDefault="00160272" w:rsidP="009C2EB4">
      <w:pPr>
        <w:pStyle w:val="CETTabletitle"/>
      </w:pPr>
      <w:r w:rsidRPr="009144A1">
        <w:t xml:space="preserve">Table </w:t>
      </w:r>
      <w:r>
        <w:t>3</w:t>
      </w:r>
      <w:r w:rsidRPr="009144A1">
        <w:t xml:space="preserve">: </w:t>
      </w:r>
      <w:r w:rsidRPr="00160272">
        <w:t xml:space="preserve">Characteristics of the reactor and catalyst for the </w:t>
      </w:r>
      <w:r w:rsidR="008248C7">
        <w:t>reformer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810"/>
        <w:gridCol w:w="1170"/>
        <w:gridCol w:w="1260"/>
      </w:tblGrid>
      <w:tr w:rsidR="000864D8" w:rsidRPr="00B57B36" w:rsidTr="00792521">
        <w:tc>
          <w:tcPr>
            <w:tcW w:w="21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864D8" w:rsidRPr="00D77B18" w:rsidRDefault="000864D8" w:rsidP="000864D8">
            <w:r w:rsidRPr="00D77B18">
              <w:t>Parameter</w:t>
            </w:r>
          </w:p>
        </w:tc>
        <w:tc>
          <w:tcPr>
            <w:tcW w:w="8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864D8" w:rsidRPr="00D77B18" w:rsidRDefault="000864D8" w:rsidP="000864D8">
            <w:r w:rsidRPr="00D77B18">
              <w:t>Unit</w:t>
            </w:r>
          </w:p>
        </w:tc>
        <w:tc>
          <w:tcPr>
            <w:tcW w:w="11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864D8" w:rsidRDefault="000864D8" w:rsidP="000864D8">
            <w:r>
              <w:t>Bi-reforming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0864D8" w:rsidRPr="00B57B36" w:rsidRDefault="000864D8" w:rsidP="000864D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Tri-reforming</w:t>
            </w:r>
          </w:p>
        </w:tc>
      </w:tr>
      <w:tr w:rsidR="000864D8" w:rsidRPr="00B57B36" w:rsidTr="00792521">
        <w:tc>
          <w:tcPr>
            <w:tcW w:w="216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Reactor length</w:t>
            </w:r>
          </w:p>
        </w:tc>
        <w:tc>
          <w:tcPr>
            <w:tcW w:w="81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m</w:t>
            </w:r>
          </w:p>
        </w:tc>
        <w:tc>
          <w:tcPr>
            <w:tcW w:w="117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0864D8" w:rsidRPr="00B57B36" w:rsidRDefault="00D84CF7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84CF7">
              <w:rPr>
                <w:rFonts w:cs="Arial"/>
                <w:szCs w:val="18"/>
                <w:lang w:val="en-GB"/>
              </w:rPr>
              <w:t>10</w:t>
            </w:r>
          </w:p>
        </w:tc>
      </w:tr>
      <w:tr w:rsidR="000864D8" w:rsidRPr="00B57B36" w:rsidTr="00792521">
        <w:tc>
          <w:tcPr>
            <w:tcW w:w="216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Reactor tube diameter</w:t>
            </w:r>
          </w:p>
        </w:tc>
        <w:tc>
          <w:tcPr>
            <w:tcW w:w="81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m</w:t>
            </w:r>
          </w:p>
        </w:tc>
        <w:tc>
          <w:tcPr>
            <w:tcW w:w="1170" w:type="dxa"/>
            <w:shd w:val="clear" w:color="auto" w:fill="FFFFFF"/>
          </w:tcPr>
          <w:p w:rsidR="000864D8" w:rsidRPr="00B57B36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0.1016</w:t>
            </w:r>
          </w:p>
        </w:tc>
        <w:tc>
          <w:tcPr>
            <w:tcW w:w="1260" w:type="dxa"/>
            <w:shd w:val="clear" w:color="auto" w:fill="FFFFFF"/>
          </w:tcPr>
          <w:p w:rsidR="000864D8" w:rsidRPr="00B57B36" w:rsidRDefault="00D84CF7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84CF7">
              <w:rPr>
                <w:rFonts w:cs="Arial"/>
                <w:szCs w:val="18"/>
                <w:lang w:val="en-GB"/>
              </w:rPr>
              <w:t>0.1016</w:t>
            </w:r>
          </w:p>
        </w:tc>
      </w:tr>
      <w:tr w:rsidR="00792521" w:rsidRPr="00B57B36" w:rsidTr="00792521">
        <w:tc>
          <w:tcPr>
            <w:tcW w:w="216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particle shape</w:t>
            </w:r>
          </w:p>
        </w:tc>
        <w:tc>
          <w:tcPr>
            <w:tcW w:w="81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Raschig ring</w:t>
            </w:r>
          </w:p>
        </w:tc>
        <w:tc>
          <w:tcPr>
            <w:tcW w:w="1260" w:type="dxa"/>
            <w:shd w:val="clear" w:color="auto" w:fill="FFFFFF"/>
          </w:tcPr>
          <w:p w:rsidR="00792521" w:rsidRPr="00B57B36" w:rsidRDefault="00D84CF7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84CF7">
              <w:rPr>
                <w:rFonts w:cs="Arial"/>
                <w:szCs w:val="18"/>
                <w:lang w:val="en-GB"/>
              </w:rPr>
              <w:t>Pellet</w:t>
            </w:r>
          </w:p>
        </w:tc>
      </w:tr>
      <w:tr w:rsidR="00792521" w:rsidRPr="00B57B36" w:rsidTr="00792521">
        <w:tc>
          <w:tcPr>
            <w:tcW w:w="216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diameter</w:t>
            </w:r>
          </w:p>
        </w:tc>
        <w:tc>
          <w:tcPr>
            <w:tcW w:w="81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mm</w:t>
            </w:r>
          </w:p>
        </w:tc>
        <w:tc>
          <w:tcPr>
            <w:tcW w:w="117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17.4131</w:t>
            </w:r>
          </w:p>
        </w:tc>
        <w:tc>
          <w:tcPr>
            <w:tcW w:w="1260" w:type="dxa"/>
            <w:shd w:val="clear" w:color="auto" w:fill="FFFFFF"/>
          </w:tcPr>
          <w:p w:rsidR="00792521" w:rsidRPr="00B57B36" w:rsidRDefault="00D84CF7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84CF7">
              <w:rPr>
                <w:rFonts w:cs="Arial"/>
                <w:szCs w:val="18"/>
                <w:lang w:val="en-GB"/>
              </w:rPr>
              <w:t>17.4131</w:t>
            </w:r>
          </w:p>
        </w:tc>
      </w:tr>
      <w:tr w:rsidR="00792521" w:rsidRPr="00B57B36" w:rsidTr="00792521">
        <w:tc>
          <w:tcPr>
            <w:tcW w:w="216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sphericity</w:t>
            </w:r>
          </w:p>
        </w:tc>
        <w:tc>
          <w:tcPr>
            <w:tcW w:w="81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0.6563</w:t>
            </w:r>
          </w:p>
        </w:tc>
        <w:tc>
          <w:tcPr>
            <w:tcW w:w="1260" w:type="dxa"/>
            <w:shd w:val="clear" w:color="auto" w:fill="FFFFFF"/>
          </w:tcPr>
          <w:p w:rsidR="00792521" w:rsidRPr="00B57B36" w:rsidRDefault="000C0DE5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-</w:t>
            </w:r>
          </w:p>
        </w:tc>
      </w:tr>
      <w:tr w:rsidR="00792521" w:rsidRPr="00B57B36" w:rsidTr="00792521">
        <w:tc>
          <w:tcPr>
            <w:tcW w:w="216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particle density</w:t>
            </w:r>
          </w:p>
        </w:tc>
        <w:tc>
          <w:tcPr>
            <w:tcW w:w="81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kg</w:t>
            </w:r>
            <w:r w:rsidRPr="009036E1">
              <w:rPr>
                <w:rFonts w:cs="Arial"/>
                <w:szCs w:val="18"/>
                <w:vertAlign w:val="subscript"/>
                <w:lang w:val="en-GB"/>
              </w:rPr>
              <w:t>cat</w:t>
            </w:r>
            <w:r w:rsidRPr="00792521">
              <w:rPr>
                <w:rFonts w:cs="Arial"/>
                <w:szCs w:val="18"/>
                <w:lang w:val="en-GB"/>
              </w:rPr>
              <w:t>/m</w:t>
            </w:r>
            <w:r w:rsidRPr="00143E4D"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117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2396.965</w:t>
            </w:r>
          </w:p>
        </w:tc>
        <w:tc>
          <w:tcPr>
            <w:tcW w:w="1260" w:type="dxa"/>
            <w:shd w:val="clear" w:color="auto" w:fill="FFFFFF"/>
          </w:tcPr>
          <w:p w:rsidR="00792521" w:rsidRPr="00B57B36" w:rsidRDefault="000C0DE5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C0DE5">
              <w:rPr>
                <w:rFonts w:cs="Arial"/>
                <w:szCs w:val="18"/>
                <w:lang w:val="en-GB"/>
              </w:rPr>
              <w:t>1562.5</w:t>
            </w:r>
          </w:p>
        </w:tc>
      </w:tr>
      <w:tr w:rsidR="00792521" w:rsidRPr="00B57B36" w:rsidTr="00792521">
        <w:tc>
          <w:tcPr>
            <w:tcW w:w="216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 xml:space="preserve">Bed </w:t>
            </w:r>
            <w:r w:rsidRPr="007C58CB">
              <w:rPr>
                <w:rFonts w:cs="Arial"/>
                <w:noProof/>
                <w:szCs w:val="18"/>
                <w:lang w:val="en-GB"/>
              </w:rPr>
              <w:t>voidage</w:t>
            </w:r>
          </w:p>
        </w:tc>
        <w:tc>
          <w:tcPr>
            <w:tcW w:w="81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170" w:type="dxa"/>
            <w:shd w:val="clear" w:color="auto" w:fill="FFFFFF"/>
          </w:tcPr>
          <w:p w:rsidR="00792521" w:rsidRPr="00792521" w:rsidRDefault="00792521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0.605</w:t>
            </w:r>
          </w:p>
        </w:tc>
        <w:tc>
          <w:tcPr>
            <w:tcW w:w="1260" w:type="dxa"/>
            <w:shd w:val="clear" w:color="auto" w:fill="FFFFFF"/>
          </w:tcPr>
          <w:p w:rsidR="00792521" w:rsidRPr="00B57B36" w:rsidRDefault="000C0DE5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C0DE5">
              <w:rPr>
                <w:rFonts w:cs="Arial"/>
                <w:szCs w:val="18"/>
                <w:lang w:val="en-GB"/>
              </w:rPr>
              <w:t>0.605</w:t>
            </w:r>
          </w:p>
        </w:tc>
      </w:tr>
    </w:tbl>
    <w:p w:rsidR="00750C97" w:rsidRDefault="00750C97" w:rsidP="009C2EB4">
      <w:pPr>
        <w:pStyle w:val="CETTabletitle"/>
      </w:pPr>
      <w:r w:rsidRPr="009144A1">
        <w:t xml:space="preserve">Table </w:t>
      </w:r>
      <w:r>
        <w:t>4</w:t>
      </w:r>
      <w:r w:rsidRPr="009144A1">
        <w:t xml:space="preserve">: </w:t>
      </w:r>
      <w:r w:rsidRPr="00160272">
        <w:t xml:space="preserve">Characteristics of the reactor and catalyst for the </w:t>
      </w:r>
      <w:r w:rsidR="008248C7">
        <w:t>methanol synthesis reactor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810"/>
        <w:gridCol w:w="720"/>
      </w:tblGrid>
      <w:tr w:rsidR="005866AD" w:rsidRPr="00B57B36" w:rsidTr="005866AD">
        <w:tc>
          <w:tcPr>
            <w:tcW w:w="21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5866AD" w:rsidRPr="00D77B18" w:rsidRDefault="005866AD" w:rsidP="00A00BB2">
            <w:r w:rsidRPr="00D77B18">
              <w:t>Parameter</w:t>
            </w:r>
          </w:p>
        </w:tc>
        <w:tc>
          <w:tcPr>
            <w:tcW w:w="81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5866AD" w:rsidRPr="00D77B18" w:rsidRDefault="005866AD" w:rsidP="00A00BB2">
            <w:r w:rsidRPr="00D77B18">
              <w:t>Unit</w:t>
            </w:r>
          </w:p>
        </w:tc>
        <w:tc>
          <w:tcPr>
            <w:tcW w:w="72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5866AD" w:rsidRDefault="005866AD" w:rsidP="00A00BB2">
            <w:r>
              <w:t>Value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Reactor length</w:t>
            </w:r>
          </w:p>
        </w:tc>
        <w:tc>
          <w:tcPr>
            <w:tcW w:w="81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m</w:t>
            </w:r>
          </w:p>
        </w:tc>
        <w:tc>
          <w:tcPr>
            <w:tcW w:w="72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rPr>
                <w:lang w:val="en-GB"/>
              </w:rPr>
            </w:pPr>
            <w:r w:rsidRPr="00792521">
              <w:rPr>
                <w:lang w:val="en-GB"/>
              </w:rPr>
              <w:t>10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Reactor tube diameter</w:t>
            </w:r>
          </w:p>
        </w:tc>
        <w:tc>
          <w:tcPr>
            <w:tcW w:w="81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m</w:t>
            </w:r>
          </w:p>
        </w:tc>
        <w:tc>
          <w:tcPr>
            <w:tcW w:w="720" w:type="dxa"/>
            <w:shd w:val="clear" w:color="auto" w:fill="FFFFFF"/>
          </w:tcPr>
          <w:p w:rsidR="005866AD" w:rsidRPr="00B57B36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866AD">
              <w:rPr>
                <w:rFonts w:cs="Arial"/>
                <w:szCs w:val="18"/>
                <w:lang w:val="en-GB"/>
              </w:rPr>
              <w:t>0.05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particle shape</w:t>
            </w:r>
          </w:p>
        </w:tc>
        <w:tc>
          <w:tcPr>
            <w:tcW w:w="81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2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866AD">
              <w:rPr>
                <w:rFonts w:cs="Arial"/>
                <w:szCs w:val="18"/>
                <w:lang w:val="en-GB"/>
              </w:rPr>
              <w:t>Pellet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diameter</w:t>
            </w:r>
          </w:p>
        </w:tc>
        <w:tc>
          <w:tcPr>
            <w:tcW w:w="81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mm</w:t>
            </w:r>
          </w:p>
        </w:tc>
        <w:tc>
          <w:tcPr>
            <w:tcW w:w="72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866AD">
              <w:rPr>
                <w:rFonts w:cs="Arial"/>
                <w:szCs w:val="18"/>
                <w:lang w:val="en-GB"/>
              </w:rPr>
              <w:t>5.5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Catalyst particle density</w:t>
            </w:r>
          </w:p>
        </w:tc>
        <w:tc>
          <w:tcPr>
            <w:tcW w:w="81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>kg</w:t>
            </w:r>
            <w:r w:rsidRPr="009036E1">
              <w:rPr>
                <w:rFonts w:cs="Arial"/>
                <w:szCs w:val="18"/>
                <w:vertAlign w:val="subscript"/>
                <w:lang w:val="en-GB"/>
              </w:rPr>
              <w:t>cat</w:t>
            </w:r>
            <w:r w:rsidRPr="00792521">
              <w:rPr>
                <w:rFonts w:cs="Arial"/>
                <w:szCs w:val="18"/>
                <w:lang w:val="en-GB"/>
              </w:rPr>
              <w:t>/m</w:t>
            </w:r>
            <w:r w:rsidRPr="00143E4D"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866AD">
              <w:rPr>
                <w:rFonts w:cs="Arial"/>
                <w:szCs w:val="18"/>
                <w:lang w:val="en-GB"/>
              </w:rPr>
              <w:t>1775</w:t>
            </w:r>
          </w:p>
        </w:tc>
      </w:tr>
      <w:tr w:rsidR="005866AD" w:rsidRPr="00B57B36" w:rsidTr="005866AD">
        <w:tc>
          <w:tcPr>
            <w:tcW w:w="216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792521">
              <w:rPr>
                <w:rFonts w:cs="Arial"/>
                <w:szCs w:val="18"/>
                <w:lang w:val="en-GB"/>
              </w:rPr>
              <w:t xml:space="preserve">Bed </w:t>
            </w:r>
            <w:r w:rsidRPr="007C58CB">
              <w:rPr>
                <w:rFonts w:cs="Arial"/>
                <w:noProof/>
                <w:szCs w:val="18"/>
                <w:lang w:val="en-GB"/>
              </w:rPr>
              <w:t>voidage</w:t>
            </w:r>
          </w:p>
        </w:tc>
        <w:tc>
          <w:tcPr>
            <w:tcW w:w="81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  <w:tc>
          <w:tcPr>
            <w:tcW w:w="720" w:type="dxa"/>
            <w:shd w:val="clear" w:color="auto" w:fill="FFFFFF"/>
          </w:tcPr>
          <w:p w:rsidR="005866AD" w:rsidRPr="00792521" w:rsidRDefault="005866AD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866AD">
              <w:rPr>
                <w:rFonts w:cs="Arial"/>
                <w:szCs w:val="18"/>
                <w:lang w:val="en-GB"/>
              </w:rPr>
              <w:t>0.4</w:t>
            </w:r>
          </w:p>
        </w:tc>
      </w:tr>
    </w:tbl>
    <w:p w:rsidR="00750C97" w:rsidRDefault="00750C97" w:rsidP="00600535">
      <w:pPr>
        <w:pStyle w:val="CETBodytext"/>
        <w:rPr>
          <w:lang w:val="en-GB"/>
        </w:rPr>
      </w:pPr>
    </w:p>
    <w:p w:rsidR="005866AD" w:rsidRDefault="00F91026" w:rsidP="00600535">
      <w:pPr>
        <w:pStyle w:val="CETBodytext"/>
        <w:rPr>
          <w:lang w:val="en-GB"/>
        </w:rPr>
      </w:pPr>
      <w:r w:rsidRPr="00F91026">
        <w:rPr>
          <w:lang w:val="en-GB"/>
        </w:rPr>
        <w:t xml:space="preserve">The reforming based methanol process </w:t>
      </w:r>
      <w:r w:rsidRPr="007C58CB">
        <w:rPr>
          <w:noProof/>
          <w:lang w:val="en-GB"/>
        </w:rPr>
        <w:t xml:space="preserve">is </w:t>
      </w:r>
      <w:r w:rsidR="00674F5A" w:rsidRPr="007C58CB">
        <w:rPr>
          <w:noProof/>
          <w:lang w:val="en-GB"/>
        </w:rPr>
        <w:t>shown</w:t>
      </w:r>
      <w:r w:rsidRPr="00F91026">
        <w:rPr>
          <w:lang w:val="en-GB"/>
        </w:rPr>
        <w:t xml:space="preserve"> in Figure </w:t>
      </w:r>
      <w:r>
        <w:rPr>
          <w:lang w:val="en-GB"/>
        </w:rPr>
        <w:t>1</w:t>
      </w:r>
      <w:r w:rsidRPr="00F91026">
        <w:rPr>
          <w:lang w:val="en-GB"/>
        </w:rPr>
        <w:t xml:space="preserve">. The reforming route </w:t>
      </w:r>
      <w:r w:rsidR="00674F5A">
        <w:rPr>
          <w:lang w:val="en-GB"/>
        </w:rPr>
        <w:t>includes</w:t>
      </w:r>
      <w:r w:rsidRPr="00F91026">
        <w:rPr>
          <w:lang w:val="en-GB"/>
        </w:rPr>
        <w:t xml:space="preserve"> five </w:t>
      </w:r>
      <w:r w:rsidR="00674F5A">
        <w:rPr>
          <w:lang w:val="en-GB"/>
        </w:rPr>
        <w:t>sections</w:t>
      </w:r>
      <w:r w:rsidRPr="00F91026">
        <w:rPr>
          <w:lang w:val="en-GB"/>
        </w:rPr>
        <w:t>: Syngas synthesis (by bi-</w:t>
      </w:r>
      <w:r>
        <w:rPr>
          <w:lang w:val="en-GB"/>
        </w:rPr>
        <w:t xml:space="preserve"> or tri-</w:t>
      </w:r>
      <w:r w:rsidRPr="00F91026">
        <w:rPr>
          <w:lang w:val="en-GB"/>
        </w:rPr>
        <w:t>reforming), Methanol synthesis, Separation and Purification, Heat supply, and Heat recovery.</w:t>
      </w:r>
    </w:p>
    <w:p w:rsidR="0029130F" w:rsidRDefault="00FA17C8" w:rsidP="00600535">
      <w:pPr>
        <w:pStyle w:val="CETBodytext"/>
        <w:rPr>
          <w:lang w:val="en-GB"/>
        </w:rPr>
      </w:pPr>
      <w:r w:rsidRPr="00FA17C8">
        <w:rPr>
          <w:lang w:val="en-GB"/>
        </w:rPr>
        <w:t>The captured CO</w:t>
      </w:r>
      <w:r w:rsidRPr="00FA17C8">
        <w:rPr>
          <w:vertAlign w:val="subscript"/>
          <w:lang w:val="en-GB"/>
        </w:rPr>
        <w:t>2</w:t>
      </w:r>
      <w:r w:rsidRPr="00FA17C8">
        <w:rPr>
          <w:lang w:val="en-GB"/>
        </w:rPr>
        <w:t xml:space="preserve"> from flue gases of </w:t>
      </w:r>
      <w:r>
        <w:rPr>
          <w:lang w:val="en-GB"/>
        </w:rPr>
        <w:t>different sources</w:t>
      </w:r>
      <w:r w:rsidRPr="00FA17C8">
        <w:rPr>
          <w:lang w:val="en-GB"/>
        </w:rPr>
        <w:t xml:space="preserve"> </w:t>
      </w:r>
      <w:r w:rsidRPr="007C58CB">
        <w:rPr>
          <w:noProof/>
          <w:lang w:val="en-GB"/>
        </w:rPr>
        <w:t>is sent</w:t>
      </w:r>
      <w:r w:rsidRPr="00FA17C8">
        <w:rPr>
          <w:lang w:val="en-GB"/>
        </w:rPr>
        <w:t xml:space="preserve"> to the reformer with </w:t>
      </w:r>
      <w:r w:rsidR="009C141F">
        <w:rPr>
          <w:lang w:val="en-GB"/>
        </w:rPr>
        <w:t>natural gas</w:t>
      </w:r>
      <w:r w:rsidRPr="00FA17C8">
        <w:rPr>
          <w:lang w:val="en-GB"/>
        </w:rPr>
        <w:t xml:space="preserve"> and steam</w:t>
      </w:r>
      <w:r w:rsidR="00412ABA">
        <w:rPr>
          <w:lang w:val="en-GB"/>
        </w:rPr>
        <w:t xml:space="preserve"> (</w:t>
      </w:r>
      <w:r w:rsidR="00412ABA" w:rsidRPr="007C58CB">
        <w:rPr>
          <w:noProof/>
          <w:lang w:val="en-GB"/>
        </w:rPr>
        <w:t>and/or</w:t>
      </w:r>
      <w:r w:rsidR="00412ABA">
        <w:rPr>
          <w:lang w:val="en-GB"/>
        </w:rPr>
        <w:t xml:space="preserve"> oxygen)</w:t>
      </w:r>
      <w:r w:rsidRPr="00FA17C8">
        <w:rPr>
          <w:lang w:val="en-GB"/>
        </w:rPr>
        <w:t>, and then a synthesis gas is produced through bi</w:t>
      </w:r>
      <w:r w:rsidR="00802106">
        <w:rPr>
          <w:lang w:val="en-GB"/>
        </w:rPr>
        <w:t xml:space="preserve"> or tri</w:t>
      </w:r>
      <w:r w:rsidRPr="00FA17C8">
        <w:rPr>
          <w:lang w:val="en-GB"/>
        </w:rPr>
        <w:t xml:space="preserve">-reforming reactions. After the removal of water, syngas </w:t>
      </w:r>
      <w:r w:rsidRPr="007C58CB">
        <w:rPr>
          <w:noProof/>
          <w:lang w:val="en-GB"/>
        </w:rPr>
        <w:t>is transferred</w:t>
      </w:r>
      <w:r w:rsidRPr="00FA17C8">
        <w:rPr>
          <w:lang w:val="en-GB"/>
        </w:rPr>
        <w:t xml:space="preserve"> to the methanol reactor in which some syngas </w:t>
      </w:r>
      <w:r w:rsidRPr="007C58CB">
        <w:rPr>
          <w:noProof/>
          <w:lang w:val="en-GB"/>
        </w:rPr>
        <w:t>is converted</w:t>
      </w:r>
      <w:r w:rsidRPr="00FA17C8">
        <w:rPr>
          <w:lang w:val="en-GB"/>
        </w:rPr>
        <w:t xml:space="preserve"> into methanol. Next, products from the methanol reactor are fed to a topping column to remove unreacted gas from liquid crude methanol. Pure methanol (purity higher than 99.</w:t>
      </w:r>
      <w:r w:rsidR="00802106">
        <w:rPr>
          <w:lang w:val="en-GB"/>
        </w:rPr>
        <w:t>85</w:t>
      </w:r>
      <w:r w:rsidRPr="00FA17C8">
        <w:rPr>
          <w:lang w:val="en-GB"/>
        </w:rPr>
        <w:t xml:space="preserve"> wt%) achieves through the removal of water at a distillation column. </w:t>
      </w:r>
      <w:r w:rsidRPr="00FA17C8">
        <w:rPr>
          <w:lang w:val="en-GB"/>
        </w:rPr>
        <w:lastRenderedPageBreak/>
        <w:t>Some unreacted gas (CH</w:t>
      </w:r>
      <w:r w:rsidRPr="00CB0ECC">
        <w:rPr>
          <w:vertAlign w:val="subscript"/>
          <w:lang w:val="en-GB"/>
        </w:rPr>
        <w:t>4</w:t>
      </w:r>
      <w:r w:rsidRPr="00FA17C8">
        <w:rPr>
          <w:lang w:val="en-GB"/>
        </w:rPr>
        <w:t>, H</w:t>
      </w:r>
      <w:r w:rsidRPr="00CB0ECC">
        <w:rPr>
          <w:vertAlign w:val="subscript"/>
          <w:lang w:val="en-GB"/>
        </w:rPr>
        <w:t>2</w:t>
      </w:r>
      <w:r w:rsidRPr="00FA17C8">
        <w:rPr>
          <w:lang w:val="en-GB"/>
        </w:rPr>
        <w:t>, CO, CO</w:t>
      </w:r>
      <w:r w:rsidRPr="00CB0ECC">
        <w:rPr>
          <w:vertAlign w:val="subscript"/>
          <w:lang w:val="en-GB"/>
        </w:rPr>
        <w:t>2</w:t>
      </w:r>
      <w:r w:rsidRPr="00FA17C8">
        <w:rPr>
          <w:lang w:val="en-GB"/>
        </w:rPr>
        <w:t xml:space="preserve">) </w:t>
      </w:r>
      <w:r w:rsidRPr="007C58CB">
        <w:rPr>
          <w:noProof/>
          <w:lang w:val="en-GB"/>
        </w:rPr>
        <w:t>is recycled</w:t>
      </w:r>
      <w:r w:rsidRPr="00FA17C8">
        <w:rPr>
          <w:lang w:val="en-GB"/>
        </w:rPr>
        <w:t xml:space="preserve"> to the methanol reactor, and the rest is fed to heat supply section.</w:t>
      </w:r>
    </w:p>
    <w:p w:rsidR="00572F7E" w:rsidRDefault="0029130F" w:rsidP="00600535">
      <w:pPr>
        <w:pStyle w:val="CETBodytext"/>
        <w:rPr>
          <w:lang w:val="en-GB"/>
        </w:rPr>
      </w:pPr>
      <w:r w:rsidRPr="0029130F">
        <w:rPr>
          <w:lang w:val="en-GB"/>
        </w:rPr>
        <w:t xml:space="preserve">In this work, </w:t>
      </w:r>
      <w:r>
        <w:rPr>
          <w:lang w:val="en-GB"/>
        </w:rPr>
        <w:t>the reforming</w:t>
      </w:r>
      <w:r w:rsidRPr="0029130F">
        <w:rPr>
          <w:lang w:val="en-GB"/>
        </w:rPr>
        <w:t xml:space="preserve"> reactor </w:t>
      </w:r>
      <w:r>
        <w:rPr>
          <w:lang w:val="en-GB"/>
        </w:rPr>
        <w:t>is set up to operate at</w:t>
      </w:r>
      <w:r w:rsidRPr="0029130F">
        <w:rPr>
          <w:lang w:val="en-GB"/>
        </w:rPr>
        <w:t xml:space="preserve"> 9</w:t>
      </w:r>
      <w:r w:rsidR="00086852">
        <w:rPr>
          <w:lang w:val="en-GB"/>
        </w:rPr>
        <w:t xml:space="preserve">20 </w:t>
      </w:r>
      <w:r>
        <w:rPr>
          <w:lang w:val="en-GB"/>
        </w:rPr>
        <w:t>°C and 20</w:t>
      </w:r>
      <w:r w:rsidRPr="0029130F">
        <w:rPr>
          <w:lang w:val="en-GB"/>
        </w:rPr>
        <w:t xml:space="preserve"> bar.</w:t>
      </w:r>
      <w:r>
        <w:rPr>
          <w:lang w:val="en-GB"/>
        </w:rPr>
        <w:t xml:space="preserve"> </w:t>
      </w:r>
      <w:r w:rsidR="005759A1" w:rsidRPr="005759A1">
        <w:rPr>
          <w:lang w:val="en-GB"/>
        </w:rPr>
        <w:t>A typical methanol synthesis production in industry operates at pressures of 50</w:t>
      </w:r>
      <w:r w:rsidR="005759A1">
        <w:rPr>
          <w:lang w:val="en-GB"/>
        </w:rPr>
        <w:t xml:space="preserve"> </w:t>
      </w:r>
      <w:r w:rsidR="005759A1" w:rsidRPr="005759A1">
        <w:rPr>
          <w:lang w:val="en-GB"/>
        </w:rPr>
        <w:t>-</w:t>
      </w:r>
      <w:r w:rsidR="005759A1">
        <w:rPr>
          <w:lang w:val="en-GB"/>
        </w:rPr>
        <w:t xml:space="preserve"> </w:t>
      </w:r>
      <w:r w:rsidR="005759A1" w:rsidRPr="005759A1">
        <w:rPr>
          <w:lang w:val="en-GB"/>
        </w:rPr>
        <w:t>100 bar and temperatures of 220</w:t>
      </w:r>
      <w:r w:rsidR="005759A1">
        <w:rPr>
          <w:lang w:val="en-GB"/>
        </w:rPr>
        <w:t xml:space="preserve"> </w:t>
      </w:r>
      <w:r w:rsidR="000D022B">
        <w:rPr>
          <w:lang w:val="en-GB"/>
        </w:rPr>
        <w:t>-</w:t>
      </w:r>
      <w:r w:rsidR="005759A1">
        <w:rPr>
          <w:lang w:val="en-GB"/>
        </w:rPr>
        <w:t xml:space="preserve"> </w:t>
      </w:r>
      <w:r w:rsidR="005759A1" w:rsidRPr="005759A1">
        <w:rPr>
          <w:lang w:val="en-GB"/>
        </w:rPr>
        <w:t>300</w:t>
      </w:r>
      <w:r w:rsidR="000D022B">
        <w:rPr>
          <w:lang w:val="en-GB"/>
        </w:rPr>
        <w:t xml:space="preserve"> </w:t>
      </w:r>
      <w:r w:rsidR="005759A1" w:rsidRPr="005759A1">
        <w:rPr>
          <w:lang w:val="en-GB"/>
        </w:rPr>
        <w:t xml:space="preserve">°C. </w:t>
      </w:r>
      <w:r w:rsidR="00AF295C">
        <w:rPr>
          <w:lang w:val="en-GB"/>
        </w:rPr>
        <w:t>Therefore</w:t>
      </w:r>
      <w:r w:rsidR="005759A1" w:rsidRPr="005759A1">
        <w:rPr>
          <w:lang w:val="en-GB"/>
        </w:rPr>
        <w:t xml:space="preserve">, </w:t>
      </w:r>
      <w:r w:rsidR="005759A1">
        <w:rPr>
          <w:lang w:val="en-GB"/>
        </w:rPr>
        <w:t>p</w:t>
      </w:r>
      <w:r w:rsidR="005759A1" w:rsidRPr="005759A1">
        <w:rPr>
          <w:lang w:val="en-GB"/>
        </w:rPr>
        <w:t xml:space="preserve">roduced syngas is compressed to </w:t>
      </w:r>
      <w:r w:rsidR="005759A1">
        <w:rPr>
          <w:lang w:val="en-GB"/>
        </w:rPr>
        <w:t>50</w:t>
      </w:r>
      <w:r w:rsidR="005759A1" w:rsidRPr="005759A1">
        <w:rPr>
          <w:lang w:val="en-GB"/>
        </w:rPr>
        <w:t xml:space="preserve"> bar in a compressor and preheated up to 2</w:t>
      </w:r>
      <w:r w:rsidR="005759A1">
        <w:rPr>
          <w:lang w:val="en-GB"/>
        </w:rPr>
        <w:t xml:space="preserve">40 </w:t>
      </w:r>
      <w:r w:rsidR="005759A1" w:rsidRPr="005759A1">
        <w:rPr>
          <w:lang w:val="en-GB"/>
        </w:rPr>
        <w:t>°C before fed to the methanol reactor.</w:t>
      </w:r>
      <w:r w:rsidR="00973847">
        <w:rPr>
          <w:lang w:val="en-GB"/>
        </w:rPr>
        <w:t xml:space="preserve"> </w:t>
      </w:r>
      <w:r w:rsidR="00AF213B">
        <w:rPr>
          <w:noProof/>
          <w:lang w:val="en-GB"/>
        </w:rPr>
        <w:t>The m</w:t>
      </w:r>
      <w:r w:rsidR="00973847" w:rsidRPr="00AF213B">
        <w:rPr>
          <w:noProof/>
          <w:lang w:val="en-GB"/>
        </w:rPr>
        <w:t>ethanol</w:t>
      </w:r>
      <w:r w:rsidR="00973847" w:rsidRPr="00973847">
        <w:rPr>
          <w:lang w:val="en-GB"/>
        </w:rPr>
        <w:t xml:space="preserve"> reactor effluent </w:t>
      </w:r>
      <w:r w:rsidR="00973847" w:rsidRPr="007C58CB">
        <w:rPr>
          <w:noProof/>
          <w:lang w:val="en-GB"/>
        </w:rPr>
        <w:t>is expanded</w:t>
      </w:r>
      <w:r w:rsidR="00973847" w:rsidRPr="00973847">
        <w:rPr>
          <w:lang w:val="en-GB"/>
        </w:rPr>
        <w:t xml:space="preserve"> and cooled to 35°C before injected into the flash drum to remove most residual gases. Some residual heat </w:t>
      </w:r>
      <w:r w:rsidR="00973847" w:rsidRPr="007C58CB">
        <w:rPr>
          <w:noProof/>
          <w:lang w:val="en-GB"/>
        </w:rPr>
        <w:t>is recovered</w:t>
      </w:r>
      <w:r w:rsidR="00973847" w:rsidRPr="00973847">
        <w:rPr>
          <w:lang w:val="en-GB"/>
        </w:rPr>
        <w:t xml:space="preserve"> through preheating the feed to methanol reactor. The remaining liquid stream is expanded to 17</w:t>
      </w:r>
      <w:r w:rsidR="00973847">
        <w:rPr>
          <w:lang w:val="en-GB"/>
        </w:rPr>
        <w:t xml:space="preserve"> </w:t>
      </w:r>
      <w:r w:rsidR="00973847" w:rsidRPr="00973847">
        <w:rPr>
          <w:lang w:val="en-GB"/>
        </w:rPr>
        <w:t xml:space="preserve">bar and fed to the topping column. </w:t>
      </w:r>
      <w:r w:rsidR="00AF213B">
        <w:rPr>
          <w:noProof/>
          <w:lang w:val="en-GB"/>
        </w:rPr>
        <w:t>In</w:t>
      </w:r>
      <w:r w:rsidR="00973847" w:rsidRPr="00973847">
        <w:rPr>
          <w:lang w:val="en-GB"/>
        </w:rPr>
        <w:t xml:space="preserve"> this column, unreacted gases and crude methanol are separated into the overhead and bottom, respectively. The final methanol product </w:t>
      </w:r>
      <w:r w:rsidR="00973847" w:rsidRPr="007C58CB">
        <w:rPr>
          <w:noProof/>
          <w:lang w:val="en-GB"/>
        </w:rPr>
        <w:t>is purified</w:t>
      </w:r>
      <w:r w:rsidR="00973847" w:rsidRPr="00973847">
        <w:rPr>
          <w:lang w:val="en-GB"/>
        </w:rPr>
        <w:t xml:space="preserve"> to 99.</w:t>
      </w:r>
      <w:r w:rsidR="00973847">
        <w:rPr>
          <w:lang w:val="en-GB"/>
        </w:rPr>
        <w:t>85</w:t>
      </w:r>
      <w:r w:rsidR="00973847" w:rsidRPr="00973847">
        <w:rPr>
          <w:lang w:val="en-GB"/>
        </w:rPr>
        <w:t xml:space="preserve"> wt% at the top of the distillation column. The number of trays </w:t>
      </w:r>
      <w:r w:rsidR="00973847" w:rsidRPr="007C58CB">
        <w:rPr>
          <w:noProof/>
          <w:lang w:val="en-GB"/>
        </w:rPr>
        <w:t>was calculated</w:t>
      </w:r>
      <w:r w:rsidR="00973847" w:rsidRPr="00973847">
        <w:rPr>
          <w:lang w:val="en-GB"/>
        </w:rPr>
        <w:t xml:space="preserve"> at 36 stages, condenser pressure at 1 </w:t>
      </w:r>
      <w:r w:rsidR="00BE676F">
        <w:rPr>
          <w:lang w:val="en-GB"/>
        </w:rPr>
        <w:t>atm</w:t>
      </w:r>
      <w:r w:rsidR="00973847" w:rsidRPr="00973847">
        <w:rPr>
          <w:lang w:val="en-GB"/>
        </w:rPr>
        <w:t>, and reboiler pressure at 1.1 bar</w:t>
      </w:r>
    </w:p>
    <w:p w:rsidR="003373F7" w:rsidRDefault="003373F7" w:rsidP="00600535">
      <w:pPr>
        <w:pStyle w:val="CETBodytext"/>
        <w:rPr>
          <w:lang w:val="en-GB"/>
        </w:rPr>
      </w:pPr>
      <w:r w:rsidRPr="00D27008">
        <w:rPr>
          <w:lang w:val="en-GB"/>
        </w:rPr>
        <w:t xml:space="preserve">Unreacted gases from the flash drum and the topping column </w:t>
      </w:r>
      <w:r w:rsidRPr="007C58CB">
        <w:rPr>
          <w:noProof/>
          <w:lang w:val="en-GB"/>
        </w:rPr>
        <w:t>are mixed</w:t>
      </w:r>
      <w:r w:rsidRPr="00D27008">
        <w:rPr>
          <w:lang w:val="en-GB"/>
        </w:rPr>
        <w:t xml:space="preserve"> with </w:t>
      </w:r>
      <w:r>
        <w:rPr>
          <w:lang w:val="en-GB"/>
        </w:rPr>
        <w:t>natural gas</w:t>
      </w:r>
      <w:r w:rsidR="00923694">
        <w:rPr>
          <w:lang w:val="en-GB"/>
        </w:rPr>
        <w:t xml:space="preserve"> and air, </w:t>
      </w:r>
      <w:r w:rsidRPr="00D27008">
        <w:rPr>
          <w:lang w:val="en-GB"/>
        </w:rPr>
        <w:t xml:space="preserve">then burned to </w:t>
      </w:r>
      <w:r w:rsidRPr="003373F7">
        <w:rPr>
          <w:lang w:val="en-GB"/>
        </w:rPr>
        <w:t>produce high-pressure steam (42 bar)</w:t>
      </w:r>
      <w:r>
        <w:rPr>
          <w:lang w:val="en-GB"/>
        </w:rPr>
        <w:t xml:space="preserve">. </w:t>
      </w:r>
      <w:r w:rsidR="00886CFD">
        <w:rPr>
          <w:lang w:val="en-GB"/>
        </w:rPr>
        <w:t xml:space="preserve">To keep the methanol reactor at constant temperature requires a cooling system, which also produces </w:t>
      </w:r>
      <w:r w:rsidR="00886CFD" w:rsidRPr="00886CFD">
        <w:rPr>
          <w:lang w:val="en-GB"/>
        </w:rPr>
        <w:t>high-pressure steam (42 bar)</w:t>
      </w:r>
      <w:r w:rsidR="00886CFD">
        <w:rPr>
          <w:lang w:val="en-GB"/>
        </w:rPr>
        <w:t xml:space="preserve">. </w:t>
      </w:r>
      <w:r w:rsidR="00572F7E">
        <w:rPr>
          <w:lang w:val="en-GB"/>
        </w:rPr>
        <w:t>The burner has</w:t>
      </w:r>
      <w:r w:rsidR="00572F7E" w:rsidRPr="00D27008">
        <w:rPr>
          <w:lang w:val="en-GB"/>
        </w:rPr>
        <w:t xml:space="preserve"> the operating conditions </w:t>
      </w:r>
      <w:r w:rsidR="00572F7E">
        <w:rPr>
          <w:lang w:val="en-GB"/>
        </w:rPr>
        <w:t>at</w:t>
      </w:r>
      <w:r w:rsidR="00572F7E" w:rsidRPr="00D27008">
        <w:rPr>
          <w:lang w:val="en-GB"/>
        </w:rPr>
        <w:t xml:space="preserve"> 1</w:t>
      </w:r>
      <w:r w:rsidR="00572F7E">
        <w:rPr>
          <w:lang w:val="en-GB"/>
        </w:rPr>
        <w:t>.2 bar and 12</w:t>
      </w:r>
      <w:r w:rsidR="00572F7E" w:rsidRPr="00D27008">
        <w:rPr>
          <w:lang w:val="en-GB"/>
        </w:rPr>
        <w:t>00</w:t>
      </w:r>
      <w:r w:rsidR="00572F7E">
        <w:rPr>
          <w:lang w:val="en-GB"/>
        </w:rPr>
        <w:t xml:space="preserve"> </w:t>
      </w:r>
      <w:r w:rsidR="00572F7E" w:rsidRPr="00D27008">
        <w:rPr>
          <w:lang w:val="en-GB"/>
        </w:rPr>
        <w:t>°C.</w:t>
      </w:r>
      <w:r w:rsidR="00572F7E">
        <w:rPr>
          <w:lang w:val="en-GB"/>
        </w:rPr>
        <w:t xml:space="preserve"> </w:t>
      </w:r>
      <w:r w:rsidR="00356518">
        <w:rPr>
          <w:lang w:val="en-GB"/>
        </w:rPr>
        <w:t xml:space="preserve">The heat released from the hot flue gas of the </w:t>
      </w:r>
      <w:r w:rsidR="00356518" w:rsidRPr="007C58CB">
        <w:rPr>
          <w:noProof/>
          <w:lang w:val="en-GB"/>
        </w:rPr>
        <w:t>burner</w:t>
      </w:r>
      <w:r w:rsidR="00356518">
        <w:rPr>
          <w:lang w:val="en-GB"/>
        </w:rPr>
        <w:t xml:space="preserve"> is used to </w:t>
      </w:r>
      <w:r w:rsidR="00443579" w:rsidRPr="00443579">
        <w:rPr>
          <w:lang w:val="en-GB"/>
        </w:rPr>
        <w:t>preheat the feed stream</w:t>
      </w:r>
      <w:r w:rsidR="00443579">
        <w:rPr>
          <w:lang w:val="en-GB"/>
        </w:rPr>
        <w:t>s</w:t>
      </w:r>
      <w:r w:rsidR="00443579" w:rsidRPr="00443579">
        <w:t xml:space="preserve"> </w:t>
      </w:r>
      <w:r w:rsidR="00443579" w:rsidRPr="00443579">
        <w:rPr>
          <w:lang w:val="en-GB"/>
        </w:rPr>
        <w:t xml:space="preserve">and </w:t>
      </w:r>
      <w:r w:rsidR="00443579">
        <w:rPr>
          <w:lang w:val="en-GB"/>
        </w:rPr>
        <w:t>produce</w:t>
      </w:r>
      <w:r w:rsidR="00443579" w:rsidRPr="00443579">
        <w:rPr>
          <w:lang w:val="en-GB"/>
        </w:rPr>
        <w:t xml:space="preserve"> the steam for reforming reactions as well as electricity</w:t>
      </w:r>
      <w:r w:rsidR="00443579">
        <w:rPr>
          <w:lang w:val="en-GB"/>
        </w:rPr>
        <w:t xml:space="preserve">. </w:t>
      </w:r>
    </w:p>
    <w:p w:rsidR="004801BD" w:rsidRDefault="006A28C9" w:rsidP="009C141F">
      <w:pPr>
        <w:pStyle w:val="CETBodytext"/>
        <w:jc w:val="left"/>
      </w:pPr>
      <w:r>
        <w:object w:dxaOrig="14266" w:dyaOrig="5956">
          <v:shape id="_x0000_i1030" type="#_x0000_t75" style="width:410.25pt;height:171pt" o:ole="">
            <v:imagedata r:id="rId20" o:title=""/>
          </v:shape>
          <o:OLEObject Type="Embed" ProgID="Visio.Drawing.15" ShapeID="_x0000_i1030" DrawAspect="Content" ObjectID="_1615484085" r:id="rId21"/>
        </w:object>
      </w:r>
    </w:p>
    <w:p w:rsidR="00FD2821" w:rsidRPr="007F39C8" w:rsidRDefault="00FD2821" w:rsidP="007F39C8">
      <w:pPr>
        <w:pStyle w:val="CETCaption"/>
      </w:pPr>
      <w:r w:rsidRPr="007F39C8">
        <w:t>Figure 1: Schematic diagram of bi or tri-reforming based methanol process</w:t>
      </w:r>
    </w:p>
    <w:p w:rsidR="00600535" w:rsidRPr="00B57B36" w:rsidRDefault="00EC0207" w:rsidP="00EC0207">
      <w:pPr>
        <w:pStyle w:val="CETHeading1"/>
        <w:tabs>
          <w:tab w:val="right" w:pos="7100"/>
        </w:tabs>
        <w:jc w:val="both"/>
        <w:rPr>
          <w:lang w:val="en-GB"/>
        </w:rPr>
      </w:pPr>
      <w:r>
        <w:rPr>
          <w:lang w:val="en-GB"/>
        </w:rPr>
        <w:t xml:space="preserve">3. </w:t>
      </w:r>
      <w:r w:rsidR="006E6F9B" w:rsidRPr="006E6F9B">
        <w:rPr>
          <w:lang w:val="en-GB"/>
        </w:rPr>
        <w:t>Process evaluation and results</w:t>
      </w:r>
    </w:p>
    <w:p w:rsidR="006E6F9B" w:rsidRDefault="00EC0207" w:rsidP="00246335">
      <w:pPr>
        <w:pStyle w:val="CETheadingx"/>
        <w:rPr>
          <w:lang w:val="en-GB"/>
        </w:rPr>
      </w:pPr>
      <w:r w:rsidRPr="00EC0207">
        <w:t>3.1 CO</w:t>
      </w:r>
      <w:r w:rsidRPr="008D3CAD">
        <w:rPr>
          <w:vertAlign w:val="subscript"/>
        </w:rPr>
        <w:t>2</w:t>
      </w:r>
      <w:r w:rsidRPr="00EC0207">
        <w:t xml:space="preserve"> </w:t>
      </w:r>
      <w:r w:rsidRPr="00246335">
        <w:t>abatement</w:t>
      </w:r>
    </w:p>
    <w:p w:rsidR="00600535" w:rsidRDefault="00B34745" w:rsidP="00600535">
      <w:pPr>
        <w:pStyle w:val="CETBodytext"/>
        <w:rPr>
          <w:lang w:val="en-GB"/>
        </w:rPr>
      </w:pPr>
      <w:r w:rsidRPr="00B34745">
        <w:rPr>
          <w:lang w:val="en-GB"/>
        </w:rPr>
        <w:t>CO</w:t>
      </w:r>
      <w:r w:rsidRPr="008D3FC5">
        <w:rPr>
          <w:vertAlign w:val="subscript"/>
          <w:lang w:val="en-GB"/>
        </w:rPr>
        <w:t>2</w:t>
      </w:r>
      <w:r w:rsidRPr="00B34745">
        <w:rPr>
          <w:lang w:val="en-GB"/>
        </w:rPr>
        <w:t xml:space="preserve"> emissions come from </w:t>
      </w:r>
      <w:r>
        <w:rPr>
          <w:lang w:val="en-GB"/>
        </w:rPr>
        <w:t>two</w:t>
      </w:r>
      <w:r w:rsidRPr="00B34745">
        <w:rPr>
          <w:lang w:val="en-GB"/>
        </w:rPr>
        <w:t xml:space="preserve"> different sources in the process: 1) CO</w:t>
      </w:r>
      <w:r w:rsidRPr="008D3FC5">
        <w:rPr>
          <w:vertAlign w:val="subscript"/>
          <w:lang w:val="en-GB"/>
        </w:rPr>
        <w:t>2</w:t>
      </w:r>
      <w:r w:rsidRPr="00B34745">
        <w:rPr>
          <w:lang w:val="en-GB"/>
        </w:rPr>
        <w:t xml:space="preserve"> released </w:t>
      </w:r>
      <w:r>
        <w:rPr>
          <w:lang w:val="en-GB"/>
        </w:rPr>
        <w:t>from flue gases, 2) CO</w:t>
      </w:r>
      <w:r w:rsidRPr="008D3FC5">
        <w:rPr>
          <w:vertAlign w:val="subscript"/>
          <w:lang w:val="en-GB"/>
        </w:rPr>
        <w:t>2</w:t>
      </w:r>
      <w:r>
        <w:rPr>
          <w:lang w:val="en-GB"/>
        </w:rPr>
        <w:t xml:space="preserve"> discharged by electricity consumption</w:t>
      </w:r>
      <w:r w:rsidR="00600535" w:rsidRPr="00B57B36">
        <w:rPr>
          <w:lang w:val="en-GB"/>
        </w:rPr>
        <w:t>.</w:t>
      </w:r>
      <w:r w:rsidR="008D3FC5" w:rsidRPr="008D3FC5">
        <w:t xml:space="preserve"> </w:t>
      </w:r>
      <w:r w:rsidR="002825E1" w:rsidRPr="002825E1">
        <w:t>The first is generally called as direct CO</w:t>
      </w:r>
      <w:r w:rsidR="002825E1" w:rsidRPr="00E20332">
        <w:rPr>
          <w:vertAlign w:val="subscript"/>
        </w:rPr>
        <w:t>2</w:t>
      </w:r>
      <w:r w:rsidR="002825E1" w:rsidRPr="002825E1">
        <w:t xml:space="preserve"> emissions while the others </w:t>
      </w:r>
      <w:r w:rsidR="002825E1" w:rsidRPr="007C58CB">
        <w:rPr>
          <w:noProof/>
        </w:rPr>
        <w:t>are referred</w:t>
      </w:r>
      <w:r w:rsidR="002825E1" w:rsidRPr="002825E1">
        <w:t xml:space="preserve"> to indirect emissions. The value of CO</w:t>
      </w:r>
      <w:r w:rsidR="002825E1" w:rsidRPr="002F1529">
        <w:rPr>
          <w:vertAlign w:val="subscript"/>
        </w:rPr>
        <w:t>2</w:t>
      </w:r>
      <w:r w:rsidR="002825E1" w:rsidRPr="002825E1">
        <w:t xml:space="preserve"> emission as a result of using thermal energy and electricity is 205.3 lbCO</w:t>
      </w:r>
      <w:r w:rsidR="002825E1" w:rsidRPr="002825E1">
        <w:rPr>
          <w:vertAlign w:val="subscript"/>
        </w:rPr>
        <w:t>2</w:t>
      </w:r>
      <w:r w:rsidR="002825E1" w:rsidRPr="002825E1">
        <w:t>/MMBtu a</w:t>
      </w:r>
      <w:r w:rsidR="002825E1">
        <w:t>nd 0.596 tCO</w:t>
      </w:r>
      <w:r w:rsidR="002825E1" w:rsidRPr="002825E1">
        <w:rPr>
          <w:vertAlign w:val="subscript"/>
        </w:rPr>
        <w:t>2</w:t>
      </w:r>
      <w:r w:rsidR="002825E1">
        <w:t>/MWhr respectively</w:t>
      </w:r>
      <w:r w:rsidR="00581711">
        <w:t xml:space="preserve"> </w:t>
      </w:r>
      <w:r w:rsidR="00581711">
        <w:fldChar w:fldCharType="begin" w:fldLock="1"/>
      </w:r>
      <w:r w:rsidR="00D11044">
        <w:instrText>ADDIN CSL_CITATION {"citationItems":[{"id":"ITEM-1","itemData":{"DOI":"10.1016/j.energy.2018.06.061","ISSN":"0360-5442","author":[{"dropping-particle":"","family":"Yang","given":"Yu","non-dropping-particle":"","parse-names":false,"suffix":""},{"dropping-particle":"","family":"Liu","given":"Jing","non-dropping-particle":"","parse-names":false,"suffix":""},{"dropping-particle":"","family":"Shen","given":"Weifeng","non-dropping-particle":"","parse-names":false,"suffix":""},{"dropping-particle":"","family":"Li","given":"Jie","non-dropping-particle":"","parse-names":false,"suffix":""},{"dropping-particle":"","family":"Chien","given":"I-Lung","non-dropping-particle":"","parse-names":false,"suffix":""}],"container-title":"Energy","id":"ITEM-1","issued":{"date-parts":[["2018","9","1"]]},"page":"820-829","publisher":"Pergamon","title":"High-efficiency utilization of CO2 in the methanol production by a novel parallel-series system combining steam and dry methane reforming","type":"article-journal","volume":"158"},"uris":["http://www.mendeley.com/documents/?uuid=ded29f39-004d-4f50-9a16-352d246f1af7"]}],"mendeley":{"formattedCitation":"(Yang &lt;i&gt;et al.&lt;/i&gt;, 2018)","plainTextFormattedCitation":"(Yang et al., 2018)","previouslyFormattedCitation":"(Yang &lt;i&gt;et al.&lt;/i&gt;, 2018)"},"properties":{"noteIndex":0},"schema":"https://github.com/citation-style-language/schema/raw/master/csl-citation.json"}</w:instrText>
      </w:r>
      <w:r w:rsidR="00581711">
        <w:fldChar w:fldCharType="separate"/>
      </w:r>
      <w:r w:rsidR="004526AA" w:rsidRPr="004526AA">
        <w:rPr>
          <w:noProof/>
        </w:rPr>
        <w:t xml:space="preserve">(Yang </w:t>
      </w:r>
      <w:r w:rsidR="004526AA" w:rsidRPr="00D02A8B">
        <w:rPr>
          <w:noProof/>
        </w:rPr>
        <w:t>et al.,</w:t>
      </w:r>
      <w:r w:rsidR="004526AA" w:rsidRPr="004526AA">
        <w:rPr>
          <w:noProof/>
        </w:rPr>
        <w:t xml:space="preserve"> 2018)</w:t>
      </w:r>
      <w:r w:rsidR="00581711">
        <w:fldChar w:fldCharType="end"/>
      </w:r>
      <w:r w:rsidR="002825E1">
        <w:t>.</w:t>
      </w:r>
      <w:r w:rsidR="002F1529" w:rsidRPr="002F1529">
        <w:t xml:space="preserve"> </w:t>
      </w:r>
      <w:r w:rsidR="002F1529" w:rsidRPr="007C58CB">
        <w:rPr>
          <w:noProof/>
        </w:rPr>
        <w:t>The net CO</w:t>
      </w:r>
      <w:r w:rsidR="002F1529" w:rsidRPr="007C58CB">
        <w:rPr>
          <w:noProof/>
          <w:vertAlign w:val="subscript"/>
        </w:rPr>
        <w:t>2</w:t>
      </w:r>
      <w:r w:rsidR="002F1529" w:rsidRPr="007C58CB">
        <w:rPr>
          <w:noProof/>
        </w:rPr>
        <w:t xml:space="preserve"> emission is calculated by the following equation</w:t>
      </w:r>
      <w:r w:rsidR="002F1529">
        <w:t xml:space="preserve"> while t</w:t>
      </w:r>
      <w:r w:rsidR="008D3FC5" w:rsidRPr="008D3FC5">
        <w:rPr>
          <w:lang w:val="en-GB"/>
        </w:rPr>
        <w:t xml:space="preserve">he details </w:t>
      </w:r>
      <w:r w:rsidR="008D3FC5" w:rsidRPr="007C58CB">
        <w:rPr>
          <w:noProof/>
          <w:lang w:val="en-GB"/>
        </w:rPr>
        <w:t>are presented</w:t>
      </w:r>
      <w:r w:rsidR="008D3FC5" w:rsidRPr="008D3FC5">
        <w:rPr>
          <w:lang w:val="en-GB"/>
        </w:rPr>
        <w:t xml:space="preserve"> in Table </w:t>
      </w:r>
      <w:r w:rsidR="008D3FC5">
        <w:rPr>
          <w:lang w:val="en-GB"/>
        </w:rPr>
        <w:t>5</w:t>
      </w:r>
      <w:r w:rsidR="008D3FC5" w:rsidRPr="008D3FC5">
        <w:rPr>
          <w:lang w:val="en-GB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4"/>
        <w:gridCol w:w="803"/>
      </w:tblGrid>
      <w:tr w:rsidR="00313FC1" w:rsidRPr="009E4196" w:rsidTr="00A00BB2">
        <w:tc>
          <w:tcPr>
            <w:tcW w:w="8188" w:type="dxa"/>
            <w:shd w:val="clear" w:color="auto" w:fill="auto"/>
            <w:vAlign w:val="center"/>
          </w:tcPr>
          <w:p w:rsidR="00313FC1" w:rsidRPr="009E4196" w:rsidRDefault="00313FC1" w:rsidP="009E4196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Net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flow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supHide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/>
                  <m:e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C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Generated</m:t>
                        </m:r>
                      </m:sup>
                    </m:sSubSup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</w:rPr>
                      <m:t>Input</m:t>
                    </m:r>
                  </m:sup>
                </m:sSubSup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:rsidR="00313FC1" w:rsidRPr="009E4196" w:rsidRDefault="00313FC1" w:rsidP="009E4196">
            <w:pPr>
              <w:pStyle w:val="CETEquation"/>
            </w:pPr>
            <w:r w:rsidRPr="009E4196">
              <w:t>(6)</w:t>
            </w:r>
          </w:p>
        </w:tc>
      </w:tr>
    </w:tbl>
    <w:p w:rsidR="004C05CE" w:rsidRPr="002E6BAF" w:rsidRDefault="004C05CE" w:rsidP="002E6BAF">
      <w:pPr>
        <w:pStyle w:val="CETTabletitle"/>
      </w:pPr>
      <w:r w:rsidRPr="002E6BAF">
        <w:t>Table 5: The CO</w:t>
      </w:r>
      <w:r w:rsidRPr="002E6BAF">
        <w:rPr>
          <w:vertAlign w:val="subscript"/>
        </w:rPr>
        <w:t>2</w:t>
      </w:r>
      <w:r w:rsidRPr="002E6BAF">
        <w:t xml:space="preserve"> emissions of reforming-based processes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0"/>
        <w:gridCol w:w="1170"/>
        <w:gridCol w:w="1170"/>
        <w:gridCol w:w="1260"/>
      </w:tblGrid>
      <w:tr w:rsidR="00131CA8" w:rsidRPr="00B57B36" w:rsidTr="00131CA8">
        <w:tc>
          <w:tcPr>
            <w:tcW w:w="279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131CA8" w:rsidRPr="00D77B18" w:rsidRDefault="00131CA8" w:rsidP="00A00BB2">
            <w:r w:rsidRPr="00D77B18">
              <w:t>Parameter</w:t>
            </w:r>
          </w:p>
        </w:tc>
        <w:tc>
          <w:tcPr>
            <w:tcW w:w="11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131CA8" w:rsidRPr="00D77B18" w:rsidRDefault="00131CA8" w:rsidP="00A00BB2">
            <w:r w:rsidRPr="00D77B18">
              <w:t>Unit</w:t>
            </w:r>
          </w:p>
        </w:tc>
        <w:tc>
          <w:tcPr>
            <w:tcW w:w="117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131CA8" w:rsidRDefault="00131CA8" w:rsidP="00A00BB2">
            <w:r>
              <w:t>Bi-reforming</w:t>
            </w: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:rsidR="00131CA8" w:rsidRPr="00B57B36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Tri-reforming</w:t>
            </w:r>
          </w:p>
        </w:tc>
      </w:tr>
      <w:tr w:rsidR="00131CA8" w:rsidRPr="00B57B36" w:rsidTr="00131CA8">
        <w:tc>
          <w:tcPr>
            <w:tcW w:w="2790" w:type="dxa"/>
            <w:shd w:val="clear" w:color="auto" w:fill="FFFFFF"/>
          </w:tcPr>
          <w:p w:rsidR="00131CA8" w:rsidRPr="00B57B36" w:rsidRDefault="00131CA8" w:rsidP="00A00BB2">
            <w:pPr>
              <w:pStyle w:val="CETBodytext"/>
              <w:rPr>
                <w:lang w:val="en-GB"/>
              </w:rPr>
            </w:pPr>
            <w:r w:rsidRPr="00131CA8">
              <w:rPr>
                <w:lang w:val="en-GB"/>
              </w:rPr>
              <w:t>CO</w:t>
            </w:r>
            <w:r w:rsidRPr="00131CA8">
              <w:rPr>
                <w:vertAlign w:val="subscript"/>
                <w:lang w:val="en-GB"/>
              </w:rPr>
              <w:t>2</w:t>
            </w:r>
            <w:r w:rsidRPr="00131CA8">
              <w:rPr>
                <w:lang w:val="en-GB"/>
              </w:rPr>
              <w:t xml:space="preserve"> fed to the methanol plant</w:t>
            </w:r>
          </w:p>
        </w:tc>
        <w:tc>
          <w:tcPr>
            <w:tcW w:w="1170" w:type="dxa"/>
            <w:shd w:val="clear" w:color="auto" w:fill="FFFFFF"/>
          </w:tcPr>
          <w:p w:rsidR="00131CA8" w:rsidRPr="00B57B36" w:rsidRDefault="00131CA8" w:rsidP="00A00BB2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kg/h</w:t>
            </w:r>
          </w:p>
        </w:tc>
        <w:tc>
          <w:tcPr>
            <w:tcW w:w="117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rPr>
                <w:lang w:val="en-GB"/>
              </w:rPr>
            </w:pPr>
            <w:r w:rsidRPr="00AA3B43">
              <w:rPr>
                <w:lang w:val="en-GB"/>
              </w:rPr>
              <w:t>-22428.93</w:t>
            </w:r>
          </w:p>
        </w:tc>
        <w:tc>
          <w:tcPr>
            <w:tcW w:w="126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-19394.26</w:t>
            </w:r>
          </w:p>
        </w:tc>
      </w:tr>
      <w:tr w:rsidR="00131CA8" w:rsidRPr="00B57B36" w:rsidTr="00131CA8">
        <w:tc>
          <w:tcPr>
            <w:tcW w:w="2790" w:type="dxa"/>
            <w:shd w:val="clear" w:color="auto" w:fill="FFFFFF"/>
          </w:tcPr>
          <w:p w:rsidR="00131CA8" w:rsidRPr="00B57B36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31CA8">
              <w:rPr>
                <w:rFonts w:cs="Arial"/>
                <w:szCs w:val="18"/>
                <w:lang w:val="en-GB"/>
              </w:rPr>
              <w:t>CO</w:t>
            </w:r>
            <w:r w:rsidRPr="00131CA8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131CA8">
              <w:rPr>
                <w:rFonts w:cs="Arial"/>
                <w:szCs w:val="18"/>
                <w:lang w:val="en-GB"/>
              </w:rPr>
              <w:t xml:space="preserve"> rejected by methanol plant</w:t>
            </w:r>
          </w:p>
        </w:tc>
        <w:tc>
          <w:tcPr>
            <w:tcW w:w="1170" w:type="dxa"/>
            <w:shd w:val="clear" w:color="auto" w:fill="FFFFFF"/>
          </w:tcPr>
          <w:p w:rsidR="00131CA8" w:rsidRPr="00B57B36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kg/h</w:t>
            </w:r>
          </w:p>
        </w:tc>
        <w:tc>
          <w:tcPr>
            <w:tcW w:w="117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60028.06</w:t>
            </w:r>
          </w:p>
        </w:tc>
        <w:tc>
          <w:tcPr>
            <w:tcW w:w="126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55027.37</w:t>
            </w:r>
          </w:p>
        </w:tc>
      </w:tr>
      <w:tr w:rsidR="00131CA8" w:rsidRPr="00B57B36" w:rsidTr="00131CA8">
        <w:tc>
          <w:tcPr>
            <w:tcW w:w="279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31CA8">
              <w:rPr>
                <w:rFonts w:cs="Arial"/>
                <w:szCs w:val="18"/>
                <w:lang w:val="en-GB"/>
              </w:rPr>
              <w:t>Electricity consumption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kg/h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14852.23</w:t>
            </w:r>
          </w:p>
        </w:tc>
        <w:tc>
          <w:tcPr>
            <w:tcW w:w="126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14134.61</w:t>
            </w:r>
          </w:p>
        </w:tc>
      </w:tr>
      <w:tr w:rsidR="00131CA8" w:rsidRPr="00B57B36" w:rsidTr="00131CA8">
        <w:tc>
          <w:tcPr>
            <w:tcW w:w="279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31CA8">
              <w:rPr>
                <w:rFonts w:cs="Arial"/>
                <w:szCs w:val="18"/>
                <w:lang w:val="en-GB"/>
              </w:rPr>
              <w:t>Net CO</w:t>
            </w:r>
            <w:r w:rsidRPr="00131CA8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131CA8">
              <w:rPr>
                <w:rFonts w:cs="Arial"/>
                <w:szCs w:val="18"/>
                <w:lang w:val="en-GB"/>
              </w:rPr>
              <w:t xml:space="preserve"> emission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kg/h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52451.37</w:t>
            </w:r>
          </w:p>
        </w:tc>
        <w:tc>
          <w:tcPr>
            <w:tcW w:w="126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49767.72</w:t>
            </w:r>
          </w:p>
        </w:tc>
      </w:tr>
      <w:tr w:rsidR="00131CA8" w:rsidRPr="00B57B36" w:rsidTr="00131CA8">
        <w:tc>
          <w:tcPr>
            <w:tcW w:w="279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31CA8">
              <w:rPr>
                <w:rFonts w:cs="Arial"/>
                <w:szCs w:val="18"/>
                <w:lang w:val="en-GB"/>
              </w:rPr>
              <w:t>Net CO</w:t>
            </w:r>
            <w:r w:rsidRPr="00131CA8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131CA8">
              <w:rPr>
                <w:rFonts w:cs="Arial"/>
                <w:szCs w:val="18"/>
                <w:lang w:val="en-GB"/>
              </w:rPr>
              <w:t xml:space="preserve"> emission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131CA8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131CA8">
              <w:rPr>
                <w:rFonts w:cs="Arial"/>
                <w:szCs w:val="18"/>
                <w:lang w:val="en-GB"/>
              </w:rPr>
              <w:t>tCO</w:t>
            </w:r>
            <w:r w:rsidRPr="00131CA8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131CA8">
              <w:rPr>
                <w:rFonts w:cs="Arial"/>
                <w:szCs w:val="18"/>
                <w:lang w:val="en-GB"/>
              </w:rPr>
              <w:t>/tMeOH</w:t>
            </w:r>
          </w:p>
        </w:tc>
        <w:tc>
          <w:tcPr>
            <w:tcW w:w="1170" w:type="dxa"/>
            <w:shd w:val="clear" w:color="auto" w:fill="FFFFFF"/>
          </w:tcPr>
          <w:p w:rsidR="00131CA8" w:rsidRPr="00792521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0.839</w:t>
            </w:r>
          </w:p>
        </w:tc>
        <w:tc>
          <w:tcPr>
            <w:tcW w:w="1260" w:type="dxa"/>
            <w:shd w:val="clear" w:color="auto" w:fill="FFFFFF"/>
          </w:tcPr>
          <w:p w:rsidR="00131CA8" w:rsidRPr="00B57B36" w:rsidRDefault="00AA3B43" w:rsidP="00A00BB2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AA3B43">
              <w:rPr>
                <w:rFonts w:cs="Arial"/>
                <w:szCs w:val="18"/>
                <w:lang w:val="en-GB"/>
              </w:rPr>
              <w:t>0.796</w:t>
            </w:r>
          </w:p>
        </w:tc>
      </w:tr>
    </w:tbl>
    <w:p w:rsidR="008D3FC5" w:rsidRDefault="008D3FC5" w:rsidP="00600535">
      <w:pPr>
        <w:pStyle w:val="CETBodytext"/>
        <w:rPr>
          <w:lang w:val="en-GB"/>
        </w:rPr>
      </w:pPr>
    </w:p>
    <w:p w:rsidR="00082493" w:rsidRDefault="00D80B82" w:rsidP="00600535">
      <w:pPr>
        <w:pStyle w:val="CETBodytext"/>
        <w:rPr>
          <w:lang w:val="en-GB"/>
        </w:rPr>
      </w:pPr>
      <w:r w:rsidRPr="007C58CB">
        <w:rPr>
          <w:noProof/>
          <w:lang w:val="en-GB"/>
        </w:rPr>
        <w:t>Obviously,</w:t>
      </w:r>
      <w:r w:rsidRPr="00D80B82">
        <w:rPr>
          <w:lang w:val="en-GB"/>
        </w:rPr>
        <w:t xml:space="preserve"> the conversion of CO</w:t>
      </w:r>
      <w:r w:rsidRPr="00D80B82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into methanol via the bi- and tri-reforming process results in a non-negligible emission of CO</w:t>
      </w:r>
      <w:r w:rsidRPr="00D80B82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as illustrated in Table </w:t>
      </w:r>
      <w:r>
        <w:rPr>
          <w:lang w:val="en-GB"/>
        </w:rPr>
        <w:t>5</w:t>
      </w:r>
      <w:r w:rsidRPr="00D80B82">
        <w:rPr>
          <w:lang w:val="en-GB"/>
        </w:rPr>
        <w:t xml:space="preserve">. It is common to recognize that direct </w:t>
      </w:r>
      <w:r w:rsidRPr="007C58CB">
        <w:rPr>
          <w:noProof/>
          <w:lang w:val="en-GB"/>
        </w:rPr>
        <w:t>emission</w:t>
      </w:r>
      <w:r w:rsidRPr="00D80B82">
        <w:rPr>
          <w:lang w:val="en-GB"/>
        </w:rPr>
        <w:t xml:space="preserve"> from the burning of </w:t>
      </w:r>
      <w:r>
        <w:rPr>
          <w:lang w:val="en-GB"/>
        </w:rPr>
        <w:t>natural gas</w:t>
      </w:r>
      <w:r w:rsidRPr="00D80B82">
        <w:rPr>
          <w:lang w:val="en-GB"/>
        </w:rPr>
        <w:t xml:space="preserve"> to provide a very </w:t>
      </w:r>
      <w:r w:rsidRPr="00AF213B">
        <w:rPr>
          <w:noProof/>
          <w:lang w:val="en-GB"/>
        </w:rPr>
        <w:t>high</w:t>
      </w:r>
      <w:r w:rsidR="00AF213B">
        <w:rPr>
          <w:noProof/>
          <w:lang w:val="en-GB"/>
        </w:rPr>
        <w:t>-</w:t>
      </w:r>
      <w:r w:rsidRPr="00AF213B">
        <w:rPr>
          <w:noProof/>
          <w:lang w:val="en-GB"/>
        </w:rPr>
        <w:t>temperature</w:t>
      </w:r>
      <w:r w:rsidRPr="00D80B82">
        <w:rPr>
          <w:lang w:val="en-GB"/>
        </w:rPr>
        <w:t xml:space="preserve"> heat source for the reformer represents the </w:t>
      </w:r>
      <w:r w:rsidR="007C58CB">
        <w:rPr>
          <w:noProof/>
          <w:lang w:val="en-GB"/>
        </w:rPr>
        <w:t>primary</w:t>
      </w:r>
      <w:r w:rsidRPr="00D80B82">
        <w:rPr>
          <w:lang w:val="en-GB"/>
        </w:rPr>
        <w:t xml:space="preserve"> source of </w:t>
      </w:r>
      <w:r w:rsidRPr="00D80B82">
        <w:rPr>
          <w:lang w:val="en-GB"/>
        </w:rPr>
        <w:lastRenderedPageBreak/>
        <w:t>CO</w:t>
      </w:r>
      <w:r w:rsidRPr="00284077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</w:t>
      </w:r>
      <w:r w:rsidRPr="007C58CB">
        <w:rPr>
          <w:noProof/>
          <w:lang w:val="en-GB"/>
        </w:rPr>
        <w:t>emission</w:t>
      </w:r>
      <w:r w:rsidRPr="00D80B82">
        <w:rPr>
          <w:lang w:val="en-GB"/>
        </w:rPr>
        <w:t xml:space="preserve"> in the bi- and tri-reforming process. Regarding the bi-reforming, it is </w:t>
      </w:r>
      <w:r w:rsidR="00284077">
        <w:rPr>
          <w:lang w:val="en-GB"/>
        </w:rPr>
        <w:t>more than</w:t>
      </w:r>
      <w:r w:rsidRPr="00D80B82">
        <w:rPr>
          <w:lang w:val="en-GB"/>
        </w:rPr>
        <w:t xml:space="preserve"> two times larger than the amount of CO</w:t>
      </w:r>
      <w:r w:rsidRPr="00284077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utilized in the feed stream. Meanwhile, the tri-reforming shows that the amount of CO</w:t>
      </w:r>
      <w:r w:rsidRPr="00061A73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emission from direct burning of </w:t>
      </w:r>
      <w:r w:rsidR="00061A73">
        <w:rPr>
          <w:lang w:val="en-GB"/>
        </w:rPr>
        <w:t>natural gas</w:t>
      </w:r>
      <w:r w:rsidRPr="00D80B82">
        <w:rPr>
          <w:lang w:val="en-GB"/>
        </w:rPr>
        <w:t xml:space="preserve"> is around </w:t>
      </w:r>
      <w:r w:rsidR="00061A73">
        <w:rPr>
          <w:lang w:val="en-GB"/>
        </w:rPr>
        <w:t>fourth</w:t>
      </w:r>
      <w:r w:rsidRPr="00D80B82">
        <w:rPr>
          <w:lang w:val="en-GB"/>
        </w:rPr>
        <w:t xml:space="preserve"> and </w:t>
      </w:r>
      <w:r w:rsidR="00061A73">
        <w:rPr>
          <w:lang w:val="en-GB"/>
        </w:rPr>
        <w:t>three</w:t>
      </w:r>
      <w:r w:rsidRPr="00D80B82">
        <w:rPr>
          <w:lang w:val="en-GB"/>
        </w:rPr>
        <w:t xml:space="preserve"> times larger than the amount of CO</w:t>
      </w:r>
      <w:r w:rsidRPr="00061A73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created by using electricity as well as the CO</w:t>
      </w:r>
      <w:r w:rsidRPr="00061A73">
        <w:rPr>
          <w:vertAlign w:val="subscript"/>
          <w:lang w:val="en-GB"/>
        </w:rPr>
        <w:t>2</w:t>
      </w:r>
      <w:r w:rsidRPr="00D80B82">
        <w:rPr>
          <w:lang w:val="en-GB"/>
        </w:rPr>
        <w:t xml:space="preserve"> feed to the process, respectively. However, it is equally important to note that a conventional methanol plant </w:t>
      </w:r>
      <w:r w:rsidR="007C58CB">
        <w:rPr>
          <w:noProof/>
          <w:lang w:val="en-GB"/>
        </w:rPr>
        <w:t>emits typically</w:t>
      </w:r>
      <w:r w:rsidRPr="00D80B82">
        <w:rPr>
          <w:lang w:val="en-GB"/>
        </w:rPr>
        <w:t xml:space="preserve"> around </w:t>
      </w:r>
      <w:r w:rsidR="008765EB" w:rsidRPr="008765EB">
        <w:rPr>
          <w:lang w:val="en-GB"/>
        </w:rPr>
        <w:t>1.8 - 1.9 tCO</w:t>
      </w:r>
      <w:r w:rsidR="008765EB" w:rsidRPr="008765EB">
        <w:rPr>
          <w:vertAlign w:val="subscript"/>
          <w:lang w:val="en-GB"/>
        </w:rPr>
        <w:t>2</w:t>
      </w:r>
      <w:r w:rsidR="008765EB" w:rsidRPr="008765EB">
        <w:rPr>
          <w:lang w:val="en-GB"/>
        </w:rPr>
        <w:t>/tMeOH</w:t>
      </w:r>
      <w:r w:rsidR="008A17E5">
        <w:rPr>
          <w:lang w:val="en-GB"/>
        </w:rPr>
        <w:t xml:space="preserve"> </w:t>
      </w:r>
      <w:r w:rsidR="008A17E5">
        <w:rPr>
          <w:lang w:val="en-GB"/>
        </w:rPr>
        <w:fldChar w:fldCharType="begin" w:fldLock="1"/>
      </w:r>
      <w:r w:rsidR="00D11044">
        <w:rPr>
          <w:lang w:val="en-GB"/>
        </w:rPr>
        <w:instrText>ADDIN CSL_CITATION {"citationItems":[{"id":"ITEM-1","itemData":{"ISSN":"2212-9820","author":[{"dropping-particle":"","family":"Luu","given":"Minh Tri","non-dropping-particle":"","parse-names":false,"suffix":""},{"dropping-particle":"","family":"Milani","given":"Dia","non-dropping-particle":"","parse-names":false,"suffix":""},{"dropping-particle":"","family":"Bahadori","given":"Alireza","non-dropping-particle":"","parse-names":false,"suffix":""},{"dropping-particle":"","family":"Abbas","given":"Ali","non-dropping-particle":"","parse-names":false,"suffix":""}],"container-title":"Journal of CO2 Utilization","id":"ITEM-1","issued":{"date-parts":[["2015"]]},"page":"62-76","publisher":"Elsevier","title":"A comparative study of CO2 utilization in methanol synthesis with various syngas production technologies","type":"article-journal","volume":"12"},"uris":["http://www.mendeley.com/documents/?uuid=37cd5744-4a35-48ad-89a3-ce218ed27896"]}],"mendeley":{"formattedCitation":"(Luu &lt;i&gt;et al.&lt;/i&gt;, 2015)","plainTextFormattedCitation":"(Luu et al., 2015)","previouslyFormattedCitation":"(Luu &lt;i&gt;et al.&lt;/i&gt;, 2015)"},"properties":{"noteIndex":0},"schema":"https://github.com/citation-style-language/schema/raw/master/csl-citation.json"}</w:instrText>
      </w:r>
      <w:r w:rsidR="008A17E5">
        <w:rPr>
          <w:lang w:val="en-GB"/>
        </w:rPr>
        <w:fldChar w:fldCharType="separate"/>
      </w:r>
      <w:r w:rsidR="004526AA" w:rsidRPr="004526AA">
        <w:rPr>
          <w:noProof/>
          <w:lang w:val="en-GB"/>
        </w:rPr>
        <w:t xml:space="preserve">(Luu </w:t>
      </w:r>
      <w:r w:rsidR="004526AA" w:rsidRPr="00D02A8B">
        <w:rPr>
          <w:noProof/>
          <w:lang w:val="en-GB"/>
        </w:rPr>
        <w:t>et al.,</w:t>
      </w:r>
      <w:r w:rsidR="004526AA" w:rsidRPr="004526AA">
        <w:rPr>
          <w:noProof/>
          <w:lang w:val="en-GB"/>
        </w:rPr>
        <w:t xml:space="preserve"> 2015)</w:t>
      </w:r>
      <w:r w:rsidR="008A17E5">
        <w:rPr>
          <w:lang w:val="en-GB"/>
        </w:rPr>
        <w:fldChar w:fldCharType="end"/>
      </w:r>
      <w:r w:rsidRPr="00D80B82">
        <w:rPr>
          <w:lang w:val="en-GB"/>
        </w:rPr>
        <w:t>, which means that from the viewpoint of reduction of greenhouse gas emissions, the bi</w:t>
      </w:r>
      <w:r w:rsidR="008765EB">
        <w:rPr>
          <w:lang w:val="en-GB"/>
        </w:rPr>
        <w:t>- and tri</w:t>
      </w:r>
      <w:r w:rsidRPr="00D80B82">
        <w:rPr>
          <w:lang w:val="en-GB"/>
        </w:rPr>
        <w:t>-reforming can be regarded as a promising strategy for treatment of CO</w:t>
      </w:r>
      <w:r w:rsidRPr="008765EB">
        <w:rPr>
          <w:vertAlign w:val="subscript"/>
          <w:lang w:val="en-GB"/>
        </w:rPr>
        <w:t>2</w:t>
      </w:r>
      <w:r w:rsidRPr="00D80B82">
        <w:rPr>
          <w:lang w:val="en-GB"/>
        </w:rPr>
        <w:t>. Undoubtedly,</w:t>
      </w:r>
      <w:r w:rsidR="000553B0">
        <w:rPr>
          <w:lang w:val="en-GB"/>
        </w:rPr>
        <w:t xml:space="preserve"> CO</w:t>
      </w:r>
      <w:r w:rsidR="000553B0" w:rsidRPr="000553B0">
        <w:rPr>
          <w:vertAlign w:val="subscript"/>
          <w:lang w:val="en-GB"/>
        </w:rPr>
        <w:t>2</w:t>
      </w:r>
      <w:r w:rsidR="000553B0">
        <w:rPr>
          <w:lang w:val="en-GB"/>
        </w:rPr>
        <w:t xml:space="preserve">-based reforming technologies can </w:t>
      </w:r>
      <w:r w:rsidR="007B6CC4">
        <w:rPr>
          <w:lang w:val="en-GB"/>
        </w:rPr>
        <w:t xml:space="preserve">not only </w:t>
      </w:r>
      <w:r w:rsidR="00940461" w:rsidRPr="00940461">
        <w:rPr>
          <w:noProof/>
          <w:lang w:val="en-GB"/>
        </w:rPr>
        <w:t>play a vital role</w:t>
      </w:r>
      <w:r w:rsidR="000553B0" w:rsidRPr="00940461">
        <w:rPr>
          <w:noProof/>
        </w:rPr>
        <w:t xml:space="preserve"> </w:t>
      </w:r>
      <w:r w:rsidR="000553B0" w:rsidRPr="00940461">
        <w:rPr>
          <w:noProof/>
          <w:lang w:val="en-GB"/>
        </w:rPr>
        <w:t>to</w:t>
      </w:r>
      <w:r w:rsidR="000553B0" w:rsidRPr="000553B0">
        <w:rPr>
          <w:lang w:val="en-GB"/>
        </w:rPr>
        <w:t xml:space="preserve"> </w:t>
      </w:r>
      <w:r w:rsidR="000553B0">
        <w:rPr>
          <w:lang w:val="en-GB"/>
        </w:rPr>
        <w:t>decrease</w:t>
      </w:r>
      <w:r w:rsidR="000553B0" w:rsidRPr="000553B0">
        <w:rPr>
          <w:lang w:val="en-GB"/>
        </w:rPr>
        <w:t xml:space="preserve"> the </w:t>
      </w:r>
      <w:r w:rsidR="000553B0">
        <w:rPr>
          <w:lang w:val="en-GB"/>
        </w:rPr>
        <w:t>consumption</w:t>
      </w:r>
      <w:r w:rsidR="000553B0" w:rsidRPr="000553B0">
        <w:rPr>
          <w:lang w:val="en-GB"/>
        </w:rPr>
        <w:t xml:space="preserve"> rate of fossil fuel</w:t>
      </w:r>
      <w:r w:rsidR="000553B0">
        <w:rPr>
          <w:lang w:val="en-GB"/>
        </w:rPr>
        <w:t xml:space="preserve"> </w:t>
      </w:r>
      <w:r w:rsidR="007B6CC4">
        <w:rPr>
          <w:lang w:val="en-GB"/>
        </w:rPr>
        <w:t>but also satisfy</w:t>
      </w:r>
      <w:r w:rsidR="007B6CC4" w:rsidRPr="007B6CC4">
        <w:t xml:space="preserve"> </w:t>
      </w:r>
      <w:r w:rsidR="007B6CC4" w:rsidRPr="007B6CC4">
        <w:rPr>
          <w:lang w:val="en-GB"/>
        </w:rPr>
        <w:t>the ‘methanol economy</w:t>
      </w:r>
      <w:r w:rsidR="007B6CC4" w:rsidRPr="007C58CB">
        <w:rPr>
          <w:noProof/>
          <w:lang w:val="en-GB"/>
        </w:rPr>
        <w:t>’</w:t>
      </w:r>
      <w:r w:rsidRPr="007C58CB">
        <w:rPr>
          <w:noProof/>
          <w:lang w:val="en-GB"/>
        </w:rPr>
        <w:t>.</w:t>
      </w:r>
    </w:p>
    <w:p w:rsidR="003D0CCE" w:rsidRDefault="003D0CCE" w:rsidP="00246335">
      <w:pPr>
        <w:pStyle w:val="CETheadingx"/>
        <w:rPr>
          <w:lang w:val="en-GB"/>
        </w:rPr>
      </w:pPr>
      <w:r w:rsidRPr="00246335">
        <w:t>3.2</w:t>
      </w:r>
      <w:r w:rsidRPr="003D0CCE">
        <w:t xml:space="preserve"> Economic analysis</w:t>
      </w:r>
    </w:p>
    <w:p w:rsidR="003D0CCE" w:rsidRDefault="008E7A87" w:rsidP="00600535">
      <w:pPr>
        <w:pStyle w:val="CETBodytext"/>
        <w:rPr>
          <w:lang w:val="en-GB"/>
        </w:rPr>
      </w:pPr>
      <w:r w:rsidRPr="007C58CB">
        <w:rPr>
          <w:noProof/>
          <w:lang w:val="en-GB"/>
        </w:rPr>
        <w:t xml:space="preserve">The </w:t>
      </w:r>
      <w:r w:rsidR="007C58CB" w:rsidRPr="007C58CB">
        <w:rPr>
          <w:noProof/>
          <w:lang w:val="en-GB"/>
        </w:rPr>
        <w:t>major</w:t>
      </w:r>
      <w:r w:rsidRPr="007C58CB">
        <w:rPr>
          <w:noProof/>
          <w:lang w:val="en-GB"/>
        </w:rPr>
        <w:t xml:space="preserve"> assumptions for economic analysis are as follows: 1) A 30 year lifetime was assumed for the process plant, 2) The interest rate was fixed at 8 percent, 3) each plant operates 8000 h in a year, 4) The </w:t>
      </w:r>
      <w:r w:rsidR="001E3569" w:rsidRPr="007C58CB">
        <w:rPr>
          <w:noProof/>
          <w:lang w:val="en-GB"/>
        </w:rPr>
        <w:t xml:space="preserve">inflation rate of construction </w:t>
      </w:r>
      <w:r w:rsidRPr="007C58CB">
        <w:rPr>
          <w:noProof/>
          <w:lang w:val="en-GB"/>
        </w:rPr>
        <w:t xml:space="preserve">and total product cost were assumed to be </w:t>
      </w:r>
      <w:r w:rsidR="001E3569" w:rsidRPr="007C58CB">
        <w:rPr>
          <w:noProof/>
          <w:lang w:val="en-GB"/>
        </w:rPr>
        <w:t>5</w:t>
      </w:r>
      <w:r w:rsidRPr="007C58CB">
        <w:rPr>
          <w:noProof/>
          <w:lang w:val="en-GB"/>
        </w:rPr>
        <w:t xml:space="preserve">, </w:t>
      </w:r>
      <w:r w:rsidR="001E3569" w:rsidRPr="007C58CB">
        <w:rPr>
          <w:noProof/>
          <w:lang w:val="en-GB"/>
        </w:rPr>
        <w:t>5</w:t>
      </w:r>
      <w:r w:rsidRPr="007C58CB">
        <w:rPr>
          <w:noProof/>
          <w:lang w:val="en-GB"/>
        </w:rPr>
        <w:t xml:space="preserve"> and 10 percent, respectively, </w:t>
      </w:r>
      <w:r w:rsidR="001E3569" w:rsidRPr="007C58CB">
        <w:rPr>
          <w:noProof/>
          <w:lang w:val="en-GB"/>
        </w:rPr>
        <w:t>5</w:t>
      </w:r>
      <w:r w:rsidRPr="007C58CB">
        <w:rPr>
          <w:noProof/>
          <w:lang w:val="en-GB"/>
        </w:rPr>
        <w:t>) Pure CO</w:t>
      </w:r>
      <w:r w:rsidRPr="007C58CB">
        <w:rPr>
          <w:noProof/>
          <w:vertAlign w:val="subscript"/>
          <w:lang w:val="en-GB"/>
        </w:rPr>
        <w:t>2</w:t>
      </w:r>
      <w:r w:rsidRPr="007C58CB">
        <w:rPr>
          <w:noProof/>
          <w:lang w:val="en-GB"/>
        </w:rPr>
        <w:t xml:space="preserve"> was captured at </w:t>
      </w:r>
      <w:r w:rsidR="001E3569" w:rsidRPr="007C58CB">
        <w:rPr>
          <w:noProof/>
          <w:lang w:val="en-GB"/>
        </w:rPr>
        <w:t>39.82 €</w:t>
      </w:r>
      <w:r w:rsidRPr="007C58CB">
        <w:rPr>
          <w:noProof/>
          <w:lang w:val="en-GB"/>
        </w:rPr>
        <w:t>/ton</w:t>
      </w:r>
      <w:r w:rsidR="00F3020E" w:rsidRPr="007C58CB">
        <w:rPr>
          <w:noProof/>
          <w:lang w:val="en-GB"/>
        </w:rPr>
        <w:t>,</w:t>
      </w:r>
      <w:r w:rsidRPr="007C58CB">
        <w:rPr>
          <w:noProof/>
          <w:lang w:val="en-GB"/>
        </w:rPr>
        <w:t xml:space="preserve"> </w:t>
      </w:r>
      <w:r w:rsidR="00F3020E" w:rsidRPr="007C58CB">
        <w:rPr>
          <w:noProof/>
          <w:lang w:val="en-GB"/>
        </w:rPr>
        <w:t>6) Natural gas was purchased at 354 €/ton, 7</w:t>
      </w:r>
      <w:r w:rsidRPr="007C58CB">
        <w:rPr>
          <w:noProof/>
          <w:lang w:val="en-GB"/>
        </w:rPr>
        <w:t xml:space="preserve">) The cost of electricity and cooling water were </w:t>
      </w:r>
      <w:r w:rsidR="00F3020E" w:rsidRPr="007C58CB">
        <w:rPr>
          <w:noProof/>
          <w:lang w:val="en-GB"/>
        </w:rPr>
        <w:t xml:space="preserve">0.1509 €/kWh </w:t>
      </w:r>
      <w:r w:rsidRPr="007C58CB">
        <w:rPr>
          <w:noProof/>
          <w:lang w:val="en-GB"/>
        </w:rPr>
        <w:t xml:space="preserve">and </w:t>
      </w:r>
      <w:r w:rsidR="00F3020E" w:rsidRPr="007C58CB">
        <w:rPr>
          <w:noProof/>
          <w:lang w:val="en-GB"/>
        </w:rPr>
        <w:t>0.31</w:t>
      </w:r>
      <w:r w:rsidRPr="007C58CB">
        <w:rPr>
          <w:noProof/>
          <w:lang w:val="en-GB"/>
        </w:rPr>
        <w:t xml:space="preserve"> </w:t>
      </w:r>
      <w:r w:rsidR="00F3020E" w:rsidRPr="007C58CB">
        <w:rPr>
          <w:noProof/>
          <w:lang w:val="en-GB"/>
        </w:rPr>
        <w:t>€/GJ</w:t>
      </w:r>
      <w:r w:rsidR="00A0181B" w:rsidRPr="007C58CB">
        <w:rPr>
          <w:noProof/>
          <w:lang w:val="en-GB"/>
        </w:rPr>
        <w:t>, respectively, 8) The methanol capacity of the plant is approximately</w:t>
      </w:r>
      <w:r w:rsidR="00971E43" w:rsidRPr="007C58CB">
        <w:rPr>
          <w:noProof/>
          <w:lang w:val="en-GB"/>
        </w:rPr>
        <w:t xml:space="preserve"> 1500 ton/day.</w:t>
      </w:r>
    </w:p>
    <w:p w:rsidR="00971E43" w:rsidRDefault="002602AF" w:rsidP="00600535">
      <w:pPr>
        <w:pStyle w:val="CETBodytext"/>
        <w:rPr>
          <w:lang w:val="en-GB"/>
        </w:rPr>
      </w:pPr>
      <w:r w:rsidRPr="002602AF">
        <w:rPr>
          <w:lang w:val="en-GB"/>
        </w:rPr>
        <w:t xml:space="preserve">The annualized total cost </w:t>
      </w:r>
      <w:r w:rsidRPr="007C58CB">
        <w:rPr>
          <w:noProof/>
          <w:lang w:val="en-GB"/>
        </w:rPr>
        <w:t>is calculated</w:t>
      </w:r>
      <w:r w:rsidRPr="002602AF">
        <w:rPr>
          <w:lang w:val="en-GB"/>
        </w:rPr>
        <w:t xml:space="preserve"> as the sum of the annualized capital cost </w:t>
      </w:r>
      <w:r>
        <w:rPr>
          <w:lang w:val="en-GB"/>
        </w:rPr>
        <w:t xml:space="preserve">(CAPEX) </w:t>
      </w:r>
      <w:r w:rsidRPr="002602AF">
        <w:rPr>
          <w:lang w:val="en-GB"/>
        </w:rPr>
        <w:t>and the operating cost of the plant (O</w:t>
      </w:r>
      <w:r>
        <w:rPr>
          <w:lang w:val="en-GB"/>
        </w:rPr>
        <w:t>PEX) as displayed in Equation 7</w:t>
      </w:r>
      <w:r w:rsidRPr="002602AF">
        <w:rPr>
          <w:lang w:val="en-GB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5"/>
        <w:gridCol w:w="802"/>
      </w:tblGrid>
      <w:tr w:rsidR="002602AF" w:rsidRPr="00C44198" w:rsidTr="00A00BB2">
        <w:tc>
          <w:tcPr>
            <w:tcW w:w="8188" w:type="dxa"/>
            <w:shd w:val="clear" w:color="auto" w:fill="auto"/>
            <w:vAlign w:val="center"/>
          </w:tcPr>
          <w:p w:rsidR="002602AF" w:rsidRPr="00C44198" w:rsidRDefault="00A75610" w:rsidP="00C44198">
            <w:pPr>
              <w:pStyle w:val="CETEquation"/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min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Annualized total cost=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OPEX+CAPEX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i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i+1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1+i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815" w:type="dxa"/>
            <w:shd w:val="clear" w:color="auto" w:fill="auto"/>
            <w:vAlign w:val="center"/>
          </w:tcPr>
          <w:p w:rsidR="002602AF" w:rsidRPr="00C44198" w:rsidRDefault="002602AF" w:rsidP="00C44198">
            <w:pPr>
              <w:pStyle w:val="CETEquation"/>
            </w:pPr>
            <w:r w:rsidRPr="00C44198">
              <w:t>(7)</w:t>
            </w:r>
          </w:p>
        </w:tc>
      </w:tr>
    </w:tbl>
    <w:p w:rsidR="00FE6565" w:rsidRDefault="00FE6565" w:rsidP="00AB1AF9">
      <w:pPr>
        <w:pStyle w:val="CETBodytext"/>
        <w:jc w:val="left"/>
        <w:rPr>
          <w:lang w:val="en-GB"/>
        </w:rPr>
      </w:pPr>
      <w:bookmarkStart w:id="11" w:name="_GoBack"/>
      <w:r>
        <w:rPr>
          <w:noProof/>
        </w:rPr>
        <w:drawing>
          <wp:inline distT="0" distB="0" distL="0" distR="0" wp14:anchorId="4617E695">
            <wp:extent cx="4304030" cy="301315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61" cy="3091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1"/>
    </w:p>
    <w:p w:rsidR="00FE6565" w:rsidRDefault="00FE6565" w:rsidP="006365B0">
      <w:pPr>
        <w:pStyle w:val="CETCaption"/>
      </w:pPr>
      <w:r>
        <w:t>Figure 2</w:t>
      </w:r>
      <w:r w:rsidRPr="00FD2821">
        <w:t xml:space="preserve">: </w:t>
      </w:r>
      <w:r w:rsidRPr="00FE6565">
        <w:t>Annualized capital costs comparisons among different CO</w:t>
      </w:r>
      <w:r w:rsidRPr="00FC1FFF">
        <w:rPr>
          <w:vertAlign w:val="subscript"/>
        </w:rPr>
        <w:t>2</w:t>
      </w:r>
      <w:r w:rsidRPr="00FE6565">
        <w:t>-based technologies</w:t>
      </w:r>
    </w:p>
    <w:p w:rsidR="00D11044" w:rsidRDefault="00D11044" w:rsidP="00D11044">
      <w:pPr>
        <w:pStyle w:val="CETBodytext"/>
        <w:rPr>
          <w:lang w:val="en-GB"/>
        </w:rPr>
      </w:pPr>
      <w:r w:rsidRPr="00652578">
        <w:rPr>
          <w:lang w:val="en-GB"/>
        </w:rPr>
        <w:t xml:space="preserve">Figure </w:t>
      </w:r>
      <w:r>
        <w:rPr>
          <w:lang w:val="en-GB"/>
        </w:rPr>
        <w:t>2 and 3 display</w:t>
      </w:r>
      <w:r w:rsidRPr="00652578">
        <w:rPr>
          <w:lang w:val="en-GB"/>
        </w:rPr>
        <w:t xml:space="preserve"> the </w:t>
      </w:r>
      <w:r>
        <w:rPr>
          <w:lang w:val="en-GB"/>
        </w:rPr>
        <w:t xml:space="preserve">capital and operating </w:t>
      </w:r>
      <w:r w:rsidRPr="00652578">
        <w:rPr>
          <w:lang w:val="en-GB"/>
        </w:rPr>
        <w:t xml:space="preserve">costs per ton methanol produced from various </w:t>
      </w:r>
      <w:r>
        <w:rPr>
          <w:lang w:val="en-GB"/>
        </w:rPr>
        <w:t xml:space="preserve">reforming </w:t>
      </w:r>
      <w:r w:rsidRPr="007C58CB">
        <w:rPr>
          <w:noProof/>
          <w:lang w:val="en-GB"/>
        </w:rPr>
        <w:t>techn</w:t>
      </w:r>
      <w:r w:rsidR="007C58CB">
        <w:rPr>
          <w:noProof/>
          <w:lang w:val="en-GB"/>
        </w:rPr>
        <w:t>iqu</w:t>
      </w:r>
      <w:r w:rsidRPr="007C58CB">
        <w:rPr>
          <w:noProof/>
          <w:lang w:val="en-GB"/>
        </w:rPr>
        <w:t>es</w:t>
      </w:r>
      <w:r w:rsidRPr="00652578">
        <w:rPr>
          <w:lang w:val="en-GB"/>
        </w:rPr>
        <w:t xml:space="preserve">. </w:t>
      </w:r>
      <w:r w:rsidRPr="00FC1FFF">
        <w:rPr>
          <w:lang w:val="en-GB"/>
        </w:rPr>
        <w:t xml:space="preserve">As illustrated in Figure </w:t>
      </w:r>
      <w:r>
        <w:rPr>
          <w:lang w:val="en-GB"/>
        </w:rPr>
        <w:t xml:space="preserve">2, the purchased </w:t>
      </w:r>
      <w:r w:rsidRPr="007C58CB">
        <w:rPr>
          <w:noProof/>
          <w:lang w:val="en-GB"/>
        </w:rPr>
        <w:t>cost</w:t>
      </w:r>
      <w:r>
        <w:rPr>
          <w:lang w:val="en-GB"/>
        </w:rPr>
        <w:t xml:space="preserve"> of equipment represents 40 %</w:t>
      </w:r>
      <w:r w:rsidRPr="00FC1FFF">
        <w:t xml:space="preserve"> </w:t>
      </w:r>
      <w:r>
        <w:t xml:space="preserve">of </w:t>
      </w:r>
      <w:r w:rsidRPr="00FC1FFF">
        <w:rPr>
          <w:lang w:val="en-GB"/>
        </w:rPr>
        <w:t>the total ca</w:t>
      </w:r>
      <w:r>
        <w:rPr>
          <w:lang w:val="en-GB"/>
        </w:rPr>
        <w:t xml:space="preserve">pital costs for all </w:t>
      </w:r>
      <w:r w:rsidRPr="00FC1FFF">
        <w:rPr>
          <w:lang w:val="en-GB"/>
        </w:rPr>
        <w:t>technologies</w:t>
      </w:r>
      <w:r>
        <w:rPr>
          <w:lang w:val="en-GB"/>
        </w:rPr>
        <w:t xml:space="preserve">. Regarding the operating </w:t>
      </w:r>
      <w:r w:rsidRPr="007C58CB">
        <w:rPr>
          <w:noProof/>
          <w:lang w:val="en-GB"/>
        </w:rPr>
        <w:t>cost</w:t>
      </w:r>
      <w:r>
        <w:rPr>
          <w:lang w:val="en-GB"/>
        </w:rPr>
        <w:t xml:space="preserve">, the </w:t>
      </w:r>
      <w:r w:rsidR="007C58CB">
        <w:rPr>
          <w:noProof/>
          <w:lang w:val="en-GB"/>
        </w:rPr>
        <w:t>most significan</w:t>
      </w:r>
      <w:r w:rsidRPr="007C58CB">
        <w:rPr>
          <w:noProof/>
          <w:lang w:val="en-GB"/>
        </w:rPr>
        <w:t>t</w:t>
      </w:r>
      <w:r>
        <w:rPr>
          <w:lang w:val="en-GB"/>
        </w:rPr>
        <w:t xml:space="preserve"> part comes from the cost to </w:t>
      </w:r>
      <w:r w:rsidR="007C58CB">
        <w:rPr>
          <w:noProof/>
          <w:lang w:val="en-GB"/>
        </w:rPr>
        <w:t>obtain</w:t>
      </w:r>
      <w:r>
        <w:rPr>
          <w:lang w:val="en-GB"/>
        </w:rPr>
        <w:t xml:space="preserve"> raw materials, 61 %, following the </w:t>
      </w:r>
      <w:r w:rsidRPr="00940461">
        <w:rPr>
          <w:noProof/>
          <w:lang w:val="en-GB"/>
        </w:rPr>
        <w:t>utilit</w:t>
      </w:r>
      <w:r w:rsidR="00940461">
        <w:rPr>
          <w:noProof/>
          <w:lang w:val="en-GB"/>
        </w:rPr>
        <w:t>y</w:t>
      </w:r>
      <w:r>
        <w:rPr>
          <w:lang w:val="en-GB"/>
        </w:rPr>
        <w:t xml:space="preserve"> costs with only 25 %. </w:t>
      </w:r>
      <w:r w:rsidRPr="00652578">
        <w:rPr>
          <w:lang w:val="en-GB"/>
        </w:rPr>
        <w:t xml:space="preserve">As </w:t>
      </w:r>
      <w:r>
        <w:rPr>
          <w:lang w:val="en-GB"/>
        </w:rPr>
        <w:t>shown</w:t>
      </w:r>
      <w:r w:rsidRPr="00652578">
        <w:rPr>
          <w:lang w:val="en-GB"/>
        </w:rPr>
        <w:t xml:space="preserve"> in th</w:t>
      </w:r>
      <w:r>
        <w:rPr>
          <w:lang w:val="en-GB"/>
        </w:rPr>
        <w:t>ese</w:t>
      </w:r>
      <w:r w:rsidRPr="00652578">
        <w:rPr>
          <w:lang w:val="en-GB"/>
        </w:rPr>
        <w:t xml:space="preserve"> figure</w:t>
      </w:r>
      <w:r>
        <w:rPr>
          <w:lang w:val="en-GB"/>
        </w:rPr>
        <w:t>s</w:t>
      </w:r>
      <w:r w:rsidRPr="00652578">
        <w:rPr>
          <w:lang w:val="en-GB"/>
        </w:rPr>
        <w:t xml:space="preserve">, the operating </w:t>
      </w:r>
      <w:r w:rsidRPr="007C58CB">
        <w:rPr>
          <w:noProof/>
          <w:lang w:val="en-GB"/>
        </w:rPr>
        <w:t>costs</w:t>
      </w:r>
      <w:r w:rsidRPr="00652578">
        <w:rPr>
          <w:lang w:val="en-GB"/>
        </w:rPr>
        <w:t xml:space="preserve"> </w:t>
      </w:r>
      <w:r>
        <w:rPr>
          <w:lang w:val="en-GB"/>
        </w:rPr>
        <w:t>account for the</w:t>
      </w:r>
      <w:r w:rsidRPr="00652578">
        <w:rPr>
          <w:lang w:val="en-GB"/>
        </w:rPr>
        <w:t xml:space="preserve"> </w:t>
      </w:r>
      <w:r>
        <w:rPr>
          <w:lang w:val="en-GB"/>
        </w:rPr>
        <w:t>highest</w:t>
      </w:r>
      <w:r w:rsidRPr="00652578">
        <w:rPr>
          <w:lang w:val="en-GB"/>
        </w:rPr>
        <w:t xml:space="preserve"> part of the total cost for </w:t>
      </w:r>
      <w:r>
        <w:rPr>
          <w:lang w:val="en-GB"/>
        </w:rPr>
        <w:t>both technologies</w:t>
      </w:r>
      <w:r w:rsidRPr="00652578">
        <w:rPr>
          <w:lang w:val="en-GB"/>
        </w:rPr>
        <w:t xml:space="preserve">. </w:t>
      </w:r>
      <w:r w:rsidRPr="007C58CB">
        <w:rPr>
          <w:noProof/>
          <w:lang w:val="en-GB"/>
        </w:rPr>
        <w:t>Only around 3 and 2 % of the total cost are constituted by the capital costs for bi</w:t>
      </w:r>
      <w:r>
        <w:rPr>
          <w:lang w:val="en-GB"/>
        </w:rPr>
        <w:t>-</w:t>
      </w:r>
      <w:r w:rsidRPr="00652578">
        <w:rPr>
          <w:lang w:val="en-GB"/>
        </w:rPr>
        <w:t xml:space="preserve"> and </w:t>
      </w:r>
      <w:r>
        <w:rPr>
          <w:lang w:val="en-GB"/>
        </w:rPr>
        <w:t>tri-</w:t>
      </w:r>
      <w:r w:rsidRPr="00652578">
        <w:rPr>
          <w:lang w:val="en-GB"/>
        </w:rPr>
        <w:t>reforming respectively.</w:t>
      </w:r>
      <w:r>
        <w:rPr>
          <w:lang w:val="en-GB"/>
        </w:rPr>
        <w:t xml:space="preserve"> </w:t>
      </w:r>
      <w:r w:rsidRPr="00FC573E">
        <w:rPr>
          <w:lang w:val="en-GB"/>
        </w:rPr>
        <w:t xml:space="preserve">It is </w:t>
      </w:r>
      <w:r>
        <w:rPr>
          <w:lang w:val="en-GB"/>
        </w:rPr>
        <w:t>important to note</w:t>
      </w:r>
      <w:r w:rsidRPr="00FC573E">
        <w:rPr>
          <w:lang w:val="en-GB"/>
        </w:rPr>
        <w:t xml:space="preserve"> that the methanol </w:t>
      </w:r>
      <w:r>
        <w:rPr>
          <w:lang w:val="en-GB"/>
        </w:rPr>
        <w:t>production</w:t>
      </w:r>
      <w:r w:rsidRPr="00FC573E">
        <w:rPr>
          <w:lang w:val="en-GB"/>
        </w:rPr>
        <w:t xml:space="preserve"> costs from the reforming processes are close to the commercial methanol selling price (350 - 4</w:t>
      </w:r>
      <w:r>
        <w:rPr>
          <w:lang w:val="en-GB"/>
        </w:rPr>
        <w:t>50 €/ton, for the year 2017</w:t>
      </w:r>
      <w:r w:rsidRPr="00FC573E">
        <w:rPr>
          <w:lang w:val="en-GB"/>
        </w:rPr>
        <w:t>).</w:t>
      </w:r>
      <w:r>
        <w:rPr>
          <w:lang w:val="en-GB"/>
        </w:rPr>
        <w:t xml:space="preserve"> </w:t>
      </w:r>
      <w:r w:rsidRPr="007C58CB">
        <w:rPr>
          <w:noProof/>
          <w:lang w:val="en-GB"/>
        </w:rPr>
        <w:t>Obviously,</w:t>
      </w:r>
      <w:r>
        <w:rPr>
          <w:lang w:val="en-GB"/>
        </w:rPr>
        <w:t xml:space="preserve"> the CO</w:t>
      </w:r>
      <w:r w:rsidRPr="00E20332">
        <w:rPr>
          <w:vertAlign w:val="subscript"/>
          <w:lang w:val="en-GB"/>
        </w:rPr>
        <w:t>2</w:t>
      </w:r>
      <w:r>
        <w:rPr>
          <w:lang w:val="en-GB"/>
        </w:rPr>
        <w:t xml:space="preserve">-based technologies can </w:t>
      </w:r>
      <w:r w:rsidRPr="00940461">
        <w:rPr>
          <w:noProof/>
          <w:lang w:val="en-GB"/>
        </w:rPr>
        <w:t>compete</w:t>
      </w:r>
      <w:r w:rsidR="00940461">
        <w:rPr>
          <w:noProof/>
          <w:lang w:val="en-GB"/>
        </w:rPr>
        <w:t xml:space="preserve"> for</w:t>
      </w:r>
      <w:r>
        <w:rPr>
          <w:lang w:val="en-GB"/>
        </w:rPr>
        <w:t xml:space="preserve"> the conventional process </w:t>
      </w:r>
      <w:r w:rsidRPr="00AA65E0">
        <w:rPr>
          <w:noProof/>
          <w:lang w:val="en-GB"/>
        </w:rPr>
        <w:t>in terms of</w:t>
      </w:r>
      <w:r>
        <w:rPr>
          <w:lang w:val="en-GB"/>
        </w:rPr>
        <w:t xml:space="preserve"> economy. </w:t>
      </w:r>
    </w:p>
    <w:p w:rsidR="007C7282" w:rsidRPr="00B57B36" w:rsidRDefault="007C7282" w:rsidP="007C7282">
      <w:pPr>
        <w:pStyle w:val="CETHeading1"/>
        <w:tabs>
          <w:tab w:val="right" w:pos="7100"/>
        </w:tabs>
        <w:jc w:val="both"/>
      </w:pPr>
      <w:r w:rsidRPr="00862732">
        <w:rPr>
          <w:lang w:val="en-GB"/>
        </w:rPr>
        <w:t>4. Conclusion</w:t>
      </w:r>
    </w:p>
    <w:p w:rsidR="007C7282" w:rsidRPr="00B57B36" w:rsidRDefault="007C7282" w:rsidP="007C7282">
      <w:pPr>
        <w:pStyle w:val="CETBodytext"/>
        <w:rPr>
          <w:lang w:val="en-GB"/>
        </w:rPr>
      </w:pPr>
      <w:r>
        <w:rPr>
          <w:lang w:val="en-GB"/>
        </w:rPr>
        <w:t xml:space="preserve">Nowadays, </w:t>
      </w:r>
      <w:r w:rsidRPr="000C6F7C">
        <w:rPr>
          <w:lang w:val="en-GB"/>
        </w:rPr>
        <w:t>CO</w:t>
      </w:r>
      <w:r w:rsidRPr="000C6F7C">
        <w:rPr>
          <w:vertAlign w:val="subscript"/>
          <w:lang w:val="en-GB"/>
        </w:rPr>
        <w:t>2</w:t>
      </w:r>
      <w:r w:rsidRPr="000C6F7C">
        <w:rPr>
          <w:lang w:val="en-GB"/>
        </w:rPr>
        <w:t xml:space="preserve"> conversion technologies </w:t>
      </w:r>
      <w:r>
        <w:rPr>
          <w:lang w:val="en-GB"/>
        </w:rPr>
        <w:t>are holding</w:t>
      </w:r>
      <w:r w:rsidRPr="000C6F7C">
        <w:rPr>
          <w:lang w:val="en-GB"/>
        </w:rPr>
        <w:t xml:space="preserve"> attraction </w:t>
      </w:r>
      <w:r>
        <w:rPr>
          <w:lang w:val="en-GB"/>
        </w:rPr>
        <w:t>as a result of</w:t>
      </w:r>
      <w:r w:rsidRPr="000C6F7C">
        <w:rPr>
          <w:lang w:val="en-GB"/>
        </w:rPr>
        <w:t xml:space="preserve"> the </w:t>
      </w:r>
      <w:r>
        <w:rPr>
          <w:lang w:val="en-GB"/>
        </w:rPr>
        <w:t>increasing</w:t>
      </w:r>
      <w:r w:rsidRPr="000C6F7C">
        <w:rPr>
          <w:lang w:val="en-GB"/>
        </w:rPr>
        <w:t xml:space="preserve"> concerns on CO</w:t>
      </w:r>
      <w:r w:rsidRPr="000C6F7C">
        <w:rPr>
          <w:vertAlign w:val="subscript"/>
          <w:lang w:val="en-GB"/>
        </w:rPr>
        <w:t>2</w:t>
      </w:r>
      <w:r w:rsidRPr="000C6F7C">
        <w:rPr>
          <w:lang w:val="en-GB"/>
        </w:rPr>
        <w:t xml:space="preserve"> control. </w:t>
      </w:r>
      <w:r w:rsidRPr="00105A44">
        <w:rPr>
          <w:noProof/>
          <w:lang w:val="en-GB"/>
        </w:rPr>
        <w:t>In order to</w:t>
      </w:r>
      <w:r w:rsidRPr="000C6F7C">
        <w:rPr>
          <w:lang w:val="en-GB"/>
        </w:rPr>
        <w:t xml:space="preserve"> find out the feasibility of CO</w:t>
      </w:r>
      <w:r w:rsidRPr="00A61319">
        <w:rPr>
          <w:vertAlign w:val="subscript"/>
          <w:lang w:val="en-GB"/>
        </w:rPr>
        <w:t>2</w:t>
      </w:r>
      <w:r w:rsidRPr="000C6F7C">
        <w:rPr>
          <w:lang w:val="en-GB"/>
        </w:rPr>
        <w:t xml:space="preserve"> conversion routes, two </w:t>
      </w:r>
      <w:r w:rsidRPr="00105A44">
        <w:rPr>
          <w:noProof/>
          <w:lang w:val="en-GB"/>
        </w:rPr>
        <w:t>n</w:t>
      </w:r>
      <w:r>
        <w:rPr>
          <w:noProof/>
          <w:lang w:val="en-GB"/>
        </w:rPr>
        <w:t>ew</w:t>
      </w:r>
      <w:r w:rsidRPr="000C6F7C">
        <w:rPr>
          <w:lang w:val="en-GB"/>
        </w:rPr>
        <w:t xml:space="preserve"> </w:t>
      </w:r>
      <w:r>
        <w:rPr>
          <w:lang w:val="en-GB"/>
        </w:rPr>
        <w:t>reactions</w:t>
      </w:r>
      <w:r w:rsidRPr="000C6F7C">
        <w:rPr>
          <w:lang w:val="en-GB"/>
        </w:rPr>
        <w:t xml:space="preserve"> for methanol production </w:t>
      </w:r>
      <w:r>
        <w:rPr>
          <w:lang w:val="en-GB"/>
        </w:rPr>
        <w:lastRenderedPageBreak/>
        <w:t>containing</w:t>
      </w:r>
      <w:r w:rsidRPr="000C6F7C">
        <w:rPr>
          <w:lang w:val="en-GB"/>
        </w:rPr>
        <w:t xml:space="preserve"> </w:t>
      </w:r>
      <w:r>
        <w:rPr>
          <w:lang w:val="en-GB"/>
        </w:rPr>
        <w:t>bi-</w:t>
      </w:r>
      <w:r w:rsidRPr="000C6F7C">
        <w:rPr>
          <w:lang w:val="en-GB"/>
        </w:rPr>
        <w:t xml:space="preserve"> and tri-reforming </w:t>
      </w:r>
      <w:r w:rsidRPr="00105A44">
        <w:rPr>
          <w:noProof/>
          <w:lang w:val="en-GB"/>
        </w:rPr>
        <w:t>were examined</w:t>
      </w:r>
      <w:r w:rsidRPr="000C6F7C">
        <w:rPr>
          <w:lang w:val="en-GB"/>
        </w:rPr>
        <w:t xml:space="preserve">. Processes </w:t>
      </w:r>
      <w:r>
        <w:rPr>
          <w:lang w:val="en-GB"/>
        </w:rPr>
        <w:t>applied</w:t>
      </w:r>
      <w:r w:rsidRPr="000C6F7C">
        <w:rPr>
          <w:lang w:val="en-GB"/>
        </w:rPr>
        <w:t xml:space="preserve"> the two </w:t>
      </w:r>
      <w:r w:rsidRPr="00105A44">
        <w:rPr>
          <w:noProof/>
          <w:lang w:val="en-GB"/>
        </w:rPr>
        <w:t>reactions</w:t>
      </w:r>
      <w:r w:rsidRPr="000C6F7C">
        <w:rPr>
          <w:lang w:val="en-GB"/>
        </w:rPr>
        <w:t xml:space="preserve"> </w:t>
      </w:r>
      <w:r w:rsidRPr="00105A44">
        <w:rPr>
          <w:noProof/>
          <w:lang w:val="en-GB"/>
        </w:rPr>
        <w:t>were modeled,</w:t>
      </w:r>
      <w:r w:rsidRPr="000C6F7C">
        <w:rPr>
          <w:lang w:val="en-GB"/>
        </w:rPr>
        <w:t xml:space="preserve"> </w:t>
      </w:r>
      <w:r w:rsidRPr="00105A44">
        <w:rPr>
          <w:noProof/>
          <w:lang w:val="en-GB"/>
        </w:rPr>
        <w:t>and</w:t>
      </w:r>
      <w:r w:rsidRPr="000C6F7C">
        <w:rPr>
          <w:lang w:val="en-GB"/>
        </w:rPr>
        <w:t xml:space="preserve"> their environmental and economic performances were </w:t>
      </w:r>
      <w:r>
        <w:rPr>
          <w:lang w:val="en-GB"/>
        </w:rPr>
        <w:t>studied</w:t>
      </w:r>
      <w:r w:rsidRPr="00B57B36">
        <w:rPr>
          <w:lang w:val="en-GB"/>
        </w:rPr>
        <w:t>.</w:t>
      </w:r>
      <w:r>
        <w:rPr>
          <w:lang w:val="en-GB"/>
        </w:rPr>
        <w:t xml:space="preserve"> </w:t>
      </w:r>
      <w:r w:rsidRPr="008A50BD">
        <w:rPr>
          <w:lang w:val="en-GB"/>
        </w:rPr>
        <w:t xml:space="preserve">The results from the </w:t>
      </w:r>
      <w:r>
        <w:rPr>
          <w:lang w:val="en-GB"/>
        </w:rPr>
        <w:t>CO</w:t>
      </w:r>
      <w:r w:rsidRPr="008A50BD">
        <w:rPr>
          <w:vertAlign w:val="subscript"/>
          <w:lang w:val="en-GB"/>
        </w:rPr>
        <w:t>2</w:t>
      </w:r>
      <w:r>
        <w:rPr>
          <w:lang w:val="en-GB"/>
        </w:rPr>
        <w:t xml:space="preserve">-based reforming </w:t>
      </w:r>
      <w:r w:rsidRPr="008A50BD">
        <w:rPr>
          <w:lang w:val="en-GB"/>
        </w:rPr>
        <w:t xml:space="preserve">process </w:t>
      </w:r>
      <w:r>
        <w:rPr>
          <w:lang w:val="en-GB"/>
        </w:rPr>
        <w:t>illustrated</w:t>
      </w:r>
      <w:r w:rsidRPr="008A50BD">
        <w:rPr>
          <w:lang w:val="en-GB"/>
        </w:rPr>
        <w:t xml:space="preserve"> that it is </w:t>
      </w:r>
      <w:r>
        <w:rPr>
          <w:lang w:val="en-GB"/>
        </w:rPr>
        <w:t>potential to produce greener</w:t>
      </w:r>
      <w:r w:rsidRPr="008A50BD">
        <w:rPr>
          <w:lang w:val="en-GB"/>
        </w:rPr>
        <w:t xml:space="preserve"> methanol </w:t>
      </w:r>
      <w:r>
        <w:rPr>
          <w:lang w:val="en-GB"/>
        </w:rPr>
        <w:t>as a consequence of lower</w:t>
      </w:r>
      <w:r w:rsidRPr="008A50BD">
        <w:rPr>
          <w:lang w:val="en-GB"/>
        </w:rPr>
        <w:t xml:space="preserve"> CO</w:t>
      </w:r>
      <w:r w:rsidRPr="008A50BD">
        <w:rPr>
          <w:vertAlign w:val="subscript"/>
          <w:lang w:val="en-GB"/>
        </w:rPr>
        <w:t>2</w:t>
      </w:r>
      <w:r w:rsidRPr="008A50BD">
        <w:rPr>
          <w:lang w:val="en-GB"/>
        </w:rPr>
        <w:t xml:space="preserve"> emission as well as </w:t>
      </w:r>
      <w:r>
        <w:rPr>
          <w:lang w:val="en-GB"/>
        </w:rPr>
        <w:t>cost-saving</w:t>
      </w:r>
      <w:r w:rsidRPr="008A50BD">
        <w:rPr>
          <w:lang w:val="en-GB"/>
        </w:rPr>
        <w:t>.</w:t>
      </w:r>
      <w:r>
        <w:rPr>
          <w:lang w:val="en-GB"/>
        </w:rPr>
        <w:t xml:space="preserve"> In the future, the combination of bi- and tri-reformer in the same process can </w:t>
      </w:r>
      <w:r w:rsidRPr="00105A44">
        <w:rPr>
          <w:noProof/>
          <w:lang w:val="en-GB"/>
        </w:rPr>
        <w:t>be implemented</w:t>
      </w:r>
      <w:r>
        <w:rPr>
          <w:lang w:val="en-GB"/>
        </w:rPr>
        <w:t xml:space="preserve"> in </w:t>
      </w:r>
      <w:r w:rsidRPr="00105A44">
        <w:rPr>
          <w:noProof/>
          <w:lang w:val="en-GB"/>
        </w:rPr>
        <w:t>further</w:t>
      </w:r>
      <w:r>
        <w:rPr>
          <w:lang w:val="en-GB"/>
        </w:rPr>
        <w:t xml:space="preserve"> studies. </w:t>
      </w:r>
    </w:p>
    <w:p w:rsidR="007C7282" w:rsidRPr="00B57B36" w:rsidRDefault="007C7282" w:rsidP="00D11044">
      <w:pPr>
        <w:pStyle w:val="CETBodytext"/>
        <w:rPr>
          <w:lang w:val="en-GB"/>
        </w:rPr>
      </w:pPr>
    </w:p>
    <w:p w:rsidR="00FE6565" w:rsidRDefault="00FE6565" w:rsidP="00AB1AF9">
      <w:pPr>
        <w:pStyle w:val="CETBodytext"/>
        <w:jc w:val="left"/>
        <w:rPr>
          <w:lang w:val="en-GB"/>
        </w:rPr>
      </w:pPr>
      <w:r>
        <w:rPr>
          <w:noProof/>
        </w:rPr>
        <w:drawing>
          <wp:inline distT="0" distB="0" distL="0" distR="0" wp14:anchorId="5EFF217D">
            <wp:extent cx="4313207" cy="2787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288" cy="2795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AF9" w:rsidRDefault="00AB1AF9" w:rsidP="006365B0">
      <w:pPr>
        <w:pStyle w:val="CETCaption"/>
      </w:pPr>
      <w:r>
        <w:t xml:space="preserve">Figure </w:t>
      </w:r>
      <w:r w:rsidR="00FE6565">
        <w:t>3</w:t>
      </w:r>
      <w:r w:rsidRPr="00FD2821">
        <w:t xml:space="preserve">: </w:t>
      </w:r>
      <w:r w:rsidR="00EF18E4" w:rsidRPr="00EF18E4">
        <w:t xml:space="preserve">Annualized </w:t>
      </w:r>
      <w:r w:rsidR="00FE6565" w:rsidRPr="00FE6565">
        <w:t>operational costs comparisons among different CO</w:t>
      </w:r>
      <w:r w:rsidR="00FE6565" w:rsidRPr="00FC1FFF">
        <w:rPr>
          <w:vertAlign w:val="subscript"/>
        </w:rPr>
        <w:t>2</w:t>
      </w:r>
      <w:r w:rsidR="00FE6565" w:rsidRPr="00FE6565">
        <w:t xml:space="preserve">-based </w:t>
      </w:r>
      <w:r w:rsidR="00FE6565" w:rsidRPr="007C58CB">
        <w:rPr>
          <w:noProof/>
        </w:rPr>
        <w:t>techn</w:t>
      </w:r>
      <w:r w:rsidR="007C58CB">
        <w:rPr>
          <w:noProof/>
        </w:rPr>
        <w:t>iqu</w:t>
      </w:r>
      <w:r w:rsidR="00FE6565" w:rsidRPr="007C58CB">
        <w:rPr>
          <w:noProof/>
        </w:rPr>
        <w:t>es</w:t>
      </w:r>
    </w:p>
    <w:p w:rsidR="00600535" w:rsidRPr="00B57B36" w:rsidRDefault="00600535" w:rsidP="00600535">
      <w:pPr>
        <w:pStyle w:val="CETReference"/>
      </w:pPr>
      <w:r w:rsidRPr="00B57B36">
        <w:t>References</w:t>
      </w:r>
    </w:p>
    <w:p w:rsidR="00EE50E7" w:rsidRPr="000C116E" w:rsidRDefault="004526AA" w:rsidP="006A28C9">
      <w:pPr>
        <w:pStyle w:val="CETReferencetext"/>
        <w:rPr>
          <w:noProof/>
        </w:rPr>
      </w:pPr>
      <w:r w:rsidRPr="000C116E">
        <w:fldChar w:fldCharType="begin" w:fldLock="1"/>
      </w:r>
      <w:r w:rsidRPr="000C116E">
        <w:instrText xml:space="preserve">ADDIN Mendeley Bibliography CSL_BIBLIOGRAPHY </w:instrText>
      </w:r>
      <w:r w:rsidRPr="000C116E">
        <w:fldChar w:fldCharType="separate"/>
      </w:r>
      <w:r w:rsidR="00EE50E7" w:rsidRPr="000C116E">
        <w:rPr>
          <w:noProof/>
        </w:rPr>
        <w:t xml:space="preserve">Altfeld, K., Schley, P. and Ruhrgas, E. O. N. (2011) ‘Development of natural gas qualities in Europe’, </w:t>
      </w:r>
      <w:r w:rsidR="00EE50E7" w:rsidRPr="000C116E">
        <w:rPr>
          <w:iCs/>
          <w:noProof/>
        </w:rPr>
        <w:t>Gas Qual</w:t>
      </w:r>
      <w:r w:rsidR="000C116E">
        <w:rPr>
          <w:noProof/>
        </w:rPr>
        <w:t>, 152, pp. 544-</w:t>
      </w:r>
      <w:r w:rsidR="00EE50E7" w:rsidRPr="000C116E">
        <w:rPr>
          <w:noProof/>
        </w:rPr>
        <w:t>550.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>Bussche, K. M. Vanden and Froment, G. F. (1996) ‘A Steady-State Kinetic Model for Methanol Synthesis and the Water Gas Shift Reaction on a Commercial Cu/ZnO/Al</w:t>
      </w:r>
      <w:r w:rsidRPr="000C116E">
        <w:rPr>
          <w:noProof/>
          <w:vertAlign w:val="subscript"/>
        </w:rPr>
        <w:t>2</w:t>
      </w:r>
      <w:r w:rsidRPr="000C116E">
        <w:rPr>
          <w:noProof/>
        </w:rPr>
        <w:t>O</w:t>
      </w:r>
      <w:r w:rsidRPr="000C116E">
        <w:rPr>
          <w:noProof/>
          <w:vertAlign w:val="subscript"/>
        </w:rPr>
        <w:t>3</w:t>
      </w:r>
      <w:r w:rsidRPr="000C116E">
        <w:rPr>
          <w:noProof/>
        </w:rPr>
        <w:t xml:space="preserve">Catalyst’, </w:t>
      </w:r>
      <w:r w:rsidRPr="000C116E">
        <w:rPr>
          <w:iCs/>
          <w:noProof/>
        </w:rPr>
        <w:t>Journal of Catalysis</w:t>
      </w:r>
      <w:r w:rsidR="000C116E">
        <w:rPr>
          <w:noProof/>
        </w:rPr>
        <w:t>. Elsevier, 161(1), pp. 1-</w:t>
      </w:r>
      <w:r w:rsidRPr="000C116E">
        <w:rPr>
          <w:noProof/>
        </w:rPr>
        <w:t>10.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Luu, M. T. </w:t>
      </w:r>
      <w:r w:rsidRPr="000C116E">
        <w:rPr>
          <w:iCs/>
          <w:noProof/>
        </w:rPr>
        <w:t>et al.</w:t>
      </w:r>
      <w:r w:rsidRPr="000C116E">
        <w:rPr>
          <w:noProof/>
        </w:rPr>
        <w:t xml:space="preserve"> (2015) ‘A comparative study of CO</w:t>
      </w:r>
      <w:r w:rsidRPr="000C116E">
        <w:rPr>
          <w:noProof/>
          <w:vertAlign w:val="subscript"/>
        </w:rPr>
        <w:t>2</w:t>
      </w:r>
      <w:r w:rsidRPr="000C116E">
        <w:rPr>
          <w:noProof/>
        </w:rPr>
        <w:t xml:space="preserve"> utilization in methanol synthesis with various syngas production technologies’, </w:t>
      </w:r>
      <w:r w:rsidRPr="000C116E">
        <w:rPr>
          <w:iCs/>
          <w:noProof/>
        </w:rPr>
        <w:t>Journal of CO</w:t>
      </w:r>
      <w:r w:rsidRPr="000C116E">
        <w:rPr>
          <w:iCs/>
          <w:noProof/>
          <w:vertAlign w:val="subscript"/>
        </w:rPr>
        <w:t>2</w:t>
      </w:r>
      <w:r w:rsidRPr="000C116E">
        <w:rPr>
          <w:iCs/>
          <w:noProof/>
        </w:rPr>
        <w:t xml:space="preserve"> Utilization</w:t>
      </w:r>
      <w:r w:rsidR="000C116E">
        <w:rPr>
          <w:noProof/>
        </w:rPr>
        <w:t>. Elsevier, 12, pp. 62-</w:t>
      </w:r>
      <w:r w:rsidRPr="000C116E">
        <w:rPr>
          <w:noProof/>
        </w:rPr>
        <w:t>76.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Metz, B. </w:t>
      </w:r>
      <w:r w:rsidRPr="000C116E">
        <w:rPr>
          <w:iCs/>
          <w:noProof/>
        </w:rPr>
        <w:t>et al.</w:t>
      </w:r>
      <w:r w:rsidRPr="000C116E">
        <w:rPr>
          <w:noProof/>
        </w:rPr>
        <w:t xml:space="preserve"> (2005) </w:t>
      </w:r>
      <w:r w:rsidRPr="000C116E">
        <w:rPr>
          <w:iCs/>
          <w:noProof/>
        </w:rPr>
        <w:t>IPCC special report on carbon dioxide capture and storage.</w:t>
      </w:r>
      <w:r w:rsidRPr="000C116E">
        <w:rPr>
          <w:noProof/>
        </w:rPr>
        <w:t xml:space="preserve"> Intergovernmental Panel on Climate Change, Geneva (Switzerland). Working G</w:t>
      </w:r>
      <w:r w:rsidR="006A28C9" w:rsidRPr="000C116E">
        <w:rPr>
          <w:noProof/>
        </w:rPr>
        <w:t xml:space="preserve">roup III. Available at: </w:t>
      </w:r>
      <w:r w:rsidRPr="000C116E">
        <w:rPr>
          <w:noProof/>
        </w:rPr>
        <w:t>www.ipcc.ch/pdf/special-reports/srccs/srccs_wholereport.pdf (Accessed: 1 July 2017).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Mignard, D. and Pritchard, C. (2008) ‘On the use of electrolytic hydrogen from variable renewable energies for the enhanced conversion of biomass to fuels’, </w:t>
      </w:r>
      <w:r w:rsidRPr="000C116E">
        <w:rPr>
          <w:iCs/>
          <w:noProof/>
        </w:rPr>
        <w:t>Chemical Engineering Research and Design</w:t>
      </w:r>
      <w:r w:rsidR="000C116E">
        <w:rPr>
          <w:noProof/>
        </w:rPr>
        <w:t>. Elsevier, 86(5), pp. 473-</w:t>
      </w:r>
      <w:r w:rsidRPr="000C116E">
        <w:rPr>
          <w:noProof/>
        </w:rPr>
        <w:t xml:space="preserve">487. 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>Nguyen, T. B. H. and Zondervan, E. (2018) ‘Ionic Liquid as a Selective Capture Method of CO</w:t>
      </w:r>
      <w:r w:rsidRPr="000C116E">
        <w:rPr>
          <w:noProof/>
          <w:vertAlign w:val="subscript"/>
        </w:rPr>
        <w:t>2</w:t>
      </w:r>
      <w:r w:rsidRPr="000C116E">
        <w:rPr>
          <w:noProof/>
        </w:rPr>
        <w:t xml:space="preserve"> from Different Sources: Comparison with MEA’, </w:t>
      </w:r>
      <w:r w:rsidRPr="000C116E">
        <w:rPr>
          <w:iCs/>
          <w:noProof/>
        </w:rPr>
        <w:t>ACS Sustainable Chemistry &amp; Engineering</w:t>
      </w:r>
      <w:r w:rsidRPr="000C116E">
        <w:rPr>
          <w:noProof/>
        </w:rPr>
        <w:t>. American C</w:t>
      </w:r>
      <w:r w:rsidR="000C116E">
        <w:rPr>
          <w:noProof/>
        </w:rPr>
        <w:t>hemical Society, 6(4), pp. 4845-</w:t>
      </w:r>
      <w:r w:rsidRPr="000C116E">
        <w:rPr>
          <w:noProof/>
        </w:rPr>
        <w:t>4853.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Olah, G. A., Goeppert, A. and Prakash, G. K. S. (2009) ‘Chemical Recycling of Carbon Dioxide to Methanol and Dimethyl Ether: From Greenhouse Gas to Renewable, Environmentally Carbon Neutral Fuels and Synthetic Hydrocarbons’, </w:t>
      </w:r>
      <w:r w:rsidRPr="000C116E">
        <w:rPr>
          <w:iCs/>
          <w:noProof/>
        </w:rPr>
        <w:t>The Journal of Organic Chemistry</w:t>
      </w:r>
      <w:r w:rsidRPr="000C116E">
        <w:rPr>
          <w:noProof/>
        </w:rPr>
        <w:t>. American Chemic</w:t>
      </w:r>
      <w:r w:rsidR="000C116E">
        <w:rPr>
          <w:noProof/>
        </w:rPr>
        <w:t>al Society, 74(2), pp. 487-</w:t>
      </w:r>
      <w:r w:rsidR="006A28C9" w:rsidRPr="000C116E">
        <w:rPr>
          <w:noProof/>
        </w:rPr>
        <w:t>498.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Park, N. </w:t>
      </w:r>
      <w:r w:rsidRPr="000C116E">
        <w:rPr>
          <w:iCs/>
          <w:noProof/>
        </w:rPr>
        <w:t>et al.</w:t>
      </w:r>
      <w:r w:rsidRPr="000C116E">
        <w:rPr>
          <w:noProof/>
        </w:rPr>
        <w:t xml:space="preserve"> (2014) ‘Modeling and optimization of the mixed reforming of methane: Maximizing CO</w:t>
      </w:r>
      <w:r w:rsidRPr="000C116E">
        <w:rPr>
          <w:noProof/>
          <w:vertAlign w:val="subscript"/>
        </w:rPr>
        <w:t>2</w:t>
      </w:r>
      <w:r w:rsidRPr="000C116E">
        <w:rPr>
          <w:noProof/>
        </w:rPr>
        <w:t xml:space="preserve"> utilization for non-equilibrated reaction’, </w:t>
      </w:r>
      <w:r w:rsidRPr="000C116E">
        <w:rPr>
          <w:iCs/>
          <w:noProof/>
        </w:rPr>
        <w:t>Fuel</w:t>
      </w:r>
      <w:r w:rsidR="000C116E">
        <w:rPr>
          <w:noProof/>
        </w:rPr>
        <w:t>. Elsevier, 115, pp. 357-365</w:t>
      </w:r>
      <w:r w:rsidRPr="000C116E">
        <w:rPr>
          <w:noProof/>
        </w:rPr>
        <w:t>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>Trimm, D. L. and Lam, C.-W. (1980) ‘The co</w:t>
      </w:r>
      <w:r w:rsidR="00E24A05">
        <w:rPr>
          <w:noProof/>
        </w:rPr>
        <w:t>mbustion of methane on platinum-</w:t>
      </w:r>
      <w:r w:rsidRPr="000C116E">
        <w:rPr>
          <w:noProof/>
        </w:rPr>
        <w:t>alumina fibre cat</w:t>
      </w:r>
      <w:r w:rsidR="00E24A05">
        <w:rPr>
          <w:noProof/>
        </w:rPr>
        <w:t>alysts-</w:t>
      </w:r>
      <w:r w:rsidRPr="000C116E">
        <w:rPr>
          <w:noProof/>
        </w:rPr>
        <w:t xml:space="preserve">I: Kinetics and mechanism’, </w:t>
      </w:r>
      <w:r w:rsidRPr="000C116E">
        <w:rPr>
          <w:iCs/>
          <w:noProof/>
        </w:rPr>
        <w:t>Chemical Engineering Science</w:t>
      </w:r>
      <w:r w:rsidRPr="000C116E">
        <w:rPr>
          <w:noProof/>
        </w:rPr>
        <w:t>.</w:t>
      </w:r>
      <w:r w:rsidR="000C116E">
        <w:rPr>
          <w:noProof/>
        </w:rPr>
        <w:t xml:space="preserve"> Pergamon, 35(6), pp. 1405-</w:t>
      </w:r>
      <w:r w:rsidR="006A28C9" w:rsidRPr="000C116E">
        <w:rPr>
          <w:noProof/>
        </w:rPr>
        <w:t>1413</w:t>
      </w:r>
      <w:r w:rsidRPr="000C116E">
        <w:rPr>
          <w:noProof/>
        </w:rPr>
        <w:t>.</w:t>
      </w:r>
    </w:p>
    <w:p w:rsidR="00EE50E7" w:rsidRPr="000C116E" w:rsidRDefault="00EE50E7" w:rsidP="006A28C9">
      <w:pPr>
        <w:pStyle w:val="CETReferencetext"/>
        <w:rPr>
          <w:noProof/>
        </w:rPr>
      </w:pPr>
      <w:r w:rsidRPr="000C116E">
        <w:rPr>
          <w:noProof/>
        </w:rPr>
        <w:t xml:space="preserve">Xu, J. and Froment, G. F. (1989) ‘Methane steam reforming, methanation and water-gas shift: I. Intrinsic kinetics’, </w:t>
      </w:r>
      <w:r w:rsidRPr="000C116E">
        <w:rPr>
          <w:iCs/>
          <w:noProof/>
        </w:rPr>
        <w:t>AIChE Journal</w:t>
      </w:r>
      <w:r w:rsidRPr="000C116E">
        <w:rPr>
          <w:noProof/>
        </w:rPr>
        <w:t>.</w:t>
      </w:r>
      <w:r w:rsidR="000C116E">
        <w:rPr>
          <w:noProof/>
        </w:rPr>
        <w:t xml:space="preserve"> Wiley-Blackwell, 35(1), pp. 88-</w:t>
      </w:r>
      <w:r w:rsidRPr="000C116E">
        <w:rPr>
          <w:noProof/>
        </w:rPr>
        <w:t xml:space="preserve">96. </w:t>
      </w:r>
    </w:p>
    <w:p w:rsidR="004628D2" w:rsidRPr="000C116E" w:rsidRDefault="00EE50E7" w:rsidP="006A28C9">
      <w:pPr>
        <w:pStyle w:val="CETReferencetext"/>
      </w:pPr>
      <w:r w:rsidRPr="000C116E">
        <w:rPr>
          <w:noProof/>
        </w:rPr>
        <w:t xml:space="preserve">Yang, Y. </w:t>
      </w:r>
      <w:r w:rsidRPr="000C116E">
        <w:rPr>
          <w:iCs/>
          <w:noProof/>
        </w:rPr>
        <w:t>et al.</w:t>
      </w:r>
      <w:r w:rsidRPr="000C116E">
        <w:rPr>
          <w:noProof/>
        </w:rPr>
        <w:t xml:space="preserve"> (2018) ‘High-efficiency utilization of CO</w:t>
      </w:r>
      <w:r w:rsidRPr="000C116E">
        <w:rPr>
          <w:noProof/>
          <w:vertAlign w:val="subscript"/>
        </w:rPr>
        <w:t>2</w:t>
      </w:r>
      <w:r w:rsidRPr="000C116E">
        <w:rPr>
          <w:noProof/>
        </w:rPr>
        <w:t xml:space="preserve"> in the methanol production by a novel parallel-series system combining steam and dry methane reforming’, </w:t>
      </w:r>
      <w:r w:rsidRPr="000C116E">
        <w:rPr>
          <w:iCs/>
          <w:noProof/>
        </w:rPr>
        <w:t>Energy</w:t>
      </w:r>
      <w:r w:rsidRPr="000C116E">
        <w:rPr>
          <w:noProof/>
        </w:rPr>
        <w:t>. Pergamon, 158,</w:t>
      </w:r>
      <w:r w:rsidR="000C116E">
        <w:rPr>
          <w:noProof/>
        </w:rPr>
        <w:t xml:space="preserve"> pp. 820-</w:t>
      </w:r>
      <w:r w:rsidR="006A28C9" w:rsidRPr="000C116E">
        <w:rPr>
          <w:noProof/>
        </w:rPr>
        <w:t>829</w:t>
      </w:r>
      <w:r w:rsidRPr="000C116E">
        <w:rPr>
          <w:noProof/>
        </w:rPr>
        <w:t>.</w:t>
      </w:r>
      <w:r w:rsidR="004526AA" w:rsidRPr="000C116E">
        <w:fldChar w:fldCharType="end"/>
      </w:r>
    </w:p>
    <w:sectPr w:rsidR="004628D2" w:rsidRPr="000C116E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10" w:rsidRDefault="00A75610" w:rsidP="004F5E36">
      <w:r>
        <w:separator/>
      </w:r>
    </w:p>
  </w:endnote>
  <w:endnote w:type="continuationSeparator" w:id="0">
    <w:p w:rsidR="00A75610" w:rsidRDefault="00A7561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10" w:rsidRDefault="00A75610" w:rsidP="004F5E36">
      <w:r>
        <w:separator/>
      </w:r>
    </w:p>
  </w:footnote>
  <w:footnote w:type="continuationSeparator" w:id="0">
    <w:p w:rsidR="00A75610" w:rsidRDefault="00A75610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NqkFAAB+DfstAAAA"/>
  </w:docVars>
  <w:rsids>
    <w:rsidRoot w:val="000E414A"/>
    <w:rsid w:val="000027C0"/>
    <w:rsid w:val="000052FB"/>
    <w:rsid w:val="0000582E"/>
    <w:rsid w:val="00010F40"/>
    <w:rsid w:val="000117CB"/>
    <w:rsid w:val="0003148D"/>
    <w:rsid w:val="00033C61"/>
    <w:rsid w:val="00036533"/>
    <w:rsid w:val="00047D7F"/>
    <w:rsid w:val="00051566"/>
    <w:rsid w:val="000553B0"/>
    <w:rsid w:val="00061A73"/>
    <w:rsid w:val="00062A9A"/>
    <w:rsid w:val="00065058"/>
    <w:rsid w:val="00082493"/>
    <w:rsid w:val="000843F7"/>
    <w:rsid w:val="00086167"/>
    <w:rsid w:val="000864D8"/>
    <w:rsid w:val="00086852"/>
    <w:rsid w:val="00086C39"/>
    <w:rsid w:val="00087895"/>
    <w:rsid w:val="00092DBE"/>
    <w:rsid w:val="000A03B2"/>
    <w:rsid w:val="000A3B79"/>
    <w:rsid w:val="000B0A0A"/>
    <w:rsid w:val="000B11E0"/>
    <w:rsid w:val="000C05CE"/>
    <w:rsid w:val="000C0DE5"/>
    <w:rsid w:val="000C116E"/>
    <w:rsid w:val="000C572B"/>
    <w:rsid w:val="000C61E8"/>
    <w:rsid w:val="000C6F7C"/>
    <w:rsid w:val="000D022B"/>
    <w:rsid w:val="000D1640"/>
    <w:rsid w:val="000D34BE"/>
    <w:rsid w:val="000E102F"/>
    <w:rsid w:val="000E36F1"/>
    <w:rsid w:val="000E3A73"/>
    <w:rsid w:val="000E414A"/>
    <w:rsid w:val="000E7D98"/>
    <w:rsid w:val="000F093C"/>
    <w:rsid w:val="000F16BD"/>
    <w:rsid w:val="000F57AC"/>
    <w:rsid w:val="000F787B"/>
    <w:rsid w:val="00105A44"/>
    <w:rsid w:val="001140CA"/>
    <w:rsid w:val="0012091F"/>
    <w:rsid w:val="00121AC1"/>
    <w:rsid w:val="001234B3"/>
    <w:rsid w:val="00126BC2"/>
    <w:rsid w:val="001270E9"/>
    <w:rsid w:val="00127DDD"/>
    <w:rsid w:val="001308B6"/>
    <w:rsid w:val="0013121F"/>
    <w:rsid w:val="00131CA8"/>
    <w:rsid w:val="00131FAB"/>
    <w:rsid w:val="00131FE6"/>
    <w:rsid w:val="0013263F"/>
    <w:rsid w:val="00134DE4"/>
    <w:rsid w:val="0014034D"/>
    <w:rsid w:val="00143E4D"/>
    <w:rsid w:val="001455AB"/>
    <w:rsid w:val="00150E59"/>
    <w:rsid w:val="00152DE3"/>
    <w:rsid w:val="00154E19"/>
    <w:rsid w:val="00156E7B"/>
    <w:rsid w:val="00160272"/>
    <w:rsid w:val="00162642"/>
    <w:rsid w:val="00163531"/>
    <w:rsid w:val="00164CF9"/>
    <w:rsid w:val="00184AD6"/>
    <w:rsid w:val="0019191E"/>
    <w:rsid w:val="00196B2B"/>
    <w:rsid w:val="001B0349"/>
    <w:rsid w:val="001B2755"/>
    <w:rsid w:val="001B65C1"/>
    <w:rsid w:val="001C684B"/>
    <w:rsid w:val="001C6E92"/>
    <w:rsid w:val="001D343E"/>
    <w:rsid w:val="001D53FC"/>
    <w:rsid w:val="001E3569"/>
    <w:rsid w:val="001F1D63"/>
    <w:rsid w:val="001F1FB3"/>
    <w:rsid w:val="001F20C0"/>
    <w:rsid w:val="001F2DF0"/>
    <w:rsid w:val="001F42A5"/>
    <w:rsid w:val="001F7B9D"/>
    <w:rsid w:val="00206EFD"/>
    <w:rsid w:val="002224B4"/>
    <w:rsid w:val="0023752D"/>
    <w:rsid w:val="0024339A"/>
    <w:rsid w:val="00243D7F"/>
    <w:rsid w:val="002447EF"/>
    <w:rsid w:val="00246335"/>
    <w:rsid w:val="00251550"/>
    <w:rsid w:val="00252C1A"/>
    <w:rsid w:val="00253F00"/>
    <w:rsid w:val="002602AF"/>
    <w:rsid w:val="0026095E"/>
    <w:rsid w:val="00263B05"/>
    <w:rsid w:val="0027221A"/>
    <w:rsid w:val="002740C4"/>
    <w:rsid w:val="00275B61"/>
    <w:rsid w:val="002825E1"/>
    <w:rsid w:val="00282656"/>
    <w:rsid w:val="00284077"/>
    <w:rsid w:val="002856D8"/>
    <w:rsid w:val="0029130F"/>
    <w:rsid w:val="002949D7"/>
    <w:rsid w:val="00296B83"/>
    <w:rsid w:val="002B209C"/>
    <w:rsid w:val="002B400E"/>
    <w:rsid w:val="002B66A8"/>
    <w:rsid w:val="002B78CE"/>
    <w:rsid w:val="002C2FB6"/>
    <w:rsid w:val="002D3003"/>
    <w:rsid w:val="002D5BCD"/>
    <w:rsid w:val="002D6967"/>
    <w:rsid w:val="002E6BAF"/>
    <w:rsid w:val="002F1529"/>
    <w:rsid w:val="003009B7"/>
    <w:rsid w:val="00300E56"/>
    <w:rsid w:val="0030469C"/>
    <w:rsid w:val="003132B5"/>
    <w:rsid w:val="00313FC1"/>
    <w:rsid w:val="00321CA6"/>
    <w:rsid w:val="00321E45"/>
    <w:rsid w:val="00331AD6"/>
    <w:rsid w:val="00334C09"/>
    <w:rsid w:val="003365E3"/>
    <w:rsid w:val="003373F7"/>
    <w:rsid w:val="003433E1"/>
    <w:rsid w:val="003461FF"/>
    <w:rsid w:val="00356518"/>
    <w:rsid w:val="003609B8"/>
    <w:rsid w:val="00360B4B"/>
    <w:rsid w:val="003723D4"/>
    <w:rsid w:val="00384CC8"/>
    <w:rsid w:val="003871FD"/>
    <w:rsid w:val="0039458E"/>
    <w:rsid w:val="003A1E30"/>
    <w:rsid w:val="003A7D1C"/>
    <w:rsid w:val="003B304B"/>
    <w:rsid w:val="003B3146"/>
    <w:rsid w:val="003B60F3"/>
    <w:rsid w:val="003B7D94"/>
    <w:rsid w:val="003C28D2"/>
    <w:rsid w:val="003D0CCE"/>
    <w:rsid w:val="003D5854"/>
    <w:rsid w:val="003D67A2"/>
    <w:rsid w:val="003F015E"/>
    <w:rsid w:val="00400414"/>
    <w:rsid w:val="00411F4C"/>
    <w:rsid w:val="00412ABA"/>
    <w:rsid w:val="0041446B"/>
    <w:rsid w:val="004205EE"/>
    <w:rsid w:val="0042244C"/>
    <w:rsid w:val="00424047"/>
    <w:rsid w:val="00426F32"/>
    <w:rsid w:val="004331B0"/>
    <w:rsid w:val="00442AA2"/>
    <w:rsid w:val="0044329C"/>
    <w:rsid w:val="00443579"/>
    <w:rsid w:val="00443CC7"/>
    <w:rsid w:val="00450C2B"/>
    <w:rsid w:val="004526AA"/>
    <w:rsid w:val="004577FE"/>
    <w:rsid w:val="00457B9C"/>
    <w:rsid w:val="0046164A"/>
    <w:rsid w:val="004628D2"/>
    <w:rsid w:val="00462DCD"/>
    <w:rsid w:val="0046301B"/>
    <w:rsid w:val="004648AD"/>
    <w:rsid w:val="0046701F"/>
    <w:rsid w:val="004703A9"/>
    <w:rsid w:val="004760DE"/>
    <w:rsid w:val="004801BD"/>
    <w:rsid w:val="004A004E"/>
    <w:rsid w:val="004A24CF"/>
    <w:rsid w:val="004A2963"/>
    <w:rsid w:val="004A6C3A"/>
    <w:rsid w:val="004B6721"/>
    <w:rsid w:val="004B71BC"/>
    <w:rsid w:val="004C05CE"/>
    <w:rsid w:val="004C114C"/>
    <w:rsid w:val="004C3AE5"/>
    <w:rsid w:val="004C3D1D"/>
    <w:rsid w:val="004C7913"/>
    <w:rsid w:val="004E45EE"/>
    <w:rsid w:val="004E4DD6"/>
    <w:rsid w:val="004F0D53"/>
    <w:rsid w:val="004F5E36"/>
    <w:rsid w:val="004F6D08"/>
    <w:rsid w:val="00507B47"/>
    <w:rsid w:val="00507CC9"/>
    <w:rsid w:val="005119A5"/>
    <w:rsid w:val="0051426F"/>
    <w:rsid w:val="005203B7"/>
    <w:rsid w:val="005211B9"/>
    <w:rsid w:val="005230DA"/>
    <w:rsid w:val="005278B7"/>
    <w:rsid w:val="005319B6"/>
    <w:rsid w:val="00532016"/>
    <w:rsid w:val="005343B6"/>
    <w:rsid w:val="005346C8"/>
    <w:rsid w:val="00543E7D"/>
    <w:rsid w:val="00546B05"/>
    <w:rsid w:val="00547A68"/>
    <w:rsid w:val="005531C9"/>
    <w:rsid w:val="00562530"/>
    <w:rsid w:val="00564F31"/>
    <w:rsid w:val="00567A95"/>
    <w:rsid w:val="00572F7E"/>
    <w:rsid w:val="0057351A"/>
    <w:rsid w:val="005759A1"/>
    <w:rsid w:val="005771B0"/>
    <w:rsid w:val="00581711"/>
    <w:rsid w:val="00583B62"/>
    <w:rsid w:val="00585EEC"/>
    <w:rsid w:val="005866AD"/>
    <w:rsid w:val="005B1E47"/>
    <w:rsid w:val="005B2110"/>
    <w:rsid w:val="005B3FB3"/>
    <w:rsid w:val="005B61E6"/>
    <w:rsid w:val="005C6112"/>
    <w:rsid w:val="005C77E1"/>
    <w:rsid w:val="005D6829"/>
    <w:rsid w:val="005D6A2F"/>
    <w:rsid w:val="005E1A82"/>
    <w:rsid w:val="005E794C"/>
    <w:rsid w:val="005E7FA2"/>
    <w:rsid w:val="005F0A28"/>
    <w:rsid w:val="005F0E5E"/>
    <w:rsid w:val="00600535"/>
    <w:rsid w:val="00610CD6"/>
    <w:rsid w:val="00612FA5"/>
    <w:rsid w:val="00620DEE"/>
    <w:rsid w:val="00621F92"/>
    <w:rsid w:val="00624683"/>
    <w:rsid w:val="00625639"/>
    <w:rsid w:val="0063100E"/>
    <w:rsid w:val="00631B33"/>
    <w:rsid w:val="006338D8"/>
    <w:rsid w:val="006365B0"/>
    <w:rsid w:val="0064184D"/>
    <w:rsid w:val="006422CC"/>
    <w:rsid w:val="006476A2"/>
    <w:rsid w:val="00652578"/>
    <w:rsid w:val="00660E3E"/>
    <w:rsid w:val="00662E74"/>
    <w:rsid w:val="006671DC"/>
    <w:rsid w:val="006675B8"/>
    <w:rsid w:val="00670040"/>
    <w:rsid w:val="00674853"/>
    <w:rsid w:val="00674F5A"/>
    <w:rsid w:val="00676575"/>
    <w:rsid w:val="00680C23"/>
    <w:rsid w:val="0068547B"/>
    <w:rsid w:val="00690EEF"/>
    <w:rsid w:val="00693766"/>
    <w:rsid w:val="00696709"/>
    <w:rsid w:val="006A28C9"/>
    <w:rsid w:val="006A3281"/>
    <w:rsid w:val="006A4AD5"/>
    <w:rsid w:val="006A75CF"/>
    <w:rsid w:val="006B4888"/>
    <w:rsid w:val="006B7C06"/>
    <w:rsid w:val="006C2E45"/>
    <w:rsid w:val="006C359C"/>
    <w:rsid w:val="006C5579"/>
    <w:rsid w:val="006D3BB2"/>
    <w:rsid w:val="006E6F9B"/>
    <w:rsid w:val="006E737D"/>
    <w:rsid w:val="006F7430"/>
    <w:rsid w:val="007016E1"/>
    <w:rsid w:val="0070195D"/>
    <w:rsid w:val="00720A24"/>
    <w:rsid w:val="00725BC8"/>
    <w:rsid w:val="00731F80"/>
    <w:rsid w:val="00732386"/>
    <w:rsid w:val="007415D0"/>
    <w:rsid w:val="007447F3"/>
    <w:rsid w:val="00750C97"/>
    <w:rsid w:val="0075499F"/>
    <w:rsid w:val="00760B3C"/>
    <w:rsid w:val="007661C8"/>
    <w:rsid w:val="0077098D"/>
    <w:rsid w:val="00770BED"/>
    <w:rsid w:val="00776705"/>
    <w:rsid w:val="00785FE6"/>
    <w:rsid w:val="00792521"/>
    <w:rsid w:val="007931FA"/>
    <w:rsid w:val="007A46D9"/>
    <w:rsid w:val="007A7BBA"/>
    <w:rsid w:val="007B0C50"/>
    <w:rsid w:val="007B6CC4"/>
    <w:rsid w:val="007C1A43"/>
    <w:rsid w:val="007C20E4"/>
    <w:rsid w:val="007C58CB"/>
    <w:rsid w:val="007C7282"/>
    <w:rsid w:val="007D0F5B"/>
    <w:rsid w:val="007E1DC6"/>
    <w:rsid w:val="007F0BC9"/>
    <w:rsid w:val="007F39C8"/>
    <w:rsid w:val="00801189"/>
    <w:rsid w:val="00802106"/>
    <w:rsid w:val="00813288"/>
    <w:rsid w:val="008168FC"/>
    <w:rsid w:val="008248C7"/>
    <w:rsid w:val="00830996"/>
    <w:rsid w:val="008345F1"/>
    <w:rsid w:val="00835C14"/>
    <w:rsid w:val="008400A9"/>
    <w:rsid w:val="00842031"/>
    <w:rsid w:val="00847578"/>
    <w:rsid w:val="008551D9"/>
    <w:rsid w:val="00862732"/>
    <w:rsid w:val="00865B07"/>
    <w:rsid w:val="008667EA"/>
    <w:rsid w:val="00867E07"/>
    <w:rsid w:val="0087087A"/>
    <w:rsid w:val="0087637F"/>
    <w:rsid w:val="008765EB"/>
    <w:rsid w:val="008848B9"/>
    <w:rsid w:val="00886CFD"/>
    <w:rsid w:val="00887259"/>
    <w:rsid w:val="008904B9"/>
    <w:rsid w:val="00892AD5"/>
    <w:rsid w:val="00895829"/>
    <w:rsid w:val="00897045"/>
    <w:rsid w:val="0089729C"/>
    <w:rsid w:val="008A1512"/>
    <w:rsid w:val="008A17E5"/>
    <w:rsid w:val="008A50BD"/>
    <w:rsid w:val="008A74E2"/>
    <w:rsid w:val="008A755D"/>
    <w:rsid w:val="008B0B7E"/>
    <w:rsid w:val="008B13DE"/>
    <w:rsid w:val="008B76BA"/>
    <w:rsid w:val="008C436D"/>
    <w:rsid w:val="008C78C1"/>
    <w:rsid w:val="008D2521"/>
    <w:rsid w:val="008D32B9"/>
    <w:rsid w:val="008D373C"/>
    <w:rsid w:val="008D3CAD"/>
    <w:rsid w:val="008D3FC5"/>
    <w:rsid w:val="008D433B"/>
    <w:rsid w:val="008E566E"/>
    <w:rsid w:val="008E7A87"/>
    <w:rsid w:val="0090161A"/>
    <w:rsid w:val="00901EB6"/>
    <w:rsid w:val="009036E1"/>
    <w:rsid w:val="00904C62"/>
    <w:rsid w:val="00910390"/>
    <w:rsid w:val="009144A1"/>
    <w:rsid w:val="0091498C"/>
    <w:rsid w:val="00923694"/>
    <w:rsid w:val="00924DAC"/>
    <w:rsid w:val="00927058"/>
    <w:rsid w:val="00940461"/>
    <w:rsid w:val="009450CE"/>
    <w:rsid w:val="00947179"/>
    <w:rsid w:val="0095164B"/>
    <w:rsid w:val="00954090"/>
    <w:rsid w:val="009573E7"/>
    <w:rsid w:val="009635B9"/>
    <w:rsid w:val="00963E05"/>
    <w:rsid w:val="00963F81"/>
    <w:rsid w:val="00967D54"/>
    <w:rsid w:val="00971A07"/>
    <w:rsid w:val="00971E43"/>
    <w:rsid w:val="00972840"/>
    <w:rsid w:val="00973847"/>
    <w:rsid w:val="009864B6"/>
    <w:rsid w:val="00992E4C"/>
    <w:rsid w:val="00996483"/>
    <w:rsid w:val="00996F5A"/>
    <w:rsid w:val="009A0A3E"/>
    <w:rsid w:val="009B041A"/>
    <w:rsid w:val="009B0760"/>
    <w:rsid w:val="009B29B3"/>
    <w:rsid w:val="009B2FB2"/>
    <w:rsid w:val="009C141F"/>
    <w:rsid w:val="009C232A"/>
    <w:rsid w:val="009C2EB4"/>
    <w:rsid w:val="009C7C86"/>
    <w:rsid w:val="009D2FF7"/>
    <w:rsid w:val="009E4196"/>
    <w:rsid w:val="009E7884"/>
    <w:rsid w:val="009E788A"/>
    <w:rsid w:val="009F0E08"/>
    <w:rsid w:val="009F45DC"/>
    <w:rsid w:val="009F54E8"/>
    <w:rsid w:val="00A00BB2"/>
    <w:rsid w:val="00A0181B"/>
    <w:rsid w:val="00A078D1"/>
    <w:rsid w:val="00A1763D"/>
    <w:rsid w:val="00A17CEC"/>
    <w:rsid w:val="00A27EF0"/>
    <w:rsid w:val="00A3693A"/>
    <w:rsid w:val="00A36C89"/>
    <w:rsid w:val="00A40964"/>
    <w:rsid w:val="00A45158"/>
    <w:rsid w:val="00A50B20"/>
    <w:rsid w:val="00A51390"/>
    <w:rsid w:val="00A53855"/>
    <w:rsid w:val="00A60D13"/>
    <w:rsid w:val="00A61319"/>
    <w:rsid w:val="00A628E9"/>
    <w:rsid w:val="00A72745"/>
    <w:rsid w:val="00A755F2"/>
    <w:rsid w:val="00A75610"/>
    <w:rsid w:val="00A76EFC"/>
    <w:rsid w:val="00A83300"/>
    <w:rsid w:val="00A87B56"/>
    <w:rsid w:val="00A91010"/>
    <w:rsid w:val="00A97F29"/>
    <w:rsid w:val="00AA3B43"/>
    <w:rsid w:val="00AA65E0"/>
    <w:rsid w:val="00AA702E"/>
    <w:rsid w:val="00AB0964"/>
    <w:rsid w:val="00AB1AF9"/>
    <w:rsid w:val="00AB2027"/>
    <w:rsid w:val="00AB26B2"/>
    <w:rsid w:val="00AB5011"/>
    <w:rsid w:val="00AC7368"/>
    <w:rsid w:val="00AD16B9"/>
    <w:rsid w:val="00AD65ED"/>
    <w:rsid w:val="00AE377D"/>
    <w:rsid w:val="00AF02BB"/>
    <w:rsid w:val="00AF213B"/>
    <w:rsid w:val="00AF295C"/>
    <w:rsid w:val="00B027E6"/>
    <w:rsid w:val="00B17020"/>
    <w:rsid w:val="00B17FBD"/>
    <w:rsid w:val="00B226BA"/>
    <w:rsid w:val="00B235D4"/>
    <w:rsid w:val="00B315A6"/>
    <w:rsid w:val="00B31813"/>
    <w:rsid w:val="00B33365"/>
    <w:rsid w:val="00B34745"/>
    <w:rsid w:val="00B42617"/>
    <w:rsid w:val="00B53AC6"/>
    <w:rsid w:val="00B57B36"/>
    <w:rsid w:val="00B8686D"/>
    <w:rsid w:val="00B94A11"/>
    <w:rsid w:val="00B963B0"/>
    <w:rsid w:val="00BA2FCE"/>
    <w:rsid w:val="00BC1E3C"/>
    <w:rsid w:val="00BC30C9"/>
    <w:rsid w:val="00BC7F7D"/>
    <w:rsid w:val="00BE3E58"/>
    <w:rsid w:val="00BE462D"/>
    <w:rsid w:val="00BE676F"/>
    <w:rsid w:val="00BF30B0"/>
    <w:rsid w:val="00C01616"/>
    <w:rsid w:val="00C0162B"/>
    <w:rsid w:val="00C02C90"/>
    <w:rsid w:val="00C061EF"/>
    <w:rsid w:val="00C079A1"/>
    <w:rsid w:val="00C15FBE"/>
    <w:rsid w:val="00C169FC"/>
    <w:rsid w:val="00C345B1"/>
    <w:rsid w:val="00C35A05"/>
    <w:rsid w:val="00C40142"/>
    <w:rsid w:val="00C425AA"/>
    <w:rsid w:val="00C44198"/>
    <w:rsid w:val="00C53970"/>
    <w:rsid w:val="00C5430B"/>
    <w:rsid w:val="00C57182"/>
    <w:rsid w:val="00C57863"/>
    <w:rsid w:val="00C57B13"/>
    <w:rsid w:val="00C655FB"/>
    <w:rsid w:val="00C655FD"/>
    <w:rsid w:val="00C72986"/>
    <w:rsid w:val="00C74081"/>
    <w:rsid w:val="00C83749"/>
    <w:rsid w:val="00C84F24"/>
    <w:rsid w:val="00C870A8"/>
    <w:rsid w:val="00C9328C"/>
    <w:rsid w:val="00C94434"/>
    <w:rsid w:val="00C94F0D"/>
    <w:rsid w:val="00CA0D75"/>
    <w:rsid w:val="00CA1C95"/>
    <w:rsid w:val="00CA5115"/>
    <w:rsid w:val="00CA5A9C"/>
    <w:rsid w:val="00CB0ECC"/>
    <w:rsid w:val="00CC7998"/>
    <w:rsid w:val="00CD3517"/>
    <w:rsid w:val="00CD5A00"/>
    <w:rsid w:val="00CD5FE2"/>
    <w:rsid w:val="00CE7C68"/>
    <w:rsid w:val="00CF39AB"/>
    <w:rsid w:val="00D01200"/>
    <w:rsid w:val="00D02A8B"/>
    <w:rsid w:val="00D02B4C"/>
    <w:rsid w:val="00D040C4"/>
    <w:rsid w:val="00D11044"/>
    <w:rsid w:val="00D1536E"/>
    <w:rsid w:val="00D2211B"/>
    <w:rsid w:val="00D22801"/>
    <w:rsid w:val="00D2300D"/>
    <w:rsid w:val="00D27008"/>
    <w:rsid w:val="00D52DC8"/>
    <w:rsid w:val="00D52EC2"/>
    <w:rsid w:val="00D57C84"/>
    <w:rsid w:val="00D6057D"/>
    <w:rsid w:val="00D80B82"/>
    <w:rsid w:val="00D8407A"/>
    <w:rsid w:val="00D84576"/>
    <w:rsid w:val="00D84CF7"/>
    <w:rsid w:val="00D90FD2"/>
    <w:rsid w:val="00D97BEC"/>
    <w:rsid w:val="00DA1399"/>
    <w:rsid w:val="00DA24C6"/>
    <w:rsid w:val="00DA4D7B"/>
    <w:rsid w:val="00DC0D24"/>
    <w:rsid w:val="00DC7CAB"/>
    <w:rsid w:val="00DE264A"/>
    <w:rsid w:val="00E00F60"/>
    <w:rsid w:val="00E02D18"/>
    <w:rsid w:val="00E041E7"/>
    <w:rsid w:val="00E20332"/>
    <w:rsid w:val="00E23CA1"/>
    <w:rsid w:val="00E24A05"/>
    <w:rsid w:val="00E26995"/>
    <w:rsid w:val="00E377A6"/>
    <w:rsid w:val="00E409A8"/>
    <w:rsid w:val="00E44D3E"/>
    <w:rsid w:val="00E50C12"/>
    <w:rsid w:val="00E65B91"/>
    <w:rsid w:val="00E7209D"/>
    <w:rsid w:val="00E73A5D"/>
    <w:rsid w:val="00E77223"/>
    <w:rsid w:val="00E8528B"/>
    <w:rsid w:val="00E85B94"/>
    <w:rsid w:val="00E87D1B"/>
    <w:rsid w:val="00E9326C"/>
    <w:rsid w:val="00E978D0"/>
    <w:rsid w:val="00EA4613"/>
    <w:rsid w:val="00EA7F91"/>
    <w:rsid w:val="00EB1523"/>
    <w:rsid w:val="00EC0207"/>
    <w:rsid w:val="00EC0E49"/>
    <w:rsid w:val="00ED35AC"/>
    <w:rsid w:val="00EE0131"/>
    <w:rsid w:val="00EE50E7"/>
    <w:rsid w:val="00EF18E4"/>
    <w:rsid w:val="00EF4E18"/>
    <w:rsid w:val="00EF6324"/>
    <w:rsid w:val="00F00233"/>
    <w:rsid w:val="00F155B2"/>
    <w:rsid w:val="00F3020E"/>
    <w:rsid w:val="00F30C64"/>
    <w:rsid w:val="00F32CDB"/>
    <w:rsid w:val="00F35E5E"/>
    <w:rsid w:val="00F4036E"/>
    <w:rsid w:val="00F414FD"/>
    <w:rsid w:val="00F448C7"/>
    <w:rsid w:val="00F55F6A"/>
    <w:rsid w:val="00F56A3E"/>
    <w:rsid w:val="00F63A70"/>
    <w:rsid w:val="00F7430B"/>
    <w:rsid w:val="00F91026"/>
    <w:rsid w:val="00FA17C8"/>
    <w:rsid w:val="00FA21D0"/>
    <w:rsid w:val="00FA4C50"/>
    <w:rsid w:val="00FA5F5F"/>
    <w:rsid w:val="00FB39FB"/>
    <w:rsid w:val="00FB7202"/>
    <w:rsid w:val="00FB730C"/>
    <w:rsid w:val="00FC1FFF"/>
    <w:rsid w:val="00FC2695"/>
    <w:rsid w:val="00FC3E03"/>
    <w:rsid w:val="00FC3FC1"/>
    <w:rsid w:val="00FC573E"/>
    <w:rsid w:val="00FD2821"/>
    <w:rsid w:val="00FD4AAA"/>
    <w:rsid w:val="00FE1C3B"/>
    <w:rsid w:val="00FE5981"/>
    <w:rsid w:val="00FE6565"/>
    <w:rsid w:val="00FF009D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E88CF1-C731-484C-ACA9-F60401E7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246335"/>
    <w:pPr>
      <w:keepNext/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246335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package" Target="embeddings/Microsoft_Visio_Drawing1.vsdx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4541A-698D-40DA-8B44-9E2D1731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4809</Words>
  <Characters>27412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</dc:creator>
  <cp:keywords/>
  <dc:description/>
  <cp:lastModifiedBy>HUU TUAN</cp:lastModifiedBy>
  <cp:revision>90</cp:revision>
  <cp:lastPrinted>2015-05-12T18:31:00Z</cp:lastPrinted>
  <dcterms:created xsi:type="dcterms:W3CDTF">2018-09-26T07:07:00Z</dcterms:created>
  <dcterms:modified xsi:type="dcterms:W3CDTF">2019-03-30T19:41:00Z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Recent Style Id 0_1">
    <vt:lpwstr>http://www.zotero.org/styles/acs-sustainable-chemistry-and-engineering</vt:lpwstr>
  </property>
  <property fmtid="{D5CDD505-2E9C-101B-9397-08002B2CF9AE}" pid="5" name="Mendeley Recent Style Name 0_1">
    <vt:lpwstr>ACS Sustainable Chemistry &amp; Engineering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http://www.zotero.org/styles/harvard1</vt:lpwstr>
  </property>
  <property fmtid="{D5CDD505-2E9C-101B-9397-08002B2CF9AE}" pid="17" name="Mendeley Recent Style Name 6_1">
    <vt:lpwstr>Harvard reference format 1 (deprecated)</vt:lpwstr>
  </property>
  <property fmtid="{D5CDD505-2E9C-101B-9397-08002B2CF9AE}" pid="18" name="Mendeley Recent Style Id 7_1">
    <vt:lpwstr>http://www.zotero.org/styles/ieee</vt:lpwstr>
  </property>
  <property fmtid="{D5CDD505-2E9C-101B-9397-08002B2CF9AE}" pid="19" name="Mendeley Recent Style Name 7_1">
    <vt:lpwstr>IEEE</vt:lpwstr>
  </property>
  <property fmtid="{D5CDD505-2E9C-101B-9397-08002B2CF9AE}" pid="20" name="Mendeley Recent Style Id 8_1">
    <vt:lpwstr>http://www.zotero.org/styles/modern-humanities-research-association</vt:lpwstr>
  </property>
  <property fmtid="{D5CDD505-2E9C-101B-9397-08002B2CF9AE}" pid="21" name="Mendeley Recent Style Name 8_1">
    <vt:lpwstr>Modern Humanities Research Association 3rd edition (note with bibliography)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908a0ada-8052-3c18-88d8-d1c5fc7bbee5</vt:lpwstr>
  </property>
  <property fmtid="{D5CDD505-2E9C-101B-9397-08002B2CF9AE}" pid="26" name="Mendeley Citation Style_1">
    <vt:lpwstr>http://www.zotero.org/styles/harvard1</vt:lpwstr>
  </property>
</Properties>
</file>