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eastAsia="en-GB"/>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174E41" w:rsidRPr="00B57B36" w:rsidRDefault="00174E41" w:rsidP="00174E41">
      <w:pPr>
        <w:pStyle w:val="CETTitle"/>
      </w:pPr>
      <w:r>
        <w:t>Bioenergy Potential in Nigeria</w:t>
      </w:r>
    </w:p>
    <w:p w:rsidR="00174E41" w:rsidRDefault="00174E41" w:rsidP="00174E41">
      <w:pPr>
        <w:pStyle w:val="CETAuthors"/>
        <w:rPr>
          <w:vertAlign w:val="superscript"/>
        </w:rPr>
      </w:pPr>
      <w:r>
        <w:t>Francis O. Olanrewaju</w:t>
      </w:r>
      <w:r w:rsidRPr="00EA3C02">
        <w:t>*</w:t>
      </w:r>
      <w:r w:rsidRPr="005F76C3">
        <w:t xml:space="preserve">, </w:t>
      </w:r>
      <w:r>
        <w:t xml:space="preserve">Gordon E. </w:t>
      </w:r>
      <w:r w:rsidRPr="005F76C3">
        <w:t xml:space="preserve">Andrews, </w:t>
      </w:r>
      <w:r>
        <w:t>Hu Li,</w:t>
      </w:r>
      <w:r w:rsidRPr="005F76C3">
        <w:t xml:space="preserve"> and </w:t>
      </w:r>
      <w:r>
        <w:t xml:space="preserve">Herodotos N. </w:t>
      </w:r>
      <w:r w:rsidRPr="005F76C3">
        <w:t>Phylaktou</w:t>
      </w:r>
      <w:r w:rsidRPr="00B57B36">
        <w:rPr>
          <w:vertAlign w:val="superscript"/>
        </w:rPr>
        <w:t xml:space="preserve"> </w:t>
      </w:r>
    </w:p>
    <w:p w:rsidR="00174E41" w:rsidRPr="00745992" w:rsidRDefault="00174E41" w:rsidP="00174E41">
      <w:pPr>
        <w:pStyle w:val="CETemail"/>
      </w:pPr>
      <w:r>
        <w:t xml:space="preserve">Faculty of Engineering, </w:t>
      </w:r>
      <w:r w:rsidRPr="00FD5020">
        <w:t>School of Chemical and Process Engineering, University of Leeds, LS2 9JT, United Kingdom</w:t>
      </w:r>
      <w:r>
        <w:t xml:space="preserve"> *</w:t>
      </w:r>
      <w:hyperlink r:id="rId10" w:history="1">
        <w:r w:rsidRPr="00745992">
          <w:rPr>
            <w:rStyle w:val="Hyperlink"/>
            <w:rFonts w:cs="Arial"/>
            <w:color w:val="auto"/>
            <w:szCs w:val="16"/>
            <w:u w:val="none"/>
          </w:rPr>
          <w:t>pmofo@leeds.ac.uk</w:t>
        </w:r>
      </w:hyperlink>
      <w:r>
        <w:rPr>
          <w:rStyle w:val="Hyperlink"/>
          <w:rFonts w:cs="Arial"/>
          <w:color w:val="auto"/>
          <w:szCs w:val="16"/>
          <w:u w:val="none"/>
        </w:rPr>
        <w:t xml:space="preserve"> and profgeandrews@hotmail.com</w:t>
      </w:r>
    </w:p>
    <w:p w:rsidR="00174E41" w:rsidRDefault="00174E41" w:rsidP="00174E41">
      <w:pPr>
        <w:pStyle w:val="CETBodytext"/>
      </w:pPr>
      <w:bookmarkStart w:id="0" w:name="_Hlk495475023"/>
      <w:bookmarkStart w:id="1" w:name="_Hlk505715841"/>
      <w:r>
        <w:t xml:space="preserve">The potential of waste agricultural, forest and waste material in Nigeria for energy generation was quantitatively estimated using Nigerian Government data.  </w:t>
      </w:r>
      <w:r w:rsidRPr="00FD5020">
        <w:t>The curre</w:t>
      </w:r>
      <w:r>
        <w:t xml:space="preserve">nt biomass capacity of Nigeria is </w:t>
      </w:r>
      <w:r w:rsidRPr="00FD5020">
        <w:t xml:space="preserve">over </w:t>
      </w:r>
      <w:r>
        <w:t>200</w:t>
      </w:r>
      <w:r w:rsidRPr="00FD5020">
        <w:t xml:space="preserve"> billion </w:t>
      </w:r>
      <w:r>
        <w:t>kg</w:t>
      </w:r>
      <w:r w:rsidRPr="00FD5020">
        <w:t xml:space="preserve"> of biomass per year. Wood fuel and charcoal account for over 80% of the energy that is consumed in </w:t>
      </w:r>
      <w:r>
        <w:t>households in Nigeria</w:t>
      </w:r>
      <w:r w:rsidRPr="00FD5020">
        <w:t xml:space="preserve"> for c</w:t>
      </w:r>
      <w:r>
        <w:t>ooking and heating</w:t>
      </w:r>
      <w:r w:rsidRPr="00FD5020">
        <w:t>. Wood fuel</w:t>
      </w:r>
      <w:r>
        <w:t xml:space="preserve"> accounts for about 94%</w:t>
      </w:r>
      <w:r w:rsidRPr="00FD5020">
        <w:t xml:space="preserve"> of traditional biomass that is utilized fo</w:t>
      </w:r>
      <w:r>
        <w:t>r household cooking in Nigeria. 46</w:t>
      </w:r>
      <w:r w:rsidRPr="00FD5020">
        <w:t xml:space="preserve"> million </w:t>
      </w:r>
      <w:proofErr w:type="spellStart"/>
      <w:r w:rsidRPr="00FD5020">
        <w:t>tonnes</w:t>
      </w:r>
      <w:proofErr w:type="spellEnd"/>
      <w:r w:rsidRPr="00FD5020">
        <w:t xml:space="preserve"> of wood fuel was used in 2014 for domestic cooking in the country. The nation’</w:t>
      </w:r>
      <w:r>
        <w:t>s total energy consumption in 2015 was 121</w:t>
      </w:r>
      <w:r w:rsidRPr="00FD5020">
        <w:t xml:space="preserve"> </w:t>
      </w:r>
      <w:proofErr w:type="spellStart"/>
      <w:r w:rsidRPr="00FD5020">
        <w:t>Mtoe</w:t>
      </w:r>
      <w:proofErr w:type="spellEnd"/>
      <w:r w:rsidRPr="00FD5020">
        <w:t>. The analysis that was carried out in this work</w:t>
      </w:r>
      <w:r>
        <w:t xml:space="preserve"> shows</w:t>
      </w:r>
      <w:r w:rsidRPr="00FD5020">
        <w:t xml:space="preserve"> that Nigeria has the potential to</w:t>
      </w:r>
      <w:r>
        <w:t xml:space="preserve"> generate about 62 </w:t>
      </w:r>
      <w:proofErr w:type="spellStart"/>
      <w:r>
        <w:t>Mtoe</w:t>
      </w:r>
      <w:proofErr w:type="spellEnd"/>
      <w:r>
        <w:t xml:space="preserve"> (2.6</w:t>
      </w:r>
      <w:r w:rsidRPr="00FD5020">
        <w:t xml:space="preserve"> billion</w:t>
      </w:r>
      <w:r>
        <w:t xml:space="preserve"> GJ) of energy from its</w:t>
      </w:r>
      <w:r w:rsidRPr="00FD5020">
        <w:t xml:space="preserve"> biomass resources (about 51% of the nation’s energy consumption in 2015).</w:t>
      </w:r>
      <w:r>
        <w:t xml:space="preserve"> The largest resource by far is agricultural crop residues, much of which is currently burnt in the fields.</w:t>
      </w:r>
      <w:r w:rsidRPr="00FD5020">
        <w:t xml:space="preserve"> The estimated bioenergy potential </w:t>
      </w:r>
      <w:r>
        <w:t>of Nigeria’s forest residue (8.7</w:t>
      </w:r>
      <w:r w:rsidRPr="00FD5020">
        <w:t xml:space="preserve"> </w:t>
      </w:r>
      <w:proofErr w:type="spellStart"/>
      <w:r w:rsidRPr="00FD5020">
        <w:t>Mtoe</w:t>
      </w:r>
      <w:proofErr w:type="spellEnd"/>
      <w:r w:rsidRPr="00FD5020">
        <w:t xml:space="preserve"> equivalent to 363 PJ) is 1.04 times greater than the energy consumed for transportation and four times greater than the nation’</w:t>
      </w:r>
      <w:r>
        <w:t xml:space="preserve">s electricity consumption in </w:t>
      </w:r>
      <w:r w:rsidRPr="00FD5020">
        <w:t>2015. The costs of transportation energy (pump price of oil products) and electricity in Nigeria are still high despite the huge amount of biomass that is available in the country</w:t>
      </w:r>
      <w:r>
        <w:t>,</w:t>
      </w:r>
      <w:r w:rsidRPr="00FD5020">
        <w:t xml:space="preserve"> from which clean and renewable fuels or energy can be produced. If the abundant bio</w:t>
      </w:r>
      <w:r>
        <w:t>-</w:t>
      </w:r>
      <w:r w:rsidRPr="00FD5020">
        <w:t>resources of Nigeria are harnessed to produce bioenergy, transportation fuels and electricity</w:t>
      </w:r>
      <w:r>
        <w:t xml:space="preserve">, then energy will become more affordable </w:t>
      </w:r>
      <w:r w:rsidRPr="00FD5020">
        <w:t xml:space="preserve">and </w:t>
      </w:r>
      <w:r>
        <w:t xml:space="preserve">more </w:t>
      </w:r>
      <w:r w:rsidRPr="00FD5020">
        <w:t xml:space="preserve">accessible by the general populace. The power sector of the country will also be </w:t>
      </w:r>
      <w:r w:rsidR="003F2C8E" w:rsidRPr="00FD5020">
        <w:t>stabilized,</w:t>
      </w:r>
      <w:r>
        <w:t xml:space="preserve"> and electricity supplies provided for rural areas, where the agricultural waste biomass occurs</w:t>
      </w:r>
      <w:r w:rsidRPr="00FD5020">
        <w:t xml:space="preserve">. </w:t>
      </w:r>
    </w:p>
    <w:p w:rsidR="00174E41" w:rsidRDefault="00174E41" w:rsidP="00174E41">
      <w:pPr>
        <w:pStyle w:val="CETBodytext"/>
      </w:pPr>
    </w:p>
    <w:p w:rsidR="00174E41" w:rsidRDefault="00174E41" w:rsidP="00174E41">
      <w:pPr>
        <w:pStyle w:val="CETBodytext"/>
      </w:pPr>
      <w:r w:rsidRPr="00FD5020">
        <w:t>Key words: Biomass, biofuels, energy, bioresources, statistics, biogas, waste</w:t>
      </w:r>
      <w:bookmarkEnd w:id="0"/>
      <w:bookmarkEnd w:id="1"/>
    </w:p>
    <w:p w:rsidR="00174E41" w:rsidRDefault="00174E41" w:rsidP="00174E41">
      <w:pPr>
        <w:pStyle w:val="CETHeading1"/>
      </w:pPr>
      <w:r>
        <w:t xml:space="preserve">Introduction </w:t>
      </w:r>
    </w:p>
    <w:p w:rsidR="00174E41" w:rsidRPr="00C96431" w:rsidRDefault="00174E41" w:rsidP="00174E41">
      <w:pPr>
        <w:pStyle w:val="CETBodytext"/>
      </w:pPr>
      <w:r w:rsidRPr="00C96431">
        <w:t>Nigeria is naturally endowed with large quantit</w:t>
      </w:r>
      <w:r>
        <w:t>ies of biomass, in waste agricultural crops, forestry and there is also significant energy in waste materials. This work estimates</w:t>
      </w:r>
      <w:r w:rsidRPr="00C96431">
        <w:t xml:space="preserve"> Nigeria’s bio</w:t>
      </w:r>
      <w:r>
        <w:t xml:space="preserve">energy and waste resource and their </w:t>
      </w:r>
      <w:r w:rsidRPr="00C96431">
        <w:t>energy</w:t>
      </w:r>
      <w:r>
        <w:t xml:space="preserve"> generation</w:t>
      </w:r>
      <w:r w:rsidRPr="00C96431">
        <w:t xml:space="preserve"> potentials. The current practice in Nigeria is to dispose </w:t>
      </w:r>
      <w:r>
        <w:t xml:space="preserve">of </w:t>
      </w:r>
      <w:r w:rsidRPr="00C96431">
        <w:t xml:space="preserve">agricultural </w:t>
      </w:r>
      <w:r>
        <w:t>residues by burning them in the fields</w:t>
      </w:r>
      <w:r w:rsidRPr="00C96431">
        <w:t>. Municipal solid wastes are also disposed</w:t>
      </w:r>
      <w:r>
        <w:t xml:space="preserve"> of</w:t>
      </w:r>
      <w:r w:rsidRPr="00C96431">
        <w:t xml:space="preserve"> b</w:t>
      </w:r>
      <w:r>
        <w:t>y setting them on fire when waste disposal sites are</w:t>
      </w:r>
      <w:r w:rsidRPr="00C96431">
        <w:t xml:space="preserve"> filled up. These practices result in wastage of energy in the country. The high pump price of petroleum products in Nigeria makes the products inaccessible to the poor and the middle class (the larger portion of the populace). The cost of transportation and the cost of foodstuffs in Nigeria are currently high because of the high pump price of petroleum products. If agricultural residues and wastes are converted to biofuels and blended with oil products, the pump price of petroleum products will reduce. This will in turn lead to a reduction in the cost of transportation and foodstuffs. Also, the emission of environmentally harmful gases from combustion engines will be drastically reduced.</w:t>
      </w:r>
      <w:r>
        <w:t xml:space="preserve"> Also, solid waste material can be burnt or gasified and used to produce local small-scale electricity in the rural villages where the waste arises.</w:t>
      </w:r>
    </w:p>
    <w:p w:rsidR="00174E41" w:rsidRPr="00C96431" w:rsidRDefault="00174E41" w:rsidP="00174E41">
      <w:pPr>
        <w:pStyle w:val="CETBodytext"/>
      </w:pPr>
      <w:r w:rsidRPr="009B1C39">
        <w:t xml:space="preserve">The industrial and economic growth of any nation requires </w:t>
      </w:r>
      <w:r>
        <w:t>a reliable</w:t>
      </w:r>
      <w:r w:rsidRPr="009B1C39">
        <w:t xml:space="preserve"> power supply. Unfortunatel</w:t>
      </w:r>
      <w:r>
        <w:t xml:space="preserve">y, electricity is not </w:t>
      </w:r>
      <w:r w:rsidRPr="009B1C39">
        <w:t>readily available in Nigeria</w:t>
      </w:r>
      <w:r>
        <w:t>, particularly in rural areas</w:t>
      </w:r>
      <w:r w:rsidRPr="009B1C39">
        <w:t xml:space="preserve">. </w:t>
      </w:r>
      <w:r>
        <w:t>According to the Federal Government of Nigeria, (FGN) the</w:t>
      </w:r>
      <w:r w:rsidRPr="009B1C39">
        <w:t xml:space="preserve"> low per capita consumption of electricity in Nigeria (100 kW as against about 10,000 kW for developed nations) results from low generation of electricity</w:t>
      </w:r>
      <w:r>
        <w:t>,</w:t>
      </w:r>
      <w:r w:rsidRPr="009B1C39">
        <w:t xml:space="preserve"> as well as the challenges of</w:t>
      </w:r>
      <w:r>
        <w:t xml:space="preserve"> establishing a</w:t>
      </w:r>
      <w:r w:rsidRPr="009B1C39">
        <w:t xml:space="preserve"> national grid (FG</w:t>
      </w:r>
      <w:r>
        <w:t>N, 2006). Owing to the uncertain and intermittent</w:t>
      </w:r>
      <w:r w:rsidRPr="009B1C39">
        <w:t xml:space="preserve"> power supply of Nigeria, industries, households and commercial firms have resorted to private diesel</w:t>
      </w:r>
      <w:r>
        <w:t xml:space="preserve"> or</w:t>
      </w:r>
      <w:r w:rsidRPr="009B1C39">
        <w:t xml:space="preserve"> petrol</w:t>
      </w:r>
      <w:r>
        <w:t>-</w:t>
      </w:r>
      <w:r w:rsidRPr="009B1C39">
        <w:t xml:space="preserve">fueled </w:t>
      </w:r>
      <w:r>
        <w:t xml:space="preserve">electrical </w:t>
      </w:r>
      <w:r w:rsidRPr="009B1C39">
        <w:t xml:space="preserve">generators. </w:t>
      </w:r>
      <w:r w:rsidRPr="005F539E">
        <w:t xml:space="preserve">This development has resulted in the death of </w:t>
      </w:r>
      <w:r>
        <w:t>over 10,000</w:t>
      </w:r>
      <w:r w:rsidRPr="005F539E">
        <w:t xml:space="preserve"> Nigerians</w:t>
      </w:r>
      <w:r>
        <w:t xml:space="preserve"> between 2008 and 2014</w:t>
      </w:r>
      <w:r w:rsidRPr="005F539E">
        <w:t xml:space="preserve"> from the inhalation of poisonous carbon monoxide (</w:t>
      </w:r>
      <w:r>
        <w:t xml:space="preserve">CO) </w:t>
      </w:r>
      <w:r>
        <w:lastRenderedPageBreak/>
        <w:t>gas that is emitted from petrol</w:t>
      </w:r>
      <w:r w:rsidRPr="005F539E">
        <w:t xml:space="preserve"> generators</w:t>
      </w:r>
      <w:r>
        <w:t xml:space="preserve"> (</w:t>
      </w:r>
      <w:proofErr w:type="spellStart"/>
      <w:r>
        <w:t>Anyagafu</w:t>
      </w:r>
      <w:proofErr w:type="spellEnd"/>
      <w:r>
        <w:t>, 2014)</w:t>
      </w:r>
      <w:r w:rsidRPr="005F539E">
        <w:t>.</w:t>
      </w:r>
      <w:r>
        <w:t xml:space="preserve"> This</w:t>
      </w:r>
      <w:r w:rsidRPr="009B1C39">
        <w:t xml:space="preserve"> underscores the dire need for the incorporation of clean combustion technologies in combustion engines.</w:t>
      </w:r>
    </w:p>
    <w:p w:rsidR="00174E41" w:rsidRDefault="00174E41" w:rsidP="00174E41">
      <w:pPr>
        <w:pStyle w:val="CETheadingx"/>
      </w:pPr>
      <w:r>
        <w:t>Energy consumption and supply in Nigeria</w:t>
      </w:r>
    </w:p>
    <w:p w:rsidR="00174E41" w:rsidRDefault="00174E41" w:rsidP="00174E41">
      <w:pPr>
        <w:pStyle w:val="CETBodytext"/>
        <w:rPr>
          <w:b/>
        </w:rPr>
      </w:pPr>
      <w:r w:rsidRPr="00BE2E05">
        <w:t>Nigeria is a country in West Africa with a</w:t>
      </w:r>
      <w:r>
        <w:t xml:space="preserve"> population of about 182 million</w:t>
      </w:r>
      <w:r w:rsidRPr="00BE2E05">
        <w:t xml:space="preserve"> in 2015 and a yearly population growth rate of 2.55%</w:t>
      </w:r>
      <w:r>
        <w:t>, as reported by the Food and Agriculture Organization (FAO) of the United Nations</w:t>
      </w:r>
      <w:r w:rsidRPr="00BE2E05">
        <w:t>. The country has a land area of 92,377,000 ha</w:t>
      </w:r>
      <w:r>
        <w:t xml:space="preserve"> (923.77 billion m</w:t>
      </w:r>
      <w:r>
        <w:rPr>
          <w:vertAlign w:val="superscript"/>
        </w:rPr>
        <w:t>2</w:t>
      </w:r>
      <w:r>
        <w:t>)</w:t>
      </w:r>
      <w:r w:rsidRPr="00BE2E05">
        <w:t xml:space="preserve"> from which 70,800,000 ha</w:t>
      </w:r>
      <w:r>
        <w:t xml:space="preserve"> (708 billion m</w:t>
      </w:r>
      <w:r>
        <w:rPr>
          <w:vertAlign w:val="superscript"/>
        </w:rPr>
        <w:t>2</w:t>
      </w:r>
      <w:r>
        <w:t>)</w:t>
      </w:r>
      <w:r w:rsidRPr="00BE2E05">
        <w:t xml:space="preserve"> is used for agricultural purposes</w:t>
      </w:r>
      <w:r>
        <w:t xml:space="preserve"> (FAO, 2016)</w:t>
      </w:r>
      <w:r w:rsidRPr="00BE2E05">
        <w:t xml:space="preserve">. </w:t>
      </w:r>
    </w:p>
    <w:p w:rsidR="00174E41" w:rsidRPr="004A72A2" w:rsidRDefault="00174E41" w:rsidP="00174E41">
      <w:pPr>
        <w:pStyle w:val="CETBodytext"/>
        <w:rPr>
          <w:b/>
        </w:rPr>
      </w:pPr>
      <w:r w:rsidRPr="009B1C39">
        <w:t>The total production and import</w:t>
      </w:r>
      <w:r>
        <w:t>ation of energy in Nigeria for 2015 was 265</w:t>
      </w:r>
      <w:r w:rsidRPr="009B1C39">
        <w:t xml:space="preserve"> </w:t>
      </w:r>
      <w:proofErr w:type="spellStart"/>
      <w:r w:rsidRPr="009B1C39">
        <w:t>Mtoe</w:t>
      </w:r>
      <w:proofErr w:type="spellEnd"/>
      <w:r w:rsidRPr="009B1C39">
        <w:t xml:space="preserve"> while th</w:t>
      </w:r>
      <w:r>
        <w:t>e overall consumption was 121</w:t>
      </w:r>
      <w:r w:rsidRPr="009B1C39">
        <w:t xml:space="preserve"> </w:t>
      </w:r>
      <w:proofErr w:type="spellStart"/>
      <w:r w:rsidRPr="009B1C39">
        <w:t>Mtoe</w:t>
      </w:r>
      <w:proofErr w:type="spellEnd"/>
      <w:r w:rsidRPr="009B1C39">
        <w:t xml:space="preserve"> as shown in </w:t>
      </w:r>
      <w:r>
        <w:t>Table 1, based on data from the International Energy Agency (IEA) (IEA, 2015)</w:t>
      </w:r>
      <w:r w:rsidRPr="009B1C39">
        <w:t xml:space="preserve">. </w:t>
      </w:r>
      <w:r>
        <w:t>Table</w:t>
      </w:r>
      <w:r w:rsidRPr="009B1C39">
        <w:t xml:space="preserve"> 1 shows that about 85% of total energy consumption in Nigeria comes from wood fuel and charcoal (traditional biomass). Th</w:t>
      </w:r>
      <w:r>
        <w:t>is is because the rural communities</w:t>
      </w:r>
      <w:r w:rsidRPr="009B1C39">
        <w:t xml:space="preserve"> and the u</w:t>
      </w:r>
      <w:r>
        <w:t>rban poor in Nigeria (</w:t>
      </w:r>
      <w:proofErr w:type="gramStart"/>
      <w:r>
        <w:t>the majority of</w:t>
      </w:r>
      <w:proofErr w:type="gramEnd"/>
      <w:r>
        <w:t xml:space="preserve"> the population</w:t>
      </w:r>
      <w:r w:rsidRPr="009B1C39">
        <w:t>) depend on traditional biomass for heating and cooking. According to Sambo (2006)</w:t>
      </w:r>
      <w:r>
        <w:t>,</w:t>
      </w:r>
      <w:r w:rsidRPr="009B1C39">
        <w:t xml:space="preserve"> wood fuel and charcoal </w:t>
      </w:r>
      <w:r>
        <w:t>are</w:t>
      </w:r>
      <w:r w:rsidRPr="009B1C39">
        <w:t xml:space="preserve"> utilized</w:t>
      </w:r>
      <w:r w:rsidRPr="00382BD2">
        <w:t xml:space="preserve"> </w:t>
      </w:r>
      <w:r w:rsidRPr="009B1C39">
        <w:t>for heating and cooking by 80% of Nigerian households</w:t>
      </w:r>
      <w:r>
        <w:t xml:space="preserve"> </w:t>
      </w:r>
      <w:r w:rsidRPr="009B1C39">
        <w:t>in the rural and urban areas</w:t>
      </w:r>
      <w:r>
        <w:t>. The consumption of wood and charcoal</w:t>
      </w:r>
      <w:r w:rsidRPr="009B1C39">
        <w:t xml:space="preserve"> for ho</w:t>
      </w:r>
      <w:r>
        <w:t>usehold cooking in Nigeria in 2014</w:t>
      </w:r>
      <w:r w:rsidRPr="009B1C39">
        <w:t xml:space="preserve"> </w:t>
      </w:r>
      <w:r>
        <w:t xml:space="preserve">was 46 and 3.2 million </w:t>
      </w:r>
      <w:proofErr w:type="spellStart"/>
      <w:r>
        <w:t>tonnes</w:t>
      </w:r>
      <w:proofErr w:type="spellEnd"/>
      <w:r>
        <w:t xml:space="preserve"> respectively (</w:t>
      </w:r>
      <w:proofErr w:type="spellStart"/>
      <w:r>
        <w:t>UNdata</w:t>
      </w:r>
      <w:proofErr w:type="spellEnd"/>
      <w:r>
        <w:t>, 2017)</w:t>
      </w:r>
      <w:r w:rsidRPr="009B1C39">
        <w:t>. This shows that w</w:t>
      </w:r>
      <w:r>
        <w:t>ood fuel accounts for 94%</w:t>
      </w:r>
      <w:r w:rsidRPr="009B1C39">
        <w:t xml:space="preserve"> of domestic traditional biomass consumption i</w:t>
      </w:r>
      <w:r>
        <w:t>n Nigerian households</w:t>
      </w:r>
      <w:r w:rsidRPr="009B1C39">
        <w:t xml:space="preserve">. The relatively low consumption of charcoal in Nigerian </w:t>
      </w:r>
      <w:r>
        <w:t>households compared to wood</w:t>
      </w:r>
      <w:r w:rsidRPr="009B1C39">
        <w:t xml:space="preserve"> is </w:t>
      </w:r>
      <w:r>
        <w:t>strictly related with the local process adopted for charcoal production</w:t>
      </w:r>
      <w:r w:rsidRPr="009B1C39">
        <w:t xml:space="preserve">. The local production method does not </w:t>
      </w:r>
      <w:proofErr w:type="spellStart"/>
      <w:r w:rsidRPr="009B1C39">
        <w:t>favour</w:t>
      </w:r>
      <w:proofErr w:type="spellEnd"/>
      <w:r w:rsidRPr="009B1C39">
        <w:t xml:space="preserve"> la</w:t>
      </w:r>
      <w:r>
        <w:t>rge scale production of charcoal, which is derived from wood, but is of a higher calorific value and a low yield relative to the original wood</w:t>
      </w:r>
      <w:r w:rsidRPr="009B1C39">
        <w:t>.</w:t>
      </w:r>
    </w:p>
    <w:p w:rsidR="00174E41" w:rsidRDefault="00174E41" w:rsidP="00174E41">
      <w:pPr>
        <w:pStyle w:val="CETTabletitle"/>
      </w:pPr>
      <w:r>
        <w:t>Table 1: Energy consumption by different sectors in Nigeria</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93"/>
        <w:gridCol w:w="1559"/>
        <w:gridCol w:w="1559"/>
        <w:gridCol w:w="1701"/>
        <w:gridCol w:w="1559"/>
        <w:gridCol w:w="1276"/>
      </w:tblGrid>
      <w:tr w:rsidR="00174E41" w:rsidRPr="00B57B36" w:rsidTr="00CA62CB">
        <w:tc>
          <w:tcPr>
            <w:tcW w:w="993" w:type="dxa"/>
            <w:tcBorders>
              <w:top w:val="single" w:sz="12" w:space="0" w:color="008000"/>
              <w:bottom w:val="single" w:sz="6" w:space="0" w:color="008000"/>
            </w:tcBorders>
            <w:shd w:val="clear" w:color="auto" w:fill="FFFFFF"/>
          </w:tcPr>
          <w:p w:rsidR="00174E41" w:rsidRPr="00B57B36" w:rsidRDefault="00174E41" w:rsidP="00CA62CB">
            <w:pPr>
              <w:pStyle w:val="CETBodytext"/>
              <w:rPr>
                <w:lang w:val="en-GB"/>
              </w:rPr>
            </w:pPr>
            <w:r>
              <w:rPr>
                <w:lang w:val="en-GB"/>
              </w:rPr>
              <w:t>Sector</w:t>
            </w:r>
            <w:r w:rsidRPr="00B57B36">
              <w:rPr>
                <w:lang w:val="en-GB"/>
              </w:rPr>
              <w:t xml:space="preserve"> </w:t>
            </w:r>
          </w:p>
        </w:tc>
        <w:tc>
          <w:tcPr>
            <w:tcW w:w="1559" w:type="dxa"/>
            <w:tcBorders>
              <w:top w:val="single" w:sz="12" w:space="0" w:color="008000"/>
              <w:bottom w:val="single" w:sz="6" w:space="0" w:color="008000"/>
            </w:tcBorders>
            <w:shd w:val="clear" w:color="auto" w:fill="FFFFFF"/>
          </w:tcPr>
          <w:p w:rsidR="00174E41" w:rsidRDefault="00174E41" w:rsidP="00CA62CB">
            <w:pPr>
              <w:pStyle w:val="CETBodytext"/>
              <w:rPr>
                <w:lang w:val="en-GB"/>
              </w:rPr>
            </w:pPr>
            <w:r>
              <w:rPr>
                <w:lang w:val="en-GB"/>
              </w:rPr>
              <w:t>Oil products</w:t>
            </w:r>
          </w:p>
          <w:p w:rsidR="00174E41" w:rsidRPr="00B57B36" w:rsidRDefault="00174E41" w:rsidP="00CA62CB">
            <w:pPr>
              <w:pStyle w:val="CETBodytext"/>
              <w:rPr>
                <w:lang w:val="en-GB"/>
              </w:rPr>
            </w:pPr>
            <w:proofErr w:type="spellStart"/>
            <w:proofErr w:type="gramStart"/>
            <w:r>
              <w:rPr>
                <w:lang w:val="en-GB"/>
              </w:rPr>
              <w:t>Mtoe</w:t>
            </w:r>
            <w:proofErr w:type="spellEnd"/>
            <w:r>
              <w:rPr>
                <w:lang w:val="en-GB"/>
              </w:rPr>
              <w:t>(</w:t>
            </w:r>
            <w:proofErr w:type="gramEnd"/>
            <w:r>
              <w:rPr>
                <w:lang w:val="en-GB"/>
              </w:rPr>
              <w:t>EJ)    %</w:t>
            </w:r>
          </w:p>
        </w:tc>
        <w:tc>
          <w:tcPr>
            <w:tcW w:w="1559" w:type="dxa"/>
            <w:tcBorders>
              <w:top w:val="single" w:sz="12" w:space="0" w:color="008000"/>
              <w:bottom w:val="single" w:sz="6" w:space="0" w:color="008000"/>
            </w:tcBorders>
            <w:shd w:val="clear" w:color="auto" w:fill="FFFFFF"/>
          </w:tcPr>
          <w:p w:rsidR="00174E41" w:rsidRDefault="00174E41" w:rsidP="00CA62CB">
            <w:pPr>
              <w:pStyle w:val="CETBodytext"/>
              <w:rPr>
                <w:lang w:val="en-GB"/>
              </w:rPr>
            </w:pPr>
            <w:r>
              <w:rPr>
                <w:lang w:val="en-GB"/>
              </w:rPr>
              <w:t>Coal</w:t>
            </w:r>
          </w:p>
          <w:p w:rsidR="00174E41" w:rsidRPr="00B57B36" w:rsidRDefault="00174E41" w:rsidP="00CA62CB">
            <w:pPr>
              <w:pStyle w:val="CETBodytext"/>
              <w:rPr>
                <w:lang w:val="en-GB"/>
              </w:rPr>
            </w:pPr>
            <w:proofErr w:type="spellStart"/>
            <w:proofErr w:type="gramStart"/>
            <w:r>
              <w:rPr>
                <w:lang w:val="en-GB"/>
              </w:rPr>
              <w:t>Mtoe</w:t>
            </w:r>
            <w:proofErr w:type="spellEnd"/>
            <w:r>
              <w:rPr>
                <w:lang w:val="en-GB"/>
              </w:rPr>
              <w:t>(</w:t>
            </w:r>
            <w:proofErr w:type="gramEnd"/>
            <w:r>
              <w:rPr>
                <w:lang w:val="en-GB"/>
              </w:rPr>
              <w:t>EJ)    %</w:t>
            </w:r>
          </w:p>
        </w:tc>
        <w:tc>
          <w:tcPr>
            <w:tcW w:w="1701" w:type="dxa"/>
            <w:tcBorders>
              <w:top w:val="single" w:sz="12" w:space="0" w:color="008000"/>
              <w:bottom w:val="single" w:sz="6" w:space="0" w:color="008000"/>
            </w:tcBorders>
            <w:shd w:val="clear" w:color="auto" w:fill="FFFFFF"/>
          </w:tcPr>
          <w:p w:rsidR="00174E41" w:rsidRDefault="00174E41" w:rsidP="00CA62CB">
            <w:pPr>
              <w:pStyle w:val="CETBodytext"/>
              <w:ind w:right="-1"/>
              <w:rPr>
                <w:rFonts w:cs="Arial"/>
                <w:szCs w:val="18"/>
                <w:lang w:val="en-GB"/>
              </w:rPr>
            </w:pPr>
            <w:r>
              <w:rPr>
                <w:rFonts w:cs="Arial"/>
                <w:szCs w:val="18"/>
                <w:lang w:val="en-GB"/>
              </w:rPr>
              <w:t>Natural gas</w:t>
            </w:r>
          </w:p>
          <w:p w:rsidR="00174E41" w:rsidRPr="00B57B36" w:rsidRDefault="00174E41" w:rsidP="00CA62CB">
            <w:pPr>
              <w:pStyle w:val="CETBodytext"/>
              <w:ind w:right="-1"/>
              <w:rPr>
                <w:rFonts w:cs="Arial"/>
                <w:szCs w:val="18"/>
                <w:lang w:val="en-GB"/>
              </w:rPr>
            </w:pPr>
            <w:proofErr w:type="spellStart"/>
            <w:proofErr w:type="gramStart"/>
            <w:r>
              <w:rPr>
                <w:lang w:val="en-GB"/>
              </w:rPr>
              <w:t>Mtoe</w:t>
            </w:r>
            <w:proofErr w:type="spellEnd"/>
            <w:r>
              <w:rPr>
                <w:lang w:val="en-GB"/>
              </w:rPr>
              <w:t>(</w:t>
            </w:r>
            <w:proofErr w:type="gramEnd"/>
            <w:r>
              <w:rPr>
                <w:lang w:val="en-GB"/>
              </w:rPr>
              <w:t>EJ)    %</w:t>
            </w:r>
          </w:p>
        </w:tc>
        <w:tc>
          <w:tcPr>
            <w:tcW w:w="1559" w:type="dxa"/>
            <w:tcBorders>
              <w:top w:val="single" w:sz="12" w:space="0" w:color="008000"/>
              <w:bottom w:val="single" w:sz="6" w:space="0" w:color="008000"/>
            </w:tcBorders>
            <w:shd w:val="clear" w:color="auto" w:fill="FFFFFF"/>
          </w:tcPr>
          <w:p w:rsidR="00174E41" w:rsidRDefault="00174E41" w:rsidP="00CA62CB">
            <w:pPr>
              <w:pStyle w:val="CETBodytext"/>
              <w:ind w:right="-1"/>
              <w:rPr>
                <w:rFonts w:cs="Arial"/>
                <w:szCs w:val="18"/>
                <w:lang w:val="en-GB"/>
              </w:rPr>
            </w:pPr>
            <w:r>
              <w:rPr>
                <w:rFonts w:cs="Arial"/>
                <w:szCs w:val="18"/>
                <w:lang w:val="en-GB"/>
              </w:rPr>
              <w:t xml:space="preserve">Biofuels/waste        </w:t>
            </w:r>
          </w:p>
          <w:p w:rsidR="00174E41" w:rsidRPr="00B57B36" w:rsidRDefault="00174E41" w:rsidP="00CA62CB">
            <w:pPr>
              <w:pStyle w:val="CETBodytext"/>
              <w:ind w:right="-1"/>
              <w:rPr>
                <w:rFonts w:cs="Arial"/>
                <w:szCs w:val="18"/>
                <w:lang w:val="en-GB"/>
              </w:rPr>
            </w:pPr>
            <w:proofErr w:type="spellStart"/>
            <w:proofErr w:type="gramStart"/>
            <w:r>
              <w:rPr>
                <w:lang w:val="en-GB"/>
              </w:rPr>
              <w:t>Mtoe</w:t>
            </w:r>
            <w:proofErr w:type="spellEnd"/>
            <w:r>
              <w:rPr>
                <w:lang w:val="en-GB"/>
              </w:rPr>
              <w:t>(</w:t>
            </w:r>
            <w:proofErr w:type="gramEnd"/>
            <w:r>
              <w:rPr>
                <w:lang w:val="en-GB"/>
              </w:rPr>
              <w:t xml:space="preserve">EJ)     %          </w:t>
            </w:r>
          </w:p>
        </w:tc>
        <w:tc>
          <w:tcPr>
            <w:tcW w:w="1276" w:type="dxa"/>
            <w:tcBorders>
              <w:top w:val="single" w:sz="12" w:space="0" w:color="008000"/>
              <w:bottom w:val="single" w:sz="6" w:space="0" w:color="008000"/>
            </w:tcBorders>
            <w:shd w:val="clear" w:color="auto" w:fill="FFFFFF"/>
          </w:tcPr>
          <w:p w:rsidR="00174E41" w:rsidRDefault="00174E41" w:rsidP="00CA62CB">
            <w:pPr>
              <w:pStyle w:val="CETBodytext"/>
              <w:ind w:right="-1"/>
              <w:rPr>
                <w:rFonts w:cs="Arial"/>
                <w:szCs w:val="18"/>
                <w:lang w:val="en-GB"/>
              </w:rPr>
            </w:pPr>
            <w:r>
              <w:rPr>
                <w:rFonts w:cs="Arial"/>
                <w:szCs w:val="18"/>
                <w:lang w:val="en-GB"/>
              </w:rPr>
              <w:t>Electricity</w:t>
            </w:r>
          </w:p>
          <w:p w:rsidR="00174E41" w:rsidRDefault="00174E41" w:rsidP="00CA62CB">
            <w:pPr>
              <w:pStyle w:val="CETBodytext"/>
              <w:ind w:right="-1"/>
              <w:rPr>
                <w:rFonts w:cs="Arial"/>
                <w:szCs w:val="18"/>
                <w:lang w:val="en-GB"/>
              </w:rPr>
            </w:pPr>
            <w:proofErr w:type="spellStart"/>
            <w:proofErr w:type="gramStart"/>
            <w:r>
              <w:rPr>
                <w:lang w:val="en-GB"/>
              </w:rPr>
              <w:t>Mtoe</w:t>
            </w:r>
            <w:proofErr w:type="spellEnd"/>
            <w:r>
              <w:rPr>
                <w:lang w:val="en-GB"/>
              </w:rPr>
              <w:t>(</w:t>
            </w:r>
            <w:proofErr w:type="gramEnd"/>
            <w:r>
              <w:rPr>
                <w:lang w:val="en-GB"/>
              </w:rPr>
              <w:t>EJ)    %</w:t>
            </w:r>
          </w:p>
        </w:tc>
      </w:tr>
      <w:tr w:rsidR="00174E41" w:rsidRPr="00B57B36" w:rsidTr="00CA62CB">
        <w:tc>
          <w:tcPr>
            <w:tcW w:w="993" w:type="dxa"/>
            <w:shd w:val="clear" w:color="auto" w:fill="FFFFFF"/>
          </w:tcPr>
          <w:p w:rsidR="00174E41" w:rsidRDefault="00174E41" w:rsidP="00CA62CB">
            <w:pPr>
              <w:pStyle w:val="CETBodytext"/>
              <w:rPr>
                <w:lang w:val="en-GB"/>
              </w:rPr>
            </w:pPr>
            <w:r>
              <w:rPr>
                <w:lang w:val="en-GB"/>
              </w:rPr>
              <w:t>Industry</w:t>
            </w:r>
          </w:p>
          <w:p w:rsidR="00174E41" w:rsidRDefault="00174E41" w:rsidP="00CA62CB">
            <w:pPr>
              <w:pStyle w:val="CETBodytext"/>
              <w:rPr>
                <w:lang w:val="en-GB"/>
              </w:rPr>
            </w:pPr>
            <w:r>
              <w:rPr>
                <w:lang w:val="en-GB"/>
              </w:rPr>
              <w:t>Transport</w:t>
            </w:r>
          </w:p>
          <w:p w:rsidR="00174E41" w:rsidRDefault="00174E41" w:rsidP="00CA62CB">
            <w:pPr>
              <w:pStyle w:val="CETBodytext"/>
              <w:rPr>
                <w:lang w:val="en-GB"/>
              </w:rPr>
            </w:pPr>
            <w:r>
              <w:rPr>
                <w:lang w:val="en-GB"/>
              </w:rPr>
              <w:t>Household/Others</w:t>
            </w:r>
          </w:p>
          <w:p w:rsidR="00174E41" w:rsidRPr="00B57B36" w:rsidRDefault="00174E41" w:rsidP="00CA62CB">
            <w:pPr>
              <w:pStyle w:val="CETBodytext"/>
              <w:rPr>
                <w:lang w:val="en-GB"/>
              </w:rPr>
            </w:pPr>
            <w:r>
              <w:rPr>
                <w:lang w:val="en-GB"/>
              </w:rPr>
              <w:t>Non-energy use</w:t>
            </w:r>
          </w:p>
        </w:tc>
        <w:tc>
          <w:tcPr>
            <w:tcW w:w="1559" w:type="dxa"/>
            <w:shd w:val="clear" w:color="auto" w:fill="FFFFFF"/>
          </w:tcPr>
          <w:p w:rsidR="00174E41" w:rsidRDefault="00174E41" w:rsidP="00CA62CB">
            <w:pPr>
              <w:pStyle w:val="CETBodytext"/>
              <w:rPr>
                <w:lang w:val="en-GB"/>
              </w:rPr>
            </w:pPr>
            <w:r>
              <w:rPr>
                <w:lang w:val="en-GB"/>
              </w:rPr>
              <w:t>0.40(0.02</w:t>
            </w:r>
            <w:proofErr w:type="gramStart"/>
            <w:r>
              <w:rPr>
                <w:lang w:val="en-GB"/>
              </w:rPr>
              <w:t>)  5.26</w:t>
            </w:r>
            <w:proofErr w:type="gramEnd"/>
          </w:p>
          <w:p w:rsidR="00174E41" w:rsidRDefault="00174E41" w:rsidP="00CA62CB">
            <w:pPr>
              <w:pStyle w:val="CETBodytext"/>
              <w:rPr>
                <w:lang w:val="en-GB"/>
              </w:rPr>
            </w:pPr>
            <w:r>
              <w:rPr>
                <w:lang w:val="en-GB"/>
              </w:rPr>
              <w:t>8.40(0.35</w:t>
            </w:r>
            <w:proofErr w:type="gramStart"/>
            <w:r>
              <w:rPr>
                <w:lang w:val="en-GB"/>
              </w:rPr>
              <w:t>)  100</w:t>
            </w:r>
            <w:proofErr w:type="gramEnd"/>
          </w:p>
          <w:p w:rsidR="00174E41" w:rsidRDefault="00174E41" w:rsidP="00CA62CB">
            <w:pPr>
              <w:pStyle w:val="CETBodytext"/>
              <w:rPr>
                <w:lang w:val="en-GB"/>
              </w:rPr>
            </w:pPr>
          </w:p>
          <w:p w:rsidR="00174E41" w:rsidRDefault="00174E41" w:rsidP="00CA62CB">
            <w:pPr>
              <w:pStyle w:val="CETBodytext"/>
              <w:rPr>
                <w:lang w:val="en-GB"/>
              </w:rPr>
            </w:pPr>
            <w:r>
              <w:rPr>
                <w:lang w:val="en-GB"/>
              </w:rPr>
              <w:t>2.70(0.11</w:t>
            </w:r>
            <w:proofErr w:type="gramStart"/>
            <w:r>
              <w:rPr>
                <w:lang w:val="en-GB"/>
              </w:rPr>
              <w:t>)  2.62</w:t>
            </w:r>
            <w:proofErr w:type="gramEnd"/>
          </w:p>
          <w:p w:rsidR="00174E41" w:rsidRDefault="00174E41" w:rsidP="00CA62CB">
            <w:pPr>
              <w:pStyle w:val="CETBodytext"/>
              <w:rPr>
                <w:lang w:val="en-GB"/>
              </w:rPr>
            </w:pPr>
          </w:p>
          <w:p w:rsidR="00174E41" w:rsidRPr="00B57B36" w:rsidRDefault="00174E41" w:rsidP="00CA62CB">
            <w:pPr>
              <w:pStyle w:val="CETBodytext"/>
              <w:rPr>
                <w:lang w:val="en-GB"/>
              </w:rPr>
            </w:pPr>
            <w:r>
              <w:rPr>
                <w:lang w:val="en-GB"/>
              </w:rPr>
              <w:t>0.00(0.00</w:t>
            </w:r>
            <w:proofErr w:type="gramStart"/>
            <w:r>
              <w:rPr>
                <w:lang w:val="en-GB"/>
              </w:rPr>
              <w:t>)  0</w:t>
            </w:r>
            <w:proofErr w:type="gramEnd"/>
            <w:r>
              <w:rPr>
                <w:lang w:val="en-GB"/>
              </w:rPr>
              <w:t>.00</w:t>
            </w:r>
          </w:p>
        </w:tc>
        <w:tc>
          <w:tcPr>
            <w:tcW w:w="1559" w:type="dxa"/>
            <w:shd w:val="clear" w:color="auto" w:fill="FFFFFF"/>
          </w:tcPr>
          <w:p w:rsidR="00174E41" w:rsidRDefault="00174E41" w:rsidP="00CA62CB">
            <w:pPr>
              <w:pStyle w:val="CETBodytext"/>
              <w:rPr>
                <w:lang w:val="en-GB"/>
              </w:rPr>
            </w:pPr>
            <w:r>
              <w:rPr>
                <w:lang w:val="en-GB"/>
              </w:rPr>
              <w:t>0.00(0.00</w:t>
            </w:r>
            <w:proofErr w:type="gramStart"/>
            <w:r>
              <w:rPr>
                <w:lang w:val="en-GB"/>
              </w:rPr>
              <w:t>)  0.00</w:t>
            </w:r>
            <w:proofErr w:type="gramEnd"/>
          </w:p>
          <w:p w:rsidR="00174E41" w:rsidRDefault="00174E41" w:rsidP="00CA62CB">
            <w:pPr>
              <w:pStyle w:val="CETBodytext"/>
              <w:rPr>
                <w:lang w:val="en-GB"/>
              </w:rPr>
            </w:pPr>
            <w:r>
              <w:rPr>
                <w:lang w:val="en-GB"/>
              </w:rPr>
              <w:t>0.00(0.00</w:t>
            </w:r>
            <w:proofErr w:type="gramStart"/>
            <w:r>
              <w:rPr>
                <w:lang w:val="en-GB"/>
              </w:rPr>
              <w:t>)  0.00</w:t>
            </w:r>
            <w:proofErr w:type="gramEnd"/>
          </w:p>
          <w:p w:rsidR="00174E41" w:rsidRDefault="00174E41" w:rsidP="00CA62CB">
            <w:pPr>
              <w:pStyle w:val="CETBodytext"/>
              <w:rPr>
                <w:lang w:val="en-GB"/>
              </w:rPr>
            </w:pPr>
          </w:p>
          <w:p w:rsidR="00174E41" w:rsidRDefault="00174E41" w:rsidP="00CA62CB">
            <w:pPr>
              <w:pStyle w:val="CETBodytext"/>
              <w:rPr>
                <w:lang w:val="en-GB"/>
              </w:rPr>
            </w:pPr>
            <w:r>
              <w:rPr>
                <w:lang w:val="en-GB"/>
              </w:rPr>
              <w:t>0.00(0.00</w:t>
            </w:r>
            <w:proofErr w:type="gramStart"/>
            <w:r>
              <w:rPr>
                <w:lang w:val="en-GB"/>
              </w:rPr>
              <w:t>)  0.00</w:t>
            </w:r>
            <w:proofErr w:type="gramEnd"/>
          </w:p>
          <w:p w:rsidR="00174E41" w:rsidRDefault="00174E41" w:rsidP="00CA62CB">
            <w:pPr>
              <w:pStyle w:val="CETBodytext"/>
              <w:rPr>
                <w:lang w:val="en-GB"/>
              </w:rPr>
            </w:pPr>
          </w:p>
          <w:p w:rsidR="00174E41" w:rsidRPr="00B57B36" w:rsidRDefault="00174E41" w:rsidP="00CA62CB">
            <w:pPr>
              <w:pStyle w:val="CETBodytext"/>
              <w:rPr>
                <w:lang w:val="en-GB"/>
              </w:rPr>
            </w:pPr>
            <w:r>
              <w:rPr>
                <w:lang w:val="en-GB"/>
              </w:rPr>
              <w:t>0.00(0.00</w:t>
            </w:r>
            <w:proofErr w:type="gramStart"/>
            <w:r>
              <w:rPr>
                <w:lang w:val="en-GB"/>
              </w:rPr>
              <w:t>)  0</w:t>
            </w:r>
            <w:proofErr w:type="gramEnd"/>
            <w:r>
              <w:rPr>
                <w:lang w:val="en-GB"/>
              </w:rPr>
              <w:t>.00</w:t>
            </w:r>
          </w:p>
        </w:tc>
        <w:tc>
          <w:tcPr>
            <w:tcW w:w="1701" w:type="dxa"/>
            <w:shd w:val="clear" w:color="auto" w:fill="FFFFFF"/>
          </w:tcPr>
          <w:p w:rsidR="00174E41" w:rsidRDefault="00174E41" w:rsidP="00CA62CB">
            <w:pPr>
              <w:pStyle w:val="CETBodytext"/>
              <w:ind w:right="-1"/>
              <w:rPr>
                <w:rFonts w:cs="Arial"/>
                <w:szCs w:val="18"/>
                <w:lang w:val="en-GB"/>
              </w:rPr>
            </w:pPr>
            <w:r>
              <w:rPr>
                <w:rFonts w:cs="Arial"/>
                <w:szCs w:val="18"/>
                <w:lang w:val="en-GB"/>
              </w:rPr>
              <w:t>2.60(0.11</w:t>
            </w:r>
            <w:proofErr w:type="gramStart"/>
            <w:r>
              <w:rPr>
                <w:rFonts w:cs="Arial"/>
                <w:szCs w:val="18"/>
                <w:lang w:val="en-GB"/>
              </w:rPr>
              <w:t>)  34.21</w:t>
            </w:r>
            <w:proofErr w:type="gramEnd"/>
          </w:p>
          <w:p w:rsidR="00174E41" w:rsidRDefault="00174E41" w:rsidP="00CA62CB">
            <w:pPr>
              <w:pStyle w:val="CETBodytext"/>
              <w:ind w:right="-1"/>
              <w:rPr>
                <w:rFonts w:cs="Arial"/>
                <w:szCs w:val="18"/>
                <w:lang w:val="en-GB"/>
              </w:rPr>
            </w:pPr>
            <w:r>
              <w:rPr>
                <w:rFonts w:cs="Arial"/>
                <w:szCs w:val="18"/>
                <w:lang w:val="en-GB"/>
              </w:rPr>
              <w:t>0.00(0.00</w:t>
            </w:r>
            <w:proofErr w:type="gramStart"/>
            <w:r>
              <w:rPr>
                <w:rFonts w:cs="Arial"/>
                <w:szCs w:val="18"/>
                <w:lang w:val="en-GB"/>
              </w:rPr>
              <w:t>)  0.00</w:t>
            </w:r>
            <w:proofErr w:type="gramEnd"/>
          </w:p>
          <w:p w:rsidR="00174E41" w:rsidRDefault="00174E41" w:rsidP="00CA62CB">
            <w:pPr>
              <w:pStyle w:val="CETBodytext"/>
              <w:ind w:right="-1"/>
              <w:rPr>
                <w:rFonts w:cs="Arial"/>
                <w:szCs w:val="18"/>
                <w:lang w:val="en-GB"/>
              </w:rPr>
            </w:pPr>
          </w:p>
          <w:p w:rsidR="00174E41" w:rsidRDefault="00174E41" w:rsidP="00CA62CB">
            <w:pPr>
              <w:pStyle w:val="CETBodytext"/>
              <w:ind w:right="-1"/>
              <w:rPr>
                <w:rFonts w:cs="Arial"/>
                <w:szCs w:val="18"/>
                <w:lang w:val="en-GB"/>
              </w:rPr>
            </w:pPr>
            <w:r>
              <w:rPr>
                <w:rFonts w:cs="Arial"/>
                <w:szCs w:val="18"/>
                <w:lang w:val="en-GB"/>
              </w:rPr>
              <w:t>0.00(0.00</w:t>
            </w:r>
            <w:proofErr w:type="gramStart"/>
            <w:r>
              <w:rPr>
                <w:rFonts w:cs="Arial"/>
                <w:szCs w:val="18"/>
                <w:lang w:val="en-GB"/>
              </w:rPr>
              <w:t>)  0.00</w:t>
            </w:r>
            <w:proofErr w:type="gramEnd"/>
          </w:p>
          <w:p w:rsidR="00174E41" w:rsidRDefault="00174E41" w:rsidP="00CA62CB">
            <w:pPr>
              <w:pStyle w:val="CETBodytext"/>
              <w:ind w:right="-1"/>
              <w:rPr>
                <w:rFonts w:cs="Arial"/>
                <w:szCs w:val="18"/>
                <w:lang w:val="en-GB"/>
              </w:rPr>
            </w:pPr>
          </w:p>
          <w:p w:rsidR="00174E41" w:rsidRPr="00B57B36" w:rsidRDefault="00174E41" w:rsidP="00CA62CB">
            <w:pPr>
              <w:pStyle w:val="CETBodytext"/>
              <w:ind w:right="-1"/>
              <w:rPr>
                <w:rFonts w:cs="Arial"/>
                <w:szCs w:val="18"/>
                <w:lang w:val="en-GB"/>
              </w:rPr>
            </w:pPr>
            <w:r>
              <w:rPr>
                <w:rFonts w:cs="Arial"/>
                <w:szCs w:val="18"/>
                <w:lang w:val="en-GB"/>
              </w:rPr>
              <w:t>1.40(0.06</w:t>
            </w:r>
            <w:proofErr w:type="gramStart"/>
            <w:r>
              <w:rPr>
                <w:rFonts w:cs="Arial"/>
                <w:szCs w:val="18"/>
                <w:lang w:val="en-GB"/>
              </w:rPr>
              <w:t>)  100</w:t>
            </w:r>
            <w:proofErr w:type="gramEnd"/>
            <w:r>
              <w:rPr>
                <w:rFonts w:cs="Arial"/>
                <w:szCs w:val="18"/>
                <w:lang w:val="en-GB"/>
              </w:rPr>
              <w:t>.00</w:t>
            </w:r>
          </w:p>
        </w:tc>
        <w:tc>
          <w:tcPr>
            <w:tcW w:w="1559" w:type="dxa"/>
            <w:shd w:val="clear" w:color="auto" w:fill="FFFFFF"/>
          </w:tcPr>
          <w:p w:rsidR="00174E41" w:rsidRDefault="00174E41" w:rsidP="00CA62CB">
            <w:pPr>
              <w:pStyle w:val="CETBodytext"/>
              <w:ind w:right="-1"/>
              <w:rPr>
                <w:rFonts w:cs="Arial"/>
                <w:szCs w:val="18"/>
                <w:lang w:val="en-GB"/>
              </w:rPr>
            </w:pPr>
            <w:r>
              <w:rPr>
                <w:rFonts w:cs="Arial"/>
                <w:szCs w:val="18"/>
                <w:lang w:val="en-GB"/>
              </w:rPr>
              <w:t xml:space="preserve">4.20(0.18)   55.60       </w:t>
            </w:r>
          </w:p>
          <w:p w:rsidR="00174E41" w:rsidRDefault="00174E41" w:rsidP="00CA62CB">
            <w:pPr>
              <w:pStyle w:val="CETBodytext"/>
              <w:ind w:right="-1"/>
              <w:rPr>
                <w:rFonts w:cs="Arial"/>
                <w:szCs w:val="18"/>
                <w:lang w:val="en-GB"/>
              </w:rPr>
            </w:pPr>
            <w:r>
              <w:rPr>
                <w:rFonts w:cs="Arial"/>
                <w:szCs w:val="18"/>
                <w:lang w:val="en-GB"/>
              </w:rPr>
              <w:t>0.00(0.00)     0.00</w:t>
            </w:r>
          </w:p>
          <w:p w:rsidR="00174E41" w:rsidRDefault="00174E41" w:rsidP="00CA62CB">
            <w:pPr>
              <w:pStyle w:val="CETBodytext"/>
              <w:ind w:right="-1"/>
              <w:rPr>
                <w:rFonts w:cs="Arial"/>
                <w:szCs w:val="18"/>
                <w:lang w:val="en-GB"/>
              </w:rPr>
            </w:pPr>
          </w:p>
          <w:p w:rsidR="00174E41" w:rsidRDefault="00174E41" w:rsidP="00CA62CB">
            <w:pPr>
              <w:pStyle w:val="CETBodytext"/>
              <w:ind w:right="-1"/>
              <w:rPr>
                <w:rFonts w:cs="Arial"/>
                <w:szCs w:val="18"/>
                <w:lang w:val="en-GB"/>
              </w:rPr>
            </w:pPr>
            <w:r>
              <w:rPr>
                <w:rFonts w:cs="Arial"/>
                <w:szCs w:val="18"/>
                <w:lang w:val="en-GB"/>
              </w:rPr>
              <w:t>98.70(4.14) 95.64</w:t>
            </w:r>
          </w:p>
          <w:p w:rsidR="00174E41" w:rsidRDefault="00174E41" w:rsidP="00CA62CB">
            <w:pPr>
              <w:pStyle w:val="CETBodytext"/>
              <w:ind w:right="-1"/>
              <w:rPr>
                <w:rFonts w:cs="Arial"/>
                <w:szCs w:val="18"/>
                <w:lang w:val="en-GB"/>
              </w:rPr>
            </w:pPr>
          </w:p>
          <w:p w:rsidR="00174E41" w:rsidRPr="00B57B36" w:rsidRDefault="00174E41" w:rsidP="00CA62CB">
            <w:pPr>
              <w:pStyle w:val="CETBodytext"/>
              <w:ind w:right="-1"/>
              <w:rPr>
                <w:rFonts w:cs="Arial"/>
                <w:szCs w:val="18"/>
                <w:lang w:val="en-GB"/>
              </w:rPr>
            </w:pPr>
            <w:r>
              <w:rPr>
                <w:rFonts w:cs="Arial"/>
                <w:szCs w:val="18"/>
                <w:lang w:val="en-GB"/>
              </w:rPr>
              <w:t>0.00(0.00)     0.00</w:t>
            </w:r>
          </w:p>
        </w:tc>
        <w:tc>
          <w:tcPr>
            <w:tcW w:w="1276" w:type="dxa"/>
            <w:shd w:val="clear" w:color="auto" w:fill="FFFFFF"/>
          </w:tcPr>
          <w:p w:rsidR="00174E41" w:rsidRDefault="00174E41" w:rsidP="00CA62CB">
            <w:pPr>
              <w:pStyle w:val="CETBodytext"/>
              <w:ind w:right="-1"/>
              <w:rPr>
                <w:rFonts w:cs="Arial"/>
                <w:szCs w:val="18"/>
                <w:lang w:val="en-GB"/>
              </w:rPr>
            </w:pPr>
            <w:r>
              <w:rPr>
                <w:rFonts w:cs="Arial"/>
                <w:szCs w:val="18"/>
                <w:lang w:val="en-GB"/>
              </w:rPr>
              <w:t>0.40(0.02</w:t>
            </w:r>
            <w:proofErr w:type="gramStart"/>
            <w:r>
              <w:rPr>
                <w:rFonts w:cs="Arial"/>
                <w:szCs w:val="18"/>
                <w:lang w:val="en-GB"/>
              </w:rPr>
              <w:t>)  5.26</w:t>
            </w:r>
            <w:proofErr w:type="gramEnd"/>
          </w:p>
          <w:p w:rsidR="00174E41" w:rsidRDefault="00174E41" w:rsidP="00CA62CB">
            <w:pPr>
              <w:pStyle w:val="CETBodytext"/>
              <w:ind w:right="-1"/>
              <w:rPr>
                <w:rFonts w:cs="Arial"/>
                <w:szCs w:val="18"/>
                <w:lang w:val="en-GB"/>
              </w:rPr>
            </w:pPr>
            <w:r>
              <w:rPr>
                <w:rFonts w:cs="Arial"/>
                <w:szCs w:val="18"/>
                <w:lang w:val="en-GB"/>
              </w:rPr>
              <w:t>0.00(0.00</w:t>
            </w:r>
            <w:proofErr w:type="gramStart"/>
            <w:r>
              <w:rPr>
                <w:rFonts w:cs="Arial"/>
                <w:szCs w:val="18"/>
                <w:lang w:val="en-GB"/>
              </w:rPr>
              <w:t>)  0.00</w:t>
            </w:r>
            <w:proofErr w:type="gramEnd"/>
          </w:p>
          <w:p w:rsidR="00174E41" w:rsidRDefault="00174E41" w:rsidP="00CA62CB">
            <w:pPr>
              <w:pStyle w:val="CETBodytext"/>
              <w:ind w:right="-1"/>
              <w:rPr>
                <w:rFonts w:cs="Arial"/>
                <w:szCs w:val="18"/>
                <w:lang w:val="en-GB"/>
              </w:rPr>
            </w:pPr>
          </w:p>
          <w:p w:rsidR="00174E41" w:rsidRDefault="00174E41" w:rsidP="00CA62CB">
            <w:pPr>
              <w:pStyle w:val="CETBodytext"/>
              <w:ind w:right="-1"/>
              <w:rPr>
                <w:rFonts w:cs="Arial"/>
                <w:szCs w:val="18"/>
                <w:lang w:val="en-GB"/>
              </w:rPr>
            </w:pPr>
            <w:r>
              <w:rPr>
                <w:rFonts w:cs="Arial"/>
                <w:szCs w:val="18"/>
                <w:lang w:val="en-GB"/>
              </w:rPr>
              <w:t>1.80(0.08</w:t>
            </w:r>
            <w:proofErr w:type="gramStart"/>
            <w:r>
              <w:rPr>
                <w:rFonts w:cs="Arial"/>
                <w:szCs w:val="18"/>
                <w:lang w:val="en-GB"/>
              </w:rPr>
              <w:t>)  1.74</w:t>
            </w:r>
            <w:proofErr w:type="gramEnd"/>
          </w:p>
          <w:p w:rsidR="00174E41" w:rsidRDefault="00174E41" w:rsidP="00CA62CB">
            <w:pPr>
              <w:pStyle w:val="CETBodytext"/>
              <w:ind w:right="-1"/>
              <w:rPr>
                <w:rFonts w:cs="Arial"/>
                <w:szCs w:val="18"/>
                <w:lang w:val="en-GB"/>
              </w:rPr>
            </w:pPr>
          </w:p>
          <w:p w:rsidR="00174E41" w:rsidRDefault="00174E41" w:rsidP="00CA62CB">
            <w:pPr>
              <w:pStyle w:val="CETBodytext"/>
              <w:ind w:right="-1"/>
              <w:rPr>
                <w:rFonts w:cs="Arial"/>
                <w:szCs w:val="18"/>
                <w:lang w:val="en-GB"/>
              </w:rPr>
            </w:pPr>
            <w:r>
              <w:rPr>
                <w:rFonts w:cs="Arial"/>
                <w:szCs w:val="18"/>
                <w:lang w:val="en-GB"/>
              </w:rPr>
              <w:t>0.00(0.00</w:t>
            </w:r>
            <w:proofErr w:type="gramStart"/>
            <w:r>
              <w:rPr>
                <w:rFonts w:cs="Arial"/>
                <w:szCs w:val="18"/>
                <w:lang w:val="en-GB"/>
              </w:rPr>
              <w:t>)  0</w:t>
            </w:r>
            <w:proofErr w:type="gramEnd"/>
            <w:r>
              <w:rPr>
                <w:rFonts w:cs="Arial"/>
                <w:szCs w:val="18"/>
                <w:lang w:val="en-GB"/>
              </w:rPr>
              <w:t>.00</w:t>
            </w:r>
          </w:p>
        </w:tc>
      </w:tr>
      <w:tr w:rsidR="00174E41" w:rsidRPr="00B57B36" w:rsidTr="00CA62CB">
        <w:tc>
          <w:tcPr>
            <w:tcW w:w="993" w:type="dxa"/>
            <w:shd w:val="clear" w:color="auto" w:fill="FFFFFF"/>
          </w:tcPr>
          <w:p w:rsidR="00174E41" w:rsidRPr="00B57B36" w:rsidRDefault="00174E41" w:rsidP="00CA62CB">
            <w:pPr>
              <w:pStyle w:val="CETBodytext"/>
              <w:ind w:right="-1"/>
              <w:rPr>
                <w:rFonts w:cs="Arial"/>
                <w:szCs w:val="18"/>
                <w:lang w:val="en-GB"/>
              </w:rPr>
            </w:pPr>
          </w:p>
        </w:tc>
        <w:tc>
          <w:tcPr>
            <w:tcW w:w="1559" w:type="dxa"/>
            <w:shd w:val="clear" w:color="auto" w:fill="FFFFFF"/>
          </w:tcPr>
          <w:p w:rsidR="00174E41" w:rsidRPr="00B57B36" w:rsidRDefault="00174E41" w:rsidP="00CA62CB">
            <w:pPr>
              <w:pStyle w:val="CETBodytext"/>
              <w:ind w:right="-1"/>
              <w:rPr>
                <w:rFonts w:cs="Arial"/>
                <w:szCs w:val="18"/>
                <w:lang w:val="en-GB"/>
              </w:rPr>
            </w:pPr>
          </w:p>
        </w:tc>
        <w:tc>
          <w:tcPr>
            <w:tcW w:w="1559" w:type="dxa"/>
            <w:shd w:val="clear" w:color="auto" w:fill="FFFFFF"/>
          </w:tcPr>
          <w:p w:rsidR="00174E41" w:rsidRPr="00B57B36" w:rsidRDefault="00174E41" w:rsidP="00CA62CB">
            <w:pPr>
              <w:pStyle w:val="CETBodytext"/>
              <w:ind w:right="-1"/>
              <w:rPr>
                <w:rFonts w:cs="Arial"/>
                <w:szCs w:val="18"/>
                <w:lang w:val="en-GB"/>
              </w:rPr>
            </w:pPr>
          </w:p>
        </w:tc>
        <w:tc>
          <w:tcPr>
            <w:tcW w:w="1701" w:type="dxa"/>
            <w:shd w:val="clear" w:color="auto" w:fill="FFFFFF"/>
          </w:tcPr>
          <w:p w:rsidR="00174E41" w:rsidRPr="00B57B36" w:rsidRDefault="00174E41" w:rsidP="00CA62CB">
            <w:pPr>
              <w:pStyle w:val="CETBodytext"/>
              <w:ind w:right="-1"/>
              <w:rPr>
                <w:rFonts w:cs="Arial"/>
                <w:szCs w:val="18"/>
                <w:lang w:val="en-GB"/>
              </w:rPr>
            </w:pPr>
          </w:p>
        </w:tc>
        <w:tc>
          <w:tcPr>
            <w:tcW w:w="1559" w:type="dxa"/>
            <w:shd w:val="clear" w:color="auto" w:fill="FFFFFF"/>
          </w:tcPr>
          <w:p w:rsidR="00174E41" w:rsidRPr="00B57B36" w:rsidRDefault="00174E41" w:rsidP="00CA62CB">
            <w:pPr>
              <w:pStyle w:val="CETBodytext"/>
              <w:ind w:right="-1"/>
              <w:rPr>
                <w:rFonts w:cs="Arial"/>
                <w:szCs w:val="18"/>
                <w:lang w:val="en-GB"/>
              </w:rPr>
            </w:pPr>
          </w:p>
        </w:tc>
        <w:tc>
          <w:tcPr>
            <w:tcW w:w="1276" w:type="dxa"/>
            <w:shd w:val="clear" w:color="auto" w:fill="FFFFFF"/>
          </w:tcPr>
          <w:p w:rsidR="00174E41" w:rsidRPr="00B57B36" w:rsidRDefault="00174E41" w:rsidP="00CA62CB">
            <w:pPr>
              <w:pStyle w:val="CETBodytext"/>
              <w:ind w:right="-1"/>
              <w:rPr>
                <w:rFonts w:cs="Arial"/>
                <w:szCs w:val="18"/>
                <w:lang w:val="en-GB"/>
              </w:rPr>
            </w:pPr>
          </w:p>
        </w:tc>
      </w:tr>
    </w:tbl>
    <w:p w:rsidR="00174E41" w:rsidRDefault="00174E41" w:rsidP="00174E41">
      <w:pPr>
        <w:pStyle w:val="CETBodytext"/>
      </w:pPr>
    </w:p>
    <w:p w:rsidR="00174E41" w:rsidRPr="009B1C39" w:rsidRDefault="00174E41" w:rsidP="00174E41">
      <w:pPr>
        <w:pStyle w:val="CETBodytext"/>
      </w:pPr>
      <w:r>
        <w:t>Table</w:t>
      </w:r>
      <w:r w:rsidRPr="009B1C39">
        <w:t xml:space="preserve"> 1 </w:t>
      </w:r>
      <w:r>
        <w:t>also shows that 96% of biomass energy</w:t>
      </w:r>
      <w:r w:rsidRPr="009B1C39">
        <w:t xml:space="preserve"> is utilized by the household</w:t>
      </w:r>
      <w:r>
        <w:t xml:space="preserve"> sector in Nigeria. Saeed et al. (2015) reported that</w:t>
      </w:r>
      <w:r w:rsidRPr="009B1C39">
        <w:t xml:space="preserve"> the household sector in Pakistan uses 86% of the country’s total biomass energy. </w:t>
      </w:r>
      <w:r>
        <w:t>Thus, h</w:t>
      </w:r>
      <w:r w:rsidRPr="009B1C39">
        <w:t xml:space="preserve">ouseholds in Nigeria use a larger share of the nation’s total biomass energy than households in Pakistan. </w:t>
      </w:r>
      <w:r>
        <w:t xml:space="preserve">Both countries have a large rural population with no access to </w:t>
      </w:r>
      <w:r w:rsidR="00E03BBA">
        <w:t>electricity but</w:t>
      </w:r>
      <w:bookmarkStart w:id="2" w:name="_GoBack"/>
      <w:bookmarkEnd w:id="2"/>
      <w:r>
        <w:t xml:space="preserve"> have agricultural waste that could be used to generate electricity instead of being burnt in the fields.</w:t>
      </w:r>
    </w:p>
    <w:p w:rsidR="00174E41" w:rsidRDefault="00174E41" w:rsidP="00174E41">
      <w:pPr>
        <w:pStyle w:val="CETBodytext"/>
      </w:pPr>
      <w:r w:rsidRPr="009B1C39">
        <w:t>The policy of the Federal Government of Nigeria on the exploitation of forest resources requires that for every forest tree that is cut d</w:t>
      </w:r>
      <w:r>
        <w:t>own, two trees must be planted, t</w:t>
      </w:r>
      <w:r w:rsidRPr="009B1C39">
        <w:t xml:space="preserve">he </w:t>
      </w:r>
      <w:r>
        <w:t>C</w:t>
      </w:r>
      <w:r w:rsidRPr="009B1C39">
        <w:t>ut-one-plant-two policy (</w:t>
      </w:r>
      <w:proofErr w:type="spellStart"/>
      <w:r w:rsidRPr="009B1C39">
        <w:t>Ogunesan</w:t>
      </w:r>
      <w:proofErr w:type="spellEnd"/>
      <w:r w:rsidRPr="009B1C39">
        <w:t>, 2017).</w:t>
      </w:r>
    </w:p>
    <w:p w:rsidR="00174E41" w:rsidRDefault="00174E41" w:rsidP="00174E41">
      <w:pPr>
        <w:pStyle w:val="CETBodytext"/>
      </w:pPr>
      <w:r>
        <w:t>Table 1 above shows</w:t>
      </w:r>
      <w:r w:rsidRPr="009B1C39">
        <w:t xml:space="preserve"> that 8.40 </w:t>
      </w:r>
      <w:proofErr w:type="spellStart"/>
      <w:r w:rsidRPr="009B1C39">
        <w:t>Mtoe</w:t>
      </w:r>
      <w:proofErr w:type="spellEnd"/>
      <w:r w:rsidRPr="009B1C39">
        <w:t xml:space="preserve"> of total oil products (73% of oil products in 2015) was used in the transport secto</w:t>
      </w:r>
      <w:r>
        <w:t>r in Nigeria. Also,</w:t>
      </w:r>
      <w:r w:rsidRPr="009B1C39">
        <w:t xml:space="preserve"> 2.70 </w:t>
      </w:r>
      <w:proofErr w:type="spellStart"/>
      <w:r w:rsidRPr="009B1C39">
        <w:t>Mt</w:t>
      </w:r>
      <w:r>
        <w:t>oe</w:t>
      </w:r>
      <w:proofErr w:type="spellEnd"/>
      <w:r>
        <w:t xml:space="preserve"> (23.48%) was used in </w:t>
      </w:r>
      <w:r w:rsidRPr="009B1C39">
        <w:t>diesel generators for electricity in small and large-scale businesses, organizations and households</w:t>
      </w:r>
      <w:r>
        <w:t>.</w:t>
      </w:r>
    </w:p>
    <w:p w:rsidR="00174E41" w:rsidRDefault="00174E41" w:rsidP="00174E41">
      <w:pPr>
        <w:pStyle w:val="CETheadingx"/>
      </w:pPr>
      <w:r>
        <w:t>Previous estimates of Nigeria’s bioenergy potential</w:t>
      </w:r>
    </w:p>
    <w:p w:rsidR="00174E41" w:rsidRDefault="00174E41" w:rsidP="00174E41">
      <w:pPr>
        <w:pStyle w:val="CETBodytext"/>
      </w:pPr>
      <w:r>
        <w:t xml:space="preserve">Previous estimates of the bioenergy potential in Nigeria </w:t>
      </w:r>
      <w:r w:rsidR="003D4AA5">
        <w:t>are</w:t>
      </w:r>
      <w:r>
        <w:t xml:space="preserve"> given in Table 2, which shows relatively few previous quantitative investigations of the bioenergy potential in Nigeria. Furthermore, the available estimates are not current because they were based on 2010 production data. Therefore, there is a need to estimate the biomass and bioenergy potential in Nigeria using recent production biomass data. </w:t>
      </w:r>
    </w:p>
    <w:p w:rsidR="00174E41" w:rsidRDefault="00174E41" w:rsidP="00174E41">
      <w:pPr>
        <w:pStyle w:val="CETTabletitle"/>
      </w:pPr>
      <w:r>
        <w:t>Table 2: Previous estimate of bioenergy potential in Nigeria (</w:t>
      </w:r>
      <w:proofErr w:type="spellStart"/>
      <w:r>
        <w:rPr>
          <w:rFonts w:cs="Arial"/>
          <w:szCs w:val="18"/>
        </w:rPr>
        <w:t>Simonyan</w:t>
      </w:r>
      <w:proofErr w:type="spellEnd"/>
      <w:r>
        <w:rPr>
          <w:rFonts w:cs="Arial"/>
          <w:szCs w:val="18"/>
        </w:rPr>
        <w:t xml:space="preserve"> and </w:t>
      </w:r>
      <w:proofErr w:type="spellStart"/>
      <w:r>
        <w:rPr>
          <w:rFonts w:cs="Arial"/>
          <w:szCs w:val="18"/>
        </w:rPr>
        <w:t>Fasina</w:t>
      </w:r>
      <w:proofErr w:type="spellEnd"/>
      <w:r>
        <w:rPr>
          <w:rFonts w:cs="Arial"/>
          <w:szCs w:val="18"/>
        </w:rPr>
        <w:t>, 2013)</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843"/>
        <w:gridCol w:w="2387"/>
        <w:gridCol w:w="2520"/>
        <w:gridCol w:w="1170"/>
      </w:tblGrid>
      <w:tr w:rsidR="00174E41" w:rsidTr="00CA62CB">
        <w:tc>
          <w:tcPr>
            <w:tcW w:w="1843" w:type="dxa"/>
            <w:tcBorders>
              <w:top w:val="single" w:sz="12" w:space="0" w:color="008000"/>
              <w:left w:val="nil"/>
              <w:bottom w:val="single" w:sz="6" w:space="0" w:color="008000"/>
              <w:right w:val="nil"/>
            </w:tcBorders>
            <w:shd w:val="clear" w:color="auto" w:fill="FFFFFF"/>
            <w:hideMark/>
          </w:tcPr>
          <w:p w:rsidR="00174E41" w:rsidRDefault="00174E41" w:rsidP="00CA62CB">
            <w:pPr>
              <w:pStyle w:val="CETBodytext"/>
              <w:rPr>
                <w:lang w:val="en-GB"/>
              </w:rPr>
            </w:pPr>
            <w:r>
              <w:rPr>
                <w:lang w:val="en-GB"/>
              </w:rPr>
              <w:t xml:space="preserve">Biomass resource </w:t>
            </w:r>
          </w:p>
        </w:tc>
        <w:tc>
          <w:tcPr>
            <w:tcW w:w="2387" w:type="dxa"/>
            <w:tcBorders>
              <w:top w:val="single" w:sz="12" w:space="0" w:color="008000"/>
              <w:left w:val="nil"/>
              <w:bottom w:val="single" w:sz="6" w:space="0" w:color="008000"/>
              <w:right w:val="nil"/>
            </w:tcBorders>
            <w:shd w:val="clear" w:color="auto" w:fill="FFFFFF"/>
            <w:hideMark/>
          </w:tcPr>
          <w:p w:rsidR="00174E41" w:rsidRDefault="00174E41" w:rsidP="00CA62CB">
            <w:pPr>
              <w:pStyle w:val="CETBodytext"/>
              <w:rPr>
                <w:lang w:val="en-GB"/>
              </w:rPr>
            </w:pPr>
            <w:r>
              <w:rPr>
                <w:lang w:val="en-GB"/>
              </w:rPr>
              <w:t>Biomass weight (billion kg)</w:t>
            </w:r>
          </w:p>
        </w:tc>
        <w:tc>
          <w:tcPr>
            <w:tcW w:w="2520" w:type="dxa"/>
            <w:tcBorders>
              <w:top w:val="single" w:sz="12" w:space="0" w:color="008000"/>
              <w:left w:val="nil"/>
              <w:bottom w:val="single" w:sz="6" w:space="0" w:color="008000"/>
              <w:right w:val="nil"/>
            </w:tcBorders>
            <w:shd w:val="clear" w:color="auto" w:fill="FFFFFF"/>
            <w:hideMark/>
          </w:tcPr>
          <w:p w:rsidR="00174E41" w:rsidRDefault="00174E41" w:rsidP="00CA62CB">
            <w:pPr>
              <w:pStyle w:val="CETBodytext"/>
              <w:rPr>
                <w:lang w:val="en-GB"/>
              </w:rPr>
            </w:pPr>
            <w:r>
              <w:rPr>
                <w:lang w:val="en-GB"/>
              </w:rPr>
              <w:t>Potential energy (GJ)</w:t>
            </w:r>
          </w:p>
        </w:tc>
        <w:tc>
          <w:tcPr>
            <w:tcW w:w="1170" w:type="dxa"/>
            <w:tcBorders>
              <w:top w:val="single" w:sz="12" w:space="0" w:color="008000"/>
              <w:left w:val="nil"/>
              <w:bottom w:val="single" w:sz="6" w:space="0" w:color="008000"/>
              <w:right w:val="nil"/>
            </w:tcBorders>
            <w:shd w:val="clear" w:color="auto" w:fill="FFFFFF"/>
          </w:tcPr>
          <w:p w:rsidR="00174E41" w:rsidRDefault="00174E41" w:rsidP="00CA62CB">
            <w:pPr>
              <w:pStyle w:val="CETBodytext"/>
              <w:ind w:right="-1"/>
              <w:rPr>
                <w:rFonts w:cs="Arial"/>
                <w:szCs w:val="18"/>
                <w:lang w:val="en-GB"/>
              </w:rPr>
            </w:pPr>
            <w:r>
              <w:rPr>
                <w:rFonts w:cs="Arial"/>
                <w:szCs w:val="18"/>
                <w:lang w:val="en-GB"/>
              </w:rPr>
              <w:t>Production data</w:t>
            </w:r>
          </w:p>
        </w:tc>
      </w:tr>
      <w:tr w:rsidR="00174E41" w:rsidTr="00CA62CB">
        <w:tc>
          <w:tcPr>
            <w:tcW w:w="1843" w:type="dxa"/>
            <w:tcBorders>
              <w:top w:val="nil"/>
              <w:left w:val="nil"/>
              <w:bottom w:val="nil"/>
              <w:right w:val="nil"/>
            </w:tcBorders>
            <w:shd w:val="clear" w:color="auto" w:fill="FFFFFF"/>
            <w:hideMark/>
          </w:tcPr>
          <w:p w:rsidR="00174E41" w:rsidRDefault="00174E41" w:rsidP="00CA62CB">
            <w:pPr>
              <w:pStyle w:val="CETBodytext"/>
              <w:rPr>
                <w:lang w:val="en-GB"/>
              </w:rPr>
            </w:pPr>
            <w:r>
              <w:rPr>
                <w:lang w:val="en-GB"/>
              </w:rPr>
              <w:t>Agricultural crops</w:t>
            </w:r>
          </w:p>
          <w:p w:rsidR="00174E41" w:rsidRDefault="00174E41" w:rsidP="00CA62CB">
            <w:pPr>
              <w:pStyle w:val="CETBodytext"/>
              <w:rPr>
                <w:lang w:val="en-GB"/>
              </w:rPr>
            </w:pPr>
            <w:r>
              <w:rPr>
                <w:lang w:val="en-GB"/>
              </w:rPr>
              <w:t>Plantation crops</w:t>
            </w:r>
          </w:p>
          <w:p w:rsidR="00174E41" w:rsidRDefault="00174E41" w:rsidP="00CA62CB">
            <w:pPr>
              <w:pStyle w:val="CETBodytext"/>
              <w:rPr>
                <w:lang w:val="en-GB"/>
              </w:rPr>
            </w:pPr>
            <w:r>
              <w:rPr>
                <w:lang w:val="en-GB"/>
              </w:rPr>
              <w:t>Forest residues</w:t>
            </w:r>
          </w:p>
          <w:p w:rsidR="00174E41" w:rsidRDefault="00174E41" w:rsidP="00CA62CB">
            <w:pPr>
              <w:pStyle w:val="CETBodytext"/>
              <w:rPr>
                <w:lang w:val="en-GB"/>
              </w:rPr>
            </w:pPr>
            <w:r>
              <w:rPr>
                <w:lang w:val="en-GB"/>
              </w:rPr>
              <w:t>Municipal solid waste</w:t>
            </w:r>
          </w:p>
          <w:p w:rsidR="00174E41" w:rsidRDefault="00174E41" w:rsidP="00CA62CB">
            <w:pPr>
              <w:pStyle w:val="CETBodytext"/>
              <w:rPr>
                <w:lang w:val="en-GB"/>
              </w:rPr>
            </w:pPr>
            <w:r>
              <w:rPr>
                <w:lang w:val="en-GB"/>
              </w:rPr>
              <w:t>Animal waste</w:t>
            </w:r>
          </w:p>
          <w:p w:rsidR="00174E41" w:rsidRDefault="00174E41" w:rsidP="00CA62CB">
            <w:pPr>
              <w:pStyle w:val="CETBodytext"/>
              <w:rPr>
                <w:lang w:val="en-GB"/>
              </w:rPr>
            </w:pPr>
            <w:r>
              <w:rPr>
                <w:lang w:val="en-GB"/>
              </w:rPr>
              <w:lastRenderedPageBreak/>
              <w:t>Human waste</w:t>
            </w:r>
          </w:p>
          <w:p w:rsidR="00174E41" w:rsidRDefault="00174E41" w:rsidP="00CA62CB">
            <w:pPr>
              <w:pStyle w:val="CETBodytext"/>
              <w:rPr>
                <w:lang w:val="en-GB"/>
              </w:rPr>
            </w:pPr>
            <w:r>
              <w:rPr>
                <w:lang w:val="en-GB"/>
              </w:rPr>
              <w:t>Total:</w:t>
            </w:r>
          </w:p>
        </w:tc>
        <w:tc>
          <w:tcPr>
            <w:tcW w:w="2387" w:type="dxa"/>
            <w:tcBorders>
              <w:top w:val="nil"/>
              <w:left w:val="nil"/>
              <w:bottom w:val="nil"/>
              <w:right w:val="nil"/>
            </w:tcBorders>
            <w:shd w:val="clear" w:color="auto" w:fill="FFFFFF"/>
          </w:tcPr>
          <w:p w:rsidR="00174E41" w:rsidRDefault="00174E41" w:rsidP="00CA62CB">
            <w:pPr>
              <w:pStyle w:val="CETBodytext"/>
              <w:rPr>
                <w:lang w:val="en-GB"/>
              </w:rPr>
            </w:pPr>
            <w:r>
              <w:rPr>
                <w:lang w:val="en-GB"/>
              </w:rPr>
              <w:lastRenderedPageBreak/>
              <w:t>145.62</w:t>
            </w:r>
          </w:p>
          <w:p w:rsidR="00174E41" w:rsidRDefault="00174E41" w:rsidP="00CA62CB">
            <w:pPr>
              <w:pStyle w:val="CETBodytext"/>
              <w:rPr>
                <w:lang w:val="en-GB"/>
              </w:rPr>
            </w:pPr>
            <w:r>
              <w:rPr>
                <w:lang w:val="en-GB"/>
              </w:rPr>
              <w:t>4.47</w:t>
            </w:r>
          </w:p>
          <w:p w:rsidR="00174E41" w:rsidRDefault="00174E41" w:rsidP="00CA62CB">
            <w:pPr>
              <w:pStyle w:val="CETBodytext"/>
              <w:rPr>
                <w:lang w:val="en-GB"/>
              </w:rPr>
            </w:pPr>
            <w:r>
              <w:rPr>
                <w:lang w:val="en-GB"/>
              </w:rPr>
              <w:t>-</w:t>
            </w:r>
          </w:p>
          <w:p w:rsidR="00174E41" w:rsidRDefault="00174E41" w:rsidP="00CA62CB">
            <w:pPr>
              <w:pStyle w:val="CETBodytext"/>
              <w:rPr>
                <w:lang w:val="en-GB"/>
              </w:rPr>
            </w:pPr>
            <w:r>
              <w:rPr>
                <w:lang w:val="en-GB"/>
              </w:rPr>
              <w:t>3.17</w:t>
            </w:r>
          </w:p>
          <w:p w:rsidR="00174E41" w:rsidRDefault="00174E41" w:rsidP="00CA62CB">
            <w:pPr>
              <w:pStyle w:val="CETBodytext"/>
              <w:rPr>
                <w:lang w:val="en-GB"/>
              </w:rPr>
            </w:pPr>
            <w:r>
              <w:rPr>
                <w:lang w:val="en-GB"/>
              </w:rPr>
              <w:t>15.76</w:t>
            </w:r>
          </w:p>
          <w:p w:rsidR="00174E41" w:rsidRDefault="00174E41" w:rsidP="00CA62CB">
            <w:pPr>
              <w:pStyle w:val="CETBodytext"/>
              <w:rPr>
                <w:lang w:val="en-GB"/>
              </w:rPr>
            </w:pPr>
            <w:r>
              <w:rPr>
                <w:lang w:val="en-GB"/>
              </w:rPr>
              <w:lastRenderedPageBreak/>
              <w:t>2.59</w:t>
            </w:r>
          </w:p>
        </w:tc>
        <w:tc>
          <w:tcPr>
            <w:tcW w:w="2520" w:type="dxa"/>
            <w:tcBorders>
              <w:top w:val="nil"/>
              <w:left w:val="nil"/>
              <w:bottom w:val="nil"/>
              <w:right w:val="nil"/>
            </w:tcBorders>
            <w:shd w:val="clear" w:color="auto" w:fill="FFFFFF"/>
          </w:tcPr>
          <w:p w:rsidR="00174E41" w:rsidRDefault="00174E41" w:rsidP="00CA62CB">
            <w:pPr>
              <w:pStyle w:val="CETBodytext"/>
              <w:rPr>
                <w:vertAlign w:val="superscript"/>
                <w:lang w:val="en-GB"/>
              </w:rPr>
            </w:pPr>
            <w:r>
              <w:rPr>
                <w:lang w:val="en-GB"/>
              </w:rPr>
              <w:lastRenderedPageBreak/>
              <w:t>1,958.94 x 10</w:t>
            </w:r>
            <w:r>
              <w:rPr>
                <w:vertAlign w:val="superscript"/>
                <w:lang w:val="en-GB"/>
              </w:rPr>
              <w:t>6</w:t>
            </w:r>
          </w:p>
          <w:p w:rsidR="00174E41" w:rsidRDefault="00174E41" w:rsidP="00CA62CB">
            <w:pPr>
              <w:pStyle w:val="CETBodytext"/>
              <w:rPr>
                <w:vertAlign w:val="superscript"/>
                <w:lang w:val="en-GB"/>
              </w:rPr>
            </w:pPr>
            <w:r>
              <w:rPr>
                <w:lang w:val="en-GB"/>
              </w:rPr>
              <w:t>54.60 x 10</w:t>
            </w:r>
            <w:r>
              <w:rPr>
                <w:vertAlign w:val="superscript"/>
                <w:lang w:val="en-GB"/>
              </w:rPr>
              <w:t>6</w:t>
            </w:r>
          </w:p>
          <w:p w:rsidR="00174E41" w:rsidRDefault="00174E41" w:rsidP="00CA62CB">
            <w:pPr>
              <w:pStyle w:val="CETBodytext"/>
              <w:rPr>
                <w:lang w:val="en-GB"/>
              </w:rPr>
            </w:pPr>
            <w:r>
              <w:rPr>
                <w:lang w:val="en-GB"/>
              </w:rPr>
              <w:t>0.02</w:t>
            </w:r>
          </w:p>
          <w:p w:rsidR="00174E41" w:rsidRDefault="00174E41" w:rsidP="00CA62CB">
            <w:pPr>
              <w:pStyle w:val="CETBodytext"/>
              <w:rPr>
                <w:lang w:val="en-GB"/>
              </w:rPr>
            </w:pPr>
            <w:r>
              <w:rPr>
                <w:lang w:val="en-GB"/>
              </w:rPr>
              <w:t>186.33</w:t>
            </w:r>
          </w:p>
          <w:p w:rsidR="00174E41" w:rsidRDefault="00174E41" w:rsidP="00CA62CB">
            <w:pPr>
              <w:pStyle w:val="CETBodytext"/>
              <w:rPr>
                <w:lang w:val="en-GB"/>
              </w:rPr>
            </w:pPr>
            <w:r>
              <w:rPr>
                <w:lang w:val="en-GB"/>
              </w:rPr>
              <w:t>29.25</w:t>
            </w:r>
          </w:p>
          <w:p w:rsidR="00174E41" w:rsidRDefault="00174E41" w:rsidP="00CA62CB">
            <w:pPr>
              <w:pStyle w:val="CETBodytext"/>
              <w:rPr>
                <w:lang w:val="en-GB"/>
              </w:rPr>
            </w:pPr>
            <w:r>
              <w:rPr>
                <w:lang w:val="en-GB"/>
              </w:rPr>
              <w:lastRenderedPageBreak/>
              <w:t>8.13</w:t>
            </w:r>
          </w:p>
          <w:p w:rsidR="00174E41" w:rsidRPr="00235248" w:rsidRDefault="00174E41" w:rsidP="00CA62CB">
            <w:pPr>
              <w:pStyle w:val="CETBodytext"/>
              <w:rPr>
                <w:lang w:val="en-GB"/>
              </w:rPr>
            </w:pPr>
            <w:r>
              <w:rPr>
                <w:lang w:val="en-GB"/>
              </w:rPr>
              <w:t>2,013.54 x 10</w:t>
            </w:r>
            <w:r>
              <w:rPr>
                <w:vertAlign w:val="superscript"/>
                <w:lang w:val="en-GB"/>
              </w:rPr>
              <w:t>6</w:t>
            </w:r>
            <w:r>
              <w:rPr>
                <w:lang w:val="en-GB"/>
              </w:rPr>
              <w:t xml:space="preserve"> (48.06 </w:t>
            </w:r>
            <w:proofErr w:type="spellStart"/>
            <w:r>
              <w:rPr>
                <w:lang w:val="en-GB"/>
              </w:rPr>
              <w:t>Mtoe</w:t>
            </w:r>
            <w:proofErr w:type="spellEnd"/>
            <w:r>
              <w:rPr>
                <w:lang w:val="en-GB"/>
              </w:rPr>
              <w:t>)</w:t>
            </w:r>
          </w:p>
        </w:tc>
        <w:tc>
          <w:tcPr>
            <w:tcW w:w="1170" w:type="dxa"/>
            <w:tcBorders>
              <w:top w:val="nil"/>
              <w:left w:val="nil"/>
              <w:bottom w:val="nil"/>
              <w:right w:val="nil"/>
            </w:tcBorders>
            <w:shd w:val="clear" w:color="auto" w:fill="FFFFFF"/>
          </w:tcPr>
          <w:p w:rsidR="00174E41" w:rsidRDefault="00174E41" w:rsidP="00CA62CB">
            <w:pPr>
              <w:pStyle w:val="CETBodytext"/>
              <w:ind w:right="-1"/>
              <w:rPr>
                <w:rFonts w:cs="Arial"/>
                <w:szCs w:val="18"/>
                <w:lang w:val="en-GB"/>
              </w:rPr>
            </w:pPr>
            <w:r>
              <w:rPr>
                <w:rFonts w:cs="Arial"/>
                <w:szCs w:val="18"/>
                <w:lang w:val="en-GB"/>
              </w:rPr>
              <w:lastRenderedPageBreak/>
              <w:t>2010</w:t>
            </w:r>
          </w:p>
          <w:p w:rsidR="00174E41" w:rsidRDefault="00174E41" w:rsidP="00CA62CB">
            <w:pPr>
              <w:pStyle w:val="CETBodytext"/>
              <w:ind w:right="-1"/>
              <w:rPr>
                <w:rFonts w:cs="Arial"/>
                <w:szCs w:val="18"/>
                <w:lang w:val="en-GB"/>
              </w:rPr>
            </w:pPr>
            <w:r>
              <w:rPr>
                <w:rFonts w:cs="Arial"/>
                <w:szCs w:val="18"/>
                <w:lang w:val="en-GB"/>
              </w:rPr>
              <w:t>2010</w:t>
            </w:r>
          </w:p>
          <w:p w:rsidR="00174E41" w:rsidRDefault="00174E41" w:rsidP="00CA62CB">
            <w:pPr>
              <w:pStyle w:val="CETBodytext"/>
              <w:ind w:right="-1"/>
              <w:rPr>
                <w:rFonts w:cs="Arial"/>
                <w:szCs w:val="18"/>
                <w:lang w:val="en-GB"/>
              </w:rPr>
            </w:pPr>
            <w:r>
              <w:rPr>
                <w:rFonts w:cs="Arial"/>
                <w:szCs w:val="18"/>
                <w:lang w:val="en-GB"/>
              </w:rPr>
              <w:t>2010</w:t>
            </w:r>
          </w:p>
          <w:p w:rsidR="00174E41" w:rsidRDefault="00174E41" w:rsidP="00CA62CB">
            <w:pPr>
              <w:pStyle w:val="CETBodytext"/>
              <w:ind w:right="-1"/>
              <w:rPr>
                <w:rFonts w:cs="Arial"/>
                <w:szCs w:val="18"/>
                <w:lang w:val="en-GB"/>
              </w:rPr>
            </w:pPr>
            <w:r>
              <w:rPr>
                <w:rFonts w:cs="Arial"/>
                <w:szCs w:val="18"/>
                <w:lang w:val="en-GB"/>
              </w:rPr>
              <w:t>2010</w:t>
            </w:r>
          </w:p>
          <w:p w:rsidR="00174E41" w:rsidRDefault="00174E41" w:rsidP="00CA62CB">
            <w:pPr>
              <w:pStyle w:val="CETBodytext"/>
              <w:ind w:right="-1"/>
              <w:rPr>
                <w:rFonts w:cs="Arial"/>
                <w:szCs w:val="18"/>
                <w:lang w:val="en-GB"/>
              </w:rPr>
            </w:pPr>
            <w:r>
              <w:rPr>
                <w:rFonts w:cs="Arial"/>
                <w:szCs w:val="18"/>
                <w:lang w:val="en-GB"/>
              </w:rPr>
              <w:t>2010</w:t>
            </w:r>
          </w:p>
          <w:p w:rsidR="00174E41" w:rsidRDefault="00174E41" w:rsidP="00CA62CB">
            <w:pPr>
              <w:pStyle w:val="CETBodytext"/>
              <w:ind w:right="-1"/>
              <w:rPr>
                <w:rFonts w:cs="Arial"/>
                <w:szCs w:val="18"/>
                <w:lang w:val="en-GB"/>
              </w:rPr>
            </w:pPr>
            <w:r>
              <w:rPr>
                <w:rFonts w:cs="Arial"/>
                <w:szCs w:val="18"/>
                <w:lang w:val="en-GB"/>
              </w:rPr>
              <w:lastRenderedPageBreak/>
              <w:t>2010</w:t>
            </w:r>
          </w:p>
        </w:tc>
      </w:tr>
      <w:tr w:rsidR="00174E41" w:rsidTr="00CA62CB">
        <w:tc>
          <w:tcPr>
            <w:tcW w:w="1843" w:type="dxa"/>
            <w:tcBorders>
              <w:top w:val="nil"/>
              <w:left w:val="nil"/>
              <w:bottom w:val="single" w:sz="12" w:space="0" w:color="008000"/>
              <w:right w:val="nil"/>
            </w:tcBorders>
            <w:shd w:val="clear" w:color="auto" w:fill="FFFFFF"/>
          </w:tcPr>
          <w:p w:rsidR="00174E41" w:rsidRDefault="00174E41" w:rsidP="00CA62CB">
            <w:pPr>
              <w:pStyle w:val="CETBodytext"/>
              <w:ind w:right="-1"/>
              <w:rPr>
                <w:rFonts w:cs="Arial"/>
                <w:szCs w:val="18"/>
                <w:lang w:val="en-GB"/>
              </w:rPr>
            </w:pPr>
          </w:p>
        </w:tc>
        <w:tc>
          <w:tcPr>
            <w:tcW w:w="2387" w:type="dxa"/>
            <w:tcBorders>
              <w:top w:val="nil"/>
              <w:left w:val="nil"/>
              <w:bottom w:val="single" w:sz="12" w:space="0" w:color="008000"/>
              <w:right w:val="nil"/>
            </w:tcBorders>
            <w:shd w:val="clear" w:color="auto" w:fill="FFFFFF"/>
          </w:tcPr>
          <w:p w:rsidR="00174E41" w:rsidRDefault="00174E41" w:rsidP="00CA62CB">
            <w:pPr>
              <w:pStyle w:val="CETBodytext"/>
              <w:ind w:right="-1"/>
              <w:rPr>
                <w:rFonts w:cs="Arial"/>
                <w:szCs w:val="18"/>
                <w:lang w:val="en-GB"/>
              </w:rPr>
            </w:pPr>
          </w:p>
        </w:tc>
        <w:tc>
          <w:tcPr>
            <w:tcW w:w="2520" w:type="dxa"/>
            <w:tcBorders>
              <w:top w:val="nil"/>
              <w:left w:val="nil"/>
              <w:bottom w:val="single" w:sz="12" w:space="0" w:color="008000"/>
              <w:right w:val="nil"/>
            </w:tcBorders>
            <w:shd w:val="clear" w:color="auto" w:fill="FFFFFF"/>
          </w:tcPr>
          <w:p w:rsidR="00174E41" w:rsidRDefault="00174E41" w:rsidP="00CA62CB">
            <w:pPr>
              <w:pStyle w:val="CETBodytext"/>
              <w:ind w:right="-1"/>
              <w:rPr>
                <w:rFonts w:cs="Arial"/>
                <w:szCs w:val="18"/>
                <w:lang w:val="en-GB"/>
              </w:rPr>
            </w:pPr>
          </w:p>
        </w:tc>
        <w:tc>
          <w:tcPr>
            <w:tcW w:w="1170" w:type="dxa"/>
            <w:tcBorders>
              <w:top w:val="nil"/>
              <w:left w:val="nil"/>
              <w:bottom w:val="single" w:sz="12" w:space="0" w:color="008000"/>
              <w:right w:val="nil"/>
            </w:tcBorders>
            <w:shd w:val="clear" w:color="auto" w:fill="FFFFFF"/>
          </w:tcPr>
          <w:p w:rsidR="00174E41" w:rsidRDefault="00174E41" w:rsidP="00CA62CB">
            <w:pPr>
              <w:pStyle w:val="CETBodytext"/>
              <w:ind w:right="-1"/>
              <w:rPr>
                <w:rFonts w:cs="Arial"/>
                <w:szCs w:val="18"/>
                <w:lang w:val="en-GB"/>
              </w:rPr>
            </w:pPr>
          </w:p>
        </w:tc>
      </w:tr>
    </w:tbl>
    <w:p w:rsidR="00174E41" w:rsidRDefault="00174E41" w:rsidP="00174E41">
      <w:pPr>
        <w:pStyle w:val="CETBodytext"/>
      </w:pPr>
    </w:p>
    <w:p w:rsidR="00174E41" w:rsidRPr="00DC1E68" w:rsidRDefault="00174E41" w:rsidP="00174E41">
      <w:pPr>
        <w:pStyle w:val="CETHeading1"/>
      </w:pPr>
      <w:r>
        <w:t>Methodology</w:t>
      </w:r>
    </w:p>
    <w:p w:rsidR="00174E41" w:rsidRDefault="00174E41" w:rsidP="00174E41">
      <w:pPr>
        <w:pStyle w:val="CETBodytext"/>
      </w:pPr>
      <w:r>
        <w:t xml:space="preserve">The set of data produced in this work was mainly obtained during field work in Nigeria in December 2017. The production figures of major agricultural crops in the country were obtained from the National Agricultural Extension and Research Liaison Services, (NAERLS) and the Federal Department of Agricultural Extension, (FDAE) Nigeria (NAERLS and FDAE, 2014) as well as the FAO (2014). </w:t>
      </w:r>
    </w:p>
    <w:p w:rsidR="00174E41" w:rsidRDefault="00174E41" w:rsidP="00174E41">
      <w:pPr>
        <w:pStyle w:val="CETBodytext"/>
      </w:pPr>
      <w:r>
        <w:t>There were no official estimates for residues that result from agricultural crops in Nigeria. The biomass potential of the crop residues was obtained by multiplying the average values of the production figures of the crops (2004-2014) by their respective residue-to-product ratios (RPR) (</w:t>
      </w:r>
      <w:proofErr w:type="spellStart"/>
      <w:r>
        <w:t>Simonyan</w:t>
      </w:r>
      <w:proofErr w:type="spellEnd"/>
      <w:r>
        <w:t xml:space="preserve"> and </w:t>
      </w:r>
      <w:proofErr w:type="spellStart"/>
      <w:r>
        <w:t>Fasina</w:t>
      </w:r>
      <w:proofErr w:type="spellEnd"/>
      <w:r>
        <w:t xml:space="preserve">, 2013). The biomass and bioenergy potentials of perennial crop residues were estimated </w:t>
      </w:r>
      <w:r w:rsidR="00521A96">
        <w:t xml:space="preserve">by </w:t>
      </w:r>
      <w:r>
        <w:t xml:space="preserve">using </w:t>
      </w:r>
      <w:r w:rsidR="003E5AC0">
        <w:t xml:space="preserve">the </w:t>
      </w:r>
      <w:r>
        <w:t>residue</w:t>
      </w:r>
      <w:r w:rsidRPr="009B1C39">
        <w:t xml:space="preserve"> percentages reported by Koopmans and </w:t>
      </w:r>
      <w:proofErr w:type="spellStart"/>
      <w:r w:rsidRPr="009B1C39">
        <w:t>Koppejan</w:t>
      </w:r>
      <w:proofErr w:type="spellEnd"/>
      <w:r w:rsidRPr="009B1C39">
        <w:t xml:space="preserve"> (1997), wood densities reported by</w:t>
      </w:r>
      <w:r>
        <w:t xml:space="preserve"> </w:t>
      </w:r>
      <w:proofErr w:type="spellStart"/>
      <w:r>
        <w:t>Alakangas</w:t>
      </w:r>
      <w:proofErr w:type="spellEnd"/>
      <w:r>
        <w:t xml:space="preserve"> (2005) and LHV</w:t>
      </w:r>
      <w:r w:rsidRPr="009B1C39">
        <w:t xml:space="preserve"> for wood residues (Wood Energy, 2006). Also, the residue</w:t>
      </w:r>
      <w:r w:rsidR="003E5AC0">
        <w:t>-</w:t>
      </w:r>
      <w:r w:rsidRPr="009B1C39">
        <w:t>to</w:t>
      </w:r>
      <w:r w:rsidR="003E5AC0">
        <w:t>-</w:t>
      </w:r>
      <w:r w:rsidRPr="009B1C39">
        <w:t xml:space="preserve">product ratio (RPR) data of perennial crops of Chong and </w:t>
      </w:r>
      <w:proofErr w:type="spellStart"/>
      <w:r w:rsidRPr="009B1C39">
        <w:t>Idrus</w:t>
      </w:r>
      <w:proofErr w:type="spellEnd"/>
      <w:r w:rsidRPr="009B1C39">
        <w:t xml:space="preserve"> (1988) were used.</w:t>
      </w:r>
      <w:r>
        <w:t xml:space="preserve"> </w:t>
      </w:r>
      <w:r w:rsidRPr="00B344BE">
        <w:t xml:space="preserve">The energy potentials of </w:t>
      </w:r>
      <w:r>
        <w:t>forest</w:t>
      </w:r>
      <w:r w:rsidRPr="00B344BE">
        <w:t xml:space="preserve"> residues </w:t>
      </w:r>
      <w:r>
        <w:t>were</w:t>
      </w:r>
      <w:r w:rsidRPr="00B344BE">
        <w:t xml:space="preserve"> estimated based on data obtained from </w:t>
      </w:r>
      <w:r>
        <w:t>FAO (2015</w:t>
      </w:r>
      <w:r w:rsidRPr="00B344BE">
        <w:t>).</w:t>
      </w:r>
      <w:r>
        <w:t xml:space="preserve"> The bioenergy potential of municipal solid waste (MSW) in Nigeria were estimated based on the waste generation figures reported by</w:t>
      </w:r>
      <w:r w:rsidRPr="00D360AD">
        <w:rPr>
          <w:rFonts w:cs="Arial"/>
        </w:rPr>
        <w:t xml:space="preserve"> </w:t>
      </w:r>
      <w:proofErr w:type="spellStart"/>
      <w:r w:rsidRPr="00D360AD">
        <w:rPr>
          <w:rFonts w:cs="Arial"/>
        </w:rPr>
        <w:t>Suberu</w:t>
      </w:r>
      <w:proofErr w:type="spellEnd"/>
      <w:r w:rsidRPr="00D360AD">
        <w:rPr>
          <w:rFonts w:cs="Arial"/>
        </w:rPr>
        <w:t xml:space="preserve"> et al. </w:t>
      </w:r>
      <w:r>
        <w:rPr>
          <w:rFonts w:cs="Arial"/>
        </w:rPr>
        <w:t>(</w:t>
      </w:r>
      <w:r w:rsidRPr="00D360AD">
        <w:rPr>
          <w:rFonts w:cs="Arial"/>
        </w:rPr>
        <w:t>2013</w:t>
      </w:r>
      <w:r>
        <w:rPr>
          <w:rFonts w:cs="Arial"/>
        </w:rPr>
        <w:t xml:space="preserve">). </w:t>
      </w:r>
      <w:r w:rsidRPr="00D360AD">
        <w:rPr>
          <w:rFonts w:cs="Arial"/>
        </w:rPr>
        <w:t>A biogas yield of 0.21 m</w:t>
      </w:r>
      <w:r w:rsidRPr="00D360AD">
        <w:rPr>
          <w:rFonts w:cs="Arial"/>
          <w:vertAlign w:val="superscript"/>
        </w:rPr>
        <w:t>3</w:t>
      </w:r>
      <w:r w:rsidRPr="00D360AD">
        <w:rPr>
          <w:rFonts w:cs="Arial"/>
        </w:rPr>
        <w:t>/kg (</w:t>
      </w:r>
      <w:proofErr w:type="spellStart"/>
      <w:r w:rsidRPr="00D360AD">
        <w:rPr>
          <w:rFonts w:cs="Arial"/>
        </w:rPr>
        <w:t>Neilfa</w:t>
      </w:r>
      <w:proofErr w:type="spellEnd"/>
      <w:r w:rsidRPr="00D360AD">
        <w:rPr>
          <w:rFonts w:cs="Arial"/>
        </w:rPr>
        <w:t xml:space="preserve"> et al., 2014) and a </w:t>
      </w:r>
      <w:proofErr w:type="spellStart"/>
      <w:r w:rsidRPr="00D360AD">
        <w:rPr>
          <w:rFonts w:cs="Arial"/>
        </w:rPr>
        <w:t>biogass</w:t>
      </w:r>
      <w:proofErr w:type="spellEnd"/>
      <w:r w:rsidRPr="00D360AD">
        <w:rPr>
          <w:rFonts w:cs="Arial"/>
        </w:rPr>
        <w:t xml:space="preserve"> lower heating value (LHV) of 22.35 MJ/m</w:t>
      </w:r>
      <w:r w:rsidRPr="00D360AD">
        <w:rPr>
          <w:rFonts w:cs="Arial"/>
          <w:vertAlign w:val="superscript"/>
        </w:rPr>
        <w:t>3</w:t>
      </w:r>
      <w:r w:rsidRPr="00D360AD">
        <w:rPr>
          <w:rFonts w:cs="Arial"/>
        </w:rPr>
        <w:t xml:space="preserve"> (</w:t>
      </w:r>
      <w:proofErr w:type="spellStart"/>
      <w:r w:rsidRPr="00D360AD">
        <w:rPr>
          <w:rFonts w:cs="Arial"/>
        </w:rPr>
        <w:t>Astals</w:t>
      </w:r>
      <w:proofErr w:type="spellEnd"/>
      <w:r w:rsidRPr="00D360AD">
        <w:rPr>
          <w:rFonts w:cs="Arial"/>
        </w:rPr>
        <w:t xml:space="preserve"> and Mata, 20</w:t>
      </w:r>
      <w:r>
        <w:rPr>
          <w:rFonts w:cs="Arial"/>
        </w:rPr>
        <w:t>11) were used in the estimation</w:t>
      </w:r>
      <w:r w:rsidRPr="00D360AD">
        <w:rPr>
          <w:rFonts w:cs="Arial"/>
        </w:rPr>
        <w:t xml:space="preserve"> of the bioenergy of the waste.</w:t>
      </w:r>
      <w:r>
        <w:rPr>
          <w:rFonts w:cs="Arial"/>
        </w:rPr>
        <w:t xml:space="preserve"> The</w:t>
      </w:r>
      <w:r w:rsidRPr="00D360AD">
        <w:rPr>
          <w:rFonts w:cs="Arial"/>
        </w:rPr>
        <w:t xml:space="preserve"> yield of biogas from dry matter</w:t>
      </w:r>
      <w:r>
        <w:rPr>
          <w:rFonts w:cs="Arial"/>
        </w:rPr>
        <w:t xml:space="preserve"> as reported by Jain (1993) was used</w:t>
      </w:r>
      <w:r w:rsidRPr="00D360AD">
        <w:rPr>
          <w:rFonts w:cs="Arial"/>
        </w:rPr>
        <w:t>.</w:t>
      </w:r>
      <w:r>
        <w:rPr>
          <w:rFonts w:cs="Arial"/>
        </w:rPr>
        <w:t xml:space="preserve"> The estimation of animal waste was based on animal population data as reported by FAO (2015) and NASS (2012). The yield of biogas from livestock dry matter as reported by Jain (1993) were also used. Biogas LHV </w:t>
      </w:r>
      <w:r w:rsidRPr="00D360AD">
        <w:rPr>
          <w:rFonts w:cs="Arial"/>
        </w:rPr>
        <w:t>of 22.35 MJ/m</w:t>
      </w:r>
      <w:r w:rsidRPr="00D360AD">
        <w:rPr>
          <w:rFonts w:cs="Arial"/>
          <w:vertAlign w:val="superscript"/>
        </w:rPr>
        <w:t>3</w:t>
      </w:r>
      <w:r w:rsidRPr="00D360AD">
        <w:rPr>
          <w:rFonts w:cs="Arial"/>
        </w:rPr>
        <w:t xml:space="preserve"> (</w:t>
      </w:r>
      <w:proofErr w:type="spellStart"/>
      <w:r w:rsidRPr="00D360AD">
        <w:rPr>
          <w:rFonts w:cs="Arial"/>
        </w:rPr>
        <w:t>Astals</w:t>
      </w:r>
      <w:proofErr w:type="spellEnd"/>
      <w:r w:rsidRPr="00D360AD">
        <w:rPr>
          <w:rFonts w:cs="Arial"/>
        </w:rPr>
        <w:t xml:space="preserve"> and Mata, 20</w:t>
      </w:r>
      <w:r>
        <w:rPr>
          <w:rFonts w:cs="Arial"/>
        </w:rPr>
        <w:t xml:space="preserve">11) was used to estimate the energy potential of </w:t>
      </w:r>
      <w:r w:rsidR="003E5AC0">
        <w:rPr>
          <w:rFonts w:cs="Arial"/>
        </w:rPr>
        <w:t xml:space="preserve">the </w:t>
      </w:r>
      <w:r>
        <w:rPr>
          <w:rFonts w:cs="Arial"/>
        </w:rPr>
        <w:t xml:space="preserve">estimated biogas from animal waste in Nigeria. Human waste in Nigeria was estimated based on the </w:t>
      </w:r>
      <w:r w:rsidRPr="00D360AD">
        <w:rPr>
          <w:rFonts w:cs="Arial"/>
        </w:rPr>
        <w:t xml:space="preserve">figure of </w:t>
      </w:r>
      <w:proofErr w:type="spellStart"/>
      <w:r w:rsidRPr="00D360AD">
        <w:rPr>
          <w:rFonts w:cs="Arial"/>
        </w:rPr>
        <w:t>Jossy</w:t>
      </w:r>
      <w:proofErr w:type="spellEnd"/>
      <w:r w:rsidRPr="00D360AD">
        <w:rPr>
          <w:rFonts w:cs="Arial"/>
        </w:rPr>
        <w:t xml:space="preserve"> (1994)</w:t>
      </w:r>
      <w:r>
        <w:rPr>
          <w:rFonts w:cs="Arial"/>
        </w:rPr>
        <w:t xml:space="preserve">; </w:t>
      </w:r>
      <w:r w:rsidRPr="00D360AD">
        <w:rPr>
          <w:rFonts w:cs="Arial"/>
        </w:rPr>
        <w:t>a dry matter of 0.09</w:t>
      </w:r>
      <w:r>
        <w:rPr>
          <w:rFonts w:cs="Arial"/>
        </w:rPr>
        <w:t xml:space="preserve"> </w:t>
      </w:r>
      <w:r w:rsidRPr="00D360AD">
        <w:rPr>
          <w:rFonts w:cs="Arial"/>
        </w:rPr>
        <w:t>kg per head per day for urban population</w:t>
      </w:r>
      <w:r>
        <w:rPr>
          <w:rFonts w:cs="Arial"/>
        </w:rPr>
        <w:t>.</w:t>
      </w:r>
    </w:p>
    <w:p w:rsidR="00174E41" w:rsidRDefault="00174E41" w:rsidP="00174E41">
      <w:pPr>
        <w:pStyle w:val="CETheadingx"/>
      </w:pPr>
      <w:r>
        <w:t>Estimation of biomass bioenergy potential</w:t>
      </w:r>
    </w:p>
    <w:p w:rsidR="00174E41" w:rsidRDefault="00174E41" w:rsidP="00174E41">
      <w:pPr>
        <w:pStyle w:val="CETBodytext"/>
      </w:pPr>
      <w:r>
        <w:t>The bioenergy potential of agricultural crop residues in Nigeria w</w:t>
      </w:r>
      <w:r w:rsidR="00E332ED">
        <w:t>as</w:t>
      </w:r>
      <w:r>
        <w:t xml:space="preserve"> estimated using equations 1 and 2.</w:t>
      </w:r>
    </w:p>
    <w:tbl>
      <w:tblPr>
        <w:tblW w:w="5000" w:type="pct"/>
        <w:tblLook w:val="04A0" w:firstRow="1" w:lastRow="0" w:firstColumn="1" w:lastColumn="0" w:noHBand="0" w:noVBand="1"/>
      </w:tblPr>
      <w:tblGrid>
        <w:gridCol w:w="7983"/>
        <w:gridCol w:w="804"/>
      </w:tblGrid>
      <w:tr w:rsidR="00174E41" w:rsidRPr="00B57B36" w:rsidTr="00174E41">
        <w:tc>
          <w:tcPr>
            <w:tcW w:w="7983" w:type="dxa"/>
            <w:shd w:val="clear" w:color="auto" w:fill="auto"/>
            <w:vAlign w:val="center"/>
          </w:tcPr>
          <w:p w:rsidR="00174E41" w:rsidRPr="00B57B36" w:rsidRDefault="003310BA" w:rsidP="009E7884">
            <w:pPr>
              <w:pStyle w:val="CETEquation"/>
            </w:pPr>
            <m:oMath>
              <m:sSub>
                <m:sSubPr>
                  <m:ctrlPr>
                    <w:rPr>
                      <w:rFonts w:ascii="Cambria Math" w:hAnsi="Cambria Math"/>
                      <w:i/>
                      <w:noProof/>
                      <w:lang w:eastAsia="en-GB"/>
                    </w:rPr>
                  </m:ctrlPr>
                </m:sSubPr>
                <m:e>
                  <m:r>
                    <w:rPr>
                      <w:rFonts w:ascii="Cambria Math" w:hAnsi="Cambria Math"/>
                      <w:noProof/>
                      <w:lang w:eastAsia="en-GB"/>
                    </w:rPr>
                    <m:t>W</m:t>
                  </m:r>
                </m:e>
                <m:sub>
                  <m:r>
                    <w:rPr>
                      <w:rFonts w:ascii="Cambria Math" w:hAnsi="Cambria Math"/>
                      <w:noProof/>
                      <w:lang w:eastAsia="en-GB"/>
                    </w:rPr>
                    <m:t>r</m:t>
                  </m:r>
                </m:sub>
              </m:sSub>
              <m:r>
                <w:rPr>
                  <w:rFonts w:ascii="Cambria Math" w:hAnsi="Cambria Math"/>
                  <w:noProof/>
                  <w:lang w:eastAsia="en-GB"/>
                </w:rPr>
                <m:t>=P.RPR.a</m:t>
              </m:r>
            </m:oMath>
            <w:r w:rsidR="00174E41">
              <w:rPr>
                <w:noProof/>
                <w:lang w:eastAsia="en-GB"/>
              </w:rPr>
              <w:t xml:space="preserve"> </w:t>
            </w:r>
          </w:p>
        </w:tc>
        <w:tc>
          <w:tcPr>
            <w:tcW w:w="804" w:type="dxa"/>
            <w:shd w:val="clear" w:color="auto" w:fill="auto"/>
            <w:vAlign w:val="center"/>
          </w:tcPr>
          <w:p w:rsidR="00174E41" w:rsidRPr="00B57B36" w:rsidRDefault="00174E41" w:rsidP="009E7884">
            <w:pPr>
              <w:pStyle w:val="CETEquation"/>
              <w:jc w:val="right"/>
            </w:pPr>
            <w:r>
              <w:t>(1)</w:t>
            </w:r>
          </w:p>
        </w:tc>
      </w:tr>
      <w:tr w:rsidR="00174E41" w:rsidRPr="00B57B36" w:rsidTr="00174E41">
        <w:tc>
          <w:tcPr>
            <w:tcW w:w="7983" w:type="dxa"/>
            <w:shd w:val="clear" w:color="auto" w:fill="auto"/>
            <w:vAlign w:val="center"/>
          </w:tcPr>
          <w:p w:rsidR="00174E41" w:rsidRPr="00B57B36" w:rsidRDefault="003310BA" w:rsidP="009E7884">
            <w:pPr>
              <w:pStyle w:val="CETEquation"/>
              <w:rPr>
                <w:noProof/>
                <w:lang w:eastAsia="en-GB"/>
              </w:rPr>
            </w:pPr>
            <m:oMath>
              <m:sSub>
                <m:sSubPr>
                  <m:ctrlPr>
                    <w:rPr>
                      <w:rFonts w:ascii="Cambria Math" w:hAnsi="Cambria Math"/>
                      <w:i/>
                      <w:noProof/>
                      <w:lang w:eastAsia="en-GB"/>
                    </w:rPr>
                  </m:ctrlPr>
                </m:sSubPr>
                <m:e>
                  <m:r>
                    <w:rPr>
                      <w:rFonts w:ascii="Cambria Math" w:hAnsi="Cambria Math"/>
                      <w:noProof/>
                      <w:lang w:eastAsia="en-GB"/>
                    </w:rPr>
                    <m:t>R</m:t>
                  </m:r>
                </m:e>
                <m:sub>
                  <m:r>
                    <w:rPr>
                      <w:rFonts w:ascii="Cambria Math" w:hAnsi="Cambria Math"/>
                      <w:noProof/>
                      <w:lang w:eastAsia="en-GB"/>
                    </w:rPr>
                    <m:t>E</m:t>
                  </m:r>
                </m:sub>
              </m:sSub>
              <m:r>
                <w:rPr>
                  <w:rFonts w:ascii="Cambria Math" w:hAnsi="Cambria Math"/>
                  <w:noProof/>
                  <w:lang w:eastAsia="en-GB"/>
                </w:rPr>
                <m:t>=</m:t>
              </m:r>
              <m:sSub>
                <m:sSubPr>
                  <m:ctrlPr>
                    <w:rPr>
                      <w:rFonts w:ascii="Cambria Math" w:hAnsi="Cambria Math"/>
                      <w:i/>
                      <w:noProof/>
                      <w:lang w:eastAsia="en-GB"/>
                    </w:rPr>
                  </m:ctrlPr>
                </m:sSubPr>
                <m:e>
                  <m:r>
                    <w:rPr>
                      <w:rFonts w:ascii="Cambria Math" w:hAnsi="Cambria Math"/>
                      <w:noProof/>
                      <w:lang w:eastAsia="en-GB"/>
                    </w:rPr>
                    <m:t>W</m:t>
                  </m:r>
                </m:e>
                <m:sub>
                  <m:r>
                    <w:rPr>
                      <w:rFonts w:ascii="Cambria Math" w:hAnsi="Cambria Math"/>
                      <w:noProof/>
                      <w:lang w:eastAsia="en-GB"/>
                    </w:rPr>
                    <m:t>r</m:t>
                  </m:r>
                </m:sub>
              </m:sSub>
              <m:r>
                <w:rPr>
                  <w:rFonts w:ascii="Cambria Math" w:hAnsi="Cambria Math"/>
                  <w:noProof/>
                  <w:lang w:eastAsia="en-GB"/>
                </w:rPr>
                <m:t>.LHV</m:t>
              </m:r>
            </m:oMath>
            <w:r w:rsidR="00174E41">
              <w:rPr>
                <w:noProof/>
                <w:lang w:eastAsia="en-GB"/>
              </w:rPr>
              <w:t xml:space="preserve"> </w:t>
            </w:r>
          </w:p>
        </w:tc>
        <w:tc>
          <w:tcPr>
            <w:tcW w:w="804" w:type="dxa"/>
            <w:shd w:val="clear" w:color="auto" w:fill="auto"/>
            <w:vAlign w:val="center"/>
          </w:tcPr>
          <w:p w:rsidR="00174E41" w:rsidRPr="00B57B36" w:rsidRDefault="00174E41" w:rsidP="009E7884">
            <w:pPr>
              <w:pStyle w:val="CETEquation"/>
              <w:jc w:val="right"/>
            </w:pPr>
            <w:r>
              <w:t>(2)</w:t>
            </w:r>
          </w:p>
        </w:tc>
      </w:tr>
    </w:tbl>
    <w:p w:rsidR="002F40A8" w:rsidRDefault="00287ECD" w:rsidP="00CB004B">
      <w:pPr>
        <w:pStyle w:val="CETheadingx"/>
        <w:numPr>
          <w:ilvl w:val="0"/>
          <w:numId w:val="0"/>
        </w:numPr>
        <w:jc w:val="both"/>
        <w:rPr>
          <w:b w:val="0"/>
          <w:lang w:eastAsia="en-GB"/>
        </w:rPr>
      </w:pPr>
      <w:r>
        <w:rPr>
          <w:b w:val="0"/>
        </w:rPr>
        <w:t xml:space="preserve">In the equations above, </w:t>
      </w:r>
      <m:oMath>
        <m:sSub>
          <m:sSubPr>
            <m:ctrlPr>
              <w:rPr>
                <w:rFonts w:ascii="Cambria Math" w:hAnsi="Cambria Math"/>
                <w:b w:val="0"/>
                <w:i/>
                <w:noProof/>
                <w:lang w:val="en-GB" w:eastAsia="en-GB"/>
              </w:rPr>
            </m:ctrlPr>
          </m:sSubPr>
          <m:e>
            <m:r>
              <w:rPr>
                <w:rFonts w:ascii="Cambria Math" w:hAnsi="Cambria Math"/>
                <w:noProof/>
                <w:lang w:eastAsia="en-GB"/>
              </w:rPr>
              <m:t>W</m:t>
            </m:r>
          </m:e>
          <m:sub>
            <m:r>
              <w:rPr>
                <w:rFonts w:ascii="Cambria Math" w:hAnsi="Cambria Math"/>
                <w:noProof/>
                <w:lang w:eastAsia="en-GB"/>
              </w:rPr>
              <m:t>r</m:t>
            </m:r>
          </m:sub>
        </m:sSub>
      </m:oMath>
      <w:r>
        <w:rPr>
          <w:b w:val="0"/>
          <w:lang w:val="en-GB" w:eastAsia="en-GB"/>
        </w:rPr>
        <w:t xml:space="preserve"> is the available weight of residue (kg), </w:t>
      </w:r>
      <m:oMath>
        <m:r>
          <w:rPr>
            <w:rFonts w:ascii="Cambria Math" w:hAnsi="Cambria Math"/>
            <w:noProof/>
            <w:lang w:eastAsia="en-GB"/>
          </w:rPr>
          <m:t>P</m:t>
        </m:r>
      </m:oMath>
      <w:r>
        <w:rPr>
          <w:lang w:eastAsia="en-GB"/>
        </w:rPr>
        <w:t xml:space="preserve"> </w:t>
      </w:r>
      <w:r w:rsidR="00CB004B">
        <w:rPr>
          <w:b w:val="0"/>
          <w:lang w:eastAsia="en-GB"/>
        </w:rPr>
        <w:t xml:space="preserve">is production figure of the crop (kg), </w:t>
      </w:r>
      <m:oMath>
        <m:r>
          <w:rPr>
            <w:rFonts w:ascii="Cambria Math" w:hAnsi="Cambria Math"/>
            <w:noProof/>
            <w:lang w:eastAsia="en-GB"/>
          </w:rPr>
          <m:t>RPR</m:t>
        </m:r>
      </m:oMath>
      <w:r w:rsidR="00CB004B">
        <w:rPr>
          <w:lang w:eastAsia="en-GB"/>
        </w:rPr>
        <w:t xml:space="preserve"> </w:t>
      </w:r>
      <w:r w:rsidR="00CB004B" w:rsidRPr="00CB004B">
        <w:rPr>
          <w:b w:val="0"/>
          <w:lang w:eastAsia="en-GB"/>
        </w:rPr>
        <w:t>is the crop’s residue</w:t>
      </w:r>
      <w:r w:rsidR="00CB004B">
        <w:rPr>
          <w:b w:val="0"/>
          <w:lang w:eastAsia="en-GB"/>
        </w:rPr>
        <w:t xml:space="preserve">-to-product ratio, </w:t>
      </w:r>
      <m:oMath>
        <m:r>
          <w:rPr>
            <w:rFonts w:ascii="Cambria Math" w:hAnsi="Cambria Math"/>
            <w:noProof/>
            <w:lang w:eastAsia="en-GB"/>
          </w:rPr>
          <m:t>a</m:t>
        </m:r>
      </m:oMath>
      <w:r w:rsidR="00CB004B">
        <w:rPr>
          <w:lang w:eastAsia="en-GB"/>
        </w:rPr>
        <w:t xml:space="preserve"> </w:t>
      </w:r>
      <w:r w:rsidR="00CB004B">
        <w:rPr>
          <w:b w:val="0"/>
          <w:lang w:eastAsia="en-GB"/>
        </w:rPr>
        <w:t xml:space="preserve">is the fraction of residue that is available, </w:t>
      </w:r>
      <m:oMath>
        <m:sSub>
          <m:sSubPr>
            <m:ctrlPr>
              <w:rPr>
                <w:rFonts w:ascii="Cambria Math" w:hAnsi="Cambria Math"/>
                <w:b w:val="0"/>
                <w:i/>
                <w:noProof/>
                <w:lang w:val="en-GB" w:eastAsia="en-GB"/>
              </w:rPr>
            </m:ctrlPr>
          </m:sSubPr>
          <m:e>
            <m:r>
              <w:rPr>
                <w:rFonts w:ascii="Cambria Math" w:hAnsi="Cambria Math"/>
                <w:noProof/>
                <w:lang w:eastAsia="en-GB"/>
              </w:rPr>
              <m:t>R</m:t>
            </m:r>
          </m:e>
          <m:sub>
            <m:r>
              <w:rPr>
                <w:rFonts w:ascii="Cambria Math" w:hAnsi="Cambria Math"/>
                <w:noProof/>
                <w:lang w:eastAsia="en-GB"/>
              </w:rPr>
              <m:t>E</m:t>
            </m:r>
          </m:sub>
        </m:sSub>
      </m:oMath>
      <w:r w:rsidR="00CB004B">
        <w:rPr>
          <w:b w:val="0"/>
          <w:lang w:val="en-GB" w:eastAsia="en-GB"/>
        </w:rPr>
        <w:t xml:space="preserve"> is the residue energy (PJ), and </w:t>
      </w:r>
      <m:oMath>
        <m:r>
          <w:rPr>
            <w:rFonts w:ascii="Cambria Math" w:hAnsi="Cambria Math"/>
            <w:noProof/>
            <w:lang w:eastAsia="en-GB"/>
          </w:rPr>
          <m:t>LHV</m:t>
        </m:r>
      </m:oMath>
      <w:r w:rsidR="00CB004B" w:rsidRPr="00CB004B">
        <w:rPr>
          <w:b w:val="0"/>
          <w:lang w:eastAsia="en-GB"/>
        </w:rPr>
        <w:t xml:space="preserve"> is the lower heating</w:t>
      </w:r>
      <w:r w:rsidR="00CB004B">
        <w:rPr>
          <w:b w:val="0"/>
          <w:lang w:eastAsia="en-GB"/>
        </w:rPr>
        <w:t xml:space="preserve"> value of the residue (MJ/kg). Table 3 displays t</w:t>
      </w:r>
      <w:r w:rsidR="00E46BC1">
        <w:rPr>
          <w:b w:val="0"/>
          <w:lang w:eastAsia="en-GB"/>
        </w:rPr>
        <w:t>he parameters that were used in</w:t>
      </w:r>
      <w:r w:rsidR="00CB004B">
        <w:rPr>
          <w:b w:val="0"/>
          <w:lang w:eastAsia="en-GB"/>
        </w:rPr>
        <w:t xml:space="preserve"> this work.</w:t>
      </w:r>
      <w:r w:rsidR="00CB004B">
        <w:rPr>
          <w:b w:val="0"/>
          <w:lang w:val="en-GB" w:eastAsia="en-GB"/>
        </w:rPr>
        <w:t xml:space="preserve"> </w:t>
      </w:r>
      <w:r w:rsidR="00CB004B">
        <w:rPr>
          <w:b w:val="0"/>
          <w:lang w:eastAsia="en-GB"/>
        </w:rPr>
        <w:t xml:space="preserve">  </w:t>
      </w:r>
    </w:p>
    <w:p w:rsidR="002F40A8" w:rsidRDefault="002F40A8" w:rsidP="002F40A8">
      <w:pPr>
        <w:pStyle w:val="CETTabletitle"/>
      </w:pPr>
      <w:r>
        <w:t xml:space="preserve">Table 3: Parameters </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3420"/>
        <w:gridCol w:w="3101"/>
        <w:gridCol w:w="425"/>
        <w:gridCol w:w="142"/>
      </w:tblGrid>
      <w:tr w:rsidR="002F40A8" w:rsidTr="00CA62CB">
        <w:tc>
          <w:tcPr>
            <w:tcW w:w="3420" w:type="dxa"/>
            <w:tcBorders>
              <w:top w:val="single" w:sz="12" w:space="0" w:color="008000"/>
              <w:left w:val="nil"/>
              <w:bottom w:val="single" w:sz="6" w:space="0" w:color="008000"/>
              <w:right w:val="nil"/>
            </w:tcBorders>
            <w:shd w:val="clear" w:color="auto" w:fill="FFFFFF"/>
            <w:hideMark/>
          </w:tcPr>
          <w:p w:rsidR="002F40A8" w:rsidRDefault="002F40A8" w:rsidP="00CA62CB">
            <w:pPr>
              <w:pStyle w:val="CETBodytext"/>
              <w:rPr>
                <w:lang w:val="en-GB"/>
              </w:rPr>
            </w:pPr>
            <w:r>
              <w:rPr>
                <w:lang w:val="en-GB"/>
              </w:rPr>
              <w:t xml:space="preserve">Quantity </w:t>
            </w:r>
          </w:p>
        </w:tc>
        <w:tc>
          <w:tcPr>
            <w:tcW w:w="3101" w:type="dxa"/>
            <w:tcBorders>
              <w:top w:val="single" w:sz="12" w:space="0" w:color="008000"/>
              <w:left w:val="nil"/>
              <w:bottom w:val="single" w:sz="6" w:space="0" w:color="008000"/>
              <w:right w:val="nil"/>
            </w:tcBorders>
            <w:shd w:val="clear" w:color="auto" w:fill="FFFFFF"/>
            <w:hideMark/>
          </w:tcPr>
          <w:p w:rsidR="002F40A8" w:rsidRDefault="002F40A8" w:rsidP="00CA62CB">
            <w:pPr>
              <w:pStyle w:val="CETBodytext"/>
              <w:rPr>
                <w:lang w:val="en-GB"/>
              </w:rPr>
            </w:pPr>
            <w:r>
              <w:rPr>
                <w:lang w:val="en-GB"/>
              </w:rPr>
              <w:t>Value</w:t>
            </w:r>
          </w:p>
        </w:tc>
        <w:tc>
          <w:tcPr>
            <w:tcW w:w="425" w:type="dxa"/>
            <w:tcBorders>
              <w:top w:val="single" w:sz="12" w:space="0" w:color="008000"/>
              <w:left w:val="nil"/>
              <w:bottom w:val="single" w:sz="6" w:space="0" w:color="008000"/>
              <w:right w:val="nil"/>
            </w:tcBorders>
            <w:shd w:val="clear" w:color="auto" w:fill="FFFFFF"/>
            <w:hideMark/>
          </w:tcPr>
          <w:p w:rsidR="002F40A8" w:rsidRDefault="002F40A8" w:rsidP="00CA62CB">
            <w:pPr>
              <w:pStyle w:val="CETBodytext"/>
              <w:rPr>
                <w:lang w:val="en-GB"/>
              </w:rPr>
            </w:pPr>
          </w:p>
        </w:tc>
        <w:tc>
          <w:tcPr>
            <w:tcW w:w="142" w:type="dxa"/>
            <w:tcBorders>
              <w:top w:val="single" w:sz="12" w:space="0" w:color="008000"/>
              <w:left w:val="nil"/>
              <w:bottom w:val="single" w:sz="6" w:space="0" w:color="008000"/>
              <w:right w:val="nil"/>
            </w:tcBorders>
            <w:shd w:val="clear" w:color="auto" w:fill="FFFFFF"/>
          </w:tcPr>
          <w:p w:rsidR="002F40A8" w:rsidRDefault="002F40A8" w:rsidP="00CA62CB">
            <w:pPr>
              <w:pStyle w:val="CETBodytext"/>
              <w:ind w:right="-1"/>
              <w:rPr>
                <w:rFonts w:cs="Arial"/>
                <w:szCs w:val="18"/>
                <w:lang w:val="en-GB"/>
              </w:rPr>
            </w:pPr>
          </w:p>
        </w:tc>
      </w:tr>
      <w:tr w:rsidR="002F40A8" w:rsidTr="00CA62CB">
        <w:tc>
          <w:tcPr>
            <w:tcW w:w="3420" w:type="dxa"/>
            <w:tcBorders>
              <w:top w:val="nil"/>
              <w:left w:val="nil"/>
              <w:bottom w:val="nil"/>
              <w:right w:val="nil"/>
            </w:tcBorders>
            <w:shd w:val="clear" w:color="auto" w:fill="FFFFFF"/>
          </w:tcPr>
          <w:p w:rsidR="002F40A8" w:rsidRDefault="002F40A8" w:rsidP="00CA62CB">
            <w:pPr>
              <w:pStyle w:val="CETBodytext"/>
              <w:rPr>
                <w:lang w:val="en-GB"/>
              </w:rPr>
            </w:pPr>
          </w:p>
        </w:tc>
        <w:tc>
          <w:tcPr>
            <w:tcW w:w="3101" w:type="dxa"/>
            <w:tcBorders>
              <w:top w:val="nil"/>
              <w:left w:val="nil"/>
              <w:bottom w:val="nil"/>
              <w:right w:val="nil"/>
            </w:tcBorders>
            <w:shd w:val="clear" w:color="auto" w:fill="FFFFFF"/>
          </w:tcPr>
          <w:p w:rsidR="002F40A8" w:rsidRPr="001F7CB3" w:rsidRDefault="002F40A8" w:rsidP="00CA62CB">
            <w:pPr>
              <w:pStyle w:val="CETBodytext"/>
              <w:rPr>
                <w:lang w:val="en-GB"/>
              </w:rPr>
            </w:pPr>
          </w:p>
        </w:tc>
        <w:tc>
          <w:tcPr>
            <w:tcW w:w="425" w:type="dxa"/>
            <w:tcBorders>
              <w:top w:val="nil"/>
              <w:left w:val="nil"/>
              <w:bottom w:val="nil"/>
              <w:right w:val="nil"/>
            </w:tcBorders>
            <w:shd w:val="clear" w:color="auto" w:fill="FFFFFF"/>
          </w:tcPr>
          <w:p w:rsidR="002F40A8" w:rsidRDefault="002F40A8" w:rsidP="00CA62CB">
            <w:pPr>
              <w:pStyle w:val="CETBodytext"/>
              <w:rPr>
                <w:lang w:val="en-GB"/>
              </w:rPr>
            </w:pPr>
          </w:p>
        </w:tc>
        <w:tc>
          <w:tcPr>
            <w:tcW w:w="142" w:type="dxa"/>
            <w:tcBorders>
              <w:top w:val="nil"/>
              <w:left w:val="nil"/>
              <w:bottom w:val="nil"/>
              <w:right w:val="nil"/>
            </w:tcBorders>
            <w:shd w:val="clear" w:color="auto" w:fill="FFFFFF"/>
          </w:tcPr>
          <w:p w:rsidR="002F40A8" w:rsidRDefault="002F40A8" w:rsidP="00CA62CB">
            <w:pPr>
              <w:pStyle w:val="CETBodytext"/>
              <w:ind w:right="-1"/>
              <w:rPr>
                <w:rFonts w:cs="Arial"/>
                <w:szCs w:val="18"/>
                <w:lang w:val="en-GB"/>
              </w:rPr>
            </w:pPr>
          </w:p>
        </w:tc>
      </w:tr>
      <w:tr w:rsidR="002F40A8" w:rsidTr="00CA62CB">
        <w:tc>
          <w:tcPr>
            <w:tcW w:w="3420" w:type="dxa"/>
            <w:tcBorders>
              <w:top w:val="nil"/>
              <w:left w:val="nil"/>
              <w:bottom w:val="single" w:sz="12" w:space="0" w:color="008000"/>
              <w:right w:val="nil"/>
            </w:tcBorders>
            <w:shd w:val="clear" w:color="auto" w:fill="FFFFFF"/>
          </w:tcPr>
          <w:p w:rsidR="002F40A8" w:rsidRDefault="002F40A8" w:rsidP="00CA62CB">
            <w:pPr>
              <w:pStyle w:val="CETBodytext"/>
              <w:ind w:right="-1"/>
            </w:pPr>
            <w:r>
              <w:t>B</w:t>
            </w:r>
            <w:r w:rsidRPr="009B1C39">
              <w:t>iomass to energy conversion efficiency</w:t>
            </w:r>
          </w:p>
          <w:p w:rsidR="002F40A8" w:rsidRDefault="002F40A8" w:rsidP="00CA62CB">
            <w:pPr>
              <w:pStyle w:val="CETBodytext"/>
              <w:ind w:right="-1"/>
              <w:rPr>
                <w:rFonts w:cs="Arial"/>
                <w:szCs w:val="18"/>
                <w:lang w:val="en-GB"/>
              </w:rPr>
            </w:pPr>
            <w:r>
              <w:t>Recoverable MSW</w:t>
            </w:r>
          </w:p>
        </w:tc>
        <w:tc>
          <w:tcPr>
            <w:tcW w:w="3101" w:type="dxa"/>
            <w:tcBorders>
              <w:top w:val="nil"/>
              <w:left w:val="nil"/>
              <w:bottom w:val="single" w:sz="12" w:space="0" w:color="008000"/>
              <w:right w:val="nil"/>
            </w:tcBorders>
            <w:shd w:val="clear" w:color="auto" w:fill="FFFFFF"/>
          </w:tcPr>
          <w:p w:rsidR="002F40A8" w:rsidRDefault="002F40A8" w:rsidP="00CA62CB">
            <w:pPr>
              <w:pStyle w:val="CETBodytext"/>
              <w:ind w:right="-1"/>
            </w:pPr>
            <w:r>
              <w:rPr>
                <w:rFonts w:cs="Arial"/>
                <w:szCs w:val="18"/>
                <w:lang w:val="en-GB"/>
              </w:rPr>
              <w:t xml:space="preserve">30% </w:t>
            </w:r>
            <w:r>
              <w:t>(</w:t>
            </w:r>
            <w:proofErr w:type="spellStart"/>
            <w:r>
              <w:t>Simonyan</w:t>
            </w:r>
            <w:proofErr w:type="spellEnd"/>
            <w:r>
              <w:t xml:space="preserve"> and </w:t>
            </w:r>
            <w:proofErr w:type="spellStart"/>
            <w:r>
              <w:t>Fasina</w:t>
            </w:r>
            <w:proofErr w:type="spellEnd"/>
            <w:r>
              <w:t>, 2013)</w:t>
            </w:r>
          </w:p>
          <w:p w:rsidR="002F40A8" w:rsidRDefault="002F40A8" w:rsidP="00CA62CB">
            <w:pPr>
              <w:pStyle w:val="CETBodytext"/>
              <w:ind w:right="-1"/>
              <w:rPr>
                <w:rFonts w:cs="Arial"/>
                <w:szCs w:val="18"/>
                <w:lang w:val="en-GB"/>
              </w:rPr>
            </w:pPr>
            <w:r>
              <w:rPr>
                <w:rFonts w:cs="Arial"/>
                <w:szCs w:val="18"/>
                <w:lang w:val="en-GB"/>
              </w:rPr>
              <w:t>60% (</w:t>
            </w:r>
            <w:r>
              <w:t xml:space="preserve">Koopmans and </w:t>
            </w:r>
            <w:proofErr w:type="spellStart"/>
            <w:r>
              <w:t>Koppejan</w:t>
            </w:r>
            <w:proofErr w:type="spellEnd"/>
            <w:r>
              <w:t xml:space="preserve">, </w:t>
            </w:r>
            <w:r w:rsidRPr="009B1C39">
              <w:t>1997)</w:t>
            </w:r>
          </w:p>
        </w:tc>
        <w:tc>
          <w:tcPr>
            <w:tcW w:w="425" w:type="dxa"/>
            <w:tcBorders>
              <w:top w:val="nil"/>
              <w:left w:val="nil"/>
              <w:bottom w:val="single" w:sz="12" w:space="0" w:color="008000"/>
              <w:right w:val="nil"/>
            </w:tcBorders>
            <w:shd w:val="clear" w:color="auto" w:fill="FFFFFF"/>
          </w:tcPr>
          <w:p w:rsidR="002F40A8" w:rsidRDefault="002F40A8" w:rsidP="00CA62CB">
            <w:pPr>
              <w:pStyle w:val="CETBodytext"/>
              <w:ind w:right="-1"/>
              <w:rPr>
                <w:rFonts w:cs="Arial"/>
                <w:szCs w:val="18"/>
                <w:lang w:val="en-GB"/>
              </w:rPr>
            </w:pPr>
          </w:p>
        </w:tc>
        <w:tc>
          <w:tcPr>
            <w:tcW w:w="142" w:type="dxa"/>
            <w:tcBorders>
              <w:top w:val="nil"/>
              <w:left w:val="nil"/>
              <w:bottom w:val="single" w:sz="12" w:space="0" w:color="008000"/>
              <w:right w:val="nil"/>
            </w:tcBorders>
            <w:shd w:val="clear" w:color="auto" w:fill="FFFFFF"/>
          </w:tcPr>
          <w:p w:rsidR="002F40A8" w:rsidRDefault="002F40A8" w:rsidP="00CA62CB">
            <w:pPr>
              <w:pStyle w:val="CETBodytext"/>
              <w:ind w:right="-1"/>
              <w:rPr>
                <w:rFonts w:cs="Arial"/>
                <w:szCs w:val="18"/>
                <w:lang w:val="en-GB"/>
              </w:rPr>
            </w:pPr>
          </w:p>
        </w:tc>
      </w:tr>
    </w:tbl>
    <w:p w:rsidR="002F40A8" w:rsidRDefault="002F40A8" w:rsidP="002F40A8">
      <w:pPr>
        <w:pStyle w:val="CETHeading1"/>
      </w:pPr>
      <w:r>
        <w:t>Results and discussion</w:t>
      </w:r>
    </w:p>
    <w:p w:rsidR="002F40A8" w:rsidRDefault="002F40A8" w:rsidP="002F40A8">
      <w:pPr>
        <w:pStyle w:val="CETheadingx"/>
      </w:pPr>
      <w:r>
        <w:t>Energy potential of agricultural crop residues in Nigeria</w:t>
      </w:r>
    </w:p>
    <w:p w:rsidR="002F40A8" w:rsidRDefault="002F40A8" w:rsidP="002F40A8">
      <w:pPr>
        <w:pStyle w:val="CETBodytext"/>
      </w:pPr>
      <w:r>
        <w:t>The crop production data from which the energy potential of agricultural crop residues in Nigeria was estimated were analyzed and presented graphically as shown in Figure 1 for selected major crops. T</w:t>
      </w:r>
      <w:r w:rsidRPr="009B1C39">
        <w:t>he calculated crop residue that was availab</w:t>
      </w:r>
      <w:r>
        <w:t>le for energy in 2014 was 154</w:t>
      </w:r>
      <w:r w:rsidRPr="009B1C39">
        <w:t xml:space="preserve"> million </w:t>
      </w:r>
      <w:proofErr w:type="spellStart"/>
      <w:r w:rsidRPr="009B1C39">
        <w:t>tonnes</w:t>
      </w:r>
      <w:proofErr w:type="spellEnd"/>
      <w:r w:rsidRPr="009B1C39">
        <w:t xml:space="preserve"> of</w:t>
      </w:r>
      <w:r>
        <w:t xml:space="preserve"> residues. This estimate is 8 million </w:t>
      </w:r>
      <w:proofErr w:type="spellStart"/>
      <w:r>
        <w:t>tonnes</w:t>
      </w:r>
      <w:proofErr w:type="spellEnd"/>
      <w:r>
        <w:t xml:space="preserve"> or 5.2%</w:t>
      </w:r>
      <w:r w:rsidRPr="009B1C39">
        <w:t xml:space="preserve"> greater than the estimate of </w:t>
      </w:r>
      <w:proofErr w:type="spellStart"/>
      <w:r w:rsidRPr="009B1C39">
        <w:t>Simonyan</w:t>
      </w:r>
      <w:proofErr w:type="spellEnd"/>
      <w:r w:rsidRPr="009B1C39">
        <w:t xml:space="preserve"> and </w:t>
      </w:r>
      <w:proofErr w:type="spellStart"/>
      <w:r w:rsidRPr="009B1C39">
        <w:t>Fasina</w:t>
      </w:r>
      <w:proofErr w:type="spellEnd"/>
      <w:r w:rsidRPr="009B1C39">
        <w:t xml:space="preserve"> (2013). The estimated residue energy</w:t>
      </w:r>
      <w:r>
        <w:t xml:space="preserve"> potential in this work is 49 </w:t>
      </w:r>
      <w:proofErr w:type="spellStart"/>
      <w:r>
        <w:t>Mtoe</w:t>
      </w:r>
      <w:proofErr w:type="spellEnd"/>
      <w:r>
        <w:t xml:space="preserve"> (2,034</w:t>
      </w:r>
      <w:r w:rsidRPr="009B1C39">
        <w:t xml:space="preserve"> PJ). The current estimate is 1.79 </w:t>
      </w:r>
      <w:proofErr w:type="spellStart"/>
      <w:r w:rsidRPr="009B1C39">
        <w:t>Mtoe</w:t>
      </w:r>
      <w:proofErr w:type="spellEnd"/>
      <w:r w:rsidRPr="009B1C39">
        <w:t xml:space="preserve"> above the </w:t>
      </w:r>
      <w:r>
        <w:t xml:space="preserve">2010 </w:t>
      </w:r>
      <w:r w:rsidRPr="009B1C39">
        <w:t>est</w:t>
      </w:r>
      <w:r>
        <w:t>imates (</w:t>
      </w:r>
      <w:proofErr w:type="spellStart"/>
      <w:r>
        <w:t>Simonyan</w:t>
      </w:r>
      <w:proofErr w:type="spellEnd"/>
      <w:r>
        <w:t xml:space="preserve"> and </w:t>
      </w:r>
      <w:proofErr w:type="spellStart"/>
      <w:r>
        <w:t>Fasina</w:t>
      </w:r>
      <w:proofErr w:type="spellEnd"/>
      <w:r>
        <w:t>, 2013)</w:t>
      </w:r>
      <w:r w:rsidRPr="009B1C39">
        <w:t xml:space="preserve">. If 30% biomass to energy conversion efficiency is applied, the effective bioenergy that is obtainable from </w:t>
      </w:r>
      <w:r>
        <w:t>crop residues in Nigeria is 1.7</w:t>
      </w:r>
      <w:r w:rsidRPr="009B1C39">
        <w:t xml:space="preserve">% above </w:t>
      </w:r>
      <w:r>
        <w:t xml:space="preserve">the estimate of </w:t>
      </w:r>
      <w:proofErr w:type="spellStart"/>
      <w:r>
        <w:t>Simonyan</w:t>
      </w:r>
      <w:proofErr w:type="spellEnd"/>
      <w:r>
        <w:t xml:space="preserve"> and </w:t>
      </w:r>
      <w:proofErr w:type="spellStart"/>
      <w:r>
        <w:t>Fasina</w:t>
      </w:r>
      <w:proofErr w:type="spellEnd"/>
      <w:r>
        <w:t xml:space="preserve"> (2013)</w:t>
      </w:r>
      <w:r w:rsidRPr="009B1C39">
        <w:t>.</w:t>
      </w:r>
    </w:p>
    <w:p w:rsidR="002F40A8" w:rsidRPr="0026064E" w:rsidRDefault="002F40A8" w:rsidP="002F40A8">
      <w:pPr>
        <w:pStyle w:val="CETBodytext"/>
      </w:pPr>
      <w:r>
        <w:rPr>
          <w:noProof/>
          <w:lang w:val="en-GB" w:eastAsia="en-GB"/>
        </w:rPr>
        <w:lastRenderedPageBreak/>
        <w:drawing>
          <wp:inline distT="0" distB="0" distL="0" distR="0" wp14:anchorId="0942EDB1" wp14:editId="67A54D88">
            <wp:extent cx="5579745" cy="27851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9745" cy="2785110"/>
                    </a:xfrm>
                    <a:prstGeom prst="rect">
                      <a:avLst/>
                    </a:prstGeom>
                  </pic:spPr>
                </pic:pic>
              </a:graphicData>
            </a:graphic>
          </wp:inline>
        </w:drawing>
      </w:r>
    </w:p>
    <w:p w:rsidR="002F40A8" w:rsidRDefault="002F40A8" w:rsidP="002F40A8">
      <w:pPr>
        <w:pStyle w:val="CETCaption"/>
      </w:pPr>
      <w:r>
        <w:t>Figure 1: Crops cultivated in Nigeria (2004-2014)</w:t>
      </w:r>
    </w:p>
    <w:p w:rsidR="002F40A8" w:rsidRDefault="002F40A8" w:rsidP="002F40A8">
      <w:pPr>
        <w:pStyle w:val="CETBodytext"/>
      </w:pPr>
      <w:r>
        <w:t xml:space="preserve">Nigeria has great potentials to increase her bioenergy resources. The cultivated land in Nigeria is 44% of the total area (FAO, 2016). This leaves about 30,000,000 ha of agricultural land uncultivated. If 50% (15,000,000 ha) of the uncultivated land is available for energy crop production, the production of the crops can be increased by about 50%.  </w:t>
      </w:r>
    </w:p>
    <w:p w:rsidR="002F40A8" w:rsidRDefault="002F40A8" w:rsidP="002F40A8">
      <w:pPr>
        <w:pStyle w:val="CETheadingx"/>
      </w:pPr>
      <w:r>
        <w:t>Energy potential of perennial crop residues in Nigeria</w:t>
      </w:r>
    </w:p>
    <w:p w:rsidR="002F40A8" w:rsidRDefault="002F40A8" w:rsidP="002F40A8">
      <w:pPr>
        <w:pStyle w:val="CETBodytext"/>
      </w:pPr>
      <w:r>
        <w:t xml:space="preserve">Figure 2 </w:t>
      </w:r>
      <w:proofErr w:type="spellStart"/>
      <w:r>
        <w:t>summarises</w:t>
      </w:r>
      <w:proofErr w:type="spellEnd"/>
      <w:r>
        <w:t xml:space="preserve"> the available mass</w:t>
      </w:r>
      <w:r w:rsidRPr="009B1C39">
        <w:t xml:space="preserve"> and residue energy </w:t>
      </w:r>
      <w:r w:rsidR="002B2623">
        <w:t>of</w:t>
      </w:r>
      <w:r w:rsidRPr="009B1C39">
        <w:t xml:space="preserve"> perennial crops in </w:t>
      </w:r>
      <w:r>
        <w:t>Nigeria</w:t>
      </w:r>
      <w:r w:rsidRPr="009B1C39">
        <w:t>.</w:t>
      </w:r>
      <w:r>
        <w:t xml:space="preserve"> Figure 2</w:t>
      </w:r>
      <w:r w:rsidRPr="009B1C39">
        <w:t xml:space="preserve"> show</w:t>
      </w:r>
      <w:r>
        <w:t>s</w:t>
      </w:r>
      <w:r w:rsidRPr="009B1C39">
        <w:t xml:space="preserve"> that Nigeria has a perennial c</w:t>
      </w:r>
      <w:r>
        <w:t>rop biomass capacity of about 2.35</w:t>
      </w:r>
      <w:r w:rsidRPr="009B1C39">
        <w:t xml:space="preserve"> million </w:t>
      </w:r>
      <w:proofErr w:type="spellStart"/>
      <w:r w:rsidRPr="009B1C39">
        <w:t>tonnes</w:t>
      </w:r>
      <w:proofErr w:type="spellEnd"/>
      <w:r w:rsidRPr="009B1C39">
        <w:t xml:space="preserve"> of residues from which 0.69 </w:t>
      </w:r>
      <w:proofErr w:type="spellStart"/>
      <w:r w:rsidRPr="009B1C39">
        <w:t>Mtoe</w:t>
      </w:r>
      <w:proofErr w:type="spellEnd"/>
      <w:r w:rsidRPr="009B1C39">
        <w:t xml:space="preserve"> (28.88 </w:t>
      </w:r>
      <w:r>
        <w:t>PJ) of energy c</w:t>
      </w:r>
      <w:r w:rsidR="005F0A62">
        <w:t>an</w:t>
      </w:r>
      <w:r w:rsidRPr="009B1C39">
        <w:t xml:space="preserve"> be generated</w:t>
      </w:r>
      <w:r>
        <w:t>.</w:t>
      </w:r>
    </w:p>
    <w:p w:rsidR="002F40A8" w:rsidRDefault="002F40A8" w:rsidP="002F40A8">
      <w:pPr>
        <w:pStyle w:val="CETBodytext"/>
      </w:pPr>
    </w:p>
    <w:p w:rsidR="002F40A8" w:rsidRDefault="002F40A8" w:rsidP="002F40A8">
      <w:pPr>
        <w:pStyle w:val="CETBodytext"/>
      </w:pPr>
      <w:r>
        <w:tab/>
      </w:r>
      <w:r>
        <w:rPr>
          <w:noProof/>
          <w:lang w:val="en-GB" w:eastAsia="en-GB"/>
        </w:rPr>
        <w:drawing>
          <wp:inline distT="0" distB="0" distL="0" distR="0" wp14:anchorId="4B9C3704" wp14:editId="42F781C6">
            <wp:extent cx="2701151" cy="174568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9266" cy="1809096"/>
                    </a:xfrm>
                    <a:prstGeom prst="rect">
                      <a:avLst/>
                    </a:prstGeom>
                  </pic:spPr>
                </pic:pic>
              </a:graphicData>
            </a:graphic>
          </wp:inline>
        </w:drawing>
      </w:r>
      <w:r>
        <w:t xml:space="preserve"> </w:t>
      </w:r>
      <w:r>
        <w:rPr>
          <w:noProof/>
          <w:lang w:val="en-GB" w:eastAsia="en-GB"/>
        </w:rPr>
        <w:drawing>
          <wp:inline distT="0" distB="0" distL="0" distR="0" wp14:anchorId="2C3A634B" wp14:editId="57001055">
            <wp:extent cx="2789304" cy="166979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20301" cy="1748220"/>
                    </a:xfrm>
                    <a:prstGeom prst="rect">
                      <a:avLst/>
                    </a:prstGeom>
                  </pic:spPr>
                </pic:pic>
              </a:graphicData>
            </a:graphic>
          </wp:inline>
        </w:drawing>
      </w:r>
    </w:p>
    <w:p w:rsidR="002F40A8" w:rsidRDefault="002F40A8" w:rsidP="002F40A8">
      <w:pPr>
        <w:pStyle w:val="CETCaption"/>
        <w:numPr>
          <w:ilvl w:val="0"/>
          <w:numId w:val="22"/>
        </w:numPr>
        <w:ind w:left="284" w:hanging="284"/>
      </w:pPr>
      <w:r>
        <w:t xml:space="preserve">Available weights of perennial crop residues </w:t>
      </w:r>
      <w:r>
        <w:tab/>
        <w:t>(b) Energy potentials of perennial crop residues</w:t>
      </w:r>
    </w:p>
    <w:p w:rsidR="002F40A8" w:rsidRDefault="002F40A8" w:rsidP="002F40A8">
      <w:pPr>
        <w:pStyle w:val="CETCaption"/>
      </w:pPr>
      <w:r>
        <w:t>Figure 2: Biomass and bioenergy potentials of perennial crop residues</w:t>
      </w:r>
    </w:p>
    <w:p w:rsidR="002F40A8" w:rsidRDefault="002F40A8" w:rsidP="002F40A8">
      <w:pPr>
        <w:pStyle w:val="CETheadingx"/>
      </w:pPr>
      <w:r>
        <w:t>Forest residues</w:t>
      </w:r>
    </w:p>
    <w:p w:rsidR="002F40A8" w:rsidRDefault="002F40A8" w:rsidP="002F40A8">
      <w:pPr>
        <w:pStyle w:val="CETBodytext"/>
      </w:pPr>
      <w:r w:rsidRPr="00B706CD">
        <w:t xml:space="preserve">The estimated energy potential of Nigeria’s forest residue is about 8.68 </w:t>
      </w:r>
      <w:proofErr w:type="spellStart"/>
      <w:r w:rsidRPr="00B706CD">
        <w:t>Mtoe</w:t>
      </w:r>
      <w:proofErr w:type="spellEnd"/>
      <w:r w:rsidRPr="00B706CD">
        <w:t xml:space="preserve"> (363 PJ) which is obtainable f</w:t>
      </w:r>
      <w:r>
        <w:t>rom a biomass weight of about 19</w:t>
      </w:r>
      <w:r w:rsidRPr="00B706CD">
        <w:t xml:space="preserve"> million </w:t>
      </w:r>
      <w:proofErr w:type="spellStart"/>
      <w:r w:rsidRPr="00B706CD">
        <w:t>tonnes</w:t>
      </w:r>
      <w:proofErr w:type="spellEnd"/>
      <w:r w:rsidRPr="00B706CD">
        <w:t xml:space="preserve"> of forest residues.</w:t>
      </w:r>
      <w:r>
        <w:t xml:space="preserve"> The estimated energy potential in this work is much higher than the estimate for 2010 in Table 2.</w:t>
      </w:r>
    </w:p>
    <w:p w:rsidR="002F40A8" w:rsidRDefault="002F40A8" w:rsidP="002F40A8">
      <w:pPr>
        <w:pStyle w:val="CETheadingx"/>
      </w:pPr>
      <w:r>
        <w:t>Municipal solid wastes (MSW)</w:t>
      </w:r>
    </w:p>
    <w:p w:rsidR="002F40A8" w:rsidRDefault="002F40A8" w:rsidP="002F40A8">
      <w:pPr>
        <w:pStyle w:val="CETBodytext"/>
        <w:rPr>
          <w:rFonts w:cs="Arial"/>
        </w:rPr>
      </w:pPr>
      <w:r w:rsidRPr="00D360AD">
        <w:rPr>
          <w:rFonts w:cs="Arial"/>
        </w:rPr>
        <w:t>The yearly MSW potential of</w:t>
      </w:r>
      <w:r>
        <w:rPr>
          <w:rFonts w:cs="Arial"/>
        </w:rPr>
        <w:t xml:space="preserve"> Nigeria was estimated to be 17 million</w:t>
      </w:r>
      <w:r w:rsidRPr="00D360AD">
        <w:rPr>
          <w:rFonts w:cs="Arial"/>
        </w:rPr>
        <w:t xml:space="preserve"> </w:t>
      </w:r>
      <w:proofErr w:type="spellStart"/>
      <w:r w:rsidRPr="00D360AD">
        <w:rPr>
          <w:rFonts w:cs="Arial"/>
        </w:rPr>
        <w:t>tonnes</w:t>
      </w:r>
      <w:proofErr w:type="spellEnd"/>
      <w:r w:rsidRPr="00D360AD">
        <w:rPr>
          <w:rFonts w:cs="Arial"/>
        </w:rPr>
        <w:t xml:space="preserve"> with an organic content of 7</w:t>
      </w:r>
      <w:r>
        <w:rPr>
          <w:rFonts w:cs="Arial"/>
        </w:rPr>
        <w:t>.5 million</w:t>
      </w:r>
      <w:r w:rsidRPr="00D360AD">
        <w:rPr>
          <w:rFonts w:cs="Arial"/>
        </w:rPr>
        <w:t xml:space="preserve"> </w:t>
      </w:r>
      <w:proofErr w:type="spellStart"/>
      <w:r w:rsidRPr="00D360AD">
        <w:rPr>
          <w:rFonts w:cs="Arial"/>
        </w:rPr>
        <w:t>tonnes</w:t>
      </w:r>
      <w:proofErr w:type="spellEnd"/>
      <w:r w:rsidRPr="00D360AD">
        <w:rPr>
          <w:rFonts w:cs="Arial"/>
        </w:rPr>
        <w:t>.</w:t>
      </w:r>
      <w:r>
        <w:rPr>
          <w:rFonts w:cs="Arial"/>
        </w:rPr>
        <w:t xml:space="preserve"> </w:t>
      </w:r>
      <w:proofErr w:type="spellStart"/>
      <w:r w:rsidRPr="00D360AD">
        <w:rPr>
          <w:rFonts w:cs="Arial"/>
        </w:rPr>
        <w:t>Simonyan</w:t>
      </w:r>
      <w:proofErr w:type="spellEnd"/>
      <w:r w:rsidRPr="00D360AD">
        <w:rPr>
          <w:rFonts w:cs="Arial"/>
        </w:rPr>
        <w:t xml:space="preserve"> and </w:t>
      </w:r>
      <w:proofErr w:type="spellStart"/>
      <w:r w:rsidRPr="00D360AD">
        <w:rPr>
          <w:rFonts w:cs="Arial"/>
        </w:rPr>
        <w:t>Fasina</w:t>
      </w:r>
      <w:proofErr w:type="spellEnd"/>
      <w:r w:rsidRPr="00D360AD">
        <w:rPr>
          <w:rFonts w:cs="Arial"/>
        </w:rPr>
        <w:t xml:space="preserve"> (2013) estimated 3.17 million </w:t>
      </w:r>
      <w:proofErr w:type="spellStart"/>
      <w:r w:rsidRPr="00D360AD">
        <w:rPr>
          <w:rFonts w:cs="Arial"/>
        </w:rPr>
        <w:t>tonnes</w:t>
      </w:r>
      <w:proofErr w:type="spellEnd"/>
      <w:r w:rsidRPr="00D360AD">
        <w:rPr>
          <w:rFonts w:cs="Arial"/>
        </w:rPr>
        <w:t xml:space="preserve"> of MSW for the u</w:t>
      </w:r>
      <w:r>
        <w:rPr>
          <w:rFonts w:cs="Arial"/>
        </w:rPr>
        <w:t xml:space="preserve">rban population of Nigeria </w:t>
      </w:r>
      <w:r>
        <w:rPr>
          <w:rFonts w:cs="Arial"/>
        </w:rPr>
        <w:lastRenderedPageBreak/>
        <w:t>in</w:t>
      </w:r>
      <w:r w:rsidRPr="00D360AD">
        <w:rPr>
          <w:rFonts w:cs="Arial"/>
        </w:rPr>
        <w:t xml:space="preserve"> 2010. The estimate was based on the per capita waste generation of Ibadan (a city in Nigeria) as reported by </w:t>
      </w:r>
      <w:proofErr w:type="spellStart"/>
      <w:r w:rsidRPr="00D360AD">
        <w:rPr>
          <w:rFonts w:cs="Arial"/>
        </w:rPr>
        <w:t>Eisa</w:t>
      </w:r>
      <w:proofErr w:type="spellEnd"/>
      <w:r w:rsidRPr="00D360AD">
        <w:rPr>
          <w:rFonts w:cs="Arial"/>
        </w:rPr>
        <w:t xml:space="preserve"> and Visvanathan (2002). The authors estimated a total recoverable MSW of 1.90 million </w:t>
      </w:r>
      <w:proofErr w:type="spellStart"/>
      <w:r w:rsidRPr="00D360AD">
        <w:rPr>
          <w:rFonts w:cs="Arial"/>
        </w:rPr>
        <w:t>tonnes</w:t>
      </w:r>
      <w:proofErr w:type="spellEnd"/>
      <w:r>
        <w:rPr>
          <w:rFonts w:cs="Arial"/>
        </w:rPr>
        <w:t xml:space="preserve"> </w:t>
      </w:r>
      <w:r w:rsidRPr="00D360AD">
        <w:rPr>
          <w:rFonts w:cs="Arial"/>
        </w:rPr>
        <w:t>of waste based on 60% waste recovery from which 4.45x10</w:t>
      </w:r>
      <w:r w:rsidRPr="00D360AD">
        <w:rPr>
          <w:rFonts w:cs="Arial"/>
          <w:vertAlign w:val="superscript"/>
        </w:rPr>
        <w:t>-6</w:t>
      </w:r>
      <w:r w:rsidRPr="00D360AD">
        <w:rPr>
          <w:rFonts w:cs="Arial"/>
        </w:rPr>
        <w:t xml:space="preserve"> </w:t>
      </w:r>
      <w:proofErr w:type="spellStart"/>
      <w:r w:rsidRPr="00D360AD">
        <w:rPr>
          <w:rFonts w:cs="Arial"/>
        </w:rPr>
        <w:t>Mtoe</w:t>
      </w:r>
      <w:proofErr w:type="spellEnd"/>
      <w:r w:rsidRPr="00D360AD">
        <w:rPr>
          <w:rFonts w:cs="Arial"/>
        </w:rPr>
        <w:t xml:space="preserve"> (186.33 GJ) could be generated. Howe</w:t>
      </w:r>
      <w:r>
        <w:rPr>
          <w:rFonts w:cs="Arial"/>
        </w:rPr>
        <w:t>ver, the estimate in this work wa</w:t>
      </w:r>
      <w:r w:rsidRPr="00D360AD">
        <w:rPr>
          <w:rFonts w:cs="Arial"/>
        </w:rPr>
        <w:t xml:space="preserve">s based on MSW data that was obtained from the entire country. </w:t>
      </w:r>
      <w:r>
        <w:rPr>
          <w:rFonts w:cs="Arial"/>
        </w:rPr>
        <w:t xml:space="preserve">The estimated recoverable organic waste from the annual MSW produced in Nigeria is </w:t>
      </w:r>
      <w:r w:rsidRPr="00D360AD">
        <w:rPr>
          <w:rFonts w:cs="Arial"/>
        </w:rPr>
        <w:t xml:space="preserve">4.51 million </w:t>
      </w:r>
      <w:proofErr w:type="spellStart"/>
      <w:r w:rsidRPr="00D360AD">
        <w:rPr>
          <w:rFonts w:cs="Arial"/>
        </w:rPr>
        <w:t>tonnes</w:t>
      </w:r>
      <w:proofErr w:type="spellEnd"/>
      <w:r w:rsidRPr="00D360AD">
        <w:rPr>
          <w:rFonts w:cs="Arial"/>
        </w:rPr>
        <w:t xml:space="preserve"> </w:t>
      </w:r>
      <w:r>
        <w:rPr>
          <w:rFonts w:cs="Arial"/>
        </w:rPr>
        <w:t>based on 60% recovery</w:t>
      </w:r>
      <w:r w:rsidRPr="00D360AD">
        <w:rPr>
          <w:rFonts w:cs="Arial"/>
        </w:rPr>
        <w:t>. The energy potential of the recoverable organic waste is 0.51</w:t>
      </w:r>
      <w:r>
        <w:rPr>
          <w:rFonts w:cs="Arial"/>
        </w:rPr>
        <w:t xml:space="preserve"> </w:t>
      </w:r>
      <w:proofErr w:type="spellStart"/>
      <w:r w:rsidRPr="00D360AD">
        <w:rPr>
          <w:rFonts w:cs="Arial"/>
        </w:rPr>
        <w:t>Mtoe</w:t>
      </w:r>
      <w:proofErr w:type="spellEnd"/>
      <w:r w:rsidRPr="00D360AD">
        <w:rPr>
          <w:rFonts w:cs="Arial"/>
        </w:rPr>
        <w:t xml:space="preserve"> (21.36 PJ). The </w:t>
      </w:r>
      <w:r>
        <w:rPr>
          <w:rFonts w:cs="Arial"/>
        </w:rPr>
        <w:t xml:space="preserve">MSW estimate of </w:t>
      </w:r>
      <w:proofErr w:type="spellStart"/>
      <w:r>
        <w:rPr>
          <w:rFonts w:cs="Arial"/>
        </w:rPr>
        <w:t>Simonyan</w:t>
      </w:r>
      <w:proofErr w:type="spellEnd"/>
      <w:r>
        <w:rPr>
          <w:rFonts w:cs="Arial"/>
        </w:rPr>
        <w:t xml:space="preserve"> and </w:t>
      </w:r>
      <w:proofErr w:type="spellStart"/>
      <w:r>
        <w:rPr>
          <w:rFonts w:cs="Arial"/>
        </w:rPr>
        <w:t>Fasina</w:t>
      </w:r>
      <w:proofErr w:type="spellEnd"/>
      <w:r>
        <w:rPr>
          <w:rFonts w:cs="Arial"/>
        </w:rPr>
        <w:t xml:space="preserve"> was 1.9 million </w:t>
      </w:r>
      <w:proofErr w:type="spellStart"/>
      <w:r>
        <w:rPr>
          <w:rFonts w:cs="Arial"/>
        </w:rPr>
        <w:t>tonnes</w:t>
      </w:r>
      <w:proofErr w:type="spellEnd"/>
      <w:r>
        <w:rPr>
          <w:rFonts w:cs="Arial"/>
        </w:rPr>
        <w:t xml:space="preserve"> which</w:t>
      </w:r>
      <w:r w:rsidRPr="00D360AD">
        <w:rPr>
          <w:rFonts w:cs="Arial"/>
        </w:rPr>
        <w:t xml:space="preserve"> is 58% lower than the</w:t>
      </w:r>
      <w:r>
        <w:rPr>
          <w:rFonts w:cs="Arial"/>
        </w:rPr>
        <w:t xml:space="preserve"> present estimate</w:t>
      </w:r>
      <w:r w:rsidRPr="00D360AD">
        <w:rPr>
          <w:rFonts w:cs="Arial"/>
        </w:rPr>
        <w:t>.</w:t>
      </w:r>
    </w:p>
    <w:p w:rsidR="002F40A8" w:rsidRDefault="002F40A8" w:rsidP="002F40A8">
      <w:pPr>
        <w:pStyle w:val="CETheadingx"/>
      </w:pPr>
      <w:r>
        <w:t>Animal waste</w:t>
      </w:r>
    </w:p>
    <w:p w:rsidR="002F40A8" w:rsidRPr="00FA158E" w:rsidRDefault="002F40A8" w:rsidP="002F40A8">
      <w:pPr>
        <w:pStyle w:val="CETBodytext"/>
      </w:pPr>
      <w:r>
        <w:rPr>
          <w:rFonts w:cs="Arial"/>
        </w:rPr>
        <w:t>A total of 18</w:t>
      </w:r>
      <w:r w:rsidRPr="00D360AD">
        <w:rPr>
          <w:rFonts w:cs="Arial"/>
        </w:rPr>
        <w:t xml:space="preserve"> million </w:t>
      </w:r>
      <w:proofErr w:type="spellStart"/>
      <w:r w:rsidRPr="00D360AD">
        <w:rPr>
          <w:rFonts w:cs="Arial"/>
        </w:rPr>
        <w:t>tonnes</w:t>
      </w:r>
      <w:proofErr w:type="spellEnd"/>
      <w:r w:rsidRPr="00D360AD">
        <w:rPr>
          <w:rFonts w:cs="Arial"/>
        </w:rPr>
        <w:t xml:space="preserve"> of dry animal dung/year was estimated for 2013 from which the calculated yield of biogas was 4.76 billion</w:t>
      </w:r>
      <w:r w:rsidRPr="00D360AD">
        <w:rPr>
          <w:rFonts w:cs="Arial"/>
          <w:vertAlign w:val="superscript"/>
        </w:rPr>
        <w:t xml:space="preserve"> </w:t>
      </w:r>
      <w:r w:rsidRPr="00D360AD">
        <w:rPr>
          <w:rFonts w:cs="Arial"/>
        </w:rPr>
        <w:t>m</w:t>
      </w:r>
      <w:r w:rsidRPr="00D360AD">
        <w:rPr>
          <w:rFonts w:cs="Arial"/>
          <w:vertAlign w:val="superscript"/>
        </w:rPr>
        <w:t>3</w:t>
      </w:r>
      <w:r w:rsidRPr="00D360AD">
        <w:rPr>
          <w:rFonts w:cs="Arial"/>
        </w:rPr>
        <w:t xml:space="preserve">/year. The estimated volume of biogas in this work is equivalent to 2.54 </w:t>
      </w:r>
      <w:proofErr w:type="spellStart"/>
      <w:r w:rsidRPr="00D360AD">
        <w:rPr>
          <w:rFonts w:cs="Arial"/>
        </w:rPr>
        <w:t>Mtoe</w:t>
      </w:r>
      <w:proofErr w:type="spellEnd"/>
      <w:r w:rsidRPr="00D360AD">
        <w:rPr>
          <w:rFonts w:cs="Arial"/>
        </w:rPr>
        <w:t xml:space="preserve"> (106.39 PJ). </w:t>
      </w:r>
      <w:proofErr w:type="spellStart"/>
      <w:r w:rsidRPr="00D360AD">
        <w:rPr>
          <w:rFonts w:cs="Arial"/>
        </w:rPr>
        <w:t>Simonyan</w:t>
      </w:r>
      <w:proofErr w:type="spellEnd"/>
      <w:r w:rsidRPr="00D360AD">
        <w:rPr>
          <w:rFonts w:cs="Arial"/>
        </w:rPr>
        <w:t xml:space="preserve"> and </w:t>
      </w:r>
      <w:proofErr w:type="spellStart"/>
      <w:r w:rsidRPr="00D360AD">
        <w:rPr>
          <w:rFonts w:cs="Arial"/>
        </w:rPr>
        <w:t>Fasina</w:t>
      </w:r>
      <w:proofErr w:type="spellEnd"/>
      <w:r w:rsidRPr="00D360AD">
        <w:rPr>
          <w:rFonts w:cs="Arial"/>
        </w:rPr>
        <w:t xml:space="preserve"> (2013) estimated 15.76 million </w:t>
      </w:r>
      <w:proofErr w:type="spellStart"/>
      <w:r w:rsidRPr="00D360AD">
        <w:rPr>
          <w:rFonts w:cs="Arial"/>
        </w:rPr>
        <w:t>tonnes</w:t>
      </w:r>
      <w:proofErr w:type="spellEnd"/>
      <w:r w:rsidRPr="00D360AD">
        <w:rPr>
          <w:rFonts w:cs="Arial"/>
        </w:rPr>
        <w:t xml:space="preserve"> of dry matter and 4.19 billion m</w:t>
      </w:r>
      <w:r w:rsidRPr="00D360AD">
        <w:rPr>
          <w:rFonts w:cs="Arial"/>
          <w:vertAlign w:val="superscript"/>
        </w:rPr>
        <w:t>3</w:t>
      </w:r>
      <w:r w:rsidRPr="00D360AD">
        <w:rPr>
          <w:rFonts w:cs="Arial"/>
        </w:rPr>
        <w:t xml:space="preserve"> of biogas for Nigeria as of 2010. Ben-Iwo </w:t>
      </w:r>
      <w:r>
        <w:rPr>
          <w:rFonts w:cs="Arial"/>
        </w:rPr>
        <w:t>et al. (2016)</w:t>
      </w:r>
      <w:r w:rsidRPr="00D360AD">
        <w:rPr>
          <w:rFonts w:cs="Arial"/>
        </w:rPr>
        <w:t xml:space="preserve"> </w:t>
      </w:r>
      <w:r>
        <w:rPr>
          <w:rFonts w:cs="Arial"/>
        </w:rPr>
        <w:t>report</w:t>
      </w:r>
      <w:r w:rsidRPr="00D360AD">
        <w:rPr>
          <w:rFonts w:cs="Arial"/>
        </w:rPr>
        <w:t>ed an annual biogas yield of 2.48 billion m</w:t>
      </w:r>
      <w:r w:rsidRPr="00D360AD">
        <w:rPr>
          <w:rFonts w:cs="Arial"/>
          <w:vertAlign w:val="superscript"/>
        </w:rPr>
        <w:t>3</w:t>
      </w:r>
      <w:r w:rsidRPr="00D360AD">
        <w:rPr>
          <w:rFonts w:cs="Arial"/>
        </w:rPr>
        <w:t xml:space="preserve"> based on 0.03 m</w:t>
      </w:r>
      <w:r w:rsidRPr="00D360AD">
        <w:rPr>
          <w:rFonts w:cs="Arial"/>
          <w:vertAlign w:val="superscript"/>
        </w:rPr>
        <w:t>3</w:t>
      </w:r>
      <w:r w:rsidRPr="00D360AD">
        <w:rPr>
          <w:rFonts w:cs="Arial"/>
        </w:rPr>
        <w:t xml:space="preserve"> gas yield per kg of fresh animal waste. Compared with the </w:t>
      </w:r>
      <w:r>
        <w:rPr>
          <w:rFonts w:cs="Arial"/>
        </w:rPr>
        <w:t xml:space="preserve">estimate in this work, </w:t>
      </w:r>
      <w:r w:rsidRPr="00D360AD">
        <w:rPr>
          <w:rFonts w:cs="Arial"/>
        </w:rPr>
        <w:t>the</w:t>
      </w:r>
      <w:r>
        <w:rPr>
          <w:rFonts w:cs="Arial"/>
        </w:rPr>
        <w:t>se</w:t>
      </w:r>
      <w:r w:rsidRPr="00D360AD">
        <w:rPr>
          <w:rFonts w:cs="Arial"/>
        </w:rPr>
        <w:t xml:space="preserve"> authors have under-estimated the biogas yield that is obtainable from animal wastes in Nigeria.</w:t>
      </w:r>
    </w:p>
    <w:p w:rsidR="002F40A8" w:rsidRDefault="002F40A8" w:rsidP="002F40A8">
      <w:pPr>
        <w:pStyle w:val="CETheadingx"/>
      </w:pPr>
      <w:r>
        <w:t>Human waste</w:t>
      </w:r>
    </w:p>
    <w:p w:rsidR="002F40A8" w:rsidRDefault="002F40A8" w:rsidP="002F40A8">
      <w:pPr>
        <w:pStyle w:val="CETBodytext"/>
        <w:rPr>
          <w:rFonts w:cs="Arial"/>
        </w:rPr>
      </w:pPr>
      <w:r w:rsidRPr="00D360AD">
        <w:rPr>
          <w:rFonts w:cs="Arial"/>
        </w:rPr>
        <w:t xml:space="preserve">Given the densely populated nature of Nigeria, the country generates a large amount of human wastes. Based on the figure of </w:t>
      </w:r>
      <w:proofErr w:type="spellStart"/>
      <w:r w:rsidRPr="00D360AD">
        <w:rPr>
          <w:rFonts w:cs="Arial"/>
        </w:rPr>
        <w:t>Jossy</w:t>
      </w:r>
      <w:proofErr w:type="spellEnd"/>
      <w:r w:rsidRPr="00D360AD">
        <w:rPr>
          <w:rFonts w:cs="Arial"/>
        </w:rPr>
        <w:t xml:space="preserve"> (1994)</w:t>
      </w:r>
      <w:r>
        <w:rPr>
          <w:rFonts w:cs="Arial"/>
        </w:rPr>
        <w:t>;</w:t>
      </w:r>
      <w:r w:rsidRPr="00D360AD">
        <w:rPr>
          <w:rFonts w:cs="Arial"/>
        </w:rPr>
        <w:t xml:space="preserve"> a dry matter of 0.09</w:t>
      </w:r>
      <w:r>
        <w:rPr>
          <w:rFonts w:cs="Arial"/>
        </w:rPr>
        <w:t xml:space="preserve"> </w:t>
      </w:r>
      <w:r w:rsidRPr="00D360AD">
        <w:rPr>
          <w:rFonts w:cs="Arial"/>
        </w:rPr>
        <w:t xml:space="preserve">kg per head per day for urban population, Nigeria produced an annual dry matter of 2.87 million </w:t>
      </w:r>
      <w:proofErr w:type="spellStart"/>
      <w:r w:rsidRPr="00D360AD">
        <w:rPr>
          <w:rFonts w:cs="Arial"/>
        </w:rPr>
        <w:t>tonnes</w:t>
      </w:r>
      <w:proofErr w:type="spellEnd"/>
      <w:r w:rsidRPr="00D360AD">
        <w:rPr>
          <w:rFonts w:cs="Arial"/>
        </w:rPr>
        <w:t xml:space="preserve"> of waste in 2015. The overall estimate of biogas that could be produced from this dry matter was 1.29 billion</w:t>
      </w:r>
      <w:r w:rsidRPr="00D360AD">
        <w:rPr>
          <w:rFonts w:cs="Arial"/>
          <w:vertAlign w:val="superscript"/>
        </w:rPr>
        <w:t xml:space="preserve"> </w:t>
      </w:r>
      <w:r w:rsidRPr="00D360AD">
        <w:rPr>
          <w:rFonts w:cs="Arial"/>
        </w:rPr>
        <w:t>m</w:t>
      </w:r>
      <w:r w:rsidRPr="00D360AD">
        <w:rPr>
          <w:rFonts w:cs="Arial"/>
          <w:vertAlign w:val="superscript"/>
        </w:rPr>
        <w:t>3</w:t>
      </w:r>
      <w:r w:rsidRPr="00D360AD">
        <w:rPr>
          <w:rFonts w:cs="Arial"/>
        </w:rPr>
        <w:t xml:space="preserve"> (28.83 PJ)</w:t>
      </w:r>
      <w:r>
        <w:rPr>
          <w:rFonts w:cs="Arial"/>
        </w:rPr>
        <w:t>. T</w:t>
      </w:r>
      <w:r w:rsidRPr="00D360AD">
        <w:rPr>
          <w:rFonts w:cs="Arial"/>
        </w:rPr>
        <w:t>he potential yield of biogas from Nigeria’s urban population</w:t>
      </w:r>
      <w:r>
        <w:rPr>
          <w:rFonts w:cs="Arial"/>
        </w:rPr>
        <w:t>, as estimated in this work,</w:t>
      </w:r>
      <w:r w:rsidRPr="00D360AD">
        <w:rPr>
          <w:rFonts w:cs="Arial"/>
        </w:rPr>
        <w:t xml:space="preserve"> is 1.29 billion m</w:t>
      </w:r>
      <w:r w:rsidRPr="00D360AD">
        <w:rPr>
          <w:rFonts w:cs="Arial"/>
          <w:vertAlign w:val="superscript"/>
        </w:rPr>
        <w:t xml:space="preserve">3 </w:t>
      </w:r>
      <w:r w:rsidRPr="00D360AD">
        <w:rPr>
          <w:rFonts w:cs="Arial"/>
        </w:rPr>
        <w:t xml:space="preserve">which value is 9.3% larger than the estimate of </w:t>
      </w:r>
      <w:proofErr w:type="spellStart"/>
      <w:r w:rsidRPr="00D360AD">
        <w:rPr>
          <w:rFonts w:cs="Arial"/>
        </w:rPr>
        <w:t>Simonyan</w:t>
      </w:r>
      <w:proofErr w:type="spellEnd"/>
      <w:r w:rsidRPr="00D360AD">
        <w:rPr>
          <w:rFonts w:cs="Arial"/>
        </w:rPr>
        <w:t xml:space="preserve"> and </w:t>
      </w:r>
      <w:proofErr w:type="spellStart"/>
      <w:r w:rsidRPr="00D360AD">
        <w:rPr>
          <w:rFonts w:cs="Arial"/>
        </w:rPr>
        <w:t>Fasina</w:t>
      </w:r>
      <w:proofErr w:type="spellEnd"/>
      <w:r w:rsidRPr="00D360AD">
        <w:rPr>
          <w:rFonts w:cs="Arial"/>
        </w:rPr>
        <w:t xml:space="preserve"> (2013).</w:t>
      </w:r>
    </w:p>
    <w:p w:rsidR="002F40A8" w:rsidRDefault="002F40A8" w:rsidP="002F40A8">
      <w:pPr>
        <w:pStyle w:val="CETheadingx"/>
      </w:pPr>
      <w:r>
        <w:t>Summary of Nigeria’s biomass and bioenergy potentials</w:t>
      </w:r>
    </w:p>
    <w:p w:rsidR="002F40A8" w:rsidRDefault="002F40A8" w:rsidP="002F40A8">
      <w:pPr>
        <w:pStyle w:val="CETBodytext"/>
      </w:pPr>
      <w:r>
        <w:t xml:space="preserve">The summary of the estimated biomass and bioenergy potentials of Nigeria is presented in Table 4. </w:t>
      </w:r>
      <w:r w:rsidRPr="00D360AD">
        <w:rPr>
          <w:rFonts w:cs="Arial"/>
        </w:rPr>
        <w:t xml:space="preserve">The estimated overall biomass and bioenergy potentials of Nigeria in this work are </w:t>
      </w:r>
      <w:r>
        <w:rPr>
          <w:rFonts w:cs="Arial"/>
        </w:rPr>
        <w:t>200</w:t>
      </w:r>
      <w:r w:rsidRPr="00D47EB9">
        <w:rPr>
          <w:rFonts w:cs="Arial"/>
        </w:rPr>
        <w:t xml:space="preserve"> billion kg/year and </w:t>
      </w:r>
      <w:r>
        <w:rPr>
          <w:rFonts w:cs="Arial"/>
        </w:rPr>
        <w:t>2.58 billion GJ (</w:t>
      </w:r>
      <w:r w:rsidRPr="00D47EB9">
        <w:rPr>
          <w:rFonts w:cs="Arial"/>
        </w:rPr>
        <w:t xml:space="preserve">61.67 </w:t>
      </w:r>
      <w:proofErr w:type="spellStart"/>
      <w:r w:rsidRPr="00D47EB9">
        <w:rPr>
          <w:rFonts w:cs="Arial"/>
        </w:rPr>
        <w:t>Mtoe</w:t>
      </w:r>
      <w:proofErr w:type="spellEnd"/>
      <w:r>
        <w:rPr>
          <w:rFonts w:cs="Arial"/>
        </w:rPr>
        <w:t>) respectively. The estimate is</w:t>
      </w:r>
      <w:r w:rsidRPr="00D360AD">
        <w:rPr>
          <w:rFonts w:cs="Arial"/>
        </w:rPr>
        <w:t xml:space="preserve"> 51% of the nation’s t</w:t>
      </w:r>
      <w:r>
        <w:rPr>
          <w:rFonts w:cs="Arial"/>
        </w:rPr>
        <w:t>otal energy consumption in 2015.</w:t>
      </w:r>
    </w:p>
    <w:p w:rsidR="002F40A8" w:rsidRDefault="002F40A8" w:rsidP="002F40A8">
      <w:pPr>
        <w:pStyle w:val="CETTabletitle"/>
        <w:rPr>
          <w:sz w:val="24"/>
          <w:szCs w:val="24"/>
        </w:rPr>
      </w:pPr>
      <w:r>
        <w:t>Table 4</w:t>
      </w:r>
      <w:r w:rsidRPr="00D360AD">
        <w:t>: Summary of Nigeria’s biomass and bioenergy potentials</w:t>
      </w:r>
      <w:r>
        <w:rPr>
          <w:sz w:val="24"/>
          <w:szCs w:val="24"/>
        </w:rP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0"/>
        <w:gridCol w:w="2160"/>
        <w:gridCol w:w="3060"/>
        <w:gridCol w:w="20"/>
      </w:tblGrid>
      <w:tr w:rsidR="002F40A8" w:rsidRPr="00B57B36" w:rsidTr="00CA62CB">
        <w:tc>
          <w:tcPr>
            <w:tcW w:w="1980" w:type="dxa"/>
            <w:tcBorders>
              <w:top w:val="single" w:sz="12" w:space="0" w:color="008000"/>
              <w:bottom w:val="single" w:sz="6" w:space="0" w:color="008000"/>
            </w:tcBorders>
            <w:shd w:val="clear" w:color="auto" w:fill="FFFFFF"/>
          </w:tcPr>
          <w:p w:rsidR="002F40A8" w:rsidRPr="00B57B36" w:rsidRDefault="002F40A8" w:rsidP="00CA62CB">
            <w:pPr>
              <w:pStyle w:val="CETBodytext"/>
              <w:rPr>
                <w:lang w:val="en-GB"/>
              </w:rPr>
            </w:pPr>
            <w:r>
              <w:rPr>
                <w:lang w:val="en-GB"/>
              </w:rPr>
              <w:t>Biomass resource</w:t>
            </w:r>
          </w:p>
        </w:tc>
        <w:tc>
          <w:tcPr>
            <w:tcW w:w="2160" w:type="dxa"/>
            <w:tcBorders>
              <w:top w:val="single" w:sz="12" w:space="0" w:color="008000"/>
              <w:bottom w:val="single" w:sz="6" w:space="0" w:color="008000"/>
            </w:tcBorders>
            <w:shd w:val="clear" w:color="auto" w:fill="FFFFFF"/>
          </w:tcPr>
          <w:p w:rsidR="002F40A8" w:rsidRPr="00B57B36" w:rsidRDefault="002F40A8" w:rsidP="00CA62CB">
            <w:pPr>
              <w:pStyle w:val="CETBodytext"/>
              <w:rPr>
                <w:lang w:val="en-GB"/>
              </w:rPr>
            </w:pPr>
            <w:r>
              <w:rPr>
                <w:lang w:val="en-GB"/>
              </w:rPr>
              <w:t>Quantity (billion kg/year)</w:t>
            </w:r>
          </w:p>
        </w:tc>
        <w:tc>
          <w:tcPr>
            <w:tcW w:w="3060" w:type="dxa"/>
            <w:tcBorders>
              <w:top w:val="single" w:sz="12" w:space="0" w:color="008000"/>
              <w:bottom w:val="single" w:sz="6" w:space="0" w:color="008000"/>
            </w:tcBorders>
            <w:shd w:val="clear" w:color="auto" w:fill="FFFFFF"/>
          </w:tcPr>
          <w:p w:rsidR="002F40A8" w:rsidRPr="00B57B36" w:rsidRDefault="002F40A8" w:rsidP="00CA62CB">
            <w:pPr>
              <w:pStyle w:val="CETBodytext"/>
              <w:rPr>
                <w:lang w:val="en-GB"/>
              </w:rPr>
            </w:pPr>
            <w:r>
              <w:rPr>
                <w:lang w:val="en-GB"/>
              </w:rPr>
              <w:t>Estimated energy potential (PJ/year)</w:t>
            </w:r>
          </w:p>
        </w:tc>
        <w:tc>
          <w:tcPr>
            <w:tcW w:w="20" w:type="dxa"/>
            <w:tcBorders>
              <w:top w:val="single" w:sz="12" w:space="0" w:color="008000"/>
              <w:bottom w:val="single" w:sz="6" w:space="0" w:color="008000"/>
            </w:tcBorders>
            <w:shd w:val="clear" w:color="auto" w:fill="FFFFFF"/>
          </w:tcPr>
          <w:p w:rsidR="002F40A8" w:rsidRPr="00B57B36" w:rsidRDefault="002F40A8" w:rsidP="00CA62CB">
            <w:pPr>
              <w:pStyle w:val="CETBodytext"/>
              <w:ind w:right="-1"/>
              <w:rPr>
                <w:rFonts w:cs="Arial"/>
                <w:szCs w:val="18"/>
                <w:lang w:val="en-GB"/>
              </w:rPr>
            </w:pPr>
          </w:p>
        </w:tc>
      </w:tr>
      <w:tr w:rsidR="002F40A8" w:rsidRPr="00B57B36" w:rsidTr="00CA62CB">
        <w:tc>
          <w:tcPr>
            <w:tcW w:w="1980" w:type="dxa"/>
            <w:shd w:val="clear" w:color="auto" w:fill="FFFFFF"/>
          </w:tcPr>
          <w:p w:rsidR="002F40A8" w:rsidRPr="00B57B36" w:rsidRDefault="002F40A8" w:rsidP="00CA62CB">
            <w:pPr>
              <w:pStyle w:val="CETBodytext"/>
              <w:rPr>
                <w:lang w:val="en-GB"/>
              </w:rPr>
            </w:pPr>
            <w:r>
              <w:rPr>
                <w:lang w:val="en-GB"/>
              </w:rPr>
              <w:t>Crop residues</w:t>
            </w:r>
          </w:p>
        </w:tc>
        <w:tc>
          <w:tcPr>
            <w:tcW w:w="2160" w:type="dxa"/>
            <w:shd w:val="clear" w:color="auto" w:fill="FFFFFF"/>
          </w:tcPr>
          <w:p w:rsidR="002F40A8" w:rsidRPr="00B57B36" w:rsidRDefault="002F40A8" w:rsidP="00CA62CB">
            <w:pPr>
              <w:pStyle w:val="CETBodytext"/>
              <w:rPr>
                <w:lang w:val="en-GB"/>
              </w:rPr>
            </w:pPr>
            <w:r>
              <w:rPr>
                <w:lang w:val="en-GB"/>
              </w:rPr>
              <w:t>153.76</w:t>
            </w:r>
          </w:p>
        </w:tc>
        <w:tc>
          <w:tcPr>
            <w:tcW w:w="3060" w:type="dxa"/>
            <w:shd w:val="clear" w:color="auto" w:fill="FFFFFF"/>
          </w:tcPr>
          <w:p w:rsidR="002F40A8" w:rsidRPr="00B57B36" w:rsidRDefault="002F40A8" w:rsidP="00CA62CB">
            <w:pPr>
              <w:pStyle w:val="CETBodytext"/>
              <w:rPr>
                <w:lang w:val="en-GB"/>
              </w:rPr>
            </w:pPr>
            <w:r>
              <w:rPr>
                <w:lang w:val="en-GB"/>
              </w:rPr>
              <w:t>2,033.85</w:t>
            </w:r>
          </w:p>
        </w:tc>
        <w:tc>
          <w:tcPr>
            <w:tcW w:w="20" w:type="dxa"/>
            <w:shd w:val="clear" w:color="auto" w:fill="FFFFFF"/>
          </w:tcPr>
          <w:p w:rsidR="002F40A8" w:rsidRPr="00B57B36" w:rsidRDefault="002F40A8" w:rsidP="00CA62CB">
            <w:pPr>
              <w:pStyle w:val="CETBodytext"/>
              <w:ind w:right="-1"/>
              <w:rPr>
                <w:rFonts w:cs="Arial"/>
                <w:szCs w:val="18"/>
                <w:lang w:val="en-GB"/>
              </w:rPr>
            </w:pPr>
          </w:p>
        </w:tc>
      </w:tr>
      <w:tr w:rsidR="002F40A8" w:rsidRPr="00B57B36" w:rsidTr="00CA62CB">
        <w:tc>
          <w:tcPr>
            <w:tcW w:w="1980" w:type="dxa"/>
            <w:shd w:val="clear" w:color="auto" w:fill="FFFFFF"/>
          </w:tcPr>
          <w:p w:rsidR="002F40A8" w:rsidRDefault="002F40A8" w:rsidP="00CA62CB">
            <w:pPr>
              <w:pStyle w:val="CETBodytext"/>
              <w:rPr>
                <w:lang w:val="en-GB"/>
              </w:rPr>
            </w:pPr>
            <w:r>
              <w:rPr>
                <w:rFonts w:cs="Arial"/>
                <w:szCs w:val="18"/>
                <w:lang w:val="en-GB"/>
              </w:rPr>
              <w:t>Perennial crop residues</w:t>
            </w:r>
          </w:p>
        </w:tc>
        <w:tc>
          <w:tcPr>
            <w:tcW w:w="2160" w:type="dxa"/>
            <w:shd w:val="clear" w:color="auto" w:fill="FFFFFF"/>
          </w:tcPr>
          <w:p w:rsidR="002F40A8" w:rsidRPr="00B57B36" w:rsidRDefault="002F40A8" w:rsidP="00CA62CB">
            <w:pPr>
              <w:pStyle w:val="CETBodytext"/>
              <w:rPr>
                <w:lang w:val="en-GB"/>
              </w:rPr>
            </w:pPr>
            <w:r>
              <w:rPr>
                <w:lang w:val="en-GB"/>
              </w:rPr>
              <w:t>2.35</w:t>
            </w:r>
          </w:p>
        </w:tc>
        <w:tc>
          <w:tcPr>
            <w:tcW w:w="3060" w:type="dxa"/>
            <w:shd w:val="clear" w:color="auto" w:fill="FFFFFF"/>
          </w:tcPr>
          <w:p w:rsidR="002F40A8" w:rsidRPr="00B57B36" w:rsidRDefault="002F40A8" w:rsidP="00CA62CB">
            <w:pPr>
              <w:pStyle w:val="CETBodytext"/>
              <w:rPr>
                <w:lang w:val="en-GB"/>
              </w:rPr>
            </w:pPr>
            <w:r>
              <w:rPr>
                <w:lang w:val="en-GB"/>
              </w:rPr>
              <w:t>28.88</w:t>
            </w:r>
          </w:p>
        </w:tc>
        <w:tc>
          <w:tcPr>
            <w:tcW w:w="20" w:type="dxa"/>
            <w:shd w:val="clear" w:color="auto" w:fill="FFFFFF"/>
          </w:tcPr>
          <w:p w:rsidR="002F40A8" w:rsidRPr="00B57B36" w:rsidRDefault="002F40A8" w:rsidP="00CA62CB">
            <w:pPr>
              <w:pStyle w:val="CETBodytext"/>
              <w:ind w:right="-1"/>
              <w:rPr>
                <w:rFonts w:cs="Arial"/>
                <w:szCs w:val="18"/>
                <w:lang w:val="en-GB"/>
              </w:rPr>
            </w:pPr>
          </w:p>
        </w:tc>
      </w:tr>
      <w:tr w:rsidR="002F40A8" w:rsidRPr="00B57B36" w:rsidTr="00CA62CB">
        <w:tc>
          <w:tcPr>
            <w:tcW w:w="1980" w:type="dxa"/>
            <w:shd w:val="clear" w:color="auto" w:fill="FFFFFF"/>
          </w:tcPr>
          <w:p w:rsidR="002F40A8" w:rsidRDefault="002F40A8" w:rsidP="00CA62CB">
            <w:pPr>
              <w:pStyle w:val="CETBodytext"/>
              <w:rPr>
                <w:rFonts w:cs="Arial"/>
                <w:szCs w:val="18"/>
                <w:lang w:val="en-GB"/>
              </w:rPr>
            </w:pPr>
            <w:r>
              <w:rPr>
                <w:rFonts w:cs="Arial"/>
                <w:szCs w:val="18"/>
                <w:lang w:val="en-GB"/>
              </w:rPr>
              <w:t>Forest residues</w:t>
            </w:r>
          </w:p>
        </w:tc>
        <w:tc>
          <w:tcPr>
            <w:tcW w:w="2160" w:type="dxa"/>
            <w:shd w:val="clear" w:color="auto" w:fill="FFFFFF"/>
          </w:tcPr>
          <w:p w:rsidR="002F40A8" w:rsidRPr="00B57B36" w:rsidRDefault="002F40A8" w:rsidP="00CA62CB">
            <w:pPr>
              <w:pStyle w:val="CETBodytext"/>
              <w:rPr>
                <w:lang w:val="en-GB"/>
              </w:rPr>
            </w:pPr>
            <w:r>
              <w:rPr>
                <w:lang w:val="en-GB"/>
              </w:rPr>
              <w:t>19</w:t>
            </w:r>
          </w:p>
        </w:tc>
        <w:tc>
          <w:tcPr>
            <w:tcW w:w="3060" w:type="dxa"/>
            <w:shd w:val="clear" w:color="auto" w:fill="FFFFFF"/>
          </w:tcPr>
          <w:p w:rsidR="002F40A8" w:rsidRPr="00B57B36" w:rsidRDefault="002F40A8" w:rsidP="00CA62CB">
            <w:pPr>
              <w:pStyle w:val="CETBodytext"/>
              <w:rPr>
                <w:lang w:val="en-GB"/>
              </w:rPr>
            </w:pPr>
            <w:r>
              <w:rPr>
                <w:lang w:val="en-GB"/>
              </w:rPr>
              <w:t>362.95</w:t>
            </w:r>
          </w:p>
        </w:tc>
        <w:tc>
          <w:tcPr>
            <w:tcW w:w="20" w:type="dxa"/>
            <w:shd w:val="clear" w:color="auto" w:fill="FFFFFF"/>
          </w:tcPr>
          <w:p w:rsidR="002F40A8" w:rsidRPr="00B57B36" w:rsidRDefault="002F40A8" w:rsidP="00CA62CB">
            <w:pPr>
              <w:pStyle w:val="CETBodytext"/>
              <w:ind w:right="-1"/>
              <w:rPr>
                <w:rFonts w:cs="Arial"/>
                <w:szCs w:val="18"/>
                <w:lang w:val="en-GB"/>
              </w:rPr>
            </w:pPr>
          </w:p>
        </w:tc>
      </w:tr>
      <w:tr w:rsidR="002F40A8" w:rsidRPr="00B57B36" w:rsidTr="00CA62CB">
        <w:tc>
          <w:tcPr>
            <w:tcW w:w="1980" w:type="dxa"/>
            <w:shd w:val="clear" w:color="auto" w:fill="FFFFFF"/>
          </w:tcPr>
          <w:p w:rsidR="002F40A8" w:rsidRDefault="002F40A8" w:rsidP="00CA62CB">
            <w:pPr>
              <w:pStyle w:val="CETBodytext"/>
              <w:rPr>
                <w:rFonts w:cs="Arial"/>
                <w:szCs w:val="18"/>
                <w:lang w:val="en-GB"/>
              </w:rPr>
            </w:pPr>
            <w:r>
              <w:rPr>
                <w:rFonts w:cs="Arial"/>
                <w:szCs w:val="18"/>
                <w:lang w:val="en-GB"/>
              </w:rPr>
              <w:t>Municipal solid wastes</w:t>
            </w:r>
          </w:p>
        </w:tc>
        <w:tc>
          <w:tcPr>
            <w:tcW w:w="2160" w:type="dxa"/>
            <w:shd w:val="clear" w:color="auto" w:fill="FFFFFF"/>
          </w:tcPr>
          <w:p w:rsidR="002F40A8" w:rsidRPr="00B57B36" w:rsidRDefault="002F40A8" w:rsidP="00CA62CB">
            <w:pPr>
              <w:pStyle w:val="CETBodytext"/>
              <w:rPr>
                <w:lang w:val="en-GB"/>
              </w:rPr>
            </w:pPr>
            <w:r>
              <w:rPr>
                <w:lang w:val="en-GB"/>
              </w:rPr>
              <w:t>4.51</w:t>
            </w:r>
          </w:p>
        </w:tc>
        <w:tc>
          <w:tcPr>
            <w:tcW w:w="3060" w:type="dxa"/>
            <w:shd w:val="clear" w:color="auto" w:fill="FFFFFF"/>
          </w:tcPr>
          <w:p w:rsidR="002F40A8" w:rsidRPr="00B57B36" w:rsidRDefault="002F40A8" w:rsidP="00CA62CB">
            <w:pPr>
              <w:pStyle w:val="CETBodytext"/>
              <w:rPr>
                <w:lang w:val="en-GB"/>
              </w:rPr>
            </w:pPr>
            <w:r>
              <w:rPr>
                <w:lang w:val="en-GB"/>
              </w:rPr>
              <w:t>21.36</w:t>
            </w:r>
          </w:p>
        </w:tc>
        <w:tc>
          <w:tcPr>
            <w:tcW w:w="20" w:type="dxa"/>
            <w:shd w:val="clear" w:color="auto" w:fill="FFFFFF"/>
          </w:tcPr>
          <w:p w:rsidR="002F40A8" w:rsidRPr="00B57B36" w:rsidRDefault="002F40A8" w:rsidP="00CA62CB">
            <w:pPr>
              <w:pStyle w:val="CETBodytext"/>
              <w:ind w:right="-1"/>
              <w:rPr>
                <w:rFonts w:cs="Arial"/>
                <w:szCs w:val="18"/>
                <w:lang w:val="en-GB"/>
              </w:rPr>
            </w:pPr>
          </w:p>
        </w:tc>
      </w:tr>
      <w:tr w:rsidR="002F40A8" w:rsidRPr="00B57B36" w:rsidTr="00CA62CB">
        <w:tc>
          <w:tcPr>
            <w:tcW w:w="1980" w:type="dxa"/>
            <w:shd w:val="clear" w:color="auto" w:fill="FFFFFF"/>
          </w:tcPr>
          <w:p w:rsidR="002F40A8" w:rsidRDefault="002F40A8" w:rsidP="00CA62CB">
            <w:pPr>
              <w:pStyle w:val="CETBodytext"/>
              <w:rPr>
                <w:rFonts w:cs="Arial"/>
                <w:szCs w:val="18"/>
                <w:lang w:val="en-GB"/>
              </w:rPr>
            </w:pPr>
            <w:r>
              <w:rPr>
                <w:rFonts w:cs="Arial"/>
                <w:szCs w:val="18"/>
                <w:lang w:val="en-GB"/>
              </w:rPr>
              <w:t>Animal wastes</w:t>
            </w:r>
          </w:p>
        </w:tc>
        <w:tc>
          <w:tcPr>
            <w:tcW w:w="2160" w:type="dxa"/>
            <w:shd w:val="clear" w:color="auto" w:fill="FFFFFF"/>
          </w:tcPr>
          <w:p w:rsidR="002F40A8" w:rsidRPr="00B57B36" w:rsidRDefault="002F40A8" w:rsidP="00CA62CB">
            <w:pPr>
              <w:pStyle w:val="CETBodytext"/>
              <w:rPr>
                <w:lang w:val="en-GB"/>
              </w:rPr>
            </w:pPr>
            <w:r>
              <w:rPr>
                <w:lang w:val="en-GB"/>
              </w:rPr>
              <w:t>17.69</w:t>
            </w:r>
          </w:p>
        </w:tc>
        <w:tc>
          <w:tcPr>
            <w:tcW w:w="3060" w:type="dxa"/>
            <w:shd w:val="clear" w:color="auto" w:fill="FFFFFF"/>
          </w:tcPr>
          <w:p w:rsidR="002F40A8" w:rsidRPr="00B57B36" w:rsidRDefault="002F40A8" w:rsidP="00CA62CB">
            <w:pPr>
              <w:pStyle w:val="CETBodytext"/>
              <w:rPr>
                <w:lang w:val="en-GB"/>
              </w:rPr>
            </w:pPr>
            <w:r>
              <w:rPr>
                <w:lang w:val="en-GB"/>
              </w:rPr>
              <w:t>106.39</w:t>
            </w:r>
          </w:p>
        </w:tc>
        <w:tc>
          <w:tcPr>
            <w:tcW w:w="20" w:type="dxa"/>
            <w:shd w:val="clear" w:color="auto" w:fill="FFFFFF"/>
          </w:tcPr>
          <w:p w:rsidR="002F40A8" w:rsidRPr="00B57B36" w:rsidRDefault="002F40A8" w:rsidP="00CA62CB">
            <w:pPr>
              <w:pStyle w:val="CETBodytext"/>
              <w:ind w:right="-1"/>
              <w:rPr>
                <w:rFonts w:cs="Arial"/>
                <w:szCs w:val="18"/>
                <w:lang w:val="en-GB"/>
              </w:rPr>
            </w:pPr>
          </w:p>
        </w:tc>
      </w:tr>
      <w:tr w:rsidR="002F40A8" w:rsidRPr="00B57B36" w:rsidTr="00CA62CB">
        <w:tc>
          <w:tcPr>
            <w:tcW w:w="1980" w:type="dxa"/>
            <w:shd w:val="clear" w:color="auto" w:fill="FFFFFF"/>
          </w:tcPr>
          <w:p w:rsidR="002F40A8" w:rsidRDefault="002F40A8" w:rsidP="00CA62CB">
            <w:pPr>
              <w:pStyle w:val="CETBodytext"/>
              <w:rPr>
                <w:rFonts w:cs="Arial"/>
                <w:szCs w:val="18"/>
                <w:lang w:val="en-GB"/>
              </w:rPr>
            </w:pPr>
            <w:r>
              <w:rPr>
                <w:rFonts w:cs="Arial"/>
                <w:szCs w:val="18"/>
                <w:lang w:val="en-GB"/>
              </w:rPr>
              <w:t>Human wastes</w:t>
            </w:r>
          </w:p>
        </w:tc>
        <w:tc>
          <w:tcPr>
            <w:tcW w:w="2160" w:type="dxa"/>
            <w:shd w:val="clear" w:color="auto" w:fill="FFFFFF"/>
          </w:tcPr>
          <w:p w:rsidR="002F40A8" w:rsidRPr="00B57B36" w:rsidRDefault="002F40A8" w:rsidP="00CA62CB">
            <w:pPr>
              <w:pStyle w:val="CETBodytext"/>
              <w:rPr>
                <w:lang w:val="en-GB"/>
              </w:rPr>
            </w:pPr>
            <w:r>
              <w:rPr>
                <w:lang w:val="en-GB"/>
              </w:rPr>
              <w:t>2.87</w:t>
            </w:r>
          </w:p>
        </w:tc>
        <w:tc>
          <w:tcPr>
            <w:tcW w:w="3060" w:type="dxa"/>
            <w:shd w:val="clear" w:color="auto" w:fill="FFFFFF"/>
          </w:tcPr>
          <w:p w:rsidR="002F40A8" w:rsidRPr="00B57B36" w:rsidRDefault="002F40A8" w:rsidP="00CA62CB">
            <w:pPr>
              <w:pStyle w:val="CETBodytext"/>
              <w:rPr>
                <w:lang w:val="en-GB"/>
              </w:rPr>
            </w:pPr>
            <w:r>
              <w:rPr>
                <w:lang w:val="en-GB"/>
              </w:rPr>
              <w:t>28.83</w:t>
            </w:r>
          </w:p>
        </w:tc>
        <w:tc>
          <w:tcPr>
            <w:tcW w:w="20" w:type="dxa"/>
            <w:shd w:val="clear" w:color="auto" w:fill="FFFFFF"/>
          </w:tcPr>
          <w:p w:rsidR="002F40A8" w:rsidRPr="00B57B36" w:rsidRDefault="002F40A8" w:rsidP="00CA62CB">
            <w:pPr>
              <w:pStyle w:val="CETBodytext"/>
              <w:ind w:right="-1"/>
              <w:rPr>
                <w:rFonts w:cs="Arial"/>
                <w:szCs w:val="18"/>
                <w:lang w:val="en-GB"/>
              </w:rPr>
            </w:pPr>
          </w:p>
        </w:tc>
      </w:tr>
      <w:tr w:rsidR="002F40A8" w:rsidRPr="00B57B36" w:rsidTr="00CA62CB">
        <w:tc>
          <w:tcPr>
            <w:tcW w:w="1980" w:type="dxa"/>
            <w:shd w:val="clear" w:color="auto" w:fill="FFFFFF"/>
          </w:tcPr>
          <w:p w:rsidR="002F40A8" w:rsidRPr="00B57B36" w:rsidRDefault="002F40A8" w:rsidP="00CA62CB">
            <w:pPr>
              <w:pStyle w:val="CETBodytext"/>
              <w:ind w:right="-1"/>
              <w:rPr>
                <w:rFonts w:cs="Arial"/>
                <w:szCs w:val="18"/>
                <w:lang w:val="en-GB"/>
              </w:rPr>
            </w:pPr>
            <w:r>
              <w:rPr>
                <w:rFonts w:cs="Arial"/>
                <w:szCs w:val="18"/>
                <w:lang w:val="en-GB"/>
              </w:rPr>
              <w:t>Overall total</w:t>
            </w:r>
          </w:p>
        </w:tc>
        <w:tc>
          <w:tcPr>
            <w:tcW w:w="2160" w:type="dxa"/>
            <w:shd w:val="clear" w:color="auto" w:fill="FFFFFF"/>
          </w:tcPr>
          <w:p w:rsidR="002F40A8" w:rsidRPr="00B57B36" w:rsidRDefault="002F40A8" w:rsidP="00CA62CB">
            <w:pPr>
              <w:pStyle w:val="CETBodytext"/>
              <w:ind w:right="-1"/>
              <w:rPr>
                <w:rFonts w:cs="Arial"/>
                <w:szCs w:val="18"/>
                <w:lang w:val="en-GB"/>
              </w:rPr>
            </w:pPr>
            <w:r>
              <w:rPr>
                <w:rFonts w:cs="Arial"/>
                <w:szCs w:val="18"/>
                <w:lang w:val="en-GB"/>
              </w:rPr>
              <w:t>200.18</w:t>
            </w:r>
          </w:p>
        </w:tc>
        <w:tc>
          <w:tcPr>
            <w:tcW w:w="3060" w:type="dxa"/>
            <w:shd w:val="clear" w:color="auto" w:fill="FFFFFF"/>
          </w:tcPr>
          <w:p w:rsidR="002F40A8" w:rsidRPr="00B57B36" w:rsidRDefault="002F40A8" w:rsidP="00CA62CB">
            <w:pPr>
              <w:pStyle w:val="CETBodytext"/>
              <w:ind w:right="-1"/>
              <w:rPr>
                <w:rFonts w:cs="Arial"/>
                <w:szCs w:val="18"/>
                <w:lang w:val="en-GB"/>
              </w:rPr>
            </w:pPr>
            <w:r>
              <w:rPr>
                <w:rFonts w:cs="Arial"/>
                <w:szCs w:val="18"/>
                <w:lang w:val="en-GB"/>
              </w:rPr>
              <w:t xml:space="preserve">2,582.26 (61.67 </w:t>
            </w:r>
            <w:proofErr w:type="spellStart"/>
            <w:r>
              <w:rPr>
                <w:rFonts w:cs="Arial"/>
                <w:szCs w:val="18"/>
                <w:lang w:val="en-GB"/>
              </w:rPr>
              <w:t>Mtoe</w:t>
            </w:r>
            <w:proofErr w:type="spellEnd"/>
            <w:r>
              <w:rPr>
                <w:rFonts w:cs="Arial"/>
                <w:szCs w:val="18"/>
                <w:lang w:val="en-GB"/>
              </w:rPr>
              <w:t>)</w:t>
            </w:r>
          </w:p>
        </w:tc>
        <w:tc>
          <w:tcPr>
            <w:tcW w:w="20" w:type="dxa"/>
            <w:shd w:val="clear" w:color="auto" w:fill="FFFFFF"/>
          </w:tcPr>
          <w:p w:rsidR="002F40A8" w:rsidRPr="00B57B36" w:rsidRDefault="002F40A8" w:rsidP="00CA62CB">
            <w:pPr>
              <w:pStyle w:val="CETBodytext"/>
              <w:ind w:right="-1"/>
              <w:rPr>
                <w:rFonts w:cs="Arial"/>
                <w:szCs w:val="18"/>
                <w:lang w:val="en-GB"/>
              </w:rPr>
            </w:pPr>
          </w:p>
        </w:tc>
      </w:tr>
    </w:tbl>
    <w:p w:rsidR="002F40A8" w:rsidRDefault="002F40A8" w:rsidP="002F40A8">
      <w:pPr>
        <w:pStyle w:val="CETHeading1"/>
      </w:pPr>
      <w:r>
        <w:t>Conclusion</w:t>
      </w:r>
    </w:p>
    <w:p w:rsidR="002F40A8" w:rsidRPr="007F0BFC" w:rsidRDefault="002F40A8" w:rsidP="002F40A8">
      <w:pPr>
        <w:pStyle w:val="CETBodytext"/>
        <w:rPr>
          <w:rFonts w:cs="Arial"/>
        </w:rPr>
      </w:pPr>
      <w:r w:rsidRPr="00D360AD">
        <w:rPr>
          <w:rFonts w:cs="Arial"/>
        </w:rPr>
        <w:t>The foregoing analysis has shown th</w:t>
      </w:r>
      <w:r>
        <w:rPr>
          <w:rFonts w:cs="Arial"/>
        </w:rPr>
        <w:t>at Nigeria’s biomass resources are 200 billion kg/year and</w:t>
      </w:r>
      <w:r w:rsidRPr="00D360AD">
        <w:rPr>
          <w:rFonts w:cs="Arial"/>
        </w:rPr>
        <w:t xml:space="preserve"> have</w:t>
      </w:r>
      <w:r>
        <w:rPr>
          <w:rFonts w:cs="Arial"/>
        </w:rPr>
        <w:t xml:space="preserve"> the potential to generate</w:t>
      </w:r>
      <w:r w:rsidRPr="00D360AD">
        <w:rPr>
          <w:rFonts w:cs="Arial"/>
        </w:rPr>
        <w:t xml:space="preserve"> </w:t>
      </w:r>
      <w:r>
        <w:rPr>
          <w:rFonts w:cs="Arial"/>
        </w:rPr>
        <w:t>62</w:t>
      </w:r>
      <w:r w:rsidRPr="0000023D">
        <w:rPr>
          <w:rFonts w:cs="Arial"/>
        </w:rPr>
        <w:t xml:space="preserve"> </w:t>
      </w:r>
      <w:proofErr w:type="spellStart"/>
      <w:r w:rsidRPr="0000023D">
        <w:rPr>
          <w:rFonts w:cs="Arial"/>
        </w:rPr>
        <w:t>Mtoe</w:t>
      </w:r>
      <w:proofErr w:type="spellEnd"/>
      <w:r w:rsidRPr="0000023D">
        <w:rPr>
          <w:rFonts w:cs="Arial"/>
        </w:rPr>
        <w:t xml:space="preserve"> (2.58 billion GJ)</w:t>
      </w:r>
      <w:r w:rsidRPr="00D360AD">
        <w:rPr>
          <w:rFonts w:cs="Arial"/>
        </w:rPr>
        <w:t xml:space="preserve"> of energy annually. </w:t>
      </w:r>
      <w:r>
        <w:rPr>
          <w:rFonts w:cs="Arial"/>
        </w:rPr>
        <w:t>T</w:t>
      </w:r>
      <w:r w:rsidRPr="00D360AD">
        <w:rPr>
          <w:rFonts w:cs="Arial"/>
        </w:rPr>
        <w:t>he bioenergy potential of Nigeria’s forest residue is</w:t>
      </w:r>
      <w:r>
        <w:rPr>
          <w:rFonts w:cs="Arial"/>
        </w:rPr>
        <w:t xml:space="preserve"> estimated to be</w:t>
      </w:r>
      <w:r w:rsidRPr="00D360AD">
        <w:rPr>
          <w:rFonts w:cs="Arial"/>
        </w:rPr>
        <w:t xml:space="preserve"> 363 PJ (8.7 </w:t>
      </w:r>
      <w:proofErr w:type="spellStart"/>
      <w:r w:rsidRPr="00D360AD">
        <w:rPr>
          <w:rFonts w:cs="Arial"/>
        </w:rPr>
        <w:t>Mtoe</w:t>
      </w:r>
      <w:proofErr w:type="spellEnd"/>
      <w:r w:rsidRPr="00D360AD">
        <w:rPr>
          <w:rFonts w:cs="Arial"/>
        </w:rPr>
        <w:t xml:space="preserve"> or 101 </w:t>
      </w:r>
      <w:proofErr w:type="spellStart"/>
      <w:r w:rsidRPr="00D360AD">
        <w:rPr>
          <w:rFonts w:cs="Arial"/>
        </w:rPr>
        <w:t>TWh</w:t>
      </w:r>
      <w:proofErr w:type="spellEnd"/>
      <w:r w:rsidRPr="00D360AD">
        <w:rPr>
          <w:rFonts w:cs="Arial"/>
        </w:rPr>
        <w:t>). This est</w:t>
      </w:r>
      <w:r>
        <w:rPr>
          <w:rFonts w:cs="Arial"/>
        </w:rPr>
        <w:t xml:space="preserve">imate is </w:t>
      </w:r>
      <w:proofErr w:type="gramStart"/>
      <w:r>
        <w:rPr>
          <w:rFonts w:cs="Arial"/>
        </w:rPr>
        <w:t>similar to</w:t>
      </w:r>
      <w:proofErr w:type="gramEnd"/>
      <w:r w:rsidRPr="00D360AD">
        <w:rPr>
          <w:rFonts w:cs="Arial"/>
        </w:rPr>
        <w:t xml:space="preserve"> the energy consumed by transport</w:t>
      </w:r>
      <w:r>
        <w:rPr>
          <w:rFonts w:cs="Arial"/>
        </w:rPr>
        <w:t xml:space="preserve"> in 2015</w:t>
      </w:r>
      <w:r w:rsidRPr="00D360AD">
        <w:rPr>
          <w:rFonts w:cs="Arial"/>
        </w:rPr>
        <w:t xml:space="preserve"> and four times greater than the nation’s elec</w:t>
      </w:r>
      <w:r>
        <w:rPr>
          <w:rFonts w:cs="Arial"/>
        </w:rPr>
        <w:t xml:space="preserve">tricity consumption in </w:t>
      </w:r>
      <w:r w:rsidRPr="00D360AD">
        <w:rPr>
          <w:rFonts w:cs="Arial"/>
        </w:rPr>
        <w:t xml:space="preserve">2015.  If properly harnessed, Nigeria’s biomass resources can generate </w:t>
      </w:r>
      <w:proofErr w:type="gramStart"/>
      <w:r w:rsidRPr="00D360AD">
        <w:rPr>
          <w:rFonts w:cs="Arial"/>
        </w:rPr>
        <w:t>sufficient</w:t>
      </w:r>
      <w:proofErr w:type="gramEnd"/>
      <w:r w:rsidRPr="00D360AD">
        <w:rPr>
          <w:rFonts w:cs="Arial"/>
        </w:rPr>
        <w:t xml:space="preserve"> bioenergy to reduce the pump price of petroleum products in the country as well as stabilize the power sector. The current practice in Nigeria is to set crop residues on fire after harvest to clear the land </w:t>
      </w:r>
      <w:r>
        <w:rPr>
          <w:rFonts w:cs="Arial"/>
        </w:rPr>
        <w:t>in preparation for</w:t>
      </w:r>
      <w:r w:rsidRPr="00D360AD">
        <w:rPr>
          <w:rFonts w:cs="Arial"/>
        </w:rPr>
        <w:t xml:space="preserve"> the next planting season. This practice, apart from wasting enormous bioenergy, pollutes the air by releasing Green House Gases</w:t>
      </w:r>
      <w:r>
        <w:rPr>
          <w:rFonts w:cs="Arial"/>
        </w:rPr>
        <w:t>, particulates and NO</w:t>
      </w:r>
      <w:r>
        <w:rPr>
          <w:rFonts w:cs="Arial"/>
          <w:vertAlign w:val="subscript"/>
        </w:rPr>
        <w:t>x</w:t>
      </w:r>
      <w:r w:rsidRPr="00D360AD">
        <w:rPr>
          <w:rFonts w:cs="Arial"/>
        </w:rPr>
        <w:t xml:space="preserve"> into the atmosphere. The use of crop residues in Nigeria for electricity generation will check wastage of the nation’s bioenergy as well as keep</w:t>
      </w:r>
      <w:r>
        <w:rPr>
          <w:rFonts w:cs="Arial"/>
        </w:rPr>
        <w:t>ing</w:t>
      </w:r>
      <w:r w:rsidRPr="00D360AD">
        <w:rPr>
          <w:rFonts w:cs="Arial"/>
        </w:rPr>
        <w:t xml:space="preserve"> the atmosphere clean</w:t>
      </w:r>
      <w:r>
        <w:rPr>
          <w:rFonts w:cs="Arial"/>
        </w:rPr>
        <w:t>er. Bioresources are</w:t>
      </w:r>
      <w:r w:rsidRPr="00D360AD">
        <w:rPr>
          <w:rFonts w:cs="Arial"/>
        </w:rPr>
        <w:t xml:space="preserve"> renewable</w:t>
      </w:r>
      <w:r>
        <w:rPr>
          <w:rFonts w:cs="Arial"/>
        </w:rPr>
        <w:t xml:space="preserve"> and so the generation of electricity from biomass will reduce the GHG emissions from Nigeria. </w:t>
      </w:r>
      <w:r w:rsidRPr="00D360AD">
        <w:rPr>
          <w:rFonts w:cs="Arial"/>
        </w:rPr>
        <w:t>Nigeria has the capacity to generate on a</w:t>
      </w:r>
      <w:r>
        <w:rPr>
          <w:rFonts w:cs="Arial"/>
        </w:rPr>
        <w:t xml:space="preserve">n annual basis </w:t>
      </w:r>
      <w:r w:rsidRPr="00D360AD">
        <w:rPr>
          <w:rFonts w:cs="Arial"/>
        </w:rPr>
        <w:t>biogas and bioet</w:t>
      </w:r>
      <w:r>
        <w:rPr>
          <w:rFonts w:cs="Arial"/>
        </w:rPr>
        <w:t xml:space="preserve">hanol </w:t>
      </w:r>
      <w:r w:rsidRPr="00D360AD">
        <w:rPr>
          <w:rFonts w:cs="Arial"/>
        </w:rPr>
        <w:t>both for local consumption and for export.</w:t>
      </w:r>
      <w:r w:rsidRPr="00D360AD">
        <w:rPr>
          <w:rFonts w:cs="Arial"/>
          <w:color w:val="FF0000"/>
        </w:rPr>
        <w:t xml:space="preserve"> </w:t>
      </w:r>
      <w:r>
        <w:rPr>
          <w:rFonts w:cs="Arial"/>
        </w:rPr>
        <w:t>The potential for Nigeria to increase her bioenergy resources is great as there are vast unused scrub</w:t>
      </w:r>
      <w:r w:rsidRPr="00D360AD">
        <w:rPr>
          <w:rFonts w:cs="Arial"/>
        </w:rPr>
        <w:t xml:space="preserve"> lands in the country</w:t>
      </w:r>
      <w:r>
        <w:rPr>
          <w:rFonts w:cs="Arial"/>
        </w:rPr>
        <w:t xml:space="preserve"> which could be used to grow energy crops on a</w:t>
      </w:r>
      <w:r w:rsidRPr="00D360AD">
        <w:rPr>
          <w:rFonts w:cs="Arial"/>
        </w:rPr>
        <w:t xml:space="preserve"> large scale</w:t>
      </w:r>
      <w:r>
        <w:rPr>
          <w:rFonts w:cs="Arial"/>
        </w:rPr>
        <w:t>, with no impact on food production. This would provide employment, income and energy for rural villages.</w:t>
      </w:r>
    </w:p>
    <w:p w:rsidR="002F40A8" w:rsidRDefault="002F40A8" w:rsidP="002F40A8">
      <w:pPr>
        <w:pStyle w:val="CETAcknowledgementstitle"/>
      </w:pPr>
    </w:p>
    <w:p w:rsidR="002F40A8" w:rsidRDefault="002F40A8" w:rsidP="002F40A8">
      <w:pPr>
        <w:pStyle w:val="CETAcknowledgementstitle"/>
      </w:pPr>
      <w:r w:rsidRPr="00CC6308">
        <w:lastRenderedPageBreak/>
        <w:t>A</w:t>
      </w:r>
      <w:r>
        <w:t>cknowledgements</w:t>
      </w:r>
    </w:p>
    <w:p w:rsidR="002F40A8" w:rsidRPr="00D360AD" w:rsidRDefault="002F40A8" w:rsidP="002F40A8">
      <w:pPr>
        <w:spacing w:line="360" w:lineRule="auto"/>
        <w:rPr>
          <w:rFonts w:cs="Arial"/>
        </w:rPr>
      </w:pPr>
      <w:r w:rsidRPr="00D360AD">
        <w:rPr>
          <w:rFonts w:cs="Arial"/>
        </w:rPr>
        <w:t>The authors hereby acknowledge the Petroleum Technology Development Fund (PTDF), Nigeria and the National Agency for Science and Engineering Infrastructure (NASENI), Nigeria for the funding and support provided for this work.</w:t>
      </w:r>
    </w:p>
    <w:p w:rsidR="00600535" w:rsidRPr="00B57B36" w:rsidRDefault="00600535" w:rsidP="00600535">
      <w:pPr>
        <w:pStyle w:val="CETReference"/>
      </w:pPr>
      <w:r w:rsidRPr="00B57B36">
        <w:t>References</w:t>
      </w:r>
    </w:p>
    <w:p w:rsidR="002F40A8" w:rsidRPr="00523C0B" w:rsidRDefault="002F40A8" w:rsidP="002F40A8">
      <w:pPr>
        <w:pStyle w:val="CETReferencetext"/>
      </w:pPr>
      <w:proofErr w:type="spellStart"/>
      <w:r>
        <w:t>Alakangas</w:t>
      </w:r>
      <w:proofErr w:type="spellEnd"/>
      <w:r w:rsidRPr="00523C0B">
        <w:t xml:space="preserve"> E.</w:t>
      </w:r>
      <w:r>
        <w:t>, 2005,</w:t>
      </w:r>
      <w:r w:rsidRPr="00523C0B">
        <w:t xml:space="preserve"> </w:t>
      </w:r>
      <w:r w:rsidRPr="00885516">
        <w:t>Properties of wood fuels used in Finland-BIOSOUTH-project</w:t>
      </w:r>
      <w:r>
        <w:t xml:space="preserve">, VTT Processes, Finland </w:t>
      </w:r>
      <w:hyperlink r:id="rId14" w:history="1">
        <w:r w:rsidRPr="008757D7">
          <w:rPr>
            <w:rStyle w:val="Hyperlink"/>
            <w:color w:val="auto"/>
            <w:szCs w:val="18"/>
            <w:u w:val="none"/>
          </w:rPr>
          <w:t>&lt;ec.europa.eu/energy/intelligent/projects/sites/iee-projects/files/projects/documents/bio-south_wood_fuel_properties.pdf</w:t>
        </w:r>
      </w:hyperlink>
      <w:r w:rsidRPr="008757D7">
        <w:rPr>
          <w:rStyle w:val="Hyperlink"/>
          <w:color w:val="auto"/>
          <w:szCs w:val="18"/>
          <w:u w:val="none"/>
        </w:rPr>
        <w:t xml:space="preserve">&gt; </w:t>
      </w:r>
      <w:r>
        <w:t>accessed 20.11.2017</w:t>
      </w:r>
      <w:r w:rsidRPr="00523C0B">
        <w:t>.</w:t>
      </w:r>
    </w:p>
    <w:p w:rsidR="002F40A8" w:rsidRPr="00523C0B" w:rsidRDefault="002F40A8" w:rsidP="002F40A8">
      <w:pPr>
        <w:pStyle w:val="CETReferencetext"/>
      </w:pPr>
      <w:proofErr w:type="spellStart"/>
      <w:r>
        <w:t>Anyagafu</w:t>
      </w:r>
      <w:proofErr w:type="spellEnd"/>
      <w:r w:rsidRPr="00523C0B">
        <w:t xml:space="preserve"> V.S.</w:t>
      </w:r>
      <w:r>
        <w:t>, 2014,</w:t>
      </w:r>
      <w:r w:rsidRPr="00523C0B">
        <w:t xml:space="preserve"> Nigeria records over 10, 000</w:t>
      </w:r>
      <w:r>
        <w:t xml:space="preserve"> deaths through generator fumes,</w:t>
      </w:r>
      <w:r w:rsidRPr="00523C0B">
        <w:t xml:space="preserve"> </w:t>
      </w:r>
      <w:r w:rsidRPr="008757D7">
        <w:t>Nigerian Vanguard</w:t>
      </w:r>
      <w:r>
        <w:t>, 8 August</w:t>
      </w:r>
      <w:r w:rsidRPr="00523C0B">
        <w:t xml:space="preserve"> </w:t>
      </w:r>
      <w:r>
        <w:t>&lt;</w:t>
      </w:r>
      <w:r w:rsidRPr="00523C0B">
        <w:t>vanguardngr.com/2014/08/nigeria-records-10000-deaths-generator-fumes/</w:t>
      </w:r>
      <w:r>
        <w:t>&gt; accessed 24.7.2018</w:t>
      </w:r>
      <w:r w:rsidRPr="00523C0B">
        <w:t>.</w:t>
      </w:r>
    </w:p>
    <w:p w:rsidR="002F40A8" w:rsidRPr="00523C0B" w:rsidRDefault="002F40A8" w:rsidP="002F40A8">
      <w:pPr>
        <w:pStyle w:val="CETReferencetext"/>
      </w:pPr>
      <w:proofErr w:type="spellStart"/>
      <w:r>
        <w:t>Astals</w:t>
      </w:r>
      <w:proofErr w:type="spellEnd"/>
      <w:r>
        <w:t xml:space="preserve"> S.,</w:t>
      </w:r>
      <w:r w:rsidRPr="00523C0B">
        <w:t xml:space="preserve"> Mata, J.</w:t>
      </w:r>
      <w:r>
        <w:t>, 2011,</w:t>
      </w:r>
      <w:r w:rsidRPr="00523C0B">
        <w:t xml:space="preserve"> </w:t>
      </w:r>
      <w:r w:rsidRPr="0054217F">
        <w:t>Anaerobic digestion</w:t>
      </w:r>
      <w:r>
        <w:t xml:space="preserve">, University of </w:t>
      </w:r>
      <w:proofErr w:type="spellStart"/>
      <w:r>
        <w:t>Barcelonia</w:t>
      </w:r>
      <w:proofErr w:type="spellEnd"/>
      <w:r>
        <w:t xml:space="preserve">, EPROBIO-Foggia </w:t>
      </w:r>
      <w:hyperlink r:id="rId15" w:history="1">
        <w:r w:rsidRPr="0054217F">
          <w:rPr>
            <w:rStyle w:val="Hyperlink"/>
            <w:color w:val="auto"/>
            <w:szCs w:val="18"/>
            <w:u w:val="none"/>
          </w:rPr>
          <w:t>&lt;iperasmuseprobio.unifg.it/</w:t>
        </w:r>
        <w:proofErr w:type="spellStart"/>
        <w:r w:rsidRPr="0054217F">
          <w:rPr>
            <w:rStyle w:val="Hyperlink"/>
            <w:color w:val="auto"/>
            <w:szCs w:val="18"/>
            <w:u w:val="none"/>
          </w:rPr>
          <w:t>dwn</w:t>
        </w:r>
        <w:proofErr w:type="spellEnd"/>
        <w:r w:rsidRPr="0054217F">
          <w:rPr>
            <w:rStyle w:val="Hyperlink"/>
            <w:color w:val="auto"/>
            <w:szCs w:val="18"/>
            <w:u w:val="none"/>
          </w:rPr>
          <w:t>/0.pdf</w:t>
        </w:r>
      </w:hyperlink>
      <w:r w:rsidRPr="0054217F">
        <w:rPr>
          <w:rStyle w:val="Hyperlink"/>
          <w:color w:val="auto"/>
          <w:szCs w:val="18"/>
          <w:u w:val="none"/>
        </w:rPr>
        <w:t xml:space="preserve">&gt; </w:t>
      </w:r>
      <w:r>
        <w:t>a</w:t>
      </w:r>
      <w:r w:rsidRPr="00523C0B">
        <w:t>ccessed 20</w:t>
      </w:r>
      <w:r>
        <w:t>.11. 2017</w:t>
      </w:r>
      <w:r w:rsidRPr="00523C0B">
        <w:t xml:space="preserve">. </w:t>
      </w:r>
    </w:p>
    <w:p w:rsidR="002F40A8" w:rsidRPr="00F744FB" w:rsidRDefault="002F40A8" w:rsidP="002F40A8">
      <w:pPr>
        <w:pStyle w:val="CETReferencetext"/>
      </w:pPr>
      <w:r>
        <w:rPr>
          <w:rFonts w:eastAsiaTheme="minorHAnsi"/>
          <w:lang w:val="en-US"/>
        </w:rPr>
        <w:t xml:space="preserve">Ben-Iwo J., </w:t>
      </w:r>
      <w:proofErr w:type="spellStart"/>
      <w:r>
        <w:rPr>
          <w:rFonts w:eastAsiaTheme="minorHAnsi"/>
          <w:lang w:val="en-US"/>
        </w:rPr>
        <w:t>Manovic</w:t>
      </w:r>
      <w:proofErr w:type="spellEnd"/>
      <w:r w:rsidRPr="00F744FB">
        <w:rPr>
          <w:rFonts w:eastAsiaTheme="minorHAnsi"/>
          <w:lang w:val="en-US"/>
        </w:rPr>
        <w:t xml:space="preserve"> V.</w:t>
      </w:r>
      <w:r>
        <w:rPr>
          <w:rFonts w:eastAsiaTheme="minorHAnsi"/>
          <w:lang w:val="en-US"/>
        </w:rPr>
        <w:t>, Longhurst</w:t>
      </w:r>
      <w:r w:rsidRPr="00F744FB">
        <w:rPr>
          <w:rFonts w:eastAsiaTheme="minorHAnsi"/>
          <w:lang w:val="en-US"/>
        </w:rPr>
        <w:t xml:space="preserve"> P.</w:t>
      </w:r>
      <w:r>
        <w:rPr>
          <w:rFonts w:eastAsiaTheme="minorHAnsi"/>
          <w:lang w:val="en-US"/>
        </w:rPr>
        <w:t>, 2016,</w:t>
      </w:r>
      <w:r w:rsidRPr="00F744FB">
        <w:rPr>
          <w:rFonts w:eastAsiaTheme="minorHAnsi"/>
          <w:lang w:val="en-US"/>
        </w:rPr>
        <w:t xml:space="preserve"> Biomass resources and biofuels potential </w:t>
      </w:r>
      <w:proofErr w:type="gramStart"/>
      <w:r w:rsidRPr="00F744FB">
        <w:rPr>
          <w:rFonts w:eastAsiaTheme="minorHAnsi"/>
          <w:lang w:val="en-US"/>
        </w:rPr>
        <w:t>for the production of</w:t>
      </w:r>
      <w:proofErr w:type="gramEnd"/>
      <w:r w:rsidRPr="00F744FB">
        <w:rPr>
          <w:rFonts w:eastAsiaTheme="minorHAnsi"/>
          <w:lang w:val="en-US"/>
        </w:rPr>
        <w:t xml:space="preserve"> transportation fue</w:t>
      </w:r>
      <w:r>
        <w:rPr>
          <w:rFonts w:eastAsiaTheme="minorHAnsi"/>
          <w:lang w:val="en-US"/>
        </w:rPr>
        <w:t>ls in Nigeria,</w:t>
      </w:r>
      <w:r w:rsidRPr="00F744FB">
        <w:rPr>
          <w:rFonts w:eastAsiaTheme="minorHAnsi"/>
          <w:lang w:val="en-US"/>
        </w:rPr>
        <w:t xml:space="preserve"> </w:t>
      </w:r>
      <w:r w:rsidRPr="002F69EF">
        <w:rPr>
          <w:rFonts w:eastAsiaTheme="minorHAnsi"/>
          <w:lang w:val="en-US"/>
        </w:rPr>
        <w:t>Renew Sustain Energy Rev</w:t>
      </w:r>
      <w:r>
        <w:rPr>
          <w:rFonts w:eastAsiaTheme="minorHAnsi"/>
          <w:lang w:val="en-US"/>
        </w:rPr>
        <w:t>,</w:t>
      </w:r>
      <w:r w:rsidRPr="00F744FB">
        <w:rPr>
          <w:rFonts w:eastAsiaTheme="minorHAnsi"/>
          <w:lang w:val="en-US"/>
        </w:rPr>
        <w:t xml:space="preserve"> </w:t>
      </w:r>
      <w:r>
        <w:rPr>
          <w:rFonts w:eastAsiaTheme="minorHAnsi"/>
          <w:lang w:val="en-US"/>
        </w:rPr>
        <w:t>63, 172-192 &lt;</w:t>
      </w:r>
      <w:r w:rsidRPr="00F744FB">
        <w:rPr>
          <w:rFonts w:eastAsiaTheme="minorHAnsi"/>
          <w:lang w:val="en-US"/>
        </w:rPr>
        <w:t>core.ac.uk/download/pdf/42144475.pdf</w:t>
      </w:r>
      <w:r>
        <w:rPr>
          <w:rFonts w:eastAsiaTheme="minorHAnsi"/>
          <w:lang w:val="en-US"/>
        </w:rPr>
        <w:t>&gt; a</w:t>
      </w:r>
      <w:r w:rsidRPr="00F744FB">
        <w:rPr>
          <w:rFonts w:eastAsiaTheme="minorHAnsi"/>
          <w:lang w:val="en-US"/>
        </w:rPr>
        <w:t>ccessed 16</w:t>
      </w:r>
      <w:r>
        <w:rPr>
          <w:rFonts w:eastAsiaTheme="minorHAnsi"/>
          <w:lang w:val="en-US"/>
        </w:rPr>
        <w:t>.10.2017</w:t>
      </w:r>
      <w:r w:rsidRPr="00F744FB">
        <w:rPr>
          <w:rFonts w:eastAsiaTheme="minorHAnsi"/>
          <w:lang w:val="en-US"/>
        </w:rPr>
        <w:t>.</w:t>
      </w:r>
    </w:p>
    <w:p w:rsidR="002F40A8" w:rsidRPr="007B6AA6" w:rsidRDefault="002F40A8" w:rsidP="002F40A8">
      <w:pPr>
        <w:pStyle w:val="CETReferencetext"/>
        <w:rPr>
          <w:rStyle w:val="HTMLCite"/>
          <w:i w:val="0"/>
          <w:szCs w:val="18"/>
        </w:rPr>
      </w:pPr>
      <w:r>
        <w:t>Chong</w:t>
      </w:r>
      <w:r w:rsidRPr="00523C0B">
        <w:t xml:space="preserve"> C.N</w:t>
      </w:r>
      <w:r>
        <w:t xml:space="preserve">., </w:t>
      </w:r>
      <w:proofErr w:type="spellStart"/>
      <w:r>
        <w:t>Idrus</w:t>
      </w:r>
      <w:proofErr w:type="spellEnd"/>
      <w:r w:rsidRPr="00523C0B">
        <w:t xml:space="preserve"> A.Z.</w:t>
      </w:r>
      <w:r>
        <w:t>, 1988,</w:t>
      </w:r>
      <w:r w:rsidRPr="00523C0B">
        <w:t xml:space="preserve"> Bioma</w:t>
      </w:r>
      <w:r>
        <w:t>ss energy potential in Malaysia,</w:t>
      </w:r>
      <w:r w:rsidRPr="00523C0B">
        <w:t xml:space="preserve"> </w:t>
      </w:r>
      <w:r w:rsidRPr="007B6AA6">
        <w:t>ASEAN J. Sci. Technol. Dev.</w:t>
      </w:r>
      <w:r>
        <w:t>,</w:t>
      </w:r>
      <w:r w:rsidRPr="00523C0B">
        <w:rPr>
          <w:i/>
        </w:rPr>
        <w:t xml:space="preserve"> </w:t>
      </w:r>
      <w:r w:rsidRPr="00072E2F">
        <w:t>5</w:t>
      </w:r>
      <w:r w:rsidRPr="00523C0B">
        <w:t>(2),</w:t>
      </w:r>
      <w:r w:rsidRPr="00523C0B">
        <w:rPr>
          <w:i/>
        </w:rPr>
        <w:t xml:space="preserve"> </w:t>
      </w:r>
      <w:r>
        <w:t>15-27,</w:t>
      </w:r>
      <w:r w:rsidRPr="00523C0B">
        <w:t xml:space="preserve"> </w:t>
      </w:r>
      <w:hyperlink r:id="rId16" w:history="1">
        <w:r w:rsidRPr="007B6AA6">
          <w:rPr>
            <w:rStyle w:val="Hyperlink"/>
            <w:color w:val="auto"/>
            <w:szCs w:val="18"/>
            <w:u w:val="none"/>
          </w:rPr>
          <w:t>&lt;ajstd.org/</w:t>
        </w:r>
        <w:proofErr w:type="spellStart"/>
        <w:r w:rsidRPr="007B6AA6">
          <w:rPr>
            <w:rStyle w:val="Hyperlink"/>
            <w:color w:val="auto"/>
            <w:szCs w:val="18"/>
            <w:u w:val="none"/>
          </w:rPr>
          <w:t>index.php</w:t>
        </w:r>
        <w:proofErr w:type="spellEnd"/>
        <w:r w:rsidRPr="007B6AA6">
          <w:rPr>
            <w:rStyle w:val="Hyperlink"/>
            <w:color w:val="auto"/>
            <w:szCs w:val="18"/>
            <w:u w:val="none"/>
          </w:rPr>
          <w:t>/</w:t>
        </w:r>
        <w:proofErr w:type="spellStart"/>
        <w:r w:rsidRPr="007B6AA6">
          <w:rPr>
            <w:rStyle w:val="Hyperlink"/>
            <w:color w:val="auto"/>
            <w:szCs w:val="18"/>
            <w:u w:val="none"/>
          </w:rPr>
          <w:t>ajstd</w:t>
        </w:r>
        <w:proofErr w:type="spellEnd"/>
        <w:r w:rsidRPr="007B6AA6">
          <w:rPr>
            <w:rStyle w:val="Hyperlink"/>
            <w:color w:val="auto"/>
            <w:szCs w:val="18"/>
            <w:u w:val="none"/>
          </w:rPr>
          <w:t>/article/download/153/144</w:t>
        </w:r>
      </w:hyperlink>
      <w:r w:rsidRPr="007B6AA6">
        <w:rPr>
          <w:rStyle w:val="HTMLCite"/>
          <w:szCs w:val="18"/>
        </w:rPr>
        <w:t>&gt;</w:t>
      </w:r>
      <w:r>
        <w:rPr>
          <w:rStyle w:val="HTMLCite"/>
          <w:szCs w:val="18"/>
        </w:rPr>
        <w:t xml:space="preserve"> </w:t>
      </w:r>
      <w:r w:rsidRPr="007B6AA6">
        <w:t>a</w:t>
      </w:r>
      <w:r>
        <w:rPr>
          <w:rStyle w:val="HTMLCite"/>
          <w:szCs w:val="18"/>
        </w:rPr>
        <w:t>ccessed 28.11.</w:t>
      </w:r>
      <w:r w:rsidRPr="007B6AA6">
        <w:rPr>
          <w:rStyle w:val="HTMLCite"/>
          <w:szCs w:val="18"/>
        </w:rPr>
        <w:t>2017</w:t>
      </w:r>
      <w:r w:rsidRPr="00523C0B">
        <w:rPr>
          <w:rStyle w:val="HTMLCite"/>
          <w:szCs w:val="18"/>
        </w:rPr>
        <w:t>.</w:t>
      </w:r>
    </w:p>
    <w:p w:rsidR="002F40A8" w:rsidRPr="00523C0B" w:rsidRDefault="002F40A8" w:rsidP="002F40A8">
      <w:pPr>
        <w:pStyle w:val="CETReferencetext"/>
      </w:pPr>
      <w:proofErr w:type="spellStart"/>
      <w:r>
        <w:t>Eisa</w:t>
      </w:r>
      <w:proofErr w:type="spellEnd"/>
      <w:r w:rsidRPr="00523C0B">
        <w:t xml:space="preserve"> M.</w:t>
      </w:r>
      <w:r>
        <w:t>,</w:t>
      </w:r>
      <w:r w:rsidRPr="00523C0B">
        <w:t xml:space="preserve"> </w:t>
      </w:r>
      <w:r>
        <w:t xml:space="preserve">Visvanathan </w:t>
      </w:r>
      <w:r w:rsidRPr="00523C0B">
        <w:t>C.</w:t>
      </w:r>
      <w:r>
        <w:t>, 2002,</w:t>
      </w:r>
      <w:r w:rsidRPr="00523C0B">
        <w:t xml:space="preserve"> </w:t>
      </w:r>
      <w:r w:rsidRPr="007B6AA6">
        <w:t>Municipal solid waste management in Asia and Africa: A comparative analysis.</w:t>
      </w:r>
      <w:r w:rsidRPr="00523C0B">
        <w:t xml:space="preserve"> Vienna: Cleaner production and Environmental Management Branch, United Nations Industrial Development Organization.</w:t>
      </w:r>
    </w:p>
    <w:p w:rsidR="002F40A8" w:rsidRPr="00523C0B" w:rsidRDefault="002F40A8" w:rsidP="002F40A8">
      <w:pPr>
        <w:pStyle w:val="CETReferencetext"/>
      </w:pPr>
      <w:r>
        <w:t>FAO,</w:t>
      </w:r>
      <w:r w:rsidRPr="00523C0B">
        <w:t xml:space="preserve"> 2016</w:t>
      </w:r>
      <w:r>
        <w:t>, Country fact sheet,</w:t>
      </w:r>
      <w:r w:rsidRPr="00523C0B">
        <w:t xml:space="preserve"> </w:t>
      </w:r>
      <w:r w:rsidRPr="003A1F1A">
        <w:t>FAO</w:t>
      </w:r>
      <w:r w:rsidRPr="00523C0B">
        <w:t xml:space="preserve"> </w:t>
      </w:r>
      <w:r>
        <w:t>&lt;</w:t>
      </w:r>
      <w:hyperlink r:id="rId17" w:history="1">
        <w:r w:rsidRPr="003A1F1A">
          <w:rPr>
            <w:rStyle w:val="Hyperlink"/>
            <w:color w:val="auto"/>
            <w:szCs w:val="18"/>
            <w:u w:val="none"/>
          </w:rPr>
          <w:t>fao.org/nr/water/aquastat/data/cf/readPdf.html?f=NGA-CF_eng.pdf</w:t>
        </w:r>
      </w:hyperlink>
      <w:r>
        <w:t>&gt; accessed 16.10.2017.</w:t>
      </w:r>
    </w:p>
    <w:p w:rsidR="002F40A8" w:rsidRPr="00523C0B" w:rsidRDefault="002F40A8" w:rsidP="002F40A8">
      <w:pPr>
        <w:pStyle w:val="CETReferencetext"/>
      </w:pPr>
      <w:bookmarkStart w:id="3" w:name="_Hlk517362275"/>
      <w:r>
        <w:t xml:space="preserve">FAO, 2015, FAOSTAT </w:t>
      </w:r>
      <w:hyperlink r:id="rId18" w:history="1">
        <w:r w:rsidRPr="003A1F1A">
          <w:rPr>
            <w:rStyle w:val="Hyperlink"/>
            <w:color w:val="auto"/>
            <w:szCs w:val="18"/>
            <w:u w:val="none"/>
          </w:rPr>
          <w:t>&lt;faostat.fao.org/</w:t>
        </w:r>
      </w:hyperlink>
      <w:r w:rsidRPr="003A1F1A">
        <w:rPr>
          <w:rStyle w:val="Hyperlink"/>
          <w:color w:val="auto"/>
          <w:szCs w:val="18"/>
          <w:u w:val="none"/>
        </w:rPr>
        <w:t>&gt;</w:t>
      </w:r>
      <w:r w:rsidRPr="00A21F89">
        <w:rPr>
          <w:rStyle w:val="Hyperlink"/>
          <w:color w:val="auto"/>
          <w:szCs w:val="18"/>
          <w:u w:val="none"/>
        </w:rPr>
        <w:t xml:space="preserve"> </w:t>
      </w:r>
      <w:r>
        <w:t>a</w:t>
      </w:r>
      <w:r w:rsidRPr="00523C0B">
        <w:t xml:space="preserve">ccessed </w:t>
      </w:r>
      <w:r>
        <w:t>26.10.2017</w:t>
      </w:r>
      <w:r w:rsidRPr="00523C0B">
        <w:t>.</w:t>
      </w:r>
    </w:p>
    <w:bookmarkEnd w:id="3"/>
    <w:p w:rsidR="002F40A8" w:rsidRPr="00523C0B" w:rsidRDefault="002F40A8" w:rsidP="002F40A8">
      <w:pPr>
        <w:pStyle w:val="CETReferencetext"/>
      </w:pPr>
      <w:r>
        <w:t>FAO, 2014, FAOSTAT</w:t>
      </w:r>
      <w:r w:rsidRPr="00523C0B">
        <w:t xml:space="preserve"> </w:t>
      </w:r>
      <w:r>
        <w:t>&lt;</w:t>
      </w:r>
      <w:hyperlink r:id="rId19" w:anchor="data/RL" w:history="1">
        <w:r w:rsidRPr="003A1F1A">
          <w:rPr>
            <w:rStyle w:val="Hyperlink"/>
            <w:color w:val="auto"/>
            <w:szCs w:val="18"/>
            <w:u w:val="none"/>
          </w:rPr>
          <w:t>fao.org/</w:t>
        </w:r>
        <w:proofErr w:type="spellStart"/>
        <w:r w:rsidRPr="003A1F1A">
          <w:rPr>
            <w:rStyle w:val="Hyperlink"/>
            <w:color w:val="auto"/>
            <w:szCs w:val="18"/>
            <w:u w:val="none"/>
          </w:rPr>
          <w:t>faostat</w:t>
        </w:r>
        <w:proofErr w:type="spellEnd"/>
        <w:r w:rsidRPr="003A1F1A">
          <w:rPr>
            <w:rStyle w:val="Hyperlink"/>
            <w:color w:val="auto"/>
            <w:szCs w:val="18"/>
            <w:u w:val="none"/>
          </w:rPr>
          <w:t>/</w:t>
        </w:r>
        <w:proofErr w:type="spellStart"/>
        <w:r w:rsidRPr="003A1F1A">
          <w:rPr>
            <w:rStyle w:val="Hyperlink"/>
            <w:color w:val="auto"/>
            <w:szCs w:val="18"/>
            <w:u w:val="none"/>
          </w:rPr>
          <w:t>en</w:t>
        </w:r>
        <w:proofErr w:type="spellEnd"/>
        <w:r w:rsidRPr="003A1F1A">
          <w:rPr>
            <w:rStyle w:val="Hyperlink"/>
            <w:color w:val="auto"/>
            <w:szCs w:val="18"/>
            <w:u w:val="none"/>
          </w:rPr>
          <w:t>/#data/RL</w:t>
        </w:r>
      </w:hyperlink>
      <w:r>
        <w:t>&gt; accessed 26.10.2017</w:t>
      </w:r>
      <w:r w:rsidRPr="00523C0B">
        <w:t>.</w:t>
      </w:r>
    </w:p>
    <w:p w:rsidR="002F40A8" w:rsidRPr="00523C0B" w:rsidRDefault="002F40A8" w:rsidP="002F40A8">
      <w:pPr>
        <w:pStyle w:val="CETReferencetext"/>
      </w:pPr>
      <w:r>
        <w:t>FGN, 2006,</w:t>
      </w:r>
      <w:r w:rsidRPr="00523C0B">
        <w:t xml:space="preserve"> </w:t>
      </w:r>
      <w:r w:rsidRPr="003A1F1A">
        <w:t>Renewable Electricity Policy Guidelines</w:t>
      </w:r>
      <w:r>
        <w:t>,</w:t>
      </w:r>
      <w:r w:rsidRPr="00523C0B">
        <w:t xml:space="preserve"> Nigeria:  Fede</w:t>
      </w:r>
      <w:r>
        <w:t>ral Ministry of Power and Steel,</w:t>
      </w:r>
      <w:r w:rsidRPr="00523C0B">
        <w:t xml:space="preserve"> p. 37.</w:t>
      </w:r>
    </w:p>
    <w:p w:rsidR="002F40A8" w:rsidRPr="00523C0B" w:rsidRDefault="002F40A8" w:rsidP="002F40A8">
      <w:pPr>
        <w:pStyle w:val="CETReferencetext"/>
      </w:pPr>
      <w:r>
        <w:t>IEA, 2015, Nigeria balance,</w:t>
      </w:r>
      <w:r w:rsidRPr="00523C0B">
        <w:t xml:space="preserve"> </w:t>
      </w:r>
      <w:r w:rsidRPr="00A21F89">
        <w:t>IEA</w:t>
      </w:r>
      <w:r w:rsidRPr="00523C0B">
        <w:t xml:space="preserve"> </w:t>
      </w:r>
      <w:r>
        <w:t>&lt;</w:t>
      </w:r>
      <w:r w:rsidRPr="00523C0B">
        <w:t>iea.org/Sankey/#?c=</w:t>
      </w:r>
      <w:proofErr w:type="spellStart"/>
      <w:r w:rsidRPr="00523C0B">
        <w:t>Nigeria&amp;s</w:t>
      </w:r>
      <w:proofErr w:type="spellEnd"/>
      <w:r w:rsidRPr="00523C0B">
        <w:t>=Balance</w:t>
      </w:r>
      <w:r>
        <w:t>&gt; accessed 19.10.2017</w:t>
      </w:r>
      <w:r w:rsidRPr="00523C0B">
        <w:t>.</w:t>
      </w:r>
    </w:p>
    <w:p w:rsidR="002F40A8" w:rsidRPr="00523C0B" w:rsidRDefault="002F40A8" w:rsidP="002F40A8">
      <w:pPr>
        <w:pStyle w:val="CETReferencetext"/>
      </w:pPr>
      <w:r>
        <w:t>Jain</w:t>
      </w:r>
      <w:r w:rsidRPr="00523C0B">
        <w:t xml:space="preserve"> M.C.</w:t>
      </w:r>
      <w:r>
        <w:t>, 1993,</w:t>
      </w:r>
      <w:r w:rsidRPr="00523C0B">
        <w:t xml:space="preserve"> Bioconversion of org</w:t>
      </w:r>
      <w:r>
        <w:t>anic wastes for fuel and manure,</w:t>
      </w:r>
      <w:r w:rsidRPr="00523C0B">
        <w:t xml:space="preserve"> </w:t>
      </w:r>
      <w:r>
        <w:t>Fertilizer News,</w:t>
      </w:r>
      <w:r w:rsidRPr="00523C0B">
        <w:rPr>
          <w:i/>
        </w:rPr>
        <w:t xml:space="preserve"> </w:t>
      </w:r>
      <w:r w:rsidRPr="00072E2F">
        <w:t>38</w:t>
      </w:r>
      <w:r>
        <w:t xml:space="preserve">(4), </w:t>
      </w:r>
      <w:r w:rsidRPr="00523C0B">
        <w:t>55-61.</w:t>
      </w:r>
    </w:p>
    <w:p w:rsidR="002F40A8" w:rsidRPr="00523C0B" w:rsidRDefault="002F40A8" w:rsidP="002F40A8">
      <w:pPr>
        <w:pStyle w:val="CETReferencetext"/>
      </w:pPr>
      <w:proofErr w:type="spellStart"/>
      <w:r>
        <w:t>Jossy</w:t>
      </w:r>
      <w:proofErr w:type="spellEnd"/>
      <w:r w:rsidRPr="00523C0B">
        <w:t xml:space="preserve"> M.T.</w:t>
      </w:r>
      <w:r>
        <w:t>, 1994,</w:t>
      </w:r>
      <w:r w:rsidRPr="00523C0B">
        <w:t xml:space="preserve"> </w:t>
      </w:r>
      <w:r w:rsidRPr="00072E2F">
        <w:t>A study of greenhouse gases emission from agricultural residues in Asia</w:t>
      </w:r>
      <w:r>
        <w:t>,</w:t>
      </w:r>
      <w:r w:rsidRPr="00523C0B">
        <w:t xml:space="preserve"> M. </w:t>
      </w:r>
      <w:proofErr w:type="spellStart"/>
      <w:r w:rsidRPr="00523C0B">
        <w:t>Eng</w:t>
      </w:r>
      <w:proofErr w:type="spellEnd"/>
      <w:r w:rsidRPr="00523C0B">
        <w:t xml:space="preserve"> Thesis</w:t>
      </w:r>
      <w:r>
        <w:t>,</w:t>
      </w:r>
      <w:r w:rsidRPr="00523C0B">
        <w:t xml:space="preserve"> Asian Institute of Technology, Bangkok, Thailand.</w:t>
      </w:r>
    </w:p>
    <w:p w:rsidR="002F40A8" w:rsidRPr="00523C0B" w:rsidRDefault="002F40A8" w:rsidP="002F40A8">
      <w:pPr>
        <w:pStyle w:val="CETReferencetext"/>
      </w:pPr>
      <w:r>
        <w:t xml:space="preserve">Koopmans A., </w:t>
      </w:r>
      <w:proofErr w:type="spellStart"/>
      <w:r>
        <w:t>Koppeyan</w:t>
      </w:r>
      <w:proofErr w:type="spellEnd"/>
      <w:r w:rsidRPr="00523C0B">
        <w:t xml:space="preserve"> J.</w:t>
      </w:r>
      <w:r>
        <w:t>, 1997,</w:t>
      </w:r>
      <w:r w:rsidRPr="00523C0B">
        <w:t xml:space="preserve"> </w:t>
      </w:r>
      <w:r w:rsidRPr="00072E2F">
        <w:t>Agricultural and forest residues-generation, utilization and availability</w:t>
      </w:r>
      <w:r>
        <w:t>,</w:t>
      </w:r>
      <w:r w:rsidRPr="00523C0B">
        <w:t xml:space="preserve"> Regional consultation on modern</w:t>
      </w:r>
      <w:r>
        <w:t xml:space="preserve"> applications of biomass energy,</w:t>
      </w:r>
      <w:r w:rsidRPr="00523C0B">
        <w:t xml:space="preserve"> 6-10 January, </w:t>
      </w:r>
      <w:proofErr w:type="spellStart"/>
      <w:r w:rsidRPr="00523C0B">
        <w:t>Kualar</w:t>
      </w:r>
      <w:proofErr w:type="spellEnd"/>
      <w:r w:rsidRPr="00523C0B">
        <w:t xml:space="preserve"> Lumpur, Malaysia.</w:t>
      </w:r>
    </w:p>
    <w:p w:rsidR="002F40A8" w:rsidRPr="00523C0B" w:rsidRDefault="002F40A8" w:rsidP="002F40A8">
      <w:pPr>
        <w:pStyle w:val="CETReferencetext"/>
      </w:pPr>
      <w:bookmarkStart w:id="4" w:name="_Hlk517260667"/>
      <w:r w:rsidRPr="00523C0B">
        <w:t>NAERLS</w:t>
      </w:r>
      <w:r>
        <w:t>, FDAE, 2014,</w:t>
      </w:r>
      <w:r w:rsidRPr="00523C0B">
        <w:t xml:space="preserve"> </w:t>
      </w:r>
      <w:r w:rsidRPr="002E1B07">
        <w:t>Annual Agricultural Performance Survey Report of 201</w:t>
      </w:r>
      <w:r>
        <w:t xml:space="preserve">4 Wet Season in Nigeria, NAERLS, </w:t>
      </w:r>
      <w:proofErr w:type="spellStart"/>
      <w:r w:rsidRPr="00523C0B">
        <w:t>NAERLSPress</w:t>
      </w:r>
      <w:proofErr w:type="spellEnd"/>
      <w:r>
        <w:t>, Zaria, Nigeria</w:t>
      </w:r>
      <w:r w:rsidRPr="00523C0B">
        <w:t>.</w:t>
      </w:r>
    </w:p>
    <w:bookmarkEnd w:id="4"/>
    <w:p w:rsidR="002F40A8" w:rsidRPr="00383FB1" w:rsidRDefault="002F40A8" w:rsidP="002F40A8">
      <w:pPr>
        <w:pStyle w:val="CETReferencetext"/>
      </w:pPr>
      <w:r w:rsidRPr="00383FB1">
        <w:t xml:space="preserve">NASS. 2012. </w:t>
      </w:r>
      <w:r w:rsidRPr="0069434D">
        <w:t>Collaborative survey on National agricultural sample survey 2010/2011.</w:t>
      </w:r>
      <w:r w:rsidRPr="00383FB1">
        <w:t xml:space="preserve"> National Bureau of Statistics and Federal Ministry of Agriculture and Rural Development.</w:t>
      </w:r>
    </w:p>
    <w:p w:rsidR="002F40A8" w:rsidRPr="00523C0B" w:rsidRDefault="002F40A8" w:rsidP="002F40A8">
      <w:pPr>
        <w:pStyle w:val="CETReferencetext"/>
      </w:pPr>
      <w:proofErr w:type="spellStart"/>
      <w:r>
        <w:t>Neilfa</w:t>
      </w:r>
      <w:proofErr w:type="spellEnd"/>
      <w:r>
        <w:t xml:space="preserve"> A., Cano</w:t>
      </w:r>
      <w:r w:rsidRPr="00523C0B">
        <w:t xml:space="preserve"> R.</w:t>
      </w:r>
      <w:r>
        <w:t xml:space="preserve">, </w:t>
      </w:r>
      <w:proofErr w:type="spellStart"/>
      <w:r>
        <w:t>Fdz</w:t>
      </w:r>
      <w:proofErr w:type="spellEnd"/>
      <w:r>
        <w:t>-Polanco</w:t>
      </w:r>
      <w:r w:rsidRPr="00523C0B">
        <w:t xml:space="preserve"> M.</w:t>
      </w:r>
      <w:r>
        <w:t>, 2014,</w:t>
      </w:r>
      <w:r w:rsidRPr="00523C0B">
        <w:t xml:space="preserve"> Theoretical methane production generated by the co-digestion of organic fraction municipal solid waste and biological sludge. </w:t>
      </w:r>
      <w:r w:rsidRPr="009825C6">
        <w:t>Biotech. Report</w:t>
      </w:r>
      <w:r>
        <w:t>,</w:t>
      </w:r>
      <w:r w:rsidRPr="00523C0B">
        <w:t xml:space="preserve"> </w:t>
      </w:r>
      <w:r w:rsidRPr="009825C6">
        <w:t>5</w:t>
      </w:r>
      <w:r>
        <w:t xml:space="preserve">, </w:t>
      </w:r>
      <w:r w:rsidRPr="00523C0B">
        <w:t xml:space="preserve">14-21. </w:t>
      </w:r>
    </w:p>
    <w:p w:rsidR="002F40A8" w:rsidRPr="00523C0B" w:rsidRDefault="002F40A8" w:rsidP="002F40A8">
      <w:pPr>
        <w:pStyle w:val="CETReferencetext"/>
      </w:pPr>
      <w:bookmarkStart w:id="5" w:name="_Hlk517256327"/>
      <w:proofErr w:type="spellStart"/>
      <w:r>
        <w:t>Ogunesan</w:t>
      </w:r>
      <w:proofErr w:type="spellEnd"/>
      <w:r w:rsidRPr="00523C0B">
        <w:t xml:space="preserve"> T.</w:t>
      </w:r>
      <w:r>
        <w:t>, 2017,</w:t>
      </w:r>
      <w:r w:rsidRPr="00523C0B">
        <w:t xml:space="preserve"> </w:t>
      </w:r>
      <w:proofErr w:type="spellStart"/>
      <w:r w:rsidRPr="00523C0B">
        <w:t>Otu</w:t>
      </w:r>
      <w:proofErr w:type="spellEnd"/>
      <w:r w:rsidRPr="00523C0B">
        <w:t xml:space="preserve">, </w:t>
      </w:r>
      <w:proofErr w:type="spellStart"/>
      <w:r w:rsidRPr="00523C0B">
        <w:t>Ilero</w:t>
      </w:r>
      <w:proofErr w:type="spellEnd"/>
      <w:r w:rsidRPr="00523C0B">
        <w:t>, local charcoal p</w:t>
      </w:r>
      <w:r>
        <w:t>roduction gets boost for export,</w:t>
      </w:r>
      <w:r w:rsidRPr="00523C0B">
        <w:t xml:space="preserve"> </w:t>
      </w:r>
      <w:r w:rsidRPr="009825C6">
        <w:t>Nigerian Tribune</w:t>
      </w:r>
      <w:r>
        <w:t>,</w:t>
      </w:r>
      <w:r w:rsidRPr="00523C0B">
        <w:t xml:space="preserve"> </w:t>
      </w:r>
      <w:r>
        <w:t>7 March &lt;</w:t>
      </w:r>
      <w:hyperlink r:id="rId20" w:history="1">
        <w:r w:rsidRPr="009825C6">
          <w:rPr>
            <w:rStyle w:val="Hyperlink"/>
            <w:color w:val="auto"/>
            <w:szCs w:val="18"/>
            <w:u w:val="none"/>
          </w:rPr>
          <w:t>tribuneonlineng.com/otu-ilero-local-charcoal-production-gets-boost-export/</w:t>
        </w:r>
      </w:hyperlink>
      <w:r>
        <w:rPr>
          <w:rStyle w:val="Hyperlink"/>
          <w:color w:val="auto"/>
          <w:szCs w:val="18"/>
          <w:u w:val="none"/>
        </w:rPr>
        <w:t xml:space="preserve">&gt; </w:t>
      </w:r>
      <w:r>
        <w:t>accessed 24.11.2017</w:t>
      </w:r>
      <w:r w:rsidRPr="00523C0B">
        <w:t>.</w:t>
      </w:r>
    </w:p>
    <w:bookmarkEnd w:id="5"/>
    <w:p w:rsidR="002F40A8" w:rsidRPr="00523C0B" w:rsidRDefault="002F40A8" w:rsidP="002F40A8">
      <w:pPr>
        <w:pStyle w:val="CETReferencetext"/>
      </w:pPr>
      <w:r>
        <w:t xml:space="preserve">Saeed M.A., Irshad A., Sattar H., Andrews G.E., </w:t>
      </w:r>
      <w:proofErr w:type="spellStart"/>
      <w:r>
        <w:t>Phylaktou</w:t>
      </w:r>
      <w:proofErr w:type="spellEnd"/>
      <w:r w:rsidRPr="00523C0B">
        <w:t xml:space="preserve"> H.N</w:t>
      </w:r>
      <w:r>
        <w:t>., Gibbs</w:t>
      </w:r>
      <w:r w:rsidRPr="00523C0B">
        <w:t xml:space="preserve"> B.M.</w:t>
      </w:r>
      <w:r>
        <w:t>, 2015,</w:t>
      </w:r>
      <w:r w:rsidRPr="00523C0B">
        <w:t xml:space="preserve"> Agricultural Waste Bioma</w:t>
      </w:r>
      <w:r>
        <w:t>ss Energy Potential in Pakistan,</w:t>
      </w:r>
      <w:r w:rsidRPr="00523C0B">
        <w:t xml:space="preserve"> In: </w:t>
      </w:r>
      <w:r w:rsidRPr="009825C6">
        <w:t xml:space="preserve">International Bioenergy (Shanghai) Exhibition </w:t>
      </w:r>
      <w:r>
        <w:t>and Asian Bioenergy Conference,</w:t>
      </w:r>
      <w:r>
        <w:tab/>
        <w:t>21-23</w:t>
      </w:r>
      <w:r>
        <w:tab/>
      </w:r>
      <w:r w:rsidRPr="009825C6">
        <w:t xml:space="preserve">October </w:t>
      </w:r>
      <w:r>
        <w:tab/>
      </w:r>
      <w:r w:rsidRPr="009825C6">
        <w:t>2015, Shanghai</w:t>
      </w:r>
      <w:r>
        <w:t>, White</w:t>
      </w:r>
      <w:r>
        <w:tab/>
        <w:t xml:space="preserve">Rose, </w:t>
      </w:r>
      <w:hyperlink r:id="rId21" w:history="1">
        <w:r w:rsidRPr="00C82FDF">
          <w:t>dx.doi.org/10.5071/IBSCE2015-1CO.1.2</w:t>
        </w:r>
      </w:hyperlink>
      <w:r w:rsidRPr="00523C0B">
        <w:t>.</w:t>
      </w:r>
    </w:p>
    <w:p w:rsidR="006B4888" w:rsidRDefault="002F40A8" w:rsidP="002F40A8">
      <w:pPr>
        <w:pStyle w:val="CETReferencetext"/>
      </w:pPr>
      <w:r>
        <w:t>Sambo</w:t>
      </w:r>
      <w:r w:rsidRPr="00523C0B">
        <w:t xml:space="preserve"> A.S.</w:t>
      </w:r>
      <w:r>
        <w:t>, 2006,</w:t>
      </w:r>
      <w:r w:rsidRPr="00523C0B">
        <w:t xml:space="preserve"> </w:t>
      </w:r>
      <w:r w:rsidRPr="00E552A8">
        <w:t>Renewable energy electricity in Nigeria: The way forward</w:t>
      </w:r>
      <w:r>
        <w:t>,</w:t>
      </w:r>
      <w:r w:rsidRPr="00523C0B">
        <w:t xml:space="preserve"> Renewable Electricity Policy Conference, 11-12 December, Shehu Musa </w:t>
      </w:r>
      <w:proofErr w:type="spellStart"/>
      <w:r w:rsidRPr="00523C0B">
        <w:t>Yar’adua</w:t>
      </w:r>
      <w:proofErr w:type="spellEnd"/>
      <w:r w:rsidRPr="00523C0B">
        <w:t xml:space="preserve"> Centre, Abuja</w:t>
      </w:r>
      <w:r>
        <w:t>, Nigeria</w:t>
      </w:r>
      <w:r w:rsidRPr="00523C0B">
        <w:t>.</w:t>
      </w:r>
    </w:p>
    <w:p w:rsidR="002F40A8" w:rsidRDefault="002F40A8" w:rsidP="002F40A8">
      <w:pPr>
        <w:pStyle w:val="CETReferencetext"/>
      </w:pPr>
      <w:proofErr w:type="spellStart"/>
      <w:r>
        <w:t>Simonyan</w:t>
      </w:r>
      <w:proofErr w:type="spellEnd"/>
      <w:r>
        <w:t xml:space="preserve"> K.J., </w:t>
      </w:r>
      <w:proofErr w:type="spellStart"/>
      <w:r>
        <w:t>Fasina</w:t>
      </w:r>
      <w:proofErr w:type="spellEnd"/>
      <w:r w:rsidRPr="00523C0B">
        <w:t xml:space="preserve"> O.</w:t>
      </w:r>
      <w:r>
        <w:t>, 2013,</w:t>
      </w:r>
      <w:r w:rsidRPr="00523C0B">
        <w:t xml:space="preserve"> Biomass resources and </w:t>
      </w:r>
      <w:r>
        <w:t>bioenergy potentials in Nigeria, African</w:t>
      </w:r>
      <w:r w:rsidRPr="00C93F85">
        <w:t xml:space="preserve"> </w:t>
      </w:r>
      <w:r>
        <w:t>Journal of Agricultural Research, 8(40), 4975-4989 &lt;</w:t>
      </w:r>
      <w:r w:rsidRPr="00523C0B">
        <w:t>academicjournals.org/article/article1381916</w:t>
      </w:r>
      <w:r>
        <w:t>826_Simonyan%20and%20Fasina.pdf&gt; accessed 14.10.2017.</w:t>
      </w:r>
    </w:p>
    <w:p w:rsidR="002F40A8" w:rsidRPr="00523C0B" w:rsidRDefault="002F40A8" w:rsidP="002F40A8">
      <w:pPr>
        <w:pStyle w:val="CETReferencetext"/>
      </w:pPr>
      <w:proofErr w:type="spellStart"/>
      <w:r>
        <w:t>Suberu</w:t>
      </w:r>
      <w:proofErr w:type="spellEnd"/>
      <w:r w:rsidRPr="00523C0B">
        <w:t xml:space="preserve"> M.Y., Bashir</w:t>
      </w:r>
      <w:r>
        <w:t xml:space="preserve"> N., </w:t>
      </w:r>
      <w:r w:rsidRPr="00523C0B">
        <w:t xml:space="preserve"> Mustafa M.W.</w:t>
      </w:r>
      <w:r>
        <w:t>, 2013,</w:t>
      </w:r>
      <w:r w:rsidRPr="00523C0B">
        <w:t xml:space="preserve"> Biogenic waste methane emissions and methane optimizatio</w:t>
      </w:r>
      <w:r>
        <w:t>n for bioelectricity in Nigeria,</w:t>
      </w:r>
      <w:r w:rsidRPr="00523C0B">
        <w:t xml:space="preserve"> </w:t>
      </w:r>
      <w:r w:rsidRPr="00C22180">
        <w:t>Renew Sustain Energy Rev</w:t>
      </w:r>
      <w:r>
        <w:t>.</w:t>
      </w:r>
      <w:r w:rsidRPr="00523C0B">
        <w:t xml:space="preserve"> </w:t>
      </w:r>
      <w:r w:rsidRPr="00C22180">
        <w:t>25</w:t>
      </w:r>
      <w:r>
        <w:t>, 643-654,</w:t>
      </w:r>
      <w:r w:rsidRPr="00523C0B">
        <w:t xml:space="preserve"> </w:t>
      </w:r>
      <w:hyperlink r:id="rId22" w:history="1">
        <w:r w:rsidRPr="00C22180">
          <w:rPr>
            <w:rStyle w:val="Hyperlink"/>
            <w:color w:val="auto"/>
            <w:szCs w:val="18"/>
            <w:u w:val="none"/>
          </w:rPr>
          <w:t>dx.doi.org/10.1016/j.rser.2013.05.0178</w:t>
        </w:r>
      </w:hyperlink>
    </w:p>
    <w:p w:rsidR="002F40A8" w:rsidRPr="00523C0B" w:rsidRDefault="002F40A8" w:rsidP="002F40A8">
      <w:pPr>
        <w:pStyle w:val="CETReferencetext"/>
      </w:pPr>
      <w:proofErr w:type="spellStart"/>
      <w:r>
        <w:rPr>
          <w:rStyle w:val="HTMLCite"/>
          <w:szCs w:val="18"/>
        </w:rPr>
        <w:t>UNdata</w:t>
      </w:r>
      <w:proofErr w:type="spellEnd"/>
      <w:r>
        <w:rPr>
          <w:rStyle w:val="HTMLCite"/>
          <w:szCs w:val="18"/>
        </w:rPr>
        <w:t>, 2017, Energy statistics database,</w:t>
      </w:r>
      <w:r>
        <w:rPr>
          <w:rStyle w:val="HTMLCite"/>
          <w:szCs w:val="18"/>
        </w:rPr>
        <w:tab/>
        <w:t>UN</w:t>
      </w:r>
      <w:r w:rsidRPr="00C22180">
        <w:rPr>
          <w:rStyle w:val="HTMLCite"/>
          <w:szCs w:val="18"/>
        </w:rPr>
        <w:t xml:space="preserve"> </w:t>
      </w:r>
      <w:r>
        <w:rPr>
          <w:rStyle w:val="HTMLCite"/>
          <w:szCs w:val="18"/>
        </w:rPr>
        <w:t>&lt;</w:t>
      </w:r>
      <w:hyperlink r:id="rId23" w:history="1">
        <w:r w:rsidRPr="00C22180">
          <w:rPr>
            <w:rStyle w:val="Hyperlink"/>
            <w:color w:val="auto"/>
            <w:szCs w:val="18"/>
            <w:u w:val="none"/>
          </w:rPr>
          <w:t>data.un.org/</w:t>
        </w:r>
        <w:proofErr w:type="spellStart"/>
        <w:r w:rsidRPr="00C22180">
          <w:rPr>
            <w:rStyle w:val="Hyperlink"/>
            <w:color w:val="auto"/>
            <w:szCs w:val="18"/>
            <w:u w:val="none"/>
          </w:rPr>
          <w:t>Data.aspx?d</w:t>
        </w:r>
        <w:proofErr w:type="spellEnd"/>
        <w:r w:rsidRPr="00C22180">
          <w:rPr>
            <w:rStyle w:val="Hyperlink"/>
            <w:color w:val="auto"/>
            <w:szCs w:val="18"/>
            <w:u w:val="none"/>
          </w:rPr>
          <w:t>=</w:t>
        </w:r>
        <w:proofErr w:type="spellStart"/>
        <w:r w:rsidRPr="00C22180">
          <w:rPr>
            <w:rStyle w:val="Hyperlink"/>
            <w:color w:val="auto"/>
            <w:szCs w:val="18"/>
            <w:u w:val="none"/>
          </w:rPr>
          <w:t>EDATA&amp;f</w:t>
        </w:r>
        <w:proofErr w:type="spellEnd"/>
        <w:r w:rsidRPr="00C22180">
          <w:rPr>
            <w:rStyle w:val="Hyperlink"/>
            <w:color w:val="auto"/>
            <w:szCs w:val="18"/>
            <w:u w:val="none"/>
          </w:rPr>
          <w:t>=cmID%3aCH%3btrID%3a1231</w:t>
        </w:r>
      </w:hyperlink>
      <w:r>
        <w:rPr>
          <w:rStyle w:val="Hyperlink"/>
          <w:color w:val="auto"/>
          <w:szCs w:val="18"/>
          <w:u w:val="none"/>
        </w:rPr>
        <w:t xml:space="preserve">&gt; </w:t>
      </w:r>
      <w:r>
        <w:rPr>
          <w:rStyle w:val="HTMLCite"/>
          <w:szCs w:val="18"/>
        </w:rPr>
        <w:t>accessed 26.11.2017</w:t>
      </w:r>
      <w:r w:rsidRPr="00C22180">
        <w:rPr>
          <w:rStyle w:val="HTMLCite"/>
          <w:szCs w:val="18"/>
        </w:rPr>
        <w:t>.</w:t>
      </w:r>
    </w:p>
    <w:p w:rsidR="004628D2" w:rsidRDefault="002F40A8" w:rsidP="002F40A8">
      <w:pPr>
        <w:pStyle w:val="CETReferencetext"/>
      </w:pPr>
      <w:r>
        <w:t>Wood Energy, 2006, Values of wood fuel</w:t>
      </w:r>
      <w:r>
        <w:tab/>
      </w:r>
      <w:r w:rsidRPr="00D17F4F">
        <w:t>parameters</w:t>
      </w:r>
      <w:r>
        <w:t xml:space="preserve"> </w:t>
      </w:r>
      <w:hyperlink r:id="rId24" w:history="1">
        <w:r w:rsidRPr="00173FF7">
          <w:t>&lt;woodenergy.ie/woodasafuel/listandvaluesofwoodfuelparameters-part1/</w:t>
        </w:r>
      </w:hyperlink>
      <w:r w:rsidRPr="00173FF7">
        <w:t xml:space="preserve">&gt; </w:t>
      </w:r>
      <w:r>
        <w:t>accessed 20.11.2017</w:t>
      </w:r>
      <w:r w:rsidRPr="006E3304">
        <w:t>.</w:t>
      </w: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0BA" w:rsidRDefault="003310BA" w:rsidP="004F5E36">
      <w:r>
        <w:separator/>
      </w:r>
    </w:p>
  </w:endnote>
  <w:endnote w:type="continuationSeparator" w:id="0">
    <w:p w:rsidR="003310BA" w:rsidRDefault="003310B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0BA" w:rsidRDefault="003310BA" w:rsidP="004F5E36">
      <w:r>
        <w:separator/>
      </w:r>
    </w:p>
  </w:footnote>
  <w:footnote w:type="continuationSeparator" w:id="0">
    <w:p w:rsidR="003310BA" w:rsidRDefault="003310B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79355A"/>
    <w:multiLevelType w:val="hybridMultilevel"/>
    <w:tmpl w:val="D396D804"/>
    <w:lvl w:ilvl="0" w:tplc="61961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86C39"/>
    <w:rsid w:val="000A03B2"/>
    <w:rsid w:val="000A3B7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642"/>
    <w:rsid w:val="00164CF9"/>
    <w:rsid w:val="00174E41"/>
    <w:rsid w:val="00184AD6"/>
    <w:rsid w:val="001B0349"/>
    <w:rsid w:val="001B65C1"/>
    <w:rsid w:val="001C684B"/>
    <w:rsid w:val="001D53FC"/>
    <w:rsid w:val="001F42A5"/>
    <w:rsid w:val="001F7B9D"/>
    <w:rsid w:val="002224B4"/>
    <w:rsid w:val="002447EF"/>
    <w:rsid w:val="00251550"/>
    <w:rsid w:val="00252C1A"/>
    <w:rsid w:val="00263B05"/>
    <w:rsid w:val="0027221A"/>
    <w:rsid w:val="00275B61"/>
    <w:rsid w:val="00282656"/>
    <w:rsid w:val="00287ECD"/>
    <w:rsid w:val="00296B83"/>
    <w:rsid w:val="002B2623"/>
    <w:rsid w:val="002B78CE"/>
    <w:rsid w:val="002C2FB6"/>
    <w:rsid w:val="002D5BCD"/>
    <w:rsid w:val="002F40A8"/>
    <w:rsid w:val="003009B7"/>
    <w:rsid w:val="00300E56"/>
    <w:rsid w:val="0030469C"/>
    <w:rsid w:val="00321CA6"/>
    <w:rsid w:val="003310BA"/>
    <w:rsid w:val="00334C09"/>
    <w:rsid w:val="003365E3"/>
    <w:rsid w:val="003723D4"/>
    <w:rsid w:val="00384CC8"/>
    <w:rsid w:val="003871FD"/>
    <w:rsid w:val="003A1E30"/>
    <w:rsid w:val="003A7D1C"/>
    <w:rsid w:val="003B304B"/>
    <w:rsid w:val="003B3146"/>
    <w:rsid w:val="003B60F3"/>
    <w:rsid w:val="003D4AA5"/>
    <w:rsid w:val="003E5AC0"/>
    <w:rsid w:val="003F015E"/>
    <w:rsid w:val="003F1CB6"/>
    <w:rsid w:val="003F2C8E"/>
    <w:rsid w:val="00400414"/>
    <w:rsid w:val="0041446B"/>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1A96"/>
    <w:rsid w:val="005278B7"/>
    <w:rsid w:val="00532016"/>
    <w:rsid w:val="005346C8"/>
    <w:rsid w:val="00543E7D"/>
    <w:rsid w:val="00546B05"/>
    <w:rsid w:val="00547A68"/>
    <w:rsid w:val="005531C9"/>
    <w:rsid w:val="005B2110"/>
    <w:rsid w:val="005B61E6"/>
    <w:rsid w:val="005C77E1"/>
    <w:rsid w:val="005D6A2F"/>
    <w:rsid w:val="005E1A82"/>
    <w:rsid w:val="005E794C"/>
    <w:rsid w:val="005F0A28"/>
    <w:rsid w:val="005F0A62"/>
    <w:rsid w:val="005F0E5E"/>
    <w:rsid w:val="00600535"/>
    <w:rsid w:val="00610CD6"/>
    <w:rsid w:val="00620DEE"/>
    <w:rsid w:val="00621F92"/>
    <w:rsid w:val="00625639"/>
    <w:rsid w:val="00631B33"/>
    <w:rsid w:val="0064184D"/>
    <w:rsid w:val="006422CC"/>
    <w:rsid w:val="00660E3E"/>
    <w:rsid w:val="00662E74"/>
    <w:rsid w:val="00680C23"/>
    <w:rsid w:val="006850AC"/>
    <w:rsid w:val="00693766"/>
    <w:rsid w:val="006A3281"/>
    <w:rsid w:val="006B4888"/>
    <w:rsid w:val="006C2E45"/>
    <w:rsid w:val="006C359C"/>
    <w:rsid w:val="006C5579"/>
    <w:rsid w:val="006E737D"/>
    <w:rsid w:val="0070195D"/>
    <w:rsid w:val="00720A24"/>
    <w:rsid w:val="00732386"/>
    <w:rsid w:val="007447F3"/>
    <w:rsid w:val="0075499F"/>
    <w:rsid w:val="007661C8"/>
    <w:rsid w:val="0077098D"/>
    <w:rsid w:val="007931FA"/>
    <w:rsid w:val="007A7BBA"/>
    <w:rsid w:val="007B0C50"/>
    <w:rsid w:val="007C1A43"/>
    <w:rsid w:val="007E1DC6"/>
    <w:rsid w:val="00813288"/>
    <w:rsid w:val="008168FC"/>
    <w:rsid w:val="00830996"/>
    <w:rsid w:val="008345F1"/>
    <w:rsid w:val="00865B07"/>
    <w:rsid w:val="008667EA"/>
    <w:rsid w:val="0087637F"/>
    <w:rsid w:val="008904B9"/>
    <w:rsid w:val="00892AD5"/>
    <w:rsid w:val="008A1512"/>
    <w:rsid w:val="008C78C1"/>
    <w:rsid w:val="008D32B9"/>
    <w:rsid w:val="008D433B"/>
    <w:rsid w:val="008E566E"/>
    <w:rsid w:val="0090161A"/>
    <w:rsid w:val="00901EB6"/>
    <w:rsid w:val="00904C62"/>
    <w:rsid w:val="00924DAC"/>
    <w:rsid w:val="00927058"/>
    <w:rsid w:val="009450CE"/>
    <w:rsid w:val="00947179"/>
    <w:rsid w:val="0095164B"/>
    <w:rsid w:val="00954090"/>
    <w:rsid w:val="009573E7"/>
    <w:rsid w:val="009635B9"/>
    <w:rsid w:val="00963E05"/>
    <w:rsid w:val="00967D54"/>
    <w:rsid w:val="00996483"/>
    <w:rsid w:val="00996F5A"/>
    <w:rsid w:val="009A0A3E"/>
    <w:rsid w:val="009B041A"/>
    <w:rsid w:val="009C7C86"/>
    <w:rsid w:val="009D2FF7"/>
    <w:rsid w:val="009E7884"/>
    <w:rsid w:val="009E788A"/>
    <w:rsid w:val="009F0E08"/>
    <w:rsid w:val="00A0781B"/>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57B36"/>
    <w:rsid w:val="00B8686D"/>
    <w:rsid w:val="00BC30C9"/>
    <w:rsid w:val="00BD6807"/>
    <w:rsid w:val="00BE3E58"/>
    <w:rsid w:val="00BF7746"/>
    <w:rsid w:val="00C01616"/>
    <w:rsid w:val="00C0162B"/>
    <w:rsid w:val="00C124D1"/>
    <w:rsid w:val="00C345B1"/>
    <w:rsid w:val="00C40142"/>
    <w:rsid w:val="00C57182"/>
    <w:rsid w:val="00C57863"/>
    <w:rsid w:val="00C655FD"/>
    <w:rsid w:val="00C870A8"/>
    <w:rsid w:val="00C94434"/>
    <w:rsid w:val="00CA0D75"/>
    <w:rsid w:val="00CA1C95"/>
    <w:rsid w:val="00CA5A9C"/>
    <w:rsid w:val="00CB004B"/>
    <w:rsid w:val="00CC5099"/>
    <w:rsid w:val="00CD3517"/>
    <w:rsid w:val="00CD5A00"/>
    <w:rsid w:val="00CD5FE2"/>
    <w:rsid w:val="00CE7C68"/>
    <w:rsid w:val="00D02B4C"/>
    <w:rsid w:val="00D040C4"/>
    <w:rsid w:val="00D57C84"/>
    <w:rsid w:val="00D6057D"/>
    <w:rsid w:val="00D84576"/>
    <w:rsid w:val="00DA1399"/>
    <w:rsid w:val="00DA24C6"/>
    <w:rsid w:val="00DA4D7B"/>
    <w:rsid w:val="00DE264A"/>
    <w:rsid w:val="00E02D18"/>
    <w:rsid w:val="00E03BBA"/>
    <w:rsid w:val="00E041E7"/>
    <w:rsid w:val="00E23CA1"/>
    <w:rsid w:val="00E26995"/>
    <w:rsid w:val="00E332ED"/>
    <w:rsid w:val="00E409A8"/>
    <w:rsid w:val="00E46BC1"/>
    <w:rsid w:val="00E50C12"/>
    <w:rsid w:val="00E65B91"/>
    <w:rsid w:val="00E7209D"/>
    <w:rsid w:val="00E77223"/>
    <w:rsid w:val="00E8528B"/>
    <w:rsid w:val="00E85B94"/>
    <w:rsid w:val="00E978D0"/>
    <w:rsid w:val="00EA4613"/>
    <w:rsid w:val="00EA7F91"/>
    <w:rsid w:val="00EB1523"/>
    <w:rsid w:val="00EB6522"/>
    <w:rsid w:val="00EC0E49"/>
    <w:rsid w:val="00EE0131"/>
    <w:rsid w:val="00F155B2"/>
    <w:rsid w:val="00F30C64"/>
    <w:rsid w:val="00F32CDB"/>
    <w:rsid w:val="00F63A70"/>
    <w:rsid w:val="00F7207B"/>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ECC11"/>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PlaceholderText">
    <w:name w:val="Placeholder Text"/>
    <w:basedOn w:val="DefaultParagraphFont"/>
    <w:uiPriority w:val="99"/>
    <w:semiHidden/>
    <w:rsid w:val="006850AC"/>
    <w:rPr>
      <w:color w:val="808080"/>
    </w:rPr>
  </w:style>
  <w:style w:type="character" w:styleId="HTMLCite">
    <w:name w:val="HTML Cite"/>
    <w:uiPriority w:val="99"/>
    <w:semiHidden/>
    <w:unhideWhenUsed/>
    <w:rsid w:val="002F40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faostat.fao.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5071/IBSCE2015-1CO.1.2"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fao.org/nr/water/aquastat/data/cf/readPdf.html?f=NGA-CF_eng.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jstd.org/index.php/ajstd/article/download/153/144" TargetMode="External"/><Relationship Id="rId20" Type="http://schemas.openxmlformats.org/officeDocument/2006/relationships/hyperlink" Target="http://www.tribuneonlineng.com/otu-ilero-local-charcoal-production-gets-boost-ex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woodenergy.ie/woodasafuel/listandvaluesofwoodfuelparameters-part1/" TargetMode="External"/><Relationship Id="rId5" Type="http://schemas.openxmlformats.org/officeDocument/2006/relationships/webSettings" Target="webSettings.xml"/><Relationship Id="rId15" Type="http://schemas.openxmlformats.org/officeDocument/2006/relationships/hyperlink" Target="http://www.iperasmuseprobio.unifg.it/dwn/0.pdf" TargetMode="External"/><Relationship Id="rId23" Type="http://schemas.openxmlformats.org/officeDocument/2006/relationships/hyperlink" Target="http://data.un.org/Data.aspx?d=EDATA&amp;f=cmID%3aCH%3btrID%3a1231" TargetMode="External"/><Relationship Id="rId10" Type="http://schemas.openxmlformats.org/officeDocument/2006/relationships/hyperlink" Target="mailto:pmofo@leeds.ac.uk" TargetMode="External"/><Relationship Id="rId19" Type="http://schemas.openxmlformats.org/officeDocument/2006/relationships/hyperlink" Target="http://www.fao.org/faostat/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c.europa.eu/energy/intelligent/projects/sites/iee-projects/files/projects/documents/bio-south_wood_fuel_properties.pdf" TargetMode="External"/><Relationship Id="rId22" Type="http://schemas.openxmlformats.org/officeDocument/2006/relationships/hyperlink" Target="http://dx.doi.org/10.1016/j.rser.2013.05.017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C916B-0F0F-4B26-9FBC-6BBB55EB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3495</Words>
  <Characters>19927</Characters>
  <Application>Microsoft Office Word</Application>
  <DocSecurity>0</DocSecurity>
  <Lines>166</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Omotola Olanrewaju</cp:lastModifiedBy>
  <cp:revision>25</cp:revision>
  <cp:lastPrinted>2015-05-12T18:31:00Z</cp:lastPrinted>
  <dcterms:created xsi:type="dcterms:W3CDTF">2019-04-06T12:17:00Z</dcterms:created>
  <dcterms:modified xsi:type="dcterms:W3CDTF">2019-04-06T13:14:00Z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