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0A03B2" w:rsidRPr="00B57B36">
        <w:trPr>
          <w:trHeight w:val="852"/>
          <w:jc w:val="center"/>
        </w:trPr>
        <w:tc>
          <w:tcPr>
            <w:tcW w:w="6946" w:type="dxa"/>
            <w:vMerge w:val="restart"/>
            <w:tcBorders>
              <w:right w:val="single" w:sz="4" w:space="0" w:color="auto"/>
            </w:tcBorders>
          </w:tcPr>
          <w:p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da-DK" w:eastAsia="da-DK"/>
              </w:rPr>
              <w:drawing>
                <wp:inline distT="0" distB="0" distL="0" distR="0" wp14:anchorId="5236E576" wp14:editId="1F0DD0A3">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rsidR="000A03B2" w:rsidRPr="00B57B36" w:rsidRDefault="00A76EFC" w:rsidP="009635B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9635B9">
              <w:rPr>
                <w:rFonts w:cs="Arial"/>
                <w:b/>
                <w:bCs/>
                <w:i/>
                <w:iCs/>
                <w:color w:val="000066"/>
                <w:sz w:val="22"/>
                <w:szCs w:val="22"/>
                <w:lang w:eastAsia="it-IT"/>
              </w:rPr>
              <w:t>6</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rsidR="000A03B2" w:rsidRPr="00B57B36" w:rsidRDefault="000A03B2" w:rsidP="00CD5FE2">
            <w:pPr>
              <w:jc w:val="right"/>
            </w:pPr>
            <w:r w:rsidRPr="00B57B36">
              <w:rPr>
                <w:noProof/>
                <w:lang w:val="da-DK" w:eastAsia="da-DK"/>
              </w:rPr>
              <w:drawing>
                <wp:inline distT="0" distB="0" distL="0" distR="0" wp14:anchorId="7009BED9" wp14:editId="40EB8F88">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95815">
        <w:trPr>
          <w:trHeight w:val="567"/>
          <w:jc w:val="center"/>
        </w:trPr>
        <w:tc>
          <w:tcPr>
            <w:tcW w:w="6946" w:type="dxa"/>
            <w:vMerge/>
            <w:tcBorders>
              <w:right w:val="single" w:sz="4" w:space="0" w:color="auto"/>
            </w:tcBorders>
          </w:tcPr>
          <w:p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rsidR="000A03B2" w:rsidRPr="009859E5" w:rsidRDefault="000A03B2" w:rsidP="00CD5FE2">
            <w:pPr>
              <w:spacing w:line="140" w:lineRule="atLeast"/>
              <w:jc w:val="right"/>
              <w:rPr>
                <w:rFonts w:cs="Arial"/>
                <w:sz w:val="14"/>
                <w:szCs w:val="14"/>
                <w:lang w:val="da-DK"/>
              </w:rPr>
            </w:pPr>
            <w:r w:rsidRPr="009859E5">
              <w:rPr>
                <w:rFonts w:cs="Arial"/>
                <w:sz w:val="14"/>
                <w:szCs w:val="14"/>
                <w:lang w:val="da-DK"/>
              </w:rPr>
              <w:t xml:space="preserve">Online at </w:t>
            </w:r>
            <w:r w:rsidR="00892AD5" w:rsidRPr="009859E5">
              <w:rPr>
                <w:rFonts w:cs="Arial"/>
                <w:sz w:val="14"/>
                <w:szCs w:val="14"/>
                <w:lang w:val="da-DK"/>
              </w:rPr>
              <w:t>www.aidic.it/cet</w:t>
            </w:r>
          </w:p>
        </w:tc>
      </w:tr>
      <w:tr w:rsidR="000A03B2" w:rsidRPr="00215F95">
        <w:trPr>
          <w:trHeight w:val="68"/>
          <w:jc w:val="center"/>
        </w:trPr>
        <w:tc>
          <w:tcPr>
            <w:tcW w:w="8789" w:type="dxa"/>
            <w:gridSpan w:val="2"/>
          </w:tcPr>
          <w:p w:rsidR="00300E56" w:rsidRPr="00252C1A" w:rsidRDefault="00300E56" w:rsidP="003365E3">
            <w:pPr>
              <w:ind w:left="-107"/>
              <w:rPr>
                <w:lang w:val="it-IT"/>
              </w:rPr>
            </w:pPr>
            <w:r w:rsidRPr="00252C1A">
              <w:rPr>
                <w:rFonts w:ascii="Tahoma" w:hAnsi="Tahoma" w:cs="Tahoma"/>
                <w:iCs/>
                <w:color w:val="333333"/>
                <w:sz w:val="14"/>
                <w:szCs w:val="14"/>
                <w:lang w:val="it-IT" w:eastAsia="it-IT"/>
              </w:rPr>
              <w:t>Guest Editors:</w:t>
            </w:r>
            <w:r w:rsidR="00904C62" w:rsidRPr="00252C1A">
              <w:rPr>
                <w:rFonts w:ascii="Tahoma" w:hAnsi="Tahoma" w:cs="Tahoma"/>
                <w:iCs/>
                <w:color w:val="333333"/>
                <w:sz w:val="14"/>
                <w:szCs w:val="14"/>
                <w:lang w:val="it-IT" w:eastAsia="it-IT"/>
              </w:rPr>
              <w:t xml:space="preserve"> </w:t>
            </w:r>
            <w:r w:rsidR="009635B9" w:rsidRPr="00252C1A">
              <w:rPr>
                <w:rFonts w:ascii="Tahoma" w:hAnsi="Tahoma" w:cs="Tahoma"/>
                <w:sz w:val="14"/>
                <w:szCs w:val="14"/>
                <w:lang w:val="it-IT"/>
              </w:rPr>
              <w:t>Sauro Pierucci,</w:t>
            </w:r>
            <w:r w:rsidR="003B60F3" w:rsidRPr="00252C1A">
              <w:rPr>
                <w:rFonts w:ascii="Tahoma" w:hAnsi="Tahoma" w:cs="Tahoma"/>
                <w:sz w:val="14"/>
                <w:szCs w:val="14"/>
                <w:lang w:val="it-IT"/>
              </w:rPr>
              <w:t xml:space="preserve"> </w:t>
            </w:r>
            <w:r w:rsidR="00047D7F" w:rsidRPr="00252C1A">
              <w:rPr>
                <w:rFonts w:ascii="Tahoma" w:hAnsi="Tahoma" w:cs="Tahoma"/>
                <w:sz w:val="14"/>
                <w:szCs w:val="14"/>
                <w:shd w:val="clear" w:color="auto" w:fill="FFFFFF"/>
                <w:lang w:val="it-IT"/>
              </w:rPr>
              <w:t>Jiří Jaromír Klemeš</w:t>
            </w:r>
            <w:r w:rsidR="00252C1A">
              <w:rPr>
                <w:rFonts w:ascii="Tahoma" w:hAnsi="Tahoma" w:cs="Tahoma"/>
                <w:sz w:val="14"/>
                <w:szCs w:val="14"/>
                <w:shd w:val="clear" w:color="auto" w:fill="FFFFFF"/>
                <w:lang w:val="it-IT"/>
              </w:rPr>
              <w:t>, Lau</w:t>
            </w:r>
            <w:r w:rsidR="00252C1A" w:rsidRPr="00252C1A">
              <w:rPr>
                <w:rFonts w:ascii="Tahoma" w:hAnsi="Tahoma" w:cs="Tahoma"/>
                <w:sz w:val="14"/>
                <w:szCs w:val="14"/>
                <w:shd w:val="clear" w:color="auto" w:fill="FFFFFF"/>
                <w:lang w:val="it-IT"/>
              </w:rPr>
              <w:t>ra Piazza</w:t>
            </w:r>
          </w:p>
          <w:p w:rsidR="000A03B2" w:rsidRPr="007A6CD8" w:rsidRDefault="00FA5F5F" w:rsidP="00131FAB">
            <w:pPr>
              <w:tabs>
                <w:tab w:val="left" w:pos="-108"/>
              </w:tabs>
              <w:spacing w:line="140" w:lineRule="atLeast"/>
              <w:ind w:left="-107"/>
              <w:jc w:val="left"/>
              <w:rPr>
                <w:lang w:val="en-US"/>
              </w:rPr>
            </w:pPr>
            <w:r w:rsidRPr="007A6CD8">
              <w:rPr>
                <w:rFonts w:ascii="Tahoma" w:hAnsi="Tahoma" w:cs="Tahoma"/>
                <w:iCs/>
                <w:color w:val="333333"/>
                <w:sz w:val="14"/>
                <w:szCs w:val="14"/>
                <w:lang w:val="en-US" w:eastAsia="it-IT"/>
              </w:rPr>
              <w:t>Copyright © 201</w:t>
            </w:r>
            <w:r w:rsidR="007931FA" w:rsidRPr="007A6CD8">
              <w:rPr>
                <w:rFonts w:ascii="Tahoma" w:hAnsi="Tahoma" w:cs="Tahoma"/>
                <w:iCs/>
                <w:color w:val="333333"/>
                <w:sz w:val="14"/>
                <w:szCs w:val="14"/>
                <w:lang w:val="en-US" w:eastAsia="it-IT"/>
              </w:rPr>
              <w:t>9</w:t>
            </w:r>
            <w:r w:rsidR="00904C62" w:rsidRPr="007A6CD8">
              <w:rPr>
                <w:rFonts w:ascii="Tahoma" w:hAnsi="Tahoma" w:cs="Tahoma"/>
                <w:iCs/>
                <w:color w:val="333333"/>
                <w:sz w:val="14"/>
                <w:szCs w:val="14"/>
                <w:lang w:val="en-US" w:eastAsia="it-IT"/>
              </w:rPr>
              <w:t xml:space="preserve">, AIDIC </w:t>
            </w:r>
            <w:proofErr w:type="spellStart"/>
            <w:r w:rsidR="00904C62" w:rsidRPr="007A6CD8">
              <w:rPr>
                <w:rFonts w:ascii="Tahoma" w:hAnsi="Tahoma" w:cs="Tahoma"/>
                <w:iCs/>
                <w:color w:val="333333"/>
                <w:sz w:val="14"/>
                <w:szCs w:val="14"/>
                <w:lang w:val="en-US" w:eastAsia="it-IT"/>
              </w:rPr>
              <w:t>Servizi</w:t>
            </w:r>
            <w:proofErr w:type="spellEnd"/>
            <w:r w:rsidR="00904C62" w:rsidRPr="007A6CD8">
              <w:rPr>
                <w:rFonts w:ascii="Tahoma" w:hAnsi="Tahoma" w:cs="Tahoma"/>
                <w:iCs/>
                <w:color w:val="333333"/>
                <w:sz w:val="14"/>
                <w:szCs w:val="14"/>
                <w:lang w:val="en-US" w:eastAsia="it-IT"/>
              </w:rPr>
              <w:t xml:space="preserve"> </w:t>
            </w:r>
            <w:proofErr w:type="spellStart"/>
            <w:r w:rsidR="00904C62" w:rsidRPr="007A6CD8">
              <w:rPr>
                <w:rFonts w:ascii="Tahoma" w:hAnsi="Tahoma" w:cs="Tahoma"/>
                <w:iCs/>
                <w:color w:val="333333"/>
                <w:sz w:val="14"/>
                <w:szCs w:val="14"/>
                <w:lang w:val="en-US" w:eastAsia="it-IT"/>
              </w:rPr>
              <w:t>S.r.l</w:t>
            </w:r>
            <w:proofErr w:type="spellEnd"/>
            <w:r w:rsidR="00904C62" w:rsidRPr="007A6CD8">
              <w:rPr>
                <w:rFonts w:ascii="Tahoma" w:hAnsi="Tahoma" w:cs="Tahoma"/>
                <w:iCs/>
                <w:color w:val="333333"/>
                <w:sz w:val="14"/>
                <w:szCs w:val="14"/>
                <w:lang w:val="en-US" w:eastAsia="it-IT"/>
              </w:rPr>
              <w:t>.</w:t>
            </w:r>
            <w:r w:rsidR="00300E56" w:rsidRPr="007A6CD8">
              <w:rPr>
                <w:rFonts w:ascii="Tahoma" w:hAnsi="Tahoma" w:cs="Tahoma"/>
                <w:iCs/>
                <w:color w:val="333333"/>
                <w:sz w:val="14"/>
                <w:szCs w:val="14"/>
                <w:lang w:val="en-US" w:eastAsia="it-IT"/>
              </w:rPr>
              <w:br/>
            </w:r>
            <w:r w:rsidR="00300E56" w:rsidRPr="007A6CD8">
              <w:rPr>
                <w:rFonts w:ascii="Tahoma" w:hAnsi="Tahoma" w:cs="Tahoma"/>
                <w:b/>
                <w:iCs/>
                <w:color w:val="000000"/>
                <w:sz w:val="14"/>
                <w:szCs w:val="14"/>
                <w:lang w:val="en-US" w:eastAsia="it-IT"/>
              </w:rPr>
              <w:t>ISBN</w:t>
            </w:r>
            <w:r w:rsidR="00300E56" w:rsidRPr="007A6CD8">
              <w:rPr>
                <w:rFonts w:ascii="Tahoma" w:hAnsi="Tahoma" w:cs="Tahoma"/>
                <w:iCs/>
                <w:color w:val="000000"/>
                <w:sz w:val="14"/>
                <w:szCs w:val="14"/>
                <w:lang w:val="en-US" w:eastAsia="it-IT"/>
              </w:rPr>
              <w:t xml:space="preserve"> </w:t>
            </w:r>
            <w:r w:rsidR="008D32B9" w:rsidRPr="007A6CD8">
              <w:rPr>
                <w:rFonts w:ascii="Tahoma" w:hAnsi="Tahoma" w:cs="Tahoma"/>
                <w:sz w:val="14"/>
                <w:szCs w:val="14"/>
                <w:lang w:val="en-US"/>
              </w:rPr>
              <w:t>978-88-95608-</w:t>
            </w:r>
            <w:r w:rsidR="009635B9" w:rsidRPr="007A6CD8">
              <w:rPr>
                <w:rFonts w:ascii="Tahoma" w:hAnsi="Tahoma" w:cs="Tahoma"/>
                <w:sz w:val="14"/>
                <w:szCs w:val="14"/>
                <w:lang w:val="en-US"/>
              </w:rPr>
              <w:t>73</w:t>
            </w:r>
            <w:r w:rsidR="008D32B9" w:rsidRPr="007A6CD8">
              <w:rPr>
                <w:rFonts w:ascii="Tahoma" w:hAnsi="Tahoma" w:cs="Tahoma"/>
                <w:sz w:val="14"/>
                <w:szCs w:val="14"/>
                <w:lang w:val="en-US"/>
              </w:rPr>
              <w:t>-</w:t>
            </w:r>
            <w:r w:rsidR="009635B9" w:rsidRPr="007A6CD8">
              <w:rPr>
                <w:rFonts w:ascii="Tahoma" w:hAnsi="Tahoma" w:cs="Tahoma"/>
                <w:sz w:val="14"/>
                <w:szCs w:val="14"/>
                <w:lang w:val="en-US"/>
              </w:rPr>
              <w:t>0</w:t>
            </w:r>
            <w:r w:rsidR="00300E56" w:rsidRPr="007A6CD8">
              <w:rPr>
                <w:rFonts w:ascii="Tahoma" w:hAnsi="Tahoma" w:cs="Tahoma"/>
                <w:iCs/>
                <w:color w:val="333333"/>
                <w:sz w:val="14"/>
                <w:szCs w:val="14"/>
                <w:lang w:val="en-US" w:eastAsia="it-IT"/>
              </w:rPr>
              <w:t xml:space="preserve">; </w:t>
            </w:r>
            <w:r w:rsidR="00300E56" w:rsidRPr="007A6CD8">
              <w:rPr>
                <w:rFonts w:ascii="Tahoma" w:hAnsi="Tahoma" w:cs="Tahoma"/>
                <w:b/>
                <w:iCs/>
                <w:color w:val="333333"/>
                <w:sz w:val="14"/>
                <w:szCs w:val="14"/>
                <w:lang w:val="en-US" w:eastAsia="it-IT"/>
              </w:rPr>
              <w:t>ISSN</w:t>
            </w:r>
            <w:r w:rsidR="00300E56" w:rsidRPr="007A6CD8">
              <w:rPr>
                <w:rFonts w:ascii="Tahoma" w:hAnsi="Tahoma" w:cs="Tahoma"/>
                <w:iCs/>
                <w:color w:val="333333"/>
                <w:sz w:val="14"/>
                <w:szCs w:val="14"/>
                <w:lang w:val="en-US" w:eastAsia="it-IT"/>
              </w:rPr>
              <w:t xml:space="preserve"> 2283-9216</w:t>
            </w:r>
          </w:p>
        </w:tc>
      </w:tr>
    </w:tbl>
    <w:p w:rsidR="000A03B2" w:rsidRPr="007A6CD8" w:rsidRDefault="000A03B2" w:rsidP="000A03B2">
      <w:pPr>
        <w:pStyle w:val="CETAuthors"/>
        <w:rPr>
          <w:lang w:val="en-US"/>
        </w:rPr>
        <w:sectPr w:rsidR="000A03B2" w:rsidRPr="007A6CD8">
          <w:type w:val="continuous"/>
          <w:pgSz w:w="11906" w:h="16838" w:code="9"/>
          <w:pgMar w:top="1701" w:right="1418" w:bottom="1701" w:left="1701" w:header="1701" w:footer="0" w:gutter="0"/>
          <w:cols w:space="708"/>
          <w:titlePg/>
          <w:docGrid w:linePitch="360"/>
        </w:sectPr>
      </w:pPr>
    </w:p>
    <w:p w:rsidR="00E978D0" w:rsidRPr="00B57B36" w:rsidRDefault="00475B7D" w:rsidP="00E978D0">
      <w:pPr>
        <w:pStyle w:val="CETTitle"/>
      </w:pPr>
      <w:r w:rsidRPr="00475B7D">
        <w:lastRenderedPageBreak/>
        <w:t xml:space="preserve">Screw </w:t>
      </w:r>
      <w:r>
        <w:t>P</w:t>
      </w:r>
      <w:r w:rsidRPr="00475B7D">
        <w:t xml:space="preserve">ress </w:t>
      </w:r>
      <w:r>
        <w:t>E</w:t>
      </w:r>
      <w:r w:rsidRPr="00475B7D">
        <w:t xml:space="preserve">xtraction and </w:t>
      </w:r>
      <w:r>
        <w:t>Ultrafiltration of Flavonoids from Kalanchoe Leaves and S</w:t>
      </w:r>
      <w:r w:rsidRPr="00475B7D">
        <w:t>tems</w:t>
      </w:r>
    </w:p>
    <w:p w:rsidR="00E978D0" w:rsidRPr="00B57B36" w:rsidRDefault="00475B7D" w:rsidP="00AB5011">
      <w:pPr>
        <w:pStyle w:val="CETAuthors"/>
      </w:pPr>
      <w:r w:rsidRPr="00475B7D">
        <w:t>K</w:t>
      </w:r>
      <w:r>
        <w:t>nud V.</w:t>
      </w:r>
      <w:r w:rsidRPr="00475B7D">
        <w:t xml:space="preserve"> Christensen</w:t>
      </w:r>
      <w:r w:rsidRPr="009859E5">
        <w:t>*</w:t>
      </w:r>
      <w:r w:rsidRPr="00475B7D">
        <w:t>, C</w:t>
      </w:r>
      <w:r>
        <w:t>hristian</w:t>
      </w:r>
      <w:r w:rsidRPr="00475B7D">
        <w:t xml:space="preserve"> </w:t>
      </w:r>
      <w:r>
        <w:t xml:space="preserve">E.D. </w:t>
      </w:r>
      <w:r w:rsidRPr="00475B7D">
        <w:t>Christiansen, P</w:t>
      </w:r>
      <w:r>
        <w:t>eter</w:t>
      </w:r>
      <w:r w:rsidRPr="00475B7D">
        <w:t xml:space="preserve"> </w:t>
      </w:r>
      <w:r>
        <w:t xml:space="preserve">B. </w:t>
      </w:r>
      <w:r w:rsidRPr="00475B7D">
        <w:t>Lund and R</w:t>
      </w:r>
      <w:r>
        <w:t>ime B</w:t>
      </w:r>
      <w:r w:rsidRPr="00475B7D">
        <w:t>. El-Houri</w:t>
      </w:r>
    </w:p>
    <w:p w:rsidR="009859E5" w:rsidRPr="009378F0" w:rsidRDefault="009859E5" w:rsidP="009859E5">
      <w:pPr>
        <w:pStyle w:val="CETAddress"/>
      </w:pPr>
      <w:r w:rsidRPr="00F77417">
        <w:t>University of Southern Denmark, Department of Chemical Engineering, Biotechnology and Environmental Technology, Campusvej 55, 5000 Odense M, Denmark</w:t>
      </w:r>
    </w:p>
    <w:p w:rsidR="00E978D0" w:rsidRPr="00B57B36" w:rsidRDefault="00475B7D" w:rsidP="009859E5">
      <w:pPr>
        <w:pStyle w:val="CETemail"/>
      </w:pPr>
      <w:r>
        <w:t>kvc</w:t>
      </w:r>
      <w:r w:rsidR="009859E5" w:rsidRPr="00F77417">
        <w:t>@kbm.sdu.dk</w:t>
      </w:r>
    </w:p>
    <w:p w:rsidR="005C72B9" w:rsidRDefault="005C72B9" w:rsidP="00ED1B0F">
      <w:pPr>
        <w:pStyle w:val="CETBodytext"/>
      </w:pPr>
    </w:p>
    <w:p w:rsidR="00D5570A" w:rsidRPr="00DD2213" w:rsidRDefault="005C72B9" w:rsidP="00ED1B0F">
      <w:pPr>
        <w:pStyle w:val="CETBodytext"/>
        <w:rPr>
          <w:color w:val="FF0000"/>
        </w:rPr>
      </w:pPr>
      <w:proofErr w:type="spellStart"/>
      <w:r>
        <w:t>Kalanchoe</w:t>
      </w:r>
      <w:proofErr w:type="spellEnd"/>
      <w:r>
        <w:t xml:space="preserve"> leaves and stems contain flavonoids known to have </w:t>
      </w:r>
      <w:r w:rsidRPr="00351E0E">
        <w:t>anti-inflammator</w:t>
      </w:r>
      <w:r>
        <w:t>y</w:t>
      </w:r>
      <w:r w:rsidRPr="00351E0E">
        <w:t>, anti-microbial and anti-allergen</w:t>
      </w:r>
      <w:r>
        <w:t xml:space="preserve">ic properties of interest for </w:t>
      </w:r>
      <w:r w:rsidR="001F7616">
        <w:t xml:space="preserve">use in </w:t>
      </w:r>
      <w:r>
        <w:t>cosmetics and pharmaceuticals.</w:t>
      </w:r>
      <w:r w:rsidRPr="00DF7480">
        <w:t xml:space="preserve"> </w:t>
      </w:r>
      <w:r>
        <w:t>The present study investigates t</w:t>
      </w:r>
      <w:r w:rsidR="00215F95" w:rsidRPr="00DF7480">
        <w:t xml:space="preserve">he </w:t>
      </w:r>
      <w:r w:rsidR="00DF7480" w:rsidRPr="00DF7480">
        <w:t>aqueous</w:t>
      </w:r>
      <w:r w:rsidR="00DF7480">
        <w:t xml:space="preserve"> extraction of flavonoids from </w:t>
      </w:r>
      <w:r>
        <w:t>the</w:t>
      </w:r>
      <w:r w:rsidR="00DF7480">
        <w:t xml:space="preserve"> leaves and stems</w:t>
      </w:r>
      <w:r>
        <w:t xml:space="preserve"> of </w:t>
      </w:r>
      <w:proofErr w:type="spellStart"/>
      <w:r>
        <w:t>kalanchoe</w:t>
      </w:r>
      <w:proofErr w:type="spellEnd"/>
      <w:r>
        <w:t xml:space="preserve"> hybrids</w:t>
      </w:r>
      <w:r w:rsidR="00DF7480">
        <w:t>. The extraction process</w:t>
      </w:r>
      <w:r w:rsidR="00DF7480">
        <w:rPr>
          <w:color w:val="FF0000"/>
        </w:rPr>
        <w:t xml:space="preserve"> </w:t>
      </w:r>
      <w:r w:rsidR="00DF7480" w:rsidRPr="00DF7480">
        <w:t xml:space="preserve">consisted </w:t>
      </w:r>
      <w:r>
        <w:t xml:space="preserve">of </w:t>
      </w:r>
      <w:r w:rsidR="00DF7480" w:rsidRPr="00DF7480">
        <w:t xml:space="preserve">screw pressing followed by aqueous batch extraction, microfiltration using tubular 0.2 </w:t>
      </w:r>
      <w:proofErr w:type="spellStart"/>
      <w:r w:rsidR="00DF7480" w:rsidRPr="00DF7480">
        <w:rPr>
          <w:rFonts w:cs="Arial"/>
        </w:rPr>
        <w:t>μ</w:t>
      </w:r>
      <w:r w:rsidR="00DF7480" w:rsidRPr="00DF7480">
        <w:t>m</w:t>
      </w:r>
      <w:proofErr w:type="spellEnd"/>
      <w:r w:rsidR="00DF7480" w:rsidRPr="00DF7480">
        <w:t xml:space="preserve"> polypropylene membranes, 20 </w:t>
      </w:r>
      <w:proofErr w:type="spellStart"/>
      <w:r w:rsidR="00DF7480" w:rsidRPr="00DF7480">
        <w:t>kDa</w:t>
      </w:r>
      <w:proofErr w:type="spellEnd"/>
      <w:r w:rsidR="00DF7480" w:rsidRPr="00DF7480">
        <w:t xml:space="preserve"> </w:t>
      </w:r>
      <w:proofErr w:type="spellStart"/>
      <w:r w:rsidR="00DF7480" w:rsidRPr="00DF7480">
        <w:t>polyethersu</w:t>
      </w:r>
      <w:r w:rsidR="00EB35F7">
        <w:t>lf</w:t>
      </w:r>
      <w:r w:rsidR="00DF7480" w:rsidRPr="00DF7480">
        <w:t>one</w:t>
      </w:r>
      <w:proofErr w:type="spellEnd"/>
      <w:r w:rsidR="00DF7480" w:rsidRPr="00DF7480">
        <w:t xml:space="preserve"> flat</w:t>
      </w:r>
      <w:r w:rsidR="00BC2FAF">
        <w:t xml:space="preserve"> </w:t>
      </w:r>
      <w:r w:rsidR="00DF7480" w:rsidRPr="00DF7480">
        <w:t xml:space="preserve">sheet membranes and 1 </w:t>
      </w:r>
      <w:proofErr w:type="spellStart"/>
      <w:r w:rsidR="00DF7480" w:rsidRPr="00DF7480">
        <w:t>kDa</w:t>
      </w:r>
      <w:proofErr w:type="spellEnd"/>
      <w:r w:rsidR="00DF7480" w:rsidRPr="00DF7480">
        <w:t xml:space="preserve"> composite fluoropolymer membranes</w:t>
      </w:r>
      <w:r w:rsidR="00ED1B0F" w:rsidRPr="00DD2213">
        <w:rPr>
          <w:color w:val="FF0000"/>
        </w:rPr>
        <w:t xml:space="preserve">. </w:t>
      </w:r>
    </w:p>
    <w:p w:rsidR="00DA24C6" w:rsidRPr="002F7627" w:rsidRDefault="00ED1B0F" w:rsidP="00ED1B0F">
      <w:pPr>
        <w:pStyle w:val="CETBodytext"/>
      </w:pPr>
      <w:r w:rsidRPr="002F7627">
        <w:t>The experiments show</w:t>
      </w:r>
      <w:r w:rsidR="00D5570A" w:rsidRPr="002F7627">
        <w:t>ed</w:t>
      </w:r>
      <w:r w:rsidRPr="002F7627">
        <w:t xml:space="preserve"> that </w:t>
      </w:r>
      <w:r w:rsidR="00DF7480" w:rsidRPr="002F7627">
        <w:t>the screw press efficiently separated the kalanchoe leaves and stems into a solid fraction with a dry</w:t>
      </w:r>
      <w:r w:rsidR="00E073EF">
        <w:t xml:space="preserve"> </w:t>
      </w:r>
      <w:r w:rsidR="00DF7480" w:rsidRPr="002F7627">
        <w:t>matter content of 14 % and a liquid fraction with a dry</w:t>
      </w:r>
      <w:r w:rsidR="00E073EF">
        <w:t xml:space="preserve"> </w:t>
      </w:r>
      <w:r w:rsidR="00DF7480" w:rsidRPr="002F7627">
        <w:t xml:space="preserve">matter content of </w:t>
      </w:r>
      <w:r w:rsidR="002F7627" w:rsidRPr="002F7627">
        <w:t xml:space="preserve">2.4 %. </w:t>
      </w:r>
      <w:r w:rsidR="00E073EF">
        <w:t>Approximately</w:t>
      </w:r>
      <w:r w:rsidR="002F7627" w:rsidRPr="002F7627">
        <w:t xml:space="preserve"> two third</w:t>
      </w:r>
      <w:r w:rsidR="00E073EF">
        <w:t>s</w:t>
      </w:r>
      <w:r w:rsidR="002F7627" w:rsidRPr="002F7627">
        <w:t xml:space="preserve"> of the flavonoids were in the liquid phase after the initial pressing. The batch extraction time was found to be 3 hours to ac</w:t>
      </w:r>
      <w:r w:rsidR="00FF6AB5">
        <w:t>h</w:t>
      </w:r>
      <w:r w:rsidR="002F7627" w:rsidRPr="002F7627">
        <w:t>i</w:t>
      </w:r>
      <w:r w:rsidR="00FF6AB5">
        <w:t>e</w:t>
      </w:r>
      <w:r w:rsidR="002F7627" w:rsidRPr="002F7627">
        <w:t>ve maximum flavonoid concentration. The combination of microfiltration and ultrafiltration could produce a liquid fraction rich in flavonoids. However, the proposed combination of membranes and cleaning procedures are not optima</w:t>
      </w:r>
      <w:r w:rsidR="00FF6AB5">
        <w:t>l</w:t>
      </w:r>
      <w:r w:rsidR="002F7627" w:rsidRPr="002F7627">
        <w:t xml:space="preserve"> and needs further development</w:t>
      </w:r>
      <w:r w:rsidRPr="002F7627">
        <w:t>.</w:t>
      </w:r>
    </w:p>
    <w:p w:rsidR="00600535" w:rsidRPr="00B57B36" w:rsidRDefault="00600535" w:rsidP="00600535">
      <w:pPr>
        <w:pStyle w:val="CETHeading1"/>
        <w:rPr>
          <w:lang w:val="en-GB"/>
        </w:rPr>
      </w:pPr>
      <w:r w:rsidRPr="00B57B36">
        <w:rPr>
          <w:lang w:val="en-GB"/>
        </w:rPr>
        <w:t>Introduction</w:t>
      </w:r>
    </w:p>
    <w:p w:rsidR="002F7627" w:rsidRPr="00351E0E" w:rsidRDefault="002F7627" w:rsidP="002F7627">
      <w:pPr>
        <w:pStyle w:val="CETBodytext"/>
      </w:pPr>
      <w:r w:rsidRPr="00351E0E">
        <w:t xml:space="preserve">In horticulture as in all industry optimizing the economic potential of a production by valorization of waste streams are important. From a </w:t>
      </w:r>
      <w:proofErr w:type="spellStart"/>
      <w:r w:rsidRPr="00351E0E">
        <w:t>biochain</w:t>
      </w:r>
      <w:proofErr w:type="spellEnd"/>
      <w:r w:rsidRPr="00351E0E">
        <w:t xml:space="preserve"> and a circular economy perspective, each waste stream is used to its economic optimum and the recycling </w:t>
      </w:r>
      <w:r w:rsidR="00345849" w:rsidRPr="00351E0E">
        <w:t>economy of the available resources is</w:t>
      </w:r>
      <w:r w:rsidRPr="00351E0E">
        <w:t xml:space="preserve"> optimized. This increase</w:t>
      </w:r>
      <w:r w:rsidR="00D9600B">
        <w:t>s</w:t>
      </w:r>
      <w:r w:rsidRPr="00351E0E">
        <w:t xml:space="preserve"> the revenue per unit mass and decreases the environmental impact by reducing the amount that must be handled as waste. In horticulture potted flowering plants and </w:t>
      </w:r>
      <w:r w:rsidR="00D9600B">
        <w:t xml:space="preserve">cut </w:t>
      </w:r>
      <w:r w:rsidRPr="00351E0E">
        <w:t>flowers are a major prod</w:t>
      </w:r>
      <w:r w:rsidR="00D9600B">
        <w:t>uct produced and handled world-</w:t>
      </w:r>
      <w:r w:rsidRPr="00351E0E">
        <w:t xml:space="preserve">wide. This production has a great </w:t>
      </w:r>
      <w:proofErr w:type="spellStart"/>
      <w:r w:rsidRPr="00351E0E">
        <w:t>biochain</w:t>
      </w:r>
      <w:proofErr w:type="spellEnd"/>
      <w:r w:rsidRPr="00351E0E">
        <w:t xml:space="preserve"> and circular potential, as the waste leaves and cut stems are still rich in high-value chemicals and </w:t>
      </w:r>
      <w:r w:rsidR="001F7616">
        <w:t xml:space="preserve">the </w:t>
      </w:r>
      <w:r w:rsidRPr="00351E0E">
        <w:t>residu</w:t>
      </w:r>
      <w:r w:rsidR="00D9600B">
        <w:t>al</w:t>
      </w:r>
      <w:r w:rsidRPr="00351E0E">
        <w:t xml:space="preserve"> biomass can be used for energy production. </w:t>
      </w:r>
    </w:p>
    <w:p w:rsidR="003826C9" w:rsidRDefault="002F7627" w:rsidP="002F7627">
      <w:pPr>
        <w:pStyle w:val="CETBodytext"/>
      </w:pPr>
      <w:r w:rsidRPr="00351E0E">
        <w:t>Kalanchoe has previously been part of traditional natural medicine in the Americas and West Africa</w:t>
      </w:r>
      <w:r w:rsidRPr="002F7627">
        <w:rPr>
          <w:color w:val="FF0000"/>
        </w:rPr>
        <w:t xml:space="preserve"> </w:t>
      </w:r>
      <w:r w:rsidR="00C01D24" w:rsidRPr="00C01D24">
        <w:t>(Milad et al, 201</w:t>
      </w:r>
      <w:r w:rsidR="00C01D24">
        <w:t>4</w:t>
      </w:r>
      <w:r w:rsidR="00C01D24" w:rsidRPr="00C01D24">
        <w:t>)</w:t>
      </w:r>
      <w:r w:rsidRPr="00C01D24">
        <w:t>.</w:t>
      </w:r>
      <w:r w:rsidRPr="002F7627">
        <w:rPr>
          <w:color w:val="FF0000"/>
        </w:rPr>
        <w:t xml:space="preserve"> </w:t>
      </w:r>
      <w:r w:rsidRPr="00351E0E">
        <w:t xml:space="preserve">Today kalanchoe is produced world-wide in green houses and used as both potted flowering plants and in cut flower arrangements. The leaves and cuts from this production still contain alkaloids, flavonoids, steroids and terpenes, some of which might have potential as anti-inflammatories, anti-microbials and anti-allergens, which could find use in medicine and cosmetics. </w:t>
      </w:r>
    </w:p>
    <w:p w:rsidR="00345849" w:rsidRPr="00351E0E" w:rsidRDefault="002F7627" w:rsidP="002F7627">
      <w:pPr>
        <w:pStyle w:val="CETBodytext"/>
      </w:pPr>
      <w:r w:rsidRPr="00351E0E">
        <w:t>Previous studies have shown</w:t>
      </w:r>
      <w:r w:rsidRPr="002F7627">
        <w:rPr>
          <w:color w:val="FF0000"/>
        </w:rPr>
        <w:t xml:space="preserve"> </w:t>
      </w:r>
      <w:r w:rsidR="003826C9" w:rsidRPr="003826C9">
        <w:t>(</w:t>
      </w:r>
      <w:proofErr w:type="spellStart"/>
      <w:r w:rsidR="003826C9" w:rsidRPr="003826C9">
        <w:t>Rosli</w:t>
      </w:r>
      <w:proofErr w:type="spellEnd"/>
      <w:r w:rsidR="003826C9" w:rsidRPr="003826C9">
        <w:t xml:space="preserve"> et al, 2012)</w:t>
      </w:r>
      <w:r w:rsidRPr="003826C9">
        <w:t>,</w:t>
      </w:r>
      <w:r w:rsidRPr="002F7627">
        <w:rPr>
          <w:color w:val="FF0000"/>
        </w:rPr>
        <w:t xml:space="preserve"> </w:t>
      </w:r>
      <w:r w:rsidRPr="00351E0E">
        <w:t xml:space="preserve">that flavonoids </w:t>
      </w:r>
      <w:r w:rsidR="004433E3">
        <w:t>and phenolic</w:t>
      </w:r>
      <w:r w:rsidR="00A8470C">
        <w:t xml:space="preserve"> comp</w:t>
      </w:r>
      <w:r w:rsidR="0009564C">
        <w:t>o</w:t>
      </w:r>
      <w:r w:rsidR="00A8470C">
        <w:t xml:space="preserve">unds </w:t>
      </w:r>
      <w:r w:rsidRPr="00351E0E">
        <w:t xml:space="preserve">can be extracted in aqueous solutions from </w:t>
      </w:r>
      <w:proofErr w:type="spellStart"/>
      <w:r w:rsidRPr="00351E0E">
        <w:t>Kalanchoe</w:t>
      </w:r>
      <w:proofErr w:type="spellEnd"/>
      <w:r w:rsidRPr="00351E0E">
        <w:t xml:space="preserve"> </w:t>
      </w:r>
      <w:proofErr w:type="spellStart"/>
      <w:r w:rsidRPr="00351E0E">
        <w:t>Pinnata</w:t>
      </w:r>
      <w:proofErr w:type="spellEnd"/>
      <w:r w:rsidR="008C21F4">
        <w:t>.</w:t>
      </w:r>
      <w:r w:rsidR="00345849" w:rsidRPr="00351E0E">
        <w:t xml:space="preserve"> </w:t>
      </w:r>
      <w:r w:rsidR="008C21F4">
        <w:t>Further</w:t>
      </w:r>
      <w:r w:rsidR="001F7616">
        <w:t>,</w:t>
      </w:r>
      <w:r w:rsidR="008C21F4">
        <w:t xml:space="preserve"> flavonoids can</w:t>
      </w:r>
      <w:r w:rsidR="00345849" w:rsidRPr="00351E0E">
        <w:t xml:space="preserve"> </w:t>
      </w:r>
      <w:r w:rsidR="008C21F4">
        <w:t xml:space="preserve">be </w:t>
      </w:r>
      <w:r w:rsidR="00345849" w:rsidRPr="00351E0E">
        <w:t>separated using membrane processes such as ultrafiltration</w:t>
      </w:r>
      <w:r w:rsidR="00345849">
        <w:rPr>
          <w:color w:val="FF0000"/>
        </w:rPr>
        <w:t xml:space="preserve"> </w:t>
      </w:r>
      <w:r w:rsidR="00A8470C" w:rsidRPr="00A8470C">
        <w:t>(Milani et al, 201</w:t>
      </w:r>
      <w:r w:rsidR="00A8470C">
        <w:t>5</w:t>
      </w:r>
      <w:r w:rsidR="00A8470C" w:rsidRPr="00A8470C">
        <w:t>)</w:t>
      </w:r>
      <w:r w:rsidR="00345849">
        <w:rPr>
          <w:color w:val="FF0000"/>
        </w:rPr>
        <w:t xml:space="preserve"> </w:t>
      </w:r>
      <w:r w:rsidR="00345849" w:rsidRPr="00351E0E">
        <w:t xml:space="preserve">and </w:t>
      </w:r>
      <w:proofErr w:type="spellStart"/>
      <w:r w:rsidR="00345849" w:rsidRPr="00351E0E">
        <w:t>nanofiltration</w:t>
      </w:r>
      <w:proofErr w:type="spellEnd"/>
      <w:r w:rsidR="00345849" w:rsidRPr="00351E0E">
        <w:t xml:space="preserve"> </w:t>
      </w:r>
      <w:r w:rsidR="004433E3">
        <w:t>(</w:t>
      </w:r>
      <w:proofErr w:type="spellStart"/>
      <w:r w:rsidR="004433E3" w:rsidRPr="004433E3">
        <w:t>Dzhonova-Atanasova</w:t>
      </w:r>
      <w:proofErr w:type="spellEnd"/>
      <w:r w:rsidR="004433E3">
        <w:t xml:space="preserve"> et al, 2018). </w:t>
      </w:r>
      <w:r w:rsidR="008C21F4">
        <w:t>I</w:t>
      </w:r>
      <w:r w:rsidR="00351E0E" w:rsidRPr="00351E0E">
        <w:t>n the present study th</w:t>
      </w:r>
      <w:r w:rsidR="001E122C">
        <w:t>ese</w:t>
      </w:r>
      <w:r w:rsidR="00351E0E" w:rsidRPr="00351E0E">
        <w:t xml:space="preserve"> </w:t>
      </w:r>
      <w:r w:rsidR="001E122C">
        <w:t>methods</w:t>
      </w:r>
      <w:r w:rsidR="00351E0E" w:rsidRPr="00351E0E">
        <w:t xml:space="preserve"> w</w:t>
      </w:r>
      <w:r w:rsidR="001E122C">
        <w:t>ere</w:t>
      </w:r>
      <w:r w:rsidR="00351E0E" w:rsidRPr="00351E0E">
        <w:t xml:space="preserve"> used to process flavonoids from </w:t>
      </w:r>
      <w:proofErr w:type="spellStart"/>
      <w:r w:rsidR="00351E0E" w:rsidRPr="00351E0E">
        <w:t>kalanchoe</w:t>
      </w:r>
      <w:proofErr w:type="spellEnd"/>
      <w:r w:rsidR="00351E0E" w:rsidRPr="00351E0E">
        <w:t xml:space="preserve"> leaves and stems.</w:t>
      </w:r>
      <w:r w:rsidR="005C72B9">
        <w:t xml:space="preserve"> The aim was to produce a liquid fraction rich in </w:t>
      </w:r>
      <w:r w:rsidR="001F7616">
        <w:t>flavonoids, which</w:t>
      </w:r>
      <w:r w:rsidR="005C72B9">
        <w:t xml:space="preserve"> through further purification could be used as anti-</w:t>
      </w:r>
      <w:proofErr w:type="spellStart"/>
      <w:r w:rsidR="005C72B9">
        <w:t>microbials</w:t>
      </w:r>
      <w:proofErr w:type="spellEnd"/>
      <w:r w:rsidR="005C72B9">
        <w:t xml:space="preserve"> in the cosmetic industry.</w:t>
      </w:r>
    </w:p>
    <w:p w:rsidR="00A97B84" w:rsidRDefault="00504178" w:rsidP="00504178">
      <w:pPr>
        <w:pStyle w:val="CETHeading1"/>
      </w:pPr>
      <w:r>
        <w:lastRenderedPageBreak/>
        <w:t>Materials and Methods</w:t>
      </w:r>
    </w:p>
    <w:p w:rsidR="00504178" w:rsidRDefault="00504178" w:rsidP="00504178">
      <w:pPr>
        <w:pStyle w:val="CETheadingx"/>
      </w:pPr>
      <w:r>
        <w:t>Materials</w:t>
      </w:r>
      <w:r w:rsidR="00400472">
        <w:t xml:space="preserve"> and Analytical Procedure</w:t>
      </w:r>
    </w:p>
    <w:p w:rsidR="00D765E7" w:rsidRPr="00932570" w:rsidRDefault="00650532" w:rsidP="00D765E7">
      <w:pPr>
        <w:pStyle w:val="CETBodytext"/>
        <w:rPr>
          <w:color w:val="FF0000"/>
        </w:rPr>
      </w:pPr>
      <w:r>
        <w:t xml:space="preserve">Fresh leaves and stems </w:t>
      </w:r>
      <w:r w:rsidR="00400472">
        <w:t xml:space="preserve">from kalanchoe hybrids </w:t>
      </w:r>
      <w:r>
        <w:t xml:space="preserve">were </w:t>
      </w:r>
      <w:r w:rsidR="00400472">
        <w:t xml:space="preserve">kindly </w:t>
      </w:r>
      <w:r>
        <w:t>delivered from Queen® (Knud Jepsen A/S, Denmark)</w:t>
      </w:r>
      <w:r w:rsidR="00400472">
        <w:t>. Dry</w:t>
      </w:r>
      <w:r w:rsidR="00222BE5">
        <w:t xml:space="preserve"> </w:t>
      </w:r>
      <w:r w:rsidR="00400472">
        <w:t xml:space="preserve">matter and water content </w:t>
      </w:r>
      <w:r w:rsidR="00222BE5">
        <w:t xml:space="preserve">were </w:t>
      </w:r>
      <w:r w:rsidR="00400472">
        <w:t xml:space="preserve">determined by placing a sample in an </w:t>
      </w:r>
      <w:r w:rsidR="00096EF9">
        <w:t>aluminum</w:t>
      </w:r>
      <w:r w:rsidR="00400472">
        <w:t xml:space="preserve"> tray in an oven</w:t>
      </w:r>
      <w:r w:rsidR="00D9600B" w:rsidRPr="00D9600B">
        <w:t xml:space="preserve"> </w:t>
      </w:r>
      <w:r w:rsidR="00D9600B">
        <w:t xml:space="preserve">at 105 </w:t>
      </w:r>
      <w:r w:rsidR="00D9600B">
        <w:rPr>
          <w:rFonts w:cs="Arial"/>
        </w:rPr>
        <w:t>°</w:t>
      </w:r>
      <w:r w:rsidR="00D9600B">
        <w:t>C</w:t>
      </w:r>
      <w:r w:rsidR="00400472">
        <w:t xml:space="preserve"> for 24 hours, weighing the sample before and after drying. The flavonoid content was measured using a standard </w:t>
      </w:r>
      <w:proofErr w:type="spellStart"/>
      <w:r w:rsidR="00400472">
        <w:t>Ultimax</w:t>
      </w:r>
      <w:proofErr w:type="spellEnd"/>
      <w:r w:rsidR="00400472">
        <w:t xml:space="preserve"> 3000 HPLC </w:t>
      </w:r>
      <w:proofErr w:type="spellStart"/>
      <w:r w:rsidR="00400472">
        <w:t>Dionex</w:t>
      </w:r>
      <w:proofErr w:type="spellEnd"/>
      <w:r w:rsidR="00400472">
        <w:t xml:space="preserve"> (</w:t>
      </w:r>
      <w:proofErr w:type="spellStart"/>
      <w:r w:rsidR="00400472">
        <w:t>ThermoFisher</w:t>
      </w:r>
      <w:proofErr w:type="spellEnd"/>
      <w:r w:rsidR="00400472">
        <w:t xml:space="preserve"> Scientific, USA), equipped with a </w:t>
      </w:r>
      <w:r w:rsidR="00400472" w:rsidRPr="00400472">
        <w:t xml:space="preserve">Luna, 5 </w:t>
      </w:r>
      <w:proofErr w:type="spellStart"/>
      <w:r w:rsidR="00400472" w:rsidRPr="00400472">
        <w:t>μm</w:t>
      </w:r>
      <w:proofErr w:type="spellEnd"/>
      <w:r w:rsidR="00400472" w:rsidRPr="00400472">
        <w:t>, C18, 150 x 4.6 mm</w:t>
      </w:r>
      <w:r w:rsidR="00D765E7">
        <w:t xml:space="preserve"> </w:t>
      </w:r>
      <w:r w:rsidR="00D765E7" w:rsidRPr="00400472">
        <w:t>column</w:t>
      </w:r>
      <w:r w:rsidR="00D765E7">
        <w:t xml:space="preserve">. </w:t>
      </w:r>
      <w:r w:rsidR="00D765E7" w:rsidRPr="00D765E7">
        <w:t>The analysis method use</w:t>
      </w:r>
      <w:r w:rsidR="00D9600B">
        <w:t>d</w:t>
      </w:r>
      <w:r w:rsidR="00D765E7" w:rsidRPr="00D765E7">
        <w:t xml:space="preserve"> two solvents. Solvent A </w:t>
      </w:r>
      <w:r w:rsidR="00D765E7">
        <w:t>was</w:t>
      </w:r>
      <w:r w:rsidR="00D765E7" w:rsidRPr="00D765E7">
        <w:t xml:space="preserve"> ultrapure water (ELGA PURELAB) with 0.1 </w:t>
      </w:r>
      <w:r w:rsidR="00D9600B">
        <w:t>volume-</w:t>
      </w:r>
      <w:r w:rsidR="00D765E7" w:rsidRPr="00D765E7">
        <w:t xml:space="preserve">% of formic acid (98%, VWR Chemicals), and solvent B acetonitrile (min. 99.95% super gradient, VWR Chemicals) with 0.1 </w:t>
      </w:r>
      <w:r w:rsidR="00D9600B">
        <w:t>volume-</w:t>
      </w:r>
      <w:r w:rsidR="00D765E7" w:rsidRPr="00D765E7">
        <w:t xml:space="preserve">% of formic acid (98%, VWR Chemicals). The total analysis time </w:t>
      </w:r>
      <w:r w:rsidR="0009564C">
        <w:t>was</w:t>
      </w:r>
      <w:r w:rsidR="00D765E7" w:rsidRPr="00D765E7">
        <w:t xml:space="preserve"> 45 minutes with a flow of 0.8 mL</w:t>
      </w:r>
      <w:r w:rsidR="00D9600B">
        <w:rPr>
          <w:rFonts w:ascii="Cambria Math" w:hAnsi="Cambria Math"/>
        </w:rPr>
        <w:t>·</w:t>
      </w:r>
      <w:r w:rsidR="00D765E7" w:rsidRPr="00D765E7">
        <w:t>min</w:t>
      </w:r>
      <w:r w:rsidR="00D9600B" w:rsidRPr="00D9600B">
        <w:rPr>
          <w:vertAlign w:val="superscript"/>
        </w:rPr>
        <w:t>-1</w:t>
      </w:r>
      <w:r w:rsidR="00D765E7" w:rsidRPr="00D765E7">
        <w:t xml:space="preserve">. The gradient </w:t>
      </w:r>
      <w:r w:rsidR="00D765E7">
        <w:t>is shown in table 1</w:t>
      </w:r>
      <w:r w:rsidR="00D765E7" w:rsidRPr="00D765E7">
        <w:t>.</w:t>
      </w:r>
      <w:r w:rsidR="00D765E7">
        <w:t xml:space="preserve"> </w:t>
      </w:r>
      <w:r w:rsidR="00D765E7" w:rsidRPr="00D765E7">
        <w:t>The temperature in the autosampler was kept constant at 5 °C to minimize the degrada</w:t>
      </w:r>
      <w:r w:rsidR="009C12B3">
        <w:t>tion of the</w:t>
      </w:r>
      <w:r w:rsidR="00D765E7" w:rsidRPr="00D765E7">
        <w:t xml:space="preserve"> sample </w:t>
      </w:r>
      <w:r w:rsidR="009C12B3">
        <w:t xml:space="preserve">during </w:t>
      </w:r>
      <w:r w:rsidR="00D765E7" w:rsidRPr="00D765E7">
        <w:t xml:space="preserve">analysis. The column oven </w:t>
      </w:r>
      <w:r w:rsidR="00D765E7">
        <w:t>was</w:t>
      </w:r>
      <w:r w:rsidR="00D765E7" w:rsidRPr="00D765E7">
        <w:t xml:space="preserve"> set to 30 °C. </w:t>
      </w:r>
      <w:r w:rsidR="009C12B3">
        <w:t>A</w:t>
      </w:r>
      <w:r w:rsidR="00D765E7" w:rsidRPr="00D765E7">
        <w:t xml:space="preserve"> UV detector wavelength </w:t>
      </w:r>
      <w:r w:rsidR="00D765E7">
        <w:t xml:space="preserve">at </w:t>
      </w:r>
      <w:r w:rsidR="00D765E7" w:rsidRPr="00D765E7">
        <w:t xml:space="preserve">254 </w:t>
      </w:r>
      <w:r w:rsidR="00D765E7">
        <w:t>nm was used for quantification and the total flavonoids content was calculated relative to a quercetin standard (&gt;95%, Sigma-Ald</w:t>
      </w:r>
      <w:r w:rsidR="00096EF9">
        <w:t>r</w:t>
      </w:r>
      <w:r w:rsidR="00D765E7">
        <w:t>ich)</w:t>
      </w:r>
      <w:r w:rsidR="00D765E7" w:rsidRPr="00D765E7">
        <w:t xml:space="preserve">. The HPLC samples </w:t>
      </w:r>
      <w:r w:rsidR="00D765E7">
        <w:t>were</w:t>
      </w:r>
      <w:r w:rsidR="00D765E7" w:rsidRPr="00D765E7">
        <w:t xml:space="preserve"> filtered </w:t>
      </w:r>
      <w:r w:rsidR="009C12B3">
        <w:t>through</w:t>
      </w:r>
      <w:r w:rsidR="00D765E7" w:rsidRPr="00D765E7">
        <w:t xml:space="preserve"> a 0.22 </w:t>
      </w:r>
      <w:proofErr w:type="spellStart"/>
      <w:r w:rsidR="00D765E7" w:rsidRPr="00D765E7">
        <w:t>μm</w:t>
      </w:r>
      <w:proofErr w:type="spellEnd"/>
      <w:r w:rsidR="00D765E7" w:rsidRPr="00D765E7">
        <w:t xml:space="preserve"> syringe filter to remove macromolecules that could potentially damage the column.</w:t>
      </w:r>
    </w:p>
    <w:p w:rsidR="00CF2C51" w:rsidRDefault="00AD6075" w:rsidP="00CF2C51">
      <w:pPr>
        <w:pStyle w:val="CETBodytext"/>
        <w:rPr>
          <w:color w:val="FF0000"/>
        </w:rPr>
      </w:pPr>
      <w:r w:rsidRPr="00932570">
        <w:rPr>
          <w:color w:val="FF0000"/>
        </w:rPr>
        <w:t>.</w:t>
      </w:r>
    </w:p>
    <w:p w:rsidR="00CC035D" w:rsidRPr="00B57B36" w:rsidRDefault="00CC035D" w:rsidP="00CF2C51">
      <w:pPr>
        <w:pStyle w:val="CETBodytext"/>
      </w:pPr>
      <w:r w:rsidRPr="00B57B36">
        <w:t xml:space="preserve">Table 1: </w:t>
      </w:r>
      <w:r>
        <w:t>HPLC gradient method</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560"/>
        <w:gridCol w:w="567"/>
        <w:gridCol w:w="689"/>
        <w:gridCol w:w="853"/>
        <w:gridCol w:w="853"/>
        <w:gridCol w:w="853"/>
        <w:gridCol w:w="853"/>
        <w:gridCol w:w="853"/>
        <w:gridCol w:w="853"/>
        <w:gridCol w:w="853"/>
      </w:tblGrid>
      <w:tr w:rsidR="00CC035D" w:rsidRPr="00B57B36" w:rsidTr="00CC035D">
        <w:tc>
          <w:tcPr>
            <w:tcW w:w="1560" w:type="dxa"/>
            <w:tcBorders>
              <w:top w:val="single" w:sz="12" w:space="0" w:color="008000"/>
              <w:bottom w:val="single" w:sz="6" w:space="0" w:color="008000"/>
            </w:tcBorders>
            <w:shd w:val="clear" w:color="auto" w:fill="FFFFFF"/>
          </w:tcPr>
          <w:p w:rsidR="00CC035D" w:rsidRPr="00B57B36" w:rsidRDefault="00CC035D" w:rsidP="00CC035D">
            <w:pPr>
              <w:pStyle w:val="CETBodytext"/>
              <w:rPr>
                <w:lang w:val="en-GB"/>
              </w:rPr>
            </w:pPr>
            <w:r>
              <w:rPr>
                <w:lang w:val="en-GB"/>
              </w:rPr>
              <w:t xml:space="preserve">Solvent\Time [min] </w:t>
            </w:r>
            <w:r w:rsidRPr="00B57B36">
              <w:rPr>
                <w:lang w:val="en-GB"/>
              </w:rPr>
              <w:t xml:space="preserve"> </w:t>
            </w:r>
          </w:p>
        </w:tc>
        <w:tc>
          <w:tcPr>
            <w:tcW w:w="567" w:type="dxa"/>
            <w:tcBorders>
              <w:top w:val="single" w:sz="12" w:space="0" w:color="008000"/>
              <w:bottom w:val="single" w:sz="6" w:space="0" w:color="008000"/>
            </w:tcBorders>
            <w:shd w:val="clear" w:color="auto" w:fill="FFFFFF"/>
          </w:tcPr>
          <w:p w:rsidR="00CC035D" w:rsidRPr="00B57B36" w:rsidRDefault="00CC035D" w:rsidP="00CC035D">
            <w:pPr>
              <w:pStyle w:val="CETBodytext"/>
              <w:jc w:val="center"/>
              <w:rPr>
                <w:lang w:val="en-GB"/>
              </w:rPr>
            </w:pPr>
            <w:r>
              <w:rPr>
                <w:lang w:val="en-GB"/>
              </w:rPr>
              <w:t>0</w:t>
            </w:r>
          </w:p>
        </w:tc>
        <w:tc>
          <w:tcPr>
            <w:tcW w:w="689" w:type="dxa"/>
            <w:tcBorders>
              <w:top w:val="single" w:sz="12" w:space="0" w:color="008000"/>
              <w:bottom w:val="single" w:sz="6" w:space="0" w:color="008000"/>
            </w:tcBorders>
            <w:shd w:val="clear" w:color="auto" w:fill="FFFFFF"/>
          </w:tcPr>
          <w:p w:rsidR="00CC035D" w:rsidRPr="00B57B36" w:rsidRDefault="00CC035D" w:rsidP="00CC035D">
            <w:pPr>
              <w:pStyle w:val="CETBodytext"/>
              <w:jc w:val="center"/>
              <w:rPr>
                <w:lang w:val="en-GB"/>
              </w:rPr>
            </w:pPr>
            <w:r>
              <w:rPr>
                <w:lang w:val="en-GB"/>
              </w:rPr>
              <w:t>1</w:t>
            </w:r>
          </w:p>
        </w:tc>
        <w:tc>
          <w:tcPr>
            <w:tcW w:w="853" w:type="dxa"/>
            <w:tcBorders>
              <w:top w:val="single" w:sz="12" w:space="0" w:color="008000"/>
              <w:bottom w:val="single" w:sz="6" w:space="0" w:color="008000"/>
            </w:tcBorders>
            <w:shd w:val="clear" w:color="auto" w:fill="FFFFFF"/>
          </w:tcPr>
          <w:p w:rsidR="00CC035D" w:rsidRPr="00B57B36" w:rsidRDefault="00CC035D" w:rsidP="00CC035D">
            <w:pPr>
              <w:pStyle w:val="CETBodytext"/>
              <w:ind w:right="-1"/>
              <w:jc w:val="center"/>
              <w:rPr>
                <w:rFonts w:cs="Arial"/>
                <w:szCs w:val="18"/>
                <w:lang w:val="en-GB"/>
              </w:rPr>
            </w:pPr>
            <w:r>
              <w:rPr>
                <w:rFonts w:cs="Arial"/>
                <w:szCs w:val="18"/>
                <w:lang w:val="en-GB"/>
              </w:rPr>
              <w:t>20</w:t>
            </w:r>
          </w:p>
        </w:tc>
        <w:tc>
          <w:tcPr>
            <w:tcW w:w="853" w:type="dxa"/>
            <w:tcBorders>
              <w:top w:val="single" w:sz="12" w:space="0" w:color="008000"/>
              <w:bottom w:val="single" w:sz="6" w:space="0" w:color="008000"/>
            </w:tcBorders>
            <w:shd w:val="clear" w:color="auto" w:fill="FFFFFF"/>
          </w:tcPr>
          <w:p w:rsidR="00CC035D" w:rsidRPr="00B57B36" w:rsidRDefault="00CC035D" w:rsidP="00CC035D">
            <w:pPr>
              <w:pStyle w:val="CETBodytext"/>
              <w:ind w:right="-1"/>
              <w:jc w:val="center"/>
              <w:rPr>
                <w:rFonts w:cs="Arial"/>
                <w:szCs w:val="18"/>
                <w:lang w:val="en-GB"/>
              </w:rPr>
            </w:pPr>
            <w:r>
              <w:rPr>
                <w:rFonts w:cs="Arial"/>
                <w:szCs w:val="18"/>
                <w:lang w:val="en-GB"/>
              </w:rPr>
              <w:t>25</w:t>
            </w:r>
          </w:p>
        </w:tc>
        <w:tc>
          <w:tcPr>
            <w:tcW w:w="853" w:type="dxa"/>
            <w:tcBorders>
              <w:top w:val="single" w:sz="12" w:space="0" w:color="008000"/>
              <w:bottom w:val="single" w:sz="6" w:space="0" w:color="008000"/>
            </w:tcBorders>
            <w:shd w:val="clear" w:color="auto" w:fill="FFFFFF"/>
          </w:tcPr>
          <w:p w:rsidR="00CC035D" w:rsidRPr="00B57B36" w:rsidRDefault="00CC035D" w:rsidP="00CC035D">
            <w:pPr>
              <w:pStyle w:val="CETBodytext"/>
              <w:ind w:right="-1"/>
              <w:jc w:val="center"/>
              <w:rPr>
                <w:rFonts w:cs="Arial"/>
                <w:szCs w:val="18"/>
                <w:lang w:val="en-GB"/>
              </w:rPr>
            </w:pPr>
            <w:r>
              <w:rPr>
                <w:rFonts w:cs="Arial"/>
                <w:szCs w:val="18"/>
                <w:lang w:val="en-GB"/>
              </w:rPr>
              <w:t>30</w:t>
            </w:r>
          </w:p>
        </w:tc>
        <w:tc>
          <w:tcPr>
            <w:tcW w:w="853" w:type="dxa"/>
            <w:tcBorders>
              <w:top w:val="single" w:sz="12" w:space="0" w:color="008000"/>
              <w:bottom w:val="single" w:sz="6" w:space="0" w:color="008000"/>
            </w:tcBorders>
            <w:shd w:val="clear" w:color="auto" w:fill="FFFFFF"/>
          </w:tcPr>
          <w:p w:rsidR="00CC035D" w:rsidRPr="00B57B36" w:rsidRDefault="00CC035D" w:rsidP="00CC035D">
            <w:pPr>
              <w:pStyle w:val="CETBodytext"/>
              <w:ind w:right="-1"/>
              <w:jc w:val="center"/>
              <w:rPr>
                <w:rFonts w:cs="Arial"/>
                <w:szCs w:val="18"/>
                <w:lang w:val="en-GB"/>
              </w:rPr>
            </w:pPr>
            <w:r>
              <w:rPr>
                <w:rFonts w:cs="Arial"/>
                <w:szCs w:val="18"/>
                <w:lang w:val="en-GB"/>
              </w:rPr>
              <w:t>35</w:t>
            </w:r>
          </w:p>
        </w:tc>
        <w:tc>
          <w:tcPr>
            <w:tcW w:w="853" w:type="dxa"/>
            <w:tcBorders>
              <w:top w:val="single" w:sz="12" w:space="0" w:color="008000"/>
              <w:bottom w:val="single" w:sz="6" w:space="0" w:color="008000"/>
            </w:tcBorders>
            <w:shd w:val="clear" w:color="auto" w:fill="FFFFFF"/>
          </w:tcPr>
          <w:p w:rsidR="00CC035D" w:rsidRPr="00B57B36" w:rsidRDefault="00CC035D" w:rsidP="00CC035D">
            <w:pPr>
              <w:pStyle w:val="CETBodytext"/>
              <w:ind w:right="-1"/>
              <w:jc w:val="center"/>
              <w:rPr>
                <w:rFonts w:cs="Arial"/>
                <w:szCs w:val="18"/>
                <w:lang w:val="en-GB"/>
              </w:rPr>
            </w:pPr>
            <w:r>
              <w:rPr>
                <w:rFonts w:cs="Arial"/>
                <w:szCs w:val="18"/>
                <w:lang w:val="en-GB"/>
              </w:rPr>
              <w:t>40</w:t>
            </w:r>
          </w:p>
        </w:tc>
        <w:tc>
          <w:tcPr>
            <w:tcW w:w="853" w:type="dxa"/>
            <w:tcBorders>
              <w:top w:val="single" w:sz="12" w:space="0" w:color="008000"/>
              <w:bottom w:val="single" w:sz="6" w:space="0" w:color="008000"/>
            </w:tcBorders>
            <w:shd w:val="clear" w:color="auto" w:fill="FFFFFF"/>
          </w:tcPr>
          <w:p w:rsidR="00CC035D" w:rsidRPr="00B57B36" w:rsidRDefault="00CC035D" w:rsidP="00CC035D">
            <w:pPr>
              <w:pStyle w:val="CETBodytext"/>
              <w:ind w:right="-1"/>
              <w:jc w:val="center"/>
              <w:rPr>
                <w:rFonts w:cs="Arial"/>
                <w:szCs w:val="18"/>
                <w:lang w:val="en-GB"/>
              </w:rPr>
            </w:pPr>
            <w:r>
              <w:rPr>
                <w:rFonts w:cs="Arial"/>
                <w:szCs w:val="18"/>
                <w:lang w:val="en-GB"/>
              </w:rPr>
              <w:t>41</w:t>
            </w:r>
          </w:p>
        </w:tc>
        <w:tc>
          <w:tcPr>
            <w:tcW w:w="853" w:type="dxa"/>
            <w:tcBorders>
              <w:top w:val="single" w:sz="12" w:space="0" w:color="008000"/>
              <w:bottom w:val="single" w:sz="6" w:space="0" w:color="008000"/>
            </w:tcBorders>
            <w:shd w:val="clear" w:color="auto" w:fill="FFFFFF"/>
          </w:tcPr>
          <w:p w:rsidR="00CC035D" w:rsidRPr="00B57B36" w:rsidRDefault="00CC035D" w:rsidP="00CC035D">
            <w:pPr>
              <w:pStyle w:val="CETBodytext"/>
              <w:ind w:right="-1"/>
              <w:jc w:val="center"/>
              <w:rPr>
                <w:rFonts w:cs="Arial"/>
                <w:szCs w:val="18"/>
                <w:lang w:val="en-GB"/>
              </w:rPr>
            </w:pPr>
            <w:r>
              <w:rPr>
                <w:rFonts w:cs="Arial"/>
                <w:szCs w:val="18"/>
                <w:lang w:val="en-GB"/>
              </w:rPr>
              <w:t>45</w:t>
            </w:r>
          </w:p>
        </w:tc>
      </w:tr>
      <w:tr w:rsidR="00CC035D" w:rsidRPr="00B57B36" w:rsidTr="00CC035D">
        <w:tc>
          <w:tcPr>
            <w:tcW w:w="1560" w:type="dxa"/>
            <w:shd w:val="clear" w:color="auto" w:fill="FFFFFF"/>
          </w:tcPr>
          <w:p w:rsidR="00CC035D" w:rsidRPr="00B57B36" w:rsidRDefault="00CC035D" w:rsidP="00CC035D">
            <w:pPr>
              <w:pStyle w:val="CETBodytext"/>
              <w:rPr>
                <w:lang w:val="en-GB"/>
              </w:rPr>
            </w:pPr>
            <w:r>
              <w:rPr>
                <w:lang w:val="en-GB"/>
              </w:rPr>
              <w:t>A [%]</w:t>
            </w:r>
          </w:p>
        </w:tc>
        <w:tc>
          <w:tcPr>
            <w:tcW w:w="567" w:type="dxa"/>
            <w:shd w:val="clear" w:color="auto" w:fill="FFFFFF"/>
          </w:tcPr>
          <w:p w:rsidR="00CC035D" w:rsidRPr="00B57B36" w:rsidRDefault="00CC035D" w:rsidP="00CC035D">
            <w:pPr>
              <w:pStyle w:val="CETBodytext"/>
              <w:jc w:val="center"/>
              <w:rPr>
                <w:lang w:val="en-GB"/>
              </w:rPr>
            </w:pPr>
            <w:r>
              <w:rPr>
                <w:lang w:val="en-GB"/>
              </w:rPr>
              <w:t>85</w:t>
            </w:r>
          </w:p>
        </w:tc>
        <w:tc>
          <w:tcPr>
            <w:tcW w:w="689" w:type="dxa"/>
            <w:shd w:val="clear" w:color="auto" w:fill="FFFFFF"/>
          </w:tcPr>
          <w:p w:rsidR="00CC035D" w:rsidRPr="00B57B36" w:rsidRDefault="00CC035D" w:rsidP="00CC035D">
            <w:pPr>
              <w:pStyle w:val="CETBodytext"/>
              <w:jc w:val="center"/>
              <w:rPr>
                <w:lang w:val="en-GB"/>
              </w:rPr>
            </w:pPr>
            <w:r>
              <w:rPr>
                <w:lang w:val="en-GB"/>
              </w:rPr>
              <w:t>85</w:t>
            </w:r>
          </w:p>
        </w:tc>
        <w:tc>
          <w:tcPr>
            <w:tcW w:w="853" w:type="dxa"/>
            <w:shd w:val="clear" w:color="auto" w:fill="FFFFFF"/>
          </w:tcPr>
          <w:p w:rsidR="00CC035D" w:rsidRPr="00B57B36" w:rsidRDefault="00CC035D" w:rsidP="00CC035D">
            <w:pPr>
              <w:pStyle w:val="CETBodytext"/>
              <w:ind w:right="-1"/>
              <w:jc w:val="center"/>
              <w:rPr>
                <w:rFonts w:cs="Arial"/>
                <w:szCs w:val="18"/>
                <w:lang w:val="en-GB"/>
              </w:rPr>
            </w:pPr>
            <w:r>
              <w:rPr>
                <w:rFonts w:cs="Arial"/>
                <w:szCs w:val="18"/>
                <w:lang w:val="en-GB"/>
              </w:rPr>
              <w:t>75</w:t>
            </w:r>
          </w:p>
        </w:tc>
        <w:tc>
          <w:tcPr>
            <w:tcW w:w="853" w:type="dxa"/>
            <w:shd w:val="clear" w:color="auto" w:fill="FFFFFF"/>
          </w:tcPr>
          <w:p w:rsidR="00CC035D" w:rsidRPr="00B57B36" w:rsidRDefault="00CC035D" w:rsidP="00CC035D">
            <w:pPr>
              <w:pStyle w:val="CETBodytext"/>
              <w:ind w:right="-1"/>
              <w:jc w:val="center"/>
              <w:rPr>
                <w:rFonts w:cs="Arial"/>
                <w:szCs w:val="18"/>
                <w:lang w:val="en-GB"/>
              </w:rPr>
            </w:pPr>
            <w:r>
              <w:rPr>
                <w:rFonts w:cs="Arial"/>
                <w:szCs w:val="18"/>
                <w:lang w:val="en-GB"/>
              </w:rPr>
              <w:t>75</w:t>
            </w:r>
          </w:p>
        </w:tc>
        <w:tc>
          <w:tcPr>
            <w:tcW w:w="853" w:type="dxa"/>
            <w:shd w:val="clear" w:color="auto" w:fill="FFFFFF"/>
          </w:tcPr>
          <w:p w:rsidR="00CC035D" w:rsidRPr="00B57B36" w:rsidRDefault="00CC035D" w:rsidP="00CC035D">
            <w:pPr>
              <w:pStyle w:val="CETBodytext"/>
              <w:ind w:right="-1"/>
              <w:jc w:val="center"/>
              <w:rPr>
                <w:rFonts w:cs="Arial"/>
                <w:szCs w:val="18"/>
                <w:lang w:val="en-GB"/>
              </w:rPr>
            </w:pPr>
            <w:r>
              <w:rPr>
                <w:rFonts w:cs="Arial"/>
                <w:szCs w:val="18"/>
                <w:lang w:val="en-GB"/>
              </w:rPr>
              <w:t>65</w:t>
            </w:r>
          </w:p>
        </w:tc>
        <w:tc>
          <w:tcPr>
            <w:tcW w:w="853" w:type="dxa"/>
            <w:shd w:val="clear" w:color="auto" w:fill="FFFFFF"/>
          </w:tcPr>
          <w:p w:rsidR="00CC035D" w:rsidRPr="00B57B36" w:rsidRDefault="00CC035D" w:rsidP="00CC035D">
            <w:pPr>
              <w:pStyle w:val="CETBodytext"/>
              <w:ind w:right="-1"/>
              <w:jc w:val="center"/>
              <w:rPr>
                <w:rFonts w:cs="Arial"/>
                <w:szCs w:val="18"/>
                <w:lang w:val="en-GB"/>
              </w:rPr>
            </w:pPr>
            <w:r>
              <w:rPr>
                <w:rFonts w:cs="Arial"/>
                <w:szCs w:val="18"/>
                <w:lang w:val="en-GB"/>
              </w:rPr>
              <w:t>1</w:t>
            </w:r>
          </w:p>
        </w:tc>
        <w:tc>
          <w:tcPr>
            <w:tcW w:w="853" w:type="dxa"/>
            <w:shd w:val="clear" w:color="auto" w:fill="FFFFFF"/>
          </w:tcPr>
          <w:p w:rsidR="00CC035D" w:rsidRPr="00B57B36" w:rsidRDefault="00CC035D" w:rsidP="00CC035D">
            <w:pPr>
              <w:pStyle w:val="CETBodytext"/>
              <w:ind w:right="-1"/>
              <w:jc w:val="center"/>
              <w:rPr>
                <w:rFonts w:cs="Arial"/>
                <w:szCs w:val="18"/>
                <w:lang w:val="en-GB"/>
              </w:rPr>
            </w:pPr>
            <w:r>
              <w:rPr>
                <w:rFonts w:cs="Arial"/>
                <w:szCs w:val="18"/>
                <w:lang w:val="en-GB"/>
              </w:rPr>
              <w:t>1</w:t>
            </w:r>
          </w:p>
        </w:tc>
        <w:tc>
          <w:tcPr>
            <w:tcW w:w="853" w:type="dxa"/>
            <w:shd w:val="clear" w:color="auto" w:fill="FFFFFF"/>
          </w:tcPr>
          <w:p w:rsidR="00CC035D" w:rsidRPr="00B57B36" w:rsidRDefault="00CC035D" w:rsidP="00CC035D">
            <w:pPr>
              <w:pStyle w:val="CETBodytext"/>
              <w:ind w:right="-1"/>
              <w:jc w:val="center"/>
              <w:rPr>
                <w:rFonts w:cs="Arial"/>
                <w:szCs w:val="18"/>
                <w:lang w:val="en-GB"/>
              </w:rPr>
            </w:pPr>
            <w:r>
              <w:rPr>
                <w:rFonts w:cs="Arial"/>
                <w:szCs w:val="18"/>
                <w:lang w:val="en-GB"/>
              </w:rPr>
              <w:t>85</w:t>
            </w:r>
          </w:p>
        </w:tc>
        <w:tc>
          <w:tcPr>
            <w:tcW w:w="853" w:type="dxa"/>
            <w:shd w:val="clear" w:color="auto" w:fill="FFFFFF"/>
          </w:tcPr>
          <w:p w:rsidR="00CC035D" w:rsidRPr="00B57B36" w:rsidRDefault="00CC035D" w:rsidP="00CC035D">
            <w:pPr>
              <w:pStyle w:val="CETBodytext"/>
              <w:ind w:right="-1"/>
              <w:jc w:val="center"/>
              <w:rPr>
                <w:rFonts w:cs="Arial"/>
                <w:szCs w:val="18"/>
                <w:lang w:val="en-GB"/>
              </w:rPr>
            </w:pPr>
            <w:r>
              <w:rPr>
                <w:rFonts w:cs="Arial"/>
                <w:szCs w:val="18"/>
                <w:lang w:val="en-GB"/>
              </w:rPr>
              <w:t>85</w:t>
            </w:r>
          </w:p>
        </w:tc>
      </w:tr>
      <w:tr w:rsidR="00CC035D" w:rsidRPr="00B57B36" w:rsidTr="00CC035D">
        <w:tc>
          <w:tcPr>
            <w:tcW w:w="1560" w:type="dxa"/>
            <w:shd w:val="clear" w:color="auto" w:fill="FFFFFF"/>
          </w:tcPr>
          <w:p w:rsidR="00CC035D" w:rsidRPr="00B57B36" w:rsidRDefault="00CC035D" w:rsidP="008626CD">
            <w:pPr>
              <w:pStyle w:val="CETBodytext"/>
              <w:ind w:right="-1"/>
              <w:rPr>
                <w:rFonts w:cs="Arial"/>
                <w:szCs w:val="18"/>
                <w:lang w:val="en-GB"/>
              </w:rPr>
            </w:pPr>
            <w:r>
              <w:rPr>
                <w:rFonts w:cs="Arial"/>
                <w:szCs w:val="18"/>
                <w:lang w:val="en-GB"/>
              </w:rPr>
              <w:t>B [%]</w:t>
            </w:r>
          </w:p>
        </w:tc>
        <w:tc>
          <w:tcPr>
            <w:tcW w:w="567" w:type="dxa"/>
            <w:shd w:val="clear" w:color="auto" w:fill="FFFFFF"/>
          </w:tcPr>
          <w:p w:rsidR="00CC035D" w:rsidRPr="00B57B36" w:rsidRDefault="00CC035D" w:rsidP="00CC035D">
            <w:pPr>
              <w:pStyle w:val="CETBodytext"/>
              <w:ind w:right="-1"/>
              <w:jc w:val="center"/>
              <w:rPr>
                <w:rFonts w:cs="Arial"/>
                <w:szCs w:val="18"/>
                <w:lang w:val="en-GB"/>
              </w:rPr>
            </w:pPr>
            <w:r>
              <w:rPr>
                <w:rFonts w:cs="Arial"/>
                <w:szCs w:val="18"/>
                <w:lang w:val="en-GB"/>
              </w:rPr>
              <w:t>15</w:t>
            </w:r>
          </w:p>
        </w:tc>
        <w:tc>
          <w:tcPr>
            <w:tcW w:w="689" w:type="dxa"/>
            <w:shd w:val="clear" w:color="auto" w:fill="FFFFFF"/>
          </w:tcPr>
          <w:p w:rsidR="00CC035D" w:rsidRPr="00B57B36" w:rsidRDefault="00CC035D" w:rsidP="00CC035D">
            <w:pPr>
              <w:pStyle w:val="CETBodytext"/>
              <w:ind w:right="-1"/>
              <w:jc w:val="center"/>
              <w:rPr>
                <w:rFonts w:cs="Arial"/>
                <w:szCs w:val="18"/>
                <w:lang w:val="en-GB"/>
              </w:rPr>
            </w:pPr>
            <w:r>
              <w:rPr>
                <w:rFonts w:cs="Arial"/>
                <w:szCs w:val="18"/>
                <w:lang w:val="en-GB"/>
              </w:rPr>
              <w:t>15</w:t>
            </w:r>
          </w:p>
        </w:tc>
        <w:tc>
          <w:tcPr>
            <w:tcW w:w="853" w:type="dxa"/>
            <w:shd w:val="clear" w:color="auto" w:fill="FFFFFF"/>
          </w:tcPr>
          <w:p w:rsidR="00CC035D" w:rsidRPr="00B57B36" w:rsidRDefault="00CC035D" w:rsidP="00CC035D">
            <w:pPr>
              <w:pStyle w:val="CETBodytext"/>
              <w:ind w:right="-1"/>
              <w:jc w:val="center"/>
              <w:rPr>
                <w:rFonts w:cs="Arial"/>
                <w:szCs w:val="18"/>
                <w:lang w:val="en-GB"/>
              </w:rPr>
            </w:pPr>
            <w:r>
              <w:rPr>
                <w:rFonts w:cs="Arial"/>
                <w:szCs w:val="18"/>
                <w:lang w:val="en-GB"/>
              </w:rPr>
              <w:t>25</w:t>
            </w:r>
          </w:p>
        </w:tc>
        <w:tc>
          <w:tcPr>
            <w:tcW w:w="853" w:type="dxa"/>
            <w:shd w:val="clear" w:color="auto" w:fill="FFFFFF"/>
          </w:tcPr>
          <w:p w:rsidR="00CC035D" w:rsidRPr="00B57B36" w:rsidRDefault="00CC035D" w:rsidP="00CC035D">
            <w:pPr>
              <w:pStyle w:val="CETBodytext"/>
              <w:ind w:right="-1"/>
              <w:jc w:val="center"/>
              <w:rPr>
                <w:rFonts w:cs="Arial"/>
                <w:szCs w:val="18"/>
                <w:lang w:val="en-GB"/>
              </w:rPr>
            </w:pPr>
            <w:r>
              <w:rPr>
                <w:rFonts w:cs="Arial"/>
                <w:szCs w:val="18"/>
                <w:lang w:val="en-GB"/>
              </w:rPr>
              <w:t>25</w:t>
            </w:r>
          </w:p>
        </w:tc>
        <w:tc>
          <w:tcPr>
            <w:tcW w:w="853" w:type="dxa"/>
            <w:shd w:val="clear" w:color="auto" w:fill="FFFFFF"/>
          </w:tcPr>
          <w:p w:rsidR="00CC035D" w:rsidRPr="00B57B36" w:rsidRDefault="00CC035D" w:rsidP="00CC035D">
            <w:pPr>
              <w:pStyle w:val="CETBodytext"/>
              <w:ind w:right="-1"/>
              <w:jc w:val="center"/>
              <w:rPr>
                <w:rFonts w:cs="Arial"/>
                <w:szCs w:val="18"/>
                <w:lang w:val="en-GB"/>
              </w:rPr>
            </w:pPr>
            <w:r>
              <w:rPr>
                <w:rFonts w:cs="Arial"/>
                <w:szCs w:val="18"/>
                <w:lang w:val="en-GB"/>
              </w:rPr>
              <w:t>35</w:t>
            </w:r>
          </w:p>
        </w:tc>
        <w:tc>
          <w:tcPr>
            <w:tcW w:w="853" w:type="dxa"/>
            <w:shd w:val="clear" w:color="auto" w:fill="FFFFFF"/>
          </w:tcPr>
          <w:p w:rsidR="00CC035D" w:rsidRPr="00B57B36" w:rsidRDefault="00CC035D" w:rsidP="00CC035D">
            <w:pPr>
              <w:pStyle w:val="CETBodytext"/>
              <w:ind w:right="-1"/>
              <w:jc w:val="center"/>
              <w:rPr>
                <w:rFonts w:cs="Arial"/>
                <w:szCs w:val="18"/>
                <w:lang w:val="en-GB"/>
              </w:rPr>
            </w:pPr>
            <w:r>
              <w:rPr>
                <w:rFonts w:cs="Arial"/>
                <w:szCs w:val="18"/>
                <w:lang w:val="en-GB"/>
              </w:rPr>
              <w:t>99</w:t>
            </w:r>
          </w:p>
        </w:tc>
        <w:tc>
          <w:tcPr>
            <w:tcW w:w="853" w:type="dxa"/>
            <w:shd w:val="clear" w:color="auto" w:fill="FFFFFF"/>
          </w:tcPr>
          <w:p w:rsidR="00CC035D" w:rsidRPr="00B57B36" w:rsidRDefault="00CC035D" w:rsidP="00CC035D">
            <w:pPr>
              <w:pStyle w:val="CETBodytext"/>
              <w:ind w:right="-1"/>
              <w:jc w:val="center"/>
              <w:rPr>
                <w:rFonts w:cs="Arial"/>
                <w:szCs w:val="18"/>
                <w:lang w:val="en-GB"/>
              </w:rPr>
            </w:pPr>
            <w:r>
              <w:rPr>
                <w:rFonts w:cs="Arial"/>
                <w:szCs w:val="18"/>
                <w:lang w:val="en-GB"/>
              </w:rPr>
              <w:t>99</w:t>
            </w:r>
          </w:p>
        </w:tc>
        <w:tc>
          <w:tcPr>
            <w:tcW w:w="853" w:type="dxa"/>
            <w:shd w:val="clear" w:color="auto" w:fill="FFFFFF"/>
          </w:tcPr>
          <w:p w:rsidR="00CC035D" w:rsidRPr="00B57B36" w:rsidRDefault="00CC035D" w:rsidP="00CC035D">
            <w:pPr>
              <w:pStyle w:val="CETBodytext"/>
              <w:ind w:right="-1"/>
              <w:jc w:val="center"/>
              <w:rPr>
                <w:rFonts w:cs="Arial"/>
                <w:szCs w:val="18"/>
                <w:lang w:val="en-GB"/>
              </w:rPr>
            </w:pPr>
            <w:r>
              <w:rPr>
                <w:rFonts w:cs="Arial"/>
                <w:szCs w:val="18"/>
                <w:lang w:val="en-GB"/>
              </w:rPr>
              <w:t>15</w:t>
            </w:r>
          </w:p>
        </w:tc>
        <w:tc>
          <w:tcPr>
            <w:tcW w:w="853" w:type="dxa"/>
            <w:shd w:val="clear" w:color="auto" w:fill="FFFFFF"/>
          </w:tcPr>
          <w:p w:rsidR="00CC035D" w:rsidRPr="00B57B36" w:rsidRDefault="00CC035D" w:rsidP="00CC035D">
            <w:pPr>
              <w:pStyle w:val="CETBodytext"/>
              <w:ind w:right="-1"/>
              <w:jc w:val="center"/>
              <w:rPr>
                <w:rFonts w:cs="Arial"/>
                <w:szCs w:val="18"/>
                <w:lang w:val="en-GB"/>
              </w:rPr>
            </w:pPr>
            <w:r>
              <w:rPr>
                <w:rFonts w:cs="Arial"/>
                <w:szCs w:val="18"/>
                <w:lang w:val="en-GB"/>
              </w:rPr>
              <w:t>15</w:t>
            </w:r>
          </w:p>
        </w:tc>
      </w:tr>
    </w:tbl>
    <w:p w:rsidR="00096EF9" w:rsidRPr="00932570" w:rsidRDefault="00096EF9" w:rsidP="00504178">
      <w:pPr>
        <w:pStyle w:val="CETBodytext"/>
        <w:rPr>
          <w:color w:val="FF0000"/>
        </w:rPr>
      </w:pPr>
    </w:p>
    <w:p w:rsidR="00AD6075" w:rsidRDefault="00AD6075" w:rsidP="00AD6075">
      <w:pPr>
        <w:pStyle w:val="CETheadingx"/>
      </w:pPr>
      <w:r>
        <w:t>Experimental Procedure</w:t>
      </w:r>
    </w:p>
    <w:p w:rsidR="0009564C" w:rsidRDefault="00932570" w:rsidP="00AD6075">
      <w:pPr>
        <w:pStyle w:val="CETBodytext"/>
      </w:pPr>
      <w:r>
        <w:t xml:space="preserve">The overall process flow is shown in figure 1. </w:t>
      </w:r>
      <w:r w:rsidR="009C12B3">
        <w:t>Twenty kilogram</w:t>
      </w:r>
      <w:r w:rsidR="00B6604F">
        <w:t xml:space="preserve"> of f</w:t>
      </w:r>
      <w:r w:rsidRPr="00313641">
        <w:t xml:space="preserve">resh </w:t>
      </w:r>
      <w:proofErr w:type="spellStart"/>
      <w:r w:rsidRPr="00313641">
        <w:t>Kalanchoe</w:t>
      </w:r>
      <w:proofErr w:type="spellEnd"/>
      <w:r w:rsidRPr="00313641">
        <w:t xml:space="preserve"> leaves</w:t>
      </w:r>
      <w:r w:rsidR="00313641">
        <w:t xml:space="preserve"> were first mashed in a screw press (Spiral Juicer from Orange Mechanical Equipment, China) with a 87.5 mm screw extruder and a screen with hole diameters of 0.6 mm. The mashed leaves </w:t>
      </w:r>
      <w:r w:rsidR="00B6604F">
        <w:t xml:space="preserve">and press liquor </w:t>
      </w:r>
      <w:r w:rsidR="00313641">
        <w:t>were then mixed and extracted with demineralized water</w:t>
      </w:r>
      <w:r w:rsidR="00B6604F">
        <w:t xml:space="preserve"> under stirring in a 150 L stainless steel tank equipped with a marine propeller</w:t>
      </w:r>
      <w:r w:rsidR="00313641">
        <w:t xml:space="preserve">, the water to </w:t>
      </w:r>
      <w:r w:rsidR="00B6604F">
        <w:t>plant</w:t>
      </w:r>
      <w:r w:rsidR="00313641">
        <w:t xml:space="preserve"> ratio being 5</w:t>
      </w:r>
      <w:r w:rsidR="00313641" w:rsidRPr="00313641">
        <w:t>:</w:t>
      </w:r>
      <w:r w:rsidR="00313641">
        <w:t>1</w:t>
      </w:r>
      <w:r w:rsidR="00B6604F">
        <w:t xml:space="preserve"> based on weight</w:t>
      </w:r>
      <w:r w:rsidR="00313641">
        <w:t>.</w:t>
      </w:r>
      <w:r w:rsidR="00B6604F">
        <w:t xml:space="preserve"> The extraction temperature was 20 </w:t>
      </w:r>
      <w:r w:rsidR="00B6604F">
        <w:rPr>
          <w:rFonts w:cs="Arial"/>
        </w:rPr>
        <w:t>°</w:t>
      </w:r>
      <w:r w:rsidR="00B6604F">
        <w:t xml:space="preserve">C and the extraction time was </w:t>
      </w:r>
      <w:r w:rsidR="009C12B3">
        <w:t>two</w:t>
      </w:r>
      <w:r w:rsidR="00B6604F">
        <w:t xml:space="preserve"> hours</w:t>
      </w:r>
      <w:r w:rsidR="009C12B3">
        <w:t>,</w:t>
      </w:r>
      <w:r w:rsidR="00B6604F">
        <w:t xml:space="preserve"> after which time the flavonoid concentration in the liquid phase became constant. The extract mixture was transferred to 20 L polypropyle</w:t>
      </w:r>
      <w:r w:rsidR="003A4DA2">
        <w:t>ne</w:t>
      </w:r>
      <w:r w:rsidR="00B6604F">
        <w:t xml:space="preserve"> tanks and allowed to settle</w:t>
      </w:r>
      <w:r w:rsidR="0001421B">
        <w:t xml:space="preserve"> </w:t>
      </w:r>
      <w:r w:rsidR="00AF2F2F">
        <w:t xml:space="preserve">for 24 hours </w:t>
      </w:r>
      <w:r w:rsidR="0001421B">
        <w:t xml:space="preserve">at 5 </w:t>
      </w:r>
      <w:r w:rsidR="0001421B">
        <w:rPr>
          <w:rFonts w:cs="Arial"/>
        </w:rPr>
        <w:t>°</w:t>
      </w:r>
      <w:r w:rsidR="0001421B">
        <w:t>C to r</w:t>
      </w:r>
      <w:r w:rsidR="002F7627">
        <w:t>educe degradation of the flavo</w:t>
      </w:r>
      <w:r w:rsidR="0001421B">
        <w:t>noids</w:t>
      </w:r>
      <w:r w:rsidR="00B6604F">
        <w:t>.</w:t>
      </w:r>
      <w:r w:rsidR="0001421B">
        <w:t xml:space="preserve"> The liquid phase was then </w:t>
      </w:r>
      <w:r w:rsidR="002F7627">
        <w:t>decanted</w:t>
      </w:r>
      <w:r w:rsidR="0001421B">
        <w:t xml:space="preserve"> for further processing.</w:t>
      </w:r>
    </w:p>
    <w:p w:rsidR="00BE28A4" w:rsidRPr="00932570" w:rsidRDefault="0001421B" w:rsidP="00AD6075">
      <w:pPr>
        <w:pStyle w:val="CETBodytext"/>
        <w:rPr>
          <w:color w:val="FF0000"/>
        </w:rPr>
      </w:pPr>
      <w:r>
        <w:t xml:space="preserve"> </w:t>
      </w:r>
    </w:p>
    <w:p w:rsidR="0001421B" w:rsidRDefault="000D3960" w:rsidP="00AD6075">
      <w:pPr>
        <w:pStyle w:val="CETBodytext"/>
        <w:rPr>
          <w:color w:val="FF0000"/>
        </w:rPr>
      </w:pPr>
      <w:r>
        <w:object w:dxaOrig="11699" w:dyaOrig="40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5pt;height:153pt" o:ole="">
            <v:imagedata r:id="rId11" o:title=""/>
          </v:shape>
          <o:OLEObject Type="Embed" ProgID="Visio.Drawing.11" ShapeID="_x0000_i1025" DrawAspect="Content" ObjectID="_1616790534" r:id="rId12"/>
        </w:object>
      </w:r>
    </w:p>
    <w:p w:rsidR="0001421B" w:rsidRPr="0001421B" w:rsidRDefault="0001421B" w:rsidP="00AD6075">
      <w:pPr>
        <w:pStyle w:val="CETBodytext"/>
        <w:rPr>
          <w:i/>
          <w:color w:val="FF0000"/>
        </w:rPr>
      </w:pPr>
      <w:r w:rsidRPr="0001421B">
        <w:rPr>
          <w:i/>
        </w:rPr>
        <w:t xml:space="preserve">Figure </w:t>
      </w:r>
      <w:r w:rsidR="004433E3" w:rsidRPr="0001421B">
        <w:rPr>
          <w:i/>
        </w:rPr>
        <w:t>1:</w:t>
      </w:r>
      <w:r w:rsidR="004433E3">
        <w:rPr>
          <w:i/>
        </w:rPr>
        <w:t xml:space="preserve"> Overall</w:t>
      </w:r>
      <w:r>
        <w:rPr>
          <w:i/>
        </w:rPr>
        <w:t xml:space="preserve"> process flow</w:t>
      </w:r>
      <w:r w:rsidRPr="0001421B">
        <w:rPr>
          <w:i/>
        </w:rPr>
        <w:t xml:space="preserve"> </w:t>
      </w:r>
    </w:p>
    <w:p w:rsidR="000D3960" w:rsidRDefault="000D3960" w:rsidP="000D3960">
      <w:pPr>
        <w:pStyle w:val="CETBodytext"/>
      </w:pPr>
    </w:p>
    <w:p w:rsidR="00D156A3" w:rsidRDefault="000D3960" w:rsidP="000D3960">
      <w:pPr>
        <w:pStyle w:val="CETBodytext"/>
      </w:pPr>
      <w:r>
        <w:t xml:space="preserve">To avoid microbial degradation during the further flavonoid separation process and </w:t>
      </w:r>
      <w:r w:rsidR="001F7616">
        <w:t xml:space="preserve">to </w:t>
      </w:r>
      <w:r>
        <w:t>remove solid residues</w:t>
      </w:r>
      <w:r w:rsidR="009C12B3">
        <w:t>,</w:t>
      </w:r>
      <w:r>
        <w:t xml:space="preserve"> the liquid was </w:t>
      </w:r>
      <w:proofErr w:type="spellStart"/>
      <w:r>
        <w:t>microfilt</w:t>
      </w:r>
      <w:r w:rsidR="008728A1">
        <w:t>e</w:t>
      </w:r>
      <w:r>
        <w:t>red</w:t>
      </w:r>
      <w:proofErr w:type="spellEnd"/>
      <w:r>
        <w:t xml:space="preserve"> using </w:t>
      </w:r>
      <w:r w:rsidR="009C12B3">
        <w:t>four</w:t>
      </w:r>
      <w:r w:rsidR="00AF2F2F">
        <w:t xml:space="preserve"> tubular 0.2 </w:t>
      </w:r>
      <w:proofErr w:type="spellStart"/>
      <w:r w:rsidR="00AF2F2F" w:rsidRPr="00AF2F2F">
        <w:rPr>
          <w:rFonts w:cs="Arial"/>
        </w:rPr>
        <w:t>μ</w:t>
      </w:r>
      <w:r w:rsidR="00AF2F2F">
        <w:t>m</w:t>
      </w:r>
      <w:proofErr w:type="spellEnd"/>
      <w:r w:rsidR="00AF2F2F">
        <w:t xml:space="preserve"> polypropylene membranes (MD 020 TP 2N, </w:t>
      </w:r>
      <w:proofErr w:type="spellStart"/>
      <w:r w:rsidR="00AF2F2F">
        <w:t>Microdyn</w:t>
      </w:r>
      <w:proofErr w:type="spellEnd"/>
      <w:r w:rsidR="00AF2F2F">
        <w:t xml:space="preserve"> Nadir, Germany) in parallel with a total filtration area of </w:t>
      </w:r>
      <w:r w:rsidR="00C60904">
        <w:t>0.144 m</w:t>
      </w:r>
      <w:r w:rsidR="00C60904" w:rsidRPr="00C60904">
        <w:rPr>
          <w:vertAlign w:val="superscript"/>
        </w:rPr>
        <w:t>2</w:t>
      </w:r>
      <w:r w:rsidR="00C60904">
        <w:t xml:space="preserve">. The microfiltration was done at 30 </w:t>
      </w:r>
      <w:r w:rsidR="00C60904">
        <w:rPr>
          <w:rFonts w:cs="Arial"/>
        </w:rPr>
        <w:t>°</w:t>
      </w:r>
      <w:r w:rsidR="00C60904">
        <w:t>C and 1.</w:t>
      </w:r>
      <w:r w:rsidR="00A01110">
        <w:t>6</w:t>
      </w:r>
      <w:r w:rsidR="00C60904">
        <w:t xml:space="preserve"> bar </w:t>
      </w:r>
      <w:r w:rsidR="00A01110">
        <w:t xml:space="preserve">average </w:t>
      </w:r>
      <w:r w:rsidR="00C60904">
        <w:t>transmembrane pressure. The c</w:t>
      </w:r>
      <w:r w:rsidR="00BE46F7">
        <w:t>ro</w:t>
      </w:r>
      <w:r w:rsidR="00C60904">
        <w:t xml:space="preserve">ss flow velocity was 1.5 m/s. </w:t>
      </w:r>
      <w:r w:rsidR="00A22B9C">
        <w:t xml:space="preserve">The hydrophobic membranes were activated using 70% ethanol followed by flushing with demineralized water. </w:t>
      </w:r>
      <w:r w:rsidR="00C60904">
        <w:t>T</w:t>
      </w:r>
      <w:r>
        <w:t xml:space="preserve">he setup </w:t>
      </w:r>
      <w:r w:rsidR="00C60904">
        <w:t xml:space="preserve">is </w:t>
      </w:r>
      <w:r>
        <w:t>illustrated in figure 2.</w:t>
      </w:r>
    </w:p>
    <w:p w:rsidR="00567434" w:rsidRDefault="00BF4715" w:rsidP="00BF4715">
      <w:pPr>
        <w:pStyle w:val="CETBodytext"/>
      </w:pPr>
      <w:r>
        <w:rPr>
          <w:noProof/>
          <w:color w:val="FF0000"/>
          <w:lang w:val="da-DK" w:eastAsia="da-DK"/>
        </w:rPr>
        <w:lastRenderedPageBreak/>
        <w:drawing>
          <wp:anchor distT="0" distB="0" distL="114300" distR="114300" simplePos="0" relativeHeight="251660288" behindDoc="0" locked="0" layoutInCell="1" allowOverlap="1" wp14:anchorId="0522E1C2" wp14:editId="263B74B8">
            <wp:simplePos x="0" y="0"/>
            <wp:positionH relativeFrom="column">
              <wp:posOffset>-146685</wp:posOffset>
            </wp:positionH>
            <wp:positionV relativeFrom="paragraph">
              <wp:posOffset>5715</wp:posOffset>
            </wp:positionV>
            <wp:extent cx="3967200" cy="3240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67200" cy="324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D156A3">
        <w:t xml:space="preserve">The feed temperature </w:t>
      </w:r>
      <w:r w:rsidR="001F7616">
        <w:t>was</w:t>
      </w:r>
      <w:r w:rsidR="00D156A3">
        <w:t xml:space="preserve"> controlled by recycling hot water from tank T-104 to tank T-101. Under normal operation the feed </w:t>
      </w:r>
      <w:r w:rsidR="001F7616">
        <w:t>was</w:t>
      </w:r>
      <w:r w:rsidR="00D156A3">
        <w:t xml:space="preserve"> </w:t>
      </w:r>
      <w:r w:rsidR="00567434">
        <w:t>pumped from</w:t>
      </w:r>
      <w:r w:rsidR="00D156A3">
        <w:t xml:space="preserve"> T-101, to the membrane manifold. By opening or closing the valves V-102/4/8 or V-103/5/9</w:t>
      </w:r>
      <w:r w:rsidR="00567434">
        <w:t>,</w:t>
      </w:r>
      <w:r w:rsidR="00D156A3">
        <w:t xml:space="preserve"> it </w:t>
      </w:r>
      <w:r w:rsidR="001F7616">
        <w:t>wa</w:t>
      </w:r>
      <w:r w:rsidR="00D156A3">
        <w:t>s possible to change the number o</w:t>
      </w:r>
      <w:r>
        <w:t>f</w:t>
      </w:r>
      <w:r w:rsidR="00D156A3">
        <w:t xml:space="preserve"> membranes </w:t>
      </w:r>
      <w:r>
        <w:t xml:space="preserve">(M-101/2) </w:t>
      </w:r>
      <w:r w:rsidR="00D156A3">
        <w:t xml:space="preserve">in parallel from four to eight. During filtration valve V-106 </w:t>
      </w:r>
      <w:r w:rsidR="001F7616">
        <w:t>wa</w:t>
      </w:r>
      <w:r w:rsidR="00D156A3">
        <w:t>s open</w:t>
      </w:r>
      <w:r w:rsidR="00002466">
        <w:t xml:space="preserve"> to collect </w:t>
      </w:r>
      <w:proofErr w:type="gramStart"/>
      <w:r w:rsidR="00002466">
        <w:t>the permeate</w:t>
      </w:r>
      <w:proofErr w:type="gramEnd"/>
      <w:r w:rsidR="00002466">
        <w:t xml:space="preserve"> in tank T-103</w:t>
      </w:r>
      <w:r w:rsidR="00D156A3">
        <w:t xml:space="preserve">. </w:t>
      </w:r>
      <w:r w:rsidR="00002466">
        <w:t xml:space="preserve">The </w:t>
      </w:r>
      <w:proofErr w:type="spellStart"/>
      <w:r w:rsidR="00002466">
        <w:t>retentate</w:t>
      </w:r>
      <w:proofErr w:type="spellEnd"/>
      <w:r w:rsidR="00002466">
        <w:t xml:space="preserve"> pressure </w:t>
      </w:r>
      <w:r w:rsidR="001F7616">
        <w:t>wa</w:t>
      </w:r>
      <w:r w:rsidR="00002466">
        <w:t xml:space="preserve">s controlled by valve V-111. </w:t>
      </w:r>
      <w:r w:rsidR="00567434">
        <w:t>TR101/2 and PR101/2 measure</w:t>
      </w:r>
      <w:r w:rsidR="001F7616">
        <w:t>d</w:t>
      </w:r>
      <w:r w:rsidR="00567434">
        <w:t xml:space="preserve"> t</w:t>
      </w:r>
      <w:r w:rsidR="00002466">
        <w:t>emperatur</w:t>
      </w:r>
      <w:r w:rsidR="00567434">
        <w:t>e</w:t>
      </w:r>
      <w:r w:rsidR="00002466">
        <w:t xml:space="preserve"> and pressur</w:t>
      </w:r>
      <w:r w:rsidR="00567434">
        <w:t>e,</w:t>
      </w:r>
      <w:r w:rsidR="00002466">
        <w:t xml:space="preserve"> </w:t>
      </w:r>
      <w:r>
        <w:t>r</w:t>
      </w:r>
      <w:r w:rsidR="00002466">
        <w:t>espectively.</w:t>
      </w:r>
    </w:p>
    <w:p w:rsidR="000D3960" w:rsidRDefault="00002466" w:rsidP="00BF4715">
      <w:pPr>
        <w:pStyle w:val="CETBodytext"/>
      </w:pPr>
      <w:r>
        <w:t xml:space="preserve">The permeate flow </w:t>
      </w:r>
      <w:r w:rsidR="001F7616">
        <w:t>wa</w:t>
      </w:r>
      <w:r w:rsidR="00567434">
        <w:t>s</w:t>
      </w:r>
      <w:r>
        <w:t xml:space="preserve"> </w:t>
      </w:r>
      <w:r w:rsidR="001F7616">
        <w:t>found</w:t>
      </w:r>
      <w:r>
        <w:t xml:space="preserve"> by weigh</w:t>
      </w:r>
      <w:r w:rsidR="00567434">
        <w:t>ing.</w:t>
      </w:r>
      <w:r>
        <w:t xml:space="preserve"> </w:t>
      </w:r>
      <w:r w:rsidR="00567434">
        <w:t>T</w:t>
      </w:r>
      <w:r>
        <w:t xml:space="preserve">he </w:t>
      </w:r>
      <w:proofErr w:type="spellStart"/>
      <w:r>
        <w:t>rete</w:t>
      </w:r>
      <w:r w:rsidR="00BF4715">
        <w:t>n</w:t>
      </w:r>
      <w:r>
        <w:t>tate</w:t>
      </w:r>
      <w:proofErr w:type="spellEnd"/>
      <w:r>
        <w:t xml:space="preserve"> flow </w:t>
      </w:r>
      <w:r w:rsidR="001F7616">
        <w:t>wa</w:t>
      </w:r>
      <w:r w:rsidR="00567434">
        <w:t>s</w:t>
      </w:r>
      <w:r>
        <w:t xml:space="preserve"> measured by flowmeter FI-101.</w:t>
      </w:r>
      <w:r w:rsidR="000D3960">
        <w:t xml:space="preserve"> </w:t>
      </w:r>
    </w:p>
    <w:p w:rsidR="00567434" w:rsidRDefault="00567434" w:rsidP="00BF4715">
      <w:pPr>
        <w:pStyle w:val="CETBodytext"/>
      </w:pPr>
    </w:p>
    <w:p w:rsidR="00BF4715" w:rsidRPr="00C60904" w:rsidRDefault="00BF4715" w:rsidP="00BF4715">
      <w:pPr>
        <w:pStyle w:val="CETBodytext"/>
        <w:rPr>
          <w:i/>
        </w:rPr>
      </w:pPr>
      <w:r w:rsidRPr="0001421B">
        <w:rPr>
          <w:i/>
        </w:rPr>
        <w:t xml:space="preserve">Figure </w:t>
      </w:r>
      <w:r>
        <w:rPr>
          <w:i/>
        </w:rPr>
        <w:t>2</w:t>
      </w:r>
      <w:r w:rsidRPr="0001421B">
        <w:rPr>
          <w:i/>
        </w:rPr>
        <w:t>:</w:t>
      </w:r>
      <w:r>
        <w:rPr>
          <w:i/>
        </w:rPr>
        <w:t xml:space="preserve"> PI diagram of the microfiltration setup.</w:t>
      </w:r>
      <w:r w:rsidRPr="00DC7633">
        <w:rPr>
          <w:i/>
        </w:rPr>
        <w:t xml:space="preserve"> </w:t>
      </w:r>
    </w:p>
    <w:p w:rsidR="00BF4715" w:rsidRDefault="00BF4715" w:rsidP="000D3960">
      <w:pPr>
        <w:pStyle w:val="CETBodytext"/>
      </w:pPr>
    </w:p>
    <w:p w:rsidR="0082506E" w:rsidRDefault="0082506E" w:rsidP="0082506E">
      <w:pPr>
        <w:pStyle w:val="CETBodytext"/>
      </w:pPr>
      <w:r>
        <w:t xml:space="preserve">Membrane cleaning was done by flushing the system with demineralized water followed by recycling of a pH 10 sodium hydroxide </w:t>
      </w:r>
      <w:proofErr w:type="gramStart"/>
      <w:r>
        <w:t>solution</w:t>
      </w:r>
      <w:proofErr w:type="gramEnd"/>
      <w:r>
        <w:t xml:space="preserve"> for 30 minutes</w:t>
      </w:r>
      <w:r w:rsidR="009C12B3">
        <w:t>,</w:t>
      </w:r>
      <w:r>
        <w:t xml:space="preserve"> and finally cleaning with demineralized water until a neutral pH was reached. </w:t>
      </w:r>
    </w:p>
    <w:p w:rsidR="0082506E" w:rsidRDefault="0082506E" w:rsidP="0082506E">
      <w:pPr>
        <w:pStyle w:val="CETBodytext"/>
      </w:pPr>
      <w:proofErr w:type="gramStart"/>
      <w:r>
        <w:t>The permeate</w:t>
      </w:r>
      <w:proofErr w:type="gramEnd"/>
      <w:r>
        <w:t xml:space="preserve"> from the microfiltration will contain polysaccharides, protein residue, flavonoids and sugars. To remove the larger polymers a flat sheet </w:t>
      </w:r>
      <w:proofErr w:type="spellStart"/>
      <w:r>
        <w:t>polyethersulfone</w:t>
      </w:r>
      <w:proofErr w:type="spellEnd"/>
      <w:r>
        <w:t xml:space="preserve"> 20 </w:t>
      </w:r>
      <w:proofErr w:type="spellStart"/>
      <w:r>
        <w:t>kDa</w:t>
      </w:r>
      <w:proofErr w:type="spellEnd"/>
      <w:r>
        <w:t xml:space="preserve"> ultrafiltration membrane (GR60PP from Alfa Laval, Denmark) was used. </w:t>
      </w:r>
      <w:proofErr w:type="gramStart"/>
      <w:r>
        <w:t>The permeate</w:t>
      </w:r>
      <w:proofErr w:type="gramEnd"/>
      <w:r>
        <w:t xml:space="preserve"> from this ultrafiltration was send to a 1 </w:t>
      </w:r>
      <w:proofErr w:type="spellStart"/>
      <w:r>
        <w:t>kDa</w:t>
      </w:r>
      <w:proofErr w:type="spellEnd"/>
      <w:r>
        <w:t xml:space="preserve"> flat sheet composite fluoropolymer ultrafiltration membrane (ETNA01PP, Alfa Laval, Denmark)</w:t>
      </w:r>
      <w:r w:rsidR="009C12B3">
        <w:t>,</w:t>
      </w:r>
      <w:r>
        <w:t xml:space="preserve"> which was expected to allow sugars and salts to pass</w:t>
      </w:r>
      <w:r w:rsidR="001F7616">
        <w:t>,</w:t>
      </w:r>
      <w:r>
        <w:t xml:space="preserve"> but </w:t>
      </w:r>
      <w:r w:rsidR="001F7616">
        <w:t xml:space="preserve">at the same time </w:t>
      </w:r>
      <w:r>
        <w:t>show a high rejection o</w:t>
      </w:r>
      <w:r w:rsidR="00A40723">
        <w:t>f</w:t>
      </w:r>
      <w:r>
        <w:t xml:space="preserve"> the flavonoids. The total filtration area for both </w:t>
      </w:r>
      <w:r w:rsidR="009C12B3">
        <w:t xml:space="preserve">of </w:t>
      </w:r>
      <w:r>
        <w:t>these ultrafiltration steps were 0.072 m</w:t>
      </w:r>
      <w:r w:rsidRPr="00CE208D">
        <w:rPr>
          <w:vertAlign w:val="superscript"/>
        </w:rPr>
        <w:t>2</w:t>
      </w:r>
      <w:r>
        <w:t xml:space="preserve">, the average transmembrane pressure </w:t>
      </w:r>
      <w:r w:rsidR="009C12B3">
        <w:t xml:space="preserve">was </w:t>
      </w:r>
      <w:r>
        <w:t>5.8 bars</w:t>
      </w:r>
      <w:r w:rsidR="009C12B3">
        <w:t>,</w:t>
      </w:r>
      <w:r>
        <w:t xml:space="preserve"> and </w:t>
      </w:r>
      <w:r w:rsidR="0009564C">
        <w:t xml:space="preserve">the </w:t>
      </w:r>
      <w:r>
        <w:t xml:space="preserve">processing temperature </w:t>
      </w:r>
      <w:r w:rsidR="009C12B3">
        <w:t xml:space="preserve">was </w:t>
      </w:r>
      <w:r>
        <w:t xml:space="preserve">30 </w:t>
      </w:r>
      <w:r>
        <w:rPr>
          <w:rFonts w:cs="Arial"/>
        </w:rPr>
        <w:t>°</w:t>
      </w:r>
      <w:r>
        <w:t xml:space="preserve">C. </w:t>
      </w:r>
      <w:r w:rsidR="00624A3C">
        <w:t>Both ultrafiltration steps</w:t>
      </w:r>
      <w:r>
        <w:t xml:space="preserve"> used </w:t>
      </w:r>
      <w:r w:rsidR="001F7616">
        <w:t xml:space="preserve">the </w:t>
      </w:r>
      <w:r>
        <w:t>process setup illustrated in figure 3.</w:t>
      </w:r>
    </w:p>
    <w:p w:rsidR="000D3960" w:rsidRDefault="000D3960" w:rsidP="00AD6075">
      <w:pPr>
        <w:pStyle w:val="CETBodytext"/>
        <w:rPr>
          <w:color w:val="FF0000"/>
        </w:rPr>
      </w:pPr>
    </w:p>
    <w:p w:rsidR="00BD1B45" w:rsidRDefault="00BD1B45" w:rsidP="00A22B9C">
      <w:pPr>
        <w:pStyle w:val="CETBodytext"/>
      </w:pPr>
    </w:p>
    <w:p w:rsidR="00567434" w:rsidRDefault="008B10CD" w:rsidP="00567434">
      <w:pPr>
        <w:pStyle w:val="CETBodytext"/>
      </w:pPr>
      <w:r>
        <w:rPr>
          <w:noProof/>
          <w:lang w:val="da-DK" w:eastAsia="da-DK"/>
        </w:rPr>
        <w:drawing>
          <wp:anchor distT="0" distB="0" distL="114300" distR="114300" simplePos="0" relativeHeight="251661312" behindDoc="1" locked="0" layoutInCell="1" allowOverlap="1">
            <wp:simplePos x="0" y="0"/>
            <wp:positionH relativeFrom="column">
              <wp:posOffset>34290</wp:posOffset>
            </wp:positionH>
            <wp:positionV relativeFrom="paragraph">
              <wp:posOffset>0</wp:posOffset>
            </wp:positionV>
            <wp:extent cx="3750945" cy="2159635"/>
            <wp:effectExtent l="0" t="0" r="1905" b="0"/>
            <wp:wrapTight wrapText="bothSides">
              <wp:wrapPolygon edited="0">
                <wp:start x="0" y="0"/>
                <wp:lineTo x="0" y="21340"/>
                <wp:lineTo x="21501" y="21340"/>
                <wp:lineTo x="2150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50945" cy="2159635"/>
                    </a:xfrm>
                    <a:prstGeom prst="rect">
                      <a:avLst/>
                    </a:prstGeom>
                    <a:noFill/>
                    <a:ln>
                      <a:noFill/>
                    </a:ln>
                  </pic:spPr>
                </pic:pic>
              </a:graphicData>
            </a:graphic>
            <wp14:sizeRelH relativeFrom="page">
              <wp14:pctWidth>0</wp14:pctWidth>
            </wp14:sizeRelH>
            <wp14:sizeRelV relativeFrom="page">
              <wp14:pctHeight>0</wp14:pctHeight>
            </wp14:sizeRelV>
          </wp:anchor>
        </w:drawing>
      </w:r>
      <w:r w:rsidR="00567434">
        <w:t>T</w:t>
      </w:r>
      <w:r w:rsidR="00780810">
        <w:t>h</w:t>
      </w:r>
      <w:r w:rsidR="00567434">
        <w:t xml:space="preserve">e feed temperature </w:t>
      </w:r>
      <w:r w:rsidR="00A40723">
        <w:t>wa</w:t>
      </w:r>
      <w:r w:rsidR="00567434">
        <w:t>s controlled by recycling water from tank T-104 through heat exchanger</w:t>
      </w:r>
      <w:r w:rsidR="00780810">
        <w:t xml:space="preserve"> </w:t>
      </w:r>
      <w:r w:rsidR="00567434">
        <w:t>E-102. U</w:t>
      </w:r>
      <w:r w:rsidR="00A40723">
        <w:t>nder normal operation the feed wa</w:t>
      </w:r>
      <w:r w:rsidR="00567434">
        <w:t>s pumped from T-101</w:t>
      </w:r>
      <w:r w:rsidR="00780810">
        <w:t xml:space="preserve"> to the M20 </w:t>
      </w:r>
      <w:proofErr w:type="spellStart"/>
      <w:r w:rsidR="00780810">
        <w:t>LabStak</w:t>
      </w:r>
      <w:proofErr w:type="spellEnd"/>
      <w:r w:rsidR="00780810">
        <w:t>, which includes heat exchanger E-101 and the membranes (M-101). Valve V-107 control</w:t>
      </w:r>
      <w:r w:rsidR="00A40723">
        <w:t>led</w:t>
      </w:r>
      <w:r w:rsidR="00780810">
        <w:t xml:space="preserve"> t</w:t>
      </w:r>
      <w:r w:rsidR="00567434">
        <w:t xml:space="preserve">he </w:t>
      </w:r>
      <w:proofErr w:type="spellStart"/>
      <w:r w:rsidR="00567434">
        <w:t>retentate</w:t>
      </w:r>
      <w:proofErr w:type="spellEnd"/>
      <w:r w:rsidR="00567434">
        <w:t xml:space="preserve"> pressure. TR101/2 and PR101/2 measure</w:t>
      </w:r>
      <w:r w:rsidR="00A40723">
        <w:t>d</w:t>
      </w:r>
      <w:r w:rsidR="00567434">
        <w:t xml:space="preserve"> temperature and pressure, respectively.</w:t>
      </w:r>
    </w:p>
    <w:p w:rsidR="00567434" w:rsidRDefault="00A40723" w:rsidP="00567434">
      <w:pPr>
        <w:pStyle w:val="CETBodytext"/>
      </w:pPr>
      <w:r>
        <w:t>The permeate flow wa</w:t>
      </w:r>
      <w:r w:rsidR="00567434">
        <w:t xml:space="preserve">s </w:t>
      </w:r>
      <w:r>
        <w:t>found</w:t>
      </w:r>
      <w:r w:rsidR="00567434">
        <w:t xml:space="preserve"> by weighing. The </w:t>
      </w:r>
      <w:proofErr w:type="spellStart"/>
      <w:r w:rsidR="00567434">
        <w:t>retentate</w:t>
      </w:r>
      <w:proofErr w:type="spellEnd"/>
      <w:r w:rsidR="00567434">
        <w:t xml:space="preserve"> flow </w:t>
      </w:r>
      <w:r>
        <w:t xml:space="preserve">was </w:t>
      </w:r>
      <w:r w:rsidR="00567434">
        <w:t xml:space="preserve">measured by flowmeter FI-101. </w:t>
      </w:r>
    </w:p>
    <w:p w:rsidR="00567434" w:rsidRDefault="00567434" w:rsidP="00D007E6">
      <w:pPr>
        <w:pStyle w:val="CETBodytext"/>
        <w:rPr>
          <w:i/>
        </w:rPr>
      </w:pPr>
    </w:p>
    <w:p w:rsidR="00D007E6" w:rsidRDefault="00BD1B45" w:rsidP="00D007E6">
      <w:pPr>
        <w:pStyle w:val="CETBodytext"/>
        <w:rPr>
          <w:i/>
        </w:rPr>
      </w:pPr>
      <w:r w:rsidRPr="0001421B">
        <w:rPr>
          <w:i/>
        </w:rPr>
        <w:t xml:space="preserve">Figure </w:t>
      </w:r>
      <w:r>
        <w:rPr>
          <w:i/>
        </w:rPr>
        <w:t>3</w:t>
      </w:r>
      <w:r w:rsidRPr="0001421B">
        <w:rPr>
          <w:i/>
        </w:rPr>
        <w:t>:</w:t>
      </w:r>
      <w:r w:rsidR="00EA3771">
        <w:rPr>
          <w:i/>
        </w:rPr>
        <w:t xml:space="preserve"> </w:t>
      </w:r>
      <w:r>
        <w:rPr>
          <w:i/>
        </w:rPr>
        <w:t>PI diagram of the ultrafiltration setup</w:t>
      </w:r>
      <w:r w:rsidR="0082506E">
        <w:rPr>
          <w:i/>
        </w:rPr>
        <w:t xml:space="preserve"> using a</w:t>
      </w:r>
      <w:r w:rsidR="00805486">
        <w:rPr>
          <w:i/>
        </w:rPr>
        <w:t xml:space="preserve"> </w:t>
      </w:r>
      <w:r w:rsidR="00805486" w:rsidRPr="00D007E6">
        <w:rPr>
          <w:i/>
        </w:rPr>
        <w:t xml:space="preserve">M20 </w:t>
      </w:r>
      <w:proofErr w:type="spellStart"/>
      <w:r w:rsidR="00805486" w:rsidRPr="00D007E6">
        <w:rPr>
          <w:i/>
        </w:rPr>
        <w:t>LabStak</w:t>
      </w:r>
      <w:proofErr w:type="spellEnd"/>
      <w:r w:rsidR="00805486">
        <w:rPr>
          <w:i/>
        </w:rPr>
        <w:t xml:space="preserve"> (Alfa Laval, Denmark)</w:t>
      </w:r>
      <w:r w:rsidR="00EA3771">
        <w:rPr>
          <w:i/>
        </w:rPr>
        <w:t>.</w:t>
      </w:r>
    </w:p>
    <w:p w:rsidR="00BF4715" w:rsidRDefault="00BF4715" w:rsidP="00BF4715">
      <w:pPr>
        <w:pStyle w:val="CETBodytext"/>
      </w:pPr>
    </w:p>
    <w:p w:rsidR="00BF4715" w:rsidRDefault="00BF4715" w:rsidP="00BF4715">
      <w:pPr>
        <w:pStyle w:val="CETBodytext"/>
      </w:pPr>
      <w:r>
        <w:t>The cleaning procedure was identical to that used for microfiltration</w:t>
      </w:r>
      <w:r w:rsidR="00A40723">
        <w:t>,</w:t>
      </w:r>
      <w:r>
        <w:t xml:space="preserve"> except that the sodium hydroxide cleaning was followed by a pH 3 citric acid cleaning for approximately 30 minutes.</w:t>
      </w:r>
    </w:p>
    <w:p w:rsidR="00AD6075" w:rsidRPr="00504178" w:rsidRDefault="0064381F" w:rsidP="0064381F">
      <w:pPr>
        <w:pStyle w:val="CETHeading1"/>
      </w:pPr>
      <w:r>
        <w:lastRenderedPageBreak/>
        <w:t>Results and Discussion</w:t>
      </w:r>
    </w:p>
    <w:p w:rsidR="003C2D34" w:rsidRDefault="003C2D34" w:rsidP="00115E51">
      <w:pPr>
        <w:pStyle w:val="CETBodytext"/>
        <w:tabs>
          <w:tab w:val="clear" w:pos="7100"/>
          <w:tab w:val="left" w:pos="1551"/>
        </w:tabs>
      </w:pPr>
      <w:r>
        <w:t>The fresh ka</w:t>
      </w:r>
      <w:r w:rsidR="00DD38A2">
        <w:t>lanchoe leaves and stems ha</w:t>
      </w:r>
      <w:r w:rsidR="001E64EA">
        <w:t>d</w:t>
      </w:r>
      <w:r w:rsidR="00DD38A2">
        <w:t xml:space="preserve"> </w:t>
      </w:r>
      <w:r w:rsidR="00DF7480">
        <w:t xml:space="preserve">a </w:t>
      </w:r>
      <w:r w:rsidR="00DD38A2">
        <w:t>dry</w:t>
      </w:r>
      <w:r w:rsidR="003410F0">
        <w:t xml:space="preserve"> </w:t>
      </w:r>
      <w:r w:rsidR="00DD38A2">
        <w:t xml:space="preserve">matter content of </w:t>
      </w:r>
      <w:r w:rsidR="001E64EA">
        <w:t xml:space="preserve">4.4 weight-% </w:t>
      </w:r>
      <w:r w:rsidR="001E64EA">
        <w:rPr>
          <w:rFonts w:cs="Arial"/>
        </w:rPr>
        <w:t xml:space="preserve">± </w:t>
      </w:r>
      <w:r w:rsidR="001E64EA">
        <w:t xml:space="preserve">0.5 </w:t>
      </w:r>
      <w:proofErr w:type="gramStart"/>
      <w:r w:rsidR="001E64EA">
        <w:t>weight-%</w:t>
      </w:r>
      <w:proofErr w:type="gramEnd"/>
      <w:r w:rsidR="001E64EA">
        <w:t xml:space="preserve">. </w:t>
      </w:r>
      <w:r w:rsidR="00624A3C">
        <w:t>Eighty-seven percent by weight plus/minus one percent by weight</w:t>
      </w:r>
      <w:r w:rsidR="001E64EA">
        <w:rPr>
          <w:rFonts w:cs="Arial"/>
        </w:rPr>
        <w:t xml:space="preserve"> of the feed ended up in the liquid fraction </w:t>
      </w:r>
      <w:r w:rsidR="001E64EA">
        <w:t>after the screw press. The dry</w:t>
      </w:r>
      <w:r w:rsidR="003410F0">
        <w:t xml:space="preserve"> </w:t>
      </w:r>
      <w:r w:rsidR="001E64EA">
        <w:t>matter concent</w:t>
      </w:r>
      <w:r w:rsidR="001D5330">
        <w:t>ration</w:t>
      </w:r>
      <w:r w:rsidR="00FD726F">
        <w:t xml:space="preserve"> </w:t>
      </w:r>
      <w:r w:rsidR="001E64EA">
        <w:t>in the liquid fraction f</w:t>
      </w:r>
      <w:r w:rsidR="00DF7480">
        <w:t>r</w:t>
      </w:r>
      <w:r w:rsidR="001E64EA">
        <w:t>om the screw press was</w:t>
      </w:r>
      <w:r w:rsidR="004014BD">
        <w:t xml:space="preserve"> 2.4 weight-% </w:t>
      </w:r>
      <w:r w:rsidR="004014BD">
        <w:rPr>
          <w:rFonts w:cs="Arial"/>
        </w:rPr>
        <w:t xml:space="preserve">± </w:t>
      </w:r>
      <w:r w:rsidR="004014BD">
        <w:t xml:space="preserve">0.1 </w:t>
      </w:r>
      <w:proofErr w:type="gramStart"/>
      <w:r w:rsidR="004014BD">
        <w:t>weight-%</w:t>
      </w:r>
      <w:proofErr w:type="gramEnd"/>
      <w:r w:rsidR="001E64EA">
        <w:t>, while the dry</w:t>
      </w:r>
      <w:r w:rsidR="003410F0">
        <w:t xml:space="preserve"> </w:t>
      </w:r>
      <w:r w:rsidR="001E64EA">
        <w:t xml:space="preserve">matter content in the solid fraction was </w:t>
      </w:r>
      <w:r w:rsidR="004014BD">
        <w:t xml:space="preserve">14 weight-% </w:t>
      </w:r>
      <w:r w:rsidR="004014BD">
        <w:rPr>
          <w:rFonts w:cs="Arial"/>
        </w:rPr>
        <w:t>± 1</w:t>
      </w:r>
      <w:r w:rsidR="004014BD">
        <w:t xml:space="preserve"> weight-%</w:t>
      </w:r>
      <w:r w:rsidR="001E64EA">
        <w:t xml:space="preserve">. </w:t>
      </w:r>
      <w:r w:rsidR="00D947EC">
        <w:t>Further analysis of the samples showed that roughly two</w:t>
      </w:r>
      <w:r w:rsidR="00624A3C">
        <w:t xml:space="preserve"> </w:t>
      </w:r>
      <w:r w:rsidR="00D947EC">
        <w:t>thirds of the flavonoids were already in the liquid phase prior to extraction. This is not surprising as the flavonoi</w:t>
      </w:r>
      <w:r w:rsidR="001D5330">
        <w:t>d</w:t>
      </w:r>
      <w:r w:rsidR="00D947EC">
        <w:t>s are mainly present in their glycosylated form</w:t>
      </w:r>
      <w:r w:rsidR="00624A3C">
        <w:t>,</w:t>
      </w:r>
      <w:r w:rsidR="00D947EC">
        <w:t xml:space="preserve"> making them highly water soluble. The following extraction step is </w:t>
      </w:r>
      <w:r w:rsidR="003410F0">
        <w:t xml:space="preserve">thus </w:t>
      </w:r>
      <w:r w:rsidR="00D947EC">
        <w:t>more to be looked upon as a leaching step</w:t>
      </w:r>
      <w:r w:rsidR="00624A3C">
        <w:t>,</w:t>
      </w:r>
      <w:r w:rsidR="00D947EC">
        <w:t xml:space="preserve"> removing flavonoids from the solid phase by dilution of the liquid trapped between the solid particulates. This is supported by the relative short extraction time as seen in figure 4.</w:t>
      </w:r>
    </w:p>
    <w:p w:rsidR="00D947EC" w:rsidRPr="00F0539D" w:rsidRDefault="00F0539D" w:rsidP="00F0539D">
      <w:pPr>
        <w:pStyle w:val="CETBodytext"/>
        <w:tabs>
          <w:tab w:val="clear" w:pos="7100"/>
          <w:tab w:val="left" w:pos="1551"/>
        </w:tabs>
        <w:rPr>
          <w:i/>
        </w:rPr>
      </w:pPr>
      <w:r w:rsidRPr="00F0539D">
        <w:rPr>
          <w:i/>
          <w:noProof/>
          <w:lang w:val="da-DK" w:eastAsia="da-DK"/>
        </w:rPr>
        <w:drawing>
          <wp:anchor distT="0" distB="0" distL="114300" distR="114300" simplePos="0" relativeHeight="251658240" behindDoc="0" locked="0" layoutInCell="1" allowOverlap="1" wp14:anchorId="095CFA49" wp14:editId="4EFA89DA">
            <wp:simplePos x="0" y="0"/>
            <wp:positionH relativeFrom="column">
              <wp:posOffset>-3810</wp:posOffset>
            </wp:positionH>
            <wp:positionV relativeFrom="paragraph">
              <wp:posOffset>635</wp:posOffset>
            </wp:positionV>
            <wp:extent cx="5580000" cy="3416400"/>
            <wp:effectExtent l="0" t="0" r="0" b="0"/>
            <wp:wrapTopAndBottom/>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00D947EC" w:rsidRPr="00F0539D">
        <w:rPr>
          <w:i/>
        </w:rPr>
        <w:t xml:space="preserve">Figure </w:t>
      </w:r>
      <w:r w:rsidRPr="00F0539D">
        <w:rPr>
          <w:i/>
        </w:rPr>
        <w:t>4</w:t>
      </w:r>
      <w:r w:rsidR="00D947EC" w:rsidRPr="00F0539D">
        <w:rPr>
          <w:i/>
        </w:rPr>
        <w:t xml:space="preserve">: Flavonoid concentration increase </w:t>
      </w:r>
      <w:r w:rsidR="00FD726F">
        <w:rPr>
          <w:i/>
        </w:rPr>
        <w:t xml:space="preserve">during extraction </w:t>
      </w:r>
      <w:r w:rsidR="00D947EC" w:rsidRPr="00F0539D">
        <w:rPr>
          <w:i/>
        </w:rPr>
        <w:t>as a function of concentration time.</w:t>
      </w:r>
    </w:p>
    <w:p w:rsidR="005E0A40" w:rsidRPr="00F0539D" w:rsidRDefault="005E0A40" w:rsidP="005E0A40">
      <w:pPr>
        <w:pStyle w:val="CETBodytext"/>
        <w:tabs>
          <w:tab w:val="clear" w:pos="7100"/>
          <w:tab w:val="left" w:pos="1551"/>
        </w:tabs>
      </w:pPr>
      <w:r>
        <w:rPr>
          <w:noProof/>
          <w:lang w:val="da-DK" w:eastAsia="da-DK"/>
        </w:rPr>
        <w:drawing>
          <wp:inline distT="0" distB="0" distL="0" distR="0" wp14:anchorId="3DAFA4C6" wp14:editId="1651101B">
            <wp:extent cx="5580000" cy="288000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E0A40" w:rsidRDefault="005E0A40" w:rsidP="005E0A40">
      <w:pPr>
        <w:pStyle w:val="CETBodytext"/>
        <w:tabs>
          <w:tab w:val="clear" w:pos="7100"/>
          <w:tab w:val="left" w:pos="1551"/>
        </w:tabs>
        <w:rPr>
          <w:i/>
        </w:rPr>
      </w:pPr>
      <w:r w:rsidRPr="00F0539D">
        <w:rPr>
          <w:i/>
        </w:rPr>
        <w:t xml:space="preserve">Figure </w:t>
      </w:r>
      <w:r>
        <w:rPr>
          <w:i/>
        </w:rPr>
        <w:t>5</w:t>
      </w:r>
      <w:r w:rsidRPr="00F0539D">
        <w:rPr>
          <w:i/>
        </w:rPr>
        <w:t xml:space="preserve">: </w:t>
      </w:r>
      <w:r>
        <w:rPr>
          <w:i/>
        </w:rPr>
        <w:t>Permeate flux as a function of processing time during microfiltration</w:t>
      </w:r>
    </w:p>
    <w:p w:rsidR="00624A3C" w:rsidRDefault="00624A3C" w:rsidP="005E0A40">
      <w:pPr>
        <w:pStyle w:val="CETBodytext"/>
        <w:tabs>
          <w:tab w:val="clear" w:pos="7100"/>
          <w:tab w:val="left" w:pos="1551"/>
        </w:tabs>
        <w:rPr>
          <w:i/>
        </w:rPr>
      </w:pPr>
    </w:p>
    <w:p w:rsidR="005E0A40" w:rsidRDefault="005E0A40" w:rsidP="005E0A40">
      <w:pPr>
        <w:pStyle w:val="CETBodytext"/>
        <w:tabs>
          <w:tab w:val="clear" w:pos="7100"/>
          <w:tab w:val="left" w:pos="1551"/>
        </w:tabs>
      </w:pPr>
      <w:r>
        <w:lastRenderedPageBreak/>
        <w:t>The liquid fraction decanted from the extraction mixture was clarified by microfiltration. As seen from figure 5</w:t>
      </w:r>
      <w:r w:rsidR="00A40723">
        <w:t>,</w:t>
      </w:r>
      <w:r>
        <w:t xml:space="preserve"> the flux shows the typical behavior due to solid fouling of the membrane surface during microfiltration: First a fast dec</w:t>
      </w:r>
      <w:r w:rsidR="00624A3C">
        <w:t xml:space="preserve">line in permeate flux from 198 </w:t>
      </w:r>
      <w:r>
        <w:t>L</w:t>
      </w:r>
      <w:r>
        <w:rPr>
          <w:rFonts w:ascii="Cambria Math" w:hAnsi="Cambria Math"/>
        </w:rPr>
        <w:t>·</w:t>
      </w:r>
      <w:r>
        <w:t xml:space="preserve"> m</w:t>
      </w:r>
      <w:r w:rsidR="00A40723" w:rsidRPr="00A40723">
        <w:rPr>
          <w:vertAlign w:val="superscript"/>
        </w:rPr>
        <w:t>-</w:t>
      </w:r>
      <w:r w:rsidRPr="009A6701">
        <w:rPr>
          <w:vertAlign w:val="superscript"/>
        </w:rPr>
        <w:t>2</w:t>
      </w:r>
      <w:r>
        <w:t xml:space="preserve"> </w:t>
      </w:r>
      <w:r>
        <w:rPr>
          <w:rFonts w:ascii="Cambria Math" w:hAnsi="Cambria Math"/>
        </w:rPr>
        <w:t>·</w:t>
      </w:r>
      <w:r>
        <w:t>h</w:t>
      </w:r>
      <w:r w:rsidRPr="009A6701">
        <w:rPr>
          <w:vertAlign w:val="superscript"/>
        </w:rPr>
        <w:t>-1</w:t>
      </w:r>
      <w:r w:rsidR="00624A3C">
        <w:t xml:space="preserve"> to 100 </w:t>
      </w:r>
      <w:r>
        <w:t>L</w:t>
      </w:r>
      <w:r>
        <w:rPr>
          <w:rFonts w:ascii="Cambria Math" w:hAnsi="Cambria Math"/>
        </w:rPr>
        <w:t>·</w:t>
      </w:r>
      <w:r>
        <w:t xml:space="preserve"> m</w:t>
      </w:r>
      <w:r w:rsidR="00A40723" w:rsidRPr="00A40723">
        <w:rPr>
          <w:vertAlign w:val="superscript"/>
        </w:rPr>
        <w:t>-</w:t>
      </w:r>
      <w:r w:rsidRPr="009A6701">
        <w:rPr>
          <w:vertAlign w:val="superscript"/>
        </w:rPr>
        <w:t>2</w:t>
      </w:r>
      <w:r>
        <w:t xml:space="preserve"> </w:t>
      </w:r>
      <w:r>
        <w:rPr>
          <w:rFonts w:ascii="Cambria Math" w:hAnsi="Cambria Math"/>
        </w:rPr>
        <w:t>·</w:t>
      </w:r>
      <w:r>
        <w:t>h</w:t>
      </w:r>
      <w:r w:rsidRPr="009A6701">
        <w:rPr>
          <w:vertAlign w:val="superscript"/>
        </w:rPr>
        <w:t>-1</w:t>
      </w:r>
      <w:r>
        <w:t xml:space="preserve"> as an initial fouling cake layer builds up</w:t>
      </w:r>
      <w:r w:rsidR="00624A3C">
        <w:t>,</w:t>
      </w:r>
      <w:r>
        <w:t xml:space="preserve"> followed by a slower flux decline as minor solids adsorb to the cake layer and inside the membrane pores </w:t>
      </w:r>
      <w:r w:rsidR="00D81FBB">
        <w:t>(Baker, 2012)</w:t>
      </w:r>
      <w:r w:rsidR="00624A3C">
        <w:t xml:space="preserve">. At a permeate flux of 68 </w:t>
      </w:r>
      <w:r>
        <w:t>L</w:t>
      </w:r>
      <w:r>
        <w:rPr>
          <w:rFonts w:ascii="Cambria Math" w:hAnsi="Cambria Math"/>
        </w:rPr>
        <w:t>·</w:t>
      </w:r>
      <w:r>
        <w:t xml:space="preserve"> m</w:t>
      </w:r>
      <w:r w:rsidR="00A40723" w:rsidRPr="00A40723">
        <w:rPr>
          <w:vertAlign w:val="superscript"/>
        </w:rPr>
        <w:t>-</w:t>
      </w:r>
      <w:r w:rsidRPr="009A6701">
        <w:rPr>
          <w:vertAlign w:val="superscript"/>
        </w:rPr>
        <w:t>2</w:t>
      </w:r>
      <w:r>
        <w:t xml:space="preserve"> </w:t>
      </w:r>
      <w:r>
        <w:rPr>
          <w:rFonts w:ascii="Cambria Math" w:hAnsi="Cambria Math"/>
        </w:rPr>
        <w:t>·</w:t>
      </w:r>
      <w:r>
        <w:t>h</w:t>
      </w:r>
      <w:r w:rsidRPr="009A6701">
        <w:rPr>
          <w:vertAlign w:val="superscript"/>
        </w:rPr>
        <w:t>-1</w:t>
      </w:r>
      <w:r>
        <w:t xml:space="preserve"> the membrane was cleaned. As seen</w:t>
      </w:r>
      <w:r w:rsidR="00A40723">
        <w:t>,</w:t>
      </w:r>
      <w:r>
        <w:t xml:space="preserve"> the original flux could not be </w:t>
      </w:r>
      <w:r w:rsidR="00624A3C">
        <w:t>reestablished</w:t>
      </w:r>
      <w:r>
        <w:t>, most likely due to particulates adsorbed inside the membrane pores.</w:t>
      </w:r>
    </w:p>
    <w:p w:rsidR="005E0A40" w:rsidRDefault="005E0A40" w:rsidP="005E0A40">
      <w:pPr>
        <w:pStyle w:val="CETBodytext"/>
        <w:tabs>
          <w:tab w:val="clear" w:pos="7100"/>
          <w:tab w:val="left" w:pos="1551"/>
        </w:tabs>
      </w:pPr>
      <w:r>
        <w:t xml:space="preserve">During processing a color change of the microfiltration feed from green towards brown was observed for some of the extraction batches processed. While </w:t>
      </w:r>
      <w:r w:rsidR="006C1CDF">
        <w:t>an</w:t>
      </w:r>
      <w:r>
        <w:t xml:space="preserve"> influence of this change in feed composition could not be seen in the microfiltration experiments</w:t>
      </w:r>
      <w:r w:rsidR="006C1CDF">
        <w:t>,</w:t>
      </w:r>
      <w:r>
        <w:t xml:space="preserve"> it did influence the behavior of the ultrafiltration experiments</w:t>
      </w:r>
      <w:r w:rsidR="00A40723">
        <w:t>,</w:t>
      </w:r>
      <w:r>
        <w:t xml:space="preserve"> as seen in figure 6. The browning of green plant juice is either caused by </w:t>
      </w:r>
      <w:proofErr w:type="spellStart"/>
      <w:r>
        <w:t>p</w:t>
      </w:r>
      <w:r w:rsidRPr="00DC1FF4">
        <w:t>olyphenoloxidase</w:t>
      </w:r>
      <w:proofErr w:type="spellEnd"/>
      <w:r w:rsidRPr="00DC1FF4">
        <w:t xml:space="preserve"> enzymes </w:t>
      </w:r>
      <w:r>
        <w:t xml:space="preserve">that </w:t>
      </w:r>
      <w:r w:rsidR="00F20520" w:rsidRPr="00DC1FF4">
        <w:t>catalyze</w:t>
      </w:r>
      <w:r w:rsidRPr="00DC1FF4">
        <w:t xml:space="preserve"> reactions of phenolic compounds producing quinones, which then </w:t>
      </w:r>
      <w:r w:rsidR="00D81FBB" w:rsidRPr="00DC1FF4">
        <w:t>polymerize</w:t>
      </w:r>
      <w:r w:rsidRPr="00DC1FF4">
        <w:t xml:space="preserve"> giving rise to </w:t>
      </w:r>
      <w:proofErr w:type="spellStart"/>
      <w:r w:rsidRPr="00DC1FF4">
        <w:t>melanins</w:t>
      </w:r>
      <w:proofErr w:type="spellEnd"/>
      <w:r w:rsidR="00F20520">
        <w:t xml:space="preserve"> (</w:t>
      </w:r>
      <w:proofErr w:type="spellStart"/>
      <w:r w:rsidR="00F20520" w:rsidRPr="00F20520">
        <w:t>Queiroz</w:t>
      </w:r>
      <w:proofErr w:type="spellEnd"/>
      <w:r w:rsidR="00F20520">
        <w:t xml:space="preserve"> et al, 2008)</w:t>
      </w:r>
      <w:r w:rsidRPr="00DC1FF4">
        <w:t xml:space="preserve">, </w:t>
      </w:r>
      <w:r>
        <w:t xml:space="preserve">or by Maillard </w:t>
      </w:r>
      <w:r w:rsidR="00945F77">
        <w:t xml:space="preserve">polymerization </w:t>
      </w:r>
      <w:r>
        <w:t xml:space="preserve">reactions producing </w:t>
      </w:r>
      <w:r w:rsidR="00945F77">
        <w:t>brown pigments</w:t>
      </w:r>
      <w:r>
        <w:t xml:space="preserve"> </w:t>
      </w:r>
      <w:r w:rsidR="00F20520">
        <w:t>(</w:t>
      </w:r>
      <w:proofErr w:type="spellStart"/>
      <w:r w:rsidR="00945F77">
        <w:t>Burdurlu</w:t>
      </w:r>
      <w:proofErr w:type="spellEnd"/>
      <w:r w:rsidR="00945F77">
        <w:t xml:space="preserve"> &amp; </w:t>
      </w:r>
      <w:proofErr w:type="spellStart"/>
      <w:r w:rsidR="00945F77">
        <w:t>Karandiz</w:t>
      </w:r>
      <w:proofErr w:type="spellEnd"/>
      <w:r w:rsidR="00945F77">
        <w:t>, 2003)</w:t>
      </w:r>
      <w:r w:rsidRPr="00DC1FF4">
        <w:t>.</w:t>
      </w:r>
      <w:r>
        <w:t xml:space="preserve"> In both cases this leads to brown polymer pigments. The brown feed leads to a lower flux</w:t>
      </w:r>
      <w:r w:rsidR="006C1CDF">
        <w:t>,</w:t>
      </w:r>
      <w:r>
        <w:t xml:space="preserve"> indicating a much denser fouling layer. </w:t>
      </w:r>
      <w:bookmarkStart w:id="0" w:name="_Hlk536480216"/>
      <w:r>
        <w:t>This is supported by the fact that the flavonoid retention for the green</w:t>
      </w:r>
      <w:r w:rsidR="00FD726F">
        <w:t xml:space="preserve"> feed </w:t>
      </w:r>
      <w:r>
        <w:t>increases slightly from 40% to 44%</w:t>
      </w:r>
      <w:r w:rsidR="006C1CDF">
        <w:t>,</w:t>
      </w:r>
      <w:r>
        <w:t xml:space="preserve"> while for the brown</w:t>
      </w:r>
      <w:r w:rsidR="00E637C0">
        <w:t xml:space="preserve"> feed </w:t>
      </w:r>
      <w:r>
        <w:t xml:space="preserve">the retention increases from 19% to 83%. </w:t>
      </w:r>
      <w:r w:rsidR="00BC2FAF">
        <w:t>T</w:t>
      </w:r>
      <w:r w:rsidR="006B6CDC">
        <w:t>he average molecular weight for the flavonoids vary between 282</w:t>
      </w:r>
      <w:r w:rsidR="006C1CDF">
        <w:t xml:space="preserve"> and</w:t>
      </w:r>
      <w:r w:rsidR="006B6CDC">
        <w:t xml:space="preserve"> 510 Da</w:t>
      </w:r>
      <w:r w:rsidR="006C1CDF">
        <w:t>,</w:t>
      </w:r>
      <w:r w:rsidR="006B6CDC">
        <w:t xml:space="preserve"> depending on whether they are in their glycosylated form or not</w:t>
      </w:r>
      <w:r w:rsidR="001E122C">
        <w:t>.</w:t>
      </w:r>
      <w:r w:rsidR="006B6CDC">
        <w:t xml:space="preserve"> </w:t>
      </w:r>
      <w:r w:rsidR="006C1CDF">
        <w:t>Flavonoids</w:t>
      </w:r>
      <w:r w:rsidR="006B6CDC">
        <w:t xml:space="preserve"> should easily permeate through the 20kDa membrane</w:t>
      </w:r>
      <w:r w:rsidR="001E122C">
        <w:t>. Since</w:t>
      </w:r>
      <w:r w:rsidR="006C1CDF">
        <w:t xml:space="preserve"> the flavonoids </w:t>
      </w:r>
      <w:r w:rsidR="006B6CDC">
        <w:t xml:space="preserve">in both cases </w:t>
      </w:r>
      <w:r w:rsidR="006C1CDF">
        <w:t xml:space="preserve">are </w:t>
      </w:r>
      <w:r w:rsidR="006B6CDC">
        <w:t xml:space="preserve">retained by the 20 </w:t>
      </w:r>
      <w:proofErr w:type="spellStart"/>
      <w:r w:rsidR="006B6CDC">
        <w:t>kDa</w:t>
      </w:r>
      <w:proofErr w:type="spellEnd"/>
      <w:r w:rsidR="006B6CDC">
        <w:t xml:space="preserve"> membrane</w:t>
      </w:r>
      <w:r w:rsidR="006C1CDF">
        <w:t>,</w:t>
      </w:r>
      <w:r w:rsidR="006B6CDC">
        <w:t xml:space="preserve"> the conclusion </w:t>
      </w:r>
      <w:r w:rsidR="001E122C">
        <w:t xml:space="preserve">is </w:t>
      </w:r>
      <w:r w:rsidR="006B6CDC">
        <w:t xml:space="preserve">that </w:t>
      </w:r>
      <w:r w:rsidR="006B6CDC" w:rsidRPr="00523696">
        <w:t>a dense fouling layer must have formed</w:t>
      </w:r>
      <w:r w:rsidR="006B6CDC">
        <w:t>.</w:t>
      </w:r>
      <w:r>
        <w:t xml:space="preserve"> Such dense layers are usually caused by gel layer formation</w:t>
      </w:r>
      <w:r w:rsidR="006C1CDF">
        <w:t>,</w:t>
      </w:r>
      <w:r>
        <w:t xml:space="preserve"> when polymers start to condense close to the membrane surface because of concentration polarization </w:t>
      </w:r>
      <w:r w:rsidR="00C01D24">
        <w:t>(Baker, 2012)</w:t>
      </w:r>
      <w:r>
        <w:t xml:space="preserve">. </w:t>
      </w:r>
      <w:bookmarkEnd w:id="0"/>
    </w:p>
    <w:p w:rsidR="004C1A5A" w:rsidRDefault="001D5330" w:rsidP="004C1A5A">
      <w:pPr>
        <w:pStyle w:val="CETBodytext"/>
        <w:tabs>
          <w:tab w:val="clear" w:pos="7100"/>
          <w:tab w:val="left" w:pos="1551"/>
        </w:tabs>
        <w:rPr>
          <w:i/>
        </w:rPr>
      </w:pPr>
      <w:bookmarkStart w:id="1" w:name="_Toc519715836"/>
      <w:r>
        <w:rPr>
          <w:noProof/>
          <w:lang w:val="da-DK" w:eastAsia="da-DK"/>
        </w:rPr>
        <w:drawing>
          <wp:inline distT="0" distB="0" distL="0" distR="0" wp14:anchorId="33582246" wp14:editId="5727A248">
            <wp:extent cx="5580000" cy="32400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C1A5A" w:rsidRDefault="004C1A5A" w:rsidP="004C1A5A">
      <w:pPr>
        <w:pStyle w:val="CETBodytext"/>
        <w:tabs>
          <w:tab w:val="clear" w:pos="7100"/>
          <w:tab w:val="left" w:pos="1551"/>
        </w:tabs>
        <w:rPr>
          <w:i/>
        </w:rPr>
      </w:pPr>
      <w:r w:rsidRPr="00F0539D">
        <w:rPr>
          <w:i/>
        </w:rPr>
        <w:t xml:space="preserve">Figure </w:t>
      </w:r>
      <w:r>
        <w:rPr>
          <w:i/>
        </w:rPr>
        <w:t>6</w:t>
      </w:r>
      <w:r w:rsidRPr="00F0539D">
        <w:rPr>
          <w:i/>
        </w:rPr>
        <w:t xml:space="preserve">: </w:t>
      </w:r>
      <w:r>
        <w:rPr>
          <w:i/>
        </w:rPr>
        <w:t xml:space="preserve">Permeate flux as a function of processing time during </w:t>
      </w:r>
      <w:r w:rsidR="001D5330">
        <w:rPr>
          <w:i/>
        </w:rPr>
        <w:t>ultrafiltration</w:t>
      </w:r>
      <w:r w:rsidR="00FC6231">
        <w:rPr>
          <w:i/>
        </w:rPr>
        <w:t xml:space="preserve"> with 20 </w:t>
      </w:r>
      <w:proofErr w:type="spellStart"/>
      <w:r w:rsidR="00FC6231">
        <w:rPr>
          <w:i/>
        </w:rPr>
        <w:t>kDa</w:t>
      </w:r>
      <w:proofErr w:type="spellEnd"/>
      <w:r w:rsidR="00FC6231">
        <w:rPr>
          <w:i/>
        </w:rPr>
        <w:t xml:space="preserve"> membrane.</w:t>
      </w:r>
    </w:p>
    <w:p w:rsidR="005E0A40" w:rsidRDefault="005E0A40" w:rsidP="004C1A5A">
      <w:pPr>
        <w:pStyle w:val="CETBodytext"/>
        <w:tabs>
          <w:tab w:val="clear" w:pos="7100"/>
          <w:tab w:val="left" w:pos="1551"/>
        </w:tabs>
        <w:rPr>
          <w:i/>
        </w:rPr>
      </w:pPr>
    </w:p>
    <w:p w:rsidR="005E0A40" w:rsidRDefault="005E0A40" w:rsidP="005E0A40">
      <w:pPr>
        <w:pStyle w:val="CETBodytext"/>
        <w:tabs>
          <w:tab w:val="clear" w:pos="7100"/>
          <w:tab w:val="left" w:pos="1551"/>
        </w:tabs>
      </w:pPr>
      <w:proofErr w:type="gramStart"/>
      <w:r>
        <w:t>The permeate</w:t>
      </w:r>
      <w:proofErr w:type="gramEnd"/>
      <w:r>
        <w:t xml:space="preserve"> from the 20 </w:t>
      </w:r>
      <w:proofErr w:type="spellStart"/>
      <w:r>
        <w:t>kDa</w:t>
      </w:r>
      <w:proofErr w:type="spellEnd"/>
      <w:r>
        <w:t xml:space="preserve"> ultrafiltration was processed using the 1 </w:t>
      </w:r>
      <w:proofErr w:type="spellStart"/>
      <w:r>
        <w:t>kDa</w:t>
      </w:r>
      <w:proofErr w:type="spellEnd"/>
      <w:r>
        <w:t xml:space="preserve"> membrane. As seen from figure 7 the permeate flux imme</w:t>
      </w:r>
      <w:r w:rsidR="00B03DC6">
        <w:t xml:space="preserve">diately dropped from 130 to 90 </w:t>
      </w:r>
      <w:r>
        <w:t>L</w:t>
      </w:r>
      <w:r>
        <w:rPr>
          <w:rFonts w:ascii="Cambria Math" w:hAnsi="Cambria Math"/>
        </w:rPr>
        <w:t>·</w:t>
      </w:r>
      <w:r>
        <w:t xml:space="preserve"> m</w:t>
      </w:r>
      <w:r w:rsidR="00A40723" w:rsidRPr="00A40723">
        <w:rPr>
          <w:vertAlign w:val="superscript"/>
        </w:rPr>
        <w:t>-</w:t>
      </w:r>
      <w:r w:rsidRPr="009A6701">
        <w:rPr>
          <w:vertAlign w:val="superscript"/>
        </w:rPr>
        <w:t>2</w:t>
      </w:r>
      <w:r>
        <w:t xml:space="preserve"> </w:t>
      </w:r>
      <w:r>
        <w:rPr>
          <w:rFonts w:ascii="Cambria Math" w:hAnsi="Cambria Math"/>
        </w:rPr>
        <w:t>·</w:t>
      </w:r>
      <w:r>
        <w:t>h</w:t>
      </w:r>
      <w:r w:rsidRPr="009A6701">
        <w:rPr>
          <w:vertAlign w:val="superscript"/>
        </w:rPr>
        <w:t>-1</w:t>
      </w:r>
      <w:r w:rsidR="00B03DC6">
        <w:t xml:space="preserve"> </w:t>
      </w:r>
      <w:r>
        <w:t xml:space="preserve">followed by a more gradual decline over </w:t>
      </w:r>
      <w:r w:rsidR="00B03DC6">
        <w:t xml:space="preserve">five hours to 43 </w:t>
      </w:r>
      <w:r>
        <w:t>L</w:t>
      </w:r>
      <w:r>
        <w:rPr>
          <w:rFonts w:ascii="Cambria Math" w:hAnsi="Cambria Math"/>
        </w:rPr>
        <w:t>·</w:t>
      </w:r>
      <w:r>
        <w:t xml:space="preserve"> m</w:t>
      </w:r>
      <w:r w:rsidR="00A40723" w:rsidRPr="00A40723">
        <w:rPr>
          <w:vertAlign w:val="superscript"/>
        </w:rPr>
        <w:t>-</w:t>
      </w:r>
      <w:r w:rsidRPr="009A6701">
        <w:rPr>
          <w:vertAlign w:val="superscript"/>
        </w:rPr>
        <w:t>2</w:t>
      </w:r>
      <w:r>
        <w:t xml:space="preserve"> </w:t>
      </w:r>
      <w:r>
        <w:rPr>
          <w:rFonts w:ascii="Cambria Math" w:hAnsi="Cambria Math"/>
        </w:rPr>
        <w:t>·</w:t>
      </w:r>
      <w:r>
        <w:t>h</w:t>
      </w:r>
      <w:r w:rsidRPr="009A6701">
        <w:rPr>
          <w:vertAlign w:val="superscript"/>
        </w:rPr>
        <w:t>-1</w:t>
      </w:r>
      <w:r w:rsidR="00B03DC6">
        <w:t xml:space="preserve">, </w:t>
      </w:r>
      <w:r>
        <w:t>after which time the membrane was cleaned. This res</w:t>
      </w:r>
      <w:r w:rsidR="00B03DC6">
        <w:t xml:space="preserve">tored the membrane flux to 107 </w:t>
      </w:r>
      <w:r>
        <w:t>L</w:t>
      </w:r>
      <w:r>
        <w:rPr>
          <w:rFonts w:ascii="Cambria Math" w:hAnsi="Cambria Math"/>
        </w:rPr>
        <w:t>·</w:t>
      </w:r>
      <w:r>
        <w:t xml:space="preserve"> m</w:t>
      </w:r>
      <w:r w:rsidR="00A40723" w:rsidRPr="00A40723">
        <w:rPr>
          <w:vertAlign w:val="superscript"/>
        </w:rPr>
        <w:t>-</w:t>
      </w:r>
      <w:r w:rsidRPr="009A6701">
        <w:rPr>
          <w:vertAlign w:val="superscript"/>
        </w:rPr>
        <w:t>2</w:t>
      </w:r>
      <w:r>
        <w:t xml:space="preserve"> </w:t>
      </w:r>
      <w:r>
        <w:rPr>
          <w:rFonts w:ascii="Cambria Math" w:hAnsi="Cambria Math"/>
        </w:rPr>
        <w:t>·</w:t>
      </w:r>
      <w:r>
        <w:t>h</w:t>
      </w:r>
      <w:r w:rsidRPr="009A6701">
        <w:rPr>
          <w:vertAlign w:val="superscript"/>
        </w:rPr>
        <w:t>-1</w:t>
      </w:r>
      <w:r>
        <w:t>. Again the f</w:t>
      </w:r>
      <w:r w:rsidR="00B03DC6">
        <w:t xml:space="preserve">lux immediately declined to 33 </w:t>
      </w:r>
      <w:r>
        <w:t>L</w:t>
      </w:r>
      <w:r>
        <w:rPr>
          <w:rFonts w:ascii="Cambria Math" w:hAnsi="Cambria Math"/>
        </w:rPr>
        <w:t>·</w:t>
      </w:r>
      <w:r>
        <w:t xml:space="preserve"> m</w:t>
      </w:r>
      <w:r w:rsidR="00A40723" w:rsidRPr="00A40723">
        <w:rPr>
          <w:vertAlign w:val="superscript"/>
        </w:rPr>
        <w:t>-</w:t>
      </w:r>
      <w:r w:rsidRPr="009A6701">
        <w:rPr>
          <w:vertAlign w:val="superscript"/>
        </w:rPr>
        <w:t>2</w:t>
      </w:r>
      <w:r>
        <w:t xml:space="preserve"> </w:t>
      </w:r>
      <w:r>
        <w:rPr>
          <w:rFonts w:ascii="Cambria Math" w:hAnsi="Cambria Math"/>
        </w:rPr>
        <w:t>·</w:t>
      </w:r>
      <w:r>
        <w:t>h</w:t>
      </w:r>
      <w:r w:rsidRPr="009A6701">
        <w:rPr>
          <w:vertAlign w:val="superscript"/>
        </w:rPr>
        <w:t>-1</w:t>
      </w:r>
      <w:r>
        <w:t xml:space="preserve"> followed by a slow decline over the next </w:t>
      </w:r>
      <w:r w:rsidR="00B03DC6">
        <w:t xml:space="preserve">two hours to a flux of 23 </w:t>
      </w:r>
      <w:r>
        <w:t>L</w:t>
      </w:r>
      <w:r>
        <w:rPr>
          <w:rFonts w:ascii="Cambria Math" w:hAnsi="Cambria Math"/>
        </w:rPr>
        <w:t>·</w:t>
      </w:r>
      <w:r>
        <w:t xml:space="preserve"> m</w:t>
      </w:r>
      <w:r w:rsidR="00A40723" w:rsidRPr="00A40723">
        <w:rPr>
          <w:vertAlign w:val="superscript"/>
        </w:rPr>
        <w:t>-</w:t>
      </w:r>
      <w:r w:rsidRPr="009A6701">
        <w:rPr>
          <w:vertAlign w:val="superscript"/>
        </w:rPr>
        <w:t>2</w:t>
      </w:r>
      <w:r>
        <w:t xml:space="preserve"> </w:t>
      </w:r>
      <w:r>
        <w:rPr>
          <w:rFonts w:ascii="Cambria Math" w:hAnsi="Cambria Math"/>
        </w:rPr>
        <w:t>·</w:t>
      </w:r>
      <w:r>
        <w:t>h</w:t>
      </w:r>
      <w:r w:rsidRPr="009A6701">
        <w:rPr>
          <w:vertAlign w:val="superscript"/>
        </w:rPr>
        <w:t>-1</w:t>
      </w:r>
      <w:r>
        <w:t xml:space="preserve">. </w:t>
      </w:r>
      <w:r w:rsidR="00345DD2">
        <w:t>T</w:t>
      </w:r>
      <w:r>
        <w:t>h</w:t>
      </w:r>
      <w:r w:rsidR="00345DD2">
        <w:t>is</w:t>
      </w:r>
      <w:r>
        <w:t xml:space="preserve"> flux behavior indicates a fast built-up of a fouling layer caused by concentration polarization </w:t>
      </w:r>
      <w:r w:rsidR="00345DD2">
        <w:t>and</w:t>
      </w:r>
      <w:r>
        <w:t xml:space="preserve"> a more slow flux decline</w:t>
      </w:r>
      <w:r w:rsidR="00B03DC6">
        <w:t>,</w:t>
      </w:r>
      <w:r>
        <w:t xml:space="preserve"> as molecules adsorb to this fouling layer and the membrane</w:t>
      </w:r>
      <w:r w:rsidR="00345DD2">
        <w:t xml:space="preserve"> pores</w:t>
      </w:r>
      <w:r>
        <w:t xml:space="preserve">. For the 1 </w:t>
      </w:r>
      <w:proofErr w:type="spellStart"/>
      <w:r>
        <w:t>kDa</w:t>
      </w:r>
      <w:proofErr w:type="spellEnd"/>
      <w:r>
        <w:t xml:space="preserve"> filtration the fouling layer was less dense than for the 20 </w:t>
      </w:r>
      <w:proofErr w:type="spellStart"/>
      <w:r>
        <w:t>kDa</w:t>
      </w:r>
      <w:proofErr w:type="spellEnd"/>
      <w:r>
        <w:t xml:space="preserve"> filtration, as the flavonoid retention was only between 22 and 42%. This is </w:t>
      </w:r>
      <w:r w:rsidR="00345DD2">
        <w:t xml:space="preserve">perhaps </w:t>
      </w:r>
      <w:r>
        <w:t xml:space="preserve">not surprising, as most of the polymers able to form a dense fouling layer must have been removed by the 20 </w:t>
      </w:r>
      <w:proofErr w:type="spellStart"/>
      <w:r>
        <w:t>kDa</w:t>
      </w:r>
      <w:proofErr w:type="spellEnd"/>
      <w:r>
        <w:t xml:space="preserve"> filtration prior to the 1 </w:t>
      </w:r>
      <w:proofErr w:type="spellStart"/>
      <w:r>
        <w:t>kDa</w:t>
      </w:r>
      <w:proofErr w:type="spellEnd"/>
      <w:r>
        <w:t xml:space="preserve"> filtration.</w:t>
      </w:r>
    </w:p>
    <w:p w:rsidR="005E0A40" w:rsidRDefault="005E0A40" w:rsidP="005E0A40">
      <w:pPr>
        <w:pStyle w:val="CETBodytext"/>
        <w:tabs>
          <w:tab w:val="clear" w:pos="7100"/>
          <w:tab w:val="left" w:pos="1551"/>
        </w:tabs>
      </w:pPr>
      <w:r>
        <w:t>For all filtration processes the applied cleaning procedures are obvious</w:t>
      </w:r>
      <w:r w:rsidR="006B6CDC">
        <w:t>ly</w:t>
      </w:r>
      <w:r>
        <w:t xml:space="preserve"> insufficient</w:t>
      </w:r>
      <w:r w:rsidR="000B0724">
        <w:t>,</w:t>
      </w:r>
      <w:r>
        <w:t xml:space="preserve"> as the initial flux cannot be restored. The flux decline behavior indicates that for microfiltration solids adsorb irreversible inside the membrane pores</w:t>
      </w:r>
      <w:r w:rsidR="000B0724">
        <w:t>,</w:t>
      </w:r>
      <w:r>
        <w:t xml:space="preserve"> and </w:t>
      </w:r>
      <w:r w:rsidR="000B0724">
        <w:t xml:space="preserve">that </w:t>
      </w:r>
      <w:r>
        <w:t>for ultrafiltration the same happens for molecules inside the membrane pores. Further</w:t>
      </w:r>
      <w:r w:rsidR="000B0724">
        <w:t>,</w:t>
      </w:r>
      <w:r>
        <w:t xml:space="preserve"> the flavonoid retention for the 20 </w:t>
      </w:r>
      <w:proofErr w:type="spellStart"/>
      <w:r>
        <w:t>kDa</w:t>
      </w:r>
      <w:proofErr w:type="spellEnd"/>
      <w:r>
        <w:t xml:space="preserve"> membrane is higher than for the 1 </w:t>
      </w:r>
      <w:proofErr w:type="spellStart"/>
      <w:r>
        <w:t>kDa</w:t>
      </w:r>
      <w:proofErr w:type="spellEnd"/>
      <w:r>
        <w:t xml:space="preserve"> membrane. This is of </w:t>
      </w:r>
      <w:r w:rsidR="006B6CDC">
        <w:lastRenderedPageBreak/>
        <w:t>course</w:t>
      </w:r>
      <w:r w:rsidR="008C21F4">
        <w:t xml:space="preserve"> </w:t>
      </w:r>
      <w:r>
        <w:t>not satisfactory</w:t>
      </w:r>
      <w:r w:rsidR="000B0724">
        <w:t>,</w:t>
      </w:r>
      <w:r>
        <w:t xml:space="preserve"> as a flavonoid concentrate free of polymers, sugars and salts is the purpose of the process. </w:t>
      </w:r>
    </w:p>
    <w:p w:rsidR="00A01110" w:rsidRDefault="008B7134" w:rsidP="00A01110">
      <w:pPr>
        <w:pStyle w:val="CETBodytext"/>
        <w:tabs>
          <w:tab w:val="clear" w:pos="7100"/>
          <w:tab w:val="left" w:pos="1551"/>
        </w:tabs>
        <w:rPr>
          <w:i/>
        </w:rPr>
      </w:pPr>
      <w:r>
        <w:rPr>
          <w:noProof/>
          <w:lang w:val="da-DK" w:eastAsia="da-DK"/>
        </w:rPr>
        <w:drawing>
          <wp:inline distT="0" distB="0" distL="0" distR="0" wp14:anchorId="26898F9B" wp14:editId="0656F2EC">
            <wp:extent cx="5583600" cy="28800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01110" w:rsidRDefault="00A01110" w:rsidP="00A01110">
      <w:pPr>
        <w:pStyle w:val="CETBodytext"/>
        <w:tabs>
          <w:tab w:val="clear" w:pos="7100"/>
          <w:tab w:val="left" w:pos="1551"/>
        </w:tabs>
        <w:rPr>
          <w:i/>
        </w:rPr>
      </w:pPr>
      <w:r w:rsidRPr="00F0539D">
        <w:rPr>
          <w:i/>
        </w:rPr>
        <w:t xml:space="preserve">Figure </w:t>
      </w:r>
      <w:r>
        <w:rPr>
          <w:i/>
        </w:rPr>
        <w:t>7</w:t>
      </w:r>
      <w:r w:rsidRPr="00F0539D">
        <w:rPr>
          <w:i/>
        </w:rPr>
        <w:t xml:space="preserve">: </w:t>
      </w:r>
      <w:r>
        <w:rPr>
          <w:i/>
        </w:rPr>
        <w:t xml:space="preserve">Permeate flux as a function of processing time during ultrafiltration with </w:t>
      </w:r>
      <w:r w:rsidR="003A77BF">
        <w:rPr>
          <w:i/>
        </w:rPr>
        <w:t>a 1</w:t>
      </w:r>
      <w:r>
        <w:rPr>
          <w:i/>
        </w:rPr>
        <w:t xml:space="preserve"> </w:t>
      </w:r>
      <w:proofErr w:type="spellStart"/>
      <w:r>
        <w:rPr>
          <w:i/>
        </w:rPr>
        <w:t>kDa</w:t>
      </w:r>
      <w:proofErr w:type="spellEnd"/>
      <w:r>
        <w:rPr>
          <w:i/>
        </w:rPr>
        <w:t xml:space="preserve"> membrane.</w:t>
      </w:r>
    </w:p>
    <w:bookmarkEnd w:id="1"/>
    <w:p w:rsidR="009E6E1B" w:rsidRPr="00B57B36" w:rsidRDefault="009E6E1B" w:rsidP="009E6E1B">
      <w:pPr>
        <w:pStyle w:val="CETHeading1"/>
        <w:rPr>
          <w:lang w:val="en-GB"/>
        </w:rPr>
      </w:pPr>
      <w:r w:rsidRPr="00B57B36">
        <w:rPr>
          <w:lang w:val="en-GB"/>
        </w:rPr>
        <w:t>Conclusions</w:t>
      </w:r>
    </w:p>
    <w:p w:rsidR="009E6E1B" w:rsidRPr="00810926" w:rsidRDefault="00E1168C" w:rsidP="009E6E1B">
      <w:pPr>
        <w:pStyle w:val="CETBodytext"/>
        <w:rPr>
          <w:lang w:val="en-GB"/>
        </w:rPr>
      </w:pPr>
      <w:r w:rsidRPr="00810926">
        <w:t>The combination of screw press extraction, microfiltration and ultrafiltration can produce an aqueous liquid flavonoid extract. However</w:t>
      </w:r>
      <w:r w:rsidR="00A40723">
        <w:t>,</w:t>
      </w:r>
      <w:r w:rsidRPr="00810926">
        <w:t xml:space="preserve"> the membrane separation sequence is not optimal as the fouling layer built-up does not optimally support the </w:t>
      </w:r>
      <w:r w:rsidR="00810926" w:rsidRPr="00810926">
        <w:t>separation and concentration of a flavonoid fraction low in polymers, sugars and salts. A possible solution to this problem could be to combine</w:t>
      </w:r>
      <w:r w:rsidRPr="00810926">
        <w:t xml:space="preserve"> </w:t>
      </w:r>
      <w:r w:rsidR="00810926" w:rsidRPr="00810926">
        <w:t>the screw press treatment with an enzyme membrane extraction process using ceramic membranes, as demonstrated by Roda-Serrat et al</w:t>
      </w:r>
      <w:r w:rsidR="00D32179">
        <w:t xml:space="preserve"> (20</w:t>
      </w:r>
      <w:r w:rsidR="004C77AB">
        <w:t>18)</w:t>
      </w:r>
      <w:r w:rsidR="00810926" w:rsidRPr="00810926">
        <w:t xml:space="preserve"> for </w:t>
      </w:r>
      <w:r w:rsidR="004C77AB">
        <w:t>cherry</w:t>
      </w:r>
      <w:r w:rsidR="00810926" w:rsidRPr="00810926">
        <w:t xml:space="preserve"> extracts. This seems to produce both a pure flavonoid concentrate and a more stable fouling situation</w:t>
      </w:r>
      <w:r w:rsidR="009E6E1B" w:rsidRPr="00810926">
        <w:t>.</w:t>
      </w:r>
    </w:p>
    <w:p w:rsidR="00164D34" w:rsidRPr="00B57B36" w:rsidRDefault="00164D34" w:rsidP="00164D34">
      <w:pPr>
        <w:pStyle w:val="CETAcknowledgementstitle"/>
      </w:pPr>
      <w:r w:rsidRPr="00B57B36">
        <w:t>Acknowledgments</w:t>
      </w:r>
    </w:p>
    <w:p w:rsidR="00164D34" w:rsidRPr="00282620" w:rsidRDefault="00164D34" w:rsidP="00164D34">
      <w:pPr>
        <w:pStyle w:val="CETBodytext"/>
        <w:rPr>
          <w:lang w:val="en-GB"/>
        </w:rPr>
      </w:pPr>
      <w:r w:rsidRPr="00282620">
        <w:t xml:space="preserve">This project was carried out in collaboration with </w:t>
      </w:r>
      <w:r w:rsidR="00282620" w:rsidRPr="00282620">
        <w:t>Knud Jepsen</w:t>
      </w:r>
      <w:r w:rsidRPr="00282620">
        <w:t xml:space="preserve"> A/S at the University of Southern Denmark and was financially supported by the </w:t>
      </w:r>
      <w:r w:rsidR="00282620" w:rsidRPr="00282620">
        <w:t xml:space="preserve">EU Interreg North Sea Region project, 38-2-4-17 BIOCAS, circular </w:t>
      </w:r>
      <w:proofErr w:type="spellStart"/>
      <w:r w:rsidR="00282620" w:rsidRPr="00282620">
        <w:t>BIOmass</w:t>
      </w:r>
      <w:proofErr w:type="spellEnd"/>
      <w:r w:rsidR="00282620" w:rsidRPr="00282620">
        <w:t xml:space="preserve"> Cascade</w:t>
      </w:r>
      <w:r w:rsidRPr="00282620">
        <w:rPr>
          <w:lang w:val="en-GB"/>
        </w:rPr>
        <w:t>.</w:t>
      </w:r>
    </w:p>
    <w:p w:rsidR="00164D34" w:rsidRPr="00B57B36" w:rsidRDefault="00164D34" w:rsidP="00164D34">
      <w:pPr>
        <w:pStyle w:val="CETReference"/>
      </w:pPr>
      <w:r w:rsidRPr="00B57B36">
        <w:t>References</w:t>
      </w:r>
    </w:p>
    <w:p w:rsidR="00C01D24" w:rsidRDefault="00C01D24" w:rsidP="00C01D24">
      <w:pPr>
        <w:pStyle w:val="CETReferencetext"/>
      </w:pPr>
      <w:r w:rsidRPr="00C01D24">
        <w:t>Baker R.W., 2012, Membrane Technology and Applications, 3rd ed., John Wiley &amp; Sons, Inc. Chichester, UK.</w:t>
      </w:r>
    </w:p>
    <w:p w:rsidR="00945F77" w:rsidRPr="00C01D24" w:rsidRDefault="00945F77" w:rsidP="00C01D24">
      <w:pPr>
        <w:pStyle w:val="CETReferencetext"/>
      </w:pPr>
      <w:proofErr w:type="spellStart"/>
      <w:r w:rsidRPr="00945F77">
        <w:t>Burdurlu</w:t>
      </w:r>
      <w:proofErr w:type="spellEnd"/>
      <w:r w:rsidRPr="00945F77">
        <w:t xml:space="preserve"> H.S., </w:t>
      </w:r>
      <w:proofErr w:type="spellStart"/>
      <w:r w:rsidRPr="00945F77">
        <w:t>Karadeniz</w:t>
      </w:r>
      <w:proofErr w:type="spellEnd"/>
      <w:r w:rsidRPr="00945F77">
        <w:t xml:space="preserve"> F, 2003, Effect of storage on nonenzymatic browning of apple juice concentrates, Food Chemistry, 80, 91-97</w:t>
      </w:r>
      <w:r>
        <w:t>.</w:t>
      </w:r>
    </w:p>
    <w:p w:rsidR="00346C42" w:rsidRDefault="004433E3" w:rsidP="004433E3">
      <w:pPr>
        <w:pStyle w:val="CETReferencetext"/>
      </w:pPr>
      <w:proofErr w:type="spellStart"/>
      <w:r w:rsidRPr="004433E3">
        <w:t>Dzhonova-Atanasova</w:t>
      </w:r>
      <w:proofErr w:type="spellEnd"/>
      <w:r w:rsidRPr="004433E3">
        <w:t xml:space="preserve"> D.B.</w:t>
      </w:r>
      <w:r>
        <w:t xml:space="preserve">, </w:t>
      </w:r>
      <w:proofErr w:type="spellStart"/>
      <w:r w:rsidRPr="004433E3">
        <w:t>Tsibranska</w:t>
      </w:r>
      <w:proofErr w:type="spellEnd"/>
      <w:r w:rsidRPr="004433E3">
        <w:t xml:space="preserve"> I.H.</w:t>
      </w:r>
      <w:r>
        <w:t xml:space="preserve"> </w:t>
      </w:r>
      <w:proofErr w:type="spellStart"/>
      <w:r w:rsidRPr="004433E3">
        <w:t>Paniovska</w:t>
      </w:r>
      <w:proofErr w:type="spellEnd"/>
      <w:r w:rsidRPr="004433E3">
        <w:t xml:space="preserve"> S.P.</w:t>
      </w:r>
      <w:r>
        <w:t xml:space="preserve">, 2018, </w:t>
      </w:r>
      <w:r w:rsidRPr="004433E3">
        <w:t>CFD simulation of cross-flow filtration</w:t>
      </w:r>
      <w:r>
        <w:t xml:space="preserve">, </w:t>
      </w:r>
      <w:bookmarkStart w:id="2" w:name="_Hlk536433639"/>
      <w:r>
        <w:t>Chemical Engineering Transactions, 70, 2041-2046.</w:t>
      </w:r>
      <w:bookmarkEnd w:id="2"/>
    </w:p>
    <w:p w:rsidR="00164D34" w:rsidRDefault="00C01D24" w:rsidP="00C01D24">
      <w:pPr>
        <w:pStyle w:val="CETReferencetext"/>
      </w:pPr>
      <w:r w:rsidRPr="00C01D24">
        <w:t>Milad</w:t>
      </w:r>
      <w:r w:rsidR="00164D34" w:rsidRPr="00C01D24">
        <w:t xml:space="preserve"> </w:t>
      </w:r>
      <w:r w:rsidRPr="00C01D24">
        <w:t>R</w:t>
      </w:r>
      <w:r w:rsidR="00164D34" w:rsidRPr="00C01D24">
        <w:t xml:space="preserve">., </w:t>
      </w:r>
      <w:r w:rsidRPr="00C01D24">
        <w:t>El-</w:t>
      </w:r>
      <w:proofErr w:type="spellStart"/>
      <w:r w:rsidRPr="00C01D24">
        <w:t>Ahmady</w:t>
      </w:r>
      <w:proofErr w:type="spellEnd"/>
      <w:r w:rsidR="00164D34" w:rsidRPr="00C01D24">
        <w:t xml:space="preserve"> </w:t>
      </w:r>
      <w:r w:rsidRPr="00C01D24">
        <w:t>S</w:t>
      </w:r>
      <w:r w:rsidR="00164D34" w:rsidRPr="00C01D24">
        <w:t>.,</w:t>
      </w:r>
      <w:r w:rsidRPr="00C01D24">
        <w:t xml:space="preserve"> </w:t>
      </w:r>
      <w:proofErr w:type="spellStart"/>
      <w:r w:rsidRPr="00C01D24">
        <w:t>Singab</w:t>
      </w:r>
      <w:proofErr w:type="spellEnd"/>
      <w:r w:rsidRPr="00C01D24">
        <w:t>, A.N.</w:t>
      </w:r>
      <w:r w:rsidR="00B95815">
        <w:t>,</w:t>
      </w:r>
      <w:r w:rsidR="00164D34" w:rsidRPr="00C01D24">
        <w:t xml:space="preserve"> 201</w:t>
      </w:r>
      <w:r w:rsidRPr="00C01D24">
        <w:t>4</w:t>
      </w:r>
      <w:r w:rsidR="00164D34" w:rsidRPr="00C01D24">
        <w:t xml:space="preserve">, </w:t>
      </w:r>
      <w:r w:rsidRPr="00C01D24">
        <w:t>Genus Kalanchoe (Crassulaceae): A Review of its Ethnomedicinal, Botanical, Chemical and Pharmacological Properties</w:t>
      </w:r>
      <w:r w:rsidR="00164D34" w:rsidRPr="00C01D24">
        <w:t>,</w:t>
      </w:r>
      <w:r w:rsidRPr="00C01D24">
        <w:t xml:space="preserve"> European Journal of Medicinal Plants</w:t>
      </w:r>
      <w:r w:rsidR="00164D34" w:rsidRPr="00C01D24">
        <w:t xml:space="preserve">, 4, </w:t>
      </w:r>
      <w:r w:rsidRPr="00C01D24">
        <w:t>86-104</w:t>
      </w:r>
      <w:r w:rsidR="00164D34" w:rsidRPr="00C01D24">
        <w:t>.</w:t>
      </w:r>
    </w:p>
    <w:p w:rsidR="00A8470C" w:rsidRPr="00C01D24" w:rsidRDefault="00A8470C" w:rsidP="00A8470C">
      <w:pPr>
        <w:pStyle w:val="CETReferencetext"/>
      </w:pPr>
      <w:proofErr w:type="spellStart"/>
      <w:r>
        <w:t>Milani</w:t>
      </w:r>
      <w:proofErr w:type="spellEnd"/>
      <w:r>
        <w:t xml:space="preserve"> P.G., Prato A.M., Monteiro A.R.G., </w:t>
      </w:r>
      <w:proofErr w:type="spellStart"/>
      <w:r>
        <w:t>Maioral</w:t>
      </w:r>
      <w:proofErr w:type="spellEnd"/>
      <w:r>
        <w:t xml:space="preserve"> M.F., </w:t>
      </w:r>
      <w:proofErr w:type="spellStart"/>
      <w:r>
        <w:t>Marchi</w:t>
      </w:r>
      <w:proofErr w:type="spellEnd"/>
      <w:r>
        <w:t xml:space="preserve"> L.B., Costa S.C., 2015, Assessment of Operating Parameters, Membrane Fouling and Juice Quality during Acerola Ultrafiltration, </w:t>
      </w:r>
      <w:r w:rsidRPr="00A8470C">
        <w:t xml:space="preserve">Chemical Engineering Transactions, </w:t>
      </w:r>
      <w:r>
        <w:t>44</w:t>
      </w:r>
      <w:r w:rsidRPr="00A8470C">
        <w:t xml:space="preserve">, </w:t>
      </w:r>
      <w:r>
        <w:t>325-330</w:t>
      </w:r>
      <w:r w:rsidRPr="00A8470C">
        <w:t>.</w:t>
      </w:r>
    </w:p>
    <w:p w:rsidR="00C2773A" w:rsidRDefault="00F20520" w:rsidP="00C2773A">
      <w:pPr>
        <w:pStyle w:val="CETReferencetext"/>
      </w:pPr>
      <w:r w:rsidRPr="00F20520">
        <w:rPr>
          <w:lang w:val="en-US"/>
        </w:rPr>
        <w:t xml:space="preserve">Queiroz C., Lopes M.L.M., </w:t>
      </w:r>
      <w:proofErr w:type="spellStart"/>
      <w:r w:rsidRPr="00F20520">
        <w:rPr>
          <w:lang w:val="en-US"/>
        </w:rPr>
        <w:t>Fialho</w:t>
      </w:r>
      <w:proofErr w:type="spellEnd"/>
      <w:r w:rsidR="000B0724">
        <w:rPr>
          <w:lang w:val="en-US"/>
        </w:rPr>
        <w:t xml:space="preserve"> </w:t>
      </w:r>
      <w:r w:rsidRPr="00F20520">
        <w:rPr>
          <w:lang w:val="en-US"/>
        </w:rPr>
        <w:t>E., Valente-</w:t>
      </w:r>
      <w:proofErr w:type="spellStart"/>
      <w:r w:rsidRPr="00F20520">
        <w:rPr>
          <w:lang w:val="en-US"/>
        </w:rPr>
        <w:t>Mesquita</w:t>
      </w:r>
      <w:proofErr w:type="spellEnd"/>
      <w:r w:rsidRPr="00F20520">
        <w:rPr>
          <w:lang w:val="en-US"/>
        </w:rPr>
        <w:t xml:space="preserve"> V.L.</w:t>
      </w:r>
      <w:r w:rsidR="00C2773A" w:rsidRPr="00F20520">
        <w:rPr>
          <w:lang w:val="en-US"/>
        </w:rPr>
        <w:t>, 20</w:t>
      </w:r>
      <w:r w:rsidRPr="00F20520">
        <w:rPr>
          <w:lang w:val="en-US"/>
        </w:rPr>
        <w:t>08</w:t>
      </w:r>
      <w:r w:rsidR="00C2773A" w:rsidRPr="00F20520">
        <w:rPr>
          <w:lang w:val="en-US"/>
        </w:rPr>
        <w:t xml:space="preserve">, </w:t>
      </w:r>
      <w:r w:rsidRPr="00F20520">
        <w:rPr>
          <w:lang w:val="en-US"/>
        </w:rPr>
        <w:t>Polyphenol Oxidase: Characteristics and Mechanisms of Browning Control</w:t>
      </w:r>
      <w:r w:rsidR="00C2773A" w:rsidRPr="00F20520">
        <w:rPr>
          <w:lang w:val="en-US"/>
        </w:rPr>
        <w:t xml:space="preserve">, </w:t>
      </w:r>
      <w:r w:rsidRPr="00F20520">
        <w:rPr>
          <w:lang w:val="en-US"/>
        </w:rPr>
        <w:t>Food Reviews International</w:t>
      </w:r>
      <w:r w:rsidR="00C2773A" w:rsidRPr="00F20520">
        <w:t xml:space="preserve">, </w:t>
      </w:r>
      <w:r w:rsidRPr="00F20520">
        <w:t>24</w:t>
      </w:r>
      <w:r w:rsidR="00C2773A" w:rsidRPr="00F20520">
        <w:t xml:space="preserve">, </w:t>
      </w:r>
      <w:r w:rsidRPr="00F20520">
        <w:t>361-375</w:t>
      </w:r>
      <w:r w:rsidR="00C2773A" w:rsidRPr="00F20520">
        <w:t>.</w:t>
      </w:r>
    </w:p>
    <w:p w:rsidR="004C77AB" w:rsidRPr="004C77AB" w:rsidRDefault="004C77AB" w:rsidP="00C2773A">
      <w:pPr>
        <w:pStyle w:val="CETReferencetext"/>
        <w:rPr>
          <w:lang w:val="en-US"/>
        </w:rPr>
      </w:pPr>
      <w:r w:rsidRPr="004C77AB">
        <w:rPr>
          <w:lang w:val="en-US"/>
        </w:rPr>
        <w:t xml:space="preserve">Roda-Serrat M.C., Lund P.B., </w:t>
      </w:r>
      <w:proofErr w:type="spellStart"/>
      <w:r w:rsidRPr="004C77AB">
        <w:rPr>
          <w:lang w:val="en-US"/>
        </w:rPr>
        <w:t>El</w:t>
      </w:r>
      <w:r>
        <w:rPr>
          <w:lang w:val="en-US"/>
        </w:rPr>
        <w:t>-</w:t>
      </w:r>
      <w:r w:rsidRPr="004C77AB">
        <w:rPr>
          <w:lang w:val="en-US"/>
        </w:rPr>
        <w:t>houri</w:t>
      </w:r>
      <w:proofErr w:type="spellEnd"/>
      <w:r>
        <w:rPr>
          <w:lang w:val="en-US"/>
        </w:rPr>
        <w:t xml:space="preserve"> R., Christensen K.V., 2018, </w:t>
      </w:r>
      <w:r w:rsidRPr="004C77AB">
        <w:rPr>
          <w:lang w:val="en-US"/>
        </w:rPr>
        <w:t>Recovery of phenolics from sour cherry pomace (</w:t>
      </w:r>
      <w:proofErr w:type="spellStart"/>
      <w:r w:rsidRPr="004C77AB">
        <w:rPr>
          <w:lang w:val="en-US"/>
        </w:rPr>
        <w:t>Prunus</w:t>
      </w:r>
      <w:proofErr w:type="spellEnd"/>
      <w:r w:rsidRPr="004C77AB">
        <w:rPr>
          <w:lang w:val="en-US"/>
        </w:rPr>
        <w:t xml:space="preserve"> </w:t>
      </w:r>
      <w:proofErr w:type="spellStart"/>
      <w:r w:rsidRPr="004C77AB">
        <w:rPr>
          <w:lang w:val="en-US"/>
        </w:rPr>
        <w:t>cerasus</w:t>
      </w:r>
      <w:proofErr w:type="spellEnd"/>
      <w:r w:rsidRPr="004C77AB">
        <w:rPr>
          <w:lang w:val="en-US"/>
        </w:rPr>
        <w:t xml:space="preserve"> L.) by ultra- and nanofiltration</w:t>
      </w:r>
      <w:r>
        <w:rPr>
          <w:lang w:val="en-US"/>
        </w:rPr>
        <w:t xml:space="preserve">, </w:t>
      </w:r>
      <w:r w:rsidRPr="004C77AB">
        <w:rPr>
          <w:lang w:val="en-US"/>
        </w:rPr>
        <w:t>17th Nordic Filtration Symposium 29</w:t>
      </w:r>
      <w:r>
        <w:rPr>
          <w:lang w:val="en-US"/>
        </w:rPr>
        <w:t>th</w:t>
      </w:r>
      <w:r w:rsidRPr="004C77AB">
        <w:rPr>
          <w:lang w:val="en-US"/>
        </w:rPr>
        <w:t>-31</w:t>
      </w:r>
      <w:r>
        <w:rPr>
          <w:lang w:val="en-US"/>
        </w:rPr>
        <w:t>th</w:t>
      </w:r>
      <w:r w:rsidRPr="004C77AB">
        <w:rPr>
          <w:lang w:val="en-US"/>
        </w:rPr>
        <w:t xml:space="preserve"> August, Aalborg, Denmark</w:t>
      </w:r>
      <w:r w:rsidR="000B0724">
        <w:rPr>
          <w:lang w:val="en-US"/>
        </w:rPr>
        <w:t>.</w:t>
      </w:r>
    </w:p>
    <w:p w:rsidR="00A97B84" w:rsidRPr="00FC6231" w:rsidRDefault="003826C9" w:rsidP="00A97B84">
      <w:pPr>
        <w:pStyle w:val="CETReferencetext"/>
        <w:rPr>
          <w:color w:val="FF0000"/>
          <w:lang w:val="en-US"/>
        </w:rPr>
      </w:pPr>
      <w:proofErr w:type="spellStart"/>
      <w:r w:rsidRPr="003826C9">
        <w:rPr>
          <w:lang w:val="en-US"/>
        </w:rPr>
        <w:t>Rosli</w:t>
      </w:r>
      <w:proofErr w:type="spellEnd"/>
      <w:r>
        <w:rPr>
          <w:lang w:val="en-US"/>
        </w:rPr>
        <w:t xml:space="preserve"> N.H.M.</w:t>
      </w:r>
      <w:r w:rsidRPr="003826C9">
        <w:rPr>
          <w:lang w:val="en-US"/>
        </w:rPr>
        <w:t xml:space="preserve">, </w:t>
      </w:r>
      <w:proofErr w:type="spellStart"/>
      <w:r w:rsidRPr="003826C9">
        <w:rPr>
          <w:lang w:val="en-US"/>
        </w:rPr>
        <w:t>Salleh</w:t>
      </w:r>
      <w:proofErr w:type="spellEnd"/>
      <w:r>
        <w:rPr>
          <w:lang w:val="en-US"/>
        </w:rPr>
        <w:t xml:space="preserve"> S.K.</w:t>
      </w:r>
      <w:r w:rsidRPr="003826C9">
        <w:rPr>
          <w:lang w:val="en-US"/>
        </w:rPr>
        <w:t>, Omar</w:t>
      </w:r>
      <w:r>
        <w:rPr>
          <w:lang w:val="en-US"/>
        </w:rPr>
        <w:t xml:space="preserve"> Z.</w:t>
      </w:r>
      <w:r w:rsidRPr="003826C9">
        <w:rPr>
          <w:lang w:val="en-US"/>
        </w:rPr>
        <w:t xml:space="preserve">, </w:t>
      </w:r>
      <w:proofErr w:type="spellStart"/>
      <w:r w:rsidRPr="003826C9">
        <w:rPr>
          <w:lang w:val="en-US"/>
        </w:rPr>
        <w:t>Draman</w:t>
      </w:r>
      <w:proofErr w:type="spellEnd"/>
      <w:r>
        <w:rPr>
          <w:lang w:val="en-US"/>
        </w:rPr>
        <w:t xml:space="preserve"> S.F.S.</w:t>
      </w:r>
      <w:r w:rsidRPr="003826C9">
        <w:rPr>
          <w:lang w:val="en-US"/>
        </w:rPr>
        <w:t xml:space="preserve">, </w:t>
      </w:r>
      <w:proofErr w:type="spellStart"/>
      <w:r w:rsidRPr="003826C9">
        <w:rPr>
          <w:lang w:val="en-US"/>
        </w:rPr>
        <w:t>Tajuddin</w:t>
      </w:r>
      <w:proofErr w:type="spellEnd"/>
      <w:r>
        <w:rPr>
          <w:lang w:val="en-US"/>
        </w:rPr>
        <w:t xml:space="preserve"> N.A., 2012,</w:t>
      </w:r>
      <w:r w:rsidRPr="003826C9">
        <w:rPr>
          <w:lang w:val="en-US"/>
        </w:rPr>
        <w:t xml:space="preserve"> Determination of Quercetin in Local </w:t>
      </w:r>
      <w:proofErr w:type="spellStart"/>
      <w:r w:rsidRPr="003826C9">
        <w:rPr>
          <w:lang w:val="en-US"/>
        </w:rPr>
        <w:t>Kalanchoe</w:t>
      </w:r>
      <w:proofErr w:type="spellEnd"/>
      <w:r w:rsidRPr="003826C9">
        <w:rPr>
          <w:lang w:val="en-US"/>
        </w:rPr>
        <w:t xml:space="preserve"> </w:t>
      </w:r>
      <w:proofErr w:type="spellStart"/>
      <w:r w:rsidRPr="003826C9">
        <w:rPr>
          <w:lang w:val="en-US"/>
        </w:rPr>
        <w:t>Pinnata</w:t>
      </w:r>
      <w:proofErr w:type="spellEnd"/>
      <w:r w:rsidRPr="003826C9">
        <w:rPr>
          <w:lang w:val="en-US"/>
        </w:rPr>
        <w:t xml:space="preserve"> Extract Using High Performance Liquid Chromatography, UMT 11th International Annual Symposium on Sustainability S</w:t>
      </w:r>
      <w:bookmarkStart w:id="3" w:name="_GoBack"/>
      <w:bookmarkEnd w:id="3"/>
      <w:r w:rsidRPr="003826C9">
        <w:rPr>
          <w:lang w:val="en-US"/>
        </w:rPr>
        <w:t xml:space="preserve">cience and Management 09th – 11th July, </w:t>
      </w:r>
      <w:proofErr w:type="gramStart"/>
      <w:r w:rsidRPr="003826C9">
        <w:rPr>
          <w:lang w:val="en-US"/>
        </w:rPr>
        <w:t>Terengganu</w:t>
      </w:r>
      <w:proofErr w:type="gramEnd"/>
      <w:r w:rsidRPr="003826C9">
        <w:rPr>
          <w:lang w:val="en-US"/>
        </w:rPr>
        <w:t>, Malaysia</w:t>
      </w:r>
      <w:r w:rsidR="008728A1">
        <w:rPr>
          <w:lang w:val="en-US"/>
        </w:rPr>
        <w:t>.</w:t>
      </w:r>
    </w:p>
    <w:sectPr w:rsidR="00A97B84" w:rsidRPr="00FC6231"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CCD" w:rsidRDefault="003E2CCD" w:rsidP="004F5E36">
      <w:r>
        <w:separator/>
      </w:r>
    </w:p>
  </w:endnote>
  <w:endnote w:type="continuationSeparator" w:id="0">
    <w:p w:rsidR="003E2CCD" w:rsidRDefault="003E2CCD"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CCD" w:rsidRDefault="003E2CCD" w:rsidP="004F5E36">
      <w:r>
        <w:separator/>
      </w:r>
    </w:p>
  </w:footnote>
  <w:footnote w:type="continuationSeparator" w:id="0">
    <w:p w:rsidR="003E2CCD" w:rsidRDefault="003E2CCD"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19"/>
  </w:num>
  <w:num w:numId="16">
    <w:abstractNumId w:val="18"/>
  </w:num>
  <w:num w:numId="17">
    <w:abstractNumId w:val="11"/>
  </w:num>
  <w:num w:numId="18">
    <w:abstractNumId w:val="12"/>
    <w:lvlOverride w:ilvl="0">
      <w:startOverride w:val="1"/>
    </w:lvlOverride>
  </w:num>
  <w:num w:numId="19">
    <w:abstractNumId w:val="15"/>
  </w:num>
  <w:num w:numId="20">
    <w:abstractNumId w:val="1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466"/>
    <w:rsid w:val="000027C0"/>
    <w:rsid w:val="000052FB"/>
    <w:rsid w:val="00007688"/>
    <w:rsid w:val="00010F40"/>
    <w:rsid w:val="000117CB"/>
    <w:rsid w:val="0001421B"/>
    <w:rsid w:val="0003148D"/>
    <w:rsid w:val="00047D7F"/>
    <w:rsid w:val="00051566"/>
    <w:rsid w:val="00062A9A"/>
    <w:rsid w:val="00065058"/>
    <w:rsid w:val="00086C39"/>
    <w:rsid w:val="0009564C"/>
    <w:rsid w:val="00096EF9"/>
    <w:rsid w:val="000A03B2"/>
    <w:rsid w:val="000A3B79"/>
    <w:rsid w:val="000B0724"/>
    <w:rsid w:val="000B0B62"/>
    <w:rsid w:val="000D34BE"/>
    <w:rsid w:val="000D3960"/>
    <w:rsid w:val="000E102F"/>
    <w:rsid w:val="000E36F1"/>
    <w:rsid w:val="000E3A73"/>
    <w:rsid w:val="000E414A"/>
    <w:rsid w:val="000E5B8C"/>
    <w:rsid w:val="000F093C"/>
    <w:rsid w:val="000F16BD"/>
    <w:rsid w:val="000F787B"/>
    <w:rsid w:val="00111015"/>
    <w:rsid w:val="00115E51"/>
    <w:rsid w:val="0012091F"/>
    <w:rsid w:val="0012247F"/>
    <w:rsid w:val="00126BC2"/>
    <w:rsid w:val="001308B6"/>
    <w:rsid w:val="0013121F"/>
    <w:rsid w:val="00131FAB"/>
    <w:rsid w:val="00131FE6"/>
    <w:rsid w:val="0013263F"/>
    <w:rsid w:val="00134DE4"/>
    <w:rsid w:val="0014000F"/>
    <w:rsid w:val="0014034D"/>
    <w:rsid w:val="00150E59"/>
    <w:rsid w:val="00152DE3"/>
    <w:rsid w:val="00155F48"/>
    <w:rsid w:val="001626D6"/>
    <w:rsid w:val="00164CF9"/>
    <w:rsid w:val="00164D34"/>
    <w:rsid w:val="00184AD6"/>
    <w:rsid w:val="001B0349"/>
    <w:rsid w:val="001B65C1"/>
    <w:rsid w:val="001C684B"/>
    <w:rsid w:val="001C7F53"/>
    <w:rsid w:val="001D5330"/>
    <w:rsid w:val="001D53FC"/>
    <w:rsid w:val="001E122C"/>
    <w:rsid w:val="001E4714"/>
    <w:rsid w:val="001E64EA"/>
    <w:rsid w:val="001F42A5"/>
    <w:rsid w:val="001F7616"/>
    <w:rsid w:val="001F7B9D"/>
    <w:rsid w:val="00215F95"/>
    <w:rsid w:val="002224B4"/>
    <w:rsid w:val="00222BE5"/>
    <w:rsid w:val="002250E2"/>
    <w:rsid w:val="002447EF"/>
    <w:rsid w:val="00251550"/>
    <w:rsid w:val="00252C1A"/>
    <w:rsid w:val="00263B05"/>
    <w:rsid w:val="0027221A"/>
    <w:rsid w:val="00275B61"/>
    <w:rsid w:val="00282620"/>
    <w:rsid w:val="00282656"/>
    <w:rsid w:val="00296B83"/>
    <w:rsid w:val="002A4696"/>
    <w:rsid w:val="002B78CE"/>
    <w:rsid w:val="002C2FB6"/>
    <w:rsid w:val="002C560A"/>
    <w:rsid w:val="002D5BCD"/>
    <w:rsid w:val="002E1438"/>
    <w:rsid w:val="002E60F2"/>
    <w:rsid w:val="002F7627"/>
    <w:rsid w:val="003009B7"/>
    <w:rsid w:val="00300E56"/>
    <w:rsid w:val="0030469C"/>
    <w:rsid w:val="00310862"/>
    <w:rsid w:val="00313641"/>
    <w:rsid w:val="00321CA6"/>
    <w:rsid w:val="003307FC"/>
    <w:rsid w:val="00334C09"/>
    <w:rsid w:val="003365E3"/>
    <w:rsid w:val="00337C40"/>
    <w:rsid w:val="003410F0"/>
    <w:rsid w:val="00345849"/>
    <w:rsid w:val="00345DD2"/>
    <w:rsid w:val="00346C42"/>
    <w:rsid w:val="00351E0E"/>
    <w:rsid w:val="003723D4"/>
    <w:rsid w:val="003826C9"/>
    <w:rsid w:val="00384CC8"/>
    <w:rsid w:val="003871FD"/>
    <w:rsid w:val="00390BFA"/>
    <w:rsid w:val="003A1E30"/>
    <w:rsid w:val="003A4DA2"/>
    <w:rsid w:val="003A77BF"/>
    <w:rsid w:val="003A7AA1"/>
    <w:rsid w:val="003A7D1C"/>
    <w:rsid w:val="003A7DF8"/>
    <w:rsid w:val="003B2597"/>
    <w:rsid w:val="003B304B"/>
    <w:rsid w:val="003B3146"/>
    <w:rsid w:val="003B60F3"/>
    <w:rsid w:val="003C2D34"/>
    <w:rsid w:val="003E2CCD"/>
    <w:rsid w:val="003F015E"/>
    <w:rsid w:val="003F0F2D"/>
    <w:rsid w:val="003F77EC"/>
    <w:rsid w:val="00400414"/>
    <w:rsid w:val="00400472"/>
    <w:rsid w:val="004014BD"/>
    <w:rsid w:val="00407544"/>
    <w:rsid w:val="0041446B"/>
    <w:rsid w:val="0044329C"/>
    <w:rsid w:val="004433E3"/>
    <w:rsid w:val="0045171F"/>
    <w:rsid w:val="00453A27"/>
    <w:rsid w:val="004577FE"/>
    <w:rsid w:val="00457B9C"/>
    <w:rsid w:val="0046164A"/>
    <w:rsid w:val="004628D2"/>
    <w:rsid w:val="00462DCD"/>
    <w:rsid w:val="004637FD"/>
    <w:rsid w:val="004648AD"/>
    <w:rsid w:val="004703A9"/>
    <w:rsid w:val="00475B7D"/>
    <w:rsid w:val="004760DE"/>
    <w:rsid w:val="004A004E"/>
    <w:rsid w:val="004A24CF"/>
    <w:rsid w:val="004A289D"/>
    <w:rsid w:val="004B6721"/>
    <w:rsid w:val="004C1A5A"/>
    <w:rsid w:val="004C3D1D"/>
    <w:rsid w:val="004C77AB"/>
    <w:rsid w:val="004C7913"/>
    <w:rsid w:val="004E2D6C"/>
    <w:rsid w:val="004E4DD6"/>
    <w:rsid w:val="004F5E36"/>
    <w:rsid w:val="00504178"/>
    <w:rsid w:val="00507B47"/>
    <w:rsid w:val="00507CC9"/>
    <w:rsid w:val="005119A5"/>
    <w:rsid w:val="00514D01"/>
    <w:rsid w:val="005278B7"/>
    <w:rsid w:val="00531AFE"/>
    <w:rsid w:val="00532016"/>
    <w:rsid w:val="00532FD4"/>
    <w:rsid w:val="005346C8"/>
    <w:rsid w:val="00543E7D"/>
    <w:rsid w:val="00546B05"/>
    <w:rsid w:val="00547A68"/>
    <w:rsid w:val="005531C9"/>
    <w:rsid w:val="00567434"/>
    <w:rsid w:val="005962F4"/>
    <w:rsid w:val="005A7600"/>
    <w:rsid w:val="005B2110"/>
    <w:rsid w:val="005B61E6"/>
    <w:rsid w:val="005C14E6"/>
    <w:rsid w:val="005C72B9"/>
    <w:rsid w:val="005C77E1"/>
    <w:rsid w:val="005D6A2F"/>
    <w:rsid w:val="005E0A40"/>
    <w:rsid w:val="005E1A82"/>
    <w:rsid w:val="005E794C"/>
    <w:rsid w:val="005F0A28"/>
    <w:rsid w:val="005F0E5E"/>
    <w:rsid w:val="00600535"/>
    <w:rsid w:val="00605AB0"/>
    <w:rsid w:val="00605E0D"/>
    <w:rsid w:val="00610CD6"/>
    <w:rsid w:val="00620DEE"/>
    <w:rsid w:val="00621F92"/>
    <w:rsid w:val="00624A3C"/>
    <w:rsid w:val="00625639"/>
    <w:rsid w:val="00631B33"/>
    <w:rsid w:val="0064184D"/>
    <w:rsid w:val="006422CC"/>
    <w:rsid w:val="0064381F"/>
    <w:rsid w:val="00650532"/>
    <w:rsid w:val="00660E3E"/>
    <w:rsid w:val="00662E74"/>
    <w:rsid w:val="00667AAB"/>
    <w:rsid w:val="00680C23"/>
    <w:rsid w:val="00693766"/>
    <w:rsid w:val="006A3281"/>
    <w:rsid w:val="006B079B"/>
    <w:rsid w:val="006B4888"/>
    <w:rsid w:val="006B6CDC"/>
    <w:rsid w:val="006C1CDF"/>
    <w:rsid w:val="006C2E45"/>
    <w:rsid w:val="006C359C"/>
    <w:rsid w:val="006C43F4"/>
    <w:rsid w:val="006C5579"/>
    <w:rsid w:val="006E737D"/>
    <w:rsid w:val="0070195D"/>
    <w:rsid w:val="00720A24"/>
    <w:rsid w:val="00732386"/>
    <w:rsid w:val="007447F3"/>
    <w:rsid w:val="00753EF5"/>
    <w:rsid w:val="0075499F"/>
    <w:rsid w:val="007661C8"/>
    <w:rsid w:val="0077098D"/>
    <w:rsid w:val="00780810"/>
    <w:rsid w:val="00787926"/>
    <w:rsid w:val="007931FA"/>
    <w:rsid w:val="007A6CD8"/>
    <w:rsid w:val="007A7BBA"/>
    <w:rsid w:val="007B0C50"/>
    <w:rsid w:val="007C1A43"/>
    <w:rsid w:val="007E135F"/>
    <w:rsid w:val="007E1DC6"/>
    <w:rsid w:val="00805486"/>
    <w:rsid w:val="00810926"/>
    <w:rsid w:val="00813288"/>
    <w:rsid w:val="008168FC"/>
    <w:rsid w:val="0082506E"/>
    <w:rsid w:val="00830996"/>
    <w:rsid w:val="008345F1"/>
    <w:rsid w:val="00843B44"/>
    <w:rsid w:val="00865B07"/>
    <w:rsid w:val="008667EA"/>
    <w:rsid w:val="008728A1"/>
    <w:rsid w:val="0087637F"/>
    <w:rsid w:val="008904B9"/>
    <w:rsid w:val="008911AC"/>
    <w:rsid w:val="00892AD5"/>
    <w:rsid w:val="00897650"/>
    <w:rsid w:val="008A1512"/>
    <w:rsid w:val="008B10CD"/>
    <w:rsid w:val="008B7134"/>
    <w:rsid w:val="008C21F4"/>
    <w:rsid w:val="008C6FEB"/>
    <w:rsid w:val="008C78C1"/>
    <w:rsid w:val="008D32B9"/>
    <w:rsid w:val="008D433B"/>
    <w:rsid w:val="008E0982"/>
    <w:rsid w:val="008E37C1"/>
    <w:rsid w:val="008E566E"/>
    <w:rsid w:val="0090161A"/>
    <w:rsid w:val="00901EB6"/>
    <w:rsid w:val="00904C62"/>
    <w:rsid w:val="00924DAC"/>
    <w:rsid w:val="00927058"/>
    <w:rsid w:val="00932570"/>
    <w:rsid w:val="00941A10"/>
    <w:rsid w:val="009450CE"/>
    <w:rsid w:val="00945F77"/>
    <w:rsid w:val="009469E5"/>
    <w:rsid w:val="00947179"/>
    <w:rsid w:val="0095164B"/>
    <w:rsid w:val="00954090"/>
    <w:rsid w:val="009573E7"/>
    <w:rsid w:val="00960DAF"/>
    <w:rsid w:val="009635B9"/>
    <w:rsid w:val="00963E05"/>
    <w:rsid w:val="00967D54"/>
    <w:rsid w:val="00980730"/>
    <w:rsid w:val="009859E5"/>
    <w:rsid w:val="00996483"/>
    <w:rsid w:val="00996F5A"/>
    <w:rsid w:val="00997FC6"/>
    <w:rsid w:val="009A0A3E"/>
    <w:rsid w:val="009A6701"/>
    <w:rsid w:val="009B041A"/>
    <w:rsid w:val="009C12B3"/>
    <w:rsid w:val="009C7C86"/>
    <w:rsid w:val="009D2FF7"/>
    <w:rsid w:val="009E6E1B"/>
    <w:rsid w:val="009E7884"/>
    <w:rsid w:val="009E788A"/>
    <w:rsid w:val="009F0E08"/>
    <w:rsid w:val="00A01110"/>
    <w:rsid w:val="00A1763D"/>
    <w:rsid w:val="00A17CEC"/>
    <w:rsid w:val="00A22B9C"/>
    <w:rsid w:val="00A27EF0"/>
    <w:rsid w:val="00A30A6F"/>
    <w:rsid w:val="00A40723"/>
    <w:rsid w:val="00A41238"/>
    <w:rsid w:val="00A50B20"/>
    <w:rsid w:val="00A51390"/>
    <w:rsid w:val="00A56CD2"/>
    <w:rsid w:val="00A60D13"/>
    <w:rsid w:val="00A706DA"/>
    <w:rsid w:val="00A70F98"/>
    <w:rsid w:val="00A72745"/>
    <w:rsid w:val="00A74C58"/>
    <w:rsid w:val="00A7549F"/>
    <w:rsid w:val="00A76EFC"/>
    <w:rsid w:val="00A8470C"/>
    <w:rsid w:val="00A91010"/>
    <w:rsid w:val="00A97B84"/>
    <w:rsid w:val="00A97F29"/>
    <w:rsid w:val="00AA5F47"/>
    <w:rsid w:val="00AA702E"/>
    <w:rsid w:val="00AB0964"/>
    <w:rsid w:val="00AB5011"/>
    <w:rsid w:val="00AC6A07"/>
    <w:rsid w:val="00AC7368"/>
    <w:rsid w:val="00AD16B9"/>
    <w:rsid w:val="00AD6075"/>
    <w:rsid w:val="00AD6A89"/>
    <w:rsid w:val="00AE377D"/>
    <w:rsid w:val="00AF2F2F"/>
    <w:rsid w:val="00B03DC6"/>
    <w:rsid w:val="00B17FBD"/>
    <w:rsid w:val="00B315A6"/>
    <w:rsid w:val="00B31813"/>
    <w:rsid w:val="00B33365"/>
    <w:rsid w:val="00B573CB"/>
    <w:rsid w:val="00B57B36"/>
    <w:rsid w:val="00B6604F"/>
    <w:rsid w:val="00B665EC"/>
    <w:rsid w:val="00B8686D"/>
    <w:rsid w:val="00B95815"/>
    <w:rsid w:val="00BC2FAF"/>
    <w:rsid w:val="00BC30C9"/>
    <w:rsid w:val="00BD1B45"/>
    <w:rsid w:val="00BE043F"/>
    <w:rsid w:val="00BE28A4"/>
    <w:rsid w:val="00BE3E58"/>
    <w:rsid w:val="00BE46F7"/>
    <w:rsid w:val="00BE6467"/>
    <w:rsid w:val="00BF3D09"/>
    <w:rsid w:val="00BF4715"/>
    <w:rsid w:val="00C01616"/>
    <w:rsid w:val="00C0162B"/>
    <w:rsid w:val="00C01D24"/>
    <w:rsid w:val="00C2476E"/>
    <w:rsid w:val="00C2773A"/>
    <w:rsid w:val="00C32A7A"/>
    <w:rsid w:val="00C345B1"/>
    <w:rsid w:val="00C40142"/>
    <w:rsid w:val="00C57182"/>
    <w:rsid w:val="00C57863"/>
    <w:rsid w:val="00C60904"/>
    <w:rsid w:val="00C655FD"/>
    <w:rsid w:val="00C870A8"/>
    <w:rsid w:val="00C94434"/>
    <w:rsid w:val="00CA0D75"/>
    <w:rsid w:val="00CA1C95"/>
    <w:rsid w:val="00CA5A9C"/>
    <w:rsid w:val="00CC035D"/>
    <w:rsid w:val="00CD3517"/>
    <w:rsid w:val="00CD5775"/>
    <w:rsid w:val="00CD5A00"/>
    <w:rsid w:val="00CD5FE2"/>
    <w:rsid w:val="00CE208D"/>
    <w:rsid w:val="00CE7C68"/>
    <w:rsid w:val="00CF2C51"/>
    <w:rsid w:val="00D007E6"/>
    <w:rsid w:val="00D02B4C"/>
    <w:rsid w:val="00D040C4"/>
    <w:rsid w:val="00D156A3"/>
    <w:rsid w:val="00D32179"/>
    <w:rsid w:val="00D5570A"/>
    <w:rsid w:val="00D57C84"/>
    <w:rsid w:val="00D6057D"/>
    <w:rsid w:val="00D765E7"/>
    <w:rsid w:val="00D81FBB"/>
    <w:rsid w:val="00D84576"/>
    <w:rsid w:val="00D947EC"/>
    <w:rsid w:val="00D95475"/>
    <w:rsid w:val="00D9600B"/>
    <w:rsid w:val="00D974C3"/>
    <w:rsid w:val="00DA1399"/>
    <w:rsid w:val="00DA24C6"/>
    <w:rsid w:val="00DA4D7B"/>
    <w:rsid w:val="00DC1FF4"/>
    <w:rsid w:val="00DC7633"/>
    <w:rsid w:val="00DD2213"/>
    <w:rsid w:val="00DD38A2"/>
    <w:rsid w:val="00DE264A"/>
    <w:rsid w:val="00DF7480"/>
    <w:rsid w:val="00E01E3A"/>
    <w:rsid w:val="00E02D18"/>
    <w:rsid w:val="00E041E7"/>
    <w:rsid w:val="00E073EF"/>
    <w:rsid w:val="00E1168C"/>
    <w:rsid w:val="00E23CA1"/>
    <w:rsid w:val="00E33456"/>
    <w:rsid w:val="00E409A8"/>
    <w:rsid w:val="00E50C12"/>
    <w:rsid w:val="00E637C0"/>
    <w:rsid w:val="00E65B91"/>
    <w:rsid w:val="00E7209D"/>
    <w:rsid w:val="00E77223"/>
    <w:rsid w:val="00E806FB"/>
    <w:rsid w:val="00E8528B"/>
    <w:rsid w:val="00E85B94"/>
    <w:rsid w:val="00E90588"/>
    <w:rsid w:val="00E978D0"/>
    <w:rsid w:val="00EA3771"/>
    <w:rsid w:val="00EA4613"/>
    <w:rsid w:val="00EA7F91"/>
    <w:rsid w:val="00EB1523"/>
    <w:rsid w:val="00EB1DC4"/>
    <w:rsid w:val="00EB35F7"/>
    <w:rsid w:val="00EB6264"/>
    <w:rsid w:val="00EC0E49"/>
    <w:rsid w:val="00ED0108"/>
    <w:rsid w:val="00ED1B0F"/>
    <w:rsid w:val="00EE0131"/>
    <w:rsid w:val="00EE5A11"/>
    <w:rsid w:val="00F04BFE"/>
    <w:rsid w:val="00F0539D"/>
    <w:rsid w:val="00F155B2"/>
    <w:rsid w:val="00F20520"/>
    <w:rsid w:val="00F30C64"/>
    <w:rsid w:val="00F32CDB"/>
    <w:rsid w:val="00F4452E"/>
    <w:rsid w:val="00F63A70"/>
    <w:rsid w:val="00FA21D0"/>
    <w:rsid w:val="00FA5F5F"/>
    <w:rsid w:val="00FB730C"/>
    <w:rsid w:val="00FC2695"/>
    <w:rsid w:val="00FC3E03"/>
    <w:rsid w:val="00FC3FC1"/>
    <w:rsid w:val="00FC6231"/>
    <w:rsid w:val="00FD726F"/>
    <w:rsid w:val="00FF6AB5"/>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paragraph" w:customStyle="1" w:styleId="CETReference-text">
    <w:name w:val="CET Reference-text"/>
    <w:rsid w:val="009859E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table-title"/>
    <w:rsid w:val="009859E5"/>
    <w:pPr>
      <w:keepNext/>
      <w:spacing w:before="240" w:after="80" w:line="240" w:lineRule="exact"/>
    </w:pPr>
    <w:rPr>
      <w:rFonts w:ascii="Arial" w:eastAsia="Times New Roman" w:hAnsi="Arial" w:cs="Times New Roman"/>
      <w:i/>
      <w:sz w:val="18"/>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paragraph" w:customStyle="1" w:styleId="CETReference-text">
    <w:name w:val="CET Reference-text"/>
    <w:rsid w:val="009859E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table-title"/>
    <w:rsid w:val="009859E5"/>
    <w:pPr>
      <w:keepNext/>
      <w:spacing w:before="240" w:after="80" w:line="240" w:lineRule="exact"/>
    </w:pPr>
    <w:rPr>
      <w:rFonts w:ascii="Arial" w:eastAsia="Times New Roman" w:hAnsi="Arial" w:cs="Times New Roman"/>
      <w:i/>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chart" Target="charts/chart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chart" Target="charts/chart1.xm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emf"/></Relationships>
</file>

<file path=word/charts/_rels/chart1.xml.rels><?xml version="1.0" encoding="UTF-8" standalone="yes"?>
<Relationships xmlns="http://schemas.openxmlformats.org/package/2006/relationships"><Relationship Id="rId1" Type="http://schemas.openxmlformats.org/officeDocument/2006/relationships/oleObject" Target="file:///\\tek.c.sdu.dk\dfs\data\ansatte-brugerdata\kvc\knud%20fra%20HDD\BIOCAS100\Kalanchoe%20Christian\ChristianEmilDyrekaerChristiansenAppendixX.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tek.c.sdu.dk\dfs\data\ansatte-brugerdata\kvc\knud%20fra%20HDD\BIOCAS100\Kalanchoe%20Christian\ChristianEmilDyrekaerChristiansenAppendixX.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tek.c.sdu.dk\dfs\data\ansatte-brugerdata\kvc\knud%20fra%20HDD\BIOCAS100\Kalanchoe%20Christian\ChristianEmilDyrekaerChristiansenAppendixX.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tek.c.sdu.dk\dfs\data\ansatte-brugerdata\kvc\knud%20fra%20HDD\BIOCAS100\Kalanchoe%20Christian\ChristianEmilDyrekaerChristiansenAppendixX.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tx>
            <c:v>Samples</c:v>
          </c:tx>
          <c:spPr>
            <a:ln w="19050">
              <a:noFill/>
            </a:ln>
          </c:spPr>
          <c:marker>
            <c:spPr>
              <a:solidFill>
                <a:schemeClr val="tx1"/>
              </a:solidFill>
              <a:ln>
                <a:solidFill>
                  <a:schemeClr val="tx1"/>
                </a:solidFill>
              </a:ln>
            </c:spPr>
          </c:marker>
          <c:xVal>
            <c:numRef>
              <c:f>Sheet2!$B$3:$B$27</c:f>
              <c:numCache>
                <c:formatCode>General</c:formatCode>
                <c:ptCount val="25"/>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numCache>
            </c:numRef>
          </c:xVal>
          <c:yVal>
            <c:numRef>
              <c:f>Sheet2!$D$3:$D$27</c:f>
              <c:numCache>
                <c:formatCode>General</c:formatCode>
                <c:ptCount val="25"/>
                <c:pt idx="0">
                  <c:v>3.0569244999999996</c:v>
                </c:pt>
                <c:pt idx="1">
                  <c:v>4.4475999999999996</c:v>
                </c:pt>
                <c:pt idx="2">
                  <c:v>4.5473425000000001</c:v>
                </c:pt>
                <c:pt idx="3">
                  <c:v>4.7314825000000003</c:v>
                </c:pt>
                <c:pt idx="4">
                  <c:v>3.767398</c:v>
                </c:pt>
                <c:pt idx="5">
                  <c:v>4.4169099999999997</c:v>
                </c:pt>
                <c:pt idx="6">
                  <c:v>5.1591895000000001</c:v>
                </c:pt>
                <c:pt idx="7">
                  <c:v>4.9484050000000002</c:v>
                </c:pt>
                <c:pt idx="8">
                  <c:v>4.9107399999999997</c:v>
                </c:pt>
                <c:pt idx="9">
                  <c:v>4.5917034999999995</c:v>
                </c:pt>
                <c:pt idx="10">
                  <c:v>4.6461085000000004</c:v>
                </c:pt>
                <c:pt idx="11">
                  <c:v>4.7572900000000002</c:v>
                </c:pt>
                <c:pt idx="12">
                  <c:v>4.7224149999999998</c:v>
                </c:pt>
                <c:pt idx="13">
                  <c:v>4.521814</c:v>
                </c:pt>
                <c:pt idx="14">
                  <c:v>4.8388974999999999</c:v>
                </c:pt>
                <c:pt idx="15">
                  <c:v>4.7468275000000002</c:v>
                </c:pt>
                <c:pt idx="16">
                  <c:v>4.9111585</c:v>
                </c:pt>
                <c:pt idx="17">
                  <c:v>4.8601014999999999</c:v>
                </c:pt>
                <c:pt idx="18">
                  <c:v>4.9145064999999999</c:v>
                </c:pt>
                <c:pt idx="19">
                  <c:v>4.7691474999999999</c:v>
                </c:pt>
                <c:pt idx="20">
                  <c:v>4.6688469999999995</c:v>
                </c:pt>
                <c:pt idx="21">
                  <c:v>4.8694480000000002</c:v>
                </c:pt>
                <c:pt idx="22">
                  <c:v>4.6071879999999998</c:v>
                </c:pt>
                <c:pt idx="23">
                  <c:v>4.8711219999999997</c:v>
                </c:pt>
                <c:pt idx="24">
                  <c:v>4.2800605000000003</c:v>
                </c:pt>
              </c:numCache>
            </c:numRef>
          </c:yVal>
          <c:smooth val="0"/>
          <c:extLst xmlns:c16r2="http://schemas.microsoft.com/office/drawing/2015/06/chart">
            <c:ext xmlns:c16="http://schemas.microsoft.com/office/drawing/2014/chart" uri="{C3380CC4-5D6E-409C-BE32-E72D297353CC}">
              <c16:uniqueId val="{00000000-8F19-400A-96E8-9C9550AD0A3B}"/>
            </c:ext>
          </c:extLst>
        </c:ser>
        <c:ser>
          <c:idx val="1"/>
          <c:order val="1"/>
          <c:tx>
            <c:v>Average steady state value</c:v>
          </c:tx>
          <c:spPr>
            <a:ln w="22225">
              <a:solidFill>
                <a:schemeClr val="tx1"/>
              </a:solidFill>
              <a:prstDash val="dash"/>
            </a:ln>
          </c:spPr>
          <c:marker>
            <c:symbol val="none"/>
          </c:marker>
          <c:xVal>
            <c:numRef>
              <c:f>Sheet2!$E$3:$E$4</c:f>
              <c:numCache>
                <c:formatCode>General</c:formatCode>
                <c:ptCount val="2"/>
                <c:pt idx="0">
                  <c:v>0</c:v>
                </c:pt>
                <c:pt idx="1">
                  <c:v>24</c:v>
                </c:pt>
              </c:numCache>
            </c:numRef>
          </c:xVal>
          <c:yVal>
            <c:numRef>
              <c:f>Sheet2!$F$3:$F$4</c:f>
              <c:numCache>
                <c:formatCode>General</c:formatCode>
                <c:ptCount val="2"/>
                <c:pt idx="0">
                  <c:v>4.6900000000000004</c:v>
                </c:pt>
                <c:pt idx="1">
                  <c:v>4.6900000000000004</c:v>
                </c:pt>
              </c:numCache>
            </c:numRef>
          </c:yVal>
          <c:smooth val="0"/>
          <c:extLst xmlns:c16r2="http://schemas.microsoft.com/office/drawing/2015/06/chart">
            <c:ext xmlns:c16="http://schemas.microsoft.com/office/drawing/2014/chart" uri="{C3380CC4-5D6E-409C-BE32-E72D297353CC}">
              <c16:uniqueId val="{00000001-8F19-400A-96E8-9C9550AD0A3B}"/>
            </c:ext>
          </c:extLst>
        </c:ser>
        <c:dLbls>
          <c:showLegendKey val="0"/>
          <c:showVal val="0"/>
          <c:showCatName val="0"/>
          <c:showSerName val="0"/>
          <c:showPercent val="0"/>
          <c:showBubbleSize val="0"/>
        </c:dLbls>
        <c:axId val="84473344"/>
        <c:axId val="84475264"/>
      </c:scatterChart>
      <c:valAx>
        <c:axId val="84473344"/>
        <c:scaling>
          <c:orientation val="minMax"/>
          <c:max val="25"/>
        </c:scaling>
        <c:delete val="0"/>
        <c:axPos val="b"/>
        <c:title>
          <c:tx>
            <c:rich>
              <a:bodyPr/>
              <a:lstStyle/>
              <a:p>
                <a:pPr>
                  <a:defRPr/>
                </a:pPr>
                <a:r>
                  <a:rPr lang="da-DK"/>
                  <a:t>Time [hours]</a:t>
                </a:r>
              </a:p>
            </c:rich>
          </c:tx>
          <c:overlay val="0"/>
        </c:title>
        <c:numFmt formatCode="General" sourceLinked="1"/>
        <c:majorTickMark val="out"/>
        <c:minorTickMark val="none"/>
        <c:tickLblPos val="nextTo"/>
        <c:spPr>
          <a:ln w="22225">
            <a:solidFill>
              <a:schemeClr val="tx1"/>
            </a:solidFill>
          </a:ln>
        </c:spPr>
        <c:txPr>
          <a:bodyPr/>
          <a:lstStyle/>
          <a:p>
            <a:pPr>
              <a:defRPr sz="900" baseline="0">
                <a:latin typeface="Arial" panose="020B0604020202020204" pitchFamily="34" charset="0"/>
                <a:cs typeface="Arial" panose="020B0604020202020204" pitchFamily="34" charset="0"/>
              </a:defRPr>
            </a:pPr>
            <a:endParaRPr lang="da-DK"/>
          </a:p>
        </c:txPr>
        <c:crossAx val="84475264"/>
        <c:crosses val="autoZero"/>
        <c:crossBetween val="midCat"/>
      </c:valAx>
      <c:valAx>
        <c:axId val="84475264"/>
        <c:scaling>
          <c:orientation val="minMax"/>
        </c:scaling>
        <c:delete val="0"/>
        <c:axPos val="l"/>
        <c:title>
          <c:tx>
            <c:rich>
              <a:bodyPr rot="-5400000" vert="horz"/>
              <a:lstStyle/>
              <a:p>
                <a:pPr>
                  <a:defRPr/>
                </a:pPr>
                <a:r>
                  <a:rPr lang="da-DK"/>
                  <a:t>Concentration [mg</a:t>
                </a:r>
                <a:r>
                  <a:rPr lang="da-DK">
                    <a:latin typeface="Cambria Math"/>
                    <a:ea typeface="Cambria Math"/>
                  </a:rPr>
                  <a:t>·</a:t>
                </a:r>
                <a:r>
                  <a:rPr lang="da-DK"/>
                  <a:t> L</a:t>
                </a:r>
                <a:r>
                  <a:rPr lang="da-DK" baseline="30000"/>
                  <a:t>-1</a:t>
                </a:r>
                <a:r>
                  <a:rPr lang="da-DK" baseline="0"/>
                  <a:t>]</a:t>
                </a:r>
              </a:p>
            </c:rich>
          </c:tx>
          <c:overlay val="0"/>
        </c:title>
        <c:numFmt formatCode="General" sourceLinked="1"/>
        <c:majorTickMark val="out"/>
        <c:minorTickMark val="none"/>
        <c:tickLblPos val="nextTo"/>
        <c:spPr>
          <a:ln w="22225">
            <a:solidFill>
              <a:schemeClr val="tx1"/>
            </a:solidFill>
          </a:ln>
        </c:spPr>
        <c:txPr>
          <a:bodyPr/>
          <a:lstStyle/>
          <a:p>
            <a:pPr>
              <a:defRPr sz="900">
                <a:latin typeface="Arial" panose="020B0604020202020204" pitchFamily="34" charset="0"/>
                <a:cs typeface="Arial" panose="020B0604020202020204" pitchFamily="34" charset="0"/>
              </a:defRPr>
            </a:pPr>
            <a:endParaRPr lang="da-DK"/>
          </a:p>
        </c:txPr>
        <c:crossAx val="84473344"/>
        <c:crosses val="autoZero"/>
        <c:crossBetween val="midCat"/>
      </c:valAx>
    </c:plotArea>
    <c:legend>
      <c:legendPos val="r"/>
      <c:layout>
        <c:manualLayout>
          <c:xMode val="edge"/>
          <c:yMode val="edge"/>
          <c:x val="0.39156145584191054"/>
          <c:y val="0.51970210891470736"/>
          <c:w val="0.22612084074051519"/>
          <c:h val="0.20523913677456984"/>
        </c:manualLayout>
      </c:layout>
      <c:overlay val="0"/>
      <c:txPr>
        <a:bodyPr/>
        <a:lstStyle/>
        <a:p>
          <a:pPr>
            <a:defRPr sz="900">
              <a:latin typeface="Arial" panose="020B0604020202020204" pitchFamily="34" charset="0"/>
              <a:cs typeface="Arial" panose="020B0604020202020204" pitchFamily="34" charset="0"/>
            </a:defRPr>
          </a:pPr>
          <a:endParaRPr lang="da-DK"/>
        </a:p>
      </c:txPr>
    </c:legend>
    <c:plotVisOnly val="1"/>
    <c:dispBlanksAs val="gap"/>
    <c:showDLblsOverMax val="0"/>
  </c:chart>
  <c:spPr>
    <a:no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v>Before cleaning</c:v>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'Tubular MF'!$O$88:$O$97</c:f>
              <c:numCache>
                <c:formatCode>h:mm</c:formatCode>
                <c:ptCount val="10"/>
                <c:pt idx="0">
                  <c:v>0</c:v>
                </c:pt>
                <c:pt idx="1">
                  <c:v>1.388888888888884E-3</c:v>
                </c:pt>
                <c:pt idx="2">
                  <c:v>3.4722222222222099E-3</c:v>
                </c:pt>
                <c:pt idx="3">
                  <c:v>6.9444444444445308E-3</c:v>
                </c:pt>
                <c:pt idx="4">
                  <c:v>1.3888888888888951E-2</c:v>
                </c:pt>
                <c:pt idx="5">
                  <c:v>2.430555555555558E-2</c:v>
                </c:pt>
                <c:pt idx="6">
                  <c:v>3.8194444444444531E-2</c:v>
                </c:pt>
                <c:pt idx="7">
                  <c:v>5.208333333333337E-2</c:v>
                </c:pt>
                <c:pt idx="8">
                  <c:v>6.597222222222221E-2</c:v>
                </c:pt>
                <c:pt idx="9">
                  <c:v>8.680555555555558E-2</c:v>
                </c:pt>
              </c:numCache>
            </c:numRef>
          </c:xVal>
          <c:yVal>
            <c:numRef>
              <c:f>'Tubular MF'!$P$88:$P$97</c:f>
              <c:numCache>
                <c:formatCode>#,#00</c:formatCode>
                <c:ptCount val="10"/>
                <c:pt idx="0">
                  <c:v>198.125</c:v>
                </c:pt>
                <c:pt idx="1">
                  <c:v>134.00000000000003</c:v>
                </c:pt>
                <c:pt idx="2">
                  <c:v>108.75</c:v>
                </c:pt>
                <c:pt idx="3">
                  <c:v>93.000000000000014</c:v>
                </c:pt>
                <c:pt idx="4">
                  <c:v>82.249999999999986</c:v>
                </c:pt>
                <c:pt idx="5">
                  <c:v>78.75</c:v>
                </c:pt>
                <c:pt idx="6">
                  <c:v>77.875</c:v>
                </c:pt>
                <c:pt idx="7">
                  <c:v>77.750000000000014</c:v>
                </c:pt>
                <c:pt idx="8">
                  <c:v>73.625000000000014</c:v>
                </c:pt>
                <c:pt idx="9">
                  <c:v>68.375</c:v>
                </c:pt>
              </c:numCache>
            </c:numRef>
          </c:yVal>
          <c:smooth val="0"/>
          <c:extLst xmlns:c16r2="http://schemas.microsoft.com/office/drawing/2015/06/chart">
            <c:ext xmlns:c16="http://schemas.microsoft.com/office/drawing/2014/chart" uri="{C3380CC4-5D6E-409C-BE32-E72D297353CC}">
              <c16:uniqueId val="{00000000-DEBF-418F-B4B5-E4E54D5BE92D}"/>
            </c:ext>
          </c:extLst>
        </c:ser>
        <c:ser>
          <c:idx val="1"/>
          <c:order val="1"/>
          <c:tx>
            <c:v>After cleaning</c:v>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'Tubular MF'!$O$98:$O$109</c:f>
              <c:numCache>
                <c:formatCode>h:mm</c:formatCode>
                <c:ptCount val="12"/>
                <c:pt idx="0">
                  <c:v>8.680555555555558E-2</c:v>
                </c:pt>
                <c:pt idx="1">
                  <c:v>8.8194444444444464E-2</c:v>
                </c:pt>
                <c:pt idx="2">
                  <c:v>9.027777777777779E-2</c:v>
                </c:pt>
                <c:pt idx="3">
                  <c:v>9.375E-2</c:v>
                </c:pt>
                <c:pt idx="4">
                  <c:v>9.722222222222221E-2</c:v>
                </c:pt>
                <c:pt idx="5">
                  <c:v>0.10763888888888884</c:v>
                </c:pt>
                <c:pt idx="6">
                  <c:v>0.11805555555555558</c:v>
                </c:pt>
                <c:pt idx="7">
                  <c:v>0.13194444444444442</c:v>
                </c:pt>
                <c:pt idx="8">
                  <c:v>0.14583333333333337</c:v>
                </c:pt>
                <c:pt idx="9">
                  <c:v>0.15972222222222221</c:v>
                </c:pt>
                <c:pt idx="10">
                  <c:v>0.18055555555555558</c:v>
                </c:pt>
                <c:pt idx="11">
                  <c:v>0.21527777777777768</c:v>
                </c:pt>
              </c:numCache>
            </c:numRef>
          </c:xVal>
          <c:yVal>
            <c:numRef>
              <c:f>'Tubular MF'!$P$98:$P$109</c:f>
              <c:numCache>
                <c:formatCode>#,#00</c:formatCode>
                <c:ptCount val="12"/>
                <c:pt idx="0">
                  <c:v>143.77500000000001</c:v>
                </c:pt>
                <c:pt idx="1">
                  <c:v>99.749999999999986</c:v>
                </c:pt>
                <c:pt idx="2">
                  <c:v>77.375000000000014</c:v>
                </c:pt>
                <c:pt idx="3">
                  <c:v>72.124999999999986</c:v>
                </c:pt>
                <c:pt idx="4">
                  <c:v>70.500000000000014</c:v>
                </c:pt>
                <c:pt idx="5">
                  <c:v>64.749999999999986</c:v>
                </c:pt>
                <c:pt idx="6">
                  <c:v>63.000000000000021</c:v>
                </c:pt>
                <c:pt idx="7">
                  <c:v>59.000000000000021</c:v>
                </c:pt>
                <c:pt idx="8">
                  <c:v>57.5</c:v>
                </c:pt>
                <c:pt idx="9">
                  <c:v>53.250000000000007</c:v>
                </c:pt>
                <c:pt idx="10">
                  <c:v>50.500000000000021</c:v>
                </c:pt>
                <c:pt idx="11">
                  <c:v>47.5</c:v>
                </c:pt>
              </c:numCache>
            </c:numRef>
          </c:yVal>
          <c:smooth val="0"/>
          <c:extLst xmlns:c16r2="http://schemas.microsoft.com/office/drawing/2015/06/chart">
            <c:ext xmlns:c16="http://schemas.microsoft.com/office/drawing/2014/chart" uri="{C3380CC4-5D6E-409C-BE32-E72D297353CC}">
              <c16:uniqueId val="{00000001-DEBF-418F-B4B5-E4E54D5BE92D}"/>
            </c:ext>
          </c:extLst>
        </c:ser>
        <c:dLbls>
          <c:showLegendKey val="0"/>
          <c:showVal val="0"/>
          <c:showCatName val="0"/>
          <c:showSerName val="0"/>
          <c:showPercent val="0"/>
          <c:showBubbleSize val="0"/>
        </c:dLbls>
        <c:axId val="84640896"/>
        <c:axId val="84643200"/>
      </c:scatterChart>
      <c:valAx>
        <c:axId val="84640896"/>
        <c:scaling>
          <c:orientation val="minMax"/>
          <c:max val="0.22000000000000003"/>
          <c:min val="0"/>
        </c:scaling>
        <c:delete val="0"/>
        <c:axPos val="b"/>
        <c:title>
          <c:tx>
            <c:rich>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r>
                  <a:rPr lang="en-GB" sz="900">
                    <a:solidFill>
                      <a:schemeClr val="tx1"/>
                    </a:solidFill>
                    <a:latin typeface="Arial" panose="020B0604020202020204" pitchFamily="34" charset="0"/>
                    <a:cs typeface="Arial" panose="020B0604020202020204" pitchFamily="34" charset="0"/>
                  </a:rPr>
                  <a:t>Time [hours]</a:t>
                </a:r>
              </a:p>
            </c:rich>
          </c:tx>
          <c:overlay val="0"/>
          <c:spPr>
            <a:noFill/>
            <a:ln>
              <a:noFill/>
            </a:ln>
            <a:effectLst/>
          </c:spPr>
        </c:title>
        <c:numFmt formatCode="h;@" sourceLinked="0"/>
        <c:majorTickMark val="none"/>
        <c:minorTickMark val="none"/>
        <c:tickLblPos val="nextTo"/>
        <c:spPr>
          <a:noFill/>
          <a:ln w="222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da-DK"/>
          </a:p>
        </c:txPr>
        <c:crossAx val="84643200"/>
        <c:crosses val="autoZero"/>
        <c:crossBetween val="midCat"/>
        <c:majorUnit val="5.000000000000001E-2"/>
      </c:valAx>
      <c:valAx>
        <c:axId val="84643200"/>
        <c:scaling>
          <c:orientation val="minMax"/>
        </c:scaling>
        <c:delete val="0"/>
        <c:axPos val="l"/>
        <c:title>
          <c:tx>
            <c:rich>
              <a:bodyPr rot="-54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r>
                  <a:rPr lang="en-GB" sz="900">
                    <a:solidFill>
                      <a:schemeClr val="tx1"/>
                    </a:solidFill>
                    <a:latin typeface="Arial" panose="020B0604020202020204" pitchFamily="34" charset="0"/>
                    <a:cs typeface="Arial" panose="020B0604020202020204" pitchFamily="34" charset="0"/>
                  </a:rPr>
                  <a:t>Permeate</a:t>
                </a:r>
                <a:r>
                  <a:rPr lang="en-GB" sz="900" baseline="0">
                    <a:solidFill>
                      <a:schemeClr val="tx1"/>
                    </a:solidFill>
                    <a:latin typeface="Arial" panose="020B0604020202020204" pitchFamily="34" charset="0"/>
                    <a:cs typeface="Arial" panose="020B0604020202020204" pitchFamily="34" charset="0"/>
                  </a:rPr>
                  <a:t> flux [L</a:t>
                </a:r>
                <a:r>
                  <a:rPr lang="en-GB" sz="900" baseline="0">
                    <a:solidFill>
                      <a:schemeClr val="tx1"/>
                    </a:solidFill>
                    <a:latin typeface="Arial" panose="020B0604020202020204" pitchFamily="34" charset="0"/>
                    <a:ea typeface="Cambria Math"/>
                    <a:cs typeface="Arial" panose="020B0604020202020204" pitchFamily="34" charset="0"/>
                  </a:rPr>
                  <a:t>·m</a:t>
                </a:r>
                <a:r>
                  <a:rPr lang="en-GB" sz="900" baseline="30000">
                    <a:solidFill>
                      <a:schemeClr val="tx1"/>
                    </a:solidFill>
                    <a:latin typeface="Arial" panose="020B0604020202020204" pitchFamily="34" charset="0"/>
                    <a:ea typeface="Cambria Math"/>
                    <a:cs typeface="Arial" panose="020B0604020202020204" pitchFamily="34" charset="0"/>
                  </a:rPr>
                  <a:t>-2</a:t>
                </a:r>
                <a:r>
                  <a:rPr lang="en-GB" sz="900" baseline="0">
                    <a:solidFill>
                      <a:schemeClr val="tx1"/>
                    </a:solidFill>
                    <a:latin typeface="Arial" panose="020B0604020202020204" pitchFamily="34" charset="0"/>
                    <a:ea typeface="Cambria Math"/>
                    <a:cs typeface="Arial" panose="020B0604020202020204" pitchFamily="34" charset="0"/>
                  </a:rPr>
                  <a:t>·h</a:t>
                </a:r>
                <a:r>
                  <a:rPr lang="en-GB" sz="900" baseline="30000">
                    <a:solidFill>
                      <a:schemeClr val="tx1"/>
                    </a:solidFill>
                    <a:latin typeface="Arial" panose="020B0604020202020204" pitchFamily="34" charset="0"/>
                    <a:ea typeface="Cambria Math"/>
                    <a:cs typeface="Arial" panose="020B0604020202020204" pitchFamily="34" charset="0"/>
                  </a:rPr>
                  <a:t>-1</a:t>
                </a:r>
                <a:r>
                  <a:rPr lang="en-GB" sz="900" baseline="0">
                    <a:solidFill>
                      <a:schemeClr val="tx1"/>
                    </a:solidFill>
                    <a:latin typeface="Arial" panose="020B0604020202020204" pitchFamily="34" charset="0"/>
                    <a:cs typeface="Arial" panose="020B0604020202020204" pitchFamily="34" charset="0"/>
                  </a:rPr>
                  <a:t>]</a:t>
                </a:r>
                <a:endParaRPr lang="en-GB" sz="900">
                  <a:solidFill>
                    <a:schemeClr val="tx1"/>
                  </a:solidFill>
                  <a:latin typeface="Arial" panose="020B0604020202020204" pitchFamily="34" charset="0"/>
                  <a:cs typeface="Arial" panose="020B0604020202020204" pitchFamily="34" charset="0"/>
                </a:endParaRPr>
              </a:p>
            </c:rich>
          </c:tx>
          <c:overlay val="0"/>
          <c:spPr>
            <a:noFill/>
            <a:ln>
              <a:noFill/>
            </a:ln>
            <a:effectLst/>
          </c:spPr>
        </c:title>
        <c:numFmt formatCode="#,#00" sourceLinked="1"/>
        <c:majorTickMark val="none"/>
        <c:minorTickMark val="none"/>
        <c:tickLblPos val="nextTo"/>
        <c:spPr>
          <a:noFill/>
          <a:ln w="222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da-DK"/>
          </a:p>
        </c:txPr>
        <c:crossAx val="84640896"/>
        <c:crosses val="autoZero"/>
        <c:crossBetween val="midCat"/>
      </c:valAx>
      <c:spPr>
        <a:noFill/>
        <a:ln>
          <a:noFill/>
        </a:ln>
        <a:effectLst/>
      </c:spPr>
    </c:plotArea>
    <c:legend>
      <c:legendPos val="t"/>
      <c:legendEntry>
        <c:idx val="0"/>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da-DK"/>
          </a:p>
        </c:txPr>
      </c:legendEntry>
      <c:legendEntry>
        <c:idx val="1"/>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da-DK"/>
          </a:p>
        </c:txPr>
      </c:legendEntry>
      <c:layout>
        <c:manualLayout>
          <c:xMode val="edge"/>
          <c:yMode val="edge"/>
          <c:x val="0.64509940204426941"/>
          <c:y val="0.34576269508449364"/>
          <c:w val="0.21724350044966709"/>
          <c:h val="0.112577776554154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da-DK"/>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da-DK"/>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v>Green feed</c:v>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'Plate-and-frame 20k Da UF'!$H$99:$H$109</c:f>
              <c:numCache>
                <c:formatCode>h:mm</c:formatCode>
                <c:ptCount val="11"/>
                <c:pt idx="0">
                  <c:v>0</c:v>
                </c:pt>
                <c:pt idx="1">
                  <c:v>2.0833333333333259E-3</c:v>
                </c:pt>
                <c:pt idx="2">
                  <c:v>6.9444444444444198E-3</c:v>
                </c:pt>
                <c:pt idx="3">
                  <c:v>1.041666666666663E-2</c:v>
                </c:pt>
                <c:pt idx="4">
                  <c:v>1.736111111111116E-2</c:v>
                </c:pt>
                <c:pt idx="5">
                  <c:v>2.430555555555558E-2</c:v>
                </c:pt>
                <c:pt idx="6">
                  <c:v>3.472222222222221E-2</c:v>
                </c:pt>
                <c:pt idx="7">
                  <c:v>4.861111111111116E-2</c:v>
                </c:pt>
                <c:pt idx="8">
                  <c:v>6.25E-2</c:v>
                </c:pt>
                <c:pt idx="9">
                  <c:v>7.638888888888884E-2</c:v>
                </c:pt>
                <c:pt idx="10">
                  <c:v>9.722222222222221E-2</c:v>
                </c:pt>
              </c:numCache>
            </c:numRef>
          </c:xVal>
          <c:yVal>
            <c:numRef>
              <c:f>'Plate-and-frame 20k Da UF'!$L$99:$L$109</c:f>
              <c:numCache>
                <c:formatCode>#,#00</c:formatCode>
                <c:ptCount val="11"/>
                <c:pt idx="0">
                  <c:v>299.40000000000003</c:v>
                </c:pt>
                <c:pt idx="1">
                  <c:v>238.25000000000003</c:v>
                </c:pt>
                <c:pt idx="2">
                  <c:v>200.50000000000003</c:v>
                </c:pt>
                <c:pt idx="3">
                  <c:v>188.75000000000006</c:v>
                </c:pt>
                <c:pt idx="4">
                  <c:v>169.5</c:v>
                </c:pt>
                <c:pt idx="5">
                  <c:v>156.25000000000006</c:v>
                </c:pt>
                <c:pt idx="6">
                  <c:v>146.99999999999994</c:v>
                </c:pt>
                <c:pt idx="7">
                  <c:v>135.75</c:v>
                </c:pt>
                <c:pt idx="8">
                  <c:v>125.00000000000001</c:v>
                </c:pt>
                <c:pt idx="9">
                  <c:v>117.74999999999999</c:v>
                </c:pt>
                <c:pt idx="10">
                  <c:v>111.75000000000003</c:v>
                </c:pt>
              </c:numCache>
            </c:numRef>
          </c:yVal>
          <c:smooth val="0"/>
          <c:extLst xmlns:c16r2="http://schemas.microsoft.com/office/drawing/2015/06/chart">
            <c:ext xmlns:c16="http://schemas.microsoft.com/office/drawing/2014/chart" uri="{C3380CC4-5D6E-409C-BE32-E72D297353CC}">
              <c16:uniqueId val="{00000000-76F0-47D2-ABA0-959EA7A99D05}"/>
            </c:ext>
          </c:extLst>
        </c:ser>
        <c:ser>
          <c:idx val="1"/>
          <c:order val="1"/>
          <c:tx>
            <c:v>Brown feed</c:v>
          </c:tx>
          <c:xVal>
            <c:numRef>
              <c:f>'Plate-and-frame 20k Da UF'!$H$142:$H$151</c:f>
              <c:numCache>
                <c:formatCode>h:mm</c:formatCode>
                <c:ptCount val="10"/>
                <c:pt idx="0">
                  <c:v>0</c:v>
                </c:pt>
                <c:pt idx="1">
                  <c:v>1.388888888888884E-3</c:v>
                </c:pt>
                <c:pt idx="2">
                  <c:v>3.4722222222222099E-3</c:v>
                </c:pt>
                <c:pt idx="3">
                  <c:v>6.9444444444444198E-3</c:v>
                </c:pt>
                <c:pt idx="4">
                  <c:v>1.388888888888884E-2</c:v>
                </c:pt>
                <c:pt idx="5">
                  <c:v>2.777777777777779E-2</c:v>
                </c:pt>
                <c:pt idx="6">
                  <c:v>4.8611111111111105E-2</c:v>
                </c:pt>
                <c:pt idx="7">
                  <c:v>9.027777777777779E-2</c:v>
                </c:pt>
                <c:pt idx="8">
                  <c:v>0.15277777777777773</c:v>
                </c:pt>
                <c:pt idx="9">
                  <c:v>0.19444444444444448</c:v>
                </c:pt>
              </c:numCache>
            </c:numRef>
          </c:xVal>
          <c:yVal>
            <c:numRef>
              <c:f>'Plate-and-frame 20k Da UF'!$L$142:$L$151</c:f>
              <c:numCache>
                <c:formatCode>#,#00</c:formatCode>
                <c:ptCount val="10"/>
                <c:pt idx="0">
                  <c:v>298.25</c:v>
                </c:pt>
                <c:pt idx="1">
                  <c:v>100.00000000000001</c:v>
                </c:pt>
                <c:pt idx="2">
                  <c:v>90.000000000000043</c:v>
                </c:pt>
                <c:pt idx="3">
                  <c:v>72.250000000000014</c:v>
                </c:pt>
                <c:pt idx="4">
                  <c:v>58.249999999999993</c:v>
                </c:pt>
                <c:pt idx="5">
                  <c:v>44.000000000000021</c:v>
                </c:pt>
                <c:pt idx="6">
                  <c:v>35.249999999999986</c:v>
                </c:pt>
                <c:pt idx="7">
                  <c:v>30.999999999999982</c:v>
                </c:pt>
                <c:pt idx="8">
                  <c:v>30.000000000000004</c:v>
                </c:pt>
                <c:pt idx="9">
                  <c:v>27.250000000000018</c:v>
                </c:pt>
              </c:numCache>
            </c:numRef>
          </c:yVal>
          <c:smooth val="0"/>
          <c:extLst xmlns:c16r2="http://schemas.microsoft.com/office/drawing/2015/06/chart">
            <c:ext xmlns:c16="http://schemas.microsoft.com/office/drawing/2014/chart" uri="{C3380CC4-5D6E-409C-BE32-E72D297353CC}">
              <c16:uniqueId val="{00000000-7BD3-4FD0-8FD9-F75161099247}"/>
            </c:ext>
          </c:extLst>
        </c:ser>
        <c:dLbls>
          <c:showLegendKey val="0"/>
          <c:showVal val="0"/>
          <c:showCatName val="0"/>
          <c:showSerName val="0"/>
          <c:showPercent val="0"/>
          <c:showBubbleSize val="0"/>
        </c:dLbls>
        <c:axId val="85092608"/>
        <c:axId val="85098880"/>
      </c:scatterChart>
      <c:valAx>
        <c:axId val="85092608"/>
        <c:scaling>
          <c:orientation val="minMax"/>
          <c:max val="0.1"/>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900">
                    <a:solidFill>
                      <a:schemeClr val="tx1"/>
                    </a:solidFill>
                    <a:latin typeface="Arial" panose="020B0604020202020204" pitchFamily="34" charset="0"/>
                    <a:cs typeface="Arial" panose="020B0604020202020204" pitchFamily="34" charset="0"/>
                  </a:rPr>
                  <a:t>Time [hours:minutes]</a:t>
                </a:r>
              </a:p>
            </c:rich>
          </c:tx>
          <c:overlay val="0"/>
          <c:spPr>
            <a:noFill/>
            <a:ln>
              <a:noFill/>
            </a:ln>
            <a:effectLst/>
          </c:spPr>
        </c:title>
        <c:numFmt formatCode="h:m;@" sourceLinked="0"/>
        <c:majorTickMark val="none"/>
        <c:minorTickMark val="none"/>
        <c:tickLblPos val="nextTo"/>
        <c:spPr>
          <a:noFill/>
          <a:ln w="222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da-DK"/>
          </a:p>
        </c:txPr>
        <c:crossAx val="85098880"/>
        <c:crosses val="autoZero"/>
        <c:crossBetween val="midCat"/>
      </c:valAx>
      <c:valAx>
        <c:axId val="8509888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900">
                    <a:solidFill>
                      <a:schemeClr val="tx1"/>
                    </a:solidFill>
                    <a:latin typeface="Arial" panose="020B0604020202020204" pitchFamily="34" charset="0"/>
                    <a:cs typeface="Arial" panose="020B0604020202020204" pitchFamily="34" charset="0"/>
                  </a:rPr>
                  <a:t>Permeate flux [L</a:t>
                </a:r>
                <a:r>
                  <a:rPr lang="en-GB" sz="900">
                    <a:solidFill>
                      <a:schemeClr val="tx1"/>
                    </a:solidFill>
                    <a:latin typeface="Arial" panose="020B0604020202020204" pitchFamily="34" charset="0"/>
                    <a:ea typeface="Cambria Math"/>
                    <a:cs typeface="Arial" panose="020B0604020202020204" pitchFamily="34" charset="0"/>
                  </a:rPr>
                  <a:t>·</a:t>
                </a:r>
                <a:r>
                  <a:rPr lang="en-GB" sz="900">
                    <a:solidFill>
                      <a:schemeClr val="tx1"/>
                    </a:solidFill>
                    <a:latin typeface="Arial" panose="020B0604020202020204" pitchFamily="34" charset="0"/>
                    <a:cs typeface="Arial" panose="020B0604020202020204" pitchFamily="34" charset="0"/>
                  </a:rPr>
                  <a:t>m</a:t>
                </a:r>
                <a:r>
                  <a:rPr lang="en-GB" sz="900" baseline="30000">
                    <a:solidFill>
                      <a:schemeClr val="tx1"/>
                    </a:solidFill>
                    <a:latin typeface="Arial" panose="020B0604020202020204" pitchFamily="34" charset="0"/>
                    <a:cs typeface="Arial" panose="020B0604020202020204" pitchFamily="34" charset="0"/>
                  </a:rPr>
                  <a:t>-2</a:t>
                </a:r>
                <a:r>
                  <a:rPr lang="en-GB" sz="900">
                    <a:solidFill>
                      <a:schemeClr val="tx1"/>
                    </a:solidFill>
                    <a:latin typeface="Arial" panose="020B0604020202020204" pitchFamily="34" charset="0"/>
                    <a:ea typeface="Cambria Math"/>
                    <a:cs typeface="Arial" panose="020B0604020202020204" pitchFamily="34" charset="0"/>
                  </a:rPr>
                  <a:t>·</a:t>
                </a:r>
                <a:r>
                  <a:rPr lang="en-GB" sz="900">
                    <a:solidFill>
                      <a:schemeClr val="tx1"/>
                    </a:solidFill>
                    <a:latin typeface="Arial" panose="020B0604020202020204" pitchFamily="34" charset="0"/>
                    <a:cs typeface="Arial" panose="020B0604020202020204" pitchFamily="34" charset="0"/>
                  </a:rPr>
                  <a:t>h</a:t>
                </a:r>
                <a:r>
                  <a:rPr lang="en-GB" sz="900" baseline="30000">
                    <a:solidFill>
                      <a:schemeClr val="tx1"/>
                    </a:solidFill>
                    <a:latin typeface="Arial" panose="020B0604020202020204" pitchFamily="34" charset="0"/>
                    <a:cs typeface="Arial" panose="020B0604020202020204" pitchFamily="34" charset="0"/>
                  </a:rPr>
                  <a:t>-1</a:t>
                </a:r>
                <a:r>
                  <a:rPr lang="en-GB" sz="900">
                    <a:solidFill>
                      <a:schemeClr val="tx1"/>
                    </a:solidFill>
                    <a:latin typeface="Arial" panose="020B0604020202020204" pitchFamily="34" charset="0"/>
                    <a:cs typeface="Arial" panose="020B0604020202020204" pitchFamily="34" charset="0"/>
                  </a:rPr>
                  <a:t>]</a:t>
                </a:r>
                <a:r>
                  <a:rPr lang="en-GB" sz="1050">
                    <a:latin typeface="Arial" panose="020B0604020202020204" pitchFamily="34" charset="0"/>
                    <a:cs typeface="Arial" panose="020B0604020202020204" pitchFamily="34" charset="0"/>
                  </a:rPr>
                  <a:t> </a:t>
                </a:r>
              </a:p>
            </c:rich>
          </c:tx>
          <c:overlay val="0"/>
          <c:spPr>
            <a:noFill/>
            <a:ln>
              <a:noFill/>
            </a:ln>
            <a:effectLst/>
          </c:spPr>
        </c:title>
        <c:numFmt formatCode="#,#00" sourceLinked="1"/>
        <c:majorTickMark val="none"/>
        <c:minorTickMark val="none"/>
        <c:tickLblPos val="nextTo"/>
        <c:spPr>
          <a:noFill/>
          <a:ln w="222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da-DK"/>
          </a:p>
        </c:txPr>
        <c:crossAx val="85092608"/>
        <c:crosses val="autoZero"/>
        <c:crossBetween val="midCat"/>
      </c:valAx>
      <c:spPr>
        <a:noFill/>
        <a:ln w="25400">
          <a:noFill/>
        </a:ln>
        <a:effectLst/>
      </c:spPr>
    </c:plotArea>
    <c:legend>
      <c:legendPos val="t"/>
      <c:legendEntry>
        <c:idx val="0"/>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da-DK"/>
          </a:p>
        </c:txPr>
      </c:legendEntry>
      <c:legendEntry>
        <c:idx val="1"/>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da-DK"/>
          </a:p>
        </c:txPr>
      </c:legendEntry>
      <c:layout>
        <c:manualLayout>
          <c:xMode val="edge"/>
          <c:yMode val="edge"/>
          <c:x val="0.70061548485261516"/>
          <c:y val="0.34366716359913307"/>
          <c:w val="0.21952454816483549"/>
          <c:h val="9.781412965729810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da-DK"/>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da-DK"/>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v>Before cleaning</c:v>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'Plate-and-frame 1k Da UF'!$N$2:$N$14</c:f>
              <c:numCache>
                <c:formatCode>h:mm</c:formatCode>
                <c:ptCount val="13"/>
                <c:pt idx="0">
                  <c:v>0</c:v>
                </c:pt>
                <c:pt idx="1">
                  <c:v>1.388888888888884E-3</c:v>
                </c:pt>
                <c:pt idx="2">
                  <c:v>4.8611111111110938E-3</c:v>
                </c:pt>
                <c:pt idx="3">
                  <c:v>8.3333333333333037E-3</c:v>
                </c:pt>
                <c:pt idx="4">
                  <c:v>1.5277777777777835E-2</c:v>
                </c:pt>
                <c:pt idx="5">
                  <c:v>2.2222222222222254E-2</c:v>
                </c:pt>
                <c:pt idx="6">
                  <c:v>3.6111111111111094E-2</c:v>
                </c:pt>
                <c:pt idx="7">
                  <c:v>4.9999999999999933E-2</c:v>
                </c:pt>
                <c:pt idx="8">
                  <c:v>6.3888888888888884E-2</c:v>
                </c:pt>
                <c:pt idx="9">
                  <c:v>0.10555555555555551</c:v>
                </c:pt>
                <c:pt idx="10">
                  <c:v>0.14722222222222225</c:v>
                </c:pt>
                <c:pt idx="11">
                  <c:v>0.18888888888888888</c:v>
                </c:pt>
                <c:pt idx="12">
                  <c:v>0.21666666666666667</c:v>
                </c:pt>
              </c:numCache>
            </c:numRef>
          </c:xVal>
          <c:yVal>
            <c:numRef>
              <c:f>'Plate-and-frame 1k Da UF'!$O$2:$O$14</c:f>
              <c:numCache>
                <c:formatCode>#,#00</c:formatCode>
                <c:ptCount val="13"/>
                <c:pt idx="0">
                  <c:v>127.7</c:v>
                </c:pt>
                <c:pt idx="1">
                  <c:v>90.250000000000028</c:v>
                </c:pt>
                <c:pt idx="2">
                  <c:v>82.75</c:v>
                </c:pt>
                <c:pt idx="3">
                  <c:v>79.749999999999986</c:v>
                </c:pt>
                <c:pt idx="4">
                  <c:v>76.750000000000014</c:v>
                </c:pt>
                <c:pt idx="5">
                  <c:v>73.250000000000028</c:v>
                </c:pt>
                <c:pt idx="6">
                  <c:v>68.25</c:v>
                </c:pt>
                <c:pt idx="7">
                  <c:v>64.5</c:v>
                </c:pt>
                <c:pt idx="8">
                  <c:v>64.000000000000028</c:v>
                </c:pt>
                <c:pt idx="9">
                  <c:v>54.499999999999964</c:v>
                </c:pt>
                <c:pt idx="10">
                  <c:v>49.5</c:v>
                </c:pt>
                <c:pt idx="11">
                  <c:v>39.499999999999993</c:v>
                </c:pt>
                <c:pt idx="12">
                  <c:v>42.500000000000007</c:v>
                </c:pt>
              </c:numCache>
            </c:numRef>
          </c:yVal>
          <c:smooth val="0"/>
          <c:extLst xmlns:c16r2="http://schemas.microsoft.com/office/drawing/2015/06/chart">
            <c:ext xmlns:c16="http://schemas.microsoft.com/office/drawing/2014/chart" uri="{C3380CC4-5D6E-409C-BE32-E72D297353CC}">
              <c16:uniqueId val="{00000000-E64C-4E85-B912-C7C9FA386603}"/>
            </c:ext>
          </c:extLst>
        </c:ser>
        <c:ser>
          <c:idx val="1"/>
          <c:order val="1"/>
          <c:tx>
            <c:v>After cleaning</c:v>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'Plate-and-frame 1k Da UF'!$N$15:$N$23</c:f>
              <c:numCache>
                <c:formatCode>h:mm</c:formatCode>
                <c:ptCount val="9"/>
                <c:pt idx="0">
                  <c:v>0.21666666666666667</c:v>
                </c:pt>
                <c:pt idx="1">
                  <c:v>0.21805555555555556</c:v>
                </c:pt>
                <c:pt idx="2">
                  <c:v>0.22013888888888883</c:v>
                </c:pt>
                <c:pt idx="3">
                  <c:v>0.22361111111111109</c:v>
                </c:pt>
                <c:pt idx="4">
                  <c:v>0.23055555555555551</c:v>
                </c:pt>
                <c:pt idx="5">
                  <c:v>0.2409722222222222</c:v>
                </c:pt>
                <c:pt idx="6">
                  <c:v>0.25486111111111109</c:v>
                </c:pt>
                <c:pt idx="7">
                  <c:v>0.27569444444444446</c:v>
                </c:pt>
                <c:pt idx="8">
                  <c:v>0.29652777777777772</c:v>
                </c:pt>
              </c:numCache>
            </c:numRef>
          </c:xVal>
          <c:yVal>
            <c:numRef>
              <c:f>'Plate-and-frame 1k Da UF'!$O$15:$O$23</c:f>
              <c:numCache>
                <c:formatCode>#,#00</c:formatCode>
                <c:ptCount val="9"/>
                <c:pt idx="0">
                  <c:v>106.80000000000003</c:v>
                </c:pt>
                <c:pt idx="1">
                  <c:v>32.999999999999979</c:v>
                </c:pt>
                <c:pt idx="2">
                  <c:v>32.500000000000007</c:v>
                </c:pt>
                <c:pt idx="3">
                  <c:v>29.000000000000021</c:v>
                </c:pt>
                <c:pt idx="4">
                  <c:v>29.750000000000018</c:v>
                </c:pt>
                <c:pt idx="5">
                  <c:v>27.500000000000004</c:v>
                </c:pt>
                <c:pt idx="6">
                  <c:v>26.500000000000025</c:v>
                </c:pt>
                <c:pt idx="7">
                  <c:v>25.749999999999996</c:v>
                </c:pt>
                <c:pt idx="8">
                  <c:v>23.249999999999993</c:v>
                </c:pt>
              </c:numCache>
            </c:numRef>
          </c:yVal>
          <c:smooth val="0"/>
          <c:extLst xmlns:c16r2="http://schemas.microsoft.com/office/drawing/2015/06/chart">
            <c:ext xmlns:c16="http://schemas.microsoft.com/office/drawing/2014/chart" uri="{C3380CC4-5D6E-409C-BE32-E72D297353CC}">
              <c16:uniqueId val="{00000001-E64C-4E85-B912-C7C9FA386603}"/>
            </c:ext>
          </c:extLst>
        </c:ser>
        <c:dLbls>
          <c:showLegendKey val="0"/>
          <c:showVal val="0"/>
          <c:showCatName val="0"/>
          <c:showSerName val="0"/>
          <c:showPercent val="0"/>
          <c:showBubbleSize val="0"/>
        </c:dLbls>
        <c:axId val="107756160"/>
        <c:axId val="107762816"/>
      </c:scatterChart>
      <c:valAx>
        <c:axId val="107756160"/>
        <c:scaling>
          <c:orientation val="minMax"/>
          <c:max val="0.30000000000000004"/>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da-DK" sz="900">
                    <a:solidFill>
                      <a:schemeClr val="tx1"/>
                    </a:solidFill>
                    <a:latin typeface="Arial" panose="020B0604020202020204" pitchFamily="34" charset="0"/>
                    <a:cs typeface="Arial" panose="020B0604020202020204" pitchFamily="34" charset="0"/>
                  </a:rPr>
                  <a:t>Time [hours:minutes]</a:t>
                </a:r>
              </a:p>
            </c:rich>
          </c:tx>
          <c:overlay val="0"/>
          <c:spPr>
            <a:noFill/>
            <a:ln>
              <a:noFill/>
            </a:ln>
            <a:effectLst/>
          </c:spPr>
        </c:title>
        <c:numFmt formatCode="h:mm;@" sourceLinked="0"/>
        <c:majorTickMark val="none"/>
        <c:minorTickMark val="none"/>
        <c:tickLblPos val="nextTo"/>
        <c:spPr>
          <a:noFill/>
          <a:ln w="222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da-DK"/>
          </a:p>
        </c:txPr>
        <c:crossAx val="107762816"/>
        <c:crosses val="autoZero"/>
        <c:crossBetween val="midCat"/>
      </c:valAx>
      <c:valAx>
        <c:axId val="107762816"/>
        <c:scaling>
          <c:orientation val="minMax"/>
          <c:max val="150"/>
          <c:min val="0"/>
        </c:scaling>
        <c:delete val="0"/>
        <c:axPos val="l"/>
        <c:title>
          <c:tx>
            <c:rich>
              <a:bodyPr rot="-54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r>
                  <a:rPr lang="da-DK" sz="900">
                    <a:solidFill>
                      <a:schemeClr val="tx1"/>
                    </a:solidFill>
                    <a:latin typeface="Arial" panose="020B0604020202020204" pitchFamily="34" charset="0"/>
                    <a:cs typeface="Arial" panose="020B0604020202020204" pitchFamily="34" charset="0"/>
                  </a:rPr>
                  <a:t>Permeate flux [L</a:t>
                </a:r>
                <a:r>
                  <a:rPr lang="da-DK" sz="900">
                    <a:solidFill>
                      <a:schemeClr val="tx1"/>
                    </a:solidFill>
                    <a:latin typeface="Arial" panose="020B0604020202020204" pitchFamily="34" charset="0"/>
                    <a:ea typeface="Cambria Math"/>
                    <a:cs typeface="Arial" panose="020B0604020202020204" pitchFamily="34" charset="0"/>
                  </a:rPr>
                  <a:t>·m</a:t>
                </a:r>
                <a:r>
                  <a:rPr lang="da-DK" sz="900" baseline="30000">
                    <a:solidFill>
                      <a:schemeClr val="tx1"/>
                    </a:solidFill>
                    <a:latin typeface="Arial" panose="020B0604020202020204" pitchFamily="34" charset="0"/>
                    <a:ea typeface="Cambria Math"/>
                    <a:cs typeface="Arial" panose="020B0604020202020204" pitchFamily="34" charset="0"/>
                  </a:rPr>
                  <a:t>-2</a:t>
                </a:r>
                <a:r>
                  <a:rPr lang="da-DK" sz="900">
                    <a:solidFill>
                      <a:schemeClr val="tx1"/>
                    </a:solidFill>
                    <a:latin typeface="Arial" panose="020B0604020202020204" pitchFamily="34" charset="0"/>
                    <a:ea typeface="Cambria Math"/>
                    <a:cs typeface="Arial" panose="020B0604020202020204" pitchFamily="34" charset="0"/>
                  </a:rPr>
                  <a:t>·h</a:t>
                </a:r>
                <a:r>
                  <a:rPr lang="da-DK" sz="900" baseline="30000">
                    <a:solidFill>
                      <a:schemeClr val="tx1"/>
                    </a:solidFill>
                    <a:latin typeface="Arial" panose="020B0604020202020204" pitchFamily="34" charset="0"/>
                    <a:ea typeface="Cambria Math"/>
                    <a:cs typeface="Arial" panose="020B0604020202020204" pitchFamily="34" charset="0"/>
                  </a:rPr>
                  <a:t>-1</a:t>
                </a:r>
                <a:r>
                  <a:rPr lang="da-DK" sz="900">
                    <a:solidFill>
                      <a:schemeClr val="tx1"/>
                    </a:solidFill>
                    <a:latin typeface="Arial" panose="020B0604020202020204" pitchFamily="34" charset="0"/>
                    <a:cs typeface="Arial" panose="020B0604020202020204" pitchFamily="34" charset="0"/>
                  </a:rPr>
                  <a:t>]</a:t>
                </a:r>
              </a:p>
            </c:rich>
          </c:tx>
          <c:overlay val="0"/>
          <c:spPr>
            <a:noFill/>
            <a:ln>
              <a:noFill/>
            </a:ln>
            <a:effectLst/>
          </c:spPr>
        </c:title>
        <c:numFmt formatCode="#,#00" sourceLinked="1"/>
        <c:majorTickMark val="none"/>
        <c:minorTickMark val="none"/>
        <c:tickLblPos val="nextTo"/>
        <c:spPr>
          <a:noFill/>
          <a:ln w="222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da-DK"/>
          </a:p>
        </c:txPr>
        <c:crossAx val="107756160"/>
        <c:crosses val="autoZero"/>
        <c:crossBetween val="midCat"/>
      </c:valAx>
      <c:spPr>
        <a:noFill/>
        <a:ln>
          <a:noFill/>
        </a:ln>
        <a:effectLst/>
      </c:spPr>
    </c:plotArea>
    <c:legend>
      <c:legendPos val="t"/>
      <c:legendEntry>
        <c:idx val="0"/>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da-DK"/>
          </a:p>
        </c:txPr>
      </c:legendEntry>
      <c:legendEntry>
        <c:idx val="1"/>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da-DK"/>
          </a:p>
        </c:txPr>
      </c:legendEntry>
      <c:layout>
        <c:manualLayout>
          <c:xMode val="edge"/>
          <c:yMode val="edge"/>
          <c:x val="0.70091787348705004"/>
          <c:y val="6.9152539016898731E-2"/>
          <c:w val="0.26373194473941014"/>
          <c:h val="0.167624758825676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da-DK"/>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da-DK"/>
    </a:p>
  </c:txPr>
  <c:externalData r:id="rId1">
    <c:autoUpdate val="0"/>
  </c:externalData>
</c:chartSpac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A9B2F-33A4-4298-BFE6-95B7062BA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6</Pages>
  <Words>2309</Words>
  <Characters>14091</Characters>
  <Application>Microsoft Office Word</Application>
  <DocSecurity>0</DocSecurity>
  <Lines>117</Lines>
  <Paragraphs>32</Paragraphs>
  <ScaleCrop>false</ScaleCrop>
  <HeadingPairs>
    <vt:vector size="6" baseType="variant">
      <vt:variant>
        <vt:lpstr>Title</vt:lpstr>
      </vt:variant>
      <vt:variant>
        <vt:i4>1</vt:i4>
      </vt:variant>
      <vt:variant>
        <vt:lpstr>Titel</vt:lpstr>
      </vt:variant>
      <vt:variant>
        <vt:i4>1</vt:i4>
      </vt:variant>
      <vt:variant>
        <vt:lpstr>Titolo</vt:lpstr>
      </vt:variant>
      <vt:variant>
        <vt:i4>1</vt:i4>
      </vt:variant>
    </vt:vector>
  </HeadingPairs>
  <TitlesOfParts>
    <vt:vector size="3" baseType="lpstr">
      <vt:lpstr/>
      <vt:lpstr/>
      <vt:lpstr/>
    </vt:vector>
  </TitlesOfParts>
  <Company>Dipartimento CMIC - Politecnico di Milano</Company>
  <LinksUpToDate>false</LinksUpToDate>
  <CharactersWithSpaces>16368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Knud Villy Christensen</cp:lastModifiedBy>
  <cp:revision>6</cp:revision>
  <cp:lastPrinted>2019-01-28T09:25:00Z</cp:lastPrinted>
  <dcterms:created xsi:type="dcterms:W3CDTF">2019-04-14T15:11:00Z</dcterms:created>
  <dcterms:modified xsi:type="dcterms:W3CDTF">2019-04-14T21:42:00Z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