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944"/>
        <w:gridCol w:w="1843"/>
      </w:tblGrid>
      <w:tr w:rsidR="000A03B2" w:rsidRPr="00B57B36">
        <w:trPr>
          <w:trHeight w:val="852"/>
          <w:jc w:val="center"/>
        </w:trPr>
        <w:tc>
          <w:tcPr>
            <w:tcW w:w="6946" w:type="dxa"/>
            <w:vMerge w:val="restart"/>
            <w:tcBorders>
              <w:right w:val="single" w:sz="4" w:space="0" w:color="auto"/>
            </w:tcBorders>
          </w:tcPr>
          <w:p w:rsidR="000A03B2" w:rsidRPr="00B57B36" w:rsidRDefault="000A03B2" w:rsidP="00DE264A">
            <w:pPr>
              <w:tabs>
                <w:tab w:val="left" w:pos="-108"/>
              </w:tabs>
              <w:ind w:left="-108"/>
              <w:jc w:val="left"/>
              <w:rPr>
                <w:rFonts w:cs="Arial"/>
                <w:b/>
                <w:bCs/>
                <w:i/>
                <w:iCs/>
                <w:color w:val="000066"/>
                <w:sz w:val="12"/>
                <w:szCs w:val="12"/>
                <w:lang w:eastAsia="it-IT"/>
              </w:rPr>
            </w:pPr>
            <w:r w:rsidRPr="00B57B36">
              <w:rPr>
                <w:rFonts w:ascii="AdvP6960" w:hAnsi="AdvP6960" w:cs="AdvP6960"/>
                <w:noProof/>
                <w:color w:val="241F20"/>
                <w:szCs w:val="18"/>
                <w:lang w:val="en-US"/>
              </w:rPr>
              <w:drawing>
                <wp:inline distT="0" distB="0" distL="0" distR="0">
                  <wp:extent cx="640080" cy="373380"/>
                  <wp:effectExtent l="0" t="0" r="7620" b="7620"/>
                  <wp:docPr id="5" name="Immagine 5" descr="cet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et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7B36">
              <w:rPr>
                <w:rFonts w:ascii="AdvP6960" w:hAnsi="AdvP6960" w:cs="AdvP6960"/>
                <w:color w:val="241F20"/>
                <w:szCs w:val="18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4"/>
                <w:szCs w:val="24"/>
                <w:lang w:eastAsia="it-IT"/>
              </w:rPr>
              <w:t>CHEMICAL ENGINEERING</w:t>
            </w:r>
            <w:r w:rsidRPr="00B57B36">
              <w:rPr>
                <w:rFonts w:cs="Arial"/>
                <w:b/>
                <w:bCs/>
                <w:i/>
                <w:iCs/>
                <w:color w:val="0033FF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666666"/>
                <w:sz w:val="24"/>
                <w:szCs w:val="24"/>
                <w:lang w:eastAsia="it-IT"/>
              </w:rPr>
              <w:t>TRANSACTIONS</w:t>
            </w:r>
            <w:r w:rsidRPr="00B57B36">
              <w:rPr>
                <w:color w:val="333333"/>
                <w:sz w:val="24"/>
                <w:szCs w:val="24"/>
                <w:lang w:eastAsia="it-IT"/>
              </w:rPr>
              <w:t xml:space="preserve"> </w:t>
            </w:r>
            <w:r w:rsidRPr="00B57B36">
              <w:rPr>
                <w:rFonts w:cs="Arial"/>
                <w:b/>
                <w:bCs/>
                <w:i/>
                <w:iCs/>
                <w:color w:val="000066"/>
                <w:sz w:val="27"/>
                <w:szCs w:val="27"/>
                <w:lang w:eastAsia="it-IT"/>
              </w:rPr>
              <w:br/>
            </w:r>
          </w:p>
          <w:p w:rsidR="000A03B2" w:rsidRPr="00B57B36" w:rsidRDefault="00A76EFC" w:rsidP="009635B9">
            <w:pPr>
              <w:tabs>
                <w:tab w:val="left" w:pos="-108"/>
              </w:tabs>
              <w:ind w:left="-108"/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</w:pPr>
            <w:r w:rsidRPr="00B57B36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 xml:space="preserve">VOL. </w:t>
            </w:r>
            <w:r w:rsidR="007931FA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7</w:t>
            </w:r>
            <w:r w:rsidR="009635B9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6</w:t>
            </w:r>
            <w:r w:rsidR="00FA5F5F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, 201</w:t>
            </w:r>
            <w:r w:rsidR="007931FA">
              <w:rPr>
                <w:rFonts w:cs="Arial"/>
                <w:b/>
                <w:bCs/>
                <w:i/>
                <w:iCs/>
                <w:color w:val="000066"/>
                <w:sz w:val="22"/>
                <w:szCs w:val="22"/>
                <w:lang w:eastAsia="it-IT"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A publication of</w:t>
            </w:r>
          </w:p>
          <w:p w:rsidR="000A03B2" w:rsidRPr="00B57B36" w:rsidRDefault="000A03B2" w:rsidP="00CD5FE2">
            <w:pPr>
              <w:jc w:val="right"/>
            </w:pPr>
            <w:r w:rsidRPr="00B57B36">
              <w:rPr>
                <w:noProof/>
                <w:lang w:val="en-US"/>
              </w:rPr>
              <w:drawing>
                <wp:inline distT="0" distB="0" distL="0" distR="0">
                  <wp:extent cx="670560" cy="358140"/>
                  <wp:effectExtent l="0" t="0" r="0" b="3810"/>
                  <wp:docPr id="6" name="Immagine 6" descr="aidiclogo_gran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idiclogo_gran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58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3B2" w:rsidRPr="00B57B36">
        <w:trPr>
          <w:trHeight w:val="567"/>
          <w:jc w:val="center"/>
        </w:trPr>
        <w:tc>
          <w:tcPr>
            <w:tcW w:w="6946" w:type="dxa"/>
            <w:vMerge/>
            <w:tcBorders>
              <w:right w:val="single" w:sz="4" w:space="0" w:color="auto"/>
            </w:tcBorders>
          </w:tcPr>
          <w:p w:rsidR="000A03B2" w:rsidRPr="00B57B36" w:rsidRDefault="000A03B2" w:rsidP="00CD5FE2">
            <w:pPr>
              <w:tabs>
                <w:tab w:val="left" w:pos="-108"/>
              </w:tabs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The Italian Association</w:t>
            </w:r>
          </w:p>
          <w:p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>of Chemical Engineering</w:t>
            </w:r>
          </w:p>
          <w:p w:rsidR="000A03B2" w:rsidRPr="00B57B36" w:rsidRDefault="000A03B2" w:rsidP="00CD5FE2">
            <w:pPr>
              <w:spacing w:line="140" w:lineRule="atLeast"/>
              <w:jc w:val="right"/>
              <w:rPr>
                <w:rFonts w:cs="Arial"/>
                <w:sz w:val="14"/>
                <w:szCs w:val="14"/>
              </w:rPr>
            </w:pPr>
            <w:r w:rsidRPr="00B57B36">
              <w:rPr>
                <w:rFonts w:cs="Arial"/>
                <w:sz w:val="14"/>
                <w:szCs w:val="14"/>
              </w:rPr>
              <w:t xml:space="preserve">Online at </w:t>
            </w:r>
            <w:r w:rsidR="00892AD5" w:rsidRPr="00963E05">
              <w:rPr>
                <w:rFonts w:cs="Arial"/>
                <w:sz w:val="14"/>
                <w:szCs w:val="14"/>
              </w:rPr>
              <w:t>www.aidic.it/cet</w:t>
            </w:r>
          </w:p>
        </w:tc>
      </w:tr>
      <w:tr w:rsidR="000A03B2" w:rsidRPr="00B57B36">
        <w:trPr>
          <w:trHeight w:val="68"/>
          <w:jc w:val="center"/>
        </w:trPr>
        <w:tc>
          <w:tcPr>
            <w:tcW w:w="8789" w:type="dxa"/>
            <w:gridSpan w:val="2"/>
          </w:tcPr>
          <w:p w:rsidR="00300E56" w:rsidRPr="00252C1A" w:rsidRDefault="00300E56" w:rsidP="003365E3">
            <w:pPr>
              <w:ind w:left="-107"/>
              <w:rPr>
                <w:lang w:val="it-IT"/>
              </w:rPr>
            </w:pPr>
            <w:r w:rsidRPr="00252C1A">
              <w:rPr>
                <w:rFonts w:ascii="Tahoma" w:hAnsi="Tahoma" w:cs="Tahoma"/>
                <w:iCs/>
                <w:color w:val="333333"/>
                <w:sz w:val="14"/>
                <w:szCs w:val="14"/>
                <w:lang w:val="it-IT" w:eastAsia="it-IT"/>
              </w:rPr>
              <w:t>Guest Editors:</w:t>
            </w:r>
            <w:r w:rsidR="00904C62" w:rsidRPr="00252C1A">
              <w:rPr>
                <w:rFonts w:ascii="Tahoma" w:hAnsi="Tahoma" w:cs="Tahoma"/>
                <w:iCs/>
                <w:color w:val="333333"/>
                <w:sz w:val="14"/>
                <w:szCs w:val="14"/>
                <w:lang w:val="it-IT" w:eastAsia="it-IT"/>
              </w:rPr>
              <w:t xml:space="preserve"> </w:t>
            </w:r>
            <w:r w:rsidR="009635B9" w:rsidRPr="00252C1A">
              <w:rPr>
                <w:rFonts w:ascii="Tahoma" w:hAnsi="Tahoma" w:cs="Tahoma"/>
                <w:sz w:val="14"/>
                <w:szCs w:val="14"/>
                <w:lang w:val="it-IT"/>
              </w:rPr>
              <w:t>Sauro Pierucci,</w:t>
            </w:r>
            <w:r w:rsidR="003B60F3" w:rsidRPr="00252C1A">
              <w:rPr>
                <w:rFonts w:ascii="Tahoma" w:hAnsi="Tahoma" w:cs="Tahoma"/>
                <w:sz w:val="14"/>
                <w:szCs w:val="14"/>
                <w:lang w:val="it-IT"/>
              </w:rPr>
              <w:t xml:space="preserve"> </w:t>
            </w:r>
            <w:r w:rsidR="00047D7F" w:rsidRPr="00252C1A">
              <w:rPr>
                <w:rFonts w:ascii="Tahoma" w:hAnsi="Tahoma" w:cs="Tahoma"/>
                <w:sz w:val="14"/>
                <w:szCs w:val="14"/>
                <w:shd w:val="clear" w:color="auto" w:fill="FFFFFF"/>
                <w:lang w:val="it-IT"/>
              </w:rPr>
              <w:t>Jiří Jaromír Klemeš</w:t>
            </w:r>
            <w:r w:rsidR="00252C1A">
              <w:rPr>
                <w:rFonts w:ascii="Tahoma" w:hAnsi="Tahoma" w:cs="Tahoma"/>
                <w:sz w:val="14"/>
                <w:szCs w:val="14"/>
                <w:shd w:val="clear" w:color="auto" w:fill="FFFFFF"/>
                <w:lang w:val="it-IT"/>
              </w:rPr>
              <w:t>, Lau</w:t>
            </w:r>
            <w:r w:rsidR="00252C1A" w:rsidRPr="00252C1A">
              <w:rPr>
                <w:rFonts w:ascii="Tahoma" w:hAnsi="Tahoma" w:cs="Tahoma"/>
                <w:sz w:val="14"/>
                <w:szCs w:val="14"/>
                <w:shd w:val="clear" w:color="auto" w:fill="FFFFFF"/>
                <w:lang w:val="it-IT"/>
              </w:rPr>
              <w:t>ra Piazza</w:t>
            </w:r>
          </w:p>
          <w:p w:rsidR="000A03B2" w:rsidRPr="00B57B36" w:rsidRDefault="00FA5F5F" w:rsidP="00131FAB">
            <w:pPr>
              <w:tabs>
                <w:tab w:val="left" w:pos="-108"/>
              </w:tabs>
              <w:spacing w:line="140" w:lineRule="atLeast"/>
              <w:ind w:left="-107"/>
              <w:jc w:val="left"/>
            </w:pPr>
            <w:r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Copyright © 201</w:t>
            </w:r>
            <w:r w:rsidR="007931FA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9</w:t>
            </w:r>
            <w:r w:rsidR="00904C62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, AIDIC Servizi S.r.l.</w:t>
            </w:r>
            <w:r w:rsidR="00300E56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br/>
            </w:r>
            <w:r w:rsidR="00300E56" w:rsidRPr="00B57B36">
              <w:rPr>
                <w:rFonts w:ascii="Tahoma" w:hAnsi="Tahoma" w:cs="Tahoma"/>
                <w:b/>
                <w:iCs/>
                <w:color w:val="000000"/>
                <w:sz w:val="14"/>
                <w:szCs w:val="14"/>
                <w:lang w:eastAsia="it-IT"/>
              </w:rPr>
              <w:t>ISBN</w:t>
            </w:r>
            <w:r w:rsidR="00300E56" w:rsidRPr="00B57B36">
              <w:rPr>
                <w:rFonts w:ascii="Tahoma" w:hAnsi="Tahoma" w:cs="Tahoma"/>
                <w:iCs/>
                <w:color w:val="000000"/>
                <w:sz w:val="14"/>
                <w:szCs w:val="14"/>
                <w:lang w:eastAsia="it-IT"/>
              </w:rPr>
              <w:t xml:space="preserve"> </w:t>
            </w:r>
            <w:r w:rsidR="008D32B9" w:rsidRPr="00131FAB">
              <w:rPr>
                <w:rFonts w:ascii="Tahoma" w:hAnsi="Tahoma" w:cs="Tahoma"/>
                <w:sz w:val="14"/>
                <w:szCs w:val="14"/>
              </w:rPr>
              <w:t>978-88-95608-</w:t>
            </w:r>
            <w:r w:rsidR="009635B9">
              <w:rPr>
                <w:rFonts w:ascii="Tahoma" w:hAnsi="Tahoma" w:cs="Tahoma"/>
                <w:sz w:val="14"/>
                <w:szCs w:val="14"/>
              </w:rPr>
              <w:t>73</w:t>
            </w:r>
            <w:r w:rsidR="008D32B9" w:rsidRPr="00131FAB">
              <w:rPr>
                <w:rFonts w:ascii="Tahoma" w:hAnsi="Tahoma" w:cs="Tahoma"/>
                <w:sz w:val="14"/>
                <w:szCs w:val="14"/>
              </w:rPr>
              <w:t>-</w:t>
            </w:r>
            <w:r w:rsidR="009635B9">
              <w:rPr>
                <w:rFonts w:ascii="Tahoma" w:hAnsi="Tahoma" w:cs="Tahoma"/>
                <w:sz w:val="14"/>
                <w:szCs w:val="14"/>
              </w:rPr>
              <w:t>0</w:t>
            </w:r>
            <w:r w:rsidR="00300E56" w:rsidRPr="00131FAB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>;</w:t>
            </w:r>
            <w:r w:rsidR="00300E56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</w:t>
            </w:r>
            <w:r w:rsidR="00300E56" w:rsidRPr="00B57B36">
              <w:rPr>
                <w:rFonts w:ascii="Tahoma" w:hAnsi="Tahoma" w:cs="Tahoma"/>
                <w:b/>
                <w:iCs/>
                <w:color w:val="333333"/>
                <w:sz w:val="14"/>
                <w:szCs w:val="14"/>
                <w:lang w:eastAsia="it-IT"/>
              </w:rPr>
              <w:t>ISSN</w:t>
            </w:r>
            <w:r w:rsidR="00300E56" w:rsidRPr="00B57B36">
              <w:rPr>
                <w:rFonts w:ascii="Tahoma" w:hAnsi="Tahoma" w:cs="Tahoma"/>
                <w:iCs/>
                <w:color w:val="333333"/>
                <w:sz w:val="14"/>
                <w:szCs w:val="14"/>
                <w:lang w:eastAsia="it-IT"/>
              </w:rPr>
              <w:t xml:space="preserve"> 2283-9216</w:t>
            </w:r>
          </w:p>
        </w:tc>
      </w:tr>
    </w:tbl>
    <w:p w:rsidR="000A03B2" w:rsidRPr="00B57B36" w:rsidRDefault="000A03B2" w:rsidP="000A03B2">
      <w:pPr>
        <w:pStyle w:val="CETAuthors"/>
        <w:sectPr w:rsidR="000A03B2" w:rsidRPr="00B57B36">
          <w:type w:val="continuous"/>
          <w:pgSz w:w="11906" w:h="16838" w:code="9"/>
          <w:pgMar w:top="1701" w:right="1418" w:bottom="1701" w:left="1701" w:header="1701" w:footer="0" w:gutter="0"/>
          <w:cols w:space="708"/>
          <w:titlePg/>
          <w:docGrid w:linePitch="360"/>
        </w:sectPr>
      </w:pPr>
    </w:p>
    <w:p w:rsidR="00E978D0" w:rsidRPr="00B57B36" w:rsidRDefault="00BA6633" w:rsidP="00E978D0">
      <w:pPr>
        <w:pStyle w:val="CETTitle"/>
      </w:pPr>
      <w:r>
        <w:lastRenderedPageBreak/>
        <w:t>Microbial Chromiu</w:t>
      </w:r>
      <w:r w:rsidR="0097133F">
        <w:t>m (VI) Immobilization in Saturated Aquifer Columns Using Culture Inoculated Soil</w:t>
      </w:r>
    </w:p>
    <w:p w:rsidR="00E978D0" w:rsidRPr="00B57B36" w:rsidRDefault="0097133F" w:rsidP="00AB5011">
      <w:pPr>
        <w:pStyle w:val="CETAuthors"/>
      </w:pPr>
      <w:r>
        <w:t>Nondumiso C. Mbonambi</w:t>
      </w:r>
      <w:r w:rsidR="00FE1F61" w:rsidRPr="00B57B36">
        <w:t>*</w:t>
      </w:r>
      <w:r>
        <w:t>,</w:t>
      </w:r>
      <w:r w:rsidR="00172269">
        <w:t xml:space="preserve"> Sintle M. Mojela,</w:t>
      </w:r>
      <w:r w:rsidR="00FB5D86">
        <w:t xml:space="preserve"> Evans M. N. Chirwa</w:t>
      </w:r>
    </w:p>
    <w:p w:rsidR="00FB5D86" w:rsidRDefault="00E978D0" w:rsidP="00E978D0">
      <w:pPr>
        <w:pStyle w:val="CETAddress"/>
      </w:pPr>
      <w:r w:rsidRPr="00B57B36">
        <w:rPr>
          <w:vertAlign w:val="superscript"/>
        </w:rPr>
        <w:t>a</w:t>
      </w:r>
      <w:r w:rsidR="00FB5D86">
        <w:t>Water Utilisation and Ennvironmental Engineering Division, Department of Chemical Engineering, University of Pretoria, Pretoria 0002</w:t>
      </w:r>
    </w:p>
    <w:p w:rsidR="00F519D8" w:rsidRDefault="00372683" w:rsidP="00FB5D86">
      <w:pPr>
        <w:pStyle w:val="CETAddress"/>
      </w:pPr>
      <w:r>
        <w:t>nondumiso.charity@yahoo.com</w:t>
      </w:r>
    </w:p>
    <w:p w:rsidR="00BD1993" w:rsidRDefault="00BD1993" w:rsidP="00FB5D86">
      <w:pPr>
        <w:pStyle w:val="CETAddress"/>
      </w:pPr>
    </w:p>
    <w:p w:rsidR="00BD1993" w:rsidRDefault="00296D5E" w:rsidP="00E42831">
      <w:pPr>
        <w:rPr>
          <w:rFonts w:cs="Arial"/>
          <w:szCs w:val="18"/>
        </w:rPr>
      </w:pPr>
      <w:r>
        <w:rPr>
          <w:rFonts w:cs="Arial"/>
          <w:szCs w:val="18"/>
        </w:rPr>
        <w:t>Chromium exists in two oxidation states in the e</w:t>
      </w:r>
      <w:r w:rsidR="00583964">
        <w:rPr>
          <w:rFonts w:cs="Arial"/>
          <w:szCs w:val="18"/>
        </w:rPr>
        <w:t>nvironment namely</w:t>
      </w:r>
      <w:r w:rsidR="00562E44">
        <w:rPr>
          <w:rFonts w:cs="Arial"/>
          <w:szCs w:val="18"/>
        </w:rPr>
        <w:t>;</w:t>
      </w:r>
      <w:r w:rsidR="00583964">
        <w:rPr>
          <w:rFonts w:cs="Arial"/>
          <w:szCs w:val="18"/>
        </w:rPr>
        <w:t xml:space="preserve"> Cr(VI) which is</w:t>
      </w:r>
      <w:r w:rsidR="00DE7E24">
        <w:rPr>
          <w:rFonts w:cs="Arial"/>
          <w:szCs w:val="18"/>
        </w:rPr>
        <w:t xml:space="preserve"> highly toxic,</w:t>
      </w:r>
      <w:r w:rsidR="00583964">
        <w:rPr>
          <w:rFonts w:cs="Arial"/>
          <w:szCs w:val="18"/>
        </w:rPr>
        <w:t xml:space="preserve"> carcinogenic and mutagenic in na</w:t>
      </w:r>
      <w:r w:rsidR="003C72F4">
        <w:rPr>
          <w:rFonts w:cs="Arial"/>
          <w:szCs w:val="18"/>
        </w:rPr>
        <w:t xml:space="preserve">ture and Cr(III) which is </w:t>
      </w:r>
      <w:r w:rsidR="004B756D">
        <w:rPr>
          <w:rFonts w:cs="Arial"/>
          <w:szCs w:val="18"/>
        </w:rPr>
        <w:t>less toxic</w:t>
      </w:r>
      <w:r w:rsidR="003C72F4">
        <w:rPr>
          <w:rFonts w:cs="Arial"/>
          <w:szCs w:val="18"/>
        </w:rPr>
        <w:t>, mobile and is required in trace elements with human diets</w:t>
      </w:r>
      <w:r w:rsidR="003026BC">
        <w:rPr>
          <w:rFonts w:cs="Arial"/>
          <w:szCs w:val="18"/>
        </w:rPr>
        <w:t xml:space="preserve">. </w:t>
      </w:r>
      <w:r w:rsidR="00BD1993" w:rsidRPr="007F1D99">
        <w:rPr>
          <w:rFonts w:cs="Arial"/>
          <w:szCs w:val="18"/>
        </w:rPr>
        <w:t>South Africa holds approximately 72</w:t>
      </w:r>
      <w:r w:rsidR="00824AE0">
        <w:rPr>
          <w:rFonts w:cs="Arial"/>
          <w:szCs w:val="18"/>
        </w:rPr>
        <w:t xml:space="preserve"> </w:t>
      </w:r>
      <w:r w:rsidR="00BD1993" w:rsidRPr="007F1D99">
        <w:rPr>
          <w:rFonts w:cs="Arial"/>
          <w:szCs w:val="18"/>
        </w:rPr>
        <w:t>% of the currently documented chromium ore reserves. Areas where chromium is mined</w:t>
      </w:r>
      <w:r w:rsidR="003C72F4">
        <w:rPr>
          <w:rFonts w:cs="Arial"/>
          <w:szCs w:val="18"/>
        </w:rPr>
        <w:t>,</w:t>
      </w:r>
      <w:r w:rsidR="00BD1993" w:rsidRPr="007F1D99">
        <w:rPr>
          <w:rFonts w:cs="Arial"/>
          <w:szCs w:val="18"/>
        </w:rPr>
        <w:t xml:space="preserve"> experience severe Cr(VI) contamination</w:t>
      </w:r>
      <w:r w:rsidR="003C72F4">
        <w:rPr>
          <w:rFonts w:cs="Arial"/>
          <w:szCs w:val="18"/>
        </w:rPr>
        <w:t xml:space="preserve"> due to poor treatments of Cr(VI) by products</w:t>
      </w:r>
      <w:r w:rsidR="00BD1993" w:rsidRPr="007F1D99">
        <w:rPr>
          <w:rFonts w:cs="Arial"/>
          <w:szCs w:val="18"/>
        </w:rPr>
        <w:t>.</w:t>
      </w:r>
      <w:r w:rsidR="00DE7E24">
        <w:rPr>
          <w:rFonts w:cs="Arial"/>
          <w:szCs w:val="18"/>
        </w:rPr>
        <w:t xml:space="preserve"> Cr(VI)</w:t>
      </w:r>
      <w:r w:rsidR="00DE7E24" w:rsidRPr="007F1D99">
        <w:rPr>
          <w:rFonts w:cs="Arial"/>
          <w:szCs w:val="18"/>
        </w:rPr>
        <w:t xml:space="preserve"> is exclusively released through anthropogenic activities into wastewaters</w:t>
      </w:r>
      <w:r w:rsidR="00DE7E24">
        <w:rPr>
          <w:rFonts w:cs="Arial"/>
          <w:szCs w:val="18"/>
        </w:rPr>
        <w:t xml:space="preserve">. Biological reactors have been investigated in reducing chromium successfully. </w:t>
      </w:r>
      <w:r w:rsidR="00562E44">
        <w:rPr>
          <w:rFonts w:cs="Arial"/>
          <w:szCs w:val="18"/>
        </w:rPr>
        <w:t xml:space="preserve">Bioremediaion of Cr(VI) to Cr(III) has increasingly gained interest as it is seen as economic and ecological. </w:t>
      </w:r>
      <w:r w:rsidR="00BD1993" w:rsidRPr="007F1D99">
        <w:rPr>
          <w:rFonts w:cs="Arial"/>
          <w:szCs w:val="18"/>
        </w:rPr>
        <w:t xml:space="preserve">In this study, </w:t>
      </w:r>
      <w:r w:rsidR="00BD1993" w:rsidRPr="007F1D99">
        <w:rPr>
          <w:rFonts w:cs="Arial"/>
          <w:i/>
          <w:szCs w:val="18"/>
        </w:rPr>
        <w:t>in situ</w:t>
      </w:r>
      <w:r w:rsidR="00562E44">
        <w:rPr>
          <w:rFonts w:cs="Arial"/>
          <w:szCs w:val="18"/>
        </w:rPr>
        <w:t xml:space="preserve"> bioremediation of</w:t>
      </w:r>
      <w:r w:rsidR="00BD1993" w:rsidRPr="007F1D99">
        <w:rPr>
          <w:rFonts w:cs="Arial"/>
          <w:szCs w:val="18"/>
        </w:rPr>
        <w:t xml:space="preserve"> treating Cr(VI) aquifers</w:t>
      </w:r>
      <w:r w:rsidR="00562E44">
        <w:rPr>
          <w:rFonts w:cs="Arial"/>
          <w:szCs w:val="18"/>
        </w:rPr>
        <w:t xml:space="preserve"> is evaluated</w:t>
      </w:r>
      <w:r w:rsidR="00BD1993" w:rsidRPr="007F1D99">
        <w:rPr>
          <w:rFonts w:cs="Arial"/>
          <w:szCs w:val="18"/>
        </w:rPr>
        <w:t>.</w:t>
      </w:r>
      <w:r w:rsidR="00DE7E24">
        <w:rPr>
          <w:rFonts w:cs="Arial"/>
          <w:szCs w:val="18"/>
        </w:rPr>
        <w:t xml:space="preserve"> Firstly,</w:t>
      </w:r>
      <w:r w:rsidR="00BD1993" w:rsidRPr="007F1D99">
        <w:rPr>
          <w:rFonts w:cs="Arial"/>
          <w:szCs w:val="18"/>
        </w:rPr>
        <w:t xml:space="preserve"> </w:t>
      </w:r>
      <w:r w:rsidR="00562E44">
        <w:rPr>
          <w:rFonts w:cs="Arial"/>
          <w:szCs w:val="18"/>
        </w:rPr>
        <w:t>dried sludge containing indigenous chromium reducing bacteria (CRB) from a dried sludge was c</w:t>
      </w:r>
      <w:r w:rsidR="00BD1993" w:rsidRPr="007F1D99">
        <w:rPr>
          <w:rFonts w:cs="Arial"/>
          <w:szCs w:val="18"/>
        </w:rPr>
        <w:t>ollected from Brits Wastewater Treatment Plant, North West Province (South Africa). Batch experiments</w:t>
      </w:r>
      <w:r w:rsidR="00EA2144">
        <w:rPr>
          <w:rFonts w:cs="Arial"/>
          <w:szCs w:val="18"/>
        </w:rPr>
        <w:t xml:space="preserve"> by</w:t>
      </w:r>
      <w:r w:rsidR="003C72F4">
        <w:rPr>
          <w:rFonts w:cs="Arial"/>
          <w:szCs w:val="18"/>
        </w:rPr>
        <w:t xml:space="preserve"> isolated bacteria were done under aerobic conditions.</w:t>
      </w:r>
      <w:r w:rsidR="00EA2144">
        <w:rPr>
          <w:rFonts w:cs="Arial"/>
          <w:szCs w:val="18"/>
        </w:rPr>
        <w:t xml:space="preserve"> Cr(VI) </w:t>
      </w:r>
      <w:r w:rsidR="004100DF">
        <w:rPr>
          <w:rFonts w:cs="Arial"/>
          <w:szCs w:val="18"/>
        </w:rPr>
        <w:t>reduction was recorded at 50, 100, 200 and 400 mg/L</w:t>
      </w:r>
      <w:r w:rsidR="005336A3">
        <w:rPr>
          <w:rFonts w:cs="Arial"/>
          <w:szCs w:val="18"/>
        </w:rPr>
        <w:t xml:space="preserve"> of Cr(VI) concentrations. </w:t>
      </w:r>
      <w:r w:rsidR="00EA2144" w:rsidRPr="00EA2144">
        <w:rPr>
          <w:rFonts w:cs="Arial"/>
          <w:i/>
          <w:szCs w:val="18"/>
        </w:rPr>
        <w:t>Pseudomonas putida</w:t>
      </w:r>
      <w:r w:rsidR="006B184E">
        <w:rPr>
          <w:rFonts w:cs="Arial"/>
          <w:szCs w:val="18"/>
        </w:rPr>
        <w:t xml:space="preserve"> s</w:t>
      </w:r>
      <w:r w:rsidR="00EA2144">
        <w:rPr>
          <w:rFonts w:cs="Arial"/>
          <w:szCs w:val="18"/>
        </w:rPr>
        <w:t xml:space="preserve">howed complete Cr(VI) reduction </w:t>
      </w:r>
      <w:r w:rsidR="00562E44">
        <w:rPr>
          <w:rFonts w:cs="Arial"/>
          <w:szCs w:val="18"/>
        </w:rPr>
        <w:t>within</w:t>
      </w:r>
      <w:r w:rsidR="00824AE0">
        <w:rPr>
          <w:rFonts w:cs="Arial"/>
          <w:szCs w:val="18"/>
        </w:rPr>
        <w:t xml:space="preserve"> 5 h</w:t>
      </w:r>
      <w:r w:rsidR="00562E44">
        <w:rPr>
          <w:rFonts w:cs="Arial"/>
          <w:szCs w:val="18"/>
        </w:rPr>
        <w:t xml:space="preserve"> of batch analysis</w:t>
      </w:r>
      <w:r w:rsidR="00EA2144">
        <w:rPr>
          <w:rFonts w:cs="Arial"/>
          <w:szCs w:val="18"/>
        </w:rPr>
        <w:t xml:space="preserve">. </w:t>
      </w:r>
      <w:r w:rsidR="00BD1993" w:rsidRPr="007F1D99">
        <w:rPr>
          <w:rFonts w:cs="Arial"/>
          <w:szCs w:val="18"/>
        </w:rPr>
        <w:t xml:space="preserve">The continuous batch experiments were done using columns with five equally spaced sampling pots along the </w:t>
      </w:r>
      <w:r w:rsidR="00562E44">
        <w:rPr>
          <w:rFonts w:cs="Arial"/>
          <w:szCs w:val="18"/>
        </w:rPr>
        <w:t xml:space="preserve">column length. </w:t>
      </w:r>
      <w:r w:rsidR="00BD1993" w:rsidRPr="007F1D99">
        <w:rPr>
          <w:rFonts w:cs="Arial"/>
          <w:szCs w:val="18"/>
        </w:rPr>
        <w:t xml:space="preserve">Cr(VI) </w:t>
      </w:r>
      <w:r w:rsidR="00562E44">
        <w:rPr>
          <w:rFonts w:cs="Arial"/>
          <w:szCs w:val="18"/>
        </w:rPr>
        <w:t>reduction</w:t>
      </w:r>
      <w:r w:rsidR="00BD1993" w:rsidRPr="007F1D99">
        <w:rPr>
          <w:rFonts w:cs="Arial"/>
          <w:szCs w:val="18"/>
        </w:rPr>
        <w:t xml:space="preserve"> profile</w:t>
      </w:r>
      <w:r w:rsidR="00562E44">
        <w:rPr>
          <w:rFonts w:cs="Arial"/>
          <w:szCs w:val="18"/>
        </w:rPr>
        <w:t xml:space="preserve"> was thus observed</w:t>
      </w:r>
      <w:r w:rsidR="00BD1993" w:rsidRPr="007F1D99">
        <w:rPr>
          <w:rFonts w:cs="Arial"/>
          <w:szCs w:val="18"/>
        </w:rPr>
        <w:t>. At steady state there was complete reduction of Cr(VI) on all the columns including</w:t>
      </w:r>
      <w:r w:rsidR="008A44AA">
        <w:rPr>
          <w:rFonts w:cs="Arial"/>
          <w:szCs w:val="18"/>
        </w:rPr>
        <w:t>;</w:t>
      </w:r>
      <w:r w:rsidR="00BD1993" w:rsidRPr="007F1D99">
        <w:rPr>
          <w:rFonts w:cs="Arial"/>
          <w:szCs w:val="18"/>
        </w:rPr>
        <w:t xml:space="preserve"> sludge, saw dust and carbon source</w:t>
      </w:r>
      <w:r w:rsidR="004B756D">
        <w:rPr>
          <w:rFonts w:cs="Arial"/>
          <w:szCs w:val="18"/>
        </w:rPr>
        <w:t xml:space="preserve"> at 4</w:t>
      </w:r>
      <w:r w:rsidR="00BD1993" w:rsidRPr="007F1D99">
        <w:rPr>
          <w:rFonts w:cs="Arial"/>
          <w:szCs w:val="18"/>
        </w:rPr>
        <w:t xml:space="preserve">0 mg/L. The continuous batch system appeared to have certain amount </w:t>
      </w:r>
      <w:r w:rsidR="00824AE0">
        <w:rPr>
          <w:rFonts w:cs="Arial"/>
          <w:szCs w:val="18"/>
        </w:rPr>
        <w:t>of algae emerging after 30 d</w:t>
      </w:r>
      <w:r w:rsidR="00BD1993" w:rsidRPr="007F1D99">
        <w:rPr>
          <w:rFonts w:cs="Arial"/>
          <w:szCs w:val="18"/>
        </w:rPr>
        <w:t xml:space="preserve"> of operation, from the bottom of the column where there’s reduced Cr(VI) concentration</w:t>
      </w:r>
      <w:r w:rsidR="00E65229">
        <w:rPr>
          <w:rFonts w:cs="Arial"/>
          <w:szCs w:val="18"/>
        </w:rPr>
        <w:t xml:space="preserve"> and so it was cultivated and characterized. The presence of algae</w:t>
      </w:r>
      <w:r w:rsidR="00BD1993" w:rsidRPr="007F1D99">
        <w:rPr>
          <w:rFonts w:cs="Arial"/>
          <w:szCs w:val="18"/>
        </w:rPr>
        <w:t xml:space="preserve"> may show a symbiosis relationship </w:t>
      </w:r>
      <w:r w:rsidR="00E65229">
        <w:rPr>
          <w:rFonts w:cs="Arial"/>
          <w:szCs w:val="18"/>
        </w:rPr>
        <w:t xml:space="preserve">involving </w:t>
      </w:r>
      <w:r w:rsidR="00BD1993" w:rsidRPr="007F1D99">
        <w:rPr>
          <w:rFonts w:cs="Arial"/>
          <w:szCs w:val="18"/>
        </w:rPr>
        <w:t xml:space="preserve">a complex relationship </w:t>
      </w:r>
      <w:r w:rsidR="00E65229">
        <w:rPr>
          <w:rFonts w:cs="Arial"/>
          <w:szCs w:val="18"/>
        </w:rPr>
        <w:t xml:space="preserve">of </w:t>
      </w:r>
      <w:r w:rsidR="00BD1993" w:rsidRPr="007F1D99">
        <w:rPr>
          <w:rFonts w:cs="Arial"/>
          <w:szCs w:val="18"/>
        </w:rPr>
        <w:t>detoxification survival of algae or a food source for bacteria.</w:t>
      </w:r>
      <w:r>
        <w:rPr>
          <w:rFonts w:cs="Arial"/>
          <w:szCs w:val="18"/>
        </w:rPr>
        <w:t xml:space="preserve"> </w:t>
      </w:r>
      <w:r w:rsidR="00BD1993" w:rsidRPr="007F1D99">
        <w:rPr>
          <w:rFonts w:cs="Arial"/>
          <w:szCs w:val="18"/>
        </w:rPr>
        <w:t>Cr(VI) reducing effects of the columns was further tested against higher Cr(VI) concentrations at 60 mg/L. Near complete Cr(VI) reduction was observed within a couple of days of operation</w:t>
      </w:r>
      <w:r w:rsidR="004B756D">
        <w:rPr>
          <w:rFonts w:cs="Arial"/>
          <w:szCs w:val="18"/>
        </w:rPr>
        <w:t xml:space="preserve"> at this concentration</w:t>
      </w:r>
      <w:r w:rsidR="00BD1993" w:rsidRPr="007F1D99">
        <w:rPr>
          <w:rFonts w:cs="Arial"/>
          <w:szCs w:val="18"/>
        </w:rPr>
        <w:t xml:space="preserve">. This study demonstrates the potential of biological </w:t>
      </w:r>
      <w:r w:rsidR="008A44AA">
        <w:rPr>
          <w:rFonts w:cs="Arial"/>
          <w:szCs w:val="18"/>
        </w:rPr>
        <w:t>Cr(VI) reduction</w:t>
      </w:r>
      <w:r w:rsidR="00BD1993" w:rsidRPr="007F1D99">
        <w:rPr>
          <w:rFonts w:cs="Arial"/>
          <w:szCs w:val="18"/>
        </w:rPr>
        <w:t xml:space="preserve"> using Cr(VI) reducing bacteria</w:t>
      </w:r>
      <w:r w:rsidR="008A44AA">
        <w:rPr>
          <w:rFonts w:cs="Arial"/>
          <w:szCs w:val="18"/>
        </w:rPr>
        <w:t xml:space="preserve"> that has been isolated from</w:t>
      </w:r>
      <w:r w:rsidR="00BD1993" w:rsidRPr="007F1D99">
        <w:rPr>
          <w:rFonts w:cs="Arial"/>
          <w:szCs w:val="18"/>
        </w:rPr>
        <w:t xml:space="preserve"> polluted sites in South Africa. </w:t>
      </w:r>
    </w:p>
    <w:p w:rsidR="00B10DDD" w:rsidRPr="00E42831" w:rsidRDefault="00B10DDD" w:rsidP="00E42831">
      <w:pPr>
        <w:rPr>
          <w:rFonts w:cs="Arial"/>
          <w:szCs w:val="18"/>
        </w:rPr>
      </w:pPr>
    </w:p>
    <w:p w:rsidR="000B2E04" w:rsidRPr="00145A01" w:rsidRDefault="00600535" w:rsidP="00600535">
      <w:pPr>
        <w:pStyle w:val="CETHeading1"/>
        <w:rPr>
          <w:lang w:val="en-GB"/>
        </w:rPr>
      </w:pPr>
      <w:r w:rsidRPr="00B57B36">
        <w:rPr>
          <w:lang w:val="en-GB"/>
        </w:rPr>
        <w:t>Introduction</w:t>
      </w:r>
    </w:p>
    <w:p w:rsidR="00264528" w:rsidRDefault="00461487" w:rsidP="00264528">
      <w:pPr>
        <w:pStyle w:val="CETBodytext"/>
        <w:rPr>
          <w:rFonts w:cs="Arial"/>
          <w:szCs w:val="18"/>
        </w:rPr>
      </w:pPr>
      <w:r>
        <w:rPr>
          <w:rFonts w:cs="Arial"/>
          <w:szCs w:val="18"/>
        </w:rPr>
        <w:t>Chromium</w:t>
      </w:r>
      <w:r w:rsidR="000C4817">
        <w:rPr>
          <w:rFonts w:cs="Arial"/>
          <w:szCs w:val="18"/>
        </w:rPr>
        <w:t xml:space="preserve"> (Cr)</w:t>
      </w:r>
      <w:r>
        <w:rPr>
          <w:rFonts w:cs="Arial"/>
          <w:szCs w:val="18"/>
        </w:rPr>
        <w:t xml:space="preserve"> is derived from a Greek w</w:t>
      </w:r>
      <w:r w:rsidR="001A1CA7">
        <w:rPr>
          <w:rFonts w:cs="Arial"/>
          <w:szCs w:val="18"/>
        </w:rPr>
        <w:t xml:space="preserve">ord called ‘chroma’, meaning </w:t>
      </w:r>
      <w:r>
        <w:rPr>
          <w:rFonts w:cs="Arial"/>
          <w:szCs w:val="18"/>
        </w:rPr>
        <w:t xml:space="preserve">color. </w:t>
      </w:r>
      <w:r w:rsidR="001A1CA7">
        <w:rPr>
          <w:rFonts w:cs="Arial"/>
          <w:szCs w:val="18"/>
        </w:rPr>
        <w:t>A variety of colored compounds are formed in the presence of this metal. These include</w:t>
      </w:r>
      <w:r>
        <w:rPr>
          <w:rFonts w:cs="Arial"/>
          <w:szCs w:val="18"/>
        </w:rPr>
        <w:t>; Na</w:t>
      </w:r>
      <w:r>
        <w:rPr>
          <w:rFonts w:cs="Arial"/>
          <w:szCs w:val="18"/>
          <w:vertAlign w:val="subscript"/>
        </w:rPr>
        <w:t>2</w:t>
      </w:r>
      <w:r>
        <w:rPr>
          <w:rFonts w:cs="Arial"/>
          <w:szCs w:val="18"/>
        </w:rPr>
        <w:t>Cr</w:t>
      </w:r>
      <w:r>
        <w:rPr>
          <w:rFonts w:cs="Arial"/>
          <w:szCs w:val="18"/>
          <w:vertAlign w:val="subscript"/>
        </w:rPr>
        <w:t>2</w:t>
      </w:r>
      <w:r>
        <w:rPr>
          <w:rFonts w:cs="Arial"/>
          <w:szCs w:val="18"/>
        </w:rPr>
        <w:t>O</w:t>
      </w:r>
      <w:r>
        <w:rPr>
          <w:rFonts w:cs="Arial"/>
          <w:szCs w:val="18"/>
          <w:vertAlign w:val="subscript"/>
        </w:rPr>
        <w:t>7</w:t>
      </w:r>
      <w:r>
        <w:rPr>
          <w:rFonts w:cs="Arial"/>
          <w:szCs w:val="18"/>
        </w:rPr>
        <w:t xml:space="preserve"> (bright orange), Cr</w:t>
      </w:r>
      <w:r>
        <w:rPr>
          <w:rFonts w:cs="Arial"/>
          <w:szCs w:val="18"/>
          <w:vertAlign w:val="subscript"/>
        </w:rPr>
        <w:t>2</w:t>
      </w:r>
      <w:r>
        <w:rPr>
          <w:rFonts w:cs="Arial"/>
          <w:szCs w:val="18"/>
        </w:rPr>
        <w:t>O</w:t>
      </w:r>
      <w:r>
        <w:rPr>
          <w:rFonts w:cs="Arial"/>
          <w:szCs w:val="18"/>
          <w:vertAlign w:val="subscript"/>
        </w:rPr>
        <w:t>3</w:t>
      </w:r>
      <w:r w:rsidR="006473B8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Zn and Pb salts of CrO</w:t>
      </w:r>
      <w:r>
        <w:rPr>
          <w:rFonts w:cs="Arial"/>
          <w:szCs w:val="18"/>
          <w:vertAlign w:val="subscript"/>
        </w:rPr>
        <w:t>4</w:t>
      </w:r>
      <w:r>
        <w:rPr>
          <w:rFonts w:cs="Arial"/>
          <w:szCs w:val="18"/>
          <w:vertAlign w:val="superscript"/>
        </w:rPr>
        <w:t>2-</w:t>
      </w:r>
      <w:r>
        <w:rPr>
          <w:rFonts w:cs="Arial"/>
          <w:szCs w:val="18"/>
        </w:rPr>
        <w:t xml:space="preserve"> (green) (</w:t>
      </w:r>
      <w:r w:rsidR="00DC5279">
        <w:rPr>
          <w:rFonts w:cs="Arial"/>
          <w:szCs w:val="18"/>
        </w:rPr>
        <w:t>Zakari et al., 2010</w:t>
      </w:r>
      <w:r>
        <w:rPr>
          <w:rFonts w:cs="Arial"/>
          <w:szCs w:val="18"/>
        </w:rPr>
        <w:t>). The ele</w:t>
      </w:r>
      <w:r w:rsidR="001A1CA7">
        <w:rPr>
          <w:rFonts w:cs="Arial"/>
          <w:szCs w:val="18"/>
        </w:rPr>
        <w:t xml:space="preserve">ment chromium was first discovered by a </w:t>
      </w:r>
      <w:r>
        <w:rPr>
          <w:rFonts w:cs="Arial"/>
          <w:szCs w:val="18"/>
        </w:rPr>
        <w:t xml:space="preserve">French chemist Nicolas-louis Vauquelin in </w:t>
      </w:r>
      <w:r w:rsidR="00154B79">
        <w:rPr>
          <w:rFonts w:cs="Arial"/>
          <w:szCs w:val="18"/>
        </w:rPr>
        <w:t>1797</w:t>
      </w:r>
      <w:r w:rsidR="00FE4ED4">
        <w:rPr>
          <w:rFonts w:cs="Arial"/>
          <w:szCs w:val="18"/>
        </w:rPr>
        <w:t xml:space="preserve"> (Kaimbia and Chirwa, 201</w:t>
      </w:r>
      <w:r w:rsidR="00BA6633">
        <w:rPr>
          <w:rFonts w:cs="Arial"/>
          <w:szCs w:val="18"/>
        </w:rPr>
        <w:t xml:space="preserve">8). </w:t>
      </w:r>
      <w:r w:rsidR="00264528">
        <w:rPr>
          <w:rFonts w:cs="Arial"/>
          <w:szCs w:val="18"/>
        </w:rPr>
        <w:t xml:space="preserve">Chromium </w:t>
      </w:r>
      <w:r w:rsidR="001A1CA7">
        <w:rPr>
          <w:rFonts w:cs="Arial"/>
          <w:szCs w:val="18"/>
        </w:rPr>
        <w:t xml:space="preserve">can be found </w:t>
      </w:r>
      <w:r w:rsidR="006473B8">
        <w:rPr>
          <w:rFonts w:cs="Arial"/>
          <w:szCs w:val="18"/>
        </w:rPr>
        <w:t xml:space="preserve">mainly in </w:t>
      </w:r>
      <w:r w:rsidR="00FA48FC">
        <w:rPr>
          <w:rFonts w:cs="Arial"/>
          <w:szCs w:val="18"/>
        </w:rPr>
        <w:t>two forms</w:t>
      </w:r>
      <w:r w:rsidR="001A1CA7">
        <w:rPr>
          <w:rFonts w:cs="Arial"/>
          <w:szCs w:val="18"/>
        </w:rPr>
        <w:t xml:space="preserve"> in the environment</w:t>
      </w:r>
      <w:r w:rsidR="00FA48FC">
        <w:rPr>
          <w:rFonts w:cs="Arial"/>
          <w:szCs w:val="18"/>
        </w:rPr>
        <w:t>; t</w:t>
      </w:r>
      <w:r w:rsidR="00264528">
        <w:rPr>
          <w:rFonts w:cs="Arial"/>
          <w:szCs w:val="18"/>
        </w:rPr>
        <w:t>rivalent chromium (Cr(III))</w:t>
      </w:r>
      <w:r w:rsidR="00FA48FC">
        <w:rPr>
          <w:rFonts w:cs="Arial"/>
          <w:szCs w:val="18"/>
        </w:rPr>
        <w:t xml:space="preserve"> and hexavalent chromium (Cr(VI)). Cr(III) readily forms </w:t>
      </w:r>
      <w:r w:rsidR="00264528">
        <w:rPr>
          <w:rFonts w:cs="Arial"/>
          <w:szCs w:val="18"/>
        </w:rPr>
        <w:t xml:space="preserve">insoluble and less mobile species </w:t>
      </w:r>
      <w:r w:rsidR="00FA48FC">
        <w:rPr>
          <w:rFonts w:cs="Arial"/>
          <w:szCs w:val="18"/>
        </w:rPr>
        <w:t>(</w:t>
      </w:r>
      <w:r w:rsidR="00264528">
        <w:rPr>
          <w:rFonts w:cs="Arial"/>
          <w:szCs w:val="18"/>
        </w:rPr>
        <w:t>Cr(OH)</w:t>
      </w:r>
      <w:r w:rsidR="00264528">
        <w:rPr>
          <w:rFonts w:cs="Arial"/>
          <w:szCs w:val="18"/>
          <w:vertAlign w:val="subscript"/>
        </w:rPr>
        <w:t>3</w:t>
      </w:r>
      <w:r w:rsidR="00FA48FC">
        <w:rPr>
          <w:rFonts w:cs="Arial"/>
          <w:szCs w:val="18"/>
        </w:rPr>
        <w:t xml:space="preserve">) in water. On the other hand, Cr(VI)  </w:t>
      </w:r>
      <w:r w:rsidR="00264528">
        <w:rPr>
          <w:rFonts w:cs="Arial"/>
          <w:szCs w:val="18"/>
        </w:rPr>
        <w:t>exists as a soluble and mobile oxyanions, chromate and dichromate (CrO</w:t>
      </w:r>
      <w:r w:rsidR="00264528">
        <w:rPr>
          <w:rFonts w:cs="Arial"/>
          <w:szCs w:val="18"/>
          <w:vertAlign w:val="subscript"/>
        </w:rPr>
        <w:t>4</w:t>
      </w:r>
      <w:r w:rsidR="00264528">
        <w:rPr>
          <w:rFonts w:cs="Arial"/>
          <w:szCs w:val="18"/>
          <w:vertAlign w:val="superscript"/>
        </w:rPr>
        <w:t>2-</w:t>
      </w:r>
      <w:r w:rsidR="00264528">
        <w:rPr>
          <w:rFonts w:cs="Arial"/>
          <w:szCs w:val="18"/>
        </w:rPr>
        <w:t xml:space="preserve"> or Cr</w:t>
      </w:r>
      <w:r w:rsidR="00264528">
        <w:rPr>
          <w:rFonts w:cs="Arial"/>
          <w:szCs w:val="18"/>
          <w:vertAlign w:val="subscript"/>
        </w:rPr>
        <w:t>2</w:t>
      </w:r>
      <w:r w:rsidR="00264528">
        <w:rPr>
          <w:rFonts w:cs="Arial"/>
          <w:szCs w:val="18"/>
        </w:rPr>
        <w:t>O</w:t>
      </w:r>
      <w:r w:rsidR="00264528">
        <w:rPr>
          <w:rFonts w:cs="Arial"/>
          <w:szCs w:val="18"/>
          <w:vertAlign w:val="subscript"/>
        </w:rPr>
        <w:t>7</w:t>
      </w:r>
      <w:r w:rsidR="00264528">
        <w:rPr>
          <w:rFonts w:cs="Arial"/>
          <w:szCs w:val="18"/>
          <w:vertAlign w:val="superscript"/>
        </w:rPr>
        <w:t>2-</w:t>
      </w:r>
      <w:r w:rsidR="00264528">
        <w:rPr>
          <w:rFonts w:cs="Arial"/>
          <w:szCs w:val="18"/>
        </w:rPr>
        <w:t>)</w:t>
      </w:r>
      <w:r w:rsidR="00273B6B">
        <w:rPr>
          <w:rFonts w:cs="Arial"/>
          <w:szCs w:val="18"/>
        </w:rPr>
        <w:t xml:space="preserve"> (Meli, 2009)</w:t>
      </w:r>
      <w:r w:rsidR="00FA48FC">
        <w:rPr>
          <w:rFonts w:cs="Arial"/>
          <w:szCs w:val="18"/>
        </w:rPr>
        <w:t xml:space="preserve">. </w:t>
      </w:r>
      <w:r w:rsidR="006B184E">
        <w:rPr>
          <w:rFonts w:cs="Arial"/>
          <w:szCs w:val="18"/>
        </w:rPr>
        <w:t>Cr(</w:t>
      </w:r>
      <w:r w:rsidR="00264528">
        <w:rPr>
          <w:rFonts w:cs="Arial"/>
          <w:szCs w:val="18"/>
        </w:rPr>
        <w:t xml:space="preserve">VI) is </w:t>
      </w:r>
      <w:r w:rsidR="00DC5279">
        <w:rPr>
          <w:rFonts w:cs="Arial"/>
          <w:szCs w:val="18"/>
        </w:rPr>
        <w:t>carcinogenic</w:t>
      </w:r>
      <w:r w:rsidR="00264528">
        <w:rPr>
          <w:rFonts w:cs="Arial"/>
          <w:szCs w:val="18"/>
        </w:rPr>
        <w:t xml:space="preserve"> and mutagenic to liv</w:t>
      </w:r>
      <w:r w:rsidR="001A1CA7">
        <w:rPr>
          <w:rFonts w:cs="Arial"/>
          <w:szCs w:val="18"/>
        </w:rPr>
        <w:t>ing organisms and humans</w:t>
      </w:r>
      <w:r w:rsidR="00FA48FC">
        <w:rPr>
          <w:rFonts w:cs="Arial"/>
          <w:szCs w:val="18"/>
        </w:rPr>
        <w:t xml:space="preserve">, </w:t>
      </w:r>
      <w:r w:rsidR="006473B8">
        <w:rPr>
          <w:rFonts w:cs="Arial"/>
          <w:szCs w:val="18"/>
        </w:rPr>
        <w:t>exposure</w:t>
      </w:r>
      <w:r w:rsidR="001A1CA7">
        <w:rPr>
          <w:rFonts w:cs="Arial"/>
          <w:szCs w:val="18"/>
        </w:rPr>
        <w:t xml:space="preserve"> can lead to</w:t>
      </w:r>
      <w:r w:rsidR="007703CC">
        <w:rPr>
          <w:rFonts w:cs="Arial"/>
          <w:szCs w:val="18"/>
        </w:rPr>
        <w:t xml:space="preserve"> several health risks </w:t>
      </w:r>
      <w:r w:rsidR="00273B6B">
        <w:rPr>
          <w:rFonts w:cs="Arial"/>
          <w:szCs w:val="18"/>
        </w:rPr>
        <w:t>(</w:t>
      </w:r>
      <w:r w:rsidR="005B7ACE">
        <w:rPr>
          <w:rFonts w:cs="Arial"/>
          <w:szCs w:val="18"/>
        </w:rPr>
        <w:t>Mthimunye, 2011)</w:t>
      </w:r>
      <w:r w:rsidR="007703CC">
        <w:rPr>
          <w:rFonts w:cs="Arial"/>
          <w:szCs w:val="18"/>
        </w:rPr>
        <w:t xml:space="preserve">. </w:t>
      </w:r>
      <w:r w:rsidR="000C4817">
        <w:rPr>
          <w:rFonts w:cs="Arial"/>
          <w:szCs w:val="18"/>
        </w:rPr>
        <w:t xml:space="preserve">Furthermore, </w:t>
      </w:r>
      <w:r w:rsidR="001A1CA7">
        <w:rPr>
          <w:rFonts w:cs="Arial"/>
          <w:szCs w:val="18"/>
        </w:rPr>
        <w:t>Cr may form free radicals (OH*) in water which may lead</w:t>
      </w:r>
      <w:r w:rsidR="006473B8">
        <w:rPr>
          <w:rFonts w:cs="Arial"/>
          <w:szCs w:val="18"/>
        </w:rPr>
        <w:t xml:space="preserve"> to </w:t>
      </w:r>
      <w:r w:rsidR="007703CC">
        <w:rPr>
          <w:rFonts w:cs="Arial"/>
          <w:szCs w:val="18"/>
        </w:rPr>
        <w:t>excess DNA damage (Molokwane, 2010). Due to these and</w:t>
      </w:r>
      <w:r w:rsidR="006473B8">
        <w:rPr>
          <w:rFonts w:cs="Arial"/>
          <w:szCs w:val="18"/>
        </w:rPr>
        <w:t xml:space="preserve"> other </w:t>
      </w:r>
      <w:r w:rsidR="001A1CA7">
        <w:rPr>
          <w:rFonts w:cs="Arial"/>
          <w:szCs w:val="18"/>
        </w:rPr>
        <w:t xml:space="preserve">known </w:t>
      </w:r>
      <w:r w:rsidR="006473B8">
        <w:rPr>
          <w:rFonts w:cs="Arial"/>
          <w:szCs w:val="18"/>
        </w:rPr>
        <w:t xml:space="preserve">toxic effects, Cr </w:t>
      </w:r>
      <w:r w:rsidR="001A1CA7">
        <w:rPr>
          <w:rFonts w:cs="Arial"/>
          <w:szCs w:val="18"/>
        </w:rPr>
        <w:t xml:space="preserve">is </w:t>
      </w:r>
      <w:r w:rsidR="00264528">
        <w:rPr>
          <w:rFonts w:cs="Arial"/>
          <w:szCs w:val="18"/>
        </w:rPr>
        <w:t xml:space="preserve">classified as a type A </w:t>
      </w:r>
      <w:r w:rsidR="00FA48FC">
        <w:rPr>
          <w:rFonts w:cs="Arial"/>
          <w:szCs w:val="18"/>
        </w:rPr>
        <w:t xml:space="preserve">carcinogen by the U.S EPA. </w:t>
      </w:r>
      <w:r w:rsidR="00B74E54">
        <w:rPr>
          <w:rFonts w:cs="Arial"/>
          <w:szCs w:val="18"/>
        </w:rPr>
        <w:t>Cr(VI) at a concentration as low as 0.5 mg/L in soil is toxic to plants</w:t>
      </w:r>
      <w:r w:rsidR="005B7ACE">
        <w:rPr>
          <w:rFonts w:cs="Arial"/>
          <w:szCs w:val="18"/>
        </w:rPr>
        <w:t xml:space="preserve"> (Oliveria, 2012)</w:t>
      </w:r>
      <w:r w:rsidR="00264528">
        <w:rPr>
          <w:rFonts w:cs="Arial"/>
          <w:szCs w:val="18"/>
        </w:rPr>
        <w:t xml:space="preserve">. Cr(III), on the other hand, </w:t>
      </w:r>
      <w:r w:rsidR="000C4817">
        <w:rPr>
          <w:rFonts w:cs="Arial"/>
          <w:szCs w:val="18"/>
        </w:rPr>
        <w:t xml:space="preserve">is not toxic even at a concentration as </w:t>
      </w:r>
      <w:r w:rsidR="00264528">
        <w:rPr>
          <w:rFonts w:cs="Arial"/>
          <w:szCs w:val="18"/>
        </w:rPr>
        <w:t>high as 600</w:t>
      </w:r>
      <w:r w:rsidR="000C4817">
        <w:rPr>
          <w:rFonts w:cs="Arial"/>
          <w:szCs w:val="18"/>
        </w:rPr>
        <w:t xml:space="preserve"> </w:t>
      </w:r>
      <w:r w:rsidR="00264528">
        <w:rPr>
          <w:rFonts w:cs="Arial"/>
          <w:szCs w:val="18"/>
        </w:rPr>
        <w:t>mg/L</w:t>
      </w:r>
      <w:r w:rsidR="000C4817">
        <w:rPr>
          <w:rFonts w:cs="Arial"/>
          <w:szCs w:val="18"/>
        </w:rPr>
        <w:t xml:space="preserve">. </w:t>
      </w:r>
      <w:r w:rsidR="005B7ACE">
        <w:rPr>
          <w:rFonts w:cs="Arial"/>
          <w:szCs w:val="18"/>
        </w:rPr>
        <w:t>This reduced f</w:t>
      </w:r>
      <w:r w:rsidR="007703CC">
        <w:rPr>
          <w:rFonts w:cs="Arial"/>
          <w:szCs w:val="18"/>
        </w:rPr>
        <w:t>o</w:t>
      </w:r>
      <w:r w:rsidR="005B7ACE">
        <w:rPr>
          <w:rFonts w:cs="Arial"/>
          <w:szCs w:val="18"/>
        </w:rPr>
        <w:t>r</w:t>
      </w:r>
      <w:r w:rsidR="007703CC">
        <w:rPr>
          <w:rFonts w:cs="Arial"/>
          <w:szCs w:val="18"/>
        </w:rPr>
        <w:t xml:space="preserve">m of chromium is </w:t>
      </w:r>
      <w:r w:rsidR="00264528">
        <w:rPr>
          <w:rFonts w:cs="Arial"/>
          <w:szCs w:val="18"/>
        </w:rPr>
        <w:t xml:space="preserve">needed in mammals for carbohydrate and </w:t>
      </w:r>
      <w:r w:rsidR="00264528">
        <w:rPr>
          <w:rFonts w:cs="Arial"/>
          <w:szCs w:val="18"/>
        </w:rPr>
        <w:lastRenderedPageBreak/>
        <w:t>lipid metabolism.</w:t>
      </w:r>
      <w:r w:rsidR="00273B6B">
        <w:rPr>
          <w:rFonts w:cs="Arial"/>
          <w:szCs w:val="18"/>
        </w:rPr>
        <w:t xml:space="preserve"> Furthermore, Cr(III)</w:t>
      </w:r>
      <w:r w:rsidR="002E6C5C">
        <w:rPr>
          <w:rFonts w:cs="Arial"/>
          <w:szCs w:val="18"/>
        </w:rPr>
        <w:t xml:space="preserve"> is used as nutritional supplement (weight loss agent) as chromium picolinate by athletes</w:t>
      </w:r>
      <w:r w:rsidR="0053197F">
        <w:rPr>
          <w:rFonts w:cs="Arial"/>
          <w:szCs w:val="18"/>
        </w:rPr>
        <w:t xml:space="preserve"> (Kaimbi and Chirwa, 201</w:t>
      </w:r>
      <w:r w:rsidR="005B7ACE">
        <w:rPr>
          <w:rFonts w:cs="Arial"/>
          <w:szCs w:val="18"/>
        </w:rPr>
        <w:t>5)</w:t>
      </w:r>
      <w:r w:rsidR="002E6C5C">
        <w:rPr>
          <w:rFonts w:cs="Arial"/>
          <w:szCs w:val="18"/>
        </w:rPr>
        <w:t xml:space="preserve">. </w:t>
      </w:r>
    </w:p>
    <w:p w:rsidR="006A4448" w:rsidRDefault="000C4817" w:rsidP="00600535">
      <w:pPr>
        <w:pStyle w:val="CETBodytext"/>
        <w:rPr>
          <w:rFonts w:cs="Arial"/>
          <w:szCs w:val="18"/>
        </w:rPr>
      </w:pPr>
      <w:r>
        <w:rPr>
          <w:rFonts w:cs="Arial"/>
          <w:szCs w:val="18"/>
        </w:rPr>
        <w:t>Cr</w:t>
      </w:r>
      <w:r w:rsidR="008A44AA">
        <w:rPr>
          <w:rFonts w:cs="Arial"/>
          <w:szCs w:val="18"/>
        </w:rPr>
        <w:t xml:space="preserve"> is one of the world</w:t>
      </w:r>
      <w:r w:rsidR="00BA6633">
        <w:rPr>
          <w:rFonts w:cs="Arial"/>
          <w:szCs w:val="18"/>
        </w:rPr>
        <w:t xml:space="preserve">s most strategic and critical materials having a </w:t>
      </w:r>
      <w:r w:rsidR="00B74E54">
        <w:rPr>
          <w:rFonts w:cs="Arial"/>
          <w:szCs w:val="18"/>
        </w:rPr>
        <w:t xml:space="preserve">wide range of uses in </w:t>
      </w:r>
      <w:r>
        <w:rPr>
          <w:rFonts w:cs="Arial"/>
          <w:szCs w:val="18"/>
        </w:rPr>
        <w:t xml:space="preserve">metal and chemical industries. About </w:t>
      </w:r>
      <w:r w:rsidR="00BA6633">
        <w:rPr>
          <w:rFonts w:cs="Arial"/>
          <w:szCs w:val="18"/>
        </w:rPr>
        <w:t xml:space="preserve">90% </w:t>
      </w:r>
      <w:r>
        <w:rPr>
          <w:rFonts w:cs="Arial"/>
          <w:szCs w:val="18"/>
        </w:rPr>
        <w:t xml:space="preserve">of the total ore production </w:t>
      </w:r>
      <w:r w:rsidR="00BA6633">
        <w:rPr>
          <w:rFonts w:cs="Arial"/>
          <w:szCs w:val="18"/>
        </w:rPr>
        <w:t>is used in metallurgi</w:t>
      </w:r>
      <w:r w:rsidR="00B74E54">
        <w:rPr>
          <w:rFonts w:cs="Arial"/>
          <w:szCs w:val="18"/>
        </w:rPr>
        <w:t xml:space="preserve">cal industries for steel, alloy, iron </w:t>
      </w:r>
      <w:r w:rsidR="00BA6633">
        <w:rPr>
          <w:rFonts w:cs="Arial"/>
          <w:szCs w:val="18"/>
        </w:rPr>
        <w:t>and nonferrous alloy production</w:t>
      </w:r>
      <w:r w:rsidR="00F519D8">
        <w:rPr>
          <w:rFonts w:cs="Arial"/>
          <w:szCs w:val="18"/>
        </w:rPr>
        <w:t xml:space="preserve"> across the world</w:t>
      </w:r>
      <w:r w:rsidR="00BA6633">
        <w:rPr>
          <w:rFonts w:cs="Arial"/>
          <w:szCs w:val="18"/>
        </w:rPr>
        <w:t xml:space="preserve">. </w:t>
      </w:r>
      <w:r>
        <w:rPr>
          <w:rFonts w:cs="Arial"/>
          <w:szCs w:val="18"/>
        </w:rPr>
        <w:t>Other industries use it for</w:t>
      </w:r>
      <w:r w:rsidR="00BA6633">
        <w:rPr>
          <w:rFonts w:cs="Arial"/>
          <w:szCs w:val="18"/>
        </w:rPr>
        <w:t xml:space="preserve"> l</w:t>
      </w:r>
      <w:r w:rsidR="00B12C64">
        <w:rPr>
          <w:rFonts w:cs="Arial"/>
          <w:szCs w:val="18"/>
        </w:rPr>
        <w:t>eather tanning, electroplating and wood</w:t>
      </w:r>
      <w:r w:rsidR="00BA6633">
        <w:rPr>
          <w:rFonts w:cs="Arial"/>
          <w:szCs w:val="18"/>
        </w:rPr>
        <w:t xml:space="preserve"> </w:t>
      </w:r>
      <w:r w:rsidR="007A59E0">
        <w:rPr>
          <w:rFonts w:cs="Arial"/>
          <w:szCs w:val="18"/>
        </w:rPr>
        <w:t>preservation as a pigment</w:t>
      </w:r>
      <w:r w:rsidR="003E4EE9">
        <w:rPr>
          <w:rFonts w:cs="Arial"/>
          <w:szCs w:val="18"/>
        </w:rPr>
        <w:t xml:space="preserve"> </w:t>
      </w:r>
      <w:r w:rsidR="007A59E0">
        <w:rPr>
          <w:rFonts w:cs="Arial"/>
          <w:szCs w:val="18"/>
        </w:rPr>
        <w:t>or</w:t>
      </w:r>
      <w:r w:rsidR="003E4EE9">
        <w:rPr>
          <w:rFonts w:cs="Arial"/>
          <w:szCs w:val="18"/>
        </w:rPr>
        <w:t xml:space="preserve"> oxidizing agent (</w:t>
      </w:r>
      <w:r w:rsidR="003E4EE9" w:rsidRPr="00DC5279">
        <w:rPr>
          <w:rFonts w:cs="Arial"/>
          <w:szCs w:val="18"/>
        </w:rPr>
        <w:t>Zakari et al.,</w:t>
      </w:r>
      <w:r w:rsidR="00DC5279" w:rsidRPr="00DC5279">
        <w:rPr>
          <w:rFonts w:cs="Arial"/>
          <w:szCs w:val="18"/>
        </w:rPr>
        <w:t xml:space="preserve"> 2010</w:t>
      </w:r>
      <w:r w:rsidR="003E4EE9">
        <w:rPr>
          <w:rFonts w:cs="Arial"/>
          <w:szCs w:val="18"/>
        </w:rPr>
        <w:t xml:space="preserve">). </w:t>
      </w:r>
      <w:r>
        <w:rPr>
          <w:rFonts w:cs="Arial"/>
          <w:szCs w:val="18"/>
        </w:rPr>
        <w:t>Thus Cr</w:t>
      </w:r>
      <w:r w:rsidR="00F519D8">
        <w:rPr>
          <w:rFonts w:cs="Arial"/>
          <w:szCs w:val="18"/>
        </w:rPr>
        <w:t xml:space="preserve"> </w:t>
      </w:r>
      <w:r w:rsidR="006A4448">
        <w:rPr>
          <w:rFonts w:cs="Arial"/>
          <w:szCs w:val="18"/>
        </w:rPr>
        <w:t>from the anthropogenic sources is discharged into the environment</w:t>
      </w:r>
      <w:r w:rsidR="007703CC">
        <w:rPr>
          <w:rFonts w:cs="Arial"/>
          <w:szCs w:val="18"/>
        </w:rPr>
        <w:t xml:space="preserve"> and wast</w:t>
      </w:r>
      <w:r w:rsidR="007A59E0">
        <w:rPr>
          <w:rFonts w:cs="Arial"/>
          <w:szCs w:val="18"/>
        </w:rPr>
        <w:t>ewaters</w:t>
      </w:r>
      <w:r>
        <w:rPr>
          <w:rFonts w:cs="Arial"/>
          <w:szCs w:val="18"/>
        </w:rPr>
        <w:t xml:space="preserve"> mainly as Cr(VI) resulting in</w:t>
      </w:r>
      <w:r w:rsidR="00F519D8">
        <w:rPr>
          <w:rFonts w:cs="Arial"/>
          <w:szCs w:val="18"/>
        </w:rPr>
        <w:t xml:space="preserve"> serious </w:t>
      </w:r>
      <w:r w:rsidR="00B12C64">
        <w:rPr>
          <w:rFonts w:cs="Arial"/>
          <w:szCs w:val="18"/>
        </w:rPr>
        <w:t xml:space="preserve">environmental </w:t>
      </w:r>
      <w:r w:rsidR="00F519D8">
        <w:rPr>
          <w:rFonts w:cs="Arial"/>
          <w:szCs w:val="18"/>
        </w:rPr>
        <w:t>po</w:t>
      </w:r>
      <w:r w:rsidR="005B7ACE">
        <w:rPr>
          <w:rFonts w:cs="Arial"/>
          <w:szCs w:val="18"/>
        </w:rPr>
        <w:t>llution (Kaimbia and Chirwa, 201</w:t>
      </w:r>
      <w:r w:rsidR="00F519D8">
        <w:rPr>
          <w:rFonts w:cs="Arial"/>
          <w:szCs w:val="18"/>
        </w:rPr>
        <w:t xml:space="preserve">8). </w:t>
      </w:r>
    </w:p>
    <w:p w:rsidR="007703CC" w:rsidRDefault="002F4C27" w:rsidP="00600535">
      <w:pPr>
        <w:pStyle w:val="CETBodytext"/>
        <w:rPr>
          <w:rFonts w:cs="Arial"/>
          <w:szCs w:val="18"/>
        </w:rPr>
      </w:pPr>
      <w:r>
        <w:rPr>
          <w:lang w:val="en-GB"/>
        </w:rPr>
        <w:t xml:space="preserve">Considering the toxicity and the mobility of Cr(VI) in the environment, its removal or transformation to less toxic Cr(III) is essential (Mtimunye and Chirwa 2011). </w:t>
      </w:r>
      <w:r w:rsidR="004F050D">
        <w:rPr>
          <w:rFonts w:cs="Arial"/>
          <w:szCs w:val="18"/>
        </w:rPr>
        <w:t>The conventional</w:t>
      </w:r>
      <w:r w:rsidR="00B12C64">
        <w:rPr>
          <w:rFonts w:cs="Arial"/>
          <w:szCs w:val="18"/>
        </w:rPr>
        <w:t xml:space="preserve"> remediation strategies involve pumping the pollutant</w:t>
      </w:r>
      <w:r w:rsidR="004F050D">
        <w:rPr>
          <w:rFonts w:cs="Arial"/>
          <w:szCs w:val="18"/>
        </w:rPr>
        <w:t xml:space="preserve"> (Cr(VI))</w:t>
      </w:r>
      <w:r w:rsidR="00B12C64">
        <w:rPr>
          <w:rFonts w:cs="Arial"/>
          <w:szCs w:val="18"/>
        </w:rPr>
        <w:t xml:space="preserve"> from the contaminated sites/ aquifers, followed by </w:t>
      </w:r>
      <w:r w:rsidR="00B12C64" w:rsidRPr="00E65229">
        <w:rPr>
          <w:rFonts w:cs="Arial"/>
          <w:i/>
          <w:szCs w:val="18"/>
        </w:rPr>
        <w:t>ex situ</w:t>
      </w:r>
      <w:r w:rsidR="00B12C64">
        <w:rPr>
          <w:rFonts w:cs="Arial"/>
          <w:szCs w:val="18"/>
        </w:rPr>
        <w:t xml:space="preserve"> treatment using physica</w:t>
      </w:r>
      <w:r w:rsidR="007A59E0">
        <w:rPr>
          <w:rFonts w:cs="Arial"/>
          <w:szCs w:val="18"/>
        </w:rPr>
        <w:t>l/ chemical technologies</w:t>
      </w:r>
      <w:r w:rsidR="00B12C64">
        <w:rPr>
          <w:rFonts w:cs="Arial"/>
          <w:szCs w:val="18"/>
        </w:rPr>
        <w:t xml:space="preserve"> such as</w:t>
      </w:r>
      <w:r w:rsidR="007A59E0">
        <w:rPr>
          <w:rFonts w:cs="Arial"/>
          <w:szCs w:val="18"/>
        </w:rPr>
        <w:t>;</w:t>
      </w:r>
      <w:r w:rsidR="00B12C64">
        <w:rPr>
          <w:rFonts w:cs="Arial"/>
          <w:szCs w:val="18"/>
        </w:rPr>
        <w:t xml:space="preserve"> iron exchange, electrodepositing or</w:t>
      </w:r>
      <w:r w:rsidR="004F050D">
        <w:rPr>
          <w:rFonts w:cs="Arial"/>
          <w:szCs w:val="18"/>
        </w:rPr>
        <w:t xml:space="preserve"> chemical reduction to Cr(III) (Molokwane et al., 2008). </w:t>
      </w:r>
      <w:r w:rsidR="000C4817">
        <w:rPr>
          <w:rFonts w:cs="Arial"/>
          <w:szCs w:val="18"/>
        </w:rPr>
        <w:t>Cr(III)</w:t>
      </w:r>
      <w:r w:rsidR="004F050D">
        <w:rPr>
          <w:rFonts w:cs="Arial"/>
          <w:szCs w:val="18"/>
        </w:rPr>
        <w:t xml:space="preserve"> is immobilized</w:t>
      </w:r>
      <w:r w:rsidR="007703CC">
        <w:rPr>
          <w:rFonts w:cs="Arial"/>
          <w:szCs w:val="18"/>
        </w:rPr>
        <w:t xml:space="preserve"> by precipitation and/or adsorption to substrates </w:t>
      </w:r>
      <w:r w:rsidR="004F050D">
        <w:rPr>
          <w:rFonts w:cs="Arial"/>
          <w:szCs w:val="18"/>
        </w:rPr>
        <w:t xml:space="preserve">by </w:t>
      </w:r>
      <w:r w:rsidR="008A44AA">
        <w:rPr>
          <w:rFonts w:cs="Arial"/>
          <w:szCs w:val="18"/>
        </w:rPr>
        <w:t>using clay</w:t>
      </w:r>
      <w:r w:rsidR="00B12C64">
        <w:rPr>
          <w:rFonts w:cs="Arial"/>
          <w:szCs w:val="18"/>
        </w:rPr>
        <w:t xml:space="preserve"> and oxide minerals below pH 5</w:t>
      </w:r>
      <w:r w:rsidR="007E4DDD">
        <w:rPr>
          <w:rFonts w:cs="Arial"/>
          <w:szCs w:val="18"/>
        </w:rPr>
        <w:t xml:space="preserve"> and subsequently disposed as sludge</w:t>
      </w:r>
      <w:r w:rsidR="00B12C64">
        <w:rPr>
          <w:rFonts w:cs="Arial"/>
          <w:szCs w:val="18"/>
        </w:rPr>
        <w:t xml:space="preserve"> </w:t>
      </w:r>
      <w:r w:rsidR="007703CC">
        <w:rPr>
          <w:rFonts w:cs="Arial"/>
          <w:szCs w:val="18"/>
        </w:rPr>
        <w:t>(Kaimbi and Chirwa, 201</w:t>
      </w:r>
      <w:r w:rsidR="00B12C64">
        <w:rPr>
          <w:rFonts w:cs="Arial"/>
          <w:szCs w:val="18"/>
        </w:rPr>
        <w:t xml:space="preserve">8). </w:t>
      </w:r>
      <w:r w:rsidR="007E4DDD">
        <w:rPr>
          <w:rFonts w:cs="Arial"/>
          <w:szCs w:val="18"/>
        </w:rPr>
        <w:t>The aforementioned treatments</w:t>
      </w:r>
      <w:r w:rsidR="008A628A">
        <w:rPr>
          <w:rFonts w:cs="Arial"/>
          <w:szCs w:val="18"/>
        </w:rPr>
        <w:t xml:space="preserve"> </w:t>
      </w:r>
      <w:r w:rsidR="007E4DDD">
        <w:rPr>
          <w:rFonts w:cs="Arial"/>
          <w:szCs w:val="18"/>
        </w:rPr>
        <w:t>generate</w:t>
      </w:r>
      <w:r w:rsidR="007703CC">
        <w:rPr>
          <w:rFonts w:cs="Arial"/>
          <w:szCs w:val="18"/>
        </w:rPr>
        <w:t xml:space="preserve"> large volumes of sludge and dangerous gases</w:t>
      </w:r>
      <w:r w:rsidR="00E65229">
        <w:rPr>
          <w:rFonts w:cs="Arial"/>
          <w:szCs w:val="18"/>
        </w:rPr>
        <w:t xml:space="preserve"> involving harmful products that require</w:t>
      </w:r>
      <w:r>
        <w:rPr>
          <w:rFonts w:cs="Arial"/>
          <w:szCs w:val="18"/>
        </w:rPr>
        <w:t xml:space="preserve"> careful</w:t>
      </w:r>
      <w:r w:rsidR="00E65229">
        <w:rPr>
          <w:rFonts w:cs="Arial"/>
          <w:szCs w:val="18"/>
        </w:rPr>
        <w:t xml:space="preserve"> further treatment</w:t>
      </w:r>
      <w:r w:rsidR="007E4DDD">
        <w:rPr>
          <w:rFonts w:cs="Arial"/>
          <w:szCs w:val="18"/>
        </w:rPr>
        <w:t xml:space="preserve"> and are difficult to dispose</w:t>
      </w:r>
      <w:r w:rsidR="007E4DDD" w:rsidRPr="007E4DDD">
        <w:rPr>
          <w:rFonts w:cs="Arial"/>
          <w:szCs w:val="18"/>
        </w:rPr>
        <w:t xml:space="preserve"> </w:t>
      </w:r>
      <w:r w:rsidR="007E4DDD">
        <w:rPr>
          <w:rFonts w:cs="Arial"/>
          <w:szCs w:val="18"/>
        </w:rPr>
        <w:t>(Mishra et al. 2010)</w:t>
      </w:r>
      <w:r w:rsidR="00E65229">
        <w:rPr>
          <w:rFonts w:cs="Arial"/>
          <w:szCs w:val="18"/>
        </w:rPr>
        <w:t>.</w:t>
      </w:r>
      <w:r w:rsidR="00451E82">
        <w:rPr>
          <w:rFonts w:cs="Arial"/>
          <w:szCs w:val="18"/>
        </w:rPr>
        <w:t xml:space="preserve"> </w:t>
      </w:r>
      <w:r w:rsidR="007E4DDD">
        <w:rPr>
          <w:rFonts w:cs="Arial"/>
          <w:szCs w:val="18"/>
        </w:rPr>
        <w:t>Furthermore, t</w:t>
      </w:r>
      <w:r w:rsidR="00451E82">
        <w:rPr>
          <w:rFonts w:cs="Arial"/>
          <w:szCs w:val="18"/>
        </w:rPr>
        <w:t>hese methods</w:t>
      </w:r>
      <w:r w:rsidR="004F050D">
        <w:rPr>
          <w:rFonts w:cs="Arial"/>
          <w:szCs w:val="18"/>
        </w:rPr>
        <w:t xml:space="preserve"> are expensive, </w:t>
      </w:r>
      <w:r w:rsidR="00451E82">
        <w:rPr>
          <w:rFonts w:cs="Arial"/>
          <w:szCs w:val="18"/>
        </w:rPr>
        <w:t>energy intensive and require large amounts of chemical</w:t>
      </w:r>
      <w:r w:rsidR="007E4DDD">
        <w:rPr>
          <w:rFonts w:cs="Arial"/>
          <w:szCs w:val="18"/>
        </w:rPr>
        <w:t>s</w:t>
      </w:r>
      <w:r w:rsidR="00451E82">
        <w:rPr>
          <w:rFonts w:cs="Arial"/>
          <w:szCs w:val="18"/>
        </w:rPr>
        <w:t xml:space="preserve"> (Mthimunye and Chirwa, 2017).</w:t>
      </w:r>
    </w:p>
    <w:p w:rsidR="00B10DDD" w:rsidRDefault="007E4DDD" w:rsidP="00600535">
      <w:pPr>
        <w:pStyle w:val="CETBodytext"/>
        <w:rPr>
          <w:rFonts w:cs="Arial"/>
          <w:szCs w:val="18"/>
        </w:rPr>
      </w:pPr>
      <w:r>
        <w:rPr>
          <w:rFonts w:cs="Arial"/>
          <w:szCs w:val="18"/>
        </w:rPr>
        <w:t>Over the years</w:t>
      </w:r>
      <w:r w:rsidR="008A628A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Cr(VI) </w:t>
      </w:r>
      <w:r w:rsidR="007703CC">
        <w:rPr>
          <w:rFonts w:cs="Arial"/>
          <w:szCs w:val="18"/>
        </w:rPr>
        <w:t>remedia</w:t>
      </w:r>
      <w:r w:rsidR="004F050D">
        <w:rPr>
          <w:rFonts w:cs="Arial"/>
          <w:szCs w:val="18"/>
        </w:rPr>
        <w:t>tion using microbial cultures</w:t>
      </w:r>
      <w:r w:rsidR="007703CC">
        <w:rPr>
          <w:rFonts w:cs="Arial"/>
          <w:szCs w:val="18"/>
        </w:rPr>
        <w:t xml:space="preserve"> with Cr(VI) toxic resistance</w:t>
      </w:r>
      <w:r>
        <w:rPr>
          <w:rFonts w:cs="Arial"/>
          <w:szCs w:val="18"/>
        </w:rPr>
        <w:t xml:space="preserve"> has been increasingly gaining attention</w:t>
      </w:r>
      <w:r w:rsidR="007703CC">
        <w:rPr>
          <w:rFonts w:cs="Arial"/>
          <w:szCs w:val="18"/>
        </w:rPr>
        <w:t xml:space="preserve">. Cr(VI) reduction capability in bacteria was first reported in the </w:t>
      </w:r>
      <w:r w:rsidR="007703CC" w:rsidRPr="00410602">
        <w:rPr>
          <w:rFonts w:cs="Arial"/>
          <w:szCs w:val="18"/>
        </w:rPr>
        <w:t>early 1970s</w:t>
      </w:r>
      <w:r w:rsidR="007703CC">
        <w:rPr>
          <w:rFonts w:cs="Arial"/>
          <w:szCs w:val="18"/>
        </w:rPr>
        <w:t xml:space="preserve"> where </w:t>
      </w:r>
      <w:r w:rsidR="007703CC" w:rsidRPr="007703CC">
        <w:rPr>
          <w:rFonts w:cs="Arial"/>
          <w:i/>
          <w:szCs w:val="18"/>
        </w:rPr>
        <w:t>Pseudomonas species</w:t>
      </w:r>
      <w:r w:rsidR="007703CC">
        <w:rPr>
          <w:rFonts w:cs="Arial"/>
          <w:szCs w:val="18"/>
        </w:rPr>
        <w:t xml:space="preserve"> reduced Cr(VI) to Cr(III) under anaerobic condit</w:t>
      </w:r>
      <w:r w:rsidR="00410602">
        <w:rPr>
          <w:rFonts w:cs="Arial"/>
          <w:szCs w:val="18"/>
        </w:rPr>
        <w:t>ions (Romanenko and Koren’kov, 1977</w:t>
      </w:r>
      <w:r w:rsidR="007703CC">
        <w:rPr>
          <w:rFonts w:cs="Arial"/>
          <w:szCs w:val="18"/>
        </w:rPr>
        <w:t xml:space="preserve">). Through </w:t>
      </w:r>
      <w:r w:rsidR="008A628A">
        <w:rPr>
          <w:rFonts w:cs="Arial"/>
          <w:szCs w:val="18"/>
        </w:rPr>
        <w:t>various studies</w:t>
      </w:r>
      <w:r w:rsidR="009A5DBA">
        <w:rPr>
          <w:rFonts w:cs="Arial"/>
          <w:szCs w:val="18"/>
        </w:rPr>
        <w:t>, more bacterial strains</w:t>
      </w:r>
      <w:r w:rsidR="008A628A">
        <w:rPr>
          <w:rFonts w:cs="Arial"/>
          <w:szCs w:val="18"/>
        </w:rPr>
        <w:t xml:space="preserve"> of different genera</w:t>
      </w:r>
      <w:r w:rsidR="009A5DBA">
        <w:rPr>
          <w:rFonts w:cs="Arial"/>
          <w:szCs w:val="18"/>
        </w:rPr>
        <w:t xml:space="preserve"> </w:t>
      </w:r>
      <w:r w:rsidR="007703CC">
        <w:rPr>
          <w:rFonts w:cs="Arial"/>
          <w:szCs w:val="18"/>
        </w:rPr>
        <w:t xml:space="preserve">have been </w:t>
      </w:r>
      <w:r w:rsidR="008A628A">
        <w:rPr>
          <w:rFonts w:cs="Arial"/>
          <w:szCs w:val="18"/>
        </w:rPr>
        <w:t>isolated from chromium free or contaminated soils and identified</w:t>
      </w:r>
      <w:r w:rsidR="007703CC">
        <w:rPr>
          <w:rFonts w:cs="Arial"/>
          <w:szCs w:val="18"/>
        </w:rPr>
        <w:t xml:space="preserve"> </w:t>
      </w:r>
      <w:r w:rsidR="008A628A" w:rsidRPr="008A628A">
        <w:rPr>
          <w:rFonts w:cs="Arial"/>
          <w:i/>
          <w:szCs w:val="18"/>
        </w:rPr>
        <w:t>inter alia</w:t>
      </w:r>
      <w:r w:rsidR="007703CC">
        <w:rPr>
          <w:rFonts w:cs="Arial"/>
          <w:szCs w:val="18"/>
        </w:rPr>
        <w:t xml:space="preserve">; </w:t>
      </w:r>
      <w:r w:rsidR="007703CC" w:rsidRPr="007703CC">
        <w:rPr>
          <w:rFonts w:cs="Arial"/>
          <w:i/>
          <w:szCs w:val="18"/>
        </w:rPr>
        <w:t>Escherichia, Bac</w:t>
      </w:r>
      <w:r w:rsidR="008A628A">
        <w:rPr>
          <w:rFonts w:cs="Arial"/>
          <w:i/>
          <w:szCs w:val="18"/>
        </w:rPr>
        <w:t>illus, Pseudomonas, Micrococcus</w:t>
      </w:r>
      <w:r w:rsidR="008A628A">
        <w:rPr>
          <w:rFonts w:cs="Arial"/>
          <w:szCs w:val="18"/>
        </w:rPr>
        <w:t xml:space="preserve"> and</w:t>
      </w:r>
      <w:r w:rsidR="007703CC" w:rsidRPr="007703CC">
        <w:rPr>
          <w:rFonts w:cs="Arial"/>
          <w:i/>
          <w:szCs w:val="18"/>
        </w:rPr>
        <w:t xml:space="preserve"> Staphylococcus</w:t>
      </w:r>
      <w:r w:rsidR="008A628A">
        <w:rPr>
          <w:rFonts w:cs="Arial"/>
          <w:szCs w:val="18"/>
        </w:rPr>
        <w:t xml:space="preserve"> </w:t>
      </w:r>
      <w:r w:rsidR="002F4C27">
        <w:rPr>
          <w:rFonts w:cs="Arial"/>
          <w:szCs w:val="18"/>
        </w:rPr>
        <w:t>(</w:t>
      </w:r>
      <w:r w:rsidR="005B4A29">
        <w:rPr>
          <w:rFonts w:cs="Arial"/>
          <w:szCs w:val="18"/>
        </w:rPr>
        <w:t>Chirwa and Wang</w:t>
      </w:r>
      <w:r w:rsidR="002F4C27">
        <w:rPr>
          <w:rFonts w:cs="Arial"/>
          <w:szCs w:val="18"/>
        </w:rPr>
        <w:t xml:space="preserve">, </w:t>
      </w:r>
      <w:r w:rsidR="00B74EF0">
        <w:rPr>
          <w:rFonts w:cs="Arial"/>
          <w:szCs w:val="18"/>
        </w:rPr>
        <w:t>2000</w:t>
      </w:r>
      <w:r w:rsidR="005B4A29">
        <w:rPr>
          <w:rFonts w:cs="Arial"/>
          <w:szCs w:val="18"/>
        </w:rPr>
        <w:t>)</w:t>
      </w:r>
      <w:r w:rsidR="002F4C27">
        <w:rPr>
          <w:rFonts w:cs="Arial"/>
          <w:szCs w:val="18"/>
        </w:rPr>
        <w:t xml:space="preserve">. </w:t>
      </w:r>
      <w:r w:rsidR="00A80F23" w:rsidRPr="000B2E04">
        <w:rPr>
          <w:rFonts w:cs="Arial"/>
          <w:szCs w:val="18"/>
        </w:rPr>
        <w:t>This method is envisioned to be economical</w:t>
      </w:r>
      <w:r w:rsidR="00A80F23">
        <w:rPr>
          <w:rFonts w:cs="Arial"/>
          <w:szCs w:val="18"/>
        </w:rPr>
        <w:t>ly</w:t>
      </w:r>
      <w:r w:rsidR="00A80F23" w:rsidRPr="000B2E04">
        <w:rPr>
          <w:rFonts w:cs="Arial"/>
          <w:szCs w:val="18"/>
        </w:rPr>
        <w:t xml:space="preserve"> and ecologically friendly.</w:t>
      </w:r>
      <w:r w:rsidR="00A80F23">
        <w:rPr>
          <w:rFonts w:cs="Arial"/>
          <w:szCs w:val="18"/>
        </w:rPr>
        <w:t xml:space="preserve"> </w:t>
      </w:r>
      <w:r w:rsidR="00780E8F">
        <w:rPr>
          <w:rFonts w:cs="Arial"/>
          <w:szCs w:val="18"/>
        </w:rPr>
        <w:t>In this study,</w:t>
      </w:r>
      <w:r w:rsidR="002F4C27">
        <w:rPr>
          <w:rFonts w:cs="Arial"/>
          <w:szCs w:val="18"/>
        </w:rPr>
        <w:t xml:space="preserve"> Cr(VI) resistance bacteria were</w:t>
      </w:r>
      <w:r w:rsidR="00780E8F">
        <w:rPr>
          <w:rFonts w:cs="Arial"/>
          <w:szCs w:val="18"/>
        </w:rPr>
        <w:t xml:space="preserve"> isolated from dried sludge </w:t>
      </w:r>
      <w:r w:rsidR="002F4C27">
        <w:rPr>
          <w:rFonts w:cs="Arial"/>
          <w:szCs w:val="18"/>
        </w:rPr>
        <w:t xml:space="preserve">of Cr contaminated site </w:t>
      </w:r>
      <w:r w:rsidR="00780E8F">
        <w:rPr>
          <w:rFonts w:cs="Arial"/>
          <w:szCs w:val="18"/>
        </w:rPr>
        <w:t xml:space="preserve">and used to facilitate the reduction of Cr(VI) to Cr(III) in a batch and continuous </w:t>
      </w:r>
      <w:r w:rsidR="002F4C27">
        <w:rPr>
          <w:rFonts w:cs="Arial"/>
          <w:szCs w:val="18"/>
        </w:rPr>
        <w:t xml:space="preserve">aquifer </w:t>
      </w:r>
      <w:r w:rsidR="00780E8F">
        <w:rPr>
          <w:rFonts w:cs="Arial"/>
          <w:szCs w:val="18"/>
        </w:rPr>
        <w:t>column system with varying treatments</w:t>
      </w:r>
      <w:r w:rsidR="00B10DDD">
        <w:rPr>
          <w:rFonts w:cs="Arial"/>
          <w:szCs w:val="18"/>
        </w:rPr>
        <w:t>.</w:t>
      </w:r>
    </w:p>
    <w:p w:rsidR="005B4A29" w:rsidRDefault="00501267" w:rsidP="005B4A29">
      <w:pPr>
        <w:pStyle w:val="CETHeading1"/>
      </w:pPr>
      <w:r>
        <w:t>Materials and m</w:t>
      </w:r>
      <w:r w:rsidR="005B4A29">
        <w:t>ethods</w:t>
      </w:r>
    </w:p>
    <w:p w:rsidR="005B4A29" w:rsidRDefault="00A30D32" w:rsidP="009310C4">
      <w:pPr>
        <w:pStyle w:val="CETheadingx"/>
      </w:pPr>
      <w:r>
        <w:t xml:space="preserve">Bacterial culture </w:t>
      </w:r>
      <w:r w:rsidR="005B4A29" w:rsidRPr="005B4A29">
        <w:t>and growth medium</w:t>
      </w:r>
    </w:p>
    <w:p w:rsidR="00F36D1A" w:rsidRDefault="00501267" w:rsidP="009310C4">
      <w:pPr>
        <w:widowControl w:val="0"/>
        <w:autoSpaceDE w:val="0"/>
        <w:autoSpaceDN w:val="0"/>
        <w:adjustRightInd w:val="0"/>
        <w:rPr>
          <w:rFonts w:cs="Arial"/>
          <w:szCs w:val="18"/>
        </w:rPr>
      </w:pPr>
      <w:r>
        <w:t xml:space="preserve">Dried sludge was obtained </w:t>
      </w:r>
      <w:r w:rsidR="009310C4">
        <w:t xml:space="preserve">from Britz Wastewater Treatment Works </w:t>
      </w:r>
      <w:r w:rsidR="009310C4" w:rsidRPr="006017C8">
        <w:rPr>
          <w:rFonts w:cs="Arial"/>
          <w:szCs w:val="18"/>
        </w:rPr>
        <w:t>(North West Province, South Africa)</w:t>
      </w:r>
      <w:r w:rsidR="00DD5DA6">
        <w:rPr>
          <w:rFonts w:cs="Arial"/>
          <w:szCs w:val="18"/>
        </w:rPr>
        <w:t>,</w:t>
      </w:r>
      <w:r w:rsidR="00DD5DA6" w:rsidRPr="00DD5DA6">
        <w:rPr>
          <w:rFonts w:cs="Arial"/>
          <w:szCs w:val="18"/>
        </w:rPr>
        <w:t xml:space="preserve"> </w:t>
      </w:r>
      <w:r w:rsidR="00DD5DA6">
        <w:rPr>
          <w:rFonts w:cs="Arial"/>
          <w:szCs w:val="18"/>
        </w:rPr>
        <w:t>where it was ex</w:t>
      </w:r>
      <w:r w:rsidR="003026BC">
        <w:rPr>
          <w:rFonts w:cs="Arial"/>
          <w:szCs w:val="18"/>
        </w:rPr>
        <w:t>posed to periodic</w:t>
      </w:r>
      <w:r w:rsidR="00DD5DA6">
        <w:rPr>
          <w:rFonts w:cs="Arial"/>
          <w:szCs w:val="18"/>
        </w:rPr>
        <w:t xml:space="preserve"> loading of Cr(VI)</w:t>
      </w:r>
      <w:r w:rsidR="003026BC">
        <w:rPr>
          <w:rFonts w:cs="Arial"/>
          <w:szCs w:val="18"/>
        </w:rPr>
        <w:t xml:space="preserve"> from</w:t>
      </w:r>
      <w:r w:rsidR="00DD5DA6">
        <w:rPr>
          <w:rFonts w:cs="Arial"/>
          <w:szCs w:val="18"/>
        </w:rPr>
        <w:t xml:space="preserve"> a </w:t>
      </w:r>
      <w:r w:rsidR="00DA1F23">
        <w:rPr>
          <w:rFonts w:cs="Arial"/>
          <w:szCs w:val="18"/>
        </w:rPr>
        <w:t>nearby chromium</w:t>
      </w:r>
      <w:r>
        <w:rPr>
          <w:rFonts w:cs="Arial"/>
          <w:szCs w:val="18"/>
        </w:rPr>
        <w:t xml:space="preserve"> ore refining plant</w:t>
      </w:r>
      <w:r w:rsidR="00DD5DA6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r w:rsidR="00DD5DA6">
        <w:rPr>
          <w:rFonts w:cs="Arial"/>
          <w:szCs w:val="18"/>
        </w:rPr>
        <w:t>The sampled sludge</w:t>
      </w:r>
      <w:r>
        <w:rPr>
          <w:rFonts w:cs="Arial"/>
          <w:szCs w:val="18"/>
        </w:rPr>
        <w:t xml:space="preserve"> was stored in sterile plastics and kept in the fridge under 4</w:t>
      </w:r>
      <w:r w:rsidR="009310C4" w:rsidRPr="006017C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°C. </w:t>
      </w:r>
      <w:r w:rsidR="008A44AA">
        <w:rPr>
          <w:rFonts w:cs="Arial"/>
          <w:szCs w:val="18"/>
        </w:rPr>
        <w:t xml:space="preserve">Luria-Bertani (LB) broth was used to isolate bacterial cultures from the sludge by dissolving </w:t>
      </w:r>
      <w:r w:rsidR="009B7DE8">
        <w:rPr>
          <w:rFonts w:cs="Arial"/>
          <w:szCs w:val="18"/>
        </w:rPr>
        <w:t xml:space="preserve">0.5 g of </w:t>
      </w:r>
      <w:r w:rsidR="008A44AA">
        <w:rPr>
          <w:rFonts w:cs="Arial"/>
          <w:szCs w:val="18"/>
        </w:rPr>
        <w:t>sludge into</w:t>
      </w:r>
      <w:r w:rsidR="009B7DE8">
        <w:rPr>
          <w:rFonts w:cs="Arial"/>
          <w:szCs w:val="18"/>
        </w:rPr>
        <w:t xml:space="preserve"> 400 mL </w:t>
      </w:r>
      <w:r w:rsidR="008A44AA">
        <w:rPr>
          <w:rFonts w:cs="Arial"/>
          <w:szCs w:val="18"/>
        </w:rPr>
        <w:t xml:space="preserve">of </w:t>
      </w:r>
      <w:r w:rsidR="009B7DE8">
        <w:rPr>
          <w:rFonts w:cs="Arial"/>
          <w:szCs w:val="18"/>
        </w:rPr>
        <w:t xml:space="preserve">broth. LB broth </w:t>
      </w:r>
      <w:r w:rsidR="003026BC">
        <w:rPr>
          <w:rFonts w:cs="Arial"/>
          <w:szCs w:val="18"/>
        </w:rPr>
        <w:t>and agar were</w:t>
      </w:r>
      <w:r w:rsidR="009B7DE8">
        <w:rPr>
          <w:rFonts w:cs="Arial"/>
          <w:szCs w:val="18"/>
        </w:rPr>
        <w:t xml:space="preserve"> prepared by dissolving 25 g in 1 L </w:t>
      </w:r>
      <w:r w:rsidR="008A44AA">
        <w:rPr>
          <w:rFonts w:cs="Arial"/>
          <w:szCs w:val="18"/>
        </w:rPr>
        <w:t>and were autoclaved</w:t>
      </w:r>
      <w:r w:rsidR="009B7DE8">
        <w:rPr>
          <w:rFonts w:cs="Arial"/>
          <w:szCs w:val="18"/>
        </w:rPr>
        <w:t xml:space="preserve"> at 121 °C for 15 min. </w:t>
      </w:r>
      <w:r w:rsidR="003026BC">
        <w:rPr>
          <w:rFonts w:cs="Arial"/>
          <w:szCs w:val="18"/>
        </w:rPr>
        <w:t>The</w:t>
      </w:r>
      <w:r w:rsidR="003036BA">
        <w:rPr>
          <w:rFonts w:cs="Arial"/>
          <w:szCs w:val="18"/>
        </w:rPr>
        <w:t xml:space="preserve"> broth</w:t>
      </w:r>
      <w:r w:rsidR="003026BC">
        <w:rPr>
          <w:rFonts w:cs="Arial"/>
          <w:szCs w:val="18"/>
        </w:rPr>
        <w:t xml:space="preserve"> containing sludge</w:t>
      </w:r>
      <w:r w:rsidR="003036BA">
        <w:rPr>
          <w:rFonts w:cs="Arial"/>
          <w:szCs w:val="18"/>
        </w:rPr>
        <w:t xml:space="preserve"> </w:t>
      </w:r>
      <w:r w:rsidR="007B1089">
        <w:rPr>
          <w:rFonts w:cs="Arial"/>
          <w:szCs w:val="18"/>
        </w:rPr>
        <w:t>incubated at 37</w:t>
      </w:r>
      <w:r w:rsidR="00DD27B5">
        <w:rPr>
          <w:rFonts w:cs="Arial"/>
          <w:szCs w:val="18"/>
        </w:rPr>
        <w:t xml:space="preserve"> °C for 24</w:t>
      </w:r>
      <w:r w:rsidR="00254526">
        <w:rPr>
          <w:rFonts w:cs="Arial"/>
          <w:szCs w:val="18"/>
        </w:rPr>
        <w:t xml:space="preserve"> </w:t>
      </w:r>
      <w:r w:rsidR="000546C3">
        <w:rPr>
          <w:rFonts w:cs="Arial"/>
          <w:szCs w:val="18"/>
        </w:rPr>
        <w:t>h</w:t>
      </w:r>
      <w:r w:rsidR="003036BA">
        <w:rPr>
          <w:rFonts w:cs="Arial"/>
          <w:szCs w:val="18"/>
        </w:rPr>
        <w:t>.</w:t>
      </w:r>
      <w:r w:rsidR="00C82143">
        <w:rPr>
          <w:rFonts w:cs="Arial"/>
          <w:szCs w:val="18"/>
        </w:rPr>
        <w:t xml:space="preserve"> Agar plates were inoculated with 1 mL samples</w:t>
      </w:r>
      <w:r w:rsidR="00DD5DA6">
        <w:rPr>
          <w:rFonts w:cs="Arial"/>
          <w:szCs w:val="18"/>
        </w:rPr>
        <w:t xml:space="preserve"> from the broth containing growth culture</w:t>
      </w:r>
      <w:r w:rsidR="00C82143">
        <w:rPr>
          <w:rFonts w:cs="Arial"/>
          <w:szCs w:val="18"/>
        </w:rPr>
        <w:t xml:space="preserve"> and the colonies were sub-cultured using differential techniques</w:t>
      </w:r>
      <w:r w:rsidR="00DD27B5">
        <w:rPr>
          <w:rFonts w:cs="Arial"/>
          <w:szCs w:val="18"/>
        </w:rPr>
        <w:t xml:space="preserve"> (exhibited colours and morphologi</w:t>
      </w:r>
      <w:r w:rsidR="00B12C64">
        <w:rPr>
          <w:rFonts w:cs="Arial"/>
          <w:szCs w:val="18"/>
        </w:rPr>
        <w:t>es) and incubated</w:t>
      </w:r>
      <w:r w:rsidR="00DD27B5">
        <w:rPr>
          <w:rFonts w:cs="Arial"/>
          <w:szCs w:val="18"/>
        </w:rPr>
        <w:t xml:space="preserve"> at 30 °C for 24 h</w:t>
      </w:r>
      <w:r w:rsidR="00C82143">
        <w:rPr>
          <w:rFonts w:cs="Arial"/>
          <w:szCs w:val="18"/>
        </w:rPr>
        <w:t>.</w:t>
      </w:r>
      <w:r w:rsidR="00DD27B5">
        <w:rPr>
          <w:rFonts w:cs="Arial"/>
          <w:szCs w:val="18"/>
        </w:rPr>
        <w:t xml:space="preserve"> T</w:t>
      </w:r>
      <w:r>
        <w:rPr>
          <w:rFonts w:cs="Arial"/>
          <w:szCs w:val="18"/>
        </w:rPr>
        <w:t>he process was done repeatedly</w:t>
      </w:r>
      <w:r w:rsidR="00DD27B5">
        <w:rPr>
          <w:rFonts w:cs="Arial"/>
          <w:szCs w:val="18"/>
        </w:rPr>
        <w:t xml:space="preserve"> in order to realize near pure culture of each identified colony.</w:t>
      </w:r>
      <w:r w:rsidR="00C82143">
        <w:rPr>
          <w:rFonts w:cs="Arial"/>
          <w:szCs w:val="18"/>
        </w:rPr>
        <w:t xml:space="preserve"> Each colonies were then tested for the</w:t>
      </w:r>
      <w:r w:rsidR="00DD27B5">
        <w:rPr>
          <w:rFonts w:cs="Arial"/>
          <w:szCs w:val="18"/>
        </w:rPr>
        <w:t>ir Cr(VI) reducing capabilities on a B</w:t>
      </w:r>
      <w:r w:rsidR="00C10FE4" w:rsidRPr="006017C8">
        <w:rPr>
          <w:rFonts w:cs="Arial"/>
          <w:szCs w:val="18"/>
        </w:rPr>
        <w:t xml:space="preserve">asal Mineral </w:t>
      </w:r>
      <w:r w:rsidR="007B1089">
        <w:rPr>
          <w:rFonts w:cs="Arial"/>
          <w:szCs w:val="18"/>
        </w:rPr>
        <w:t>Medium (BMM)</w:t>
      </w:r>
      <w:r w:rsidR="00C10FE4" w:rsidRPr="006017C8">
        <w:rPr>
          <w:rFonts w:cs="Arial"/>
          <w:szCs w:val="18"/>
        </w:rPr>
        <w:t xml:space="preserve"> </w:t>
      </w:r>
      <w:r w:rsidR="00E65229">
        <w:rPr>
          <w:rFonts w:cs="Arial"/>
          <w:szCs w:val="18"/>
        </w:rPr>
        <w:t xml:space="preserve">with an addition </w:t>
      </w:r>
      <w:r w:rsidR="00E65229" w:rsidRPr="003026BC">
        <w:rPr>
          <w:rFonts w:cs="Arial"/>
          <w:szCs w:val="18"/>
        </w:rPr>
        <w:t xml:space="preserve">of </w:t>
      </w:r>
      <w:r w:rsidR="00254526" w:rsidRPr="003026BC">
        <w:rPr>
          <w:rFonts w:cs="Arial"/>
          <w:szCs w:val="18"/>
        </w:rPr>
        <w:t>5 g/</w:t>
      </w:r>
      <w:r w:rsidR="007B1089" w:rsidRPr="003026BC">
        <w:rPr>
          <w:rFonts w:cs="Arial"/>
          <w:szCs w:val="18"/>
        </w:rPr>
        <w:t>L</w:t>
      </w:r>
      <w:r w:rsidR="00E65229">
        <w:rPr>
          <w:rFonts w:cs="Arial"/>
          <w:szCs w:val="18"/>
        </w:rPr>
        <w:t xml:space="preserve"> of Glucose (Roestorff and Chirwa, 2018).</w:t>
      </w:r>
      <w:r w:rsidR="008A44AA">
        <w:rPr>
          <w:rFonts w:cs="Arial"/>
          <w:szCs w:val="18"/>
        </w:rPr>
        <w:t xml:space="preserve"> For batch studies, the </w:t>
      </w:r>
      <w:r w:rsidR="00C10FE4">
        <w:rPr>
          <w:rFonts w:cs="Arial"/>
          <w:szCs w:val="18"/>
        </w:rPr>
        <w:t>BBM</w:t>
      </w:r>
      <w:r w:rsidR="009D4AA2">
        <w:rPr>
          <w:rFonts w:cs="Arial"/>
          <w:szCs w:val="18"/>
        </w:rPr>
        <w:t xml:space="preserve"> </w:t>
      </w:r>
      <w:r w:rsidR="008A44AA">
        <w:rPr>
          <w:rFonts w:cs="Arial"/>
          <w:szCs w:val="18"/>
        </w:rPr>
        <w:t xml:space="preserve">used was inoculated </w:t>
      </w:r>
      <w:r w:rsidR="009D4AA2">
        <w:rPr>
          <w:rFonts w:cs="Arial"/>
          <w:szCs w:val="18"/>
        </w:rPr>
        <w:t xml:space="preserve">with 50, 100, 200 and 400 </w:t>
      </w:r>
      <w:r w:rsidR="008A44AA">
        <w:rPr>
          <w:rFonts w:cs="Arial"/>
          <w:szCs w:val="18"/>
        </w:rPr>
        <w:t xml:space="preserve">mg/L, respectively. These were </w:t>
      </w:r>
      <w:r w:rsidR="009D4AA2">
        <w:rPr>
          <w:rFonts w:cs="Arial"/>
          <w:szCs w:val="18"/>
        </w:rPr>
        <w:t>incubation at 37 °</w:t>
      </w:r>
      <w:r w:rsidR="00C10FE4">
        <w:rPr>
          <w:rFonts w:cs="Arial"/>
          <w:szCs w:val="18"/>
        </w:rPr>
        <w:t>C</w:t>
      </w:r>
      <w:r w:rsidR="009D4AA2">
        <w:rPr>
          <w:rFonts w:cs="Arial"/>
          <w:szCs w:val="18"/>
        </w:rPr>
        <w:t xml:space="preserve"> under continuous shaking. </w:t>
      </w:r>
      <w:r w:rsidR="008A44AA">
        <w:rPr>
          <w:rFonts w:cs="Arial"/>
          <w:szCs w:val="18"/>
        </w:rPr>
        <w:t xml:space="preserve">Samples were collected using </w:t>
      </w:r>
      <w:r w:rsidR="00C10FE4">
        <w:rPr>
          <w:rFonts w:cs="Arial"/>
          <w:szCs w:val="18"/>
        </w:rPr>
        <w:t xml:space="preserve">time intervals for a period of 24 h. </w:t>
      </w:r>
      <w:r w:rsidR="008A44AA">
        <w:rPr>
          <w:rFonts w:cs="Arial"/>
          <w:szCs w:val="18"/>
        </w:rPr>
        <w:t>Culture c</w:t>
      </w:r>
      <w:r w:rsidR="00C10FE4">
        <w:rPr>
          <w:rFonts w:cs="Arial"/>
          <w:szCs w:val="18"/>
        </w:rPr>
        <w:t xml:space="preserve">haracterization </w:t>
      </w:r>
      <w:r w:rsidR="00BC07F8">
        <w:rPr>
          <w:rFonts w:cs="Arial"/>
          <w:szCs w:val="18"/>
        </w:rPr>
        <w:t xml:space="preserve">was done </w:t>
      </w:r>
      <w:r w:rsidR="00C10FE4">
        <w:rPr>
          <w:rFonts w:cs="Arial"/>
          <w:szCs w:val="18"/>
        </w:rPr>
        <w:t>using</w:t>
      </w:r>
      <w:r w:rsidR="00BC07F8">
        <w:rPr>
          <w:rFonts w:cs="Arial"/>
          <w:szCs w:val="18"/>
        </w:rPr>
        <w:t xml:space="preserve"> 16S rRNA</w:t>
      </w:r>
      <w:r w:rsidR="00C10FE4">
        <w:rPr>
          <w:rFonts w:cs="Arial"/>
          <w:szCs w:val="18"/>
        </w:rPr>
        <w:t>.</w:t>
      </w:r>
      <w:r w:rsidR="00C82143">
        <w:rPr>
          <w:rFonts w:cs="Arial"/>
          <w:szCs w:val="18"/>
        </w:rPr>
        <w:t xml:space="preserve"> </w:t>
      </w:r>
      <w:r w:rsidR="000546C3">
        <w:rPr>
          <w:rFonts w:cs="Arial"/>
          <w:szCs w:val="18"/>
        </w:rPr>
        <w:t>Identification of cultures was tabulated below:</w:t>
      </w:r>
    </w:p>
    <w:p w:rsidR="000546C3" w:rsidRDefault="000546C3" w:rsidP="00996112">
      <w:pPr>
        <w:pStyle w:val="CETBodytext"/>
        <w:rPr>
          <w:rFonts w:cs="Arial"/>
          <w:szCs w:val="18"/>
          <w:lang w:val="en-GB"/>
        </w:rPr>
      </w:pPr>
    </w:p>
    <w:p w:rsidR="00FD25A4" w:rsidRPr="00996112" w:rsidRDefault="00996112" w:rsidP="00996112">
      <w:pPr>
        <w:pStyle w:val="CETBodytext"/>
        <w:rPr>
          <w:i/>
        </w:rPr>
      </w:pPr>
      <w:r w:rsidRPr="00996112">
        <w:rPr>
          <w:rFonts w:cs="Arial"/>
          <w:i/>
          <w:szCs w:val="18"/>
        </w:rPr>
        <w:t>Table 1:</w:t>
      </w:r>
      <w:r>
        <w:rPr>
          <w:rFonts w:cs="Arial"/>
          <w:szCs w:val="18"/>
        </w:rPr>
        <w:t xml:space="preserve"> </w:t>
      </w:r>
      <w:r w:rsidRPr="0065388A">
        <w:rPr>
          <w:i/>
        </w:rPr>
        <w:t xml:space="preserve">Culture identification </w:t>
      </w:r>
      <w:r>
        <w:rPr>
          <w:i/>
        </w:rPr>
        <w:t xml:space="preserve">of CRB from sludge </w:t>
      </w:r>
      <w:r w:rsidRPr="0065388A">
        <w:rPr>
          <w:i/>
        </w:rPr>
        <w:t>using 16S</w:t>
      </w:r>
      <w:r>
        <w:rPr>
          <w:i/>
        </w:rPr>
        <w:t xml:space="preserve"> rRNA </w:t>
      </w:r>
    </w:p>
    <w:tbl>
      <w:tblPr>
        <w:tblW w:w="8820" w:type="dxa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0"/>
        <w:gridCol w:w="3420"/>
        <w:gridCol w:w="1890"/>
        <w:gridCol w:w="1800"/>
      </w:tblGrid>
      <w:tr w:rsidR="00152E59" w:rsidRPr="00B57B36" w:rsidTr="005E66C8">
        <w:trPr>
          <w:trHeight w:val="331"/>
        </w:trPr>
        <w:tc>
          <w:tcPr>
            <w:tcW w:w="171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:rsidR="00152E59" w:rsidRPr="00EB1683" w:rsidRDefault="00EB1683" w:rsidP="00EB1683">
            <w:pPr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Pure </w:t>
            </w:r>
            <w:r w:rsidR="005E66C8">
              <w:rPr>
                <w:rFonts w:cs="Arial"/>
                <w:szCs w:val="18"/>
              </w:rPr>
              <w:t>c</w:t>
            </w:r>
            <w:r w:rsidR="00152E59" w:rsidRPr="00BB24EB">
              <w:rPr>
                <w:rFonts w:cs="Arial"/>
                <w:szCs w:val="18"/>
              </w:rPr>
              <w:t>ulture</w:t>
            </w:r>
          </w:p>
        </w:tc>
        <w:tc>
          <w:tcPr>
            <w:tcW w:w="342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:rsidR="00152E59" w:rsidRPr="00B57B36" w:rsidRDefault="00410602" w:rsidP="00952B5E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Species Identified</w:t>
            </w:r>
          </w:p>
        </w:tc>
        <w:tc>
          <w:tcPr>
            <w:tcW w:w="189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:rsidR="00152E59" w:rsidRPr="00B57B36" w:rsidRDefault="00410602" w:rsidP="00952B5E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% Identity</w:t>
            </w:r>
            <w:r w:rsidR="00152E59">
              <w:rPr>
                <w:lang w:val="en-GB"/>
              </w:rPr>
              <w:t xml:space="preserve"> </w:t>
            </w:r>
          </w:p>
        </w:tc>
        <w:tc>
          <w:tcPr>
            <w:tcW w:w="180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:rsidR="00152E59" w:rsidRPr="00B57B36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Accession Number</w:t>
            </w:r>
          </w:p>
        </w:tc>
      </w:tr>
      <w:tr w:rsidR="00152E59" w:rsidRPr="00B57B36" w:rsidTr="005E66C8">
        <w:trPr>
          <w:trHeight w:val="211"/>
        </w:trPr>
        <w:tc>
          <w:tcPr>
            <w:tcW w:w="1710" w:type="dxa"/>
            <w:shd w:val="clear" w:color="auto" w:fill="FFFFFF"/>
          </w:tcPr>
          <w:p w:rsidR="00152E59" w:rsidRPr="00B57B36" w:rsidRDefault="00152E59" w:rsidP="00952B5E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X1</w:t>
            </w:r>
          </w:p>
        </w:tc>
        <w:tc>
          <w:tcPr>
            <w:tcW w:w="3420" w:type="dxa"/>
            <w:shd w:val="clear" w:color="auto" w:fill="FFFFFF"/>
          </w:tcPr>
          <w:p w:rsidR="00152E59" w:rsidRPr="00B57B36" w:rsidRDefault="00152E59" w:rsidP="00952B5E">
            <w:pPr>
              <w:pStyle w:val="CETBodytext"/>
              <w:rPr>
                <w:lang w:val="en-GB"/>
              </w:rPr>
            </w:pPr>
            <w:r w:rsidRPr="00BB24EB">
              <w:rPr>
                <w:rFonts w:cs="Arial"/>
                <w:bCs/>
                <w:i/>
                <w:szCs w:val="18"/>
              </w:rPr>
              <w:t>Enterococcus casseliflavus</w:t>
            </w:r>
          </w:p>
        </w:tc>
        <w:tc>
          <w:tcPr>
            <w:tcW w:w="1890" w:type="dxa"/>
            <w:shd w:val="clear" w:color="auto" w:fill="FFFFFF"/>
          </w:tcPr>
          <w:p w:rsidR="00152E59" w:rsidRPr="00B57B36" w:rsidRDefault="00152E59" w:rsidP="00952B5E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  <w:tc>
          <w:tcPr>
            <w:tcW w:w="1800" w:type="dxa"/>
            <w:shd w:val="clear" w:color="auto" w:fill="FFFFFF"/>
          </w:tcPr>
          <w:p w:rsidR="00152E59" w:rsidRPr="00B57B36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CP032739</w:t>
            </w:r>
          </w:p>
        </w:tc>
      </w:tr>
      <w:tr w:rsidR="00152E59" w:rsidRPr="00B57B36" w:rsidTr="005E66C8">
        <w:trPr>
          <w:trHeight w:val="171"/>
        </w:trPr>
        <w:tc>
          <w:tcPr>
            <w:tcW w:w="1710" w:type="dxa"/>
            <w:shd w:val="clear" w:color="auto" w:fill="FFFFFF"/>
          </w:tcPr>
          <w:p w:rsidR="00152E59" w:rsidRPr="00B57B36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X2</w:t>
            </w:r>
          </w:p>
        </w:tc>
        <w:tc>
          <w:tcPr>
            <w:tcW w:w="3420" w:type="dxa"/>
            <w:shd w:val="clear" w:color="auto" w:fill="FFFFFF"/>
          </w:tcPr>
          <w:p w:rsidR="00152E59" w:rsidRPr="00B57B36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 w:rsidRPr="00BB24EB">
              <w:rPr>
                <w:rFonts w:cs="Arial"/>
                <w:bCs/>
                <w:i/>
                <w:szCs w:val="18"/>
              </w:rPr>
              <w:t>Pseudomonas putida</w:t>
            </w:r>
          </w:p>
        </w:tc>
        <w:tc>
          <w:tcPr>
            <w:tcW w:w="1890" w:type="dxa"/>
            <w:shd w:val="clear" w:color="auto" w:fill="FFFFFF"/>
          </w:tcPr>
          <w:p w:rsidR="00152E59" w:rsidRPr="00B57B36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99</w:t>
            </w:r>
          </w:p>
        </w:tc>
        <w:tc>
          <w:tcPr>
            <w:tcW w:w="1800" w:type="dxa"/>
            <w:shd w:val="clear" w:color="auto" w:fill="FFFFFF"/>
          </w:tcPr>
          <w:p w:rsidR="00152E59" w:rsidRPr="00B57B36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CP016634</w:t>
            </w:r>
          </w:p>
        </w:tc>
      </w:tr>
      <w:tr w:rsidR="00152E59" w:rsidRPr="00B57B36" w:rsidTr="005E66C8">
        <w:trPr>
          <w:trHeight w:val="693"/>
        </w:trPr>
        <w:tc>
          <w:tcPr>
            <w:tcW w:w="1710" w:type="dxa"/>
            <w:shd w:val="clear" w:color="auto" w:fill="FFFFFF"/>
          </w:tcPr>
          <w:p w:rsidR="00152E59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X3</w:t>
            </w:r>
          </w:p>
          <w:p w:rsidR="00152E59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X4</w:t>
            </w:r>
          </w:p>
          <w:p w:rsidR="00152E59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X5</w:t>
            </w:r>
          </w:p>
        </w:tc>
        <w:tc>
          <w:tcPr>
            <w:tcW w:w="3420" w:type="dxa"/>
            <w:shd w:val="clear" w:color="auto" w:fill="FFFFFF"/>
          </w:tcPr>
          <w:p w:rsidR="00152E59" w:rsidRDefault="00152E59" w:rsidP="00952B5E">
            <w:pPr>
              <w:pStyle w:val="CETBodytext"/>
              <w:ind w:right="-1"/>
              <w:rPr>
                <w:rFonts w:cs="Arial"/>
                <w:i/>
                <w:szCs w:val="18"/>
                <w:lang w:val="en-GB"/>
              </w:rPr>
            </w:pPr>
            <w:r w:rsidRPr="00A161A9">
              <w:rPr>
                <w:rFonts w:cs="Arial"/>
                <w:i/>
                <w:szCs w:val="18"/>
                <w:lang w:val="en-GB"/>
              </w:rPr>
              <w:t>Citrobacter sedlakii</w:t>
            </w:r>
          </w:p>
          <w:p w:rsidR="00152E59" w:rsidRPr="00BB24EB" w:rsidRDefault="00152E59" w:rsidP="00952B5E">
            <w:pPr>
              <w:rPr>
                <w:rFonts w:cs="Arial"/>
                <w:bCs/>
                <w:i/>
                <w:szCs w:val="18"/>
                <w:lang w:val="en-US"/>
              </w:rPr>
            </w:pPr>
            <w:r w:rsidRPr="00BB24EB">
              <w:rPr>
                <w:rFonts w:cs="Arial"/>
                <w:bCs/>
                <w:i/>
                <w:szCs w:val="18"/>
                <w:lang w:val="en-US"/>
              </w:rPr>
              <w:t>Enterobacter cloacae</w:t>
            </w:r>
          </w:p>
          <w:p w:rsidR="00152E59" w:rsidRPr="00A161A9" w:rsidRDefault="00152E59" w:rsidP="00952B5E">
            <w:pPr>
              <w:pStyle w:val="CETBodytext"/>
              <w:rPr>
                <w:rFonts w:cs="Arial"/>
                <w:i/>
                <w:szCs w:val="18"/>
                <w:lang w:val="en-GB"/>
              </w:rPr>
            </w:pPr>
            <w:r w:rsidRPr="00A161A9">
              <w:rPr>
                <w:rFonts w:cs="Arial"/>
                <w:i/>
                <w:szCs w:val="18"/>
                <w:lang w:val="en-GB"/>
              </w:rPr>
              <w:t>Enterobacter hormaechei</w:t>
            </w:r>
          </w:p>
        </w:tc>
        <w:tc>
          <w:tcPr>
            <w:tcW w:w="1890" w:type="dxa"/>
            <w:shd w:val="clear" w:color="auto" w:fill="FFFFFF"/>
          </w:tcPr>
          <w:p w:rsidR="00152E59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99</w:t>
            </w:r>
          </w:p>
          <w:p w:rsidR="00152E59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98</w:t>
            </w:r>
          </w:p>
          <w:p w:rsidR="00152E59" w:rsidRPr="00B57B36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99</w:t>
            </w:r>
          </w:p>
        </w:tc>
        <w:tc>
          <w:tcPr>
            <w:tcW w:w="1800" w:type="dxa"/>
            <w:shd w:val="clear" w:color="auto" w:fill="FFFFFF"/>
          </w:tcPr>
          <w:p w:rsidR="00152E59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KP861248</w:t>
            </w:r>
          </w:p>
          <w:p w:rsidR="00152E59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MG576153</w:t>
            </w:r>
          </w:p>
          <w:p w:rsidR="00152E59" w:rsidRPr="00B57B36" w:rsidRDefault="00152E59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AJ853889</w:t>
            </w:r>
          </w:p>
        </w:tc>
      </w:tr>
    </w:tbl>
    <w:p w:rsidR="00FD25A4" w:rsidRDefault="00FD25A4" w:rsidP="009310C4">
      <w:pPr>
        <w:widowControl w:val="0"/>
        <w:autoSpaceDE w:val="0"/>
        <w:autoSpaceDN w:val="0"/>
        <w:adjustRightInd w:val="0"/>
        <w:rPr>
          <w:rFonts w:cs="Arial"/>
          <w:szCs w:val="18"/>
        </w:rPr>
      </w:pPr>
    </w:p>
    <w:p w:rsidR="00B6006C" w:rsidRDefault="00B6006C" w:rsidP="00B6006C">
      <w:pPr>
        <w:pStyle w:val="CETheadingx"/>
      </w:pPr>
      <w:r>
        <w:t>Algae cultivation and growth medium</w:t>
      </w:r>
    </w:p>
    <w:p w:rsidR="00B6006C" w:rsidRDefault="00643EDF" w:rsidP="009310C4">
      <w:pPr>
        <w:widowControl w:val="0"/>
        <w:autoSpaceDE w:val="0"/>
        <w:autoSpaceDN w:val="0"/>
        <w:adjustRightInd w:val="0"/>
        <w:rPr>
          <w:rFonts w:cs="Arial"/>
          <w:szCs w:val="18"/>
        </w:rPr>
      </w:pPr>
      <w:r>
        <w:t>Algae started growing from the side</w:t>
      </w:r>
      <w:r w:rsidR="00596A23">
        <w:t>s</w:t>
      </w:r>
      <w:r>
        <w:t xml:space="preserve"> of the columns </w:t>
      </w:r>
      <w:r w:rsidR="00824AE0">
        <w:t xml:space="preserve">after 30 d </w:t>
      </w:r>
      <w:r>
        <w:t xml:space="preserve">of 40 mg/L Cr(VI) concentration loading. </w:t>
      </w:r>
      <w:r w:rsidR="00F25F10">
        <w:t>To cultivate the algae</w:t>
      </w:r>
      <w:r w:rsidR="00BC07F8">
        <w:t xml:space="preserve"> a</w:t>
      </w:r>
      <w:r w:rsidR="00B6006C">
        <w:t xml:space="preserve"> </w:t>
      </w:r>
      <w:r w:rsidR="00BC07F8">
        <w:t xml:space="preserve">3 by 1 </w:t>
      </w:r>
      <w:r w:rsidR="00B6006C">
        <w:t>Nitrogen, Bold Basal Media with Vitamins (3N-BBM+V)</w:t>
      </w:r>
      <w:r w:rsidR="00596A23">
        <w:t xml:space="preserve"> was prepared</w:t>
      </w:r>
      <w:r w:rsidR="00B6006C">
        <w:t>.</w:t>
      </w:r>
      <w:r w:rsidR="00B6006C" w:rsidRPr="00A30D32">
        <w:t xml:space="preserve"> </w:t>
      </w:r>
      <w:r w:rsidR="001A1CA7">
        <w:t>To grow algal</w:t>
      </w:r>
      <w:r w:rsidR="00BC07F8">
        <w:t xml:space="preserve"> cells, </w:t>
      </w:r>
      <w:r w:rsidR="00B6006C">
        <w:t>250 mL</w:t>
      </w:r>
      <w:r w:rsidR="001E0497">
        <w:t xml:space="preserve"> Erlenmeyer flasks</w:t>
      </w:r>
      <w:r w:rsidR="00B6006C">
        <w:t xml:space="preserve"> </w:t>
      </w:r>
      <w:r w:rsidR="00BC07F8">
        <w:t xml:space="preserve">were used which were kept </w:t>
      </w:r>
      <w:r w:rsidR="00B6006C">
        <w:t>under algal light; Osram L 36W/77 Floura at 20-23 °C (Birungi and Chirwa, 2017)</w:t>
      </w:r>
      <w:r w:rsidR="00824AE0">
        <w:t xml:space="preserve"> for 14 d</w:t>
      </w:r>
      <w:r w:rsidR="00BC07F8">
        <w:t xml:space="preserve"> with continuous shaking.</w:t>
      </w:r>
      <w:r w:rsidR="001E0497">
        <w:t xml:space="preserve"> </w:t>
      </w:r>
      <w:r w:rsidR="00BC07F8">
        <w:t xml:space="preserve">To retrieve the cells, the samples were </w:t>
      </w:r>
      <w:r w:rsidR="00BC07F8">
        <w:lastRenderedPageBreak/>
        <w:t xml:space="preserve">centrifuged at 6000 rpm for 10 min under 4 </w:t>
      </w:r>
      <w:r w:rsidR="00BC07F8">
        <w:rPr>
          <w:rFonts w:cs="Arial"/>
          <w:szCs w:val="18"/>
        </w:rPr>
        <w:t>°C.</w:t>
      </w:r>
      <w:r w:rsidR="00BC07F8">
        <w:t xml:space="preserve"> </w:t>
      </w:r>
      <w:r w:rsidR="00B6006C">
        <w:t>The supernatant</w:t>
      </w:r>
      <w:r w:rsidR="00BC07F8">
        <w:t xml:space="preserve"> is repeatedly centrifuged for clear</w:t>
      </w:r>
      <w:r w:rsidR="001469EF">
        <w:t xml:space="preserve"> and free cells. The algal</w:t>
      </w:r>
      <w:r w:rsidR="00BC07F8">
        <w:t xml:space="preserve"> cells</w:t>
      </w:r>
      <w:r w:rsidR="00B6006C">
        <w:t xml:space="preserve"> were</w:t>
      </w:r>
      <w:r w:rsidR="00BC07F8">
        <w:t xml:space="preserve"> obtained by using BBM agar which was streaked with algal rowth and incubated under light for </w:t>
      </w:r>
      <w:r w:rsidR="00B6006C">
        <w:t>14 days. Characterization was done by using 18S rRNA.</w:t>
      </w:r>
    </w:p>
    <w:p w:rsidR="008059D2" w:rsidRDefault="00254526" w:rsidP="008059D2">
      <w:pPr>
        <w:pStyle w:val="CETheadingx"/>
      </w:pPr>
      <w:r>
        <w:t>Chemicals and reagents</w:t>
      </w:r>
    </w:p>
    <w:p w:rsidR="008059D2" w:rsidRDefault="00BC07F8" w:rsidP="008059D2">
      <w:pPr>
        <w:pStyle w:val="ListParagraph"/>
        <w:tabs>
          <w:tab w:val="left" w:pos="2370"/>
        </w:tabs>
        <w:ind w:left="0"/>
        <w:rPr>
          <w:rFonts w:cs="Arial"/>
          <w:szCs w:val="18"/>
          <w:lang w:eastAsia="en-ZA"/>
        </w:rPr>
      </w:pPr>
      <w:r>
        <w:rPr>
          <w:rFonts w:cs="Arial"/>
          <w:szCs w:val="18"/>
        </w:rPr>
        <w:t xml:space="preserve">Preparation of Cr(VI) stock solution was done by </w:t>
      </w:r>
      <w:r w:rsidR="008059D2" w:rsidRPr="008059D2">
        <w:rPr>
          <w:rFonts w:cs="Arial"/>
          <w:szCs w:val="18"/>
        </w:rPr>
        <w:t>weighing 3.74 g of pure K</w:t>
      </w:r>
      <w:r w:rsidR="008059D2" w:rsidRPr="008059D2">
        <w:rPr>
          <w:rFonts w:cs="Arial"/>
          <w:szCs w:val="18"/>
          <w:vertAlign w:val="subscript"/>
        </w:rPr>
        <w:t>2</w:t>
      </w:r>
      <w:r w:rsidR="008059D2" w:rsidRPr="008059D2">
        <w:rPr>
          <w:rFonts w:cs="Arial"/>
          <w:szCs w:val="18"/>
        </w:rPr>
        <w:t>Cr</w:t>
      </w:r>
      <w:r w:rsidR="008059D2" w:rsidRPr="008059D2">
        <w:rPr>
          <w:rFonts w:cs="Arial"/>
          <w:szCs w:val="18"/>
          <w:vertAlign w:val="subscript"/>
        </w:rPr>
        <w:t>2</w:t>
      </w:r>
      <w:r w:rsidR="008059D2" w:rsidRPr="008059D2">
        <w:rPr>
          <w:rFonts w:cs="Arial"/>
          <w:szCs w:val="18"/>
        </w:rPr>
        <w:t>O</w:t>
      </w:r>
      <w:r w:rsidR="008059D2" w:rsidRPr="008059D2">
        <w:rPr>
          <w:rFonts w:cs="Arial"/>
          <w:szCs w:val="18"/>
          <w:vertAlign w:val="subscript"/>
        </w:rPr>
        <w:t>4</w:t>
      </w:r>
      <w:r w:rsidR="008059D2">
        <w:rPr>
          <w:rFonts w:cs="Arial"/>
          <w:szCs w:val="18"/>
        </w:rPr>
        <w:t xml:space="preserve"> and dissolved in 1 L</w:t>
      </w:r>
      <w:r w:rsidR="008059D2" w:rsidRPr="008059D2">
        <w:rPr>
          <w:rFonts w:cs="Arial"/>
          <w:szCs w:val="18"/>
        </w:rPr>
        <w:t xml:space="preserve"> of distilled water. This</w:t>
      </w:r>
      <w:r>
        <w:rPr>
          <w:rFonts w:cs="Arial"/>
          <w:szCs w:val="18"/>
        </w:rPr>
        <w:t xml:space="preserve"> standard</w:t>
      </w:r>
      <w:r w:rsidR="008059D2" w:rsidRPr="008059D2">
        <w:rPr>
          <w:rFonts w:cs="Arial"/>
          <w:szCs w:val="18"/>
        </w:rPr>
        <w:t xml:space="preserve"> solution was used throughout all experiments</w:t>
      </w:r>
      <w:r w:rsidR="00261E7C">
        <w:rPr>
          <w:rFonts w:cs="Arial"/>
          <w:szCs w:val="18"/>
        </w:rPr>
        <w:t xml:space="preserve">. </w:t>
      </w:r>
      <w:r w:rsidR="003F44D6">
        <w:rPr>
          <w:rFonts w:cs="Arial"/>
          <w:szCs w:val="18"/>
        </w:rPr>
        <w:t xml:space="preserve">Preparation of Diphenyl carbozide </w:t>
      </w:r>
      <w:r>
        <w:rPr>
          <w:rFonts w:cs="Arial"/>
          <w:szCs w:val="18"/>
        </w:rPr>
        <w:t>solution was done</w:t>
      </w:r>
      <w:r w:rsidR="003F44D6">
        <w:rPr>
          <w:rFonts w:cs="Arial"/>
          <w:szCs w:val="18"/>
        </w:rPr>
        <w:t xml:space="preserve"> in an amber bottle</w:t>
      </w:r>
      <w:r>
        <w:rPr>
          <w:rFonts w:cs="Arial"/>
          <w:szCs w:val="18"/>
        </w:rPr>
        <w:t xml:space="preserve"> by </w:t>
      </w:r>
      <w:r w:rsidR="008059D2" w:rsidRPr="008059D2">
        <w:rPr>
          <w:rFonts w:cs="Arial"/>
          <w:szCs w:val="18"/>
          <w:lang w:eastAsia="en-ZA"/>
        </w:rPr>
        <w:t>dissolvin</w:t>
      </w:r>
      <w:r w:rsidR="003F44D6">
        <w:rPr>
          <w:rFonts w:cs="Arial"/>
          <w:szCs w:val="18"/>
          <w:lang w:eastAsia="en-ZA"/>
        </w:rPr>
        <w:t>g 0.5 g of 1,5 DPC</w:t>
      </w:r>
      <w:r w:rsidR="008059D2" w:rsidRPr="008059D2">
        <w:rPr>
          <w:rFonts w:cs="Arial"/>
          <w:szCs w:val="18"/>
          <w:lang w:eastAsia="en-ZA"/>
        </w:rPr>
        <w:t xml:space="preserve"> in 100 mL of a</w:t>
      </w:r>
      <w:r w:rsidR="00254526">
        <w:rPr>
          <w:rFonts w:cs="Arial"/>
          <w:szCs w:val="18"/>
          <w:lang w:eastAsia="en-ZA"/>
        </w:rPr>
        <w:t>cetone</w:t>
      </w:r>
      <w:r w:rsidR="008059D2" w:rsidRPr="008059D2">
        <w:rPr>
          <w:rFonts w:cs="Arial"/>
          <w:szCs w:val="18"/>
          <w:lang w:eastAsia="en-ZA"/>
        </w:rPr>
        <w:t xml:space="preserve"> </w:t>
      </w:r>
      <w:r w:rsidR="003F44D6" w:rsidRPr="008059D2">
        <w:rPr>
          <w:rFonts w:cs="Arial"/>
          <w:szCs w:val="18"/>
          <w:lang w:eastAsia="en-ZA"/>
        </w:rPr>
        <w:t>(Merck, South Africa)</w:t>
      </w:r>
    </w:p>
    <w:p w:rsidR="00A30F98" w:rsidRDefault="008059D2" w:rsidP="008059D2">
      <w:pPr>
        <w:pStyle w:val="ListParagraph"/>
        <w:tabs>
          <w:tab w:val="left" w:pos="2370"/>
        </w:tabs>
        <w:ind w:left="0"/>
        <w:rPr>
          <w:rFonts w:cs="Arial"/>
          <w:szCs w:val="18"/>
        </w:rPr>
      </w:pPr>
      <w:r w:rsidRPr="008059D2">
        <w:rPr>
          <w:rFonts w:cs="Arial"/>
          <w:szCs w:val="18"/>
        </w:rPr>
        <w:t xml:space="preserve">Sodium chloride </w:t>
      </w:r>
      <w:r w:rsidR="003F44D6">
        <w:rPr>
          <w:rFonts w:cs="Arial"/>
          <w:szCs w:val="18"/>
        </w:rPr>
        <w:t xml:space="preserve">(NaCl) </w:t>
      </w:r>
      <w:r w:rsidRPr="008059D2">
        <w:rPr>
          <w:rFonts w:cs="Arial"/>
          <w:szCs w:val="18"/>
        </w:rPr>
        <w:t>solution (0.85</w:t>
      </w:r>
      <w:r w:rsidR="00254526">
        <w:rPr>
          <w:rFonts w:cs="Arial"/>
          <w:szCs w:val="18"/>
        </w:rPr>
        <w:t xml:space="preserve"> </w:t>
      </w:r>
      <w:r w:rsidR="003F44D6">
        <w:rPr>
          <w:rFonts w:cs="Arial"/>
          <w:szCs w:val="18"/>
        </w:rPr>
        <w:t>%) preparation was</w:t>
      </w:r>
      <w:r w:rsidRPr="008059D2">
        <w:rPr>
          <w:rFonts w:cs="Arial"/>
          <w:szCs w:val="18"/>
        </w:rPr>
        <w:t xml:space="preserve"> by dissolving 1.85 g o</w:t>
      </w:r>
      <w:r w:rsidR="003F44D6">
        <w:rPr>
          <w:rFonts w:cs="Arial"/>
          <w:szCs w:val="18"/>
        </w:rPr>
        <w:t>f NaCl</w:t>
      </w:r>
      <w:r w:rsidR="00AD2F4F">
        <w:rPr>
          <w:rFonts w:cs="Arial"/>
          <w:szCs w:val="18"/>
        </w:rPr>
        <w:t xml:space="preserve"> in 100 mL</w:t>
      </w:r>
      <w:r w:rsidRPr="008059D2">
        <w:rPr>
          <w:rFonts w:cs="Arial"/>
          <w:szCs w:val="18"/>
        </w:rPr>
        <w:t xml:space="preserve"> ultra-pure water </w:t>
      </w:r>
      <w:r w:rsidR="003F44D6">
        <w:rPr>
          <w:rFonts w:cs="Arial"/>
          <w:szCs w:val="18"/>
        </w:rPr>
        <w:t xml:space="preserve">and autoclaving at </w:t>
      </w:r>
      <w:r w:rsidRPr="008059D2">
        <w:rPr>
          <w:rFonts w:cs="Arial"/>
          <w:szCs w:val="18"/>
        </w:rPr>
        <w:t>121</w:t>
      </w:r>
      <w:r w:rsidR="00254526">
        <w:rPr>
          <w:rFonts w:cs="Arial"/>
          <w:szCs w:val="18"/>
        </w:rPr>
        <w:t xml:space="preserve"> °C </w:t>
      </w:r>
      <w:r w:rsidR="00254526" w:rsidRPr="00AD2F4F">
        <w:rPr>
          <w:rFonts w:cs="Arial"/>
          <w:szCs w:val="18"/>
        </w:rPr>
        <w:t>for 15 min</w:t>
      </w:r>
      <w:r w:rsidRPr="008059D2">
        <w:rPr>
          <w:rFonts w:cs="Arial"/>
          <w:szCs w:val="18"/>
        </w:rPr>
        <w:t xml:space="preserve">. </w:t>
      </w:r>
    </w:p>
    <w:p w:rsidR="008059D2" w:rsidRDefault="00254526" w:rsidP="008059D2">
      <w:pPr>
        <w:pStyle w:val="CETheadingx"/>
      </w:pPr>
      <w:r>
        <w:t>Analytical m</w:t>
      </w:r>
      <w:r w:rsidR="008059D2" w:rsidRPr="008059D2">
        <w:t>ethods</w:t>
      </w:r>
    </w:p>
    <w:p w:rsidR="00A30F98" w:rsidRPr="00A30D32" w:rsidRDefault="008059D2" w:rsidP="00A30F98">
      <w:pPr>
        <w:pStyle w:val="ListParagraph"/>
        <w:tabs>
          <w:tab w:val="left" w:pos="2370"/>
        </w:tabs>
        <w:ind w:left="0"/>
        <w:rPr>
          <w:rFonts w:cs="Arial"/>
          <w:szCs w:val="18"/>
        </w:rPr>
      </w:pPr>
      <w:r w:rsidRPr="00E56E77">
        <w:rPr>
          <w:rFonts w:cs="Arial"/>
          <w:szCs w:val="18"/>
        </w:rPr>
        <w:t>Cr(VI)</w:t>
      </w:r>
      <w:r w:rsidR="003F44D6">
        <w:rPr>
          <w:rFonts w:cs="Arial"/>
          <w:szCs w:val="18"/>
        </w:rPr>
        <w:t xml:space="preserve"> measurements were done using a UV-Vis spectrophotometer from Labotech, South Africa. During absorbance readings of Cr(VI), 540 nm wavelength was used.</w:t>
      </w:r>
      <w:r w:rsidRPr="00E56E77">
        <w:rPr>
          <w:rFonts w:cs="Arial"/>
          <w:szCs w:val="18"/>
        </w:rPr>
        <w:t xml:space="preserve"> </w:t>
      </w:r>
      <w:r w:rsidR="003F44D6">
        <w:rPr>
          <w:rFonts w:cs="Arial"/>
          <w:szCs w:val="18"/>
        </w:rPr>
        <w:t>The method involved adding 0.1</w:t>
      </w:r>
      <w:r w:rsidRPr="00E56E77">
        <w:rPr>
          <w:rFonts w:cs="Arial"/>
          <w:szCs w:val="18"/>
        </w:rPr>
        <w:t xml:space="preserve"> mL sample </w:t>
      </w:r>
      <w:r w:rsidR="003F44D6">
        <w:rPr>
          <w:rFonts w:cs="Arial"/>
          <w:szCs w:val="18"/>
        </w:rPr>
        <w:t>into 10 mL volumetric flask,</w:t>
      </w:r>
      <w:r w:rsidRPr="00E56E77">
        <w:rPr>
          <w:rFonts w:cs="Arial"/>
          <w:szCs w:val="18"/>
        </w:rPr>
        <w:t xml:space="preserve"> 1 ml of 1 N H</w:t>
      </w:r>
      <w:r w:rsidRPr="00E56E77">
        <w:rPr>
          <w:rFonts w:cs="Arial"/>
          <w:szCs w:val="18"/>
          <w:vertAlign w:val="subscript"/>
        </w:rPr>
        <w:t>2</w:t>
      </w:r>
      <w:r w:rsidRPr="00E56E77">
        <w:rPr>
          <w:rFonts w:cs="Arial"/>
          <w:szCs w:val="18"/>
        </w:rPr>
        <w:t>SO</w:t>
      </w:r>
      <w:r w:rsidRPr="00E56E77">
        <w:rPr>
          <w:rFonts w:cs="Arial"/>
          <w:szCs w:val="18"/>
          <w:vertAlign w:val="subscript"/>
        </w:rPr>
        <w:t>4</w:t>
      </w:r>
      <w:r w:rsidRPr="00E56E77">
        <w:rPr>
          <w:rFonts w:cs="Arial"/>
          <w:szCs w:val="18"/>
        </w:rPr>
        <w:t xml:space="preserve"> and</w:t>
      </w:r>
      <w:r w:rsidR="003F44D6">
        <w:rPr>
          <w:rFonts w:cs="Arial"/>
          <w:szCs w:val="18"/>
        </w:rPr>
        <w:t xml:space="preserve"> taking it up to the 10 mL volume by using </w:t>
      </w:r>
      <w:r w:rsidRPr="00E56E77">
        <w:rPr>
          <w:rFonts w:cs="Arial"/>
          <w:szCs w:val="18"/>
        </w:rPr>
        <w:t xml:space="preserve"> </w:t>
      </w:r>
      <w:r w:rsidR="003F44D6">
        <w:rPr>
          <w:rFonts w:cs="Arial"/>
          <w:szCs w:val="18"/>
        </w:rPr>
        <w:t xml:space="preserve">ultra-pure and finally 0.2 mL of </w:t>
      </w:r>
      <w:r w:rsidRPr="00E56E77">
        <w:rPr>
          <w:rFonts w:cs="Arial"/>
          <w:szCs w:val="18"/>
        </w:rPr>
        <w:t xml:space="preserve">1.5 </w:t>
      </w:r>
      <w:r w:rsidR="003F44D6">
        <w:rPr>
          <w:rFonts w:cs="Arial"/>
          <w:szCs w:val="18"/>
        </w:rPr>
        <w:t xml:space="preserve">DPC </w:t>
      </w:r>
      <w:r w:rsidRPr="00E56E77">
        <w:rPr>
          <w:rFonts w:cs="Arial"/>
          <w:szCs w:val="18"/>
        </w:rPr>
        <w:t xml:space="preserve">to produce a purple </w:t>
      </w:r>
      <w:r w:rsidR="00DD65FB" w:rsidRPr="00E56E77">
        <w:rPr>
          <w:rFonts w:cs="Arial"/>
          <w:szCs w:val="18"/>
        </w:rPr>
        <w:t>colour</w:t>
      </w:r>
      <w:r w:rsidRPr="00E56E77">
        <w:rPr>
          <w:rFonts w:cs="Arial"/>
          <w:szCs w:val="18"/>
        </w:rPr>
        <w:t>. Cr(III)</w:t>
      </w:r>
      <w:r w:rsidR="00DD65FB">
        <w:rPr>
          <w:rFonts w:cs="Arial"/>
          <w:szCs w:val="18"/>
        </w:rPr>
        <w:t xml:space="preserve"> was </w:t>
      </w:r>
      <w:r w:rsidR="000C0A5C">
        <w:rPr>
          <w:rFonts w:cs="Arial"/>
          <w:szCs w:val="18"/>
        </w:rPr>
        <w:t xml:space="preserve">identified as </w:t>
      </w:r>
      <w:r w:rsidR="00DD65FB">
        <w:rPr>
          <w:rFonts w:cs="Arial"/>
          <w:szCs w:val="18"/>
        </w:rPr>
        <w:t>the reduced absorbance from initial reading</w:t>
      </w:r>
      <w:r w:rsidRPr="00E56E77">
        <w:rPr>
          <w:rFonts w:cs="Arial"/>
          <w:szCs w:val="18"/>
        </w:rPr>
        <w:t>.</w:t>
      </w:r>
    </w:p>
    <w:p w:rsidR="007B1089" w:rsidRDefault="00254526" w:rsidP="007B1089">
      <w:pPr>
        <w:pStyle w:val="CETheadingx"/>
      </w:pPr>
      <w:r>
        <w:t>Reactor s</w:t>
      </w:r>
      <w:r w:rsidR="007B1089">
        <w:t>etup</w:t>
      </w:r>
      <w:r>
        <w:t xml:space="preserve"> and s</w:t>
      </w:r>
      <w:r w:rsidR="00E65229">
        <w:t>tartup</w:t>
      </w:r>
    </w:p>
    <w:p w:rsidR="00EA2144" w:rsidRDefault="007B1089" w:rsidP="00EA352A">
      <w:pPr>
        <w:widowControl w:val="0"/>
        <w:autoSpaceDE w:val="0"/>
        <w:autoSpaceDN w:val="0"/>
        <w:adjustRightInd w:val="0"/>
        <w:rPr>
          <w:rFonts w:cs="Arial"/>
          <w:szCs w:val="18"/>
        </w:rPr>
      </w:pPr>
      <w:r w:rsidRPr="00AF5BEA">
        <w:rPr>
          <w:rFonts w:cs="Arial"/>
          <w:szCs w:val="18"/>
        </w:rPr>
        <w:t xml:space="preserve">Four columns </w:t>
      </w:r>
      <w:r w:rsidR="000C0A5C">
        <w:rPr>
          <w:rFonts w:cs="Arial"/>
          <w:szCs w:val="18"/>
        </w:rPr>
        <w:t xml:space="preserve">in a form of </w:t>
      </w:r>
      <w:r w:rsidRPr="00AF5BEA">
        <w:rPr>
          <w:rFonts w:cs="Arial"/>
          <w:szCs w:val="18"/>
        </w:rPr>
        <w:t xml:space="preserve">Plexiglas (PVC glass) were </w:t>
      </w:r>
      <w:r w:rsidR="000C0A5C">
        <w:rPr>
          <w:rFonts w:cs="Arial"/>
          <w:szCs w:val="18"/>
        </w:rPr>
        <w:t xml:space="preserve">used. These columns were 1 m long and filled with aquifer media from the target </w:t>
      </w:r>
      <w:r w:rsidR="00D9702C">
        <w:rPr>
          <w:rFonts w:cs="Arial"/>
          <w:szCs w:val="18"/>
        </w:rPr>
        <w:t xml:space="preserve">Cr(VI) contaminated </w:t>
      </w:r>
      <w:r w:rsidR="000C0A5C">
        <w:rPr>
          <w:rFonts w:cs="Arial"/>
          <w:szCs w:val="18"/>
        </w:rPr>
        <w:t>site</w:t>
      </w:r>
      <w:r w:rsidR="00254526">
        <w:rPr>
          <w:rFonts w:cs="Arial"/>
          <w:szCs w:val="18"/>
        </w:rPr>
        <w:t>.</w:t>
      </w:r>
      <w:r w:rsidR="00D9702C">
        <w:rPr>
          <w:rFonts w:cs="Arial"/>
          <w:szCs w:val="18"/>
        </w:rPr>
        <w:t xml:space="preserve"> Sample pots were bowed</w:t>
      </w:r>
      <w:r w:rsidR="000C0A5C">
        <w:rPr>
          <w:rFonts w:cs="Arial"/>
          <w:szCs w:val="18"/>
        </w:rPr>
        <w:t xml:space="preserve"> on each column; 1</w:t>
      </w:r>
      <w:r w:rsidRPr="00AF5BEA">
        <w:rPr>
          <w:rFonts w:cs="Arial"/>
          <w:szCs w:val="18"/>
        </w:rPr>
        <w:t>8 cm distant from each</w:t>
      </w:r>
      <w:r w:rsidR="00227DA1">
        <w:rPr>
          <w:rFonts w:cs="Arial"/>
          <w:szCs w:val="18"/>
        </w:rPr>
        <w:t xml:space="preserve"> </w:t>
      </w:r>
      <w:r w:rsidRPr="00AF5BEA">
        <w:rPr>
          <w:rFonts w:cs="Arial"/>
          <w:szCs w:val="18"/>
        </w:rPr>
        <w:t>other</w:t>
      </w:r>
      <w:r w:rsidR="000C0A5C">
        <w:rPr>
          <w:rFonts w:cs="Arial"/>
          <w:szCs w:val="18"/>
        </w:rPr>
        <w:t>.</w:t>
      </w:r>
      <w:r w:rsidRPr="00AF5BEA">
        <w:rPr>
          <w:rFonts w:cs="Arial"/>
          <w:szCs w:val="18"/>
        </w:rPr>
        <w:t xml:space="preserve"> </w:t>
      </w:r>
      <w:r w:rsidR="000C0A5C">
        <w:rPr>
          <w:rFonts w:cs="Arial"/>
          <w:szCs w:val="18"/>
        </w:rPr>
        <w:t>A cov</w:t>
      </w:r>
      <w:r w:rsidR="00D9702C">
        <w:rPr>
          <w:rFonts w:cs="Arial"/>
          <w:szCs w:val="18"/>
        </w:rPr>
        <w:t>er lid</w:t>
      </w:r>
      <w:r w:rsidR="000C0A5C">
        <w:rPr>
          <w:rFonts w:cs="Arial"/>
          <w:szCs w:val="18"/>
        </w:rPr>
        <w:t xml:space="preserve"> for the bottom of the col</w:t>
      </w:r>
      <w:r w:rsidR="00D9702C">
        <w:rPr>
          <w:rFonts w:cs="Arial"/>
          <w:szCs w:val="18"/>
        </w:rPr>
        <w:t>umn was used witch had access for a pipe as</w:t>
      </w:r>
      <w:r w:rsidR="000C0A5C">
        <w:rPr>
          <w:rFonts w:cs="Arial"/>
          <w:szCs w:val="18"/>
        </w:rPr>
        <w:t xml:space="preserve"> effluent flow (25 L effluent tank). After the columns were packed with aquifer media, treatments were introduced and a control. </w:t>
      </w:r>
      <w:r w:rsidRPr="00AF5BEA">
        <w:rPr>
          <w:rFonts w:cs="Arial"/>
          <w:szCs w:val="18"/>
        </w:rPr>
        <w:t xml:space="preserve">System 1 </w:t>
      </w:r>
      <w:r w:rsidR="000C0A5C">
        <w:rPr>
          <w:rFonts w:cs="Arial"/>
          <w:szCs w:val="18"/>
        </w:rPr>
        <w:t>had</w:t>
      </w:r>
      <w:r w:rsidRPr="00AF5BEA">
        <w:rPr>
          <w:rFonts w:cs="Arial"/>
          <w:szCs w:val="18"/>
        </w:rPr>
        <w:t xml:space="preserve"> dried sludge</w:t>
      </w:r>
      <w:r w:rsidR="000C0A5C">
        <w:rPr>
          <w:rFonts w:cs="Arial"/>
          <w:szCs w:val="18"/>
        </w:rPr>
        <w:t xml:space="preserve"> containing cultures only</w:t>
      </w:r>
      <w:r w:rsidRPr="00AF5BEA">
        <w:rPr>
          <w:rFonts w:cs="Arial"/>
          <w:szCs w:val="18"/>
        </w:rPr>
        <w:t xml:space="preserve">, System 2 </w:t>
      </w:r>
      <w:r w:rsidR="000C0A5C">
        <w:rPr>
          <w:rFonts w:cs="Arial"/>
          <w:szCs w:val="18"/>
        </w:rPr>
        <w:t xml:space="preserve">had dried sludge containing cultures and amended with </w:t>
      </w:r>
      <w:r w:rsidR="00451B8C">
        <w:rPr>
          <w:rFonts w:cs="Arial"/>
          <w:szCs w:val="18"/>
        </w:rPr>
        <w:t>saw dust</w:t>
      </w:r>
      <w:r w:rsidR="000C0A5C">
        <w:rPr>
          <w:rFonts w:cs="Arial"/>
          <w:szCs w:val="18"/>
        </w:rPr>
        <w:t xml:space="preserve"> and </w:t>
      </w:r>
      <w:r w:rsidRPr="00AF5BEA">
        <w:rPr>
          <w:rFonts w:cs="Arial"/>
          <w:szCs w:val="18"/>
        </w:rPr>
        <w:t xml:space="preserve">System 3 </w:t>
      </w:r>
      <w:r w:rsidR="000C0A5C">
        <w:rPr>
          <w:rFonts w:cs="Arial"/>
          <w:szCs w:val="18"/>
        </w:rPr>
        <w:t>had dried sludge containing cultures with a vegetative carbon material</w:t>
      </w:r>
      <w:r w:rsidR="00451B8C">
        <w:rPr>
          <w:rFonts w:cs="Arial"/>
          <w:szCs w:val="18"/>
        </w:rPr>
        <w:t xml:space="preserve"> retrieved </w:t>
      </w:r>
      <w:r w:rsidRPr="00AF5BEA">
        <w:rPr>
          <w:rFonts w:cs="Arial"/>
          <w:szCs w:val="18"/>
        </w:rPr>
        <w:t>by the target site. Th</w:t>
      </w:r>
      <w:r w:rsidR="00DD65FB">
        <w:rPr>
          <w:rFonts w:cs="Arial"/>
          <w:szCs w:val="18"/>
        </w:rPr>
        <w:t xml:space="preserve">e four packed columns were </w:t>
      </w:r>
      <w:r w:rsidRPr="00AF5BEA">
        <w:rPr>
          <w:rFonts w:cs="Arial"/>
          <w:szCs w:val="18"/>
        </w:rPr>
        <w:t>capped on one end</w:t>
      </w:r>
      <w:r w:rsidR="00451B8C">
        <w:rPr>
          <w:rFonts w:cs="Arial"/>
          <w:szCs w:val="18"/>
        </w:rPr>
        <w:t xml:space="preserve"> with shower caps</w:t>
      </w:r>
      <w:r w:rsidR="000C0A5C">
        <w:rPr>
          <w:rFonts w:cs="Arial"/>
          <w:szCs w:val="18"/>
        </w:rPr>
        <w:t xml:space="preserve"> that</w:t>
      </w:r>
      <w:r w:rsidRPr="00AF5BEA">
        <w:rPr>
          <w:rFonts w:cs="Arial"/>
          <w:szCs w:val="18"/>
        </w:rPr>
        <w:t xml:space="preserve"> acted as an influen</w:t>
      </w:r>
      <w:r w:rsidR="000C0A5C">
        <w:rPr>
          <w:rFonts w:cs="Arial"/>
          <w:szCs w:val="18"/>
        </w:rPr>
        <w:t>t source. The columns were</w:t>
      </w:r>
      <w:r w:rsidRPr="00AF5BEA">
        <w:rPr>
          <w:rFonts w:cs="Arial"/>
          <w:szCs w:val="18"/>
        </w:rPr>
        <w:t xml:space="preserve"> installed vertically on a steal gate by clapping. Each column was vertically connected to a 100</w:t>
      </w:r>
      <w:r w:rsidR="00EB1683">
        <w:rPr>
          <w:rFonts w:cs="Arial"/>
          <w:szCs w:val="18"/>
        </w:rPr>
        <w:t xml:space="preserve"> L</w:t>
      </w:r>
      <w:r w:rsidRPr="00AF5BEA">
        <w:rPr>
          <w:rFonts w:cs="Arial"/>
          <w:szCs w:val="18"/>
        </w:rPr>
        <w:t xml:space="preserve"> reservoir in which the contaminant </w:t>
      </w:r>
      <w:r w:rsidR="00DD65FB">
        <w:rPr>
          <w:rFonts w:cs="Arial"/>
          <w:szCs w:val="18"/>
        </w:rPr>
        <w:t>(Cr(VI))</w:t>
      </w:r>
      <w:r w:rsidR="00451B8C">
        <w:rPr>
          <w:rFonts w:cs="Arial"/>
          <w:szCs w:val="18"/>
        </w:rPr>
        <w:t xml:space="preserve"> </w:t>
      </w:r>
      <w:r w:rsidRPr="00AF5BEA">
        <w:rPr>
          <w:rFonts w:cs="Arial"/>
          <w:szCs w:val="18"/>
        </w:rPr>
        <w:t>was pumped into the system through the</w:t>
      </w:r>
      <w:r w:rsidR="000C0A5C">
        <w:rPr>
          <w:rFonts w:cs="Arial"/>
          <w:szCs w:val="18"/>
        </w:rPr>
        <w:t xml:space="preserve"> connecting</w:t>
      </w:r>
      <w:r w:rsidRPr="00AF5BEA">
        <w:rPr>
          <w:rFonts w:cs="Arial"/>
          <w:szCs w:val="18"/>
        </w:rPr>
        <w:t xml:space="preserve"> </w:t>
      </w:r>
      <w:r w:rsidR="00E65229">
        <w:rPr>
          <w:rFonts w:cs="Arial"/>
          <w:szCs w:val="18"/>
        </w:rPr>
        <w:t xml:space="preserve">tubes. </w:t>
      </w:r>
      <w:r w:rsidR="00D9702C">
        <w:rPr>
          <w:rFonts w:cs="Arial"/>
          <w:szCs w:val="18"/>
          <w:lang w:eastAsia="en-ZA"/>
        </w:rPr>
        <w:t xml:space="preserve">Before start of the </w:t>
      </w:r>
      <w:r w:rsidR="000C0A5C">
        <w:rPr>
          <w:rFonts w:cs="Arial"/>
          <w:szCs w:val="18"/>
          <w:lang w:eastAsia="en-ZA"/>
        </w:rPr>
        <w:t>experiment, ultra-pure</w:t>
      </w:r>
      <w:r w:rsidRPr="00E65229">
        <w:rPr>
          <w:rFonts w:cs="Arial"/>
          <w:szCs w:val="18"/>
          <w:lang w:eastAsia="en-ZA"/>
        </w:rPr>
        <w:t xml:space="preserve"> water was</w:t>
      </w:r>
      <w:r w:rsidR="000C0A5C">
        <w:rPr>
          <w:rFonts w:cs="Arial"/>
          <w:szCs w:val="18"/>
          <w:lang w:eastAsia="en-ZA"/>
        </w:rPr>
        <w:t xml:space="preserve"> run through the</w:t>
      </w:r>
      <w:r w:rsidR="00F511E2">
        <w:rPr>
          <w:rFonts w:cs="Arial"/>
          <w:szCs w:val="18"/>
          <w:lang w:eastAsia="en-ZA"/>
        </w:rPr>
        <w:t xml:space="preserve"> system for saturation. </w:t>
      </w:r>
      <w:r w:rsidRPr="00E65229">
        <w:rPr>
          <w:rFonts w:cs="Arial"/>
          <w:szCs w:val="18"/>
          <w:lang w:eastAsia="en-ZA"/>
        </w:rPr>
        <w:t>Flow rates were measured and adjusted to establish the hydraulic retention time (HRT) of approximately 24 h in each reactor.</w:t>
      </w:r>
      <w:r w:rsidR="00213EE2">
        <w:rPr>
          <w:rFonts w:cs="Arial"/>
          <w:szCs w:val="18"/>
          <w:lang w:eastAsia="en-ZA"/>
        </w:rPr>
        <w:t xml:space="preserve"> The system was fed with 40 mg/L</w:t>
      </w:r>
      <w:r w:rsidR="00824AE0">
        <w:rPr>
          <w:rFonts w:cs="Arial"/>
          <w:szCs w:val="18"/>
          <w:lang w:eastAsia="en-ZA"/>
        </w:rPr>
        <w:t xml:space="preserve"> for 30 d</w:t>
      </w:r>
      <w:r w:rsidR="00213EE2">
        <w:rPr>
          <w:rFonts w:cs="Arial"/>
          <w:szCs w:val="18"/>
          <w:lang w:eastAsia="en-ZA"/>
        </w:rPr>
        <w:t xml:space="preserve"> followe</w:t>
      </w:r>
      <w:r w:rsidR="00824AE0">
        <w:rPr>
          <w:rFonts w:cs="Arial"/>
          <w:szCs w:val="18"/>
          <w:lang w:eastAsia="en-ZA"/>
        </w:rPr>
        <w:t>d by 60 mg/L for another 30 d</w:t>
      </w:r>
      <w:r w:rsidR="00213EE2">
        <w:rPr>
          <w:rFonts w:cs="Arial"/>
          <w:szCs w:val="18"/>
          <w:lang w:eastAsia="en-ZA"/>
        </w:rPr>
        <w:t>.</w:t>
      </w:r>
    </w:p>
    <w:p w:rsidR="007B1089" w:rsidRDefault="007B1089" w:rsidP="007B1089">
      <w:pPr>
        <w:pStyle w:val="CETHeading1"/>
      </w:pPr>
      <w:r>
        <w:t xml:space="preserve">Results and discussion </w:t>
      </w:r>
    </w:p>
    <w:p w:rsidR="007B1089" w:rsidRDefault="00B10DDD" w:rsidP="007B1089">
      <w:pPr>
        <w:pStyle w:val="CETheadingx"/>
      </w:pPr>
      <w:r>
        <w:t>Bacterial</w:t>
      </w:r>
      <w:r w:rsidR="007B1089">
        <w:t xml:space="preserve"> culture composition</w:t>
      </w:r>
    </w:p>
    <w:p w:rsidR="00910781" w:rsidRDefault="00910781" w:rsidP="00EA352A">
      <w:pPr>
        <w:pStyle w:val="CETBodytext"/>
      </w:pPr>
      <w:r>
        <w:t>Samples were obtained from all columns for culture characterization. This was to identify bacterial communities present after the systems had been exposed to 40 mg/L and 60 mg/L</w:t>
      </w:r>
    </w:p>
    <w:p w:rsidR="00910781" w:rsidRPr="00EA352A" w:rsidRDefault="00910781" w:rsidP="00EA352A">
      <w:pPr>
        <w:pStyle w:val="CETBodytext"/>
      </w:pPr>
    </w:p>
    <w:p w:rsidR="00564396" w:rsidRDefault="00996112" w:rsidP="007B1089">
      <w:pPr>
        <w:pStyle w:val="CETBodytext"/>
        <w:rPr>
          <w:i/>
        </w:rPr>
      </w:pPr>
      <w:r>
        <w:rPr>
          <w:i/>
        </w:rPr>
        <w:t>Table 2</w:t>
      </w:r>
      <w:r w:rsidR="00564396" w:rsidRPr="0065388A">
        <w:rPr>
          <w:i/>
        </w:rPr>
        <w:t>: Culture identification</w:t>
      </w:r>
      <w:r w:rsidR="00E63C26">
        <w:rPr>
          <w:i/>
        </w:rPr>
        <w:t xml:space="preserve"> from column aquifer source</w:t>
      </w:r>
      <w:r w:rsidR="00564396" w:rsidRPr="0065388A">
        <w:rPr>
          <w:i/>
        </w:rPr>
        <w:t xml:space="preserve"> </w:t>
      </w:r>
      <w:r w:rsidR="00E63C26">
        <w:rPr>
          <w:i/>
        </w:rPr>
        <w:t>exposed to Cr(VI) concentration</w:t>
      </w:r>
    </w:p>
    <w:tbl>
      <w:tblPr>
        <w:tblW w:w="8820" w:type="dxa"/>
        <w:tblBorders>
          <w:top w:val="single" w:sz="12" w:space="0" w:color="008000"/>
          <w:bottom w:val="single" w:sz="12" w:space="0" w:color="008000"/>
        </w:tblBorders>
        <w:shd w:val="clear" w:color="auto" w:fill="FFFFFF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10"/>
        <w:gridCol w:w="3240"/>
        <w:gridCol w:w="1800"/>
        <w:gridCol w:w="2070"/>
      </w:tblGrid>
      <w:tr w:rsidR="00EB1683" w:rsidRPr="00B57B36" w:rsidTr="00824AE0">
        <w:trPr>
          <w:trHeight w:val="286"/>
        </w:trPr>
        <w:tc>
          <w:tcPr>
            <w:tcW w:w="171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:rsidR="00EB1683" w:rsidRPr="00EB1683" w:rsidRDefault="00EB1683" w:rsidP="00EB1683">
            <w:pPr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 xml:space="preserve">Pure </w:t>
            </w:r>
            <w:r w:rsidR="005E66C8">
              <w:rPr>
                <w:rFonts w:cs="Arial"/>
                <w:szCs w:val="18"/>
              </w:rPr>
              <w:t>c</w:t>
            </w:r>
            <w:r w:rsidRPr="00BB24EB">
              <w:rPr>
                <w:rFonts w:cs="Arial"/>
                <w:szCs w:val="18"/>
              </w:rPr>
              <w:t>ulture</w:t>
            </w:r>
          </w:p>
        </w:tc>
        <w:tc>
          <w:tcPr>
            <w:tcW w:w="324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:rsidR="00EB1683" w:rsidRPr="00B57B36" w:rsidRDefault="00410602" w:rsidP="00952B5E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Species Identified</w:t>
            </w:r>
          </w:p>
        </w:tc>
        <w:tc>
          <w:tcPr>
            <w:tcW w:w="180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:rsidR="00EB1683" w:rsidRPr="00B57B36" w:rsidRDefault="00410602" w:rsidP="00952B5E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% Identity</w:t>
            </w:r>
          </w:p>
        </w:tc>
        <w:tc>
          <w:tcPr>
            <w:tcW w:w="207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FFFFF"/>
          </w:tcPr>
          <w:p w:rsidR="00EB1683" w:rsidRPr="00B57B36" w:rsidRDefault="00EB1683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Presence</w:t>
            </w:r>
          </w:p>
        </w:tc>
      </w:tr>
      <w:tr w:rsidR="00EB1683" w:rsidRPr="00B57B36" w:rsidTr="00824AE0">
        <w:trPr>
          <w:trHeight w:val="181"/>
        </w:trPr>
        <w:tc>
          <w:tcPr>
            <w:tcW w:w="1710" w:type="dxa"/>
            <w:shd w:val="clear" w:color="auto" w:fill="FFFFFF"/>
          </w:tcPr>
          <w:p w:rsidR="00EB1683" w:rsidRPr="00B57B36" w:rsidRDefault="00EB1683" w:rsidP="00952B5E">
            <w:pPr>
              <w:pStyle w:val="CETBodytext"/>
              <w:rPr>
                <w:lang w:val="en-GB"/>
              </w:rPr>
            </w:pPr>
            <w:r>
              <w:rPr>
                <w:lang w:val="en-GB"/>
              </w:rPr>
              <w:t>Y1</w:t>
            </w:r>
          </w:p>
        </w:tc>
        <w:tc>
          <w:tcPr>
            <w:tcW w:w="3240" w:type="dxa"/>
            <w:shd w:val="clear" w:color="auto" w:fill="FFFFFF"/>
          </w:tcPr>
          <w:p w:rsidR="00EB1683" w:rsidRPr="00B57B36" w:rsidRDefault="00EB1683" w:rsidP="00952B5E">
            <w:pPr>
              <w:pStyle w:val="CETBodytext"/>
              <w:rPr>
                <w:lang w:val="en-GB"/>
              </w:rPr>
            </w:pPr>
            <w:r>
              <w:rPr>
                <w:rFonts w:cs="Arial"/>
                <w:bCs/>
                <w:i/>
                <w:szCs w:val="18"/>
              </w:rPr>
              <w:t>Exiguobacterium aestuarii</w:t>
            </w:r>
          </w:p>
        </w:tc>
        <w:tc>
          <w:tcPr>
            <w:tcW w:w="1800" w:type="dxa"/>
            <w:shd w:val="clear" w:color="auto" w:fill="FFFFFF"/>
          </w:tcPr>
          <w:p w:rsidR="00EB1683" w:rsidRPr="00910781" w:rsidRDefault="00EB1683" w:rsidP="00952B5E">
            <w:pPr>
              <w:pStyle w:val="CETBodytext"/>
              <w:rPr>
                <w:lang w:val="en-GB"/>
              </w:rPr>
            </w:pPr>
            <w:r w:rsidRPr="00910781">
              <w:rPr>
                <w:lang w:val="en-GB"/>
              </w:rPr>
              <w:t>100</w:t>
            </w:r>
          </w:p>
        </w:tc>
        <w:tc>
          <w:tcPr>
            <w:tcW w:w="2070" w:type="dxa"/>
            <w:shd w:val="clear" w:color="auto" w:fill="FFFFFF"/>
          </w:tcPr>
          <w:p w:rsidR="00EB1683" w:rsidRPr="00910781" w:rsidRDefault="00910781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System 1, 2 and</w:t>
            </w:r>
            <w:r w:rsidR="00EB1683" w:rsidRPr="00910781">
              <w:rPr>
                <w:rFonts w:cs="Arial"/>
                <w:szCs w:val="18"/>
                <w:lang w:val="en-GB"/>
              </w:rPr>
              <w:t xml:space="preserve"> 3</w:t>
            </w:r>
          </w:p>
        </w:tc>
      </w:tr>
      <w:tr w:rsidR="00EB1683" w:rsidRPr="00B57B36" w:rsidTr="00824AE0">
        <w:trPr>
          <w:trHeight w:val="148"/>
        </w:trPr>
        <w:tc>
          <w:tcPr>
            <w:tcW w:w="1710" w:type="dxa"/>
            <w:shd w:val="clear" w:color="auto" w:fill="FFFFFF"/>
          </w:tcPr>
          <w:p w:rsidR="00EB1683" w:rsidRPr="00B57B36" w:rsidRDefault="00EB1683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Y2</w:t>
            </w:r>
          </w:p>
        </w:tc>
        <w:tc>
          <w:tcPr>
            <w:tcW w:w="3240" w:type="dxa"/>
            <w:shd w:val="clear" w:color="auto" w:fill="FFFFFF"/>
          </w:tcPr>
          <w:p w:rsidR="00EB1683" w:rsidRPr="00B57B36" w:rsidRDefault="00EB1683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bCs/>
                <w:i/>
                <w:szCs w:val="18"/>
              </w:rPr>
              <w:t>Enterobacter aerogenes</w:t>
            </w:r>
          </w:p>
        </w:tc>
        <w:tc>
          <w:tcPr>
            <w:tcW w:w="1800" w:type="dxa"/>
            <w:shd w:val="clear" w:color="auto" w:fill="FFFFFF"/>
          </w:tcPr>
          <w:p w:rsidR="00EB1683" w:rsidRPr="00910781" w:rsidRDefault="00EB1683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 w:rsidRPr="00910781">
              <w:rPr>
                <w:rFonts w:cs="Arial"/>
                <w:szCs w:val="18"/>
                <w:lang w:val="en-GB"/>
              </w:rPr>
              <w:t>100</w:t>
            </w:r>
          </w:p>
        </w:tc>
        <w:tc>
          <w:tcPr>
            <w:tcW w:w="2070" w:type="dxa"/>
            <w:shd w:val="clear" w:color="auto" w:fill="FFFFFF"/>
          </w:tcPr>
          <w:p w:rsidR="00EB1683" w:rsidRPr="00910781" w:rsidRDefault="00910781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System 1 and 3</w:t>
            </w:r>
          </w:p>
        </w:tc>
      </w:tr>
      <w:tr w:rsidR="00EB1683" w:rsidRPr="00B57B36" w:rsidTr="00824AE0">
        <w:trPr>
          <w:trHeight w:val="425"/>
        </w:trPr>
        <w:tc>
          <w:tcPr>
            <w:tcW w:w="1710" w:type="dxa"/>
            <w:shd w:val="clear" w:color="auto" w:fill="FFFFFF"/>
          </w:tcPr>
          <w:p w:rsidR="00EB1683" w:rsidRDefault="00EB1683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Y3</w:t>
            </w:r>
          </w:p>
          <w:p w:rsidR="00EB1683" w:rsidRDefault="00EB1683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Y4</w:t>
            </w:r>
          </w:p>
        </w:tc>
        <w:tc>
          <w:tcPr>
            <w:tcW w:w="3240" w:type="dxa"/>
            <w:shd w:val="clear" w:color="auto" w:fill="FFFFFF"/>
          </w:tcPr>
          <w:p w:rsidR="00EB1683" w:rsidRDefault="00EB1683" w:rsidP="00952B5E">
            <w:pPr>
              <w:pStyle w:val="CETBodytext"/>
              <w:ind w:right="-1"/>
              <w:rPr>
                <w:rFonts w:cs="Arial"/>
                <w:i/>
                <w:szCs w:val="18"/>
                <w:lang w:val="en-GB"/>
              </w:rPr>
            </w:pPr>
            <w:r>
              <w:rPr>
                <w:rFonts w:cs="Arial"/>
                <w:i/>
                <w:szCs w:val="18"/>
                <w:lang w:val="en-GB"/>
              </w:rPr>
              <w:t>Enterobacter kobei</w:t>
            </w:r>
          </w:p>
          <w:p w:rsidR="00EB1683" w:rsidRPr="00996112" w:rsidRDefault="00EB1683" w:rsidP="00996112">
            <w:pPr>
              <w:rPr>
                <w:rFonts w:cs="Arial"/>
                <w:bCs/>
                <w:i/>
                <w:szCs w:val="18"/>
                <w:lang w:val="en-US"/>
              </w:rPr>
            </w:pPr>
            <w:r>
              <w:rPr>
                <w:rFonts w:cs="Arial"/>
                <w:bCs/>
                <w:i/>
                <w:szCs w:val="18"/>
                <w:lang w:val="en-US"/>
              </w:rPr>
              <w:t>Pseudomonas aeruginosa</w:t>
            </w:r>
          </w:p>
        </w:tc>
        <w:tc>
          <w:tcPr>
            <w:tcW w:w="1800" w:type="dxa"/>
            <w:shd w:val="clear" w:color="auto" w:fill="FFFFFF"/>
          </w:tcPr>
          <w:p w:rsidR="00EB1683" w:rsidRPr="00910781" w:rsidRDefault="00EB1683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 w:rsidRPr="00910781">
              <w:rPr>
                <w:rFonts w:cs="Arial"/>
                <w:szCs w:val="18"/>
                <w:lang w:val="en-GB"/>
              </w:rPr>
              <w:t>100</w:t>
            </w:r>
          </w:p>
          <w:p w:rsidR="00EB1683" w:rsidRPr="00910781" w:rsidRDefault="00EB1683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 w:rsidRPr="00910781">
              <w:rPr>
                <w:rFonts w:cs="Arial"/>
                <w:szCs w:val="18"/>
                <w:lang w:val="en-GB"/>
              </w:rPr>
              <w:t>100</w:t>
            </w:r>
          </w:p>
        </w:tc>
        <w:tc>
          <w:tcPr>
            <w:tcW w:w="2070" w:type="dxa"/>
            <w:shd w:val="clear" w:color="auto" w:fill="FFFFFF"/>
          </w:tcPr>
          <w:p w:rsidR="00EB1683" w:rsidRPr="00910781" w:rsidRDefault="00910781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System 2 and 3</w:t>
            </w:r>
          </w:p>
          <w:p w:rsidR="00EB1683" w:rsidRPr="00910781" w:rsidRDefault="00910781" w:rsidP="00952B5E">
            <w:pPr>
              <w:pStyle w:val="CETBodytext"/>
              <w:ind w:right="-1"/>
              <w:rPr>
                <w:rFonts w:cs="Arial"/>
                <w:szCs w:val="18"/>
                <w:lang w:val="en-GB"/>
              </w:rPr>
            </w:pPr>
            <w:r>
              <w:rPr>
                <w:rFonts w:cs="Arial"/>
                <w:szCs w:val="18"/>
                <w:lang w:val="en-GB"/>
              </w:rPr>
              <w:t>System 1 and 2</w:t>
            </w:r>
          </w:p>
        </w:tc>
      </w:tr>
    </w:tbl>
    <w:p w:rsidR="00910781" w:rsidRDefault="00910781" w:rsidP="00EB1683">
      <w:pPr>
        <w:pStyle w:val="CETBodytext"/>
      </w:pPr>
    </w:p>
    <w:p w:rsidR="00EB1683" w:rsidRDefault="00EB1683" w:rsidP="00EB1683">
      <w:pPr>
        <w:pStyle w:val="CETBodytext"/>
      </w:pPr>
      <w:r>
        <w:t xml:space="preserve">From preliminary characterization of cultures in Table 1, bacterial </w:t>
      </w:r>
      <w:r w:rsidR="00910781">
        <w:t xml:space="preserve">genera </w:t>
      </w:r>
      <w:r>
        <w:t xml:space="preserve">species such as </w:t>
      </w:r>
      <w:r w:rsidR="00910781">
        <w:rPr>
          <w:i/>
        </w:rPr>
        <w:t>Enterobacter</w:t>
      </w:r>
      <w:r>
        <w:t xml:space="preserve"> and </w:t>
      </w:r>
      <w:r w:rsidR="00910781">
        <w:rPr>
          <w:i/>
        </w:rPr>
        <w:t>Pseudomonas</w:t>
      </w:r>
      <w:r w:rsidR="00910781">
        <w:t xml:space="preserve"> formed part of the indigenous communities</w:t>
      </w:r>
      <w:r>
        <w:t xml:space="preserve"> </w:t>
      </w:r>
      <w:r w:rsidR="00213EE2">
        <w:t>found in sludge</w:t>
      </w:r>
      <w:r w:rsidR="00643EDF">
        <w:t xml:space="preserve"> that was previously</w:t>
      </w:r>
      <w:r w:rsidR="00213EE2">
        <w:t xml:space="preserve"> ex</w:t>
      </w:r>
      <w:r w:rsidR="00643EDF">
        <w:t xml:space="preserve">posed to </w:t>
      </w:r>
      <w:r w:rsidR="00213EE2">
        <w:t>Cr</w:t>
      </w:r>
      <w:r w:rsidR="00643EDF">
        <w:t>(VI)</w:t>
      </w:r>
      <w:r w:rsidR="00213EE2">
        <w:t xml:space="preserve"> concentrations in the environment. Furt</w:t>
      </w:r>
      <w:r w:rsidR="00643EDF">
        <w:t xml:space="preserve">hermore, the latter species survived 40 mg/L and 60 mg/L, facilitating Cr(VI) reduction to Cr(III). </w:t>
      </w:r>
      <w:r w:rsidR="00213EE2" w:rsidRPr="00213EE2">
        <w:rPr>
          <w:i/>
        </w:rPr>
        <w:t xml:space="preserve">Enterococcus </w:t>
      </w:r>
      <w:r w:rsidR="00213EE2">
        <w:t xml:space="preserve">and </w:t>
      </w:r>
      <w:r w:rsidR="00213EE2" w:rsidRPr="00213EE2">
        <w:rPr>
          <w:i/>
        </w:rPr>
        <w:t>Citrobacter</w:t>
      </w:r>
      <w:r w:rsidR="00213EE2">
        <w:t xml:space="preserve"> species were not identified during Cr(VI) concentration loading to the columns, as shown on Table 2. </w:t>
      </w:r>
    </w:p>
    <w:p w:rsidR="00B10DDD" w:rsidRDefault="00F43DDE" w:rsidP="00A30D32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However</w:t>
      </w:r>
      <w:r w:rsidR="005E66C8">
        <w:rPr>
          <w:lang w:val="en-US"/>
        </w:rPr>
        <w:t>,</w:t>
      </w:r>
      <w:r>
        <w:rPr>
          <w:lang w:val="en-US"/>
        </w:rPr>
        <w:t xml:space="preserve"> </w:t>
      </w:r>
      <w:r w:rsidRPr="00B7719B">
        <w:rPr>
          <w:i/>
          <w:lang w:val="en-US"/>
        </w:rPr>
        <w:t>Exiguobacterium aestuarii</w:t>
      </w:r>
      <w:r w:rsidR="00213EE2">
        <w:rPr>
          <w:lang w:val="en-US"/>
        </w:rPr>
        <w:t xml:space="preserve"> </w:t>
      </w:r>
      <w:r w:rsidR="00643EDF">
        <w:rPr>
          <w:lang w:val="en-US"/>
        </w:rPr>
        <w:t xml:space="preserve">reduced Cr(VI) concentration to Cr(III) </w:t>
      </w:r>
      <w:r w:rsidR="00213EE2">
        <w:rPr>
          <w:lang w:val="en-US"/>
        </w:rPr>
        <w:t>in the presence of different carbon sources such as</w:t>
      </w:r>
      <w:r w:rsidR="00643EDF">
        <w:rPr>
          <w:lang w:val="en-US"/>
        </w:rPr>
        <w:t>;</w:t>
      </w:r>
      <w:r w:rsidR="00213EE2">
        <w:rPr>
          <w:lang w:val="en-US"/>
        </w:rPr>
        <w:t xml:space="preserve"> saw dust and vegetative material. </w:t>
      </w:r>
      <w:r w:rsidR="00B7719B">
        <w:rPr>
          <w:lang w:val="en-US"/>
        </w:rPr>
        <w:t xml:space="preserve">Bacterial cultures </w:t>
      </w:r>
      <w:r w:rsidR="00BA1C14">
        <w:rPr>
          <w:lang w:val="en-US"/>
        </w:rPr>
        <w:t>isolated from chromite polluted environments and known to</w:t>
      </w:r>
      <w:r w:rsidR="00B7719B">
        <w:rPr>
          <w:lang w:val="en-US"/>
        </w:rPr>
        <w:t xml:space="preserve"> be capable of reducing Cr</w:t>
      </w:r>
      <w:r w:rsidR="00643EDF">
        <w:rPr>
          <w:lang w:val="en-US"/>
        </w:rPr>
        <w:t>(VI)</w:t>
      </w:r>
      <w:r w:rsidR="00BA1C14">
        <w:rPr>
          <w:lang w:val="en-US"/>
        </w:rPr>
        <w:t xml:space="preserve"> have been</w:t>
      </w:r>
      <w:r>
        <w:rPr>
          <w:lang w:val="en-US"/>
        </w:rPr>
        <w:t xml:space="preserve"> previously</w:t>
      </w:r>
      <w:r w:rsidR="00BA1C14">
        <w:rPr>
          <w:lang w:val="en-US"/>
        </w:rPr>
        <w:t xml:space="preserve"> reported by </w:t>
      </w:r>
      <w:r w:rsidR="005D51C9">
        <w:rPr>
          <w:lang w:val="en-US"/>
        </w:rPr>
        <w:t xml:space="preserve">Mthimunye and Chirwa (2013) and identified as </w:t>
      </w:r>
      <w:r w:rsidR="005D51C9" w:rsidRPr="005D51C9">
        <w:rPr>
          <w:i/>
          <w:lang w:val="en-US"/>
        </w:rPr>
        <w:t>Enterobacter</w:t>
      </w:r>
      <w:r w:rsidR="005D51C9">
        <w:rPr>
          <w:lang w:val="en-US"/>
        </w:rPr>
        <w:t xml:space="preserve"> and </w:t>
      </w:r>
      <w:r w:rsidR="005D51C9" w:rsidRPr="005D51C9">
        <w:rPr>
          <w:i/>
          <w:lang w:val="en-US"/>
        </w:rPr>
        <w:t xml:space="preserve">Pseudomonas </w:t>
      </w:r>
      <w:r w:rsidR="005D51C9">
        <w:rPr>
          <w:lang w:val="en-US"/>
        </w:rPr>
        <w:t xml:space="preserve">species. </w:t>
      </w:r>
    </w:p>
    <w:p w:rsidR="00781D50" w:rsidRDefault="00781D50" w:rsidP="00A30D32">
      <w:pPr>
        <w:widowControl w:val="0"/>
        <w:autoSpaceDE w:val="0"/>
        <w:autoSpaceDN w:val="0"/>
        <w:adjustRightInd w:val="0"/>
        <w:rPr>
          <w:lang w:val="en-US"/>
        </w:rPr>
      </w:pPr>
    </w:p>
    <w:p w:rsidR="00781D50" w:rsidRDefault="00781D50" w:rsidP="00781D50">
      <w:pPr>
        <w:pStyle w:val="CETheadingx"/>
      </w:pPr>
      <w:r>
        <w:t>Algae culture composition</w:t>
      </w:r>
    </w:p>
    <w:p w:rsidR="00781D50" w:rsidRPr="0080345A" w:rsidRDefault="002743D8" w:rsidP="00781D50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rFonts w:cs="Arial"/>
          <w:iCs/>
          <w:szCs w:val="18"/>
          <w:shd w:val="clear" w:color="auto" w:fill="FFFFFF"/>
        </w:rPr>
        <w:t xml:space="preserve">The algae growth observed from the columns was isolated and identified as </w:t>
      </w:r>
      <w:r w:rsidR="00781D50" w:rsidRPr="00D70CEA">
        <w:rPr>
          <w:rFonts w:cs="Arial"/>
          <w:i/>
          <w:iCs/>
          <w:szCs w:val="18"/>
          <w:shd w:val="clear" w:color="auto" w:fill="FFFFFF"/>
        </w:rPr>
        <w:t>Chlamydomonas</w:t>
      </w:r>
      <w:r w:rsidR="00781D50" w:rsidRPr="00D70CEA">
        <w:rPr>
          <w:rFonts w:cs="Arial"/>
          <w:szCs w:val="18"/>
          <w:shd w:val="clear" w:color="auto" w:fill="FFFFFF"/>
        </w:rPr>
        <w:t> </w:t>
      </w:r>
      <w:r w:rsidRPr="002743D8">
        <w:rPr>
          <w:rFonts w:cs="Arial"/>
          <w:i/>
          <w:szCs w:val="18"/>
          <w:shd w:val="clear" w:color="auto" w:fill="FFFFFF"/>
        </w:rPr>
        <w:t>debaryana</w:t>
      </w:r>
      <w:r>
        <w:rPr>
          <w:rFonts w:cs="Arial"/>
          <w:szCs w:val="18"/>
          <w:shd w:val="clear" w:color="auto" w:fill="FFFFFF"/>
        </w:rPr>
        <w:t xml:space="preserve">. </w:t>
      </w:r>
      <w:r w:rsidR="0080345A">
        <w:rPr>
          <w:rFonts w:cs="Arial"/>
          <w:szCs w:val="18"/>
          <w:shd w:val="clear" w:color="auto" w:fill="FFFFFF"/>
        </w:rPr>
        <w:t xml:space="preserve">This </w:t>
      </w:r>
      <w:r w:rsidR="0080345A">
        <w:rPr>
          <w:rFonts w:cs="Arial"/>
          <w:szCs w:val="18"/>
          <w:shd w:val="clear" w:color="auto" w:fill="FFFFFF"/>
        </w:rPr>
        <w:lastRenderedPageBreak/>
        <w:t>algae is able to</w:t>
      </w:r>
      <w:r w:rsidR="00A44F35">
        <w:rPr>
          <w:rFonts w:cs="Arial"/>
          <w:szCs w:val="18"/>
          <w:shd w:val="clear" w:color="auto" w:fill="FFFFFF"/>
        </w:rPr>
        <w:t xml:space="preserve"> grow in the presence of up to 6</w:t>
      </w:r>
      <w:r w:rsidR="0080345A">
        <w:rPr>
          <w:rFonts w:cs="Arial"/>
          <w:szCs w:val="18"/>
          <w:shd w:val="clear" w:color="auto" w:fill="FFFFFF"/>
        </w:rPr>
        <w:t xml:space="preserve">0 mg/L </w:t>
      </w:r>
      <w:r w:rsidR="0007187A">
        <w:rPr>
          <w:rFonts w:cs="Arial"/>
          <w:szCs w:val="18"/>
          <w:shd w:val="clear" w:color="auto" w:fill="FFFFFF"/>
        </w:rPr>
        <w:t xml:space="preserve">Cr(VI) </w:t>
      </w:r>
      <w:r w:rsidR="0080345A">
        <w:rPr>
          <w:rFonts w:cs="Arial"/>
          <w:szCs w:val="18"/>
          <w:shd w:val="clear" w:color="auto" w:fill="FFFFFF"/>
        </w:rPr>
        <w:t>concentration loading</w:t>
      </w:r>
      <w:r w:rsidR="0007187A">
        <w:rPr>
          <w:rFonts w:cs="Arial"/>
          <w:szCs w:val="18"/>
          <w:shd w:val="clear" w:color="auto" w:fill="FFFFFF"/>
        </w:rPr>
        <w:t xml:space="preserve"> in the column system</w:t>
      </w:r>
      <w:r w:rsidR="008D0EDE">
        <w:rPr>
          <w:rFonts w:cs="Arial"/>
          <w:szCs w:val="18"/>
          <w:shd w:val="clear" w:color="auto" w:fill="FFFFFF"/>
        </w:rPr>
        <w:t>s</w:t>
      </w:r>
      <w:r w:rsidR="0080345A">
        <w:rPr>
          <w:rFonts w:cs="Arial"/>
          <w:szCs w:val="18"/>
          <w:shd w:val="clear" w:color="auto" w:fill="FFFFFF"/>
        </w:rPr>
        <w:t>. The bacteria in the system could be providing the algae with CO</w:t>
      </w:r>
      <w:r w:rsidR="0080345A">
        <w:rPr>
          <w:rFonts w:cs="Arial"/>
          <w:szCs w:val="18"/>
          <w:shd w:val="clear" w:color="auto" w:fill="FFFFFF"/>
          <w:vertAlign w:val="subscript"/>
        </w:rPr>
        <w:t>2</w:t>
      </w:r>
      <w:r w:rsidR="0080345A">
        <w:rPr>
          <w:rFonts w:cs="Arial"/>
          <w:szCs w:val="18"/>
          <w:shd w:val="clear" w:color="auto" w:fill="FFFFFF"/>
        </w:rPr>
        <w:t xml:space="preserve"> as a carbon source</w:t>
      </w:r>
      <w:r w:rsidR="0007187A">
        <w:rPr>
          <w:rFonts w:cs="Arial"/>
          <w:szCs w:val="18"/>
          <w:shd w:val="clear" w:color="auto" w:fill="FFFFFF"/>
        </w:rPr>
        <w:t>. Furthermore, the algae is also exposed to natural sunlight as it is able to strive in the presence of high Cr(VI) toxicity. In turn, the al</w:t>
      </w:r>
      <w:r w:rsidR="0080345A">
        <w:rPr>
          <w:rFonts w:cs="Arial"/>
          <w:szCs w:val="18"/>
          <w:shd w:val="clear" w:color="auto" w:fill="FFFFFF"/>
        </w:rPr>
        <w:t>g</w:t>
      </w:r>
      <w:r w:rsidR="0007187A">
        <w:rPr>
          <w:rFonts w:cs="Arial"/>
          <w:szCs w:val="18"/>
          <w:shd w:val="clear" w:color="auto" w:fill="FFFFFF"/>
        </w:rPr>
        <w:t>a</w:t>
      </w:r>
      <w:r w:rsidR="0080345A">
        <w:rPr>
          <w:rFonts w:cs="Arial"/>
          <w:szCs w:val="18"/>
          <w:shd w:val="clear" w:color="auto" w:fill="FFFFFF"/>
        </w:rPr>
        <w:t xml:space="preserve">e could be used by bacteria as a </w:t>
      </w:r>
      <w:r w:rsidR="0007187A">
        <w:rPr>
          <w:rFonts w:cs="Arial"/>
          <w:szCs w:val="18"/>
          <w:shd w:val="clear" w:color="auto" w:fill="FFFFFF"/>
        </w:rPr>
        <w:t>growth medium. Cr is highly toxic to algae cells as it causes ruptured cell walls, leading to</w:t>
      </w:r>
      <w:r w:rsidR="0007187A" w:rsidRPr="0007187A">
        <w:rPr>
          <w:rFonts w:cs="Arial"/>
          <w:szCs w:val="18"/>
          <w:shd w:val="clear" w:color="auto" w:fill="FFFFFF"/>
        </w:rPr>
        <w:t xml:space="preserve"> leak</w:t>
      </w:r>
      <w:r w:rsidR="0007187A">
        <w:rPr>
          <w:rFonts w:cs="Arial"/>
          <w:szCs w:val="18"/>
          <w:shd w:val="clear" w:color="auto" w:fill="FFFFFF"/>
        </w:rPr>
        <w:t>ed</w:t>
      </w:r>
      <w:r w:rsidR="0007187A" w:rsidRPr="0007187A">
        <w:rPr>
          <w:rFonts w:cs="Arial"/>
          <w:szCs w:val="18"/>
          <w:shd w:val="clear" w:color="auto" w:fill="FFFFFF"/>
        </w:rPr>
        <w:t xml:space="preserve"> lipids, proteins, carbohydrates, and primary metabolites such as sugars, sugar alcohols, </w:t>
      </w:r>
      <w:r w:rsidR="0007187A">
        <w:rPr>
          <w:rFonts w:cs="Arial"/>
          <w:szCs w:val="18"/>
          <w:shd w:val="clear" w:color="auto" w:fill="FFFFFF"/>
        </w:rPr>
        <w:t xml:space="preserve">amino acids, and organic acids </w:t>
      </w:r>
      <w:r w:rsidR="0007187A" w:rsidRPr="0007187A">
        <w:rPr>
          <w:rFonts w:cs="Arial"/>
          <w:szCs w:val="18"/>
          <w:shd w:val="clear" w:color="auto" w:fill="FFFFFF"/>
        </w:rPr>
        <w:t>(Cicci et al., 2017).</w:t>
      </w:r>
      <w:r w:rsidR="008D0EDE">
        <w:rPr>
          <w:rFonts w:cs="Arial"/>
          <w:szCs w:val="18"/>
          <w:shd w:val="clear" w:color="auto" w:fill="FFFFFF"/>
        </w:rPr>
        <w:t xml:space="preserve"> The growth of </w:t>
      </w:r>
      <w:r w:rsidR="008D0EDE" w:rsidRPr="008D0EDE">
        <w:rPr>
          <w:rFonts w:cs="Arial"/>
          <w:i/>
          <w:szCs w:val="18"/>
          <w:shd w:val="clear" w:color="auto" w:fill="FFFFFF"/>
        </w:rPr>
        <w:t>C. debaryana</w:t>
      </w:r>
      <w:r w:rsidR="008D0EDE">
        <w:rPr>
          <w:rFonts w:cs="Arial"/>
          <w:szCs w:val="18"/>
          <w:shd w:val="clear" w:color="auto" w:fill="FFFFFF"/>
        </w:rPr>
        <w:t xml:space="preserve"> on the system has facilitated Cr(VI) to Cr(III) shown in Figure 3 and 4.</w:t>
      </w:r>
    </w:p>
    <w:p w:rsidR="00211936" w:rsidRDefault="005D51C9" w:rsidP="00211936">
      <w:pPr>
        <w:pStyle w:val="CETheadingx"/>
      </w:pPr>
      <w:r>
        <w:t>Batch analysis</w:t>
      </w:r>
    </w:p>
    <w:p w:rsidR="00930790" w:rsidRDefault="00930790" w:rsidP="00211936">
      <w:pPr>
        <w:pStyle w:val="CETBodytext"/>
      </w:pPr>
      <w:r w:rsidRPr="00042DFE">
        <w:rPr>
          <w:noProof/>
        </w:rPr>
        <w:drawing>
          <wp:anchor distT="0" distB="0" distL="114300" distR="114300" simplePos="0" relativeHeight="251658240" behindDoc="0" locked="0" layoutInCell="1" allowOverlap="1" wp14:anchorId="54C8E96F" wp14:editId="3AB03C83">
            <wp:simplePos x="0" y="0"/>
            <wp:positionH relativeFrom="margin">
              <wp:align>left</wp:align>
            </wp:positionH>
            <wp:positionV relativeFrom="paragraph">
              <wp:posOffset>402326</wp:posOffset>
            </wp:positionV>
            <wp:extent cx="4312920" cy="2009775"/>
            <wp:effectExtent l="0" t="0" r="0" b="0"/>
            <wp:wrapTopAndBottom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936">
        <w:t xml:space="preserve">The analysis of identified cultures under different Cr(VI) concentrations operated for 24 h showed the ability of each culture to reduce Cr(VI) to Cr(III). </w:t>
      </w:r>
    </w:p>
    <w:p w:rsidR="00930790" w:rsidRDefault="00930790" w:rsidP="00211936">
      <w:pPr>
        <w:pStyle w:val="CETBodytext"/>
      </w:pPr>
      <w:r w:rsidRPr="0065388A">
        <w:rPr>
          <w:i/>
          <w:lang w:val="en-GB"/>
        </w:rPr>
        <w:t xml:space="preserve">Figure 1: Batch analysis of identified Cr(VI) reducing bacteria at 50 mg/L of Cr(VI) concentration </w:t>
      </w:r>
      <w:r>
        <w:rPr>
          <w:i/>
          <w:lang w:val="en-GB"/>
        </w:rPr>
        <w:t>taken o</w:t>
      </w:r>
      <w:r w:rsidRPr="0065388A">
        <w:rPr>
          <w:i/>
          <w:lang w:val="en-GB"/>
        </w:rPr>
        <w:t>ver a period of 24 h</w:t>
      </w:r>
    </w:p>
    <w:p w:rsidR="00930790" w:rsidRDefault="00930790" w:rsidP="00211936">
      <w:pPr>
        <w:pStyle w:val="CETBodytext"/>
      </w:pPr>
    </w:p>
    <w:p w:rsidR="00211936" w:rsidRDefault="000001DD" w:rsidP="00211936">
      <w:pPr>
        <w:pStyle w:val="CETBodytext"/>
      </w:pPr>
      <w:r>
        <w:t xml:space="preserve">Complete reduction by </w:t>
      </w:r>
      <w:r>
        <w:rPr>
          <w:i/>
        </w:rPr>
        <w:t>Pseudomo</w:t>
      </w:r>
      <w:r w:rsidRPr="000001DD">
        <w:rPr>
          <w:i/>
        </w:rPr>
        <w:t>nas putida</w:t>
      </w:r>
      <w:r>
        <w:t xml:space="preserve"> and </w:t>
      </w:r>
      <w:r w:rsidRPr="000001DD">
        <w:rPr>
          <w:i/>
        </w:rPr>
        <w:t>Enterobacter hormaechei</w:t>
      </w:r>
      <w:r>
        <w:t xml:space="preserve"> cultures was observed</w:t>
      </w:r>
      <w:r w:rsidR="005E66C8">
        <w:t xml:space="preserve"> just within 5 h</w:t>
      </w:r>
      <w:r w:rsidR="00873810">
        <w:t xml:space="preserve"> of</w:t>
      </w:r>
      <w:r>
        <w:t xml:space="preserve"> analysis</w:t>
      </w:r>
      <w:r w:rsidR="00930790">
        <w:t xml:space="preserve"> as shown on figure 1</w:t>
      </w:r>
      <w:r>
        <w:t xml:space="preserve">. Complete </w:t>
      </w:r>
      <w:r w:rsidR="00873810">
        <w:t>Cr(VI) reduction has</w:t>
      </w:r>
      <w:r w:rsidR="005628D9">
        <w:t xml:space="preserve"> been</w:t>
      </w:r>
      <w:r w:rsidR="00873810">
        <w:t xml:space="preserve"> previously</w:t>
      </w:r>
      <w:r w:rsidR="005628D9">
        <w:t xml:space="preserve"> </w:t>
      </w:r>
      <w:r w:rsidR="00873810">
        <w:t>recorded</w:t>
      </w:r>
      <w:r w:rsidR="005628D9">
        <w:t xml:space="preserve"> by Das et al.</w:t>
      </w:r>
      <w:r>
        <w:t xml:space="preserve"> (2014) where the isolated</w:t>
      </w:r>
      <w:r w:rsidR="00280385">
        <w:t xml:space="preserve"> Cr(VI) reducing bacteria</w:t>
      </w:r>
      <w:r>
        <w:t xml:space="preserve"> (</w:t>
      </w:r>
      <w:r w:rsidR="00280385" w:rsidRPr="00280385">
        <w:rPr>
          <w:i/>
        </w:rPr>
        <w:t>Bacillus amyloliquefaciens</w:t>
      </w:r>
      <w:r w:rsidR="00280385">
        <w:t xml:space="preserve">) showed total reduction of Cr(VI) to Cr(III) under 10,50 and 100 mg/L. </w:t>
      </w:r>
    </w:p>
    <w:p w:rsidR="0065388A" w:rsidRDefault="00930790" w:rsidP="00600535">
      <w:pPr>
        <w:pStyle w:val="CETBodytext"/>
        <w:rPr>
          <w:lang w:val="en-GB"/>
        </w:rPr>
      </w:pPr>
      <w:r>
        <w:rPr>
          <w:noProof/>
        </w:rPr>
        <w:drawing>
          <wp:inline distT="0" distB="0" distL="0" distR="0" wp14:anchorId="7975B5B5" wp14:editId="33C8EC45">
            <wp:extent cx="3735238" cy="2251494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30790" w:rsidRPr="00781D50" w:rsidRDefault="00930790" w:rsidP="00930790">
      <w:pPr>
        <w:pStyle w:val="CETBodytext"/>
        <w:rPr>
          <w:lang w:val="en-GB"/>
        </w:rPr>
      </w:pPr>
      <w:r w:rsidRPr="000D3761">
        <w:rPr>
          <w:i/>
          <w:lang w:val="en-GB"/>
        </w:rPr>
        <w:t>Figure 2:</w:t>
      </w:r>
      <w:r>
        <w:rPr>
          <w:lang w:val="en-GB"/>
        </w:rPr>
        <w:t xml:space="preserve"> </w:t>
      </w:r>
      <w:r w:rsidRPr="0065388A">
        <w:rPr>
          <w:i/>
          <w:lang w:val="en-GB"/>
        </w:rPr>
        <w:t>Batch analysis of identified Cr(VI) reducing bacteria at</w:t>
      </w:r>
      <w:r>
        <w:rPr>
          <w:i/>
          <w:lang w:val="en-GB"/>
        </w:rPr>
        <w:t xml:space="preserve"> 400</w:t>
      </w:r>
      <w:r w:rsidRPr="0065388A">
        <w:rPr>
          <w:i/>
          <w:lang w:val="en-GB"/>
        </w:rPr>
        <w:t xml:space="preserve"> mg/L of Cr(VI) concentration taken over a period of 24 h</w:t>
      </w:r>
    </w:p>
    <w:p w:rsidR="00930790" w:rsidRDefault="00930790" w:rsidP="00600535">
      <w:pPr>
        <w:pStyle w:val="CETBodytext"/>
        <w:rPr>
          <w:lang w:val="en-GB"/>
        </w:rPr>
      </w:pPr>
    </w:p>
    <w:p w:rsidR="00A50167" w:rsidRPr="00930790" w:rsidRDefault="00873810" w:rsidP="00600535">
      <w:pPr>
        <w:pStyle w:val="CETBodytext"/>
        <w:rPr>
          <w:noProof/>
        </w:rPr>
      </w:pPr>
      <w:r>
        <w:rPr>
          <w:lang w:val="en-GB"/>
        </w:rPr>
        <w:t xml:space="preserve">Cr(VI) reducing bacteria have different resistant mechanisms </w:t>
      </w:r>
      <w:r w:rsidR="00780E8F">
        <w:rPr>
          <w:lang w:val="en-GB"/>
        </w:rPr>
        <w:t>to tolerate</w:t>
      </w:r>
      <w:r>
        <w:rPr>
          <w:lang w:val="en-GB"/>
        </w:rPr>
        <w:t xml:space="preserve"> higher concentrations. Proposed Cr(VI) reduction mechanisms include; cytoplasmic enzymes</w:t>
      </w:r>
      <w:r w:rsidR="00A50167">
        <w:rPr>
          <w:lang w:val="en-GB"/>
        </w:rPr>
        <w:t xml:space="preserve"> (Cr(VI) reducing enzymes called reductase), membrane pathways (biochemical pathways) and biosorptive process (distribution of reactive functional groups) etc</w:t>
      </w:r>
      <w:r w:rsidR="00521596">
        <w:rPr>
          <w:lang w:val="en-GB"/>
        </w:rPr>
        <w:t>,</w:t>
      </w:r>
      <w:r w:rsidR="00A30F98">
        <w:rPr>
          <w:lang w:val="en-GB"/>
        </w:rPr>
        <w:t xml:space="preserve"> (Zayed</w:t>
      </w:r>
      <w:r w:rsidR="00227DA1">
        <w:rPr>
          <w:lang w:val="en-GB"/>
        </w:rPr>
        <w:t xml:space="preserve"> and Terry, 201</w:t>
      </w:r>
      <w:r w:rsidR="00A30F98">
        <w:rPr>
          <w:lang w:val="en-GB"/>
        </w:rPr>
        <w:t>3)</w:t>
      </w:r>
      <w:r w:rsidR="00A50167">
        <w:rPr>
          <w:lang w:val="en-GB"/>
        </w:rPr>
        <w:t>.</w:t>
      </w:r>
      <w:r w:rsidR="006B2728" w:rsidRPr="006B2728">
        <w:rPr>
          <w:noProof/>
        </w:rPr>
        <w:t xml:space="preserve"> </w:t>
      </w:r>
      <w:r w:rsidR="00A50167">
        <w:rPr>
          <w:lang w:val="en-GB"/>
        </w:rPr>
        <w:t xml:space="preserve">Chromium reduction on Figure 2 </w:t>
      </w:r>
      <w:r w:rsidR="002C5902">
        <w:rPr>
          <w:lang w:val="en-GB"/>
        </w:rPr>
        <w:t>show similar profiles amongst all bacterial cultures tested. More than 50</w:t>
      </w:r>
      <w:r w:rsidR="00824AE0">
        <w:rPr>
          <w:lang w:val="en-GB"/>
        </w:rPr>
        <w:t xml:space="preserve"> </w:t>
      </w:r>
      <w:r w:rsidR="002C5902">
        <w:rPr>
          <w:lang w:val="en-GB"/>
        </w:rPr>
        <w:t xml:space="preserve">% Cr(VI) reduction was observed with no complete reduction. Between 0 – 5 h the </w:t>
      </w:r>
      <w:r w:rsidR="00930790">
        <w:rPr>
          <w:lang w:val="en-GB"/>
        </w:rPr>
        <w:t xml:space="preserve">bacterial resistant </w:t>
      </w:r>
      <w:r w:rsidR="002C5902">
        <w:rPr>
          <w:lang w:val="en-GB"/>
        </w:rPr>
        <w:t>mechani</w:t>
      </w:r>
      <w:r w:rsidR="00930790">
        <w:rPr>
          <w:lang w:val="en-GB"/>
        </w:rPr>
        <w:t>sms are most active</w:t>
      </w:r>
      <w:r w:rsidR="002C5902">
        <w:rPr>
          <w:lang w:val="en-GB"/>
        </w:rPr>
        <w:t xml:space="preserve">, as the tolerant levels decrease so does the reduction rate. </w:t>
      </w:r>
    </w:p>
    <w:p w:rsidR="00D86EDC" w:rsidRDefault="00145A01" w:rsidP="00A10FF8">
      <w:pPr>
        <w:pStyle w:val="CETheadingx"/>
      </w:pPr>
      <w:r>
        <w:lastRenderedPageBreak/>
        <w:t>Column reactor analysis</w:t>
      </w:r>
    </w:p>
    <w:p w:rsidR="00A10FF8" w:rsidRPr="009953F6" w:rsidRDefault="004804B4" w:rsidP="00A10FF8">
      <w:pPr>
        <w:widowControl w:val="0"/>
        <w:autoSpaceDE w:val="0"/>
        <w:autoSpaceDN w:val="0"/>
        <w:adjustRightInd w:val="0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The column systems were exposed to 4</w:t>
      </w:r>
      <w:r w:rsidR="00773B29">
        <w:rPr>
          <w:rFonts w:cs="Arial"/>
          <w:bCs/>
          <w:szCs w:val="18"/>
        </w:rPr>
        <w:t>0 mg/L C</w:t>
      </w:r>
      <w:r>
        <w:rPr>
          <w:rFonts w:cs="Arial"/>
          <w:bCs/>
          <w:szCs w:val="18"/>
        </w:rPr>
        <w:t>r(VI) conce</w:t>
      </w:r>
      <w:r w:rsidR="00824AE0">
        <w:rPr>
          <w:rFonts w:cs="Arial"/>
          <w:bCs/>
          <w:szCs w:val="18"/>
        </w:rPr>
        <w:t>ntration for a period of 30 d</w:t>
      </w:r>
      <w:r>
        <w:rPr>
          <w:rFonts w:cs="Arial"/>
          <w:bCs/>
          <w:szCs w:val="18"/>
        </w:rPr>
        <w:t xml:space="preserve">. </w:t>
      </w:r>
      <w:r w:rsidR="00824AE0">
        <w:rPr>
          <w:rFonts w:cs="Arial"/>
          <w:bCs/>
          <w:szCs w:val="18"/>
        </w:rPr>
        <w:t>Samples were taken every 2 d</w:t>
      </w:r>
      <w:r>
        <w:rPr>
          <w:rFonts w:cs="Arial"/>
          <w:bCs/>
          <w:szCs w:val="18"/>
        </w:rPr>
        <w:t xml:space="preserve"> along the column </w:t>
      </w:r>
      <w:r w:rsidR="00773B29">
        <w:rPr>
          <w:rFonts w:cs="Arial"/>
          <w:bCs/>
          <w:szCs w:val="18"/>
        </w:rPr>
        <w:t xml:space="preserve">(using sample pots) </w:t>
      </w:r>
      <w:r>
        <w:rPr>
          <w:rFonts w:cs="Arial"/>
          <w:bCs/>
          <w:szCs w:val="18"/>
        </w:rPr>
        <w:t>to observe Cr(VI) reduction trend</w:t>
      </w:r>
      <w:r w:rsidR="00773B29">
        <w:rPr>
          <w:rFonts w:cs="Arial"/>
          <w:bCs/>
          <w:szCs w:val="18"/>
        </w:rPr>
        <w:t>s</w:t>
      </w:r>
      <w:r>
        <w:rPr>
          <w:rFonts w:cs="Arial"/>
          <w:bCs/>
          <w:szCs w:val="18"/>
        </w:rPr>
        <w:t xml:space="preserve"> in each system. </w:t>
      </w:r>
      <w:r w:rsidR="00773B29">
        <w:rPr>
          <w:rFonts w:cs="Arial"/>
          <w:bCs/>
          <w:szCs w:val="18"/>
        </w:rPr>
        <w:t>This was done at</w:t>
      </w:r>
      <w:r>
        <w:rPr>
          <w:rFonts w:cs="Arial"/>
          <w:bCs/>
          <w:szCs w:val="18"/>
        </w:rPr>
        <w:t xml:space="preserve"> </w:t>
      </w:r>
      <w:r w:rsidR="00A10FF8" w:rsidRPr="009953F6">
        <w:rPr>
          <w:rFonts w:cs="Arial"/>
          <w:bCs/>
          <w:szCs w:val="18"/>
        </w:rPr>
        <w:t>s</w:t>
      </w:r>
      <w:r>
        <w:rPr>
          <w:rFonts w:cs="Arial"/>
          <w:bCs/>
          <w:szCs w:val="18"/>
        </w:rPr>
        <w:t xml:space="preserve">teady state. </w:t>
      </w:r>
      <w:r w:rsidR="00A10FF8" w:rsidRPr="009953F6">
        <w:rPr>
          <w:rFonts w:cs="Arial"/>
          <w:bCs/>
          <w:szCs w:val="18"/>
        </w:rPr>
        <w:t>System 3 showed the</w:t>
      </w:r>
      <w:r w:rsidR="00773B29">
        <w:rPr>
          <w:rFonts w:cs="Arial"/>
          <w:bCs/>
          <w:szCs w:val="18"/>
        </w:rPr>
        <w:t xml:space="preserve"> most reduction with up to 94</w:t>
      </w:r>
      <w:r w:rsidR="00824AE0">
        <w:rPr>
          <w:rFonts w:cs="Arial"/>
          <w:bCs/>
          <w:szCs w:val="18"/>
        </w:rPr>
        <w:t xml:space="preserve"> </w:t>
      </w:r>
      <w:r w:rsidR="00773B29">
        <w:rPr>
          <w:rFonts w:cs="Arial"/>
          <w:bCs/>
          <w:szCs w:val="18"/>
        </w:rPr>
        <w:t xml:space="preserve">% at </w:t>
      </w:r>
      <w:r w:rsidR="00A10FF8" w:rsidRPr="009953F6">
        <w:rPr>
          <w:rFonts w:cs="Arial"/>
          <w:bCs/>
          <w:szCs w:val="18"/>
        </w:rPr>
        <w:t xml:space="preserve">90 cm </w:t>
      </w:r>
      <w:r w:rsidR="00773B29">
        <w:rPr>
          <w:rFonts w:cs="Arial"/>
          <w:bCs/>
          <w:szCs w:val="18"/>
        </w:rPr>
        <w:t>(effluent). The</w:t>
      </w:r>
      <w:r w:rsidR="00A10FF8" w:rsidRPr="009953F6">
        <w:rPr>
          <w:rFonts w:cs="Arial"/>
          <w:bCs/>
          <w:szCs w:val="18"/>
        </w:rPr>
        <w:t xml:space="preserve"> rate of Cr(VI) reduction was obse</w:t>
      </w:r>
      <w:r w:rsidR="00773B29">
        <w:rPr>
          <w:rFonts w:cs="Arial"/>
          <w:bCs/>
          <w:szCs w:val="18"/>
        </w:rPr>
        <w:t>rved to increase as the contaminant was gravitating along the column</w:t>
      </w:r>
      <w:r w:rsidR="00A10FF8" w:rsidRPr="009953F6">
        <w:rPr>
          <w:rFonts w:cs="Arial"/>
          <w:bCs/>
          <w:szCs w:val="18"/>
        </w:rPr>
        <w:t>, near complete Cr(VI) removal was achieved at the fi</w:t>
      </w:r>
      <w:r w:rsidR="008F41F9">
        <w:rPr>
          <w:rFonts w:cs="Arial"/>
          <w:bCs/>
          <w:szCs w:val="18"/>
        </w:rPr>
        <w:t>nal effluent (Mthimunye, 2011)</w:t>
      </w:r>
      <w:r w:rsidR="00A10FF8" w:rsidRPr="009953F6">
        <w:rPr>
          <w:rFonts w:cs="Arial"/>
          <w:bCs/>
          <w:szCs w:val="18"/>
        </w:rPr>
        <w:t xml:space="preserve">. The </w:t>
      </w:r>
      <w:r w:rsidR="00773B29">
        <w:rPr>
          <w:rFonts w:cs="Arial"/>
          <w:bCs/>
          <w:szCs w:val="18"/>
        </w:rPr>
        <w:t xml:space="preserve">reduction </w:t>
      </w:r>
      <w:r w:rsidR="00A10FF8" w:rsidRPr="009953F6">
        <w:rPr>
          <w:rFonts w:cs="Arial"/>
          <w:bCs/>
          <w:szCs w:val="18"/>
        </w:rPr>
        <w:t>rate of Cr(VI) reductio</w:t>
      </w:r>
      <w:r w:rsidR="00773B29">
        <w:rPr>
          <w:rFonts w:cs="Arial"/>
          <w:bCs/>
          <w:szCs w:val="18"/>
        </w:rPr>
        <w:t>n at quasi-steady state became steady</w:t>
      </w:r>
      <w:r w:rsidR="00A10FF8" w:rsidRPr="009953F6">
        <w:rPr>
          <w:rFonts w:cs="Arial"/>
          <w:bCs/>
          <w:szCs w:val="18"/>
        </w:rPr>
        <w:t xml:space="preserve"> for System 3 from 36 to </w:t>
      </w:r>
      <w:r w:rsidR="00773B29">
        <w:rPr>
          <w:rFonts w:cs="Arial"/>
          <w:bCs/>
          <w:szCs w:val="18"/>
        </w:rPr>
        <w:t>90 cm distance along the column as seen on figure 3.</w:t>
      </w:r>
    </w:p>
    <w:p w:rsidR="00A10FF8" w:rsidRPr="00A10FF8" w:rsidRDefault="00A10FF8" w:rsidP="00A10FF8">
      <w:pPr>
        <w:pStyle w:val="CETBodytext"/>
      </w:pPr>
    </w:p>
    <w:p w:rsidR="00773B29" w:rsidRDefault="00A10FF8" w:rsidP="00773B29">
      <w:pPr>
        <w:widowControl w:val="0"/>
        <w:autoSpaceDE w:val="0"/>
        <w:autoSpaceDN w:val="0"/>
        <w:adjustRightInd w:val="0"/>
        <w:spacing w:line="240" w:lineRule="auto"/>
        <w:rPr>
          <w:rFonts w:cs="Arial"/>
          <w:bCs/>
          <w:i/>
        </w:rPr>
      </w:pPr>
      <w:r w:rsidRPr="0013548F">
        <w:rPr>
          <w:noProof/>
          <w:lang w:val="en-US"/>
        </w:rPr>
        <w:drawing>
          <wp:inline distT="0" distB="0" distL="0" distR="0" wp14:anchorId="1A5696A5" wp14:editId="06DE0AD1">
            <wp:extent cx="4149090" cy="2009955"/>
            <wp:effectExtent l="0" t="0" r="0" b="0"/>
            <wp:docPr id="8" nam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45A01" w:rsidRPr="00773B29" w:rsidRDefault="00D86EDC" w:rsidP="00773B29">
      <w:pPr>
        <w:widowControl w:val="0"/>
        <w:autoSpaceDE w:val="0"/>
        <w:autoSpaceDN w:val="0"/>
        <w:adjustRightInd w:val="0"/>
        <w:spacing w:line="240" w:lineRule="auto"/>
        <w:rPr>
          <w:i/>
        </w:rPr>
      </w:pPr>
      <w:r w:rsidRPr="00D86EDC">
        <w:rPr>
          <w:rFonts w:cs="Arial"/>
          <w:bCs/>
          <w:i/>
        </w:rPr>
        <w:t xml:space="preserve">Figure 3: Cr(VI) </w:t>
      </w:r>
      <w:r w:rsidR="00A30F98">
        <w:rPr>
          <w:rFonts w:cs="Arial"/>
          <w:bCs/>
          <w:i/>
        </w:rPr>
        <w:t>4</w:t>
      </w:r>
      <w:r w:rsidRPr="00D86EDC">
        <w:rPr>
          <w:rFonts w:cs="Arial"/>
          <w:bCs/>
          <w:i/>
        </w:rPr>
        <w:t>0 mg</w:t>
      </w:r>
      <w:r>
        <w:rPr>
          <w:rFonts w:cs="Arial"/>
          <w:bCs/>
          <w:i/>
        </w:rPr>
        <w:t>/L</w:t>
      </w:r>
      <w:r w:rsidRPr="00D86EDC">
        <w:rPr>
          <w:rFonts w:cs="Arial"/>
          <w:bCs/>
          <w:i/>
        </w:rPr>
        <w:t xml:space="preserve"> reduction percentage along the columns</w:t>
      </w:r>
    </w:p>
    <w:p w:rsidR="00D86EDC" w:rsidRDefault="00D86EDC" w:rsidP="00600535">
      <w:pPr>
        <w:pStyle w:val="CETBodytext"/>
        <w:rPr>
          <w:rFonts w:cs="Arial"/>
          <w:lang w:val="en-GB"/>
        </w:rPr>
      </w:pPr>
    </w:p>
    <w:p w:rsidR="008F41F9" w:rsidRPr="008F41F9" w:rsidRDefault="00773B29" w:rsidP="008F41F9">
      <w:pPr>
        <w:widowControl w:val="0"/>
        <w:autoSpaceDE w:val="0"/>
        <w:autoSpaceDN w:val="0"/>
        <w:adjustRightInd w:val="0"/>
        <w:rPr>
          <w:rFonts w:cs="Arial"/>
          <w:bCs/>
        </w:rPr>
      </w:pPr>
      <w:r>
        <w:rPr>
          <w:rFonts w:cs="Arial"/>
          <w:bCs/>
        </w:rPr>
        <w:t xml:space="preserve">The column systems were further exposed to </w:t>
      </w:r>
      <w:r w:rsidR="00A44F35">
        <w:rPr>
          <w:rFonts w:cs="Arial"/>
          <w:bCs/>
        </w:rPr>
        <w:t>60 mg/L Cr(VI) concentration. Cr(VI) reduction rate did not increase as it would have been expected. Instead, some systems like System 2 showed increased reduction of Cr(VI) to Cr(III).</w:t>
      </w:r>
    </w:p>
    <w:p w:rsidR="008F41F9" w:rsidRDefault="008F41F9" w:rsidP="00600535">
      <w:pPr>
        <w:pStyle w:val="CETBodytext"/>
        <w:rPr>
          <w:rFonts w:cs="Arial"/>
          <w:lang w:val="en-GB"/>
        </w:rPr>
      </w:pPr>
    </w:p>
    <w:p w:rsidR="00A10FF8" w:rsidRDefault="00F35D23" w:rsidP="00600535">
      <w:pPr>
        <w:pStyle w:val="CETBodytext"/>
        <w:rPr>
          <w:rFonts w:cs="Arial"/>
          <w:lang w:val="en-GB"/>
        </w:rPr>
      </w:pPr>
      <w:r w:rsidRPr="00A44F35">
        <w:rPr>
          <w:noProof/>
          <w:highlight w:val="black"/>
        </w:rPr>
        <w:drawing>
          <wp:inline distT="0" distB="0" distL="0" distR="0" wp14:anchorId="062951B3" wp14:editId="7A2FE351">
            <wp:extent cx="4175185" cy="2328545"/>
            <wp:effectExtent l="0" t="0" r="0" b="0"/>
            <wp:docPr id="9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5D23" w:rsidRDefault="00A30F98" w:rsidP="00600535">
      <w:pPr>
        <w:pStyle w:val="CETBodytext"/>
        <w:rPr>
          <w:rFonts w:cs="Arial"/>
          <w:bCs/>
        </w:rPr>
      </w:pPr>
      <w:r>
        <w:rPr>
          <w:rFonts w:cs="Arial"/>
          <w:i/>
          <w:lang w:val="en-GB"/>
        </w:rPr>
        <w:t>Figure 4:</w:t>
      </w:r>
      <w:r w:rsidR="00F35D23" w:rsidRPr="00D86EDC">
        <w:rPr>
          <w:rFonts w:cs="Arial"/>
          <w:bCs/>
          <w:i/>
        </w:rPr>
        <w:t xml:space="preserve"> Cr(VI) </w:t>
      </w:r>
      <w:r w:rsidR="00DE7E24">
        <w:rPr>
          <w:rFonts w:cs="Arial"/>
          <w:bCs/>
          <w:i/>
        </w:rPr>
        <w:t>6</w:t>
      </w:r>
      <w:r w:rsidR="00F35D23" w:rsidRPr="00D86EDC">
        <w:rPr>
          <w:rFonts w:cs="Arial"/>
          <w:bCs/>
          <w:i/>
        </w:rPr>
        <w:t>0 mg</w:t>
      </w:r>
      <w:r w:rsidR="00F35D23">
        <w:rPr>
          <w:rFonts w:cs="Arial"/>
          <w:bCs/>
          <w:i/>
        </w:rPr>
        <w:t>/L</w:t>
      </w:r>
      <w:r w:rsidR="00F35D23" w:rsidRPr="00D86EDC">
        <w:rPr>
          <w:rFonts w:cs="Arial"/>
          <w:bCs/>
          <w:i/>
        </w:rPr>
        <w:t xml:space="preserve"> reduction percentage along the columns</w:t>
      </w:r>
    </w:p>
    <w:p w:rsidR="008F41F9" w:rsidRDefault="008F41F9" w:rsidP="00600535">
      <w:pPr>
        <w:pStyle w:val="CETBodytext"/>
        <w:rPr>
          <w:rFonts w:cs="Arial"/>
          <w:bCs/>
        </w:rPr>
      </w:pPr>
    </w:p>
    <w:p w:rsidR="008F41F9" w:rsidRDefault="008F41F9" w:rsidP="00A30D32">
      <w:pPr>
        <w:rPr>
          <w:rFonts w:cs="Arial"/>
          <w:szCs w:val="18"/>
          <w:lang w:eastAsia="en-ZA"/>
        </w:rPr>
      </w:pPr>
      <w:r w:rsidRPr="00FC2F77">
        <w:rPr>
          <w:rFonts w:cs="Arial"/>
          <w:bCs/>
          <w:szCs w:val="18"/>
        </w:rPr>
        <w:t>System 1 and 2 showed to have about 50</w:t>
      </w:r>
      <w:r w:rsidR="00824AE0">
        <w:rPr>
          <w:rFonts w:cs="Arial"/>
          <w:bCs/>
          <w:szCs w:val="18"/>
        </w:rPr>
        <w:t xml:space="preserve"> </w:t>
      </w:r>
      <w:r w:rsidRPr="00FC2F77">
        <w:rPr>
          <w:rFonts w:cs="Arial"/>
          <w:bCs/>
          <w:szCs w:val="18"/>
        </w:rPr>
        <w:t>% increase from 18 to 36 cm through the column due to the adaptation of Cr(VI) reducing bacteria. System 3 also out performed all the other systems</w:t>
      </w:r>
      <w:r>
        <w:rPr>
          <w:rFonts w:cs="Arial"/>
          <w:bCs/>
          <w:szCs w:val="18"/>
        </w:rPr>
        <w:t xml:space="preserve"> along the column at 60 mg/L</w:t>
      </w:r>
      <w:r w:rsidR="001469EF">
        <w:rPr>
          <w:rFonts w:cs="Arial"/>
          <w:bCs/>
          <w:szCs w:val="18"/>
        </w:rPr>
        <w:t xml:space="preserve">. The vegetative </w:t>
      </w:r>
      <w:r w:rsidRPr="00FC2F77">
        <w:rPr>
          <w:rFonts w:cs="Arial"/>
          <w:bCs/>
          <w:szCs w:val="18"/>
        </w:rPr>
        <w:t>carbon source seemed to help bacteria reduce Cr(VI) concentration sign</w:t>
      </w:r>
      <w:r w:rsidR="001469EF">
        <w:rPr>
          <w:rFonts w:cs="Arial"/>
          <w:bCs/>
          <w:szCs w:val="18"/>
        </w:rPr>
        <w:t xml:space="preserve">ificantly, better than saw dust, which is </w:t>
      </w:r>
      <w:r w:rsidRPr="00FC2F77">
        <w:rPr>
          <w:rFonts w:cs="Arial"/>
          <w:szCs w:val="18"/>
          <w:lang w:eastAsia="en-ZA"/>
        </w:rPr>
        <w:t>usually used in order to avoid interferences and introduction of unna</w:t>
      </w:r>
      <w:r w:rsidR="001469EF">
        <w:rPr>
          <w:rFonts w:cs="Arial"/>
          <w:szCs w:val="18"/>
          <w:lang w:eastAsia="en-ZA"/>
        </w:rPr>
        <w:t xml:space="preserve">tural products into the system </w:t>
      </w:r>
      <w:bookmarkStart w:id="0" w:name="_GoBack"/>
      <w:bookmarkEnd w:id="0"/>
      <w:r w:rsidRPr="00FC2F77">
        <w:rPr>
          <w:rFonts w:cs="Arial"/>
          <w:szCs w:val="18"/>
          <w:lang w:eastAsia="en-ZA"/>
        </w:rPr>
        <w:t>s</w:t>
      </w:r>
      <w:r>
        <w:rPr>
          <w:rFonts w:cs="Arial"/>
          <w:szCs w:val="18"/>
          <w:lang w:eastAsia="en-ZA"/>
        </w:rPr>
        <w:t>ite (Molokwane and Chirwa, 2009)</w:t>
      </w:r>
      <w:r w:rsidRPr="00FC2F77">
        <w:rPr>
          <w:rFonts w:cs="Arial"/>
          <w:szCs w:val="18"/>
          <w:lang w:eastAsia="en-ZA"/>
        </w:rPr>
        <w:t xml:space="preserve">. </w:t>
      </w:r>
    </w:p>
    <w:p w:rsidR="00A30D32" w:rsidRPr="00A30D32" w:rsidRDefault="00A30D32" w:rsidP="00A30D32">
      <w:pPr>
        <w:rPr>
          <w:rFonts w:cs="Arial"/>
          <w:szCs w:val="18"/>
          <w:lang w:eastAsia="en-ZA"/>
        </w:rPr>
      </w:pPr>
    </w:p>
    <w:p w:rsidR="00156136" w:rsidRDefault="00156136" w:rsidP="00156136">
      <w:pPr>
        <w:pStyle w:val="CETHeading1"/>
      </w:pPr>
      <w:r>
        <w:t xml:space="preserve">Conclusion </w:t>
      </w:r>
    </w:p>
    <w:p w:rsidR="00DA1F23" w:rsidRDefault="00DA1F23" w:rsidP="00156136">
      <w:pPr>
        <w:pStyle w:val="CETBodytext"/>
      </w:pPr>
      <w:r>
        <w:t>Batch and column reactor analysis showed possible Cr(VI) reducing to Cr(III) by chromium resistant bacteria isolated near chromium ore refining pla</w:t>
      </w:r>
      <w:r w:rsidR="00AD101D">
        <w:t>nt. Almost complete</w:t>
      </w:r>
      <w:r>
        <w:t xml:space="preserve"> Cr(VI) </w:t>
      </w:r>
      <w:r w:rsidR="00AD101D">
        <w:t xml:space="preserve">reduction </w:t>
      </w:r>
      <w:r>
        <w:t>was observed by bacteria even at a high concentr</w:t>
      </w:r>
      <w:r w:rsidR="00AD101D">
        <w:t>ation of 60 mg/L. T</w:t>
      </w:r>
      <w:r>
        <w:t>he alg</w:t>
      </w:r>
      <w:r w:rsidR="00AD101D">
        <w:t xml:space="preserve">ae in the soil survived </w:t>
      </w:r>
      <w:r>
        <w:t xml:space="preserve">extremely harsh </w:t>
      </w:r>
      <w:r w:rsidR="00AD101D">
        <w:t>Cr(VI) conditions due to the present of bacteria in the systems and the protection that is provided</w:t>
      </w:r>
      <w:r>
        <w:t xml:space="preserve"> by the bacterial biofilm in the aquifer media.</w:t>
      </w:r>
      <w:r w:rsidR="00AD101D">
        <w:t xml:space="preserve"> </w:t>
      </w:r>
      <w:r w:rsidR="00AD101D">
        <w:lastRenderedPageBreak/>
        <w:t xml:space="preserve">Cr(VI) reduction in system 3 showed to be the most effective as the carbon source was obtained from the area of assumed Cr resistance which provided favorable conditions for the bacterial to strive in the </w:t>
      </w:r>
      <w:r w:rsidR="00AD101D" w:rsidRPr="00AD101D">
        <w:rPr>
          <w:i/>
        </w:rPr>
        <w:t>in situ</w:t>
      </w:r>
      <w:r w:rsidR="00AD101D">
        <w:t xml:space="preserve"> system.</w:t>
      </w:r>
      <w:r>
        <w:t xml:space="preserve"> This study provides the basis upon which adequate bio-strategies can be developed and implemented for </w:t>
      </w:r>
      <w:r w:rsidRPr="00824AE0">
        <w:rPr>
          <w:i/>
        </w:rPr>
        <w:t>in situ</w:t>
      </w:r>
      <w:r>
        <w:t xml:space="preserve"> treatment of Cr(VI) contaminated soils. </w:t>
      </w:r>
    </w:p>
    <w:p w:rsidR="00D70CEA" w:rsidRDefault="00D70CEA" w:rsidP="00D70CEA">
      <w:pPr>
        <w:pStyle w:val="CETHeading1"/>
      </w:pPr>
      <w:r>
        <w:t xml:space="preserve">References </w:t>
      </w:r>
    </w:p>
    <w:p w:rsidR="005C6BCA" w:rsidRDefault="005C6BCA" w:rsidP="00D42510">
      <w:pPr>
        <w:pStyle w:val="CETReferencetext"/>
      </w:pPr>
      <w:r>
        <w:t>Birungi Z., Chirwa</w:t>
      </w:r>
      <w:r w:rsidR="005E66C8">
        <w:t xml:space="preserve"> E.M.N., 2017, Bioreduction of thallium and cadmium t</w:t>
      </w:r>
      <w:r w:rsidR="00521596">
        <w:t>oxicity fr</w:t>
      </w:r>
      <w:r w:rsidR="005E66C8">
        <w:t>om industrial wastewater using m</w:t>
      </w:r>
      <w:r>
        <w:t>icroalgae, Chemical Engineering Transactions, 57, 1183-1188.</w:t>
      </w:r>
    </w:p>
    <w:p w:rsidR="00F25F10" w:rsidRDefault="00F25F10" w:rsidP="00DC5279">
      <w:pPr>
        <w:pStyle w:val="CETReferencetext"/>
      </w:pPr>
      <w:r>
        <w:t>Birungi Z., Chirwa E.M.N., 2017, Bioreduction of thallium and cadmium toxicity from industrial wastewater using microalgae, Chemical Engineering Transactions, 57, 1183-1188.</w:t>
      </w:r>
    </w:p>
    <w:p w:rsidR="0007187A" w:rsidRDefault="0007187A" w:rsidP="00DC5279">
      <w:pPr>
        <w:pStyle w:val="CETReferencetext"/>
      </w:pPr>
      <w:r w:rsidRPr="0007187A">
        <w:t>Cicci A., Sed G., Bravi M., 2017, Potential of choline chloride-based natural deep eutectic solvents (nades) in the extraction of microalgal metabolites, Chemical Engineering Transactions, 5</w:t>
      </w:r>
      <w:r>
        <w:t>7, 61-66.</w:t>
      </w:r>
    </w:p>
    <w:p w:rsidR="00DC5279" w:rsidRDefault="00DC5279" w:rsidP="00DC5279">
      <w:pPr>
        <w:pStyle w:val="CETReferencetext"/>
      </w:pPr>
      <w:r w:rsidRPr="006B4888">
        <w:t>Chew K.H., Klemeš J.J., Wan Alwi S.R., Ab</w:t>
      </w:r>
      <w:r w:rsidR="00521596">
        <w:t>dul Manan Z., 2013</w:t>
      </w:r>
      <w:r w:rsidR="00521596" w:rsidRPr="00F25F10">
        <w:t>, Industrial I</w:t>
      </w:r>
      <w:r w:rsidRPr="00F25F10">
        <w:t>mplement</w:t>
      </w:r>
      <w:r w:rsidR="00F25F10">
        <w:t>ation issues of T</w:t>
      </w:r>
      <w:r w:rsidRPr="00F25F10">
        <w:t>otal Site Heat Integration</w:t>
      </w:r>
      <w:r w:rsidRPr="006B4888">
        <w:t>, Applied Thermal Engineering, 61, 17–25.</w:t>
      </w:r>
    </w:p>
    <w:p w:rsidR="001E144B" w:rsidRDefault="001E144B" w:rsidP="001E144B">
      <w:pPr>
        <w:pStyle w:val="CETReferencetext"/>
      </w:pPr>
      <w:r>
        <w:t>Chirwa E.M.N., Wang Y</w:t>
      </w:r>
      <w:r w:rsidR="00521596">
        <w:t>., 2000, Simult</w:t>
      </w:r>
      <w:r w:rsidR="00F25F10">
        <w:t>aneous chromium (VI) reduction and p</w:t>
      </w:r>
      <w:r>
        <w:t xml:space="preserve">henol </w:t>
      </w:r>
      <w:r w:rsidR="00F25F10">
        <w:t>d</w:t>
      </w:r>
      <w:r>
        <w:t xml:space="preserve">egradation </w:t>
      </w:r>
      <w:r w:rsidR="00F25F10">
        <w:t>in an a</w:t>
      </w:r>
      <w:r>
        <w:t>naerobic</w:t>
      </w:r>
      <w:r w:rsidR="00F25F10">
        <w:t xml:space="preserve"> c</w:t>
      </w:r>
      <w:r>
        <w:t>on</w:t>
      </w:r>
      <w:r w:rsidR="00F25F10">
        <w:t>sortium of b</w:t>
      </w:r>
      <w:r>
        <w:t xml:space="preserve">acteria, Water Research, 34, 2376–2384.  </w:t>
      </w:r>
    </w:p>
    <w:p w:rsidR="008D0EDE" w:rsidRDefault="008D0EDE" w:rsidP="00D42510">
      <w:pPr>
        <w:pStyle w:val="CETReferencetext"/>
      </w:pPr>
      <w:r>
        <w:t xml:space="preserve">Das S., Mishra J., Das S.J., Pandey Rao D.S., Chakraborty A., Sudarshan M., Das S., Tathoi H., 2014, Investigation on mechanism of Cr(VI) reduction and removal by </w:t>
      </w:r>
      <w:r w:rsidRPr="00930790">
        <w:rPr>
          <w:i/>
        </w:rPr>
        <w:t>Bacillus am</w:t>
      </w:r>
      <w:r w:rsidR="00930790" w:rsidRPr="00930790">
        <w:rPr>
          <w:i/>
        </w:rPr>
        <w:t>yloliquefaciens</w:t>
      </w:r>
      <w:r w:rsidR="00930790">
        <w:t>, a novel chromate tolerant bacterium isolated from chromite mine soil, Journal of Chemosphere, 96, 112–121.</w:t>
      </w:r>
    </w:p>
    <w:p w:rsidR="00D42510" w:rsidRDefault="00D42510" w:rsidP="00D42510">
      <w:pPr>
        <w:pStyle w:val="CETReferencetext"/>
      </w:pPr>
      <w:r>
        <w:t>Kaimbi L.A.,</w:t>
      </w:r>
      <w:r w:rsidR="00C03853">
        <w:t xml:space="preserve"> Chirwa E.</w:t>
      </w:r>
      <w:r w:rsidR="00F25F10">
        <w:t>M.N., 2015, Kinetics of Cr(VI) reduction and remobilisation in an aquifer permeable reactive b</w:t>
      </w:r>
      <w:r w:rsidR="006B2728">
        <w:t>arrier: m</w:t>
      </w:r>
      <w:r w:rsidR="002478A9">
        <w:t>icro</w:t>
      </w:r>
      <w:r w:rsidR="00F25F10">
        <w:t>cosm s</w:t>
      </w:r>
      <w:r w:rsidR="00C03853">
        <w:t>imulation</w:t>
      </w:r>
      <w:r w:rsidR="00F25F10">
        <w:t>, C</w:t>
      </w:r>
      <w:r w:rsidR="002478A9">
        <w:t>hemical Engineering Transaction, 45, 794–797.</w:t>
      </w:r>
    </w:p>
    <w:p w:rsidR="001E144B" w:rsidRDefault="001E144B" w:rsidP="001E144B">
      <w:pPr>
        <w:pStyle w:val="CETReferencetext"/>
      </w:pPr>
      <w:r>
        <w:t>Kaimbi L.A., Chir</w:t>
      </w:r>
      <w:r w:rsidR="00F25F10">
        <w:t>wa E.M.N., 2018, Efficiency of remobilization of chromium precipitates in an aquifer permeable reactive b</w:t>
      </w:r>
      <w:r>
        <w:t>arrier, Chemical Engineering Transactions, 70, 1795–1800.</w:t>
      </w:r>
    </w:p>
    <w:p w:rsidR="001E144B" w:rsidRDefault="001E144B" w:rsidP="001E144B">
      <w:pPr>
        <w:pStyle w:val="CETReferencetext"/>
      </w:pPr>
      <w:r>
        <w:t>Loock M.M., Beukes J.P., Zyl P.G, 201</w:t>
      </w:r>
      <w:r w:rsidR="00F25F10">
        <w:t>4, A survey of Cr(VI) contamination of surface water in the proximity of ferrochromium s</w:t>
      </w:r>
      <w:r>
        <w:t xml:space="preserve">melters in South Africa, Water South Africa, 40, 709–715. </w:t>
      </w:r>
    </w:p>
    <w:p w:rsidR="00FE4ED4" w:rsidRDefault="00FE4ED4" w:rsidP="00D42510">
      <w:pPr>
        <w:pStyle w:val="CETReferencetext"/>
      </w:pPr>
      <w:r>
        <w:t>Meli K.C</w:t>
      </w:r>
      <w:r w:rsidR="00521596">
        <w:t>.</w:t>
      </w:r>
      <w:r>
        <w:t>, 2009, Microbi</w:t>
      </w:r>
      <w:r w:rsidR="006B2728">
        <w:t>al Cr(VI) Reduction in indigenous culture of bacteria: c</w:t>
      </w:r>
      <w:r>
        <w:t>hara</w:t>
      </w:r>
      <w:r w:rsidR="006B2728">
        <w:t>cterization and m</w:t>
      </w:r>
      <w:r>
        <w:t>odelling, Master’s Thesis, University of Pretoria, Gauteng, South Africa</w:t>
      </w:r>
    </w:p>
    <w:p w:rsidR="00C50DD4" w:rsidRDefault="001E144B" w:rsidP="00C50DD4">
      <w:pPr>
        <w:pStyle w:val="CETReferencetext"/>
      </w:pPr>
      <w:r>
        <w:t>Molokwane P.E., Meli K.C., Chirwa, E.M.N</w:t>
      </w:r>
      <w:r w:rsidR="00521596">
        <w:t>.</w:t>
      </w:r>
      <w:r>
        <w:t xml:space="preserve">, 2008, </w:t>
      </w:r>
      <w:r w:rsidR="006B2728">
        <w:t>Chromium (VI) reduction in activated sludge bacteria exposed to high chromium l</w:t>
      </w:r>
      <w:r>
        <w:t>oading: Brits culture (South Africa), Water Research Journal, 1, 11.</w:t>
      </w:r>
    </w:p>
    <w:p w:rsidR="001E144B" w:rsidRDefault="001E144B" w:rsidP="001E144B">
      <w:pPr>
        <w:pStyle w:val="CETReferencetext"/>
      </w:pPr>
      <w:r>
        <w:t xml:space="preserve">Molokwane P.E., Chirwa </w:t>
      </w:r>
      <w:r w:rsidR="00521596">
        <w:t>E.M</w:t>
      </w:r>
      <w:r w:rsidR="006B2728">
        <w:t>.N., 2009, Cr(VI) Reduction in packed-column microcosm reactors using chromium reducing m</w:t>
      </w:r>
      <w:r>
        <w:t>icroorganisms, Chemical Engineering Transactions, 18, 1974–9791</w:t>
      </w:r>
    </w:p>
    <w:p w:rsidR="00C50DD4" w:rsidRDefault="00C50DD4" w:rsidP="001E144B">
      <w:pPr>
        <w:pStyle w:val="CETReferencetext"/>
      </w:pPr>
      <w:r>
        <w:t xml:space="preserve">Molokwane P.E., 2010, Simulation of </w:t>
      </w:r>
      <w:r w:rsidRPr="006B2728">
        <w:rPr>
          <w:i/>
        </w:rPr>
        <w:t>in situ</w:t>
      </w:r>
      <w:r w:rsidR="006B2728">
        <w:t xml:space="preserve"> b</w:t>
      </w:r>
      <w:r>
        <w:t>i</w:t>
      </w:r>
      <w:r w:rsidR="006B2728">
        <w:t>oremediation of Cr(VI) in groundwater aquifer environments using a microbial culture b</w:t>
      </w:r>
      <w:r>
        <w:t>arrier, PhD Thesis, University of Pretoria, Gauteng, South Africa</w:t>
      </w:r>
    </w:p>
    <w:p w:rsidR="001E144B" w:rsidRDefault="001E144B" w:rsidP="001E144B">
      <w:pPr>
        <w:pStyle w:val="CETReferencetext"/>
      </w:pPr>
      <w:r>
        <w:t>Molokwane P.E., Chirwa E.M.N</w:t>
      </w:r>
      <w:r w:rsidR="00521596">
        <w:t>.</w:t>
      </w:r>
      <w:r>
        <w:t>, 2013</w:t>
      </w:r>
      <w:r w:rsidR="006B2728">
        <w:t>, Modelling b</w:t>
      </w:r>
      <w:r w:rsidR="00521596">
        <w:t>i</w:t>
      </w:r>
      <w:r>
        <w:t>ological C</w:t>
      </w:r>
      <w:r w:rsidR="006B2728">
        <w:t>r(VI) reduction in aquifer microcosm column s</w:t>
      </w:r>
      <w:r>
        <w:t>ystems, Water S</w:t>
      </w:r>
      <w:r w:rsidR="00521596">
        <w:t>ci</w:t>
      </w:r>
      <w:r>
        <w:t>ence and Technology, 67, 2733–2738.</w:t>
      </w:r>
    </w:p>
    <w:p w:rsidR="0053197F" w:rsidRDefault="0053197F" w:rsidP="00D42510">
      <w:pPr>
        <w:pStyle w:val="CETReferencetext"/>
      </w:pPr>
      <w:r>
        <w:t xml:space="preserve">Mthimunye P.J., </w:t>
      </w:r>
      <w:r w:rsidR="002106DC">
        <w:t>2011</w:t>
      </w:r>
      <w:r w:rsidR="00521596">
        <w:t>.</w:t>
      </w:r>
      <w:r w:rsidR="002106DC">
        <w:t xml:space="preserve">, </w:t>
      </w:r>
      <w:r w:rsidR="006B2728">
        <w:t>A steady-state model for hexavalent chromium reducing in simulated biological reactive barrier: microcosm a</w:t>
      </w:r>
      <w:r>
        <w:t>nalysis, Master’s Thesis, University of Pretoria, Gauteng, South Africa.</w:t>
      </w:r>
    </w:p>
    <w:p w:rsidR="001E144B" w:rsidRDefault="001E144B" w:rsidP="001E144B">
      <w:pPr>
        <w:pStyle w:val="CETReferencetext"/>
      </w:pPr>
      <w:r>
        <w:t>Mthimunye P.J, Chirwa, E.M.N</w:t>
      </w:r>
      <w:r w:rsidR="00521596">
        <w:t>.</w:t>
      </w:r>
      <w:r>
        <w:t>, 2011</w:t>
      </w:r>
      <w:r w:rsidR="00521596">
        <w:t>,</w:t>
      </w:r>
      <w:r w:rsidR="006B2728">
        <w:t xml:space="preserve"> Simulation of biological Cr(VI) removal in aquifer microcosm c</w:t>
      </w:r>
      <w:r>
        <w:t>olumns,</w:t>
      </w:r>
    </w:p>
    <w:p w:rsidR="001E144B" w:rsidRDefault="001E144B" w:rsidP="001E144B">
      <w:pPr>
        <w:pStyle w:val="CETReferencetext"/>
      </w:pPr>
      <w:r>
        <w:tab/>
        <w:t xml:space="preserve">Science, 72, 25–40. </w:t>
      </w:r>
    </w:p>
    <w:p w:rsidR="0053197F" w:rsidRDefault="0053197F" w:rsidP="00D42510">
      <w:pPr>
        <w:pStyle w:val="CETReferencetext"/>
      </w:pPr>
      <w:r>
        <w:t>Oli</w:t>
      </w:r>
      <w:r w:rsidR="006B2728">
        <w:t>veira H., 2012, Chromium as an environmental pollutant: insight on induced plant t</w:t>
      </w:r>
      <w:r>
        <w:t>oxicity, Journal of Biology, Switzerland.</w:t>
      </w:r>
    </w:p>
    <w:p w:rsidR="002D2742" w:rsidRDefault="002D2742" w:rsidP="00D42510">
      <w:pPr>
        <w:pStyle w:val="CETReferencetext"/>
      </w:pPr>
      <w:r>
        <w:t>Roestorff M.M., Chirwa E.M.N</w:t>
      </w:r>
      <w:r w:rsidR="00521596">
        <w:t>.</w:t>
      </w:r>
      <w:r>
        <w:t xml:space="preserve">, </w:t>
      </w:r>
      <w:r w:rsidR="00521596">
        <w:t xml:space="preserve">2018, </w:t>
      </w:r>
      <w:r w:rsidR="00C303B0">
        <w:t>Comparison of the p</w:t>
      </w:r>
      <w:r>
        <w:t xml:space="preserve">erformance of </w:t>
      </w:r>
      <w:r w:rsidRPr="002D2742">
        <w:rPr>
          <w:i/>
        </w:rPr>
        <w:t>Chlorococcum ellipsoideum</w:t>
      </w:r>
      <w:r>
        <w:t xml:space="preserve"> and </w:t>
      </w:r>
      <w:r>
        <w:rPr>
          <w:i/>
        </w:rPr>
        <w:t>Tetradesmus o</w:t>
      </w:r>
      <w:r w:rsidRPr="002D2742">
        <w:rPr>
          <w:i/>
        </w:rPr>
        <w:t>bliquus</w:t>
      </w:r>
      <w:r w:rsidR="00C303B0">
        <w:t xml:space="preserve"> as a carbon source for reduction of Cr(VI) with b</w:t>
      </w:r>
      <w:r>
        <w:t xml:space="preserve">acteria, Chemical Engineering Transactions, 70, 463–468. </w:t>
      </w:r>
    </w:p>
    <w:p w:rsidR="00410602" w:rsidRDefault="00261E7C" w:rsidP="00D42510">
      <w:pPr>
        <w:pStyle w:val="CETReferencetext"/>
      </w:pPr>
      <w:r>
        <w:t>Romanenko V.I., Koren’kov V.N., 1977, Pure culture of bacteria using chromates and bichromates as hydrogen acceptors during development under anaerobic conditions. Mikrobiologiia, 46, 414–417.</w:t>
      </w:r>
    </w:p>
    <w:p w:rsidR="00227DA1" w:rsidRDefault="00227DA1" w:rsidP="00D42510">
      <w:pPr>
        <w:pStyle w:val="CETReferencetext"/>
      </w:pPr>
      <w:r>
        <w:t>Zakaria Z.A., Sufian</w:t>
      </w:r>
      <w:r w:rsidR="00BF4D83">
        <w:t xml:space="preserve"> A.S., Ramasamy K., Ahmat N., Sulaiman M.R., Arifah A.K</w:t>
      </w:r>
      <w:r w:rsidR="00E3134E">
        <w:t>., Zuraini A., Somchit M.N</w:t>
      </w:r>
      <w:r w:rsidR="00521596">
        <w:t>.</w:t>
      </w:r>
      <w:r w:rsidR="00E3134E">
        <w:t xml:space="preserve">, 2010, </w:t>
      </w:r>
      <w:r w:rsidR="00E3134E" w:rsidRPr="00C303B0">
        <w:rPr>
          <w:i/>
        </w:rPr>
        <w:t>In vitro</w:t>
      </w:r>
      <w:r w:rsidR="00E3134E">
        <w:t xml:space="preserve"> antimicrobial activity of Muntingia calabura extracts and fractions, African Journal o</w:t>
      </w:r>
      <w:r w:rsidR="00261E7C">
        <w:t>f Microbiology Research, 4, 304</w:t>
      </w:r>
      <w:r w:rsidR="00E3134E">
        <w:t xml:space="preserve">–308. </w:t>
      </w:r>
    </w:p>
    <w:p w:rsidR="00C50DD4" w:rsidRDefault="00C50DD4" w:rsidP="00C50DD4">
      <w:pPr>
        <w:pStyle w:val="CETReferencetext"/>
      </w:pPr>
      <w:r>
        <w:t>Zayed A.M., Terry, N., 2003, Chromium in the environment: factors affecting biological remediation, Plant and Soil, 249, 139–156.</w:t>
      </w:r>
    </w:p>
    <w:p w:rsidR="005C2DED" w:rsidRPr="00D70CEA" w:rsidRDefault="005C2DED" w:rsidP="005C2DED">
      <w:pPr>
        <w:pStyle w:val="CETBodytext"/>
      </w:pPr>
    </w:p>
    <w:sectPr w:rsidR="005C2DED" w:rsidRPr="00D70CEA" w:rsidSect="0077098D">
      <w:type w:val="continuous"/>
      <w:pgSz w:w="11906" w:h="16838" w:code="9"/>
      <w:pgMar w:top="1701" w:right="1418" w:bottom="1701" w:left="1701" w:header="1701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5E" w:rsidRDefault="00DA755E" w:rsidP="004F5E36">
      <w:r>
        <w:separator/>
      </w:r>
    </w:p>
  </w:endnote>
  <w:endnote w:type="continuationSeparator" w:id="0">
    <w:p w:rsidR="00DA755E" w:rsidRDefault="00DA755E" w:rsidP="004F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vP696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5E" w:rsidRDefault="00DA755E" w:rsidP="004F5E36">
      <w:r>
        <w:separator/>
      </w:r>
    </w:p>
  </w:footnote>
  <w:footnote w:type="continuationSeparator" w:id="0">
    <w:p w:rsidR="00DA755E" w:rsidRDefault="00DA755E" w:rsidP="004F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58AF15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EC88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8CBE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FC0B3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34EB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5C6B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7A996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D2793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F4206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6AC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38217E"/>
    <w:multiLevelType w:val="multilevel"/>
    <w:tmpl w:val="F17228D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ETHeading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ETheadingx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ableSimple1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330B7370"/>
    <w:multiLevelType w:val="hybridMultilevel"/>
    <w:tmpl w:val="12E2A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E0394"/>
    <w:multiLevelType w:val="hybridMultilevel"/>
    <w:tmpl w:val="806658E2"/>
    <w:lvl w:ilvl="0" w:tplc="14B0F7A8">
      <w:start w:val="1"/>
      <w:numFmt w:val="bullet"/>
      <w:pStyle w:val="CETnumberingbullets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100E8"/>
    <w:multiLevelType w:val="hybridMultilevel"/>
    <w:tmpl w:val="6F34C07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87BA7"/>
    <w:multiLevelType w:val="hybridMultilevel"/>
    <w:tmpl w:val="1F6A8AD4"/>
    <w:lvl w:ilvl="0" w:tplc="14B0F7A8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17387"/>
    <w:multiLevelType w:val="hybridMultilevel"/>
    <w:tmpl w:val="C2AE185A"/>
    <w:lvl w:ilvl="0" w:tplc="14090011">
      <w:start w:val="1"/>
      <w:numFmt w:val="decimal"/>
      <w:lvlText w:val="%1)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05803"/>
    <w:multiLevelType w:val="multilevel"/>
    <w:tmpl w:val="444C89D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17">
    <w:nsid w:val="5AD311D0"/>
    <w:multiLevelType w:val="hybridMultilevel"/>
    <w:tmpl w:val="F198FF08"/>
    <w:lvl w:ilvl="0" w:tplc="62EA088C">
      <w:start w:val="1"/>
      <w:numFmt w:val="decimal"/>
      <w:pStyle w:val="CETnumbering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015B5"/>
    <w:multiLevelType w:val="hybridMultilevel"/>
    <w:tmpl w:val="CCDE09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65266D"/>
    <w:multiLevelType w:val="hybridMultilevel"/>
    <w:tmpl w:val="F5BE3C4A"/>
    <w:lvl w:ilvl="0" w:tplc="9FC4D28C">
      <w:start w:val="1"/>
      <w:numFmt w:val="lowerLetter"/>
      <w:pStyle w:val="CETnumberinga"/>
      <w:lvlText w:val="%1."/>
      <w:lvlJc w:val="left"/>
      <w:pPr>
        <w:ind w:left="340" w:hanging="22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2"/>
  </w:num>
  <w:num w:numId="14">
    <w:abstractNumId w:val="17"/>
  </w:num>
  <w:num w:numId="15">
    <w:abstractNumId w:val="19"/>
  </w:num>
  <w:num w:numId="16">
    <w:abstractNumId w:val="18"/>
  </w:num>
  <w:num w:numId="17">
    <w:abstractNumId w:val="11"/>
  </w:num>
  <w:num w:numId="18">
    <w:abstractNumId w:val="12"/>
    <w:lvlOverride w:ilvl="0">
      <w:startOverride w:val="1"/>
    </w:lvlOverride>
  </w:num>
  <w:num w:numId="19">
    <w:abstractNumId w:val="15"/>
  </w:num>
  <w:num w:numId="20">
    <w:abstractNumId w:val="14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283"/>
  <w:clickAndTypeStyle w:val="CETBodytex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NzezsDA3M7MwMTJW0lEKTi0uzszPAymwrAUAugS3IywAAAA="/>
  </w:docVars>
  <w:rsids>
    <w:rsidRoot w:val="000E414A"/>
    <w:rsid w:val="000001DD"/>
    <w:rsid w:val="000027C0"/>
    <w:rsid w:val="000052FB"/>
    <w:rsid w:val="00010F40"/>
    <w:rsid w:val="000117CB"/>
    <w:rsid w:val="0003148D"/>
    <w:rsid w:val="000342C1"/>
    <w:rsid w:val="00042DFE"/>
    <w:rsid w:val="000431AE"/>
    <w:rsid w:val="00047D7F"/>
    <w:rsid w:val="00051566"/>
    <w:rsid w:val="000546C3"/>
    <w:rsid w:val="00062A9A"/>
    <w:rsid w:val="00063459"/>
    <w:rsid w:val="00065058"/>
    <w:rsid w:val="0007187A"/>
    <w:rsid w:val="0008666B"/>
    <w:rsid w:val="00086C39"/>
    <w:rsid w:val="000A03B2"/>
    <w:rsid w:val="000A3B79"/>
    <w:rsid w:val="000B2E04"/>
    <w:rsid w:val="000C0A5C"/>
    <w:rsid w:val="000C4817"/>
    <w:rsid w:val="000D34BE"/>
    <w:rsid w:val="000D3761"/>
    <w:rsid w:val="000E102F"/>
    <w:rsid w:val="000E36F1"/>
    <w:rsid w:val="000E3A73"/>
    <w:rsid w:val="000E414A"/>
    <w:rsid w:val="000F093C"/>
    <w:rsid w:val="000F16BD"/>
    <w:rsid w:val="000F787B"/>
    <w:rsid w:val="0012091F"/>
    <w:rsid w:val="00126BC2"/>
    <w:rsid w:val="001308B6"/>
    <w:rsid w:val="0013121F"/>
    <w:rsid w:val="00131FAB"/>
    <w:rsid w:val="00131FE6"/>
    <w:rsid w:val="0013263F"/>
    <w:rsid w:val="00134DE4"/>
    <w:rsid w:val="0014034D"/>
    <w:rsid w:val="00145A01"/>
    <w:rsid w:val="001469EF"/>
    <w:rsid w:val="00150E59"/>
    <w:rsid w:val="00152DE3"/>
    <w:rsid w:val="00152E59"/>
    <w:rsid w:val="00154B79"/>
    <w:rsid w:val="00156136"/>
    <w:rsid w:val="00164CF9"/>
    <w:rsid w:val="00172269"/>
    <w:rsid w:val="00184AD6"/>
    <w:rsid w:val="001A1CA7"/>
    <w:rsid w:val="001B0349"/>
    <w:rsid w:val="001B65C1"/>
    <w:rsid w:val="001C684B"/>
    <w:rsid w:val="001D0E50"/>
    <w:rsid w:val="001D53FC"/>
    <w:rsid w:val="001E0497"/>
    <w:rsid w:val="001E144B"/>
    <w:rsid w:val="001E2A08"/>
    <w:rsid w:val="001F42A5"/>
    <w:rsid w:val="001F7B9D"/>
    <w:rsid w:val="002106DC"/>
    <w:rsid w:val="00211936"/>
    <w:rsid w:val="00213EE2"/>
    <w:rsid w:val="0021500E"/>
    <w:rsid w:val="002224B4"/>
    <w:rsid w:val="00227DA1"/>
    <w:rsid w:val="002447EF"/>
    <w:rsid w:val="002478A9"/>
    <w:rsid w:val="00251550"/>
    <w:rsid w:val="00252C1A"/>
    <w:rsid w:val="00254526"/>
    <w:rsid w:val="00261E7C"/>
    <w:rsid w:val="00263B05"/>
    <w:rsid w:val="00264528"/>
    <w:rsid w:val="0027221A"/>
    <w:rsid w:val="00273B6B"/>
    <w:rsid w:val="002743D8"/>
    <w:rsid w:val="00275B61"/>
    <w:rsid w:val="00280385"/>
    <w:rsid w:val="00282656"/>
    <w:rsid w:val="00296B83"/>
    <w:rsid w:val="00296D5E"/>
    <w:rsid w:val="002B78CE"/>
    <w:rsid w:val="002C2FB6"/>
    <w:rsid w:val="002C5902"/>
    <w:rsid w:val="002D2742"/>
    <w:rsid w:val="002D5BCD"/>
    <w:rsid w:val="002E6C5C"/>
    <w:rsid w:val="002F4C27"/>
    <w:rsid w:val="003009B7"/>
    <w:rsid w:val="00300E56"/>
    <w:rsid w:val="003026BC"/>
    <w:rsid w:val="003036BA"/>
    <w:rsid w:val="0030469C"/>
    <w:rsid w:val="00321CA6"/>
    <w:rsid w:val="00334C09"/>
    <w:rsid w:val="003365E3"/>
    <w:rsid w:val="003723D4"/>
    <w:rsid w:val="00372683"/>
    <w:rsid w:val="00384CC8"/>
    <w:rsid w:val="003871FD"/>
    <w:rsid w:val="003A1E30"/>
    <w:rsid w:val="003A7D1C"/>
    <w:rsid w:val="003B304B"/>
    <w:rsid w:val="003B3146"/>
    <w:rsid w:val="003B60F3"/>
    <w:rsid w:val="003B7A4F"/>
    <w:rsid w:val="003C2E5C"/>
    <w:rsid w:val="003C72F4"/>
    <w:rsid w:val="003E4EE9"/>
    <w:rsid w:val="003F015E"/>
    <w:rsid w:val="003F44D6"/>
    <w:rsid w:val="003F460F"/>
    <w:rsid w:val="00400414"/>
    <w:rsid w:val="00404BC8"/>
    <w:rsid w:val="004100DF"/>
    <w:rsid w:val="00410602"/>
    <w:rsid w:val="0041446B"/>
    <w:rsid w:val="0044329C"/>
    <w:rsid w:val="00451B8C"/>
    <w:rsid w:val="00451E82"/>
    <w:rsid w:val="004577FE"/>
    <w:rsid w:val="00457B9C"/>
    <w:rsid w:val="00461487"/>
    <w:rsid w:val="0046164A"/>
    <w:rsid w:val="004628D2"/>
    <w:rsid w:val="00462DCD"/>
    <w:rsid w:val="004648AD"/>
    <w:rsid w:val="004703A9"/>
    <w:rsid w:val="004760DE"/>
    <w:rsid w:val="004804B4"/>
    <w:rsid w:val="004A004E"/>
    <w:rsid w:val="004A24CF"/>
    <w:rsid w:val="004B6721"/>
    <w:rsid w:val="004B756D"/>
    <w:rsid w:val="004C3D1D"/>
    <w:rsid w:val="004C7913"/>
    <w:rsid w:val="004E4DD6"/>
    <w:rsid w:val="004F050D"/>
    <w:rsid w:val="004F5E36"/>
    <w:rsid w:val="00501267"/>
    <w:rsid w:val="005060F5"/>
    <w:rsid w:val="00507B47"/>
    <w:rsid w:val="00507CC9"/>
    <w:rsid w:val="005119A5"/>
    <w:rsid w:val="0052116F"/>
    <w:rsid w:val="00521596"/>
    <w:rsid w:val="005278B7"/>
    <w:rsid w:val="0053197F"/>
    <w:rsid w:val="00532016"/>
    <w:rsid w:val="005336A3"/>
    <w:rsid w:val="005346C8"/>
    <w:rsid w:val="00543E7D"/>
    <w:rsid w:val="00546B05"/>
    <w:rsid w:val="00547A68"/>
    <w:rsid w:val="005531C9"/>
    <w:rsid w:val="005628D9"/>
    <w:rsid w:val="00562E44"/>
    <w:rsid w:val="00564396"/>
    <w:rsid w:val="00582F51"/>
    <w:rsid w:val="00583964"/>
    <w:rsid w:val="00596A23"/>
    <w:rsid w:val="005B2110"/>
    <w:rsid w:val="005B4A29"/>
    <w:rsid w:val="005B61E6"/>
    <w:rsid w:val="005B7ACE"/>
    <w:rsid w:val="005C2DED"/>
    <w:rsid w:val="005C6BCA"/>
    <w:rsid w:val="005C77E1"/>
    <w:rsid w:val="005D51C9"/>
    <w:rsid w:val="005D6A2F"/>
    <w:rsid w:val="005E1A82"/>
    <w:rsid w:val="005E2F49"/>
    <w:rsid w:val="005E66C8"/>
    <w:rsid w:val="005E794C"/>
    <w:rsid w:val="005F0A28"/>
    <w:rsid w:val="005F0E5E"/>
    <w:rsid w:val="00600535"/>
    <w:rsid w:val="00610CD6"/>
    <w:rsid w:val="00620DEE"/>
    <w:rsid w:val="00621F92"/>
    <w:rsid w:val="00625639"/>
    <w:rsid w:val="00631B33"/>
    <w:rsid w:val="0064184D"/>
    <w:rsid w:val="006422CC"/>
    <w:rsid w:val="00643EDF"/>
    <w:rsid w:val="006473B8"/>
    <w:rsid w:val="0065388A"/>
    <w:rsid w:val="00660E3E"/>
    <w:rsid w:val="00662E74"/>
    <w:rsid w:val="00680C23"/>
    <w:rsid w:val="00683D7D"/>
    <w:rsid w:val="00693766"/>
    <w:rsid w:val="006A3281"/>
    <w:rsid w:val="006A4448"/>
    <w:rsid w:val="006B184E"/>
    <w:rsid w:val="006B2728"/>
    <w:rsid w:val="006B2F7B"/>
    <w:rsid w:val="006B4888"/>
    <w:rsid w:val="006C2E45"/>
    <w:rsid w:val="006C359C"/>
    <w:rsid w:val="006C5579"/>
    <w:rsid w:val="006E737D"/>
    <w:rsid w:val="0070195D"/>
    <w:rsid w:val="00720A24"/>
    <w:rsid w:val="00721585"/>
    <w:rsid w:val="00732386"/>
    <w:rsid w:val="007447F3"/>
    <w:rsid w:val="0075499F"/>
    <w:rsid w:val="007661C8"/>
    <w:rsid w:val="007703CC"/>
    <w:rsid w:val="0077098D"/>
    <w:rsid w:val="00773B29"/>
    <w:rsid w:val="00780C97"/>
    <w:rsid w:val="00780E8F"/>
    <w:rsid w:val="00781D50"/>
    <w:rsid w:val="007931FA"/>
    <w:rsid w:val="007A59E0"/>
    <w:rsid w:val="007A7BBA"/>
    <w:rsid w:val="007B0C50"/>
    <w:rsid w:val="007B1089"/>
    <w:rsid w:val="007C1A43"/>
    <w:rsid w:val="007D2CEB"/>
    <w:rsid w:val="007E1DC6"/>
    <w:rsid w:val="007E4DDD"/>
    <w:rsid w:val="0080345A"/>
    <w:rsid w:val="008059D2"/>
    <w:rsid w:val="00813288"/>
    <w:rsid w:val="008168FC"/>
    <w:rsid w:val="00824AE0"/>
    <w:rsid w:val="00830996"/>
    <w:rsid w:val="008345F1"/>
    <w:rsid w:val="00865B07"/>
    <w:rsid w:val="008667EA"/>
    <w:rsid w:val="00872613"/>
    <w:rsid w:val="00873810"/>
    <w:rsid w:val="0087637F"/>
    <w:rsid w:val="008904B9"/>
    <w:rsid w:val="00892AD5"/>
    <w:rsid w:val="008A1512"/>
    <w:rsid w:val="008A44AA"/>
    <w:rsid w:val="008A628A"/>
    <w:rsid w:val="008C78C1"/>
    <w:rsid w:val="008C7B93"/>
    <w:rsid w:val="008D0EDE"/>
    <w:rsid w:val="008D32B9"/>
    <w:rsid w:val="008D433B"/>
    <w:rsid w:val="008D7E86"/>
    <w:rsid w:val="008E566E"/>
    <w:rsid w:val="008F200A"/>
    <w:rsid w:val="008F41F9"/>
    <w:rsid w:val="0090161A"/>
    <w:rsid w:val="00901EB6"/>
    <w:rsid w:val="0090205F"/>
    <w:rsid w:val="00904C62"/>
    <w:rsid w:val="00910781"/>
    <w:rsid w:val="00911BD5"/>
    <w:rsid w:val="00924DAC"/>
    <w:rsid w:val="00927058"/>
    <w:rsid w:val="00930790"/>
    <w:rsid w:val="009310C4"/>
    <w:rsid w:val="009450CE"/>
    <w:rsid w:val="00947179"/>
    <w:rsid w:val="0095164B"/>
    <w:rsid w:val="00952B5E"/>
    <w:rsid w:val="00954090"/>
    <w:rsid w:val="009573E7"/>
    <w:rsid w:val="009635B9"/>
    <w:rsid w:val="00963E05"/>
    <w:rsid w:val="00967D54"/>
    <w:rsid w:val="0097133F"/>
    <w:rsid w:val="00996112"/>
    <w:rsid w:val="00996483"/>
    <w:rsid w:val="00996F5A"/>
    <w:rsid w:val="009A0A3E"/>
    <w:rsid w:val="009A5DBA"/>
    <w:rsid w:val="009B041A"/>
    <w:rsid w:val="009B7DE8"/>
    <w:rsid w:val="009C7C86"/>
    <w:rsid w:val="009D2FF7"/>
    <w:rsid w:val="009D4AA2"/>
    <w:rsid w:val="009E7884"/>
    <w:rsid w:val="009E788A"/>
    <w:rsid w:val="009F0E08"/>
    <w:rsid w:val="00A10FF8"/>
    <w:rsid w:val="00A161A9"/>
    <w:rsid w:val="00A1763D"/>
    <w:rsid w:val="00A17CEC"/>
    <w:rsid w:val="00A27EF0"/>
    <w:rsid w:val="00A30D32"/>
    <w:rsid w:val="00A30F98"/>
    <w:rsid w:val="00A44F35"/>
    <w:rsid w:val="00A50167"/>
    <w:rsid w:val="00A50B20"/>
    <w:rsid w:val="00A51390"/>
    <w:rsid w:val="00A5670B"/>
    <w:rsid w:val="00A60D13"/>
    <w:rsid w:val="00A72745"/>
    <w:rsid w:val="00A76EFC"/>
    <w:rsid w:val="00A80F23"/>
    <w:rsid w:val="00A91010"/>
    <w:rsid w:val="00A97F29"/>
    <w:rsid w:val="00AA702E"/>
    <w:rsid w:val="00AB0964"/>
    <w:rsid w:val="00AB5011"/>
    <w:rsid w:val="00AC7368"/>
    <w:rsid w:val="00AD101D"/>
    <w:rsid w:val="00AD16B9"/>
    <w:rsid w:val="00AD2F4F"/>
    <w:rsid w:val="00AE1D04"/>
    <w:rsid w:val="00AE3302"/>
    <w:rsid w:val="00AE377D"/>
    <w:rsid w:val="00B10DDD"/>
    <w:rsid w:val="00B12C64"/>
    <w:rsid w:val="00B15BCD"/>
    <w:rsid w:val="00B17FBD"/>
    <w:rsid w:val="00B30B90"/>
    <w:rsid w:val="00B315A6"/>
    <w:rsid w:val="00B31813"/>
    <w:rsid w:val="00B33365"/>
    <w:rsid w:val="00B57B36"/>
    <w:rsid w:val="00B6006C"/>
    <w:rsid w:val="00B74E54"/>
    <w:rsid w:val="00B74EF0"/>
    <w:rsid w:val="00B7719B"/>
    <w:rsid w:val="00B8686D"/>
    <w:rsid w:val="00BA1C14"/>
    <w:rsid w:val="00BA6633"/>
    <w:rsid w:val="00BB24EB"/>
    <w:rsid w:val="00BC07F8"/>
    <w:rsid w:val="00BC302D"/>
    <w:rsid w:val="00BC30C9"/>
    <w:rsid w:val="00BC3DD9"/>
    <w:rsid w:val="00BC474B"/>
    <w:rsid w:val="00BD1993"/>
    <w:rsid w:val="00BE2E8E"/>
    <w:rsid w:val="00BE3E58"/>
    <w:rsid w:val="00BF4D83"/>
    <w:rsid w:val="00C01616"/>
    <w:rsid w:val="00C0162B"/>
    <w:rsid w:val="00C03853"/>
    <w:rsid w:val="00C10FE4"/>
    <w:rsid w:val="00C303B0"/>
    <w:rsid w:val="00C345B1"/>
    <w:rsid w:val="00C35B70"/>
    <w:rsid w:val="00C40142"/>
    <w:rsid w:val="00C50DD4"/>
    <w:rsid w:val="00C57182"/>
    <w:rsid w:val="00C57863"/>
    <w:rsid w:val="00C655FD"/>
    <w:rsid w:val="00C82143"/>
    <w:rsid w:val="00C870A8"/>
    <w:rsid w:val="00C94434"/>
    <w:rsid w:val="00CA0D75"/>
    <w:rsid w:val="00CA1C95"/>
    <w:rsid w:val="00CA5A9C"/>
    <w:rsid w:val="00CD3517"/>
    <w:rsid w:val="00CD5A00"/>
    <w:rsid w:val="00CD5FE2"/>
    <w:rsid w:val="00CD7A9D"/>
    <w:rsid w:val="00CE7C68"/>
    <w:rsid w:val="00D01186"/>
    <w:rsid w:val="00D02B4C"/>
    <w:rsid w:val="00D040C4"/>
    <w:rsid w:val="00D42510"/>
    <w:rsid w:val="00D57C84"/>
    <w:rsid w:val="00D6057D"/>
    <w:rsid w:val="00D70CEA"/>
    <w:rsid w:val="00D84576"/>
    <w:rsid w:val="00D86EDC"/>
    <w:rsid w:val="00D9702C"/>
    <w:rsid w:val="00DA1399"/>
    <w:rsid w:val="00DA1F23"/>
    <w:rsid w:val="00DA2491"/>
    <w:rsid w:val="00DA24C6"/>
    <w:rsid w:val="00DA4D7B"/>
    <w:rsid w:val="00DA755E"/>
    <w:rsid w:val="00DC5279"/>
    <w:rsid w:val="00DD27B5"/>
    <w:rsid w:val="00DD5DA6"/>
    <w:rsid w:val="00DD65FB"/>
    <w:rsid w:val="00DE264A"/>
    <w:rsid w:val="00DE7E24"/>
    <w:rsid w:val="00E02CF4"/>
    <w:rsid w:val="00E02D18"/>
    <w:rsid w:val="00E041E7"/>
    <w:rsid w:val="00E23CA1"/>
    <w:rsid w:val="00E25663"/>
    <w:rsid w:val="00E3134E"/>
    <w:rsid w:val="00E34EAA"/>
    <w:rsid w:val="00E368DB"/>
    <w:rsid w:val="00E409A8"/>
    <w:rsid w:val="00E42831"/>
    <w:rsid w:val="00E50C12"/>
    <w:rsid w:val="00E63C26"/>
    <w:rsid w:val="00E65229"/>
    <w:rsid w:val="00E65B91"/>
    <w:rsid w:val="00E7209D"/>
    <w:rsid w:val="00E77223"/>
    <w:rsid w:val="00E8528B"/>
    <w:rsid w:val="00E85B94"/>
    <w:rsid w:val="00E966D4"/>
    <w:rsid w:val="00E978D0"/>
    <w:rsid w:val="00EA2144"/>
    <w:rsid w:val="00EA352A"/>
    <w:rsid w:val="00EA4613"/>
    <w:rsid w:val="00EA7F91"/>
    <w:rsid w:val="00EB1523"/>
    <w:rsid w:val="00EB1683"/>
    <w:rsid w:val="00EC0E49"/>
    <w:rsid w:val="00EC6227"/>
    <w:rsid w:val="00EE0131"/>
    <w:rsid w:val="00EE1A22"/>
    <w:rsid w:val="00F155B2"/>
    <w:rsid w:val="00F25F10"/>
    <w:rsid w:val="00F30C64"/>
    <w:rsid w:val="00F32CDB"/>
    <w:rsid w:val="00F35D23"/>
    <w:rsid w:val="00F36D1A"/>
    <w:rsid w:val="00F43DDE"/>
    <w:rsid w:val="00F511E2"/>
    <w:rsid w:val="00F519D8"/>
    <w:rsid w:val="00F63A70"/>
    <w:rsid w:val="00F93A98"/>
    <w:rsid w:val="00FA21D0"/>
    <w:rsid w:val="00FA48FC"/>
    <w:rsid w:val="00FA5F5F"/>
    <w:rsid w:val="00FB5D86"/>
    <w:rsid w:val="00FB6561"/>
    <w:rsid w:val="00FB730C"/>
    <w:rsid w:val="00FC2695"/>
    <w:rsid w:val="00FC3E03"/>
    <w:rsid w:val="00FC3FC1"/>
    <w:rsid w:val="00FC414E"/>
    <w:rsid w:val="00FD25A4"/>
    <w:rsid w:val="00FE1F61"/>
    <w:rsid w:val="00FE4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4B7675-6A76-497E-AFEC-0C2D8752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ET Top_page"/>
    <w:rsid w:val="00620DEE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ing1">
    <w:name w:val="heading 1"/>
    <w:basedOn w:val="CETHeading1"/>
    <w:next w:val="Normal"/>
    <w:link w:val="Heading1Char"/>
    <w:uiPriority w:val="9"/>
    <w:rsid w:val="004F5E36"/>
    <w:pPr>
      <w:tabs>
        <w:tab w:val="clear" w:pos="360"/>
        <w:tab w:val="right" w:pos="7100"/>
      </w:tabs>
      <w:jc w:val="both"/>
      <w:outlineLvl w:val="0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4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4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4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4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4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4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4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TAuthors">
    <w:name w:val="CET Authors"/>
    <w:basedOn w:val="CETBodytext"/>
    <w:link w:val="CETAuthorsCarattere"/>
    <w:qFormat/>
    <w:rsid w:val="000E414A"/>
    <w:pPr>
      <w:keepNext/>
      <w:suppressAutoHyphens/>
      <w:spacing w:after="120"/>
    </w:pPr>
    <w:rPr>
      <w:noProof/>
      <w:sz w:val="24"/>
      <w:lang w:val="en-GB"/>
    </w:rPr>
  </w:style>
  <w:style w:type="paragraph" w:customStyle="1" w:styleId="CETTitle">
    <w:name w:val="CET Title"/>
    <w:next w:val="CETAuthors"/>
    <w:link w:val="CETTitleCarattere"/>
    <w:rsid w:val="00FB730C"/>
    <w:pPr>
      <w:suppressAutoHyphens/>
      <w:spacing w:before="480" w:after="120" w:line="264" w:lineRule="auto"/>
      <w:jc w:val="center"/>
      <w:outlineLvl w:val="0"/>
    </w:pPr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CETAuthorsCarattere">
    <w:name w:val="CET Authors Carattere"/>
    <w:link w:val="CETAuthors"/>
    <w:rsid w:val="009E788A"/>
    <w:rPr>
      <w:rFonts w:ascii="Arial" w:eastAsia="Times New Roman" w:hAnsi="Arial" w:cs="Times New Roman"/>
      <w:noProof/>
      <w:sz w:val="24"/>
      <w:szCs w:val="20"/>
      <w:lang w:val="en-GB"/>
    </w:rPr>
  </w:style>
  <w:style w:type="character" w:customStyle="1" w:styleId="CETTitleCarattere">
    <w:name w:val="CET Title Carattere"/>
    <w:link w:val="CETTitle"/>
    <w:rsid w:val="00FB730C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CETHeading1">
    <w:name w:val="CET Heading1"/>
    <w:next w:val="CETBodytext"/>
    <w:qFormat/>
    <w:rsid w:val="009E788A"/>
    <w:pPr>
      <w:keepNext/>
      <w:numPr>
        <w:ilvl w:val="1"/>
        <w:numId w:val="1"/>
      </w:numPr>
      <w:tabs>
        <w:tab w:val="num" w:pos="360"/>
      </w:tabs>
      <w:suppressAutoHyphens/>
      <w:spacing w:before="240" w:after="12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CETBodytext">
    <w:name w:val="CET Body text"/>
    <w:link w:val="CETBodytextCarattere"/>
    <w:qFormat/>
    <w:rsid w:val="000E414A"/>
    <w:pPr>
      <w:tabs>
        <w:tab w:val="right" w:pos="7100"/>
      </w:tabs>
      <w:spacing w:after="0" w:line="264" w:lineRule="auto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headingx">
    <w:name w:val="CET headingx"/>
    <w:next w:val="CETBodytext"/>
    <w:link w:val="CETheadingxCarattere"/>
    <w:autoRedefine/>
    <w:qFormat/>
    <w:rsid w:val="00FA5F5F"/>
    <w:pPr>
      <w:keepNext/>
      <w:numPr>
        <w:ilvl w:val="2"/>
        <w:numId w:val="1"/>
      </w:numPr>
      <w:suppressAutoHyphens/>
      <w:spacing w:before="120" w:after="120" w:line="240" w:lineRule="auto"/>
    </w:pPr>
    <w:rPr>
      <w:rFonts w:ascii="Arial" w:eastAsia="Times New Roman" w:hAnsi="Arial" w:cs="Times New Roman"/>
      <w:b/>
      <w:sz w:val="18"/>
      <w:szCs w:val="20"/>
      <w:lang w:val="en-US"/>
    </w:rPr>
  </w:style>
  <w:style w:type="paragraph" w:customStyle="1" w:styleId="CETAddress">
    <w:name w:val="CET Address"/>
    <w:link w:val="CETAddressCarattere"/>
    <w:qFormat/>
    <w:rsid w:val="009E788A"/>
    <w:pPr>
      <w:keepNext/>
      <w:suppressAutoHyphens/>
      <w:spacing w:after="0"/>
      <w:contextualSpacing/>
    </w:pPr>
    <w:rPr>
      <w:rFonts w:ascii="Arial" w:eastAsia="Times New Roman" w:hAnsi="Arial" w:cs="Times New Roman"/>
      <w:noProof/>
      <w:sz w:val="16"/>
      <w:szCs w:val="20"/>
      <w:lang w:val="en-GB"/>
    </w:rPr>
  </w:style>
  <w:style w:type="table" w:styleId="TableSimple1">
    <w:name w:val="Table Simple 1"/>
    <w:basedOn w:val="TableNormal"/>
    <w:semiHidden/>
    <w:rsid w:val="000E414A"/>
    <w:pPr>
      <w:numPr>
        <w:ilvl w:val="3"/>
        <w:numId w:val="1"/>
      </w:num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CETBodytextCarattere">
    <w:name w:val="CET Body text Carattere"/>
    <w:link w:val="CETBodytext"/>
    <w:rsid w:val="000E414A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Reference">
    <w:name w:val="CET Reference"/>
    <w:qFormat/>
    <w:rsid w:val="00FC2695"/>
    <w:pPr>
      <w:spacing w:before="200" w:after="120" w:line="240" w:lineRule="auto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Caption">
    <w:name w:val="CET Caption"/>
    <w:link w:val="CETCaptionCarattere"/>
    <w:qFormat/>
    <w:rsid w:val="009E788A"/>
    <w:pPr>
      <w:spacing w:before="240" w:after="240" w:line="264" w:lineRule="auto"/>
      <w:jc w:val="both"/>
    </w:pPr>
    <w:rPr>
      <w:rFonts w:ascii="Arial" w:eastAsia="Times New Roman" w:hAnsi="Arial" w:cs="Times New Roman"/>
      <w:i/>
      <w:sz w:val="18"/>
      <w:szCs w:val="20"/>
      <w:lang w:val="en-GB"/>
    </w:rPr>
  </w:style>
  <w:style w:type="character" w:customStyle="1" w:styleId="CETheadingxCarattere">
    <w:name w:val="CET headingx Carattere"/>
    <w:link w:val="CETheadingx"/>
    <w:rsid w:val="00FA5F5F"/>
    <w:rPr>
      <w:rFonts w:ascii="Arial" w:eastAsia="Times New Roman" w:hAnsi="Arial" w:cs="Times New Roman"/>
      <w:b/>
      <w:sz w:val="18"/>
      <w:szCs w:val="20"/>
      <w:lang w:val="en-US"/>
    </w:rPr>
  </w:style>
  <w:style w:type="character" w:customStyle="1" w:styleId="CETCaptionCarattere">
    <w:name w:val="CET Caption Carattere"/>
    <w:link w:val="CETCaption"/>
    <w:rsid w:val="009E788A"/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BodytextItalic">
    <w:name w:val="CET Body text (Italic)"/>
    <w:basedOn w:val="CETBodytext"/>
    <w:qFormat/>
    <w:rsid w:val="004F5E36"/>
    <w:rPr>
      <w:i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577F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4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4BE"/>
    <w:rPr>
      <w:rFonts w:ascii="Tahoma" w:hAnsi="Tahoma" w:cs="Tahoma"/>
      <w:sz w:val="16"/>
      <w:szCs w:val="16"/>
    </w:rPr>
  </w:style>
  <w:style w:type="paragraph" w:styleId="Bibliography">
    <w:name w:val="Bibliography"/>
    <w:basedOn w:val="CETReferencetext"/>
    <w:uiPriority w:val="37"/>
    <w:unhideWhenUsed/>
    <w:rsid w:val="00631B33"/>
    <w:pPr>
      <w:spacing w:line="240" w:lineRule="auto"/>
      <w:ind w:left="720" w:hanging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314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3148D"/>
  </w:style>
  <w:style w:type="paragraph" w:styleId="BodyText3">
    <w:name w:val="Body Text 3"/>
    <w:basedOn w:val="Normal"/>
    <w:link w:val="BodyText3Char"/>
    <w:uiPriority w:val="99"/>
    <w:semiHidden/>
    <w:unhideWhenUsed/>
    <w:rsid w:val="000314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3148D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0314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3148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3148D"/>
  </w:style>
  <w:style w:type="character" w:customStyle="1" w:styleId="DateChar">
    <w:name w:val="Date Char"/>
    <w:basedOn w:val="DefaultParagraphFont"/>
    <w:link w:val="Date"/>
    <w:uiPriority w:val="99"/>
    <w:semiHidden/>
    <w:rsid w:val="0003148D"/>
  </w:style>
  <w:style w:type="paragraph" w:styleId="Caption">
    <w:name w:val="caption"/>
    <w:basedOn w:val="Normal"/>
    <w:next w:val="Normal"/>
    <w:uiPriority w:val="35"/>
    <w:semiHidden/>
    <w:unhideWhenUsed/>
    <w:qFormat/>
    <w:rsid w:val="0003148D"/>
    <w:pPr>
      <w:spacing w:line="240" w:lineRule="auto"/>
    </w:pPr>
    <w:rPr>
      <w:b/>
      <w:bCs/>
      <w:color w:val="4F81BD" w:themeColor="accent1"/>
      <w:szCs w:val="18"/>
    </w:rPr>
  </w:style>
  <w:style w:type="paragraph" w:styleId="List">
    <w:name w:val="List"/>
    <w:basedOn w:val="Normal"/>
    <w:uiPriority w:val="99"/>
    <w:semiHidden/>
    <w:unhideWhenUsed/>
    <w:rsid w:val="0003148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3148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3148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3148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3148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3148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3148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3148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3148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3148D"/>
    <w:pPr>
      <w:spacing w:after="120"/>
      <w:ind w:left="1415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3148D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3148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3148D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314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3148D"/>
  </w:style>
  <w:style w:type="paragraph" w:styleId="Closing">
    <w:name w:val="Closing"/>
    <w:basedOn w:val="Normal"/>
    <w:link w:val="ClosingChar"/>
    <w:uiPriority w:val="99"/>
    <w:semiHidden/>
    <w:unhideWhenUsed/>
    <w:rsid w:val="0003148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3148D"/>
  </w:style>
  <w:style w:type="paragraph" w:styleId="Index1">
    <w:name w:val="index 1"/>
    <w:basedOn w:val="Normal"/>
    <w:next w:val="Normal"/>
    <w:autoRedefine/>
    <w:uiPriority w:val="99"/>
    <w:semiHidden/>
    <w:unhideWhenUsed/>
    <w:rsid w:val="0003148D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3148D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3148D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3148D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3148D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3148D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3148D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3148D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3148D"/>
    <w:pPr>
      <w:spacing w:line="240" w:lineRule="auto"/>
      <w:ind w:left="198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3148D"/>
  </w:style>
  <w:style w:type="paragraph" w:styleId="TableofAuthorities">
    <w:name w:val="table of authorities"/>
    <w:basedOn w:val="Normal"/>
    <w:next w:val="Normal"/>
    <w:uiPriority w:val="99"/>
    <w:semiHidden/>
    <w:unhideWhenUsed/>
    <w:rsid w:val="0003148D"/>
    <w:pPr>
      <w:ind w:left="220" w:hanging="220"/>
    </w:pPr>
  </w:style>
  <w:style w:type="paragraph" w:styleId="EnvelopeAddress">
    <w:name w:val="envelope address"/>
    <w:basedOn w:val="Normal"/>
    <w:uiPriority w:val="99"/>
    <w:semiHidden/>
    <w:unhideWhenUsed/>
    <w:rsid w:val="0003148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3148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3148D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03148D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31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3148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3148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3148D"/>
  </w:style>
  <w:style w:type="paragraph" w:styleId="DocumentMap">
    <w:name w:val="Document Map"/>
    <w:basedOn w:val="Normal"/>
    <w:link w:val="DocumentMapChar"/>
    <w:uiPriority w:val="99"/>
    <w:semiHidden/>
    <w:unhideWhenUsed/>
    <w:rsid w:val="000314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14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3148D"/>
    <w:rPr>
      <w:sz w:val="24"/>
      <w:szCs w:val="24"/>
    </w:rPr>
  </w:style>
  <w:style w:type="paragraph" w:styleId="ListNumber">
    <w:name w:val="List Number"/>
    <w:basedOn w:val="Normal"/>
    <w:uiPriority w:val="99"/>
    <w:semiHidden/>
    <w:unhideWhenUsed/>
    <w:rsid w:val="0003148D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3148D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3148D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3148D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3148D"/>
    <w:pPr>
      <w:numPr>
        <w:numId w:val="6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148D"/>
    <w:pPr>
      <w:spacing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3148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3148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148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48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3148D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3148D"/>
  </w:style>
  <w:style w:type="paragraph" w:styleId="ListBullet">
    <w:name w:val="List Bullet"/>
    <w:basedOn w:val="Normal"/>
    <w:uiPriority w:val="99"/>
    <w:semiHidden/>
    <w:unhideWhenUsed/>
    <w:rsid w:val="0003148D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3148D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3148D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3148D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3148D"/>
    <w:pPr>
      <w:numPr>
        <w:numId w:val="11"/>
      </w:numPr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148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148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314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3148D"/>
    <w:rPr>
      <w:sz w:val="16"/>
      <w:szCs w:val="16"/>
    </w:rPr>
  </w:style>
  <w:style w:type="paragraph" w:styleId="NormalIndent">
    <w:name w:val="Normal Indent"/>
    <w:basedOn w:val="Normal"/>
    <w:uiPriority w:val="99"/>
    <w:semiHidden/>
    <w:unhideWhenUsed/>
    <w:rsid w:val="0003148D"/>
    <w:pPr>
      <w:ind w:left="720"/>
    </w:pPr>
  </w:style>
  <w:style w:type="paragraph" w:styleId="CommentText">
    <w:name w:val="annotation text"/>
    <w:basedOn w:val="Normal"/>
    <w:link w:val="CommentTextChar"/>
    <w:uiPriority w:val="99"/>
    <w:unhideWhenUsed/>
    <w:rsid w:val="0003148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314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8D"/>
    <w:rPr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314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314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314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314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314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314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314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314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3148D"/>
    <w:pPr>
      <w:spacing w:after="100"/>
      <w:ind w:left="1760"/>
    </w:pPr>
  </w:style>
  <w:style w:type="paragraph" w:styleId="BlockText">
    <w:name w:val="Block Text"/>
    <w:basedOn w:val="Normal"/>
    <w:uiPriority w:val="99"/>
    <w:semiHidden/>
    <w:unhideWhenUsed/>
    <w:rsid w:val="000314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croText">
    <w:name w:val="macro"/>
    <w:link w:val="MacroTextChar"/>
    <w:uiPriority w:val="99"/>
    <w:semiHidden/>
    <w:unhideWhenUsed/>
    <w:rsid w:val="000314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3148D"/>
    <w:rPr>
      <w:rFonts w:ascii="Consolas" w:hAnsi="Consolas" w:cs="Consolas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148D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148D"/>
    <w:rPr>
      <w:rFonts w:ascii="Consolas" w:hAnsi="Consolas" w:cs="Consolas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148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148D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148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3148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5E36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4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4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4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4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4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3148D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0314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148D"/>
    <w:pPr>
      <w:outlineLvl w:val="9"/>
    </w:pPr>
  </w:style>
  <w:style w:type="paragraph" w:customStyle="1" w:styleId="CETemail">
    <w:name w:val="CET email"/>
    <w:next w:val="CETBodytext"/>
    <w:rsid w:val="009E788A"/>
    <w:pPr>
      <w:spacing w:after="240"/>
    </w:pPr>
    <w:rPr>
      <w:rFonts w:ascii="Arial" w:eastAsia="Times New Roman" w:hAnsi="Arial" w:cs="Times New Roman"/>
      <w:noProof/>
      <w:sz w:val="16"/>
      <w:szCs w:val="20"/>
      <w:lang w:val="en-GB"/>
    </w:rPr>
  </w:style>
  <w:style w:type="character" w:customStyle="1" w:styleId="CETAddressCarattere">
    <w:name w:val="CET Address Carattere"/>
    <w:basedOn w:val="DefaultParagraphFont"/>
    <w:link w:val="CETAddress"/>
    <w:rsid w:val="009E788A"/>
    <w:rPr>
      <w:rFonts w:ascii="Arial" w:eastAsia="Times New Roman" w:hAnsi="Arial" w:cs="Times New Roman"/>
      <w:noProof/>
      <w:sz w:val="16"/>
      <w:szCs w:val="20"/>
      <w:lang w:val="en-GB"/>
    </w:rPr>
  </w:style>
  <w:style w:type="paragraph" w:customStyle="1" w:styleId="CETBodytextBold">
    <w:name w:val="CET Body text (Bold)"/>
    <w:basedOn w:val="CETBodytext"/>
    <w:rsid w:val="00901EB6"/>
    <w:rPr>
      <w:b/>
    </w:rPr>
  </w:style>
  <w:style w:type="paragraph" w:customStyle="1" w:styleId="CETnumberingbullets">
    <w:name w:val="CET numbering (bullets)"/>
    <w:rsid w:val="008D433B"/>
    <w:pPr>
      <w:numPr>
        <w:numId w:val="13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numbering1">
    <w:name w:val="CET numbering (1"/>
    <w:aliases w:val="2..)"/>
    <w:rsid w:val="00B57B36"/>
    <w:pPr>
      <w:numPr>
        <w:numId w:val="14"/>
      </w:numPr>
      <w:spacing w:after="0" w:line="264" w:lineRule="auto"/>
      <w:ind w:left="340" w:hanging="227"/>
    </w:pPr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CETnumberinga">
    <w:name w:val="CET numbering (a"/>
    <w:aliases w:val="b,..)"/>
    <w:rsid w:val="00B57B36"/>
    <w:pPr>
      <w:numPr>
        <w:numId w:val="15"/>
      </w:numPr>
      <w:spacing w:after="0" w:line="264" w:lineRule="auto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78B7"/>
    <w:pPr>
      <w:tabs>
        <w:tab w:val="clear" w:pos="7100"/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B7"/>
    <w:rPr>
      <w:rFonts w:ascii="Arial" w:eastAsia="Times New Roman" w:hAnsi="Arial" w:cs="Times New Roman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66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4C62"/>
    <w:rPr>
      <w:color w:val="0000FF" w:themeColor="hyperlink"/>
      <w:u w:val="single"/>
    </w:rPr>
  </w:style>
  <w:style w:type="character" w:customStyle="1" w:styleId="eudoraheader">
    <w:name w:val="eudoraheader"/>
    <w:basedOn w:val="DefaultParagraphFont"/>
    <w:rsid w:val="00904C62"/>
  </w:style>
  <w:style w:type="paragraph" w:customStyle="1" w:styleId="CETListbullets">
    <w:name w:val="CET List bullets"/>
    <w:qFormat/>
    <w:rsid w:val="004577FE"/>
    <w:pPr>
      <w:spacing w:after="0" w:line="264" w:lineRule="auto"/>
      <w:ind w:left="340" w:hanging="227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Referencetext">
    <w:name w:val="CET Reference text"/>
    <w:qFormat/>
    <w:rsid w:val="00600535"/>
    <w:pPr>
      <w:spacing w:after="0" w:line="264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CETTabletitle">
    <w:name w:val="CET Table title"/>
    <w:qFormat/>
    <w:rsid w:val="00600535"/>
    <w:pPr>
      <w:keepNext/>
      <w:spacing w:before="240" w:after="80" w:line="240" w:lineRule="exact"/>
    </w:pPr>
    <w:rPr>
      <w:rFonts w:ascii="Arial" w:eastAsia="Times New Roman" w:hAnsi="Arial" w:cs="Times New Roman"/>
      <w:i/>
      <w:sz w:val="18"/>
      <w:szCs w:val="20"/>
      <w:lang w:val="en-GB"/>
    </w:rPr>
  </w:style>
  <w:style w:type="paragraph" w:customStyle="1" w:styleId="CETAcknowledgementstitle">
    <w:name w:val="CET Acknowledgements title"/>
    <w:next w:val="CETBodytext"/>
    <w:qFormat/>
    <w:rsid w:val="00600535"/>
    <w:pPr>
      <w:spacing w:before="200" w:after="120"/>
    </w:pPr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CETEquation">
    <w:name w:val="CET Equation"/>
    <w:basedOn w:val="CETBodytext"/>
    <w:next w:val="CETBodytext"/>
    <w:qFormat/>
    <w:rsid w:val="00600535"/>
    <w:pPr>
      <w:spacing w:before="120" w:after="120"/>
      <w:jc w:val="left"/>
    </w:pPr>
    <w:rPr>
      <w:lang w:val="en-GB"/>
    </w:rPr>
  </w:style>
  <w:style w:type="paragraph" w:customStyle="1" w:styleId="CETHeadingxx">
    <w:name w:val="CET Headingxx"/>
    <w:basedOn w:val="CETheadingx"/>
    <w:link w:val="CETHeadingxxChar"/>
    <w:qFormat/>
    <w:rsid w:val="00252C1A"/>
    <w:pPr>
      <w:numPr>
        <w:ilvl w:val="0"/>
        <w:numId w:val="0"/>
      </w:numPr>
      <w:spacing w:after="0"/>
    </w:pPr>
  </w:style>
  <w:style w:type="character" w:customStyle="1" w:styleId="CETHeadingxxChar">
    <w:name w:val="CET Headingxx Char"/>
    <w:basedOn w:val="CETheadingxCarattere"/>
    <w:link w:val="CETHeadingxx"/>
    <w:rsid w:val="00252C1A"/>
    <w:rPr>
      <w:rFonts w:ascii="Arial" w:eastAsia="Times New Roman" w:hAnsi="Arial" w:cs="Times New Roman"/>
      <w:b/>
      <w:sz w:val="18"/>
      <w:szCs w:val="20"/>
      <w:lang w:val="en-US"/>
    </w:rPr>
  </w:style>
  <w:style w:type="paragraph" w:styleId="ListParagraph">
    <w:name w:val="List Paragraph"/>
    <w:basedOn w:val="Normal"/>
    <w:uiPriority w:val="34"/>
    <w:rsid w:val="008059D2"/>
    <w:pPr>
      <w:ind w:left="720"/>
      <w:contextualSpacing/>
    </w:pPr>
  </w:style>
  <w:style w:type="table" w:styleId="MediumList1">
    <w:name w:val="Medium List 1"/>
    <w:basedOn w:val="TableNormal"/>
    <w:uiPriority w:val="65"/>
    <w:rsid w:val="007B1089"/>
    <w:pPr>
      <w:spacing w:after="0" w:line="240" w:lineRule="auto"/>
    </w:pPr>
    <w:rPr>
      <w:rFonts w:ascii="Calibri" w:eastAsia="Times New Roman" w:hAnsi="Calibri" w:cs="Calibri"/>
      <w:color w:val="000000" w:themeColor="text1"/>
      <w:sz w:val="20"/>
      <w:szCs w:val="20"/>
      <w:lang w:val="en-ZA" w:eastAsia="en-Z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="Times New Roman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cs="Calibri"/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rPr>
        <w:rFonts w:cs="Calibri"/>
      </w:rPr>
      <w:tblPr/>
      <w:tcPr>
        <w:shd w:val="clear" w:color="auto" w:fill="C0C0C0" w:themeFill="text1" w:themeFillTint="3F"/>
      </w:tcPr>
    </w:tblStylePr>
    <w:tblStylePr w:type="band1Horz">
      <w:rPr>
        <w:rFonts w:cs="Calibri"/>
      </w:rPr>
      <w:tblPr/>
      <w:tcPr>
        <w:shd w:val="clear" w:color="auto" w:fill="C0C0C0" w:themeFill="text1" w:themeFillTint="3F"/>
      </w:tcPr>
    </w:tblStylePr>
  </w:style>
  <w:style w:type="table" w:styleId="PlainTable2">
    <w:name w:val="Plain Table 2"/>
    <w:basedOn w:val="TableNormal"/>
    <w:uiPriority w:val="42"/>
    <w:rsid w:val="005643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6Colorful">
    <w:name w:val="List Table 6 Colorful"/>
    <w:basedOn w:val="TableNormal"/>
    <w:uiPriority w:val="51"/>
    <w:rsid w:val="0056439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B24E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0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0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9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'[Batch experiments Nondumiso.xlsx]50 mgl'!$A$17</c:f>
              <c:strCache>
                <c:ptCount val="1"/>
                <c:pt idx="0">
                  <c:v>X1</c:v>
                </c:pt>
              </c:strCache>
            </c:strRef>
          </c:tx>
          <c:spPr>
            <a:ln w="22225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diamond"/>
            <c:size val="6"/>
            <c:spPr>
              <a:solidFill>
                <a:schemeClr val="bg1"/>
              </a:solidFill>
              <a:ln w="9525">
                <a:solidFill>
                  <a:schemeClr val="tx1"/>
                </a:solidFill>
                <a:prstDash val="solid"/>
                <a:round/>
              </a:ln>
              <a:effectLst/>
            </c:spPr>
          </c:marker>
          <c:xVal>
            <c:numRef>
              <c:f>'[Batch experiments Nondumiso.xlsx]50 mgl'!$B$16:$T$16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Nondumiso.xlsx]50 mgl'!$B$17:$T$17</c:f>
              <c:numCache>
                <c:formatCode>General</c:formatCode>
                <c:ptCount val="19"/>
                <c:pt idx="0">
                  <c:v>57.860759493670884</c:v>
                </c:pt>
                <c:pt idx="1">
                  <c:v>45.70886075949366</c:v>
                </c:pt>
                <c:pt idx="2">
                  <c:v>41.025316455696199</c:v>
                </c:pt>
                <c:pt idx="3">
                  <c:v>34.949367088607595</c:v>
                </c:pt>
                <c:pt idx="4">
                  <c:v>19.379746835443036</c:v>
                </c:pt>
                <c:pt idx="5">
                  <c:v>15.455696202531644</c:v>
                </c:pt>
                <c:pt idx="6">
                  <c:v>12.291139240506329</c:v>
                </c:pt>
                <c:pt idx="7">
                  <c:v>12.164556962025316</c:v>
                </c:pt>
                <c:pt idx="8">
                  <c:v>4.6962025316455689</c:v>
                </c:pt>
                <c:pt idx="9">
                  <c:v>3.683544303797468</c:v>
                </c:pt>
                <c:pt idx="10">
                  <c:v>2.0379746835443036</c:v>
                </c:pt>
                <c:pt idx="11">
                  <c:v>2.0379746835443036</c:v>
                </c:pt>
                <c:pt idx="12">
                  <c:v>2.0379746835443036</c:v>
                </c:pt>
                <c:pt idx="13">
                  <c:v>2.0379746835443036</c:v>
                </c:pt>
                <c:pt idx="14">
                  <c:v>2.0379746835443036</c:v>
                </c:pt>
                <c:pt idx="15">
                  <c:v>2.0379746835443036</c:v>
                </c:pt>
                <c:pt idx="16">
                  <c:v>2.0379746835443036</c:v>
                </c:pt>
                <c:pt idx="17">
                  <c:v>2.0379746835443036</c:v>
                </c:pt>
                <c:pt idx="18">
                  <c:v>2.0379746835443036</c:v>
                </c:pt>
              </c:numCache>
            </c:numRef>
          </c:yVal>
          <c:smooth val="0"/>
        </c:ser>
        <c:ser>
          <c:idx val="1"/>
          <c:order val="1"/>
          <c:tx>
            <c:strRef>
              <c:f>'[Batch experiments Nondumiso.xlsx]50 mgl'!$A$18</c:f>
              <c:strCache>
                <c:ptCount val="1"/>
                <c:pt idx="0">
                  <c:v>X2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bg1"/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'[Batch experiments Nondumiso.xlsx]50 mgl'!$B$16:$T$16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Nondumiso.xlsx]50 mgl'!$B$18:$T$18</c:f>
              <c:numCache>
                <c:formatCode>General</c:formatCode>
                <c:ptCount val="19"/>
                <c:pt idx="0">
                  <c:v>8.62025316455696</c:v>
                </c:pt>
                <c:pt idx="1">
                  <c:v>3.0506329113924049</c:v>
                </c:pt>
                <c:pt idx="2">
                  <c:v>2.0379746835443036</c:v>
                </c:pt>
                <c:pt idx="3">
                  <c:v>2.0379746835443036</c:v>
                </c:pt>
                <c:pt idx="4">
                  <c:v>2.0379746835443036</c:v>
                </c:pt>
                <c:pt idx="5">
                  <c:v>2.0379746835443036</c:v>
                </c:pt>
                <c:pt idx="6">
                  <c:v>2.0379746835443036</c:v>
                </c:pt>
                <c:pt idx="7">
                  <c:v>2.0379746835443036</c:v>
                </c:pt>
                <c:pt idx="8">
                  <c:v>2.0379746835443036</c:v>
                </c:pt>
                <c:pt idx="9">
                  <c:v>2.0379746835443036</c:v>
                </c:pt>
                <c:pt idx="10">
                  <c:v>2.0379746835443036</c:v>
                </c:pt>
                <c:pt idx="11">
                  <c:v>2.0379746835443036</c:v>
                </c:pt>
                <c:pt idx="12">
                  <c:v>2.0379746835443036</c:v>
                </c:pt>
                <c:pt idx="13">
                  <c:v>2.0379746835443036</c:v>
                </c:pt>
                <c:pt idx="14">
                  <c:v>2.0379746835443036</c:v>
                </c:pt>
                <c:pt idx="15">
                  <c:v>2.0379746835443036</c:v>
                </c:pt>
                <c:pt idx="16">
                  <c:v>2.0379746835443036</c:v>
                </c:pt>
                <c:pt idx="17">
                  <c:v>2.0379746835443036</c:v>
                </c:pt>
                <c:pt idx="18">
                  <c:v>2.0379746835443036</c:v>
                </c:pt>
              </c:numCache>
            </c:numRef>
          </c:yVal>
          <c:smooth val="0"/>
        </c:ser>
        <c:ser>
          <c:idx val="2"/>
          <c:order val="2"/>
          <c:tx>
            <c:strRef>
              <c:f>'[Batch experiments Nondumiso.xlsx]50 mgl'!$A$19</c:f>
              <c:strCache>
                <c:ptCount val="1"/>
                <c:pt idx="0">
                  <c:v>X3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bg1"/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'[Batch experiments Nondumiso.xlsx]50 mgl'!$B$16:$T$16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Nondumiso.xlsx]50 mgl'!$B$19:$T$19</c:f>
              <c:numCache>
                <c:formatCode>General</c:formatCode>
                <c:ptCount val="19"/>
                <c:pt idx="0">
                  <c:v>45.962025316455687</c:v>
                </c:pt>
                <c:pt idx="1">
                  <c:v>35.075949367088604</c:v>
                </c:pt>
                <c:pt idx="2">
                  <c:v>28.493670886075947</c:v>
                </c:pt>
                <c:pt idx="3">
                  <c:v>3.5569620253164556</c:v>
                </c:pt>
                <c:pt idx="4">
                  <c:v>6.0886075949367084</c:v>
                </c:pt>
                <c:pt idx="5">
                  <c:v>17.73417721518987</c:v>
                </c:pt>
                <c:pt idx="6">
                  <c:v>6.4683544303797467</c:v>
                </c:pt>
                <c:pt idx="7">
                  <c:v>19.253164556962027</c:v>
                </c:pt>
                <c:pt idx="8">
                  <c:v>3.4303797468354427</c:v>
                </c:pt>
                <c:pt idx="9">
                  <c:v>2.0379746835443036</c:v>
                </c:pt>
                <c:pt idx="10">
                  <c:v>2.0379746835443036</c:v>
                </c:pt>
                <c:pt idx="11">
                  <c:v>2.0379746835443036</c:v>
                </c:pt>
                <c:pt idx="12">
                  <c:v>2.0379746835443036</c:v>
                </c:pt>
                <c:pt idx="13">
                  <c:v>2.0379746835443036</c:v>
                </c:pt>
                <c:pt idx="14">
                  <c:v>2.0379746835443036</c:v>
                </c:pt>
                <c:pt idx="15">
                  <c:v>2.0379746835443036</c:v>
                </c:pt>
                <c:pt idx="16">
                  <c:v>2.0379746835443036</c:v>
                </c:pt>
                <c:pt idx="17">
                  <c:v>2.0379746835443036</c:v>
                </c:pt>
                <c:pt idx="18">
                  <c:v>2.0379746835443036</c:v>
                </c:pt>
              </c:numCache>
            </c:numRef>
          </c:yVal>
          <c:smooth val="0"/>
        </c:ser>
        <c:ser>
          <c:idx val="3"/>
          <c:order val="3"/>
          <c:tx>
            <c:strRef>
              <c:f>'[Batch experiments Nondumiso.xlsx]50 mgl'!$A$20</c:f>
              <c:strCache>
                <c:ptCount val="1"/>
                <c:pt idx="0">
                  <c:v>X4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'[Batch experiments Nondumiso.xlsx]50 mgl'!$B$16:$T$16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Nondumiso.xlsx]50 mgl'!$B$20:$T$20</c:f>
              <c:numCache>
                <c:formatCode>General</c:formatCode>
                <c:ptCount val="19"/>
                <c:pt idx="0">
                  <c:v>50.645569620253163</c:v>
                </c:pt>
                <c:pt idx="1">
                  <c:v>40.772151898734172</c:v>
                </c:pt>
                <c:pt idx="2">
                  <c:v>33.303797468354425</c:v>
                </c:pt>
                <c:pt idx="3">
                  <c:v>31.531645569620252</c:v>
                </c:pt>
                <c:pt idx="4">
                  <c:v>28.74683544303797</c:v>
                </c:pt>
                <c:pt idx="5">
                  <c:v>25.835443037974681</c:v>
                </c:pt>
                <c:pt idx="6">
                  <c:v>31.405063291139239</c:v>
                </c:pt>
                <c:pt idx="7">
                  <c:v>16.974683544303794</c:v>
                </c:pt>
                <c:pt idx="8">
                  <c:v>16.341772151898731</c:v>
                </c:pt>
                <c:pt idx="9">
                  <c:v>14.316455696202532</c:v>
                </c:pt>
                <c:pt idx="10">
                  <c:v>11.405063291139239</c:v>
                </c:pt>
                <c:pt idx="11">
                  <c:v>14.189873417721518</c:v>
                </c:pt>
                <c:pt idx="12">
                  <c:v>10.012658227848101</c:v>
                </c:pt>
                <c:pt idx="13">
                  <c:v>5.5822784810126578</c:v>
                </c:pt>
                <c:pt idx="14">
                  <c:v>5.2025316455696196</c:v>
                </c:pt>
                <c:pt idx="15">
                  <c:v>4.1898734177215191</c:v>
                </c:pt>
                <c:pt idx="16">
                  <c:v>2.6708860759493671</c:v>
                </c:pt>
                <c:pt idx="17">
                  <c:v>2.0379746835443036</c:v>
                </c:pt>
                <c:pt idx="18">
                  <c:v>2.0379746835443036</c:v>
                </c:pt>
              </c:numCache>
            </c:numRef>
          </c:yVal>
          <c:smooth val="0"/>
        </c:ser>
        <c:ser>
          <c:idx val="4"/>
          <c:order val="4"/>
          <c:tx>
            <c:strRef>
              <c:f>'[Batch experiments Nondumiso.xlsx]50 mgl'!$A$21</c:f>
              <c:strCache>
                <c:ptCount val="1"/>
                <c:pt idx="0">
                  <c:v>X5</c:v>
                </c:pt>
              </c:strCache>
            </c:strRef>
          </c:tx>
          <c:spPr>
            <a:ln w="22225" cap="rnd">
              <a:solidFill>
                <a:schemeClr val="tx1"/>
              </a:solidFill>
              <a:prstDash val="solid"/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tx1"/>
                </a:solidFill>
                <a:prstDash val="solid"/>
                <a:round/>
              </a:ln>
              <a:effectLst/>
            </c:spPr>
          </c:marker>
          <c:xVal>
            <c:numRef>
              <c:f>'[Batch experiments Nondumiso.xlsx]50 mgl'!$B$16:$T$16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Nondumiso.xlsx]50 mgl'!$B$21:$T$21</c:f>
              <c:numCache>
                <c:formatCode>General</c:formatCode>
                <c:ptCount val="19"/>
                <c:pt idx="0">
                  <c:v>51.784810126582279</c:v>
                </c:pt>
                <c:pt idx="1">
                  <c:v>31.278481012658226</c:v>
                </c:pt>
                <c:pt idx="2">
                  <c:v>35.329113924050631</c:v>
                </c:pt>
                <c:pt idx="3">
                  <c:v>20.898734177215186</c:v>
                </c:pt>
                <c:pt idx="4">
                  <c:v>18.746835443037973</c:v>
                </c:pt>
                <c:pt idx="5">
                  <c:v>10.772151898734178</c:v>
                </c:pt>
                <c:pt idx="6">
                  <c:v>2.0379746835443036</c:v>
                </c:pt>
                <c:pt idx="7">
                  <c:v>2.0379746835443036</c:v>
                </c:pt>
                <c:pt idx="8">
                  <c:v>2.0379746835443036</c:v>
                </c:pt>
                <c:pt idx="9">
                  <c:v>2.0379746835443036</c:v>
                </c:pt>
                <c:pt idx="10">
                  <c:v>2.0379746835443036</c:v>
                </c:pt>
                <c:pt idx="11">
                  <c:v>2.0379746835443036</c:v>
                </c:pt>
                <c:pt idx="12">
                  <c:v>2.0379746835443036</c:v>
                </c:pt>
                <c:pt idx="13">
                  <c:v>2.0379746835443036</c:v>
                </c:pt>
                <c:pt idx="14">
                  <c:v>2.0379746835443036</c:v>
                </c:pt>
                <c:pt idx="15">
                  <c:v>2.0379746835443036</c:v>
                </c:pt>
                <c:pt idx="16">
                  <c:v>2.0379746835443036</c:v>
                </c:pt>
                <c:pt idx="17">
                  <c:v>2.0379746835443036</c:v>
                </c:pt>
                <c:pt idx="18">
                  <c:v>2.0379746835443036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139533664"/>
        <c:axId val="-1139529856"/>
      </c:scatterChart>
      <c:valAx>
        <c:axId val="-1139533664"/>
        <c:scaling>
          <c:orientation val="minMax"/>
          <c:max val="2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(hours)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39529856"/>
        <c:crosses val="autoZero"/>
        <c:crossBetween val="midCat"/>
      </c:valAx>
      <c:valAx>
        <c:axId val="-11395298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ZA"/>
                  <a:t>Conentration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395336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1474327701042706"/>
          <c:y val="0.12464884288702248"/>
          <c:w val="0.10498862525595362"/>
          <c:h val="0.353776177809530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'[Batch experiments Nondumiso.xlsx]400mgl'!$A$2</c:f>
              <c:strCache>
                <c:ptCount val="1"/>
                <c:pt idx="0">
                  <c:v>X1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diamond"/>
            <c:size val="6"/>
            <c:spPr>
              <a:solidFill>
                <a:schemeClr val="bg1"/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'[Batch experiments Nondumiso.xlsx]400mgl'!$B$1:$T$1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Nondumiso.xlsx]400mgl'!$B$2:$T$2</c:f>
              <c:numCache>
                <c:formatCode>General</c:formatCode>
                <c:ptCount val="19"/>
                <c:pt idx="0">
                  <c:v>395.79746835443001</c:v>
                </c:pt>
                <c:pt idx="1">
                  <c:v>299.49367088607602</c:v>
                </c:pt>
                <c:pt idx="2">
                  <c:v>287.60759493670901</c:v>
                </c:pt>
                <c:pt idx="3">
                  <c:v>247.10126582278477</c:v>
                </c:pt>
                <c:pt idx="4">
                  <c:v>244.06329113924048</c:v>
                </c:pt>
                <c:pt idx="5">
                  <c:v>236.72151898734177</c:v>
                </c:pt>
                <c:pt idx="6">
                  <c:v>231.2784810126582</c:v>
                </c:pt>
                <c:pt idx="7">
                  <c:v>229.37974683544303</c:v>
                </c:pt>
                <c:pt idx="8">
                  <c:v>215.96202531645568</c:v>
                </c:pt>
                <c:pt idx="9">
                  <c:v>208.36708860759489</c:v>
                </c:pt>
                <c:pt idx="10">
                  <c:v>204.82278481012656</c:v>
                </c:pt>
                <c:pt idx="11">
                  <c:v>221.2784810126582</c:v>
                </c:pt>
                <c:pt idx="12">
                  <c:v>220.01265822784808</c:v>
                </c:pt>
                <c:pt idx="13">
                  <c:v>220.89873417721518</c:v>
                </c:pt>
                <c:pt idx="14">
                  <c:v>219.50632911392404</c:v>
                </c:pt>
                <c:pt idx="15">
                  <c:v>212.54430379746833</c:v>
                </c:pt>
                <c:pt idx="16">
                  <c:v>211.40506329113921</c:v>
                </c:pt>
                <c:pt idx="17">
                  <c:v>206.2151898734177</c:v>
                </c:pt>
                <c:pt idx="18">
                  <c:v>159.50632911392404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'[Batch experiments Nondumiso.xlsx]400mgl'!$A$3</c:f>
              <c:strCache>
                <c:ptCount val="1"/>
                <c:pt idx="0">
                  <c:v>X2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chemeClr val="bg1"/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'[Batch experiments Nondumiso.xlsx]400mgl'!$B$1:$T$1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Nondumiso.xlsx]400mgl'!$B$3:$T$3</c:f>
              <c:numCache>
                <c:formatCode>General</c:formatCode>
                <c:ptCount val="19"/>
                <c:pt idx="0">
                  <c:v>405.83544303797498</c:v>
                </c:pt>
                <c:pt idx="1">
                  <c:v>278.68354430379702</c:v>
                </c:pt>
                <c:pt idx="2">
                  <c:v>255.77215189873399</c:v>
                </c:pt>
                <c:pt idx="3">
                  <c:v>196.97468354430379</c:v>
                </c:pt>
                <c:pt idx="4">
                  <c:v>192.67088607594934</c:v>
                </c:pt>
                <c:pt idx="5">
                  <c:v>190.26582278481013</c:v>
                </c:pt>
                <c:pt idx="6">
                  <c:v>206.34177215189874</c:v>
                </c:pt>
                <c:pt idx="7">
                  <c:v>211.65822784810123</c:v>
                </c:pt>
                <c:pt idx="8">
                  <c:v>171.65822784810126</c:v>
                </c:pt>
                <c:pt idx="9">
                  <c:v>176.08860759493669</c:v>
                </c:pt>
                <c:pt idx="10">
                  <c:v>174.44303797468353</c:v>
                </c:pt>
                <c:pt idx="11">
                  <c:v>174.56962025316454</c:v>
                </c:pt>
                <c:pt idx="12">
                  <c:v>174.06329113924048</c:v>
                </c:pt>
                <c:pt idx="13">
                  <c:v>172.29113924050631</c:v>
                </c:pt>
                <c:pt idx="14">
                  <c:v>173.55696202531644</c:v>
                </c:pt>
                <c:pt idx="15">
                  <c:v>172.92405063291139</c:v>
                </c:pt>
                <c:pt idx="16">
                  <c:v>188.24050632911391</c:v>
                </c:pt>
                <c:pt idx="17">
                  <c:v>187.35443037974682</c:v>
                </c:pt>
                <c:pt idx="18">
                  <c:v>170.77215189873417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'[Batch experiments Nondumiso.xlsx]400mgl'!$A$4</c:f>
              <c:strCache>
                <c:ptCount val="1"/>
                <c:pt idx="0">
                  <c:v>X3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solidFill>
                <a:schemeClr val="bg1"/>
              </a:solidFill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'[Batch experiments Nondumiso.xlsx]400mgl'!$B$1:$T$1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Nondumiso.xlsx]400mgl'!$B$4:$T$4</c:f>
              <c:numCache>
                <c:formatCode>General</c:formatCode>
                <c:ptCount val="19"/>
                <c:pt idx="0">
                  <c:v>386.07594936708898</c:v>
                </c:pt>
                <c:pt idx="1">
                  <c:v>380.20253164556999</c:v>
                </c:pt>
                <c:pt idx="2">
                  <c:v>351.86075949367103</c:v>
                </c:pt>
                <c:pt idx="3">
                  <c:v>308.848101265823</c:v>
                </c:pt>
                <c:pt idx="4">
                  <c:v>166.72151898734174</c:v>
                </c:pt>
                <c:pt idx="5">
                  <c:v>179.88607594936707</c:v>
                </c:pt>
                <c:pt idx="6">
                  <c:v>185.45569620253164</c:v>
                </c:pt>
                <c:pt idx="7">
                  <c:v>186.46835443037975</c:v>
                </c:pt>
                <c:pt idx="8">
                  <c:v>176.97468354430376</c:v>
                </c:pt>
                <c:pt idx="9">
                  <c:v>156.2151898734177</c:v>
                </c:pt>
                <c:pt idx="10">
                  <c:v>172.67088607594937</c:v>
                </c:pt>
                <c:pt idx="11">
                  <c:v>175.20253164556962</c:v>
                </c:pt>
                <c:pt idx="12">
                  <c:v>212.29113924050631</c:v>
                </c:pt>
                <c:pt idx="13">
                  <c:v>228.24050632911388</c:v>
                </c:pt>
                <c:pt idx="14">
                  <c:v>226.46835443037972</c:v>
                </c:pt>
                <c:pt idx="15">
                  <c:v>240.2658227848101</c:v>
                </c:pt>
                <c:pt idx="16">
                  <c:v>241.15189873417719</c:v>
                </c:pt>
                <c:pt idx="17">
                  <c:v>228.36708860759492</c:v>
                </c:pt>
                <c:pt idx="18">
                  <c:v>244.69620253164555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'[Batch experiments Nondumiso.xlsx]400mgl'!$A$5</c:f>
              <c:strCache>
                <c:ptCount val="1"/>
                <c:pt idx="0">
                  <c:v>X4</c:v>
                </c:pt>
              </c:strCache>
            </c:strRef>
          </c:tx>
          <c:spPr>
            <a:ln w="22225" cap="rnd">
              <a:solidFill>
                <a:schemeClr val="dk1">
                  <a:tint val="98500"/>
                </a:schemeClr>
              </a:solidFill>
              <a:round/>
            </a:ln>
            <a:effectLst/>
          </c:spPr>
          <c:marker>
            <c:symbol val="x"/>
            <c:size val="6"/>
            <c:spPr>
              <a:noFill/>
              <a:ln w="9525">
                <a:solidFill>
                  <a:schemeClr val="dk1">
                    <a:tint val="98500"/>
                  </a:schemeClr>
                </a:solidFill>
                <a:round/>
              </a:ln>
              <a:effectLst/>
            </c:spPr>
          </c:marker>
          <c:xVal>
            <c:numRef>
              <c:f>'[Batch experiments Nondumiso.xlsx]400mgl'!$B$1:$T$1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Nondumiso.xlsx]400mgl'!$B$5:$T$5</c:f>
              <c:numCache>
                <c:formatCode>General</c:formatCode>
                <c:ptCount val="19"/>
                <c:pt idx="0">
                  <c:v>395.70886075949397</c:v>
                </c:pt>
                <c:pt idx="1">
                  <c:v>333.27848101265801</c:v>
                </c:pt>
                <c:pt idx="2">
                  <c:v>345.83544303797498</c:v>
                </c:pt>
                <c:pt idx="3">
                  <c:v>314.36708860759501</c:v>
                </c:pt>
                <c:pt idx="4">
                  <c:v>192.54430379746833</c:v>
                </c:pt>
                <c:pt idx="5">
                  <c:v>195.07594936708858</c:v>
                </c:pt>
                <c:pt idx="6">
                  <c:v>202.54430379746833</c:v>
                </c:pt>
                <c:pt idx="7">
                  <c:v>191.15189873417719</c:v>
                </c:pt>
                <c:pt idx="8">
                  <c:v>194.82278481012656</c:v>
                </c:pt>
                <c:pt idx="9">
                  <c:v>194.06329113924048</c:v>
                </c:pt>
                <c:pt idx="10">
                  <c:v>184.06329113924048</c:v>
                </c:pt>
                <c:pt idx="11">
                  <c:v>190.77215189873417</c:v>
                </c:pt>
                <c:pt idx="12">
                  <c:v>180.89873417721518</c:v>
                </c:pt>
                <c:pt idx="13">
                  <c:v>185.96202531645568</c:v>
                </c:pt>
                <c:pt idx="14">
                  <c:v>185.45569620253164</c:v>
                </c:pt>
                <c:pt idx="15">
                  <c:v>183.9367088607595</c:v>
                </c:pt>
                <c:pt idx="16">
                  <c:v>174.69620253164555</c:v>
                </c:pt>
                <c:pt idx="17">
                  <c:v>169.25316455696199</c:v>
                </c:pt>
                <c:pt idx="18">
                  <c:v>183.9367088607595</c:v>
                </c:pt>
              </c:numCache>
            </c:numRef>
          </c:yVal>
          <c:smooth val="1"/>
        </c:ser>
        <c:ser>
          <c:idx val="4"/>
          <c:order val="4"/>
          <c:tx>
            <c:strRef>
              <c:f>'[Batch experiments Nondumiso.xlsx]400mgl'!$A$6</c:f>
              <c:strCache>
                <c:ptCount val="1"/>
                <c:pt idx="0">
                  <c:v>X5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star"/>
            <c:size val="6"/>
            <c:spPr>
              <a:noFill/>
              <a:ln w="9525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'[Batch experiments Nondumiso.xlsx]400mgl'!$B$1:$T$1</c:f>
              <c:numCache>
                <c:formatCode>General</c:formatCode>
                <c:ptCount val="19"/>
                <c:pt idx="0">
                  <c:v>0.25</c:v>
                </c:pt>
                <c:pt idx="1">
                  <c:v>0.5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12</c:v>
                </c:pt>
                <c:pt idx="13">
                  <c:v>14</c:v>
                </c:pt>
                <c:pt idx="14">
                  <c:v>16</c:v>
                </c:pt>
                <c:pt idx="15">
                  <c:v>18</c:v>
                </c:pt>
                <c:pt idx="16">
                  <c:v>20</c:v>
                </c:pt>
                <c:pt idx="17">
                  <c:v>22</c:v>
                </c:pt>
                <c:pt idx="18">
                  <c:v>24</c:v>
                </c:pt>
              </c:numCache>
            </c:numRef>
          </c:xVal>
          <c:yVal>
            <c:numRef>
              <c:f>'[Batch experiments Nondumiso.xlsx]400mgl'!$B$6:$T$6</c:f>
              <c:numCache>
                <c:formatCode>General</c:formatCode>
                <c:ptCount val="19"/>
                <c:pt idx="0">
                  <c:v>396.088607594937</c:v>
                </c:pt>
                <c:pt idx="1">
                  <c:v>388.83544303797498</c:v>
                </c:pt>
                <c:pt idx="2">
                  <c:v>358.481012658228</c:v>
                </c:pt>
                <c:pt idx="3">
                  <c:v>323.29113924050603</c:v>
                </c:pt>
                <c:pt idx="4">
                  <c:v>214.31645569620252</c:v>
                </c:pt>
                <c:pt idx="5">
                  <c:v>211.02531645569618</c:v>
                </c:pt>
                <c:pt idx="6">
                  <c:v>205.07594936708861</c:v>
                </c:pt>
                <c:pt idx="7">
                  <c:v>201.91139240506325</c:v>
                </c:pt>
                <c:pt idx="8">
                  <c:v>198.24050632911391</c:v>
                </c:pt>
                <c:pt idx="9">
                  <c:v>198.24050632911391</c:v>
                </c:pt>
                <c:pt idx="10">
                  <c:v>191.65822784810123</c:v>
                </c:pt>
                <c:pt idx="11">
                  <c:v>188.74683544303798</c:v>
                </c:pt>
                <c:pt idx="12">
                  <c:v>189.63291139240505</c:v>
                </c:pt>
                <c:pt idx="13">
                  <c:v>189.25316455696202</c:v>
                </c:pt>
                <c:pt idx="14">
                  <c:v>189.37974683544303</c:v>
                </c:pt>
                <c:pt idx="15">
                  <c:v>188.24050632911391</c:v>
                </c:pt>
                <c:pt idx="16">
                  <c:v>189.37974683544303</c:v>
                </c:pt>
                <c:pt idx="17">
                  <c:v>189.37974683544303</c:v>
                </c:pt>
                <c:pt idx="18">
                  <c:v>189.25316455696202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139528224"/>
        <c:axId val="-1139534752"/>
      </c:scatterChart>
      <c:valAx>
        <c:axId val="-1139528224"/>
        <c:scaling>
          <c:orientation val="minMax"/>
          <c:max val="25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time (hours)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39534752"/>
        <c:crosses val="autoZero"/>
        <c:crossBetween val="midCat"/>
      </c:valAx>
      <c:valAx>
        <c:axId val="-1139534752"/>
        <c:scaling>
          <c:orientation val="minMax"/>
          <c:max val="6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Cr(VI) concentration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3952822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82655721763728995"/>
          <c:y val="0.18003623630175816"/>
          <c:w val="0.1593213318263044"/>
          <c:h val="0.354967701576163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4876081261192214"/>
          <c:y val="6.6646470766434415E-2"/>
          <c:w val="0.63833684012638914"/>
          <c:h val="0.7111784307785519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'Sample pots'!$AC$47</c:f>
              <c:strCache>
                <c:ptCount val="1"/>
                <c:pt idx="0">
                  <c:v>Control </c:v>
                </c:pt>
              </c:strCache>
            </c:strRef>
          </c:tx>
          <c:spPr>
            <a:pattFill prst="trellis">
              <a:fgClr>
                <a:sysClr val="windowText" lastClr="000000"/>
              </a:fgClr>
              <a:bgClr>
                <a:sysClr val="window" lastClr="FFFFFF"/>
              </a:bgClr>
            </a:pattFill>
            <a:ln w="26829">
              <a:noFill/>
            </a:ln>
          </c:spPr>
          <c:invertIfNegative val="0"/>
          <c:cat>
            <c:numRef>
              <c:f>'Sample pots'!$AD$46:$AH$46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54</c:v>
                </c:pt>
                <c:pt idx="3">
                  <c:v>72</c:v>
                </c:pt>
                <c:pt idx="4">
                  <c:v>90</c:v>
                </c:pt>
              </c:numCache>
            </c:numRef>
          </c:cat>
          <c:val>
            <c:numRef>
              <c:f>'Sample pots'!$AD$47:$AH$47</c:f>
              <c:numCache>
                <c:formatCode>General</c:formatCode>
                <c:ptCount val="5"/>
                <c:pt idx="0">
                  <c:v>2.3325558147284267</c:v>
                </c:pt>
                <c:pt idx="1">
                  <c:v>1.4995001666111516</c:v>
                </c:pt>
                <c:pt idx="2">
                  <c:v>3.8320559813395785</c:v>
                </c:pt>
                <c:pt idx="3">
                  <c:v>4.3318893702099439</c:v>
                </c:pt>
                <c:pt idx="4">
                  <c:v>9.1636121292902519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4B-4E05-99E2-5387BD47D9D0}"/>
            </c:ext>
          </c:extLst>
        </c:ser>
        <c:ser>
          <c:idx val="1"/>
          <c:order val="1"/>
          <c:tx>
            <c:strRef>
              <c:f>'Sample pots'!$AC$48</c:f>
              <c:strCache>
                <c:ptCount val="1"/>
                <c:pt idx="0">
                  <c:v>System 1</c:v>
                </c:pt>
              </c:strCache>
            </c:strRef>
          </c:tx>
          <c:spPr>
            <a:pattFill prst="pct20">
              <a:fgClr>
                <a:sysClr val="windowText" lastClr="000000"/>
              </a:fgClr>
              <a:bgClr>
                <a:sysClr val="window" lastClr="FFFFFF"/>
              </a:bgClr>
            </a:pattFill>
            <a:ln>
              <a:solidFill>
                <a:sysClr val="windowText" lastClr="000000"/>
              </a:solidFill>
            </a:ln>
          </c:spPr>
          <c:invertIfNegative val="0"/>
          <c:cat>
            <c:numRef>
              <c:f>'Sample pots'!$AD$46:$AH$46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54</c:v>
                </c:pt>
                <c:pt idx="3">
                  <c:v>72</c:v>
                </c:pt>
                <c:pt idx="4">
                  <c:v>90</c:v>
                </c:pt>
              </c:numCache>
            </c:numRef>
          </c:cat>
          <c:val>
            <c:numRef>
              <c:f>'Sample pots'!$AD$48:$AH$48</c:f>
              <c:numCache>
                <c:formatCode>General</c:formatCode>
                <c:ptCount val="5"/>
                <c:pt idx="0">
                  <c:v>15.828057314228603</c:v>
                </c:pt>
                <c:pt idx="1">
                  <c:v>46.151282905698096</c:v>
                </c:pt>
                <c:pt idx="2">
                  <c:v>66.977674108630467</c:v>
                </c:pt>
                <c:pt idx="3">
                  <c:v>93.135621459513501</c:v>
                </c:pt>
                <c:pt idx="4">
                  <c:v>93.80206597800732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4B-4E05-99E2-5387BD47D9D0}"/>
            </c:ext>
          </c:extLst>
        </c:ser>
        <c:ser>
          <c:idx val="2"/>
          <c:order val="2"/>
          <c:tx>
            <c:strRef>
              <c:f>'Sample pots'!$AC$49</c:f>
              <c:strCache>
                <c:ptCount val="1"/>
                <c:pt idx="0">
                  <c:v>System2</c:v>
                </c:pt>
              </c:strCache>
            </c:strRef>
          </c:tx>
          <c:spPr>
            <a:pattFill prst="horzBrick">
              <a:fgClr>
                <a:sysClr val="windowText" lastClr="000000"/>
              </a:fgClr>
              <a:bgClr>
                <a:sysClr val="windowText" lastClr="000000">
                  <a:lumMod val="65000"/>
                  <a:lumOff val="35000"/>
                </a:sysClr>
              </a:bgClr>
            </a:pattFill>
            <a:ln w="26829">
              <a:noFill/>
            </a:ln>
          </c:spPr>
          <c:invertIfNegative val="0"/>
          <c:cat>
            <c:numRef>
              <c:f>'Sample pots'!$AD$46:$AH$46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54</c:v>
                </c:pt>
                <c:pt idx="3">
                  <c:v>72</c:v>
                </c:pt>
                <c:pt idx="4">
                  <c:v>90</c:v>
                </c:pt>
              </c:numCache>
            </c:numRef>
          </c:cat>
          <c:val>
            <c:numRef>
              <c:f>'Sample pots'!$AD$49:$AH$49</c:f>
              <c:numCache>
                <c:formatCode>General</c:formatCode>
                <c:ptCount val="5"/>
                <c:pt idx="0">
                  <c:v>10.82972342552484</c:v>
                </c:pt>
                <c:pt idx="1">
                  <c:v>8.8303898700433248</c:v>
                </c:pt>
                <c:pt idx="2">
                  <c:v>33.488837054315212</c:v>
                </c:pt>
                <c:pt idx="3">
                  <c:v>92.135954681772745</c:v>
                </c:pt>
                <c:pt idx="4">
                  <c:v>91.636121292902374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34B-4E05-99E2-5387BD47D9D0}"/>
            </c:ext>
          </c:extLst>
        </c:ser>
        <c:ser>
          <c:idx val="3"/>
          <c:order val="3"/>
          <c:tx>
            <c:strRef>
              <c:f>'Sample pots'!$AC$50</c:f>
              <c:strCache>
                <c:ptCount val="1"/>
                <c:pt idx="0">
                  <c:v>System3</c:v>
                </c:pt>
              </c:strCache>
            </c:strRef>
          </c:tx>
          <c:spPr>
            <a:pattFill prst="wdDnDiag">
              <a:fgClr>
                <a:sysClr val="windowText" lastClr="000000"/>
              </a:fgClr>
              <a:bgClr>
                <a:sysClr val="windowText" lastClr="000000">
                  <a:lumMod val="85000"/>
                  <a:lumOff val="15000"/>
                </a:sysClr>
              </a:bgClr>
            </a:pattFill>
            <a:ln w="26829">
              <a:noFill/>
            </a:ln>
          </c:spPr>
          <c:invertIfNegative val="0"/>
          <c:cat>
            <c:numRef>
              <c:f>'Sample pots'!$AD$46:$AH$46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54</c:v>
                </c:pt>
                <c:pt idx="3">
                  <c:v>72</c:v>
                </c:pt>
                <c:pt idx="4">
                  <c:v>90</c:v>
                </c:pt>
              </c:numCache>
            </c:numRef>
          </c:cat>
          <c:val>
            <c:numRef>
              <c:f>'Sample pots'!$AD$50:$AH$50</c:f>
              <c:numCache>
                <c:formatCode>General</c:formatCode>
                <c:ptCount val="5"/>
                <c:pt idx="0">
                  <c:v>45.484838387204263</c:v>
                </c:pt>
                <c:pt idx="1">
                  <c:v>92.802399200266578</c:v>
                </c:pt>
                <c:pt idx="2">
                  <c:v>91.702765744751744</c:v>
                </c:pt>
                <c:pt idx="3">
                  <c:v>93.96867710763081</c:v>
                </c:pt>
                <c:pt idx="4">
                  <c:v>94.468510496501167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34B-4E05-99E2-5387BD47D9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-1266367472"/>
        <c:axId val="-1266365296"/>
      </c:barChart>
      <c:catAx>
        <c:axId val="-1266367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Distance (cm)
</a:t>
                </a:r>
              </a:p>
            </c:rich>
          </c:tx>
          <c:overlay val="0"/>
          <c:spPr>
            <a:noFill/>
            <a:ln w="26829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1006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-1266365296"/>
        <c:crosses val="autoZero"/>
        <c:auto val="1"/>
        <c:lblAlgn val="ctr"/>
        <c:lblOffset val="100"/>
        <c:noMultiLvlLbl val="0"/>
      </c:catAx>
      <c:valAx>
        <c:axId val="-1266365296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Cr(VI) reduction (%)</a:t>
                </a:r>
              </a:p>
            </c:rich>
          </c:tx>
          <c:overlay val="0"/>
          <c:spPr>
            <a:noFill/>
            <a:ln w="2682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10061">
            <a:noFill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-1266367472"/>
        <c:crosses val="autoZero"/>
        <c:crossBetween val="between"/>
      </c:valAx>
      <c:spPr>
        <a:noFill/>
        <a:ln w="26738">
          <a:solidFill>
            <a:sysClr val="windowText" lastClr="000000"/>
          </a:solidFill>
        </a:ln>
      </c:spPr>
    </c:plotArea>
    <c:legend>
      <c:legendPos val="r"/>
      <c:overlay val="0"/>
      <c:spPr>
        <a:noFill/>
        <a:ln w="26829">
          <a:noFill/>
        </a:ln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noFill/>
    <a:ln w="10061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374859814187394"/>
          <c:y val="6.7216620837152463E-2"/>
          <c:w val="0.68769009196189312"/>
          <c:h val="0.68026251530657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'Sample pots'!$AJ$40</c:f>
              <c:strCache>
                <c:ptCount val="1"/>
                <c:pt idx="0">
                  <c:v>Control </c:v>
                </c:pt>
              </c:strCache>
            </c:strRef>
          </c:tx>
          <c:spPr>
            <a:pattFill prst="pct20">
              <a:fgClr>
                <a:sysClr val="windowText" lastClr="000000"/>
              </a:fgClr>
              <a:bgClr>
                <a:sysClr val="window" lastClr="FFFFFF"/>
              </a:bgClr>
            </a:pattFill>
            <a:ln w="9525">
              <a:solidFill>
                <a:sysClr val="windowText" lastClr="000000"/>
              </a:solidFill>
            </a:ln>
          </c:spPr>
          <c:invertIfNegative val="0"/>
          <c:cat>
            <c:numRef>
              <c:f>'Sample pots'!$AK$39:$AO$39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54</c:v>
                </c:pt>
                <c:pt idx="3">
                  <c:v>72</c:v>
                </c:pt>
                <c:pt idx="4">
                  <c:v>90</c:v>
                </c:pt>
              </c:numCache>
            </c:numRef>
          </c:cat>
          <c:val>
            <c:numRef>
              <c:f>'Sample pots'!$AK$40:$AO$40</c:f>
              <c:numCache>
                <c:formatCode>General</c:formatCode>
                <c:ptCount val="5"/>
                <c:pt idx="0">
                  <c:v>2.4813895781637734</c:v>
                </c:pt>
                <c:pt idx="1">
                  <c:v>4.5492142266335822</c:v>
                </c:pt>
                <c:pt idx="2">
                  <c:v>4.9627791563275467</c:v>
                </c:pt>
                <c:pt idx="3">
                  <c:v>11.166253101736986</c:v>
                </c:pt>
                <c:pt idx="4">
                  <c:v>6.9272125723738673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C66-4E6E-9932-DFAC2EA3D03D}"/>
            </c:ext>
          </c:extLst>
        </c:ser>
        <c:ser>
          <c:idx val="1"/>
          <c:order val="1"/>
          <c:tx>
            <c:strRef>
              <c:f>'Sample pots'!$AJ$41</c:f>
              <c:strCache>
                <c:ptCount val="1"/>
                <c:pt idx="0">
                  <c:v>System 1</c:v>
                </c:pt>
              </c:strCache>
            </c:strRef>
          </c:tx>
          <c:spPr>
            <a:pattFill prst="horzBrick">
              <a:fgClr>
                <a:sysClr val="windowText" lastClr="000000"/>
              </a:fgClr>
              <a:bgClr>
                <a:sysClr val="window" lastClr="FFFFFF"/>
              </a:bgClr>
            </a:pattFill>
            <a:ln w="3175">
              <a:solidFill>
                <a:sysClr val="windowText" lastClr="000000"/>
              </a:solidFill>
            </a:ln>
          </c:spPr>
          <c:invertIfNegative val="0"/>
          <c:cat>
            <c:numRef>
              <c:f>'Sample pots'!$AK$39:$AO$39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54</c:v>
                </c:pt>
                <c:pt idx="3">
                  <c:v>72</c:v>
                </c:pt>
                <c:pt idx="4">
                  <c:v>90</c:v>
                </c:pt>
              </c:numCache>
            </c:numRef>
          </c:cat>
          <c:val>
            <c:numRef>
              <c:f>'Sample pots'!$AK$41:$AO$41</c:f>
              <c:numCache>
                <c:formatCode>General</c:formatCode>
                <c:ptCount val="5"/>
                <c:pt idx="0">
                  <c:v>15.715467328370558</c:v>
                </c:pt>
                <c:pt idx="1">
                  <c:v>70.409429280397021</c:v>
                </c:pt>
                <c:pt idx="2">
                  <c:v>91.501240694789075</c:v>
                </c:pt>
                <c:pt idx="3">
                  <c:v>97.084367245657575</c:v>
                </c:pt>
                <c:pt idx="4">
                  <c:v>98.118279569892465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C66-4E6E-9932-DFAC2EA3D03D}"/>
            </c:ext>
          </c:extLst>
        </c:ser>
        <c:ser>
          <c:idx val="2"/>
          <c:order val="2"/>
          <c:tx>
            <c:strRef>
              <c:f>'Sample pots'!$AJ$42</c:f>
              <c:strCache>
                <c:ptCount val="1"/>
                <c:pt idx="0">
                  <c:v>System2</c:v>
                </c:pt>
              </c:strCache>
            </c:strRef>
          </c:tx>
          <c:spPr>
            <a:pattFill prst="dkUpDiag">
              <a:fgClr>
                <a:sysClr val="windowText" lastClr="000000"/>
              </a:fgClr>
              <a:bgClr>
                <a:sysClr val="window" lastClr="FFFFFF"/>
              </a:bgClr>
            </a:pattFill>
            <a:ln w="26837">
              <a:noFill/>
            </a:ln>
          </c:spPr>
          <c:invertIfNegative val="0"/>
          <c:cat>
            <c:numRef>
              <c:f>'Sample pots'!$AK$39:$AO$39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54</c:v>
                </c:pt>
                <c:pt idx="3">
                  <c:v>72</c:v>
                </c:pt>
                <c:pt idx="4">
                  <c:v>90</c:v>
                </c:pt>
              </c:numCache>
            </c:numRef>
          </c:cat>
          <c:val>
            <c:numRef>
              <c:f>'Sample pots'!$AK$42:$AO$42</c:f>
              <c:numCache>
                <c:formatCode>General</c:formatCode>
                <c:ptCount val="5"/>
                <c:pt idx="0">
                  <c:v>9.6153846153846292</c:v>
                </c:pt>
                <c:pt idx="1">
                  <c:v>52.832919768403649</c:v>
                </c:pt>
                <c:pt idx="2">
                  <c:v>56.761786600496286</c:v>
                </c:pt>
                <c:pt idx="3">
                  <c:v>95.533498759305203</c:v>
                </c:pt>
                <c:pt idx="4">
                  <c:v>85.8147229114971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C66-4E6E-9932-DFAC2EA3D03D}"/>
            </c:ext>
          </c:extLst>
        </c:ser>
        <c:ser>
          <c:idx val="3"/>
          <c:order val="3"/>
          <c:tx>
            <c:strRef>
              <c:f>'Sample pots'!$AJ$43</c:f>
              <c:strCache>
                <c:ptCount val="1"/>
                <c:pt idx="0">
                  <c:v>System3</c:v>
                </c:pt>
              </c:strCache>
            </c:strRef>
          </c:tx>
          <c:spPr>
            <a:pattFill prst="pct75">
              <a:fgClr>
                <a:sysClr val="windowText" lastClr="000000"/>
              </a:fgClr>
              <a:bgClr>
                <a:sysClr val="window" lastClr="FFFFFF"/>
              </a:bgClr>
            </a:pattFill>
            <a:ln w="26837">
              <a:noFill/>
            </a:ln>
          </c:spPr>
          <c:invertIfNegative val="0"/>
          <c:cat>
            <c:numRef>
              <c:f>'Sample pots'!$AK$39:$AO$39</c:f>
              <c:numCache>
                <c:formatCode>General</c:formatCode>
                <c:ptCount val="5"/>
                <c:pt idx="0">
                  <c:v>18</c:v>
                </c:pt>
                <c:pt idx="1">
                  <c:v>36</c:v>
                </c:pt>
                <c:pt idx="2">
                  <c:v>54</c:v>
                </c:pt>
                <c:pt idx="3">
                  <c:v>72</c:v>
                </c:pt>
                <c:pt idx="4">
                  <c:v>90</c:v>
                </c:pt>
              </c:numCache>
            </c:numRef>
          </c:cat>
          <c:val>
            <c:numRef>
              <c:f>'Sample pots'!$AK$43:$AO$43</c:f>
              <c:numCache>
                <c:formatCode>General</c:formatCode>
                <c:ptCount val="5"/>
                <c:pt idx="0">
                  <c:v>70.099255583126563</c:v>
                </c:pt>
                <c:pt idx="1">
                  <c:v>79.818031430934653</c:v>
                </c:pt>
                <c:pt idx="2">
                  <c:v>96.257237386269651</c:v>
                </c:pt>
                <c:pt idx="3">
                  <c:v>97.601323407775013</c:v>
                </c:pt>
                <c:pt idx="4">
                  <c:v>96.670802315963599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C66-4E6E-9932-DFAC2EA3D0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axId val="-1266390176"/>
        <c:axId val="-1266386368"/>
      </c:barChart>
      <c:catAx>
        <c:axId val="-12663901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Distance (cm)</a:t>
                </a:r>
              </a:p>
            </c:rich>
          </c:tx>
          <c:overlay val="0"/>
          <c:spPr>
            <a:noFill/>
            <a:ln w="26837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noFill/>
          <a:ln w="10064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-1266386368"/>
        <c:crosses val="autoZero"/>
        <c:auto val="1"/>
        <c:lblAlgn val="ctr"/>
        <c:lblOffset val="100"/>
        <c:noMultiLvlLbl val="0"/>
      </c:catAx>
      <c:valAx>
        <c:axId val="-1266386368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Cr(V) reduction (%)</a:t>
                </a:r>
              </a:p>
            </c:rich>
          </c:tx>
          <c:overlay val="0"/>
          <c:spPr>
            <a:noFill/>
            <a:ln w="26837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10064">
            <a:noFill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-1266390176"/>
        <c:crosses val="autoZero"/>
        <c:crossBetween val="between"/>
      </c:valAx>
      <c:spPr>
        <a:noFill/>
        <a:ln w="26769">
          <a:solidFill>
            <a:sysClr val="windowText" lastClr="000000"/>
          </a:solidFill>
        </a:ln>
      </c:spPr>
    </c:plotArea>
    <c:legend>
      <c:legendPos val="r"/>
      <c:overlay val="0"/>
      <c:spPr>
        <a:noFill/>
        <a:ln w="26837">
          <a:noFill/>
        </a:ln>
      </c:spPr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10064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8E35-7F37-4EB5-A77D-F30D03F9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6</Pages>
  <Words>3204</Words>
  <Characters>18263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Dipartimento CMIC - Politecnico di Milano</Company>
  <LinksUpToDate>false</LinksUpToDate>
  <CharactersWithSpaces>21425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</dc:creator>
  <cp:keywords/>
  <dc:description/>
  <cp:lastModifiedBy>Ndumy</cp:lastModifiedBy>
  <cp:revision>13</cp:revision>
  <cp:lastPrinted>2015-05-12T18:31:00Z</cp:lastPrinted>
  <dcterms:created xsi:type="dcterms:W3CDTF">2019-04-11T09:19:00Z</dcterms:created>
  <dcterms:modified xsi:type="dcterms:W3CDTF">2019-04-15T23:57:00Z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id="s8VwuD2U"/&gt;&lt;style id="http://www.zotero.org/styles/chemical-engineering-transactions" hasBibliography="1" bibliographyStyleHasBeenSet="1"/&gt;&lt;prefs&gt;&lt;pref name="fieldType" value="Field"/&gt;&lt;pref na</vt:lpwstr>
  </property>
  <property fmtid="{D5CDD505-2E9C-101B-9397-08002B2CF9AE}" pid="3" name="ZOTERO_PREF_2">
    <vt:lpwstr>me="storeReferences" value="true"/&gt;&lt;pref name="automaticJournalAbbreviations" value=""/&gt;&lt;pref name="noteType" value=""/&gt;&lt;/prefs&gt;&lt;/data&gt;</vt:lpwstr>
  </property>
</Properties>
</file>