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98350B" w:rsidP="00E978D0">
      <w:pPr>
        <w:pStyle w:val="CETTitle"/>
      </w:pPr>
      <w:r w:rsidRPr="0098350B">
        <w:t xml:space="preserve">Production and optimization of the extraction conditions of </w:t>
      </w:r>
      <w:r w:rsidR="00B1696D">
        <w:t>the</w:t>
      </w:r>
      <w:r w:rsidRPr="0098350B">
        <w:t xml:space="preserve"> biosurfactant </w:t>
      </w:r>
      <w:r w:rsidR="00B1696D">
        <w:t xml:space="preserve">from </w:t>
      </w:r>
      <w:r w:rsidRPr="001D164F">
        <w:rPr>
          <w:i/>
        </w:rPr>
        <w:t>Candida utilis</w:t>
      </w:r>
      <w:r w:rsidRPr="0098350B">
        <w:t xml:space="preserve"> UFPEDA1009 with potential application in the food industry</w:t>
      </w:r>
    </w:p>
    <w:p w:rsidR="00E978D0" w:rsidRPr="0098350B" w:rsidRDefault="0098350B" w:rsidP="001D164F">
      <w:pPr>
        <w:pStyle w:val="CETAuthors"/>
        <w:rPr>
          <w:lang w:val="pt-BR"/>
        </w:rPr>
      </w:pPr>
      <w:r w:rsidRPr="0098350B">
        <w:rPr>
          <w:lang w:val="pt-BR"/>
        </w:rPr>
        <w:t xml:space="preserve">Beatriz G. Ribeiro </w:t>
      </w:r>
      <w:r w:rsidRPr="0098350B">
        <w:rPr>
          <w:vertAlign w:val="superscript"/>
          <w:lang w:val="pt-BR"/>
        </w:rPr>
        <w:t>*a</w:t>
      </w:r>
      <w:r w:rsidRPr="0098350B">
        <w:rPr>
          <w:lang w:val="pt-BR"/>
        </w:rPr>
        <w:t>, Márcia M. dos Santos</w:t>
      </w:r>
      <w:r w:rsidRPr="0098350B">
        <w:rPr>
          <w:vertAlign w:val="superscript"/>
          <w:lang w:val="pt-BR"/>
        </w:rPr>
        <w:t>b</w:t>
      </w:r>
      <w:r w:rsidRPr="0098350B">
        <w:rPr>
          <w:lang w:val="pt-BR"/>
        </w:rPr>
        <w:t>, Maria I. S. Pinto</w:t>
      </w:r>
      <w:r w:rsidRPr="0098350B">
        <w:rPr>
          <w:vertAlign w:val="superscript"/>
          <w:lang w:val="pt-BR"/>
        </w:rPr>
        <w:t>c</w:t>
      </w:r>
      <w:r w:rsidRPr="0098350B">
        <w:rPr>
          <w:lang w:val="pt-BR"/>
        </w:rPr>
        <w:t>, Hugo M. Meira</w:t>
      </w:r>
      <w:r w:rsidRPr="0098350B">
        <w:rPr>
          <w:vertAlign w:val="superscript"/>
          <w:lang w:val="pt-BR"/>
        </w:rPr>
        <w:t>c</w:t>
      </w:r>
      <w:r w:rsidRPr="0098350B">
        <w:rPr>
          <w:lang w:val="pt-BR"/>
        </w:rPr>
        <w:t>, Italo J. B. Durval</w:t>
      </w:r>
      <w:r w:rsidRPr="0098350B">
        <w:rPr>
          <w:vertAlign w:val="superscript"/>
          <w:lang w:val="pt-BR"/>
        </w:rPr>
        <w:t>d</w:t>
      </w:r>
      <w:r w:rsidRPr="0098350B">
        <w:rPr>
          <w:lang w:val="pt-BR"/>
        </w:rPr>
        <w:t>, Jenyffer M. C. Guerra</w:t>
      </w:r>
      <w:r w:rsidRPr="0098350B">
        <w:rPr>
          <w:vertAlign w:val="superscript"/>
          <w:lang w:val="pt-BR"/>
        </w:rPr>
        <w:t>b</w:t>
      </w:r>
      <w:r w:rsidRPr="0098350B">
        <w:rPr>
          <w:lang w:val="pt-BR"/>
        </w:rPr>
        <w:t>, Leonie A. Sarubbo</w:t>
      </w:r>
      <w:r w:rsidRPr="0098350B">
        <w:rPr>
          <w:vertAlign w:val="superscript"/>
          <w:lang w:val="pt-BR"/>
        </w:rPr>
        <w:t>c,e</w:t>
      </w:r>
    </w:p>
    <w:p w:rsidR="0098350B" w:rsidRPr="0098350B" w:rsidRDefault="0098350B" w:rsidP="0098350B">
      <w:pPr>
        <w:autoSpaceDE w:val="0"/>
        <w:autoSpaceDN w:val="0"/>
        <w:adjustRightInd w:val="0"/>
        <w:rPr>
          <w:rFonts w:cs="Arial"/>
          <w:sz w:val="16"/>
          <w:szCs w:val="16"/>
          <w:lang w:val="pt-BR"/>
        </w:rPr>
      </w:pPr>
      <w:proofErr w:type="spellStart"/>
      <w:r w:rsidRPr="0098350B">
        <w:rPr>
          <w:rFonts w:cs="Arial"/>
          <w:sz w:val="16"/>
          <w:szCs w:val="24"/>
          <w:vertAlign w:val="superscript"/>
          <w:lang w:val="pt-BR"/>
        </w:rPr>
        <w:t>a</w:t>
      </w:r>
      <w:r w:rsidRPr="0098350B">
        <w:rPr>
          <w:rFonts w:cs="Arial"/>
          <w:sz w:val="16"/>
          <w:szCs w:val="16"/>
          <w:lang w:val="pt-BR"/>
        </w:rPr>
        <w:t>Department</w:t>
      </w:r>
      <w:proofErr w:type="spellEnd"/>
      <w:r w:rsidRPr="0098350B">
        <w:rPr>
          <w:rFonts w:cs="Arial"/>
          <w:sz w:val="16"/>
          <w:szCs w:val="16"/>
          <w:lang w:val="pt-BR"/>
        </w:rPr>
        <w:t xml:space="preserve"> of </w:t>
      </w:r>
      <w:proofErr w:type="spellStart"/>
      <w:r w:rsidRPr="0098350B">
        <w:rPr>
          <w:rFonts w:cs="Arial"/>
          <w:sz w:val="16"/>
          <w:szCs w:val="16"/>
          <w:lang w:val="pt-BR"/>
        </w:rPr>
        <w:t>antibiotics</w:t>
      </w:r>
      <w:proofErr w:type="spellEnd"/>
      <w:r w:rsidRPr="0098350B">
        <w:rPr>
          <w:rFonts w:cs="Arial"/>
          <w:sz w:val="16"/>
          <w:szCs w:val="16"/>
          <w:lang w:val="pt-BR"/>
        </w:rPr>
        <w:t xml:space="preserve">, Federal </w:t>
      </w:r>
      <w:proofErr w:type="spellStart"/>
      <w:r w:rsidRPr="0098350B">
        <w:rPr>
          <w:rFonts w:cs="Arial"/>
          <w:sz w:val="16"/>
          <w:szCs w:val="16"/>
          <w:lang w:val="pt-BR"/>
        </w:rPr>
        <w:t>University</w:t>
      </w:r>
      <w:proofErr w:type="spellEnd"/>
      <w:r w:rsidRPr="0098350B">
        <w:rPr>
          <w:rFonts w:cs="Arial"/>
          <w:sz w:val="16"/>
          <w:szCs w:val="16"/>
          <w:lang w:val="pt-BR"/>
        </w:rPr>
        <w:t xml:space="preserve"> of Pernambuco, Avenida dos Economistas, S/N, Cidade Universitária, Zip </w:t>
      </w:r>
      <w:proofErr w:type="spellStart"/>
      <w:r w:rsidRPr="0098350B">
        <w:rPr>
          <w:rFonts w:cs="Arial"/>
          <w:sz w:val="16"/>
          <w:szCs w:val="16"/>
          <w:lang w:val="pt-BR"/>
        </w:rPr>
        <w:t>Code</w:t>
      </w:r>
      <w:proofErr w:type="spellEnd"/>
      <w:r w:rsidRPr="0098350B">
        <w:rPr>
          <w:rFonts w:cs="Arial"/>
          <w:sz w:val="16"/>
          <w:szCs w:val="16"/>
          <w:lang w:val="pt-BR"/>
        </w:rPr>
        <w:t xml:space="preserve">: 52171-011, Recife, </w:t>
      </w:r>
      <w:proofErr w:type="spellStart"/>
      <w:r w:rsidRPr="0098350B">
        <w:rPr>
          <w:rFonts w:cs="Arial"/>
          <w:sz w:val="16"/>
          <w:szCs w:val="16"/>
          <w:lang w:val="pt-BR"/>
        </w:rPr>
        <w:t>Pernambuco,Brazil</w:t>
      </w:r>
      <w:proofErr w:type="spellEnd"/>
    </w:p>
    <w:p w:rsidR="0098350B" w:rsidRPr="0098350B" w:rsidRDefault="0098350B" w:rsidP="0098350B">
      <w:pPr>
        <w:autoSpaceDE w:val="0"/>
        <w:autoSpaceDN w:val="0"/>
        <w:adjustRightInd w:val="0"/>
        <w:rPr>
          <w:rFonts w:cs="Arial"/>
          <w:sz w:val="16"/>
          <w:szCs w:val="16"/>
          <w:lang w:val="pt-BR"/>
        </w:rPr>
      </w:pPr>
      <w:proofErr w:type="spellStart"/>
      <w:r w:rsidRPr="0098350B">
        <w:rPr>
          <w:rFonts w:cs="Arial"/>
          <w:sz w:val="16"/>
          <w:szCs w:val="24"/>
          <w:vertAlign w:val="superscript"/>
          <w:lang w:val="pt-BR"/>
        </w:rPr>
        <w:t>b</w:t>
      </w:r>
      <w:r w:rsidRPr="0098350B">
        <w:rPr>
          <w:rFonts w:cs="Arial"/>
          <w:sz w:val="16"/>
          <w:szCs w:val="16"/>
          <w:lang w:val="pt-BR"/>
        </w:rPr>
        <w:t>Department</w:t>
      </w:r>
      <w:proofErr w:type="spellEnd"/>
      <w:r w:rsidRPr="0098350B">
        <w:rPr>
          <w:rFonts w:cs="Arial"/>
          <w:sz w:val="16"/>
          <w:szCs w:val="16"/>
          <w:lang w:val="pt-BR"/>
        </w:rPr>
        <w:t xml:space="preserve"> of </w:t>
      </w:r>
      <w:proofErr w:type="spellStart"/>
      <w:r w:rsidRPr="0098350B">
        <w:rPr>
          <w:rFonts w:cs="Arial"/>
          <w:sz w:val="16"/>
          <w:szCs w:val="16"/>
          <w:lang w:val="pt-BR"/>
        </w:rPr>
        <w:t>ChemicalEngineering</w:t>
      </w:r>
      <w:proofErr w:type="spellEnd"/>
      <w:r w:rsidRPr="0098350B">
        <w:rPr>
          <w:rFonts w:cs="Arial"/>
          <w:sz w:val="16"/>
          <w:szCs w:val="16"/>
          <w:lang w:val="pt-BR"/>
        </w:rPr>
        <w:t xml:space="preserve">, Federal </w:t>
      </w:r>
      <w:proofErr w:type="spellStart"/>
      <w:r w:rsidRPr="0098350B">
        <w:rPr>
          <w:rFonts w:cs="Arial"/>
          <w:sz w:val="16"/>
          <w:szCs w:val="16"/>
          <w:lang w:val="pt-BR"/>
        </w:rPr>
        <w:t>University</w:t>
      </w:r>
      <w:proofErr w:type="spellEnd"/>
      <w:r w:rsidRPr="0098350B">
        <w:rPr>
          <w:rFonts w:cs="Arial"/>
          <w:sz w:val="16"/>
          <w:szCs w:val="16"/>
          <w:lang w:val="pt-BR"/>
        </w:rPr>
        <w:t xml:space="preserve"> of Pernambuco, Rua Artur de Sá, S/N, Cidade Universitária, Zip </w:t>
      </w:r>
      <w:proofErr w:type="spellStart"/>
      <w:r w:rsidRPr="0098350B">
        <w:rPr>
          <w:rFonts w:cs="Arial"/>
          <w:sz w:val="16"/>
          <w:szCs w:val="16"/>
          <w:lang w:val="pt-BR"/>
        </w:rPr>
        <w:t>Code</w:t>
      </w:r>
      <w:proofErr w:type="spellEnd"/>
      <w:r w:rsidRPr="0098350B">
        <w:rPr>
          <w:rFonts w:cs="Arial"/>
          <w:sz w:val="16"/>
          <w:szCs w:val="16"/>
          <w:lang w:val="pt-BR"/>
        </w:rPr>
        <w:t xml:space="preserve">: 50740-521, Recife, Pernambuco, </w:t>
      </w:r>
      <w:proofErr w:type="spellStart"/>
      <w:r w:rsidRPr="0098350B">
        <w:rPr>
          <w:rFonts w:cs="Arial"/>
          <w:sz w:val="16"/>
          <w:szCs w:val="16"/>
          <w:lang w:val="pt-BR"/>
        </w:rPr>
        <w:t>Brazil</w:t>
      </w:r>
      <w:proofErr w:type="spellEnd"/>
    </w:p>
    <w:p w:rsidR="0098350B" w:rsidRPr="0098350B" w:rsidRDefault="0098350B" w:rsidP="0098350B">
      <w:pPr>
        <w:autoSpaceDE w:val="0"/>
        <w:autoSpaceDN w:val="0"/>
        <w:adjustRightInd w:val="0"/>
        <w:rPr>
          <w:rFonts w:cs="Arial"/>
          <w:sz w:val="16"/>
          <w:szCs w:val="16"/>
          <w:lang w:val="pt-BR"/>
        </w:rPr>
      </w:pPr>
      <w:proofErr w:type="spellStart"/>
      <w:r w:rsidRPr="0098350B">
        <w:rPr>
          <w:rFonts w:cs="Arial"/>
          <w:sz w:val="16"/>
          <w:szCs w:val="24"/>
          <w:vertAlign w:val="superscript"/>
          <w:lang w:val="pt-BR"/>
        </w:rPr>
        <w:t>c</w:t>
      </w:r>
      <w:r w:rsidRPr="0098350B">
        <w:rPr>
          <w:rFonts w:cs="Arial"/>
          <w:sz w:val="16"/>
          <w:szCs w:val="16"/>
          <w:lang w:val="pt-BR"/>
        </w:rPr>
        <w:t>Centre</w:t>
      </w:r>
      <w:proofErr w:type="spellEnd"/>
      <w:r w:rsidRPr="0098350B">
        <w:rPr>
          <w:rFonts w:cs="Arial"/>
          <w:sz w:val="16"/>
          <w:szCs w:val="16"/>
          <w:lang w:val="pt-BR"/>
        </w:rPr>
        <w:t xml:space="preserve"> of Science and Technology, </w:t>
      </w:r>
      <w:proofErr w:type="spellStart"/>
      <w:r w:rsidRPr="0098350B">
        <w:rPr>
          <w:rFonts w:cs="Arial"/>
          <w:sz w:val="16"/>
          <w:szCs w:val="16"/>
          <w:lang w:val="pt-BR"/>
        </w:rPr>
        <w:t>CatholicUniversityof</w:t>
      </w:r>
      <w:proofErr w:type="spellEnd"/>
      <w:r w:rsidRPr="0098350B">
        <w:rPr>
          <w:rFonts w:cs="Arial"/>
          <w:sz w:val="16"/>
          <w:szCs w:val="16"/>
          <w:lang w:val="pt-BR"/>
        </w:rPr>
        <w:t xml:space="preserve"> Pernambuco, Rua do Príncipe, n. 526, Boa Vista, Zip </w:t>
      </w:r>
      <w:proofErr w:type="spellStart"/>
      <w:r w:rsidRPr="0098350B">
        <w:rPr>
          <w:rFonts w:cs="Arial"/>
          <w:sz w:val="16"/>
          <w:szCs w:val="16"/>
          <w:lang w:val="pt-BR"/>
        </w:rPr>
        <w:t>Code</w:t>
      </w:r>
      <w:proofErr w:type="spellEnd"/>
      <w:r w:rsidRPr="0098350B">
        <w:rPr>
          <w:rFonts w:cs="Arial"/>
          <w:sz w:val="16"/>
          <w:szCs w:val="16"/>
          <w:lang w:val="pt-BR"/>
        </w:rPr>
        <w:t xml:space="preserve">: 50050-900, Recife, Pernambuco, </w:t>
      </w:r>
      <w:proofErr w:type="spellStart"/>
      <w:r w:rsidRPr="0098350B">
        <w:rPr>
          <w:rFonts w:cs="Arial"/>
          <w:sz w:val="16"/>
          <w:szCs w:val="16"/>
          <w:lang w:val="pt-BR"/>
        </w:rPr>
        <w:t>Brazil</w:t>
      </w:r>
      <w:proofErr w:type="spellEnd"/>
    </w:p>
    <w:p w:rsidR="0098350B" w:rsidRPr="0098350B" w:rsidRDefault="0098350B" w:rsidP="0098350B">
      <w:pPr>
        <w:autoSpaceDE w:val="0"/>
        <w:autoSpaceDN w:val="0"/>
        <w:adjustRightInd w:val="0"/>
        <w:rPr>
          <w:rFonts w:cs="Arial"/>
          <w:sz w:val="16"/>
          <w:szCs w:val="16"/>
          <w:lang w:val="pt-BR"/>
        </w:rPr>
      </w:pPr>
      <w:proofErr w:type="spellStart"/>
      <w:r w:rsidRPr="0098350B">
        <w:rPr>
          <w:rFonts w:cs="Arial"/>
          <w:sz w:val="16"/>
          <w:szCs w:val="24"/>
          <w:vertAlign w:val="superscript"/>
          <w:lang w:val="pt-BR"/>
        </w:rPr>
        <w:t>d</w:t>
      </w:r>
      <w:r w:rsidRPr="0098350B">
        <w:rPr>
          <w:rFonts w:cs="Arial"/>
          <w:sz w:val="16"/>
          <w:szCs w:val="16"/>
          <w:lang w:val="pt-BR"/>
        </w:rPr>
        <w:t>NortheastBiotechnology</w:t>
      </w:r>
      <w:proofErr w:type="spellEnd"/>
      <w:r w:rsidRPr="0098350B">
        <w:rPr>
          <w:rFonts w:cs="Arial"/>
          <w:sz w:val="16"/>
          <w:szCs w:val="16"/>
          <w:lang w:val="pt-BR"/>
        </w:rPr>
        <w:t xml:space="preserve"> Network (RENORBIO) - Federal Rural </w:t>
      </w:r>
      <w:proofErr w:type="spellStart"/>
      <w:r w:rsidRPr="0098350B">
        <w:rPr>
          <w:rFonts w:cs="Arial"/>
          <w:sz w:val="16"/>
          <w:szCs w:val="16"/>
          <w:lang w:val="pt-BR"/>
        </w:rPr>
        <w:t>University</w:t>
      </w:r>
      <w:proofErr w:type="spellEnd"/>
      <w:r w:rsidRPr="0098350B">
        <w:rPr>
          <w:rFonts w:cs="Arial"/>
          <w:sz w:val="16"/>
          <w:szCs w:val="16"/>
          <w:lang w:val="pt-BR"/>
        </w:rPr>
        <w:t xml:space="preserve"> of Pernambuco, Rua Manuel de Medeiros, S/N, Dois Irmãos, Zip </w:t>
      </w:r>
      <w:proofErr w:type="spellStart"/>
      <w:r w:rsidRPr="0098350B">
        <w:rPr>
          <w:rFonts w:cs="Arial"/>
          <w:sz w:val="16"/>
          <w:szCs w:val="16"/>
          <w:lang w:val="pt-BR"/>
        </w:rPr>
        <w:t>code</w:t>
      </w:r>
      <w:proofErr w:type="spellEnd"/>
      <w:r w:rsidRPr="0098350B">
        <w:rPr>
          <w:rFonts w:cs="Arial"/>
          <w:sz w:val="16"/>
          <w:szCs w:val="16"/>
          <w:lang w:val="pt-BR"/>
        </w:rPr>
        <w:t xml:space="preserve">: 52171-900, Recife, Pernambuco, </w:t>
      </w:r>
      <w:proofErr w:type="spellStart"/>
      <w:r w:rsidRPr="0098350B">
        <w:rPr>
          <w:rFonts w:cs="Arial"/>
          <w:sz w:val="16"/>
          <w:szCs w:val="16"/>
          <w:lang w:val="pt-BR"/>
        </w:rPr>
        <w:t>Brazil</w:t>
      </w:r>
      <w:proofErr w:type="spellEnd"/>
    </w:p>
    <w:p w:rsidR="0098350B" w:rsidRPr="0098350B" w:rsidRDefault="0098350B" w:rsidP="0098350B">
      <w:pPr>
        <w:autoSpaceDE w:val="0"/>
        <w:autoSpaceDN w:val="0"/>
        <w:adjustRightInd w:val="0"/>
        <w:rPr>
          <w:rFonts w:cs="Arial"/>
          <w:sz w:val="16"/>
          <w:szCs w:val="16"/>
          <w:lang w:val="pt-BR"/>
        </w:rPr>
      </w:pPr>
      <w:proofErr w:type="spellStart"/>
      <w:r w:rsidRPr="0098350B">
        <w:rPr>
          <w:rFonts w:cs="Arial"/>
          <w:sz w:val="16"/>
          <w:szCs w:val="16"/>
          <w:vertAlign w:val="superscript"/>
          <w:lang w:val="pt-BR"/>
        </w:rPr>
        <w:t>e</w:t>
      </w:r>
      <w:r w:rsidR="00AD6E0B" w:rsidRPr="00AD6E0B">
        <w:rPr>
          <w:rStyle w:val="hps"/>
          <w:rFonts w:cs="Arial"/>
          <w:sz w:val="16"/>
          <w:szCs w:val="16"/>
          <w:lang w:val="pt-BR"/>
        </w:rPr>
        <w:t>Advanced</w:t>
      </w:r>
      <w:proofErr w:type="spellEnd"/>
      <w:r w:rsidR="00AD6E0B" w:rsidRPr="00AD6E0B">
        <w:rPr>
          <w:rStyle w:val="hps"/>
          <w:rFonts w:cs="Arial"/>
          <w:sz w:val="16"/>
          <w:szCs w:val="16"/>
          <w:lang w:val="pt-BR"/>
        </w:rPr>
        <w:t xml:space="preserve"> </w:t>
      </w:r>
      <w:proofErr w:type="spellStart"/>
      <w:r w:rsidR="00AD6E0B" w:rsidRPr="00AD6E0B">
        <w:rPr>
          <w:rStyle w:val="hps"/>
          <w:rFonts w:cs="Arial"/>
          <w:sz w:val="16"/>
          <w:szCs w:val="16"/>
          <w:lang w:val="pt-BR"/>
        </w:rPr>
        <w:t>Institute</w:t>
      </w:r>
      <w:proofErr w:type="spellEnd"/>
      <w:r w:rsidR="00AD6E0B" w:rsidRPr="00AD6E0B">
        <w:rPr>
          <w:rStyle w:val="hps"/>
          <w:rFonts w:cs="Arial"/>
          <w:sz w:val="16"/>
          <w:szCs w:val="16"/>
          <w:lang w:val="pt-BR"/>
        </w:rPr>
        <w:t xml:space="preserve"> of Technology and </w:t>
      </w:r>
      <w:proofErr w:type="spellStart"/>
      <w:r w:rsidR="00AD6E0B" w:rsidRPr="00AD6E0B">
        <w:rPr>
          <w:rStyle w:val="hps"/>
          <w:rFonts w:cs="Arial"/>
          <w:sz w:val="16"/>
          <w:szCs w:val="16"/>
          <w:lang w:val="pt-BR"/>
        </w:rPr>
        <w:t>Innovation</w:t>
      </w:r>
      <w:proofErr w:type="spellEnd"/>
      <w:r w:rsidR="00AD6E0B" w:rsidRPr="00AD6E0B">
        <w:rPr>
          <w:rStyle w:val="hps"/>
          <w:rFonts w:cs="Arial"/>
          <w:sz w:val="16"/>
          <w:szCs w:val="16"/>
          <w:lang w:val="pt-BR"/>
        </w:rPr>
        <w:t xml:space="preserve"> (IATI), Rua Joaquim de Brito, n. 216, Boa Vista, CEP: 50070-280, Recife, Pernambuco, </w:t>
      </w:r>
      <w:proofErr w:type="spellStart"/>
      <w:r w:rsidR="00AD6E0B" w:rsidRPr="00AD6E0B">
        <w:rPr>
          <w:rStyle w:val="hps"/>
          <w:rFonts w:cs="Arial"/>
          <w:sz w:val="16"/>
          <w:szCs w:val="16"/>
          <w:lang w:val="pt-BR"/>
        </w:rPr>
        <w:t>Brazil</w:t>
      </w:r>
      <w:proofErr w:type="spellEnd"/>
    </w:p>
    <w:p w:rsidR="0098350B" w:rsidRPr="008C11DE" w:rsidRDefault="0098350B" w:rsidP="0098350B">
      <w:pPr>
        <w:autoSpaceDE w:val="0"/>
        <w:autoSpaceDN w:val="0"/>
        <w:adjustRightInd w:val="0"/>
        <w:rPr>
          <w:rFonts w:cs="Arial"/>
          <w:b/>
          <w:sz w:val="16"/>
          <w:szCs w:val="16"/>
          <w:lang w:val="pt-BR"/>
        </w:rPr>
      </w:pPr>
      <w:r w:rsidRPr="008C11DE">
        <w:rPr>
          <w:rFonts w:cs="Arial"/>
          <w:sz w:val="16"/>
          <w:szCs w:val="16"/>
          <w:lang w:val="pt-BR"/>
        </w:rPr>
        <w:t>*beatrizgaldinoribeiro@gmail.com</w:t>
      </w:r>
    </w:p>
    <w:p w:rsidR="00E978D0" w:rsidRPr="008C11DE" w:rsidRDefault="00AB5011" w:rsidP="00E978D0">
      <w:pPr>
        <w:pStyle w:val="CETemail"/>
        <w:rPr>
          <w:lang w:val="pt-BR"/>
        </w:rPr>
      </w:pPr>
      <w:r w:rsidRPr="008C11DE">
        <w:rPr>
          <w:lang w:val="pt-BR"/>
        </w:rPr>
        <w:t xml:space="preserve"> </w:t>
      </w:r>
    </w:p>
    <w:p w:rsidR="0098350B" w:rsidRPr="0098350B" w:rsidRDefault="0098350B" w:rsidP="0098350B">
      <w:pPr>
        <w:pStyle w:val="CETBodytext"/>
        <w:rPr>
          <w:lang w:val="en-GB"/>
        </w:rPr>
      </w:pPr>
      <w:r w:rsidRPr="00F265B8">
        <w:rPr>
          <w:rFonts w:cs="Arial"/>
          <w:szCs w:val="18"/>
        </w:rPr>
        <w:t xml:space="preserve">Biosurfactants </w:t>
      </w:r>
      <w:r w:rsidR="007B44CF">
        <w:rPr>
          <w:rFonts w:cs="Arial"/>
          <w:szCs w:val="18"/>
        </w:rPr>
        <w:t>are amphipathic molecules with</w:t>
      </w:r>
      <w:r w:rsidRPr="00F265B8">
        <w:rPr>
          <w:rFonts w:cs="Arial"/>
          <w:szCs w:val="18"/>
        </w:rPr>
        <w:t xml:space="preserve"> capacity to reduce the surface and </w:t>
      </w:r>
      <w:r w:rsidR="0056410D">
        <w:rPr>
          <w:rFonts w:cs="Arial"/>
          <w:szCs w:val="18"/>
        </w:rPr>
        <w:t>interfacial</w:t>
      </w:r>
      <w:r w:rsidRPr="00F265B8">
        <w:rPr>
          <w:rFonts w:cs="Arial"/>
          <w:szCs w:val="18"/>
        </w:rPr>
        <w:t xml:space="preserve"> tension of aqueous solutions, arousing great industrial interest due to the diversity of structures and production from renewable sources, allowing the obtention of products with unique characteristics. In the food industry, for example, the use of biosurfactants produced by some yeasts is very promising, since they do not present any risk of toxicity and pathogenicity, </w:t>
      </w:r>
      <w:r w:rsidR="007B44CF">
        <w:rPr>
          <w:rFonts w:cs="Arial"/>
          <w:szCs w:val="18"/>
        </w:rPr>
        <w:t xml:space="preserve">and can be applied in </w:t>
      </w:r>
      <w:r w:rsidRPr="00F265B8">
        <w:rPr>
          <w:rFonts w:cs="Arial"/>
          <w:szCs w:val="18"/>
        </w:rPr>
        <w:t>emulsification,</w:t>
      </w:r>
      <w:r w:rsidR="007B44CF">
        <w:rPr>
          <w:rFonts w:cs="Arial"/>
          <w:szCs w:val="18"/>
        </w:rPr>
        <w:t xml:space="preserve"> for</w:t>
      </w:r>
      <w:r w:rsidRPr="00F265B8">
        <w:rPr>
          <w:rFonts w:cs="Arial"/>
          <w:szCs w:val="18"/>
        </w:rPr>
        <w:t xml:space="preserve"> improvement of mass texture, </w:t>
      </w:r>
      <w:r w:rsidR="007B44CF">
        <w:rPr>
          <w:rFonts w:cs="Arial"/>
          <w:szCs w:val="18"/>
        </w:rPr>
        <w:t>as antimicrobial agents</w:t>
      </w:r>
      <w:r w:rsidRPr="00F265B8">
        <w:rPr>
          <w:rFonts w:cs="Arial"/>
          <w:szCs w:val="18"/>
        </w:rPr>
        <w:t xml:space="preserve"> and </w:t>
      </w:r>
      <w:r w:rsidR="007B44CF">
        <w:rPr>
          <w:rFonts w:cs="Arial"/>
          <w:szCs w:val="18"/>
        </w:rPr>
        <w:t xml:space="preserve">in the </w:t>
      </w:r>
      <w:r w:rsidRPr="00F265B8">
        <w:rPr>
          <w:rFonts w:cs="Arial"/>
          <w:szCs w:val="18"/>
        </w:rPr>
        <w:t xml:space="preserve">replacement of fats. Thus, the aim of this work was to produce a biosurfactant by the yeast </w:t>
      </w:r>
      <w:r w:rsidRPr="00F265B8">
        <w:rPr>
          <w:rFonts w:cs="Arial"/>
          <w:i/>
          <w:szCs w:val="18"/>
        </w:rPr>
        <w:t>Candida utilis</w:t>
      </w:r>
      <w:r w:rsidRPr="00F265B8">
        <w:rPr>
          <w:rFonts w:cs="Arial"/>
          <w:szCs w:val="18"/>
        </w:rPr>
        <w:t xml:space="preserve"> UFPEDA1009 with potential application as an emulsifier</w:t>
      </w:r>
      <w:r w:rsidR="00B1696D" w:rsidRPr="00B1696D">
        <w:rPr>
          <w:rFonts w:cs="Arial"/>
          <w:szCs w:val="18"/>
        </w:rPr>
        <w:t xml:space="preserve"> </w:t>
      </w:r>
      <w:r w:rsidR="00B1696D">
        <w:rPr>
          <w:rFonts w:cs="Arial"/>
          <w:szCs w:val="18"/>
        </w:rPr>
        <w:t xml:space="preserve">in </w:t>
      </w:r>
      <w:r w:rsidR="00B1696D" w:rsidRPr="00F265B8">
        <w:rPr>
          <w:rFonts w:cs="Arial"/>
          <w:szCs w:val="18"/>
        </w:rPr>
        <w:t>food</w:t>
      </w:r>
      <w:r w:rsidR="00B1696D">
        <w:rPr>
          <w:rFonts w:cs="Arial"/>
          <w:szCs w:val="18"/>
        </w:rPr>
        <w:t>s</w:t>
      </w:r>
      <w:r w:rsidRPr="00F265B8">
        <w:rPr>
          <w:rFonts w:cs="Arial"/>
          <w:szCs w:val="18"/>
        </w:rPr>
        <w:t xml:space="preserve">. The yeast was grown in mineral medium containing 6% canola frying oil and 6% glucose, under 150 rpm </w:t>
      </w:r>
      <w:r w:rsidR="007B44CF">
        <w:rPr>
          <w:rFonts w:cs="Arial"/>
          <w:szCs w:val="18"/>
        </w:rPr>
        <w:t xml:space="preserve">agitation </w:t>
      </w:r>
      <w:r w:rsidRPr="00F265B8">
        <w:rPr>
          <w:rFonts w:cs="Arial"/>
          <w:szCs w:val="18"/>
        </w:rPr>
        <w:t>for 88 h at 28</w:t>
      </w:r>
      <w:r>
        <w:rPr>
          <w:rFonts w:cs="Arial"/>
          <w:szCs w:val="18"/>
        </w:rPr>
        <w:t xml:space="preserve"> </w:t>
      </w:r>
      <w:r w:rsidRPr="00F265B8">
        <w:rPr>
          <w:rFonts w:cs="Arial"/>
          <w:szCs w:val="18"/>
        </w:rPr>
        <w:t xml:space="preserve">°C. After the production process, the surface and </w:t>
      </w:r>
      <w:r w:rsidR="0056410D">
        <w:rPr>
          <w:rFonts w:cs="Arial"/>
          <w:szCs w:val="18"/>
        </w:rPr>
        <w:t>interfacial</w:t>
      </w:r>
      <w:r w:rsidRPr="00F265B8">
        <w:rPr>
          <w:rFonts w:cs="Arial"/>
          <w:szCs w:val="18"/>
        </w:rPr>
        <w:t xml:space="preserve"> tension, yield and Critical Micelle Concentration (CMC), as well as the particle size distribution of emulsions</w:t>
      </w:r>
      <w:r w:rsidR="00B1696D">
        <w:rPr>
          <w:rFonts w:cs="Arial"/>
          <w:szCs w:val="18"/>
        </w:rPr>
        <w:t xml:space="preserve"> were determined.</w:t>
      </w:r>
      <w:r w:rsidRPr="00F265B8">
        <w:rPr>
          <w:rFonts w:cs="Arial"/>
          <w:szCs w:val="18"/>
        </w:rPr>
        <w:t xml:space="preserve"> </w:t>
      </w:r>
      <w:r w:rsidR="00B1696D">
        <w:rPr>
          <w:rFonts w:cs="Arial"/>
          <w:szCs w:val="18"/>
        </w:rPr>
        <w:t>T</w:t>
      </w:r>
      <w:r w:rsidRPr="00F265B8">
        <w:rPr>
          <w:rFonts w:cs="Arial"/>
          <w:szCs w:val="18"/>
        </w:rPr>
        <w:t xml:space="preserve">he surface and </w:t>
      </w:r>
      <w:r w:rsidR="0056410D">
        <w:rPr>
          <w:rFonts w:cs="Arial"/>
          <w:szCs w:val="18"/>
        </w:rPr>
        <w:t>interfacial</w:t>
      </w:r>
      <w:r w:rsidRPr="00F265B8">
        <w:rPr>
          <w:rFonts w:cs="Arial"/>
          <w:szCs w:val="18"/>
        </w:rPr>
        <w:t xml:space="preserve"> tensions obtained were, respectively, 35.33 ± 0.19 and 2.53 ± 0.02 </w:t>
      </w:r>
      <w:proofErr w:type="spellStart"/>
      <w:r w:rsidRPr="00F265B8">
        <w:rPr>
          <w:rFonts w:cs="Arial"/>
          <w:szCs w:val="18"/>
        </w:rPr>
        <w:t>mN</w:t>
      </w:r>
      <w:proofErr w:type="spellEnd"/>
      <w:r w:rsidRPr="00F265B8">
        <w:rPr>
          <w:rFonts w:cs="Arial"/>
          <w:szCs w:val="18"/>
        </w:rPr>
        <w:t xml:space="preserve">/m, with </w:t>
      </w:r>
      <w:r w:rsidR="007B44CF">
        <w:rPr>
          <w:rFonts w:cs="Arial"/>
          <w:szCs w:val="18"/>
        </w:rPr>
        <w:t xml:space="preserve">biosurfactant </w:t>
      </w:r>
      <w:r w:rsidRPr="00F265B8">
        <w:rPr>
          <w:rFonts w:cs="Arial"/>
          <w:szCs w:val="18"/>
        </w:rPr>
        <w:t>yield varying from 13.10 ± 0.04 to 48. 05 ± 0.21 g/L. The biosurfactant CMC was 0.6 g</w:t>
      </w:r>
      <w:r w:rsidR="00B1696D">
        <w:rPr>
          <w:rFonts w:cs="Arial"/>
          <w:szCs w:val="18"/>
        </w:rPr>
        <w:t>/</w:t>
      </w:r>
      <w:r w:rsidRPr="00F265B8">
        <w:rPr>
          <w:rFonts w:cs="Arial"/>
          <w:szCs w:val="18"/>
        </w:rPr>
        <w:t xml:space="preserve">L. </w:t>
      </w:r>
      <w:r w:rsidR="00B1696D">
        <w:rPr>
          <w:rFonts w:cs="Arial"/>
          <w:szCs w:val="18"/>
        </w:rPr>
        <w:t>The</w:t>
      </w:r>
      <w:r w:rsidRPr="00F265B8">
        <w:rPr>
          <w:rFonts w:cs="Arial"/>
          <w:szCs w:val="18"/>
        </w:rPr>
        <w:t xml:space="preserve"> emulsions </w:t>
      </w:r>
      <w:r w:rsidR="00B1696D">
        <w:rPr>
          <w:rFonts w:cs="Arial"/>
          <w:szCs w:val="18"/>
        </w:rPr>
        <w:t>showed</w:t>
      </w:r>
      <w:r w:rsidRPr="00F265B8">
        <w:rPr>
          <w:rFonts w:cs="Arial"/>
          <w:szCs w:val="18"/>
        </w:rPr>
        <w:t xml:space="preserve"> small particle sizes, with uniform shape and more separated particles, appearing resistance to coalescence. In general, it was observed that the increase in the concentration of the biosurfactant resulted in the decrease of the particle size, that is, the higher the concentration of a given biosurfactant, the greater the stability of the emulsion.</w:t>
      </w:r>
      <w:r>
        <w:rPr>
          <w:rFonts w:cs="Arial"/>
          <w:szCs w:val="18"/>
        </w:rPr>
        <w:t xml:space="preserve"> </w:t>
      </w:r>
      <w:r w:rsidRPr="006A6359">
        <w:rPr>
          <w:rFonts w:cs="Arial"/>
          <w:szCs w:val="18"/>
        </w:rPr>
        <w:t xml:space="preserve">The microbial surfactant was incorporated in the mass of a biscuit formulation in substitution of the animal fat, </w:t>
      </w:r>
      <w:r w:rsidR="007B44CF">
        <w:rPr>
          <w:rFonts w:cs="Arial"/>
          <w:szCs w:val="18"/>
        </w:rPr>
        <w:t xml:space="preserve">which showed </w:t>
      </w:r>
      <w:r w:rsidRPr="006A6359">
        <w:rPr>
          <w:rFonts w:cs="Arial"/>
          <w:szCs w:val="18"/>
        </w:rPr>
        <w:t xml:space="preserve">improvements in the texture profile of </w:t>
      </w:r>
      <w:r w:rsidR="007B44CF">
        <w:rPr>
          <w:rFonts w:cs="Arial"/>
          <w:szCs w:val="18"/>
        </w:rPr>
        <w:t>its</w:t>
      </w:r>
      <w:r w:rsidRPr="006A6359">
        <w:rPr>
          <w:rFonts w:cs="Arial"/>
          <w:szCs w:val="18"/>
        </w:rPr>
        <w:t xml:space="preserve"> mass.</w:t>
      </w:r>
      <w:r w:rsidRPr="00F265B8">
        <w:rPr>
          <w:rFonts w:cs="Arial"/>
          <w:szCs w:val="18"/>
        </w:rPr>
        <w:t xml:space="preserve"> Therefore, the biosurfactant produced is promising for application in food formulations as an emulsifier</w:t>
      </w:r>
      <w:r w:rsidR="00B1696D">
        <w:rPr>
          <w:rFonts w:cs="Arial"/>
          <w:szCs w:val="18"/>
        </w:rPr>
        <w:t>.</w:t>
      </w:r>
    </w:p>
    <w:p w:rsidR="00600535" w:rsidRDefault="00600535" w:rsidP="00600535">
      <w:pPr>
        <w:pStyle w:val="CETHeading1"/>
        <w:rPr>
          <w:lang w:val="en-GB"/>
        </w:rPr>
      </w:pPr>
      <w:r w:rsidRPr="00B57B36">
        <w:rPr>
          <w:lang w:val="en-GB"/>
        </w:rPr>
        <w:t>Introduction</w:t>
      </w:r>
    </w:p>
    <w:p w:rsidR="00705C79" w:rsidRPr="00705C79" w:rsidRDefault="00705C79" w:rsidP="00705C79">
      <w:pPr>
        <w:pStyle w:val="CETBodytext"/>
        <w:rPr>
          <w:lang w:val="en-GB"/>
        </w:rPr>
      </w:pPr>
      <w:r w:rsidRPr="00705C79">
        <w:rPr>
          <w:lang w:val="en-GB"/>
        </w:rPr>
        <w:t xml:space="preserve">Biosurfactants are </w:t>
      </w:r>
      <w:proofErr w:type="spellStart"/>
      <w:r w:rsidR="00B1696D">
        <w:rPr>
          <w:lang w:val="en-GB"/>
        </w:rPr>
        <w:t>tens</w:t>
      </w:r>
      <w:r w:rsidR="007B44CF">
        <w:rPr>
          <w:lang w:val="en-GB"/>
        </w:rPr>
        <w:t>i</w:t>
      </w:r>
      <w:r w:rsidR="00B1696D">
        <w:rPr>
          <w:lang w:val="en-GB"/>
        </w:rPr>
        <w:t>oactive</w:t>
      </w:r>
      <w:proofErr w:type="spellEnd"/>
      <w:r w:rsidR="00B1696D">
        <w:rPr>
          <w:lang w:val="en-GB"/>
        </w:rPr>
        <w:t xml:space="preserve"> substances </w:t>
      </w:r>
      <w:r w:rsidRPr="00705C79">
        <w:rPr>
          <w:lang w:val="en-GB"/>
        </w:rPr>
        <w:t xml:space="preserve">of natural origin that have the property of preferably being located between phases with different degrees of polarity, having hydrophilic (ionic, </w:t>
      </w:r>
      <w:proofErr w:type="spellStart"/>
      <w:r w:rsidRPr="00705C79">
        <w:rPr>
          <w:lang w:val="en-GB"/>
        </w:rPr>
        <w:t>nonionic</w:t>
      </w:r>
      <w:proofErr w:type="spellEnd"/>
      <w:r w:rsidRPr="00705C79">
        <w:rPr>
          <w:lang w:val="en-GB"/>
        </w:rPr>
        <w:t xml:space="preserve"> or amphoteric) and hydrophobic (hydrocarbon chain) moieties in their structure. These characteristics </w:t>
      </w:r>
      <w:proofErr w:type="spellStart"/>
      <w:r w:rsidRPr="00705C79">
        <w:rPr>
          <w:lang w:val="en-GB"/>
        </w:rPr>
        <w:t>favor</w:t>
      </w:r>
      <w:proofErr w:type="spellEnd"/>
      <w:r w:rsidRPr="00705C79">
        <w:rPr>
          <w:lang w:val="en-GB"/>
        </w:rPr>
        <w:t xml:space="preserve"> their ability to reduce surface and interfacial tensions, as well as to form microemulsions, allowing them to be used in several industrial </w:t>
      </w:r>
      <w:r w:rsidRPr="00705C79">
        <w:rPr>
          <w:lang w:val="en-GB"/>
        </w:rPr>
        <w:lastRenderedPageBreak/>
        <w:t>sectors involving emulsification, detergency, lubrication, wetting, foaming, dispersions or solubilization of different phases (</w:t>
      </w:r>
      <w:proofErr w:type="spellStart"/>
      <w:r w:rsidRPr="00705C79">
        <w:rPr>
          <w:lang w:val="en-GB"/>
        </w:rPr>
        <w:t>Bezerra</w:t>
      </w:r>
      <w:proofErr w:type="spellEnd"/>
      <w:r w:rsidRPr="00705C79">
        <w:rPr>
          <w:lang w:val="en-GB"/>
        </w:rPr>
        <w:t xml:space="preserve"> et al., 2018).</w:t>
      </w:r>
    </w:p>
    <w:p w:rsidR="00705C79" w:rsidRPr="00705C79" w:rsidRDefault="00705C79" w:rsidP="00705C79">
      <w:pPr>
        <w:pStyle w:val="CETBodytext"/>
        <w:rPr>
          <w:lang w:val="en-GB"/>
        </w:rPr>
      </w:pPr>
      <w:r w:rsidRPr="00705C79">
        <w:rPr>
          <w:lang w:val="en-GB"/>
        </w:rPr>
        <w:t xml:space="preserve">Biosurfactants have several advantages over their chemical counterparts, as they can be produced from </w:t>
      </w:r>
      <w:proofErr w:type="spellStart"/>
      <w:r w:rsidRPr="00705C79">
        <w:rPr>
          <w:lang w:val="en-GB"/>
        </w:rPr>
        <w:t>agroindustrial</w:t>
      </w:r>
      <w:proofErr w:type="spellEnd"/>
      <w:r w:rsidRPr="00705C79">
        <w:rPr>
          <w:lang w:val="en-GB"/>
        </w:rPr>
        <w:t xml:space="preserve"> substrates and exhibit low toxicity, high biodegradability and compatibility with the environment, as well as greater selectivity, foamability and stability under extreme conditions of pH, temperature and salinity </w:t>
      </w:r>
      <w:r w:rsidRPr="00CC253A">
        <w:rPr>
          <w:lang w:val="en-GB"/>
        </w:rPr>
        <w:t>(</w:t>
      </w:r>
      <w:r w:rsidR="00493152">
        <w:rPr>
          <w:lang w:val="en-GB"/>
        </w:rPr>
        <w:t>Luna</w:t>
      </w:r>
      <w:r w:rsidR="00CC253A" w:rsidRPr="00CC253A">
        <w:rPr>
          <w:lang w:val="en-GB"/>
        </w:rPr>
        <w:t xml:space="preserve"> et al.</w:t>
      </w:r>
      <w:r w:rsidRPr="00CC253A">
        <w:rPr>
          <w:lang w:val="en-GB"/>
        </w:rPr>
        <w:t>, 201</w:t>
      </w:r>
      <w:r w:rsidR="00CC253A" w:rsidRPr="00CC253A">
        <w:rPr>
          <w:lang w:val="en-GB"/>
        </w:rPr>
        <w:t>8</w:t>
      </w:r>
      <w:r w:rsidRPr="00CC253A">
        <w:rPr>
          <w:lang w:val="en-GB"/>
        </w:rPr>
        <w:t>).</w:t>
      </w:r>
      <w:r w:rsidRPr="00705C79">
        <w:rPr>
          <w:lang w:val="en-GB"/>
        </w:rPr>
        <w:t xml:space="preserve"> However, its more extensive use presents as an obstacle the economic disadvantage of its production, since the market cost is still high when compared to the production of chemical surfactants (</w:t>
      </w:r>
      <w:proofErr w:type="spellStart"/>
      <w:r w:rsidRPr="00705C79">
        <w:rPr>
          <w:lang w:val="en-GB"/>
        </w:rPr>
        <w:t>Radzuan</w:t>
      </w:r>
      <w:proofErr w:type="spellEnd"/>
      <w:r w:rsidRPr="00705C79">
        <w:rPr>
          <w:lang w:val="en-GB"/>
        </w:rPr>
        <w:t xml:space="preserve">; Banat; Winterburn, 2017). In this context, new perspectives of production with lower cost have been raised in the biotechnological processes aiming at the formulation of alternative means, composed of </w:t>
      </w:r>
      <w:proofErr w:type="spellStart"/>
      <w:r w:rsidRPr="00705C79">
        <w:rPr>
          <w:lang w:val="en-GB"/>
        </w:rPr>
        <w:t>agroindustrial</w:t>
      </w:r>
      <w:proofErr w:type="spellEnd"/>
      <w:r w:rsidRPr="00705C79">
        <w:rPr>
          <w:lang w:val="en-GB"/>
        </w:rPr>
        <w:t xml:space="preserve"> residues (</w:t>
      </w:r>
      <w:r w:rsidR="00493152">
        <w:rPr>
          <w:lang w:val="en-GB"/>
        </w:rPr>
        <w:t>Pinto</w:t>
      </w:r>
      <w:r w:rsidRPr="00705C79">
        <w:rPr>
          <w:lang w:val="en-GB"/>
        </w:rPr>
        <w:t xml:space="preserve"> et al., 201</w:t>
      </w:r>
      <w:r w:rsidR="00493152">
        <w:rPr>
          <w:lang w:val="en-GB"/>
        </w:rPr>
        <w:t>8</w:t>
      </w:r>
      <w:r w:rsidRPr="00705C79">
        <w:rPr>
          <w:lang w:val="en-GB"/>
        </w:rPr>
        <w:t>).</w:t>
      </w:r>
    </w:p>
    <w:p w:rsidR="00705C79" w:rsidRPr="00C4176E" w:rsidRDefault="00705C79" w:rsidP="00705C79">
      <w:pPr>
        <w:pStyle w:val="CETBodytext"/>
        <w:rPr>
          <w:lang w:val="en-GB"/>
        </w:rPr>
      </w:pPr>
      <w:r w:rsidRPr="00705C79">
        <w:rPr>
          <w:lang w:val="en-GB"/>
        </w:rPr>
        <w:t>In terms of application, biosurfactants are commercially important, since there is a tendency of the market to increase its production for different purposes, being classified according to their uses: 54 % as detergents, 13 % in the textile, leather and paper industries , 10 % in chemical processes, 10 % in the pharmaceutical and cosmetics industries, 3 % in the food industry, 2 % in agriculture and the remaining 2</w:t>
      </w:r>
      <w:r w:rsidR="003B741D">
        <w:rPr>
          <w:lang w:val="en-GB"/>
        </w:rPr>
        <w:t xml:space="preserve"> </w:t>
      </w:r>
      <w:r w:rsidRPr="00705C79">
        <w:rPr>
          <w:lang w:val="en-GB"/>
        </w:rPr>
        <w:t>% in other applications (Almeida et al., 201</w:t>
      </w:r>
      <w:r w:rsidR="00493152">
        <w:rPr>
          <w:lang w:val="en-GB"/>
        </w:rPr>
        <w:t>7</w:t>
      </w:r>
      <w:r w:rsidRPr="00705C79">
        <w:rPr>
          <w:lang w:val="en-GB"/>
        </w:rPr>
        <w:t>). In the food sector, they are promising due to their antiadhesive activity and wide capacity to act as an emulsifying agent, indispensable in most foods containing oils and fats, being possible to produce them from microorganisms that fall under GRAS status (Generally Recognized as Safe), as some yeasts of the genus Candida (</w:t>
      </w:r>
      <w:proofErr w:type="spellStart"/>
      <w:r w:rsidRPr="00705C79">
        <w:rPr>
          <w:lang w:val="en-GB"/>
        </w:rPr>
        <w:t>Mnif</w:t>
      </w:r>
      <w:proofErr w:type="spellEnd"/>
      <w:r w:rsidRPr="00705C79">
        <w:rPr>
          <w:lang w:val="en-GB"/>
        </w:rPr>
        <w:t xml:space="preserve">; </w:t>
      </w:r>
      <w:proofErr w:type="spellStart"/>
      <w:r w:rsidRPr="00705C79">
        <w:rPr>
          <w:lang w:val="en-GB"/>
        </w:rPr>
        <w:t>Ellouz</w:t>
      </w:r>
      <w:proofErr w:type="spellEnd"/>
      <w:r w:rsidRPr="00705C79">
        <w:rPr>
          <w:rFonts w:ascii="MS Gothic" w:eastAsia="MS Gothic" w:hAnsi="MS Gothic" w:cs="MS Gothic" w:hint="eastAsia"/>
          <w:lang w:val="en-GB"/>
        </w:rPr>
        <w:t>‑</w:t>
      </w:r>
      <w:proofErr w:type="spellStart"/>
      <w:r w:rsidRPr="00705C79">
        <w:rPr>
          <w:lang w:val="en-GB"/>
        </w:rPr>
        <w:t>Chaabouni</w:t>
      </w:r>
      <w:proofErr w:type="spellEnd"/>
      <w:r w:rsidRPr="00705C79">
        <w:rPr>
          <w:lang w:val="en-GB"/>
        </w:rPr>
        <w:t xml:space="preserve">; </w:t>
      </w:r>
      <w:proofErr w:type="spellStart"/>
      <w:r w:rsidRPr="00705C79">
        <w:rPr>
          <w:lang w:val="en-GB"/>
        </w:rPr>
        <w:t>Ghribi</w:t>
      </w:r>
      <w:proofErr w:type="spellEnd"/>
      <w:r w:rsidRPr="00705C79">
        <w:rPr>
          <w:lang w:val="en-GB"/>
        </w:rPr>
        <w:t xml:space="preserve">, 2017). </w:t>
      </w:r>
      <w:r w:rsidR="00B1696D">
        <w:rPr>
          <w:lang w:val="en-GB"/>
        </w:rPr>
        <w:t>Thus</w:t>
      </w:r>
      <w:r w:rsidRPr="00705C79">
        <w:rPr>
          <w:lang w:val="en-GB"/>
        </w:rPr>
        <w:t xml:space="preserve">, the objective of this work was to produce a biosurfactant by yeast </w:t>
      </w:r>
      <w:r w:rsidRPr="00B1696D">
        <w:rPr>
          <w:i/>
          <w:lang w:val="en-GB"/>
        </w:rPr>
        <w:t>Candida utilis</w:t>
      </w:r>
      <w:r w:rsidRPr="00705C79">
        <w:rPr>
          <w:lang w:val="en-GB"/>
        </w:rPr>
        <w:t xml:space="preserve"> </w:t>
      </w:r>
      <w:r w:rsidRPr="00C4176E">
        <w:rPr>
          <w:lang w:val="en-GB"/>
        </w:rPr>
        <w:t>UFPEDA1009</w:t>
      </w:r>
      <w:r w:rsidR="009E5591" w:rsidRPr="00C4176E">
        <w:rPr>
          <w:lang w:val="en-GB"/>
        </w:rPr>
        <w:t>, as well as to optimize the extraction conditions to obtain a product</w:t>
      </w:r>
      <w:r w:rsidRPr="00C4176E">
        <w:rPr>
          <w:lang w:val="en-GB"/>
        </w:rPr>
        <w:t xml:space="preserve"> with potential food application as emulsifier.</w:t>
      </w:r>
    </w:p>
    <w:p w:rsidR="001D063A" w:rsidRDefault="001D063A" w:rsidP="001D063A">
      <w:pPr>
        <w:pStyle w:val="CETHeading1"/>
        <w:rPr>
          <w:lang w:val="en-GB"/>
        </w:rPr>
      </w:pPr>
      <w:r>
        <w:rPr>
          <w:lang w:val="en-GB"/>
        </w:rPr>
        <w:t>Material and methods</w:t>
      </w:r>
    </w:p>
    <w:p w:rsidR="00600535" w:rsidRPr="00B57B36" w:rsidRDefault="001D063A" w:rsidP="006C270C">
      <w:pPr>
        <w:pStyle w:val="CETheadingx"/>
      </w:pPr>
      <w:proofErr w:type="spellStart"/>
      <w:r w:rsidRPr="001D063A">
        <w:t>Microrganisms</w:t>
      </w:r>
      <w:proofErr w:type="spellEnd"/>
      <w:r w:rsidRPr="001D063A">
        <w:t xml:space="preserve"> and maintenance</w:t>
      </w:r>
    </w:p>
    <w:p w:rsidR="00AD493B" w:rsidRDefault="00B1696D" w:rsidP="00AD493B">
      <w:pPr>
        <w:pStyle w:val="CETBodytext"/>
        <w:rPr>
          <w:lang w:val="en-GB"/>
        </w:rPr>
      </w:pPr>
      <w:r>
        <w:rPr>
          <w:lang w:val="en-GB"/>
        </w:rPr>
        <w:t>The</w:t>
      </w:r>
      <w:r w:rsidR="00AD493B" w:rsidRPr="00AD493B">
        <w:rPr>
          <w:lang w:val="en-GB"/>
        </w:rPr>
        <w:t xml:space="preserve"> yeast </w:t>
      </w:r>
      <w:r w:rsidR="00AD493B" w:rsidRPr="00201933">
        <w:rPr>
          <w:i/>
          <w:lang w:val="en-GB"/>
        </w:rPr>
        <w:t>Candida utilis</w:t>
      </w:r>
      <w:r w:rsidR="00AD493B" w:rsidRPr="00AD493B">
        <w:rPr>
          <w:lang w:val="en-GB"/>
        </w:rPr>
        <w:t xml:space="preserve"> UFPEDA 1009</w:t>
      </w:r>
      <w:r>
        <w:rPr>
          <w:lang w:val="en-GB"/>
        </w:rPr>
        <w:t xml:space="preserve"> was used as the biosurfactant producer. The</w:t>
      </w:r>
      <w:r w:rsidR="00FD1EC8">
        <w:rPr>
          <w:lang w:val="en-GB"/>
        </w:rPr>
        <w:t xml:space="preserve"> microorganism was</w:t>
      </w:r>
      <w:r w:rsidR="00AD493B" w:rsidRPr="00AD493B">
        <w:rPr>
          <w:lang w:val="en-GB"/>
        </w:rPr>
        <w:t xml:space="preserve"> maintained in the YMA (Yeast Mold Agar) medium</w:t>
      </w:r>
      <w:r w:rsidR="007B44CF">
        <w:rPr>
          <w:lang w:val="en-GB"/>
        </w:rPr>
        <w:t xml:space="preserve"> composed by:</w:t>
      </w:r>
      <w:r w:rsidR="00201933">
        <w:rPr>
          <w:lang w:val="en-GB"/>
        </w:rPr>
        <w:t xml:space="preserve"> </w:t>
      </w:r>
      <w:r w:rsidR="00AD493B" w:rsidRPr="00AD493B">
        <w:rPr>
          <w:lang w:val="en-GB"/>
        </w:rPr>
        <w:t>yeast extract (0.3</w:t>
      </w:r>
      <w:r w:rsidR="003B741D">
        <w:rPr>
          <w:lang w:val="en-GB"/>
        </w:rPr>
        <w:t xml:space="preserve"> </w:t>
      </w:r>
      <w:r w:rsidR="00AD493B" w:rsidRPr="00AD493B">
        <w:rPr>
          <w:lang w:val="en-GB"/>
        </w:rPr>
        <w:t>%), malt extract (0.3</w:t>
      </w:r>
      <w:r w:rsidR="003B741D">
        <w:rPr>
          <w:lang w:val="en-GB"/>
        </w:rPr>
        <w:t xml:space="preserve"> </w:t>
      </w:r>
      <w:r w:rsidR="00AD493B" w:rsidRPr="00AD493B">
        <w:rPr>
          <w:lang w:val="en-GB"/>
        </w:rPr>
        <w:t>%), tryptone (0.5</w:t>
      </w:r>
      <w:r w:rsidR="003B741D">
        <w:rPr>
          <w:lang w:val="en-GB"/>
        </w:rPr>
        <w:t xml:space="preserve"> </w:t>
      </w:r>
      <w:r w:rsidR="00AD493B" w:rsidRPr="00AD493B">
        <w:rPr>
          <w:lang w:val="en-GB"/>
        </w:rPr>
        <w:t>%), D-glucose (1.0</w:t>
      </w:r>
      <w:r w:rsidR="003B741D">
        <w:rPr>
          <w:lang w:val="en-GB"/>
        </w:rPr>
        <w:t xml:space="preserve"> </w:t>
      </w:r>
      <w:r w:rsidR="00AD493B" w:rsidRPr="00AD493B">
        <w:rPr>
          <w:lang w:val="en-GB"/>
        </w:rPr>
        <w:t>%) and agar (5.0</w:t>
      </w:r>
      <w:r w:rsidR="003B741D">
        <w:rPr>
          <w:lang w:val="en-GB"/>
        </w:rPr>
        <w:t xml:space="preserve"> </w:t>
      </w:r>
      <w:r w:rsidR="00AD493B" w:rsidRPr="00AD493B">
        <w:rPr>
          <w:lang w:val="en-GB"/>
        </w:rPr>
        <w:t>%). To maintain cell viability, monthly samplings were conducted.</w:t>
      </w:r>
    </w:p>
    <w:p w:rsidR="00AD493B" w:rsidRPr="00961877" w:rsidRDefault="00D174AD" w:rsidP="006C270C">
      <w:pPr>
        <w:pStyle w:val="CETheadingx"/>
      </w:pPr>
      <w:r>
        <w:t>Me</w:t>
      </w:r>
      <w:r w:rsidR="00AC455E" w:rsidRPr="00AC455E">
        <w:t>dium of inoculum growth and biosurfactant production</w:t>
      </w:r>
    </w:p>
    <w:p w:rsidR="00AD493B" w:rsidRDefault="00AD493B" w:rsidP="00AD493B">
      <w:pPr>
        <w:pStyle w:val="CETBodytext"/>
        <w:rPr>
          <w:lang w:val="en-GB"/>
        </w:rPr>
      </w:pPr>
      <w:r w:rsidRPr="00AD493B">
        <w:rPr>
          <w:lang w:val="en-GB"/>
        </w:rPr>
        <w:t>The growth of the inoculum was carried out in YMB (Yeast Mold Broth) medium, which has the same composition as the YMA medium, excluding agar.</w:t>
      </w:r>
      <w:r w:rsidR="00D174AD">
        <w:rPr>
          <w:lang w:val="en-GB"/>
        </w:rPr>
        <w:t xml:space="preserve"> </w:t>
      </w:r>
      <w:r w:rsidRPr="00AD493B">
        <w:rPr>
          <w:lang w:val="en-GB"/>
        </w:rPr>
        <w:t>The biosurfactant production process was carried out in a medium formulated with distilled water containing 6.0</w:t>
      </w:r>
      <w:r w:rsidR="007B44CF">
        <w:rPr>
          <w:lang w:val="en-GB"/>
        </w:rPr>
        <w:t>0</w:t>
      </w:r>
      <w:r w:rsidR="003B741D">
        <w:rPr>
          <w:lang w:val="en-GB"/>
        </w:rPr>
        <w:t xml:space="preserve"> </w:t>
      </w:r>
      <w:r w:rsidRPr="00AD493B">
        <w:rPr>
          <w:lang w:val="en-GB"/>
        </w:rPr>
        <w:t>% (v / v) canola frying oil, 6.00</w:t>
      </w:r>
      <w:r w:rsidR="003B741D">
        <w:rPr>
          <w:lang w:val="en-GB"/>
        </w:rPr>
        <w:t xml:space="preserve"> </w:t>
      </w:r>
      <w:r w:rsidRPr="00AD493B">
        <w:rPr>
          <w:lang w:val="en-GB"/>
        </w:rPr>
        <w:t>% (v / v) D-glucose, 0.20</w:t>
      </w:r>
      <w:r w:rsidR="003B741D">
        <w:rPr>
          <w:lang w:val="en-GB"/>
        </w:rPr>
        <w:t xml:space="preserve"> </w:t>
      </w:r>
      <w:r w:rsidRPr="00AD493B">
        <w:rPr>
          <w:lang w:val="en-GB"/>
        </w:rPr>
        <w:t>% NH</w:t>
      </w:r>
      <w:r w:rsidRPr="003B741D">
        <w:rPr>
          <w:vertAlign w:val="subscript"/>
          <w:lang w:val="en-GB"/>
        </w:rPr>
        <w:t>4</w:t>
      </w:r>
      <w:r w:rsidRPr="00AD493B">
        <w:rPr>
          <w:lang w:val="en-GB"/>
        </w:rPr>
        <w:t>NO</w:t>
      </w:r>
      <w:r w:rsidRPr="003B741D">
        <w:rPr>
          <w:vertAlign w:val="subscript"/>
          <w:lang w:val="en-GB"/>
        </w:rPr>
        <w:t>3</w:t>
      </w:r>
      <w:r w:rsidRPr="00AD493B">
        <w:rPr>
          <w:lang w:val="en-GB"/>
        </w:rPr>
        <w:t>, 0.01</w:t>
      </w:r>
      <w:r w:rsidR="003B741D">
        <w:rPr>
          <w:lang w:val="en-GB"/>
        </w:rPr>
        <w:t xml:space="preserve"> </w:t>
      </w:r>
      <w:r w:rsidRPr="00AD493B">
        <w:rPr>
          <w:lang w:val="en-GB"/>
        </w:rPr>
        <w:t>% of KH</w:t>
      </w:r>
      <w:r w:rsidRPr="003B741D">
        <w:rPr>
          <w:vertAlign w:val="subscript"/>
          <w:lang w:val="en-GB"/>
        </w:rPr>
        <w:t>2</w:t>
      </w:r>
      <w:r w:rsidRPr="00AD493B">
        <w:rPr>
          <w:lang w:val="en-GB"/>
        </w:rPr>
        <w:t>PO</w:t>
      </w:r>
      <w:r w:rsidRPr="003B741D">
        <w:rPr>
          <w:vertAlign w:val="subscript"/>
          <w:lang w:val="en-GB"/>
        </w:rPr>
        <w:t>4</w:t>
      </w:r>
      <w:r w:rsidRPr="00AD493B">
        <w:rPr>
          <w:lang w:val="en-GB"/>
        </w:rPr>
        <w:t>, 0.50</w:t>
      </w:r>
      <w:r w:rsidR="003B741D">
        <w:rPr>
          <w:lang w:val="en-GB"/>
        </w:rPr>
        <w:t xml:space="preserve"> </w:t>
      </w:r>
      <w:r w:rsidRPr="00AD493B">
        <w:rPr>
          <w:lang w:val="en-GB"/>
        </w:rPr>
        <w:t>% MgSO</w:t>
      </w:r>
      <w:r w:rsidRPr="003B741D">
        <w:rPr>
          <w:vertAlign w:val="subscript"/>
          <w:lang w:val="en-GB"/>
        </w:rPr>
        <w:t>4</w:t>
      </w:r>
      <w:r w:rsidRPr="00AD493B">
        <w:rPr>
          <w:lang w:val="en-GB"/>
        </w:rPr>
        <w:t>.7H</w:t>
      </w:r>
      <w:r w:rsidRPr="003B741D">
        <w:rPr>
          <w:vertAlign w:val="subscript"/>
          <w:lang w:val="en-GB"/>
        </w:rPr>
        <w:t>2</w:t>
      </w:r>
      <w:r w:rsidRPr="00AD493B">
        <w:rPr>
          <w:lang w:val="en-GB"/>
        </w:rPr>
        <w:t>O, 0.01</w:t>
      </w:r>
      <w:r w:rsidR="003B741D">
        <w:rPr>
          <w:lang w:val="en-GB"/>
        </w:rPr>
        <w:t xml:space="preserve"> </w:t>
      </w:r>
      <w:r w:rsidRPr="00AD493B">
        <w:rPr>
          <w:lang w:val="en-GB"/>
        </w:rPr>
        <w:t>% FeCl</w:t>
      </w:r>
      <w:r w:rsidRPr="003B741D">
        <w:rPr>
          <w:vertAlign w:val="subscript"/>
          <w:lang w:val="en-GB"/>
        </w:rPr>
        <w:t>3</w:t>
      </w:r>
      <w:r w:rsidRPr="00AD493B">
        <w:rPr>
          <w:lang w:val="en-GB"/>
        </w:rPr>
        <w:t>, 0.01</w:t>
      </w:r>
      <w:r w:rsidR="003B741D">
        <w:rPr>
          <w:lang w:val="en-GB"/>
        </w:rPr>
        <w:t xml:space="preserve"> </w:t>
      </w:r>
      <w:r w:rsidRPr="00AD493B">
        <w:rPr>
          <w:lang w:val="en-GB"/>
        </w:rPr>
        <w:t>% NaCl and 0.30</w:t>
      </w:r>
      <w:r w:rsidR="003B741D">
        <w:rPr>
          <w:lang w:val="en-GB"/>
        </w:rPr>
        <w:t xml:space="preserve"> </w:t>
      </w:r>
      <w:r w:rsidRPr="00AD493B">
        <w:rPr>
          <w:lang w:val="en-GB"/>
        </w:rPr>
        <w:t>% yeast extract.</w:t>
      </w:r>
    </w:p>
    <w:p w:rsidR="00AD493B" w:rsidRPr="00961877" w:rsidRDefault="00AD493B" w:rsidP="006C270C">
      <w:pPr>
        <w:pStyle w:val="CETheadingx"/>
      </w:pPr>
      <w:r w:rsidRPr="00961877">
        <w:t>Preparation of inoculum</w:t>
      </w:r>
      <w:r w:rsidR="000F2B6E">
        <w:t xml:space="preserve"> and p</w:t>
      </w:r>
      <w:r w:rsidR="000F2B6E" w:rsidRPr="00961877">
        <w:t>roduction of biosurfactant</w:t>
      </w:r>
    </w:p>
    <w:p w:rsidR="00AD493B" w:rsidRDefault="00AD493B" w:rsidP="00AD493B">
      <w:pPr>
        <w:pStyle w:val="CETBodytext"/>
        <w:rPr>
          <w:lang w:val="en-GB"/>
        </w:rPr>
      </w:pPr>
      <w:r w:rsidRPr="00AD493B">
        <w:rPr>
          <w:lang w:val="en-GB"/>
        </w:rPr>
        <w:t xml:space="preserve">The inoculum was standardized by transferring the yeast of YMA medium to flasks containing 50 mL of YMB medium and incubated </w:t>
      </w:r>
      <w:r w:rsidR="009E7826">
        <w:rPr>
          <w:lang w:val="en-GB"/>
        </w:rPr>
        <w:t>(</w:t>
      </w:r>
      <w:r w:rsidRPr="00AD493B">
        <w:rPr>
          <w:lang w:val="en-GB"/>
        </w:rPr>
        <w:t>28 °C</w:t>
      </w:r>
      <w:r w:rsidR="009E7826">
        <w:rPr>
          <w:lang w:val="en-GB"/>
        </w:rPr>
        <w:t xml:space="preserve">, </w:t>
      </w:r>
      <w:r w:rsidRPr="00AD493B">
        <w:rPr>
          <w:lang w:val="en-GB"/>
        </w:rPr>
        <w:t>200 rpm</w:t>
      </w:r>
      <w:r w:rsidR="009E7826">
        <w:rPr>
          <w:lang w:val="en-GB"/>
        </w:rPr>
        <w:t>)</w:t>
      </w:r>
      <w:r w:rsidRPr="00AD493B">
        <w:rPr>
          <w:lang w:val="en-GB"/>
        </w:rPr>
        <w:t xml:space="preserve"> for 24 hours. After this time, the dilutions were performed until the desired final concentration of cells (10</w:t>
      </w:r>
      <w:r w:rsidRPr="00B64E33">
        <w:rPr>
          <w:vertAlign w:val="superscript"/>
          <w:lang w:val="en-GB"/>
        </w:rPr>
        <w:t>8</w:t>
      </w:r>
      <w:r w:rsidRPr="00AD493B">
        <w:rPr>
          <w:lang w:val="en-GB"/>
        </w:rPr>
        <w:t xml:space="preserve"> cells/mL) was achieved.</w:t>
      </w:r>
      <w:r w:rsidR="000F2B6E">
        <w:rPr>
          <w:lang w:val="en-GB"/>
        </w:rPr>
        <w:t xml:space="preserve"> </w:t>
      </w:r>
      <w:r w:rsidRPr="00AD493B">
        <w:rPr>
          <w:lang w:val="en-GB"/>
        </w:rPr>
        <w:t>For the production of the biosurfactant</w:t>
      </w:r>
      <w:r w:rsidR="00B104FF">
        <w:rPr>
          <w:lang w:val="en-GB"/>
        </w:rPr>
        <w:t>,</w:t>
      </w:r>
      <w:r w:rsidRPr="00AD493B">
        <w:rPr>
          <w:lang w:val="en-GB"/>
        </w:rPr>
        <w:t xml:space="preserve"> 2.0</w:t>
      </w:r>
      <w:r w:rsidR="003B741D">
        <w:rPr>
          <w:lang w:val="en-GB"/>
        </w:rPr>
        <w:t xml:space="preserve"> </w:t>
      </w:r>
      <w:r w:rsidRPr="00AD493B">
        <w:rPr>
          <w:lang w:val="en-GB"/>
        </w:rPr>
        <w:t xml:space="preserve">% (v/v) of the inoculum was added </w:t>
      </w:r>
      <w:r w:rsidR="00B104FF">
        <w:rPr>
          <w:lang w:val="en-GB"/>
        </w:rPr>
        <w:t xml:space="preserve">in </w:t>
      </w:r>
      <w:r w:rsidR="001D0828">
        <w:rPr>
          <w:lang w:val="en-GB"/>
        </w:rPr>
        <w:t>production</w:t>
      </w:r>
      <w:r w:rsidR="00B104FF" w:rsidRPr="00AD493B">
        <w:rPr>
          <w:lang w:val="en-GB"/>
        </w:rPr>
        <w:t xml:space="preserve"> medium </w:t>
      </w:r>
      <w:r w:rsidRPr="00AD493B">
        <w:rPr>
          <w:lang w:val="en-GB"/>
        </w:rPr>
        <w:t>at a concentration of 108 cells/</w:t>
      </w:r>
      <w:proofErr w:type="spellStart"/>
      <w:r w:rsidRPr="00AD493B">
        <w:rPr>
          <w:lang w:val="en-GB"/>
        </w:rPr>
        <w:t>mL.</w:t>
      </w:r>
      <w:proofErr w:type="spellEnd"/>
      <w:r w:rsidRPr="00AD493B">
        <w:rPr>
          <w:lang w:val="en-GB"/>
        </w:rPr>
        <w:t xml:space="preserve"> After addition</w:t>
      </w:r>
      <w:r w:rsidR="001A37D7">
        <w:rPr>
          <w:lang w:val="en-GB"/>
        </w:rPr>
        <w:t xml:space="preserve">, </w:t>
      </w:r>
      <w:r w:rsidRPr="00AD493B">
        <w:rPr>
          <w:lang w:val="en-GB"/>
        </w:rPr>
        <w:t xml:space="preserve">the media were </w:t>
      </w:r>
      <w:r w:rsidR="001A37D7">
        <w:rPr>
          <w:lang w:val="en-GB"/>
        </w:rPr>
        <w:t>incubated</w:t>
      </w:r>
      <w:r w:rsidRPr="00AD493B">
        <w:rPr>
          <w:lang w:val="en-GB"/>
        </w:rPr>
        <w:t xml:space="preserve"> </w:t>
      </w:r>
      <w:r w:rsidR="001A37D7">
        <w:rPr>
          <w:lang w:val="en-GB"/>
        </w:rPr>
        <w:t>(</w:t>
      </w:r>
      <w:r w:rsidRPr="00AD493B">
        <w:rPr>
          <w:lang w:val="en-GB"/>
        </w:rPr>
        <w:t>150 rpm and 28 °C</w:t>
      </w:r>
      <w:r w:rsidR="001A37D7">
        <w:rPr>
          <w:lang w:val="en-GB"/>
        </w:rPr>
        <w:t>)</w:t>
      </w:r>
      <w:r w:rsidRPr="00AD493B">
        <w:rPr>
          <w:lang w:val="en-GB"/>
        </w:rPr>
        <w:t xml:space="preserve"> for 88 h. After the incubation period, the media were subjected to centrifugation under stirring 3500 rpm for 20 minutes to obtain a metabolic fluid (free from biomass).</w:t>
      </w:r>
    </w:p>
    <w:p w:rsidR="00AD493B" w:rsidRPr="00961877" w:rsidRDefault="00AD493B" w:rsidP="006C270C">
      <w:pPr>
        <w:pStyle w:val="CETheadingx"/>
      </w:pPr>
      <w:r w:rsidRPr="00961877">
        <w:t xml:space="preserve">Determination of surface and </w:t>
      </w:r>
      <w:r w:rsidR="0056410D">
        <w:t>interfacial</w:t>
      </w:r>
      <w:r w:rsidRPr="00961877">
        <w:t xml:space="preserve"> tension</w:t>
      </w:r>
    </w:p>
    <w:p w:rsidR="00AD493B" w:rsidRDefault="00AD493B" w:rsidP="00AD493B">
      <w:pPr>
        <w:pStyle w:val="CETBodytext"/>
        <w:rPr>
          <w:lang w:val="en-GB"/>
        </w:rPr>
      </w:pPr>
      <w:r w:rsidRPr="00AD493B">
        <w:rPr>
          <w:lang w:val="en-GB"/>
        </w:rPr>
        <w:t>The surface tension of the biosurfactants was measured in the metabolic liquid using a KSV Sigma 70</w:t>
      </w:r>
      <w:r w:rsidR="007B44CF">
        <w:rPr>
          <w:lang w:val="en-GB"/>
        </w:rPr>
        <w:t>0</w:t>
      </w:r>
      <w:r w:rsidRPr="00AD493B">
        <w:rPr>
          <w:lang w:val="en-GB"/>
        </w:rPr>
        <w:t xml:space="preserve"> (Finland) automatic tensiometer using the NOUY ring </w:t>
      </w:r>
      <w:proofErr w:type="spellStart"/>
      <w:r w:rsidRPr="00AD493B">
        <w:rPr>
          <w:lang w:val="en-GB"/>
        </w:rPr>
        <w:t>techinque</w:t>
      </w:r>
      <w:proofErr w:type="spellEnd"/>
      <w:r w:rsidRPr="00AD493B">
        <w:rPr>
          <w:lang w:val="en-GB"/>
        </w:rPr>
        <w:t xml:space="preserve">. The </w:t>
      </w:r>
      <w:r w:rsidR="0056410D">
        <w:rPr>
          <w:lang w:val="en-GB"/>
        </w:rPr>
        <w:t>interfacial</w:t>
      </w:r>
      <w:r w:rsidRPr="00AD493B">
        <w:rPr>
          <w:lang w:val="en-GB"/>
        </w:rPr>
        <w:t xml:space="preserve"> tension was measured against n-hexadecane in the metabolic liquid (after filtration with a filter membrane of 0.45 </w:t>
      </w:r>
      <w:proofErr w:type="spellStart"/>
      <w:r w:rsidRPr="00AD493B">
        <w:rPr>
          <w:lang w:val="en-GB"/>
        </w:rPr>
        <w:t>μm</w:t>
      </w:r>
      <w:proofErr w:type="spellEnd"/>
      <w:r w:rsidRPr="00AD493B">
        <w:rPr>
          <w:lang w:val="en-GB"/>
        </w:rPr>
        <w:t xml:space="preserve"> in diameter).</w:t>
      </w:r>
    </w:p>
    <w:p w:rsidR="00AD493B" w:rsidRPr="00DA6E80" w:rsidRDefault="00972E58" w:rsidP="006C270C">
      <w:pPr>
        <w:pStyle w:val="CETheadingx"/>
      </w:pPr>
      <w:r w:rsidRPr="00DA6E80">
        <w:t>Opt</w:t>
      </w:r>
      <w:r w:rsidR="00010B61" w:rsidRPr="00DA6E80">
        <w:t xml:space="preserve">imization the </w:t>
      </w:r>
      <w:r w:rsidR="00AD493B" w:rsidRPr="00DA6E80">
        <w:t>Isolation of biosurfactant</w:t>
      </w:r>
    </w:p>
    <w:p w:rsidR="00AD493B" w:rsidRPr="00DA6E80" w:rsidRDefault="00593E03" w:rsidP="00AD493B">
      <w:pPr>
        <w:pStyle w:val="CETBodytext"/>
        <w:rPr>
          <w:lang w:val="en-GB"/>
        </w:rPr>
      </w:pPr>
      <w:r w:rsidRPr="00DA6E80">
        <w:rPr>
          <w:lang w:val="en-GB"/>
        </w:rPr>
        <w:t>Five</w:t>
      </w:r>
      <w:r w:rsidR="00AD493B" w:rsidRPr="00DA6E80">
        <w:rPr>
          <w:lang w:val="en-GB"/>
        </w:rPr>
        <w:t xml:space="preserve"> different extraction methods were tested for biosurfactant isolation, described by Johny (2013), Bhatia and Saharan (2015), Shah et al. (2017), Derguine-Mecheri et al. (2018) and Cameron et al. (1988). For this purpose, 100 mL of culture medium was used in each method studied.</w:t>
      </w:r>
    </w:p>
    <w:p w:rsidR="00AD493B" w:rsidRDefault="00E84AAC" w:rsidP="00AD493B">
      <w:pPr>
        <w:pStyle w:val="CETBodytext"/>
        <w:rPr>
          <w:lang w:val="en-GB"/>
        </w:rPr>
      </w:pPr>
      <w:r w:rsidRPr="00DA6E80">
        <w:rPr>
          <w:lang w:val="en-GB"/>
        </w:rPr>
        <w:t xml:space="preserve">To optimize the extraction conditions, a </w:t>
      </w:r>
      <w:r w:rsidR="002E20EF" w:rsidRPr="00DA6E80">
        <w:rPr>
          <w:lang w:val="en-GB"/>
        </w:rPr>
        <w:t xml:space="preserve">liquid-liquid extraction </w:t>
      </w:r>
      <w:r w:rsidRPr="00DA6E80">
        <w:rPr>
          <w:lang w:val="en-GB"/>
        </w:rPr>
        <w:t xml:space="preserve">method was developed using </w:t>
      </w:r>
      <w:r w:rsidR="00AD493B" w:rsidRPr="00DA6E80">
        <w:rPr>
          <w:lang w:val="en-GB"/>
        </w:rPr>
        <w:t>ethyl acetate twice in the ratio 1:4</w:t>
      </w:r>
      <w:r w:rsidR="007B44CF" w:rsidRPr="00DA6E80">
        <w:rPr>
          <w:lang w:val="en-GB"/>
        </w:rPr>
        <w:t xml:space="preserve"> (v/v)</w:t>
      </w:r>
      <w:r w:rsidR="00AD493B" w:rsidRPr="00DA6E80">
        <w:rPr>
          <w:lang w:val="en-GB"/>
        </w:rPr>
        <w:t xml:space="preserve"> with </w:t>
      </w:r>
      <w:r w:rsidR="00DA01A6" w:rsidRPr="00DA6E80">
        <w:rPr>
          <w:lang w:val="en-GB"/>
        </w:rPr>
        <w:t xml:space="preserve">100 mL </w:t>
      </w:r>
      <w:r w:rsidR="00714FAE" w:rsidRPr="00DA6E80">
        <w:rPr>
          <w:lang w:val="en-GB"/>
        </w:rPr>
        <w:t xml:space="preserve">of </w:t>
      </w:r>
      <w:r w:rsidR="007B44CF" w:rsidRPr="00DA6E80">
        <w:rPr>
          <w:lang w:val="en-GB"/>
        </w:rPr>
        <w:t xml:space="preserve">whole </w:t>
      </w:r>
      <w:r w:rsidR="00AD493B" w:rsidRPr="00DA6E80">
        <w:rPr>
          <w:lang w:val="en-GB"/>
        </w:rPr>
        <w:t xml:space="preserve">medium </w:t>
      </w:r>
      <w:r w:rsidR="007B44CF" w:rsidRPr="00DA6E80">
        <w:rPr>
          <w:lang w:val="en-GB"/>
        </w:rPr>
        <w:t>(</w:t>
      </w:r>
      <w:r w:rsidR="00AD493B" w:rsidRPr="00DA6E80">
        <w:rPr>
          <w:lang w:val="en-GB"/>
        </w:rPr>
        <w:t>not centrifuged</w:t>
      </w:r>
      <w:r w:rsidR="007B44CF" w:rsidRPr="00DA6E80">
        <w:rPr>
          <w:lang w:val="en-GB"/>
        </w:rPr>
        <w:t>)</w:t>
      </w:r>
      <w:r w:rsidR="00AD493B" w:rsidRPr="00DA6E80">
        <w:rPr>
          <w:lang w:val="en-GB"/>
        </w:rPr>
        <w:t>. Then, the organic phase was subjected to centrifugation (2600</w:t>
      </w:r>
      <w:r w:rsidR="003B741D" w:rsidRPr="00DA6E80">
        <w:rPr>
          <w:lang w:val="en-GB"/>
        </w:rPr>
        <w:t xml:space="preserve"> </w:t>
      </w:r>
      <w:r w:rsidR="00AD493B" w:rsidRPr="00DA6E80">
        <w:rPr>
          <w:lang w:val="en-GB"/>
        </w:rPr>
        <w:t xml:space="preserve">g for 20 minutes) and subsequent filtration. The filtrate was transferred back to the separatory funnel and saturated </w:t>
      </w:r>
      <w:r w:rsidR="00AD493B" w:rsidRPr="00AD493B">
        <w:rPr>
          <w:lang w:val="en-GB"/>
        </w:rPr>
        <w:t xml:space="preserve">sodium chloride (NaCl) was added to separate the remaining aqueous phase. The organic phase was transferred to an erlenmeyer flask and anhydrous magnesium </w:t>
      </w:r>
      <w:proofErr w:type="spellStart"/>
      <w:r w:rsidR="00AD493B" w:rsidRPr="00AD493B">
        <w:rPr>
          <w:lang w:val="en-GB"/>
        </w:rPr>
        <w:t>sulfate</w:t>
      </w:r>
      <w:proofErr w:type="spellEnd"/>
      <w:r w:rsidR="00AD493B" w:rsidRPr="00AD493B">
        <w:rPr>
          <w:lang w:val="en-GB"/>
        </w:rPr>
        <w:t xml:space="preserve"> (MgSO</w:t>
      </w:r>
      <w:r w:rsidR="00AD493B" w:rsidRPr="003B741D">
        <w:rPr>
          <w:vertAlign w:val="subscript"/>
          <w:lang w:val="en-GB"/>
        </w:rPr>
        <w:t>4</w:t>
      </w:r>
      <w:r w:rsidR="00AD493B" w:rsidRPr="00AD493B">
        <w:rPr>
          <w:lang w:val="en-GB"/>
        </w:rPr>
        <w:t>) was added until granules were formed, filtered on qualitative filter paper and dried at 50 °C.</w:t>
      </w:r>
    </w:p>
    <w:p w:rsidR="00AD493B" w:rsidRPr="006C270C" w:rsidRDefault="00AD493B" w:rsidP="006C270C">
      <w:pPr>
        <w:pStyle w:val="CETheadingx"/>
      </w:pPr>
      <w:r w:rsidRPr="006C270C">
        <w:lastRenderedPageBreak/>
        <w:t>Determination of critical micelle concentration</w:t>
      </w:r>
      <w:r w:rsidR="00710BB8" w:rsidRPr="006C270C">
        <w:t xml:space="preserve"> (CMC)</w:t>
      </w:r>
    </w:p>
    <w:p w:rsidR="00AD493B" w:rsidRDefault="00AD493B" w:rsidP="00AD493B">
      <w:pPr>
        <w:pStyle w:val="CETBodytext"/>
        <w:rPr>
          <w:lang w:val="en-GB"/>
        </w:rPr>
      </w:pPr>
      <w:r w:rsidRPr="00AD493B">
        <w:rPr>
          <w:lang w:val="en-GB"/>
        </w:rPr>
        <w:t xml:space="preserve">To obtain the CMC, 0.1 g of the biosurfactant isolated by the best extraction method </w:t>
      </w:r>
      <w:r w:rsidR="00710BB8">
        <w:rPr>
          <w:lang w:val="en-GB"/>
        </w:rPr>
        <w:t xml:space="preserve">previously selected </w:t>
      </w:r>
      <w:r w:rsidRPr="00AD493B">
        <w:rPr>
          <w:lang w:val="en-GB"/>
        </w:rPr>
        <w:t>was diluted to an initial concentration of 5 g/L,</w:t>
      </w:r>
      <w:r w:rsidR="00710BB8">
        <w:rPr>
          <w:lang w:val="en-GB"/>
        </w:rPr>
        <w:t xml:space="preserve"> and </w:t>
      </w:r>
      <w:r w:rsidRPr="00AD493B">
        <w:rPr>
          <w:lang w:val="en-GB"/>
        </w:rPr>
        <w:t>successive dilutions were carried out with distilled water and the surface tensions of the respective dilutions were quantified with the aid of the NOUY ring technique.</w:t>
      </w:r>
    </w:p>
    <w:p w:rsidR="00AD493B" w:rsidRPr="00AF6981" w:rsidRDefault="00AD493B" w:rsidP="006C270C">
      <w:pPr>
        <w:pStyle w:val="CETheadingx"/>
      </w:pPr>
      <w:proofErr w:type="spellStart"/>
      <w:r w:rsidRPr="00AF6981">
        <w:t>Ligth</w:t>
      </w:r>
      <w:proofErr w:type="spellEnd"/>
      <w:r w:rsidRPr="00AF6981">
        <w:t xml:space="preserve"> microscopy of emulsions</w:t>
      </w:r>
    </w:p>
    <w:p w:rsidR="00AD493B" w:rsidRPr="00AD493B" w:rsidRDefault="00AD493B" w:rsidP="00AD493B">
      <w:pPr>
        <w:pStyle w:val="CETBodytext"/>
        <w:rPr>
          <w:lang w:val="en-GB"/>
        </w:rPr>
      </w:pPr>
      <w:r w:rsidRPr="00AD493B">
        <w:rPr>
          <w:lang w:val="en-GB"/>
        </w:rPr>
        <w:t>The emulsions were prepared as described by Prasanna, Bell and Grandison (2012) using the biosurfactant solutions (½ CMC, CMC and 2</w:t>
      </w:r>
      <w:r w:rsidR="00710BB8">
        <w:rPr>
          <w:lang w:val="en-GB"/>
        </w:rPr>
        <w:t>X</w:t>
      </w:r>
      <w:r w:rsidRPr="00AD493B">
        <w:rPr>
          <w:lang w:val="en-GB"/>
        </w:rPr>
        <w:t>CMC) with motor oil and sunflower oil. For visualization under a light microscope (Nikon Eclipse E-100), a volume of 60 μL emulsion (after 24 hours storage at 27-28 °C) was added to a cavity slide, resting for 5 minutes for stabilization. Then, the particle size distribution was observed by means of an objective lens with magnification of 10 times.</w:t>
      </w:r>
    </w:p>
    <w:p w:rsidR="00AD493B" w:rsidRPr="00BD137A" w:rsidRDefault="00AD493B" w:rsidP="006C270C">
      <w:pPr>
        <w:pStyle w:val="CETheadingx"/>
      </w:pPr>
      <w:r w:rsidRPr="00BD137A">
        <w:t>Application of the biosurfactant in the cookie formulation</w:t>
      </w:r>
    </w:p>
    <w:p w:rsidR="005670D3" w:rsidRDefault="00AD493B" w:rsidP="00AD493B">
      <w:pPr>
        <w:pStyle w:val="CETBodytext"/>
        <w:rPr>
          <w:lang w:val="en-GB"/>
        </w:rPr>
      </w:pPr>
      <w:r w:rsidRPr="00AD493B">
        <w:rPr>
          <w:lang w:val="en-GB"/>
        </w:rPr>
        <w:t>To prepare the cookies, a standard formulation adapted</w:t>
      </w:r>
      <w:r w:rsidR="00710BB8">
        <w:rPr>
          <w:lang w:val="en-GB"/>
        </w:rPr>
        <w:t xml:space="preserve"> from</w:t>
      </w:r>
      <w:r w:rsidRPr="00AD493B">
        <w:rPr>
          <w:lang w:val="en-GB"/>
        </w:rPr>
        <w:t xml:space="preserve"> </w:t>
      </w:r>
      <w:proofErr w:type="spellStart"/>
      <w:r w:rsidRPr="00AD493B">
        <w:rPr>
          <w:lang w:val="en-GB"/>
        </w:rPr>
        <w:t>Zouari</w:t>
      </w:r>
      <w:proofErr w:type="spellEnd"/>
      <w:r w:rsidRPr="00AD493B">
        <w:rPr>
          <w:lang w:val="en-GB"/>
        </w:rPr>
        <w:t xml:space="preserve"> et al. (2016) with the partial (A) and total (B) replacement of the egg yolk pasteurized by the isolated biosurfactant</w:t>
      </w:r>
      <w:r w:rsidR="00710BB8">
        <w:rPr>
          <w:lang w:val="en-GB"/>
        </w:rPr>
        <w:t xml:space="preserve"> was used</w:t>
      </w:r>
      <w:r w:rsidRPr="00AD493B">
        <w:rPr>
          <w:lang w:val="en-GB"/>
        </w:rPr>
        <w:t xml:space="preserve">, being subjected to cooking (150 °C for 5 minutes and 180 °C for a further 15 minutes). </w:t>
      </w:r>
      <w:r w:rsidR="00710BB8">
        <w:rPr>
          <w:lang w:val="en-GB"/>
        </w:rPr>
        <w:t>B</w:t>
      </w:r>
      <w:r w:rsidR="00710BB8" w:rsidRPr="00AD493B">
        <w:rPr>
          <w:lang w:val="en-GB"/>
        </w:rPr>
        <w:t>efore cookin</w:t>
      </w:r>
      <w:r w:rsidR="00710BB8">
        <w:rPr>
          <w:lang w:val="en-GB"/>
        </w:rPr>
        <w:t>g</w:t>
      </w:r>
      <w:r w:rsidRPr="00AD493B">
        <w:rPr>
          <w:lang w:val="en-GB"/>
        </w:rPr>
        <w:t xml:space="preserve">, the texture profile analysis (TPA) (firmness, cohesiveness, adhesiveness and elasticity) </w:t>
      </w:r>
      <w:r w:rsidR="00710BB8">
        <w:rPr>
          <w:lang w:val="en-GB"/>
        </w:rPr>
        <w:t xml:space="preserve">in the mass </w:t>
      </w:r>
      <w:r w:rsidRPr="00AD493B">
        <w:rPr>
          <w:lang w:val="en-GB"/>
        </w:rPr>
        <w:t xml:space="preserve">was performed using a Texture Analyzer (Brookfield CT3), as described by </w:t>
      </w:r>
      <w:proofErr w:type="spellStart"/>
      <w:r w:rsidRPr="00AD493B">
        <w:rPr>
          <w:lang w:val="en-GB"/>
        </w:rPr>
        <w:t>Zouari</w:t>
      </w:r>
      <w:proofErr w:type="spellEnd"/>
      <w:r w:rsidRPr="00AD493B">
        <w:rPr>
          <w:lang w:val="en-GB"/>
        </w:rPr>
        <w:t xml:space="preserve"> et al. (2016). </w:t>
      </w:r>
      <w:r w:rsidR="00710BB8">
        <w:rPr>
          <w:lang w:val="en-GB"/>
        </w:rPr>
        <w:t>A</w:t>
      </w:r>
      <w:r w:rsidR="00710BB8" w:rsidRPr="00AD493B">
        <w:rPr>
          <w:lang w:val="en-GB"/>
        </w:rPr>
        <w:t>fter cooking</w:t>
      </w:r>
      <w:r w:rsidR="00710BB8">
        <w:rPr>
          <w:lang w:val="en-GB"/>
        </w:rPr>
        <w:t xml:space="preserve">, </w:t>
      </w:r>
      <w:r w:rsidRPr="00AD493B">
        <w:rPr>
          <w:lang w:val="en-GB"/>
        </w:rPr>
        <w:t>only the firmness was evaluated by the test of compression at 50</w:t>
      </w:r>
      <w:r w:rsidR="003B741D">
        <w:rPr>
          <w:lang w:val="en-GB"/>
        </w:rPr>
        <w:t xml:space="preserve"> </w:t>
      </w:r>
      <w:r w:rsidRPr="00AD493B">
        <w:rPr>
          <w:lang w:val="en-GB"/>
        </w:rPr>
        <w:t>% of its original height (constant speed of 1 mm/s).</w:t>
      </w:r>
    </w:p>
    <w:p w:rsidR="00CA6FAC" w:rsidRPr="00CA6FAC" w:rsidRDefault="00CA6FAC" w:rsidP="00392589">
      <w:pPr>
        <w:pStyle w:val="CETHeading1"/>
        <w:tabs>
          <w:tab w:val="clear" w:pos="360"/>
          <w:tab w:val="right" w:pos="7100"/>
        </w:tabs>
        <w:jc w:val="both"/>
        <w:rPr>
          <w:lang w:val="en-GB"/>
        </w:rPr>
      </w:pPr>
      <w:r w:rsidRPr="00CA6FAC">
        <w:rPr>
          <w:lang w:val="en-GB"/>
        </w:rPr>
        <w:t xml:space="preserve">Results and </w:t>
      </w:r>
      <w:r>
        <w:rPr>
          <w:lang w:val="en-GB"/>
        </w:rPr>
        <w:t>Discussion</w:t>
      </w:r>
    </w:p>
    <w:p w:rsidR="00CA6FAC" w:rsidRDefault="00CA6FAC" w:rsidP="006C270C">
      <w:pPr>
        <w:pStyle w:val="CETheadingx"/>
      </w:pPr>
      <w:r>
        <w:t>Surface and interfacial tension</w:t>
      </w:r>
    </w:p>
    <w:p w:rsidR="00CA6FAC" w:rsidRPr="00DA6E80" w:rsidRDefault="00CA6FAC" w:rsidP="00CA6FAC">
      <w:pPr>
        <w:autoSpaceDE w:val="0"/>
        <w:autoSpaceDN w:val="0"/>
        <w:adjustRightInd w:val="0"/>
        <w:rPr>
          <w:rFonts w:cs="Arial"/>
          <w:szCs w:val="18"/>
          <w:lang w:val="en-US"/>
        </w:rPr>
      </w:pPr>
      <w:r w:rsidRPr="00B118CC">
        <w:rPr>
          <w:rFonts w:cs="Arial"/>
          <w:szCs w:val="18"/>
          <w:lang w:val="en-US"/>
        </w:rPr>
        <w:t xml:space="preserve">One of the most important properties of a surfactant is its ability to reduce surface and interfacial tension through the formation of micelles. </w:t>
      </w:r>
      <w:r w:rsidRPr="00A54212">
        <w:rPr>
          <w:rFonts w:cs="Arial"/>
          <w:szCs w:val="18"/>
          <w:lang w:val="en-US"/>
        </w:rPr>
        <w:t>The higher the concentration of a surfactant in the medium, the greater the formation of micelles and the lower the surface and interfacial tensions.</w:t>
      </w:r>
      <w:r w:rsidR="00380710">
        <w:rPr>
          <w:rFonts w:cs="Arial"/>
          <w:szCs w:val="18"/>
          <w:lang w:val="en-US"/>
        </w:rPr>
        <w:t xml:space="preserve"> </w:t>
      </w:r>
      <w:r w:rsidRPr="00B118CC">
        <w:rPr>
          <w:rFonts w:cs="Arial"/>
          <w:szCs w:val="18"/>
          <w:lang w:val="en-US"/>
        </w:rPr>
        <w:t xml:space="preserve">By evaluating the tension results found for the biosurfactant produced by </w:t>
      </w:r>
      <w:r w:rsidRPr="002E57EE">
        <w:rPr>
          <w:rFonts w:cs="Arial"/>
          <w:i/>
          <w:szCs w:val="18"/>
          <w:lang w:val="en-US"/>
        </w:rPr>
        <w:t>C. utilis</w:t>
      </w:r>
      <w:r w:rsidRPr="00B118CC">
        <w:rPr>
          <w:rFonts w:cs="Arial"/>
          <w:szCs w:val="18"/>
          <w:lang w:val="en-US"/>
        </w:rPr>
        <w:t xml:space="preserve">, it was observed that </w:t>
      </w:r>
      <w:r w:rsidR="00D85DF9">
        <w:rPr>
          <w:rFonts w:cs="Arial"/>
          <w:szCs w:val="18"/>
          <w:lang w:val="en-US"/>
        </w:rPr>
        <w:t>the biomolecule</w:t>
      </w:r>
      <w:r w:rsidRPr="00B118CC">
        <w:rPr>
          <w:rFonts w:cs="Arial"/>
          <w:szCs w:val="18"/>
          <w:lang w:val="en-US"/>
        </w:rPr>
        <w:t xml:space="preserve"> showed a good capacity to reduce the surface tension of the production medium</w:t>
      </w:r>
      <w:r w:rsidR="00D85DF9">
        <w:rPr>
          <w:rFonts w:cs="Arial"/>
          <w:szCs w:val="18"/>
          <w:lang w:val="en-US"/>
        </w:rPr>
        <w:t xml:space="preserve"> from</w:t>
      </w:r>
      <w:r w:rsidRPr="00B118CC">
        <w:rPr>
          <w:rFonts w:cs="Arial"/>
          <w:szCs w:val="18"/>
          <w:lang w:val="en-US"/>
        </w:rPr>
        <w:t xml:space="preserve"> 57.75 ± 0.20 </w:t>
      </w:r>
      <w:proofErr w:type="spellStart"/>
      <w:r w:rsidRPr="00B118CC">
        <w:rPr>
          <w:rFonts w:cs="Arial"/>
          <w:szCs w:val="18"/>
          <w:lang w:val="en-US"/>
        </w:rPr>
        <w:t>mN</w:t>
      </w:r>
      <w:proofErr w:type="spellEnd"/>
      <w:r w:rsidRPr="00B118CC">
        <w:rPr>
          <w:rFonts w:cs="Arial"/>
          <w:szCs w:val="18"/>
          <w:lang w:val="en-US"/>
        </w:rPr>
        <w:t xml:space="preserve">/m to 35.33 ± 0.19 </w:t>
      </w:r>
      <w:proofErr w:type="spellStart"/>
      <w:r w:rsidRPr="00B118CC">
        <w:rPr>
          <w:rFonts w:cs="Arial"/>
          <w:szCs w:val="18"/>
          <w:lang w:val="en-US"/>
        </w:rPr>
        <w:t>mN</w:t>
      </w:r>
      <w:proofErr w:type="spellEnd"/>
      <w:r w:rsidRPr="00B118CC">
        <w:rPr>
          <w:rFonts w:cs="Arial"/>
          <w:szCs w:val="18"/>
          <w:lang w:val="en-US"/>
        </w:rPr>
        <w:t>/m</w:t>
      </w:r>
      <w:r w:rsidR="00380710">
        <w:rPr>
          <w:rFonts w:cs="Arial"/>
          <w:szCs w:val="18"/>
          <w:lang w:val="en-US"/>
        </w:rPr>
        <w:t>,</w:t>
      </w:r>
      <w:r w:rsidRPr="00B118CC">
        <w:rPr>
          <w:rFonts w:cs="Arial"/>
          <w:szCs w:val="18"/>
          <w:lang w:val="en-US"/>
        </w:rPr>
        <w:t xml:space="preserve"> and interfacial tension </w:t>
      </w:r>
      <w:r w:rsidR="00D85DF9">
        <w:rPr>
          <w:rFonts w:cs="Arial"/>
          <w:szCs w:val="18"/>
          <w:lang w:val="en-US"/>
        </w:rPr>
        <w:t>from</w:t>
      </w:r>
      <w:r w:rsidRPr="00B118CC">
        <w:rPr>
          <w:rFonts w:cs="Arial"/>
          <w:szCs w:val="18"/>
          <w:lang w:val="en-US"/>
        </w:rPr>
        <w:t xml:space="preserve"> 40 </w:t>
      </w:r>
      <w:proofErr w:type="spellStart"/>
      <w:r w:rsidRPr="00B118CC">
        <w:rPr>
          <w:rFonts w:cs="Arial"/>
          <w:szCs w:val="18"/>
          <w:lang w:val="en-US"/>
        </w:rPr>
        <w:t>mN</w:t>
      </w:r>
      <w:proofErr w:type="spellEnd"/>
      <w:r w:rsidRPr="00B118CC">
        <w:rPr>
          <w:rFonts w:cs="Arial"/>
          <w:szCs w:val="18"/>
          <w:lang w:val="en-US"/>
        </w:rPr>
        <w:t xml:space="preserve">/m to 2.53 ± 0.02 </w:t>
      </w:r>
      <w:proofErr w:type="spellStart"/>
      <w:r w:rsidRPr="00B118CC">
        <w:rPr>
          <w:rFonts w:cs="Arial"/>
          <w:szCs w:val="18"/>
          <w:lang w:val="en-US"/>
        </w:rPr>
        <w:t>mN</w:t>
      </w:r>
      <w:proofErr w:type="spellEnd"/>
      <w:r w:rsidRPr="00B118CC">
        <w:rPr>
          <w:rFonts w:cs="Arial"/>
          <w:szCs w:val="18"/>
          <w:lang w:val="en-US"/>
        </w:rPr>
        <w:t xml:space="preserve">/m. According to Luna et al. (2013), surfactants that are capable of reducing water surface tension from 72 to 35 </w:t>
      </w:r>
      <w:proofErr w:type="spellStart"/>
      <w:r w:rsidRPr="00B118CC">
        <w:rPr>
          <w:rFonts w:cs="Arial"/>
          <w:szCs w:val="18"/>
          <w:lang w:val="en-US"/>
        </w:rPr>
        <w:t>mN</w:t>
      </w:r>
      <w:proofErr w:type="spellEnd"/>
      <w:r w:rsidRPr="00B118CC">
        <w:rPr>
          <w:rFonts w:cs="Arial"/>
          <w:szCs w:val="18"/>
          <w:lang w:val="en-US"/>
        </w:rPr>
        <w:t xml:space="preserve">/m and interfacial tension against n-hexadecane from 40 to 1 </w:t>
      </w:r>
      <w:proofErr w:type="spellStart"/>
      <w:r w:rsidRPr="00B118CC">
        <w:rPr>
          <w:rFonts w:cs="Arial"/>
          <w:szCs w:val="18"/>
          <w:lang w:val="en-US"/>
        </w:rPr>
        <w:t>mN</w:t>
      </w:r>
      <w:proofErr w:type="spellEnd"/>
      <w:r w:rsidRPr="00B118CC">
        <w:rPr>
          <w:rFonts w:cs="Arial"/>
          <w:szCs w:val="18"/>
          <w:lang w:val="en-US"/>
        </w:rPr>
        <w:t>/m are considered to be good surfactants</w:t>
      </w:r>
      <w:r w:rsidR="00380710">
        <w:rPr>
          <w:rFonts w:cs="Arial"/>
          <w:szCs w:val="18"/>
          <w:lang w:val="en-US"/>
        </w:rPr>
        <w:t xml:space="preserve">, </w:t>
      </w:r>
      <w:r w:rsidRPr="00B118CC">
        <w:rPr>
          <w:rFonts w:cs="Arial"/>
          <w:szCs w:val="18"/>
          <w:lang w:val="en-US"/>
        </w:rPr>
        <w:t xml:space="preserve">is considered low for values ​​below 7 </w:t>
      </w:r>
      <w:proofErr w:type="spellStart"/>
      <w:r w:rsidRPr="00B118CC">
        <w:rPr>
          <w:rFonts w:cs="Arial"/>
          <w:szCs w:val="18"/>
          <w:lang w:val="en-US"/>
        </w:rPr>
        <w:t>mN</w:t>
      </w:r>
      <w:proofErr w:type="spellEnd"/>
      <w:r w:rsidRPr="00B118CC">
        <w:rPr>
          <w:rFonts w:cs="Arial"/>
          <w:szCs w:val="18"/>
          <w:lang w:val="en-US"/>
        </w:rPr>
        <w:t>/m</w:t>
      </w:r>
      <w:r w:rsidR="00380710">
        <w:rPr>
          <w:rFonts w:cs="Arial"/>
          <w:szCs w:val="18"/>
          <w:lang w:val="en-US"/>
        </w:rPr>
        <w:t xml:space="preserve"> (</w:t>
      </w:r>
      <w:r w:rsidR="00380710" w:rsidRPr="00B118CC">
        <w:rPr>
          <w:rFonts w:cs="Arial"/>
          <w:szCs w:val="18"/>
          <w:lang w:val="en-US"/>
        </w:rPr>
        <w:t>Santos et al.</w:t>
      </w:r>
      <w:r w:rsidR="00380710">
        <w:rPr>
          <w:rFonts w:cs="Arial"/>
          <w:szCs w:val="18"/>
          <w:lang w:val="en-US"/>
        </w:rPr>
        <w:t xml:space="preserve">, </w:t>
      </w:r>
      <w:r w:rsidR="00380710" w:rsidRPr="00B118CC">
        <w:rPr>
          <w:rFonts w:cs="Arial"/>
          <w:szCs w:val="18"/>
          <w:lang w:val="en-US"/>
        </w:rPr>
        <w:t>2016)</w:t>
      </w:r>
      <w:r w:rsidRPr="00B118CC">
        <w:rPr>
          <w:rFonts w:cs="Arial"/>
          <w:szCs w:val="18"/>
          <w:lang w:val="en-US"/>
        </w:rPr>
        <w:t xml:space="preserve">. Comparing this result with </w:t>
      </w:r>
      <w:r w:rsidR="00D85DF9">
        <w:rPr>
          <w:rFonts w:cs="Arial"/>
          <w:szCs w:val="18"/>
          <w:lang w:val="en-US"/>
        </w:rPr>
        <w:t>the results described</w:t>
      </w:r>
      <w:r w:rsidRPr="00B118CC">
        <w:rPr>
          <w:rFonts w:cs="Arial"/>
          <w:szCs w:val="18"/>
          <w:lang w:val="en-US"/>
        </w:rPr>
        <w:t xml:space="preserve"> by Campos, Stamford and Sarubbo (2014), who obtained an average value of 3.71 ± 0.15 </w:t>
      </w:r>
      <w:proofErr w:type="spellStart"/>
      <w:r w:rsidRPr="00B118CC">
        <w:rPr>
          <w:rFonts w:cs="Arial"/>
          <w:szCs w:val="18"/>
          <w:lang w:val="en-US"/>
        </w:rPr>
        <w:t>mN</w:t>
      </w:r>
      <w:proofErr w:type="spellEnd"/>
      <w:r w:rsidRPr="00B118CC">
        <w:rPr>
          <w:rFonts w:cs="Arial"/>
          <w:szCs w:val="18"/>
          <w:lang w:val="en-US"/>
        </w:rPr>
        <w:t>/m using the same yeast, both are similar, being considered sufficiently effective the action of the biosurfactant.</w:t>
      </w:r>
      <w:r w:rsidR="00505C92">
        <w:rPr>
          <w:rFonts w:cs="Arial"/>
          <w:szCs w:val="18"/>
          <w:lang w:val="en-US"/>
        </w:rPr>
        <w:t xml:space="preserve"> </w:t>
      </w:r>
      <w:r w:rsidRPr="002E57EE">
        <w:rPr>
          <w:rFonts w:cs="Arial"/>
          <w:szCs w:val="18"/>
          <w:lang w:val="en-US"/>
        </w:rPr>
        <w:t xml:space="preserve">In relation to the values of surface tension, Almeida et al. (2017) obtained very close values using </w:t>
      </w:r>
      <w:r w:rsidRPr="002E57EE">
        <w:rPr>
          <w:rFonts w:cs="Arial"/>
          <w:i/>
          <w:szCs w:val="18"/>
          <w:lang w:val="en-US"/>
        </w:rPr>
        <w:t>C. tropicalis</w:t>
      </w:r>
      <w:r w:rsidRPr="002E57EE">
        <w:rPr>
          <w:rFonts w:cs="Arial"/>
          <w:szCs w:val="18"/>
          <w:lang w:val="en-US"/>
        </w:rPr>
        <w:t xml:space="preserve"> UCP0996 in a medium containing 2.5% sugarcane molasses, 2.5</w:t>
      </w:r>
      <w:r w:rsidR="003B741D">
        <w:rPr>
          <w:rFonts w:cs="Arial"/>
          <w:szCs w:val="18"/>
          <w:lang w:val="en-US"/>
        </w:rPr>
        <w:t xml:space="preserve"> </w:t>
      </w:r>
      <w:r w:rsidRPr="002E57EE">
        <w:rPr>
          <w:rFonts w:cs="Arial"/>
          <w:szCs w:val="18"/>
          <w:lang w:val="en-US"/>
        </w:rPr>
        <w:t>% frying oil and 2.5</w:t>
      </w:r>
      <w:r w:rsidR="003B741D">
        <w:rPr>
          <w:rFonts w:cs="Arial"/>
          <w:szCs w:val="18"/>
          <w:lang w:val="en-US"/>
        </w:rPr>
        <w:t xml:space="preserve"> </w:t>
      </w:r>
      <w:r w:rsidRPr="002E57EE">
        <w:rPr>
          <w:rFonts w:cs="Arial"/>
          <w:szCs w:val="18"/>
          <w:lang w:val="en-US"/>
        </w:rPr>
        <w:t xml:space="preserve">% corn liquor: 34.12 ± 0, 07 </w:t>
      </w:r>
      <w:proofErr w:type="spellStart"/>
      <w:r w:rsidRPr="002E57EE">
        <w:rPr>
          <w:rFonts w:cs="Arial"/>
          <w:szCs w:val="18"/>
          <w:lang w:val="en-US"/>
        </w:rPr>
        <w:t>mN</w:t>
      </w:r>
      <w:proofErr w:type="spellEnd"/>
      <w:r w:rsidRPr="002E57EE">
        <w:rPr>
          <w:rFonts w:cs="Arial"/>
          <w:szCs w:val="18"/>
          <w:lang w:val="en-US"/>
        </w:rPr>
        <w:t xml:space="preserve">/m (2 L bioreactor) and 35.60 ± 0.05 </w:t>
      </w:r>
      <w:proofErr w:type="spellStart"/>
      <w:r w:rsidRPr="002E57EE">
        <w:rPr>
          <w:rFonts w:cs="Arial"/>
          <w:szCs w:val="18"/>
          <w:lang w:val="en-US"/>
        </w:rPr>
        <w:t>mN</w:t>
      </w:r>
      <w:proofErr w:type="spellEnd"/>
      <w:r w:rsidRPr="002E57EE">
        <w:rPr>
          <w:rFonts w:cs="Arial"/>
          <w:szCs w:val="18"/>
          <w:lang w:val="en-US"/>
        </w:rPr>
        <w:t xml:space="preserve">/m (50 L bioreactor). Approximate results were also found by Campos, Stamford and Sarubbo (2014) using </w:t>
      </w:r>
      <w:r w:rsidRPr="005B37CA">
        <w:rPr>
          <w:rFonts w:cs="Arial"/>
          <w:i/>
          <w:szCs w:val="18"/>
          <w:lang w:val="en-US"/>
        </w:rPr>
        <w:t>C. utilis</w:t>
      </w:r>
      <w:r w:rsidRPr="002E57EE">
        <w:rPr>
          <w:rFonts w:cs="Arial"/>
          <w:szCs w:val="18"/>
          <w:lang w:val="en-US"/>
        </w:rPr>
        <w:t xml:space="preserve"> UFPEDA 1009 in different formulations of culture medium, obtaining values of 37.18 ± 1.01 to 48.06 ± 0.30 </w:t>
      </w:r>
      <w:proofErr w:type="spellStart"/>
      <w:r w:rsidRPr="002E57EE">
        <w:rPr>
          <w:rFonts w:cs="Arial"/>
          <w:szCs w:val="18"/>
          <w:lang w:val="en-US"/>
        </w:rPr>
        <w:t>mN</w:t>
      </w:r>
      <w:proofErr w:type="spellEnd"/>
      <w:r>
        <w:rPr>
          <w:rFonts w:cs="Arial"/>
          <w:szCs w:val="18"/>
          <w:lang w:val="en-US"/>
        </w:rPr>
        <w:t>/</w:t>
      </w:r>
      <w:r w:rsidRPr="002E57EE">
        <w:rPr>
          <w:rFonts w:cs="Arial"/>
          <w:szCs w:val="18"/>
          <w:lang w:val="en-US"/>
        </w:rPr>
        <w:t xml:space="preserve">m, the closest value being the canola oil residue as the </w:t>
      </w:r>
      <w:r w:rsidRPr="00DA6E80">
        <w:rPr>
          <w:rFonts w:cs="Arial"/>
          <w:szCs w:val="18"/>
          <w:lang w:val="en-US"/>
        </w:rPr>
        <w:t>carbon source.</w:t>
      </w:r>
    </w:p>
    <w:p w:rsidR="00CA6FAC" w:rsidRPr="00DA6E80" w:rsidRDefault="002E3FE1" w:rsidP="006C270C">
      <w:pPr>
        <w:pStyle w:val="CETheadingx"/>
      </w:pPr>
      <w:r w:rsidRPr="00DA6E80">
        <w:t>Extraction yields</w:t>
      </w:r>
    </w:p>
    <w:p w:rsidR="00CA6FAC" w:rsidRDefault="00CA6FAC" w:rsidP="00CA6FAC">
      <w:pPr>
        <w:autoSpaceDE w:val="0"/>
        <w:autoSpaceDN w:val="0"/>
        <w:adjustRightInd w:val="0"/>
        <w:rPr>
          <w:rFonts w:cs="Arial"/>
          <w:szCs w:val="18"/>
          <w:lang w:val="en-US"/>
        </w:rPr>
      </w:pPr>
      <w:r w:rsidRPr="00DA6E80">
        <w:rPr>
          <w:rFonts w:cs="Arial"/>
          <w:szCs w:val="18"/>
          <w:lang w:val="en-US"/>
        </w:rPr>
        <w:t xml:space="preserve">Table 1 shows the yield values </w:t>
      </w:r>
      <w:r w:rsidRPr="00EB11A8">
        <w:rPr>
          <w:rFonts w:cs="Arial"/>
          <w:szCs w:val="18"/>
          <w:lang w:val="en-US"/>
        </w:rPr>
        <w:t>obtained for each extraction methodology studied, considering the aspect of the extract obtained.</w:t>
      </w:r>
    </w:p>
    <w:p w:rsidR="00CA6FAC" w:rsidRPr="00EA797A" w:rsidRDefault="00CA6FAC" w:rsidP="00EA797A">
      <w:pPr>
        <w:pStyle w:val="CETTabletitle"/>
        <w:jc w:val="both"/>
      </w:pPr>
      <w:r w:rsidRPr="000477D0">
        <w:t xml:space="preserve">Table 1: Yields and aspects of the </w:t>
      </w:r>
      <w:r w:rsidR="00D85DF9" w:rsidRPr="000477D0">
        <w:t xml:space="preserve">isolated </w:t>
      </w:r>
      <w:r w:rsidRPr="000477D0">
        <w:t>biosurfactant. Experiments were performed in triplicate and the results represent the mean ± standard deviation of the three independent experiments.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1843"/>
        <w:gridCol w:w="1417"/>
        <w:gridCol w:w="2410"/>
      </w:tblGrid>
      <w:tr w:rsidR="00EA797A" w:rsidRPr="00B57B36" w:rsidTr="00F13651">
        <w:tc>
          <w:tcPr>
            <w:tcW w:w="1985" w:type="dxa"/>
            <w:tcBorders>
              <w:bottom w:val="single" w:sz="6" w:space="0" w:color="008000"/>
            </w:tcBorders>
            <w:shd w:val="clear" w:color="auto" w:fill="FFFFFF"/>
          </w:tcPr>
          <w:p w:rsidR="00EA797A" w:rsidRPr="002973CE" w:rsidRDefault="00EA797A" w:rsidP="00EA797A">
            <w:r w:rsidRPr="002973CE">
              <w:t>Solvent</w:t>
            </w:r>
          </w:p>
        </w:tc>
        <w:tc>
          <w:tcPr>
            <w:tcW w:w="1843" w:type="dxa"/>
            <w:tcBorders>
              <w:top w:val="single" w:sz="12" w:space="0" w:color="008000"/>
              <w:bottom w:val="single" w:sz="6" w:space="0" w:color="008000"/>
            </w:tcBorders>
            <w:shd w:val="clear" w:color="auto" w:fill="FFFFFF"/>
          </w:tcPr>
          <w:p w:rsidR="00EA797A" w:rsidRPr="004E5D45" w:rsidRDefault="00EA797A" w:rsidP="00F13651">
            <w:pPr>
              <w:jc w:val="left"/>
            </w:pPr>
            <w:r w:rsidRPr="004E5D45">
              <w:t>Yield obtained</w:t>
            </w:r>
            <w:r w:rsidR="00144694">
              <w:t xml:space="preserve"> (g/L)</w:t>
            </w:r>
          </w:p>
        </w:tc>
        <w:tc>
          <w:tcPr>
            <w:tcW w:w="1417" w:type="dxa"/>
            <w:tcBorders>
              <w:top w:val="single" w:sz="12" w:space="0" w:color="008000"/>
              <w:bottom w:val="single" w:sz="6" w:space="0" w:color="008000"/>
            </w:tcBorders>
            <w:shd w:val="clear" w:color="auto" w:fill="FFFFFF"/>
          </w:tcPr>
          <w:p w:rsidR="00EA797A" w:rsidRPr="00BD7632" w:rsidRDefault="00EA797A" w:rsidP="00F13651">
            <w:pPr>
              <w:jc w:val="left"/>
            </w:pPr>
            <w:r w:rsidRPr="00BD7632">
              <w:t>Aspect</w:t>
            </w:r>
          </w:p>
        </w:tc>
        <w:tc>
          <w:tcPr>
            <w:tcW w:w="2410" w:type="dxa"/>
            <w:tcBorders>
              <w:top w:val="single" w:sz="12" w:space="0" w:color="008000"/>
              <w:bottom w:val="single" w:sz="6" w:space="0" w:color="008000"/>
            </w:tcBorders>
            <w:shd w:val="clear" w:color="auto" w:fill="FFFFFF"/>
          </w:tcPr>
          <w:p w:rsidR="00EA797A" w:rsidRPr="00DF192B" w:rsidRDefault="00EA797A" w:rsidP="00F13651">
            <w:pPr>
              <w:jc w:val="left"/>
            </w:pPr>
            <w:r w:rsidRPr="00DF192B">
              <w:t>Reference</w:t>
            </w:r>
          </w:p>
        </w:tc>
      </w:tr>
      <w:tr w:rsidR="00AE529C" w:rsidRPr="00B57B36" w:rsidTr="00F13651">
        <w:tc>
          <w:tcPr>
            <w:tcW w:w="1985" w:type="dxa"/>
            <w:shd w:val="clear" w:color="auto" w:fill="FFFFFF"/>
          </w:tcPr>
          <w:p w:rsidR="00AE529C" w:rsidRPr="002973CE" w:rsidRDefault="00AE529C" w:rsidP="00AE529C">
            <w:r w:rsidRPr="002973CE">
              <w:t xml:space="preserve">Ethanol + acetic acid </w:t>
            </w:r>
          </w:p>
        </w:tc>
        <w:tc>
          <w:tcPr>
            <w:tcW w:w="1843" w:type="dxa"/>
            <w:shd w:val="clear" w:color="auto" w:fill="FFFFFF"/>
          </w:tcPr>
          <w:p w:rsidR="00AE529C" w:rsidRPr="00181962" w:rsidRDefault="00AE529C" w:rsidP="00AE529C">
            <w:r w:rsidRPr="00181962">
              <w:t>48.05</w:t>
            </w:r>
            <w:r>
              <w:t xml:space="preserve"> </w:t>
            </w:r>
            <w:r w:rsidRPr="00181962">
              <w:t>±</w:t>
            </w:r>
            <w:r>
              <w:t xml:space="preserve"> </w:t>
            </w:r>
            <w:r w:rsidRPr="00181962">
              <w:t>0.21</w:t>
            </w:r>
          </w:p>
        </w:tc>
        <w:tc>
          <w:tcPr>
            <w:tcW w:w="1417" w:type="dxa"/>
            <w:shd w:val="clear" w:color="auto" w:fill="FFFFFF"/>
          </w:tcPr>
          <w:p w:rsidR="00AE529C" w:rsidRPr="00BD7632" w:rsidRDefault="00AE529C" w:rsidP="00AE529C">
            <w:r w:rsidRPr="00BD7632">
              <w:t>Grainy</w:t>
            </w:r>
          </w:p>
        </w:tc>
        <w:tc>
          <w:tcPr>
            <w:tcW w:w="2410" w:type="dxa"/>
            <w:shd w:val="clear" w:color="auto" w:fill="FFFFFF"/>
          </w:tcPr>
          <w:p w:rsidR="00AE529C" w:rsidRPr="00DF192B" w:rsidRDefault="00AE529C" w:rsidP="00AE529C">
            <w:r w:rsidRPr="00DF192B">
              <w:t>Cameron et al., 1988</w:t>
            </w:r>
          </w:p>
        </w:tc>
      </w:tr>
      <w:tr w:rsidR="00AE529C" w:rsidRPr="00B57B36" w:rsidTr="00F13651">
        <w:tc>
          <w:tcPr>
            <w:tcW w:w="1985" w:type="dxa"/>
            <w:shd w:val="clear" w:color="auto" w:fill="FFFFFF"/>
          </w:tcPr>
          <w:p w:rsidR="00AE529C" w:rsidRPr="002973CE" w:rsidRDefault="00AE529C" w:rsidP="00AE529C">
            <w:r w:rsidRPr="002973CE">
              <w:t>Ethyl acetate PA</w:t>
            </w:r>
          </w:p>
        </w:tc>
        <w:tc>
          <w:tcPr>
            <w:tcW w:w="1843" w:type="dxa"/>
            <w:shd w:val="clear" w:color="auto" w:fill="FFFFFF"/>
          </w:tcPr>
          <w:p w:rsidR="00AE529C" w:rsidRPr="00181962" w:rsidRDefault="00AE529C" w:rsidP="00AE529C">
            <w:r w:rsidRPr="00181962">
              <w:t>36.74</w:t>
            </w:r>
            <w:r>
              <w:t xml:space="preserve"> </w:t>
            </w:r>
            <w:r w:rsidRPr="00181962">
              <w:t>±</w:t>
            </w:r>
            <w:r>
              <w:t xml:space="preserve"> </w:t>
            </w:r>
            <w:r w:rsidRPr="00181962">
              <w:t>0.38</w:t>
            </w:r>
          </w:p>
        </w:tc>
        <w:tc>
          <w:tcPr>
            <w:tcW w:w="1417" w:type="dxa"/>
            <w:shd w:val="clear" w:color="auto" w:fill="FFFFFF"/>
          </w:tcPr>
          <w:p w:rsidR="00AE529C" w:rsidRPr="00BD7632" w:rsidRDefault="00AE529C" w:rsidP="00AE529C">
            <w:r w:rsidRPr="00BD7632">
              <w:t>Oily</w:t>
            </w:r>
          </w:p>
        </w:tc>
        <w:tc>
          <w:tcPr>
            <w:tcW w:w="2410" w:type="dxa"/>
            <w:shd w:val="clear" w:color="auto" w:fill="FFFFFF"/>
          </w:tcPr>
          <w:p w:rsidR="00AE529C" w:rsidRPr="00DF192B" w:rsidRDefault="00AE529C" w:rsidP="00AE529C">
            <w:r w:rsidRPr="00DF192B">
              <w:t>Bhatia; Saharan, 2015</w:t>
            </w:r>
          </w:p>
        </w:tc>
      </w:tr>
      <w:tr w:rsidR="00AE529C" w:rsidRPr="00B57B36" w:rsidTr="00F13651">
        <w:tc>
          <w:tcPr>
            <w:tcW w:w="1985" w:type="dxa"/>
            <w:shd w:val="clear" w:color="auto" w:fill="FFFFFF"/>
          </w:tcPr>
          <w:p w:rsidR="00AE529C" w:rsidRPr="002973CE" w:rsidRDefault="00AE529C" w:rsidP="00AE529C">
            <w:r w:rsidRPr="002973CE">
              <w:t>Acetone PA</w:t>
            </w:r>
          </w:p>
        </w:tc>
        <w:tc>
          <w:tcPr>
            <w:tcW w:w="1843" w:type="dxa"/>
            <w:shd w:val="clear" w:color="auto" w:fill="FFFFFF"/>
          </w:tcPr>
          <w:p w:rsidR="00AE529C" w:rsidRPr="00181962" w:rsidRDefault="00AE529C" w:rsidP="00AE529C">
            <w:r w:rsidRPr="00181962">
              <w:t>20.93</w:t>
            </w:r>
            <w:r>
              <w:t xml:space="preserve"> </w:t>
            </w:r>
            <w:r w:rsidRPr="00181962">
              <w:t>±</w:t>
            </w:r>
            <w:r>
              <w:t xml:space="preserve"> </w:t>
            </w:r>
            <w:r w:rsidRPr="00181962">
              <w:t>0.18</w:t>
            </w:r>
          </w:p>
        </w:tc>
        <w:tc>
          <w:tcPr>
            <w:tcW w:w="1417" w:type="dxa"/>
            <w:shd w:val="clear" w:color="auto" w:fill="FFFFFF"/>
          </w:tcPr>
          <w:p w:rsidR="00AE529C" w:rsidRPr="00BD7632" w:rsidRDefault="00AE529C" w:rsidP="00AE529C">
            <w:r w:rsidRPr="00BD7632">
              <w:t>Oily and grainy</w:t>
            </w:r>
          </w:p>
        </w:tc>
        <w:tc>
          <w:tcPr>
            <w:tcW w:w="2410" w:type="dxa"/>
            <w:shd w:val="clear" w:color="auto" w:fill="FFFFFF"/>
          </w:tcPr>
          <w:p w:rsidR="00AE529C" w:rsidRPr="00DF192B" w:rsidRDefault="00AE529C" w:rsidP="00AE529C">
            <w:r w:rsidRPr="00DF192B">
              <w:t>Johny, 2013</w:t>
            </w:r>
          </w:p>
        </w:tc>
      </w:tr>
      <w:tr w:rsidR="00AE529C" w:rsidRPr="00B57B36" w:rsidTr="00F13651">
        <w:tc>
          <w:tcPr>
            <w:tcW w:w="1985" w:type="dxa"/>
            <w:shd w:val="clear" w:color="auto" w:fill="FFFFFF"/>
          </w:tcPr>
          <w:p w:rsidR="00AE529C" w:rsidRPr="002973CE" w:rsidRDefault="00AE529C" w:rsidP="00AE529C">
            <w:r w:rsidRPr="002973CE">
              <w:t>Ethyl acetate PA</w:t>
            </w:r>
          </w:p>
        </w:tc>
        <w:tc>
          <w:tcPr>
            <w:tcW w:w="1843" w:type="dxa"/>
            <w:shd w:val="clear" w:color="auto" w:fill="FFFFFF"/>
          </w:tcPr>
          <w:p w:rsidR="00AE529C" w:rsidRPr="00181962" w:rsidRDefault="00AE529C" w:rsidP="00AE529C">
            <w:r w:rsidRPr="00181962">
              <w:t>38.93</w:t>
            </w:r>
            <w:r>
              <w:t xml:space="preserve"> </w:t>
            </w:r>
            <w:r w:rsidRPr="00181962">
              <w:t>±</w:t>
            </w:r>
            <w:r>
              <w:t xml:space="preserve"> </w:t>
            </w:r>
            <w:r w:rsidRPr="00181962">
              <w:t>0.25</w:t>
            </w:r>
          </w:p>
        </w:tc>
        <w:tc>
          <w:tcPr>
            <w:tcW w:w="1417" w:type="dxa"/>
            <w:shd w:val="clear" w:color="auto" w:fill="FFFFFF"/>
          </w:tcPr>
          <w:p w:rsidR="00AE529C" w:rsidRPr="00BD7632" w:rsidRDefault="00AE529C" w:rsidP="00AE529C">
            <w:r w:rsidRPr="00BD7632">
              <w:t>Oily</w:t>
            </w:r>
          </w:p>
        </w:tc>
        <w:tc>
          <w:tcPr>
            <w:tcW w:w="2410" w:type="dxa"/>
            <w:shd w:val="clear" w:color="auto" w:fill="FFFFFF"/>
          </w:tcPr>
          <w:p w:rsidR="00AE529C" w:rsidRPr="00DF192B" w:rsidRDefault="00AE529C" w:rsidP="00AE529C">
            <w:r w:rsidRPr="00DF192B">
              <w:t>Shah et al., 2017</w:t>
            </w:r>
          </w:p>
        </w:tc>
      </w:tr>
      <w:tr w:rsidR="00AE529C" w:rsidRPr="00B57B36" w:rsidTr="00F13651">
        <w:tc>
          <w:tcPr>
            <w:tcW w:w="1985" w:type="dxa"/>
            <w:shd w:val="clear" w:color="auto" w:fill="FFFFFF"/>
          </w:tcPr>
          <w:p w:rsidR="00AE529C" w:rsidRPr="002973CE" w:rsidRDefault="00AE529C" w:rsidP="00AE529C">
            <w:r w:rsidRPr="002973CE">
              <w:t>Ethyl acetate PA</w:t>
            </w:r>
          </w:p>
        </w:tc>
        <w:tc>
          <w:tcPr>
            <w:tcW w:w="1843" w:type="dxa"/>
            <w:shd w:val="clear" w:color="auto" w:fill="FFFFFF"/>
          </w:tcPr>
          <w:p w:rsidR="00AE529C" w:rsidRPr="00181962" w:rsidRDefault="00AE529C" w:rsidP="00AE529C">
            <w:r w:rsidRPr="00181962">
              <w:t>13.10</w:t>
            </w:r>
            <w:r>
              <w:t xml:space="preserve"> </w:t>
            </w:r>
            <w:r w:rsidRPr="00181962">
              <w:t>±</w:t>
            </w:r>
            <w:r>
              <w:t xml:space="preserve"> </w:t>
            </w:r>
            <w:r w:rsidRPr="00181962">
              <w:t>0.04</w:t>
            </w:r>
          </w:p>
        </w:tc>
        <w:tc>
          <w:tcPr>
            <w:tcW w:w="1417" w:type="dxa"/>
            <w:shd w:val="clear" w:color="auto" w:fill="FFFFFF"/>
          </w:tcPr>
          <w:p w:rsidR="00AE529C" w:rsidRPr="00BD7632" w:rsidRDefault="00AE529C" w:rsidP="00AE529C">
            <w:r w:rsidRPr="00BD7632">
              <w:t>Oily</w:t>
            </w:r>
          </w:p>
        </w:tc>
        <w:tc>
          <w:tcPr>
            <w:tcW w:w="2410" w:type="dxa"/>
            <w:shd w:val="clear" w:color="auto" w:fill="FFFFFF"/>
          </w:tcPr>
          <w:p w:rsidR="00AE529C" w:rsidRPr="00DF192B" w:rsidRDefault="00AE529C" w:rsidP="00AE529C">
            <w:r w:rsidRPr="00DF192B">
              <w:t>Derguine-mecheri et al., 2018</w:t>
            </w:r>
          </w:p>
        </w:tc>
      </w:tr>
      <w:tr w:rsidR="00AE529C" w:rsidRPr="00B57B36" w:rsidTr="00F13651">
        <w:tc>
          <w:tcPr>
            <w:tcW w:w="1985" w:type="dxa"/>
            <w:shd w:val="clear" w:color="auto" w:fill="FFFFFF"/>
          </w:tcPr>
          <w:p w:rsidR="00AE529C" w:rsidRDefault="00AE529C" w:rsidP="00AE529C">
            <w:r w:rsidRPr="002973CE">
              <w:t>Ethyl acetate PA</w:t>
            </w:r>
          </w:p>
        </w:tc>
        <w:tc>
          <w:tcPr>
            <w:tcW w:w="1843" w:type="dxa"/>
            <w:shd w:val="clear" w:color="auto" w:fill="FFFFFF"/>
          </w:tcPr>
          <w:p w:rsidR="00AE529C" w:rsidRDefault="00AE529C" w:rsidP="00AE529C">
            <w:r w:rsidRPr="00181962">
              <w:t>24.22</w:t>
            </w:r>
            <w:r>
              <w:t xml:space="preserve"> </w:t>
            </w:r>
            <w:r w:rsidRPr="00181962">
              <w:t>±</w:t>
            </w:r>
            <w:r>
              <w:t xml:space="preserve"> </w:t>
            </w:r>
            <w:r w:rsidRPr="00181962">
              <w:t>0.23</w:t>
            </w:r>
          </w:p>
        </w:tc>
        <w:tc>
          <w:tcPr>
            <w:tcW w:w="1417" w:type="dxa"/>
            <w:shd w:val="clear" w:color="auto" w:fill="FFFFFF"/>
          </w:tcPr>
          <w:p w:rsidR="00AE529C" w:rsidRDefault="00AE529C" w:rsidP="00AE529C">
            <w:r w:rsidRPr="00BD7632">
              <w:t>Oily</w:t>
            </w:r>
          </w:p>
        </w:tc>
        <w:tc>
          <w:tcPr>
            <w:tcW w:w="2410" w:type="dxa"/>
            <w:shd w:val="clear" w:color="auto" w:fill="FFFFFF"/>
          </w:tcPr>
          <w:p w:rsidR="00AE529C" w:rsidRDefault="00AE529C" w:rsidP="00AE529C">
            <w:r w:rsidRPr="00DF192B">
              <w:t>Developed in laboratory</w:t>
            </w:r>
          </w:p>
        </w:tc>
      </w:tr>
    </w:tbl>
    <w:p w:rsidR="00C9094D" w:rsidRPr="007C72D8" w:rsidRDefault="00C9094D" w:rsidP="00CA6FAC">
      <w:pPr>
        <w:autoSpaceDE w:val="0"/>
        <w:autoSpaceDN w:val="0"/>
        <w:adjustRightInd w:val="0"/>
        <w:rPr>
          <w:rFonts w:cs="Arial"/>
          <w:szCs w:val="18"/>
          <w:lang w:val="en-US"/>
        </w:rPr>
      </w:pPr>
    </w:p>
    <w:p w:rsidR="00CA6FAC" w:rsidRDefault="00DB6750" w:rsidP="00CA6FAC">
      <w:pPr>
        <w:autoSpaceDE w:val="0"/>
        <w:autoSpaceDN w:val="0"/>
        <w:adjustRightInd w:val="0"/>
        <w:rPr>
          <w:rFonts w:cs="Arial"/>
          <w:szCs w:val="18"/>
          <w:lang w:val="en-US"/>
        </w:rPr>
      </w:pPr>
      <w:r w:rsidRPr="007C72D8">
        <w:rPr>
          <w:rFonts w:cs="Arial"/>
          <w:szCs w:val="18"/>
          <w:lang w:val="en-US"/>
        </w:rPr>
        <w:t xml:space="preserve">According to Table 1, the highest yield was obtained from the method of Cameron et al. (1988), using the solvents ethanol and acetic acid in the ratio 3:1 (v/v) with the centrifuged medium; in addition to being superior to that found by the same authors using the same yeast (17.8 g/g). </w:t>
      </w:r>
      <w:r w:rsidR="00315D0D" w:rsidRPr="007C72D8">
        <w:rPr>
          <w:rFonts w:cs="Arial"/>
          <w:szCs w:val="18"/>
          <w:lang w:val="en-US"/>
        </w:rPr>
        <w:t xml:space="preserve">However, the appearance of the product </w:t>
      </w:r>
      <w:r w:rsidR="00315D0D" w:rsidRPr="007C72D8">
        <w:rPr>
          <w:rFonts w:cs="Arial"/>
          <w:szCs w:val="18"/>
          <w:lang w:val="en-US"/>
        </w:rPr>
        <w:lastRenderedPageBreak/>
        <w:t xml:space="preserve">does not make it suitable for the intended application. </w:t>
      </w:r>
      <w:r w:rsidR="00AB434F" w:rsidRPr="007C72D8">
        <w:rPr>
          <w:rFonts w:cs="Arial"/>
          <w:szCs w:val="18"/>
          <w:lang w:val="en-US"/>
        </w:rPr>
        <w:t>Using ethyl acetate as extraction solvent, it was possible to obtain the biosurfactant in the oily form, with yields higher than those found by the authors: 19 g/L (Shah et al., 2017), 12 g/L (Derguine-Mecheri et al., 2018)</w:t>
      </w:r>
      <w:r w:rsidRPr="007C72D8">
        <w:rPr>
          <w:rFonts w:cs="Arial"/>
          <w:szCs w:val="18"/>
          <w:lang w:val="en-US"/>
        </w:rPr>
        <w:t xml:space="preserve">. In relation to </w:t>
      </w:r>
      <w:r w:rsidR="00B66C9E" w:rsidRPr="007C72D8">
        <w:rPr>
          <w:rFonts w:cs="Arial"/>
          <w:szCs w:val="18"/>
          <w:lang w:val="en-US"/>
        </w:rPr>
        <w:t xml:space="preserve">economic </w:t>
      </w:r>
      <w:r w:rsidRPr="007C72D8">
        <w:rPr>
          <w:rFonts w:cs="Arial"/>
          <w:szCs w:val="18"/>
          <w:lang w:val="en-US"/>
        </w:rPr>
        <w:t>viability, the laboratory</w:t>
      </w:r>
      <w:r w:rsidR="004E7177" w:rsidRPr="007C72D8">
        <w:rPr>
          <w:rFonts w:cs="Arial"/>
          <w:szCs w:val="18"/>
          <w:lang w:val="en-US"/>
        </w:rPr>
        <w:t xml:space="preserve"> </w:t>
      </w:r>
      <w:r w:rsidRPr="007C72D8">
        <w:rPr>
          <w:rFonts w:cs="Arial"/>
          <w:szCs w:val="18"/>
          <w:lang w:val="en-US"/>
        </w:rPr>
        <w:t>developed method was the best choice, since it requires a lower volume of solvent (50 mL to 100 mL of medium)</w:t>
      </w:r>
      <w:r w:rsidR="00FA515C" w:rsidRPr="007C72D8">
        <w:rPr>
          <w:rFonts w:cs="Arial"/>
          <w:szCs w:val="18"/>
          <w:lang w:val="en-US"/>
        </w:rPr>
        <w:t xml:space="preserve"> to the medium w</w:t>
      </w:r>
      <w:r w:rsidR="00AE56BD" w:rsidRPr="007C72D8">
        <w:rPr>
          <w:rFonts w:cs="Arial"/>
          <w:szCs w:val="18"/>
          <w:lang w:val="en-US"/>
        </w:rPr>
        <w:t>ithout the initial centrifugation and filtration steps</w:t>
      </w:r>
      <w:r w:rsidRPr="007C72D8">
        <w:rPr>
          <w:rFonts w:cs="Arial"/>
          <w:szCs w:val="18"/>
          <w:lang w:val="en-US"/>
        </w:rPr>
        <w:t>, obtaining a clear oil extract</w:t>
      </w:r>
      <w:r w:rsidR="00AE56BD" w:rsidRPr="007C72D8">
        <w:rPr>
          <w:rFonts w:cs="Arial"/>
          <w:szCs w:val="18"/>
          <w:lang w:val="en-US"/>
        </w:rPr>
        <w:t xml:space="preserve"> and clear</w:t>
      </w:r>
      <w:r w:rsidR="00C61F48" w:rsidRPr="007C72D8">
        <w:rPr>
          <w:rFonts w:cs="Arial"/>
          <w:szCs w:val="18"/>
          <w:lang w:val="en-US"/>
        </w:rPr>
        <w:t xml:space="preserve"> (not obtained with other methods)</w:t>
      </w:r>
      <w:r w:rsidRPr="007C72D8">
        <w:rPr>
          <w:rFonts w:cs="Arial"/>
          <w:szCs w:val="18"/>
          <w:lang w:val="en-US"/>
        </w:rPr>
        <w:t xml:space="preserve">, which is considered to be </w:t>
      </w:r>
      <w:r w:rsidRPr="00DB6750">
        <w:rPr>
          <w:rFonts w:cs="Arial"/>
          <w:szCs w:val="18"/>
          <w:lang w:val="en-US"/>
        </w:rPr>
        <w:t>the most suitable for subsequent application in food formulations, replacing animal fat, since it is more homogeneous in terms of texture.</w:t>
      </w:r>
    </w:p>
    <w:p w:rsidR="00CA6FAC" w:rsidRDefault="00CA6FAC" w:rsidP="006C270C">
      <w:pPr>
        <w:pStyle w:val="CETheadingx"/>
      </w:pPr>
      <w:r w:rsidRPr="0085229E">
        <w:t>Critical Micell</w:t>
      </w:r>
      <w:r w:rsidR="00E731DE">
        <w:t>e</w:t>
      </w:r>
      <w:r w:rsidRPr="0085229E">
        <w:t xml:space="preserve"> Concentration</w:t>
      </w:r>
      <w:r w:rsidR="00E731DE">
        <w:t xml:space="preserve"> (CMC)</w:t>
      </w:r>
    </w:p>
    <w:p w:rsidR="00CA6FAC" w:rsidRDefault="00CA6FAC" w:rsidP="00CA6FAC">
      <w:pPr>
        <w:autoSpaceDE w:val="0"/>
        <w:autoSpaceDN w:val="0"/>
        <w:adjustRightInd w:val="0"/>
        <w:rPr>
          <w:rFonts w:cs="Arial"/>
          <w:szCs w:val="18"/>
          <w:lang w:val="en-US"/>
        </w:rPr>
      </w:pPr>
      <w:r w:rsidRPr="007D4890">
        <w:rPr>
          <w:rFonts w:cs="Arial"/>
          <w:szCs w:val="18"/>
          <w:lang w:val="en-US"/>
        </w:rPr>
        <w:t>The graph</w:t>
      </w:r>
      <w:r w:rsidR="00E731DE">
        <w:rPr>
          <w:rFonts w:cs="Arial"/>
          <w:szCs w:val="18"/>
          <w:lang w:val="en-US"/>
        </w:rPr>
        <w:t>ic</w:t>
      </w:r>
      <w:r w:rsidRPr="007D4890">
        <w:rPr>
          <w:rFonts w:cs="Arial"/>
          <w:szCs w:val="18"/>
          <w:lang w:val="en-US"/>
        </w:rPr>
        <w:t xml:space="preserve"> </w:t>
      </w:r>
      <w:r w:rsidR="00E731DE">
        <w:rPr>
          <w:rFonts w:cs="Arial"/>
          <w:szCs w:val="18"/>
          <w:lang w:val="en-US"/>
        </w:rPr>
        <w:t>describing</w:t>
      </w:r>
      <w:r w:rsidRPr="007D4890">
        <w:rPr>
          <w:rFonts w:cs="Arial"/>
          <w:szCs w:val="18"/>
          <w:lang w:val="en-US"/>
        </w:rPr>
        <w:t xml:space="preserve"> the surface tension as a function of the biosurfactant concentration is presented in Figure 1. Since a good surfactant must have high efficiency and efficacy, the biosurfactant produced </w:t>
      </w:r>
      <w:r w:rsidR="00E731DE">
        <w:rPr>
          <w:rFonts w:cs="Arial"/>
          <w:szCs w:val="18"/>
          <w:lang w:val="en-US"/>
        </w:rPr>
        <w:t>from</w:t>
      </w:r>
      <w:r w:rsidRPr="007D4890">
        <w:rPr>
          <w:rFonts w:cs="Arial"/>
          <w:szCs w:val="18"/>
          <w:lang w:val="en-US"/>
        </w:rPr>
        <w:t xml:space="preserve"> </w:t>
      </w:r>
      <w:r w:rsidRPr="00A63851">
        <w:rPr>
          <w:rFonts w:cs="Arial"/>
          <w:i/>
          <w:szCs w:val="18"/>
          <w:lang w:val="en-US"/>
        </w:rPr>
        <w:t>C</w:t>
      </w:r>
      <w:r w:rsidR="000B0385">
        <w:rPr>
          <w:rFonts w:cs="Arial"/>
          <w:i/>
          <w:szCs w:val="18"/>
          <w:lang w:val="en-US"/>
        </w:rPr>
        <w:t xml:space="preserve">. </w:t>
      </w:r>
      <w:r w:rsidRPr="00A63851">
        <w:rPr>
          <w:rFonts w:cs="Arial"/>
          <w:i/>
          <w:szCs w:val="18"/>
          <w:lang w:val="en-US"/>
        </w:rPr>
        <w:t>utilis</w:t>
      </w:r>
      <w:r w:rsidRPr="007D4890">
        <w:rPr>
          <w:rFonts w:cs="Arial"/>
          <w:szCs w:val="18"/>
          <w:lang w:val="en-US"/>
        </w:rPr>
        <w:t xml:space="preserve"> presented this capacity in concentrations lower than 1 g</w:t>
      </w:r>
      <w:r>
        <w:rPr>
          <w:rFonts w:cs="Arial"/>
          <w:szCs w:val="18"/>
          <w:lang w:val="en-US"/>
        </w:rPr>
        <w:t>/</w:t>
      </w:r>
      <w:r w:rsidRPr="007D4890">
        <w:rPr>
          <w:rFonts w:cs="Arial"/>
          <w:szCs w:val="18"/>
          <w:lang w:val="en-US"/>
        </w:rPr>
        <w:t>L (0.6 g/L). As described by Santos et al. (2016), the CMC is reached at the point where a further increase in the biosurfactant concentration does not lead to an additional reduction in surface tension. While surface and interfacial tensions influence the efficacy of a surfactant, CMC reflects on the efficiency of the surfactant, ranging from 0.001 to 2 g</w:t>
      </w:r>
      <w:r>
        <w:rPr>
          <w:rFonts w:cs="Arial"/>
          <w:szCs w:val="18"/>
          <w:lang w:val="en-US"/>
        </w:rPr>
        <w:t>/</w:t>
      </w:r>
      <w:r w:rsidRPr="007D4890">
        <w:rPr>
          <w:rFonts w:cs="Arial"/>
          <w:szCs w:val="18"/>
          <w:lang w:val="en-US"/>
        </w:rPr>
        <w:t>L for the biosurfactant</w:t>
      </w:r>
      <w:r w:rsidR="0056410D">
        <w:rPr>
          <w:rFonts w:cs="Arial"/>
          <w:szCs w:val="18"/>
          <w:lang w:val="en-US"/>
        </w:rPr>
        <w:t xml:space="preserve"> concentration</w:t>
      </w:r>
      <w:r w:rsidRPr="007D4890">
        <w:rPr>
          <w:rFonts w:cs="Arial"/>
          <w:szCs w:val="18"/>
          <w:lang w:val="en-US"/>
        </w:rPr>
        <w:t>. Thus, the lower the concentration of the biosurfactant to reach this end, the greater its efficiency.</w:t>
      </w:r>
    </w:p>
    <w:p w:rsidR="00CA6FAC" w:rsidRPr="00017141" w:rsidRDefault="00CA6FAC" w:rsidP="00CA6FAC">
      <w:pPr>
        <w:autoSpaceDE w:val="0"/>
        <w:autoSpaceDN w:val="0"/>
        <w:adjustRightInd w:val="0"/>
        <w:rPr>
          <w:rFonts w:cs="Arial"/>
          <w:i/>
          <w:szCs w:val="18"/>
          <w:lang w:val="en-US"/>
        </w:rPr>
      </w:pPr>
    </w:p>
    <w:p w:rsidR="00CA6FAC" w:rsidRDefault="00CA6FAC" w:rsidP="00C667B2">
      <w:pPr>
        <w:autoSpaceDE w:val="0"/>
        <w:autoSpaceDN w:val="0"/>
        <w:adjustRightInd w:val="0"/>
        <w:jc w:val="left"/>
        <w:rPr>
          <w:rFonts w:cs="Arial"/>
          <w:szCs w:val="18"/>
          <w:lang w:val="en-US"/>
        </w:rPr>
      </w:pPr>
      <w:r>
        <w:rPr>
          <w:rFonts w:cs="Arial"/>
          <w:noProof/>
          <w:szCs w:val="18"/>
          <w:lang w:val="en-US"/>
        </w:rPr>
        <w:drawing>
          <wp:inline distT="0" distB="0" distL="0" distR="0" wp14:anchorId="19096886" wp14:editId="18FBA1C4">
            <wp:extent cx="3190875" cy="191806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7058" cy="1933799"/>
                    </a:xfrm>
                    <a:prstGeom prst="rect">
                      <a:avLst/>
                    </a:prstGeom>
                    <a:noFill/>
                  </pic:spPr>
                </pic:pic>
              </a:graphicData>
            </a:graphic>
          </wp:inline>
        </w:drawing>
      </w:r>
    </w:p>
    <w:p w:rsidR="00C667B2" w:rsidRPr="00C667B2" w:rsidRDefault="00C667B2" w:rsidP="00C667B2">
      <w:pPr>
        <w:pStyle w:val="CETCaption"/>
      </w:pPr>
      <w:r w:rsidRPr="00C667B2">
        <w:t>Figure 1: Critical micell</w:t>
      </w:r>
      <w:r w:rsidR="0056410D">
        <w:t>e</w:t>
      </w:r>
      <w:r w:rsidRPr="00C667B2">
        <w:t xml:space="preserve"> concentration of the biosurfactant produced by C. utilis in medium supplemented with 6</w:t>
      </w:r>
      <w:r w:rsidR="00B64E33">
        <w:t>.00</w:t>
      </w:r>
      <w:r w:rsidR="003B741D">
        <w:t xml:space="preserve"> </w:t>
      </w:r>
      <w:r w:rsidRPr="00C667B2">
        <w:t>% canola frying oil and 6</w:t>
      </w:r>
      <w:r w:rsidR="00B64E33">
        <w:t>.00</w:t>
      </w:r>
      <w:r w:rsidR="003B741D">
        <w:t xml:space="preserve"> </w:t>
      </w:r>
      <w:r w:rsidRPr="00C667B2">
        <w:t xml:space="preserve">% </w:t>
      </w:r>
      <w:r w:rsidR="00B64E33">
        <w:t>D-</w:t>
      </w:r>
      <w:r w:rsidRPr="00C667B2">
        <w:t>glucose.</w:t>
      </w:r>
    </w:p>
    <w:p w:rsidR="00CA6FAC" w:rsidRDefault="00CA6FAC" w:rsidP="00CA6FAC">
      <w:pPr>
        <w:autoSpaceDE w:val="0"/>
        <w:autoSpaceDN w:val="0"/>
        <w:adjustRightInd w:val="0"/>
        <w:rPr>
          <w:rFonts w:cs="Arial"/>
          <w:szCs w:val="18"/>
          <w:lang w:val="en-US"/>
        </w:rPr>
      </w:pPr>
      <w:r w:rsidRPr="00AD3125">
        <w:rPr>
          <w:rFonts w:cs="Arial"/>
          <w:szCs w:val="18"/>
          <w:lang w:val="en-US"/>
        </w:rPr>
        <w:t>This analysis was</w:t>
      </w:r>
      <w:r w:rsidR="0056410D">
        <w:rPr>
          <w:rFonts w:cs="Arial"/>
          <w:szCs w:val="18"/>
          <w:lang w:val="en-US"/>
        </w:rPr>
        <w:t xml:space="preserve"> also</w:t>
      </w:r>
      <w:r w:rsidRPr="00AD3125">
        <w:rPr>
          <w:rFonts w:cs="Arial"/>
          <w:szCs w:val="18"/>
          <w:lang w:val="en-US"/>
        </w:rPr>
        <w:t xml:space="preserve"> performed </w:t>
      </w:r>
      <w:r w:rsidR="0056410D">
        <w:rPr>
          <w:rFonts w:cs="Arial"/>
          <w:szCs w:val="18"/>
          <w:lang w:val="en-US"/>
        </w:rPr>
        <w:t>for the</w:t>
      </w:r>
      <w:r w:rsidRPr="00AD3125">
        <w:rPr>
          <w:rFonts w:cs="Arial"/>
          <w:szCs w:val="18"/>
          <w:lang w:val="en-US"/>
        </w:rPr>
        <w:t xml:space="preserve"> biosurfactant produced by </w:t>
      </w:r>
      <w:r w:rsidRPr="00AD3125">
        <w:rPr>
          <w:rFonts w:cs="Arial"/>
          <w:i/>
          <w:szCs w:val="18"/>
          <w:lang w:val="en-US"/>
        </w:rPr>
        <w:t>Candida lipolytica</w:t>
      </w:r>
      <w:r w:rsidR="0056410D">
        <w:rPr>
          <w:rFonts w:cs="Arial"/>
          <w:szCs w:val="18"/>
          <w:lang w:val="en-US"/>
        </w:rPr>
        <w:t xml:space="preserve"> and showed </w:t>
      </w:r>
      <w:r w:rsidRPr="00AD3125">
        <w:rPr>
          <w:rFonts w:cs="Arial"/>
          <w:szCs w:val="18"/>
          <w:lang w:val="en-US"/>
        </w:rPr>
        <w:t>a CMC value of 0.8 g L using a mineral medium supplemented with 6% soy frying oil and 1% glutamic acid</w:t>
      </w:r>
      <w:r w:rsidR="0056410D">
        <w:rPr>
          <w:rFonts w:cs="Arial"/>
          <w:szCs w:val="18"/>
          <w:lang w:val="en-US"/>
        </w:rPr>
        <w:t xml:space="preserve"> (</w:t>
      </w:r>
      <w:r w:rsidR="0056410D" w:rsidRPr="00AD3125">
        <w:rPr>
          <w:rFonts w:cs="Arial"/>
          <w:szCs w:val="18"/>
          <w:lang w:val="en-US"/>
        </w:rPr>
        <w:t>Rufino et al.</w:t>
      </w:r>
      <w:r w:rsidR="0056410D">
        <w:rPr>
          <w:rFonts w:cs="Arial"/>
          <w:szCs w:val="18"/>
          <w:lang w:val="en-US"/>
        </w:rPr>
        <w:t xml:space="preserve">, </w:t>
      </w:r>
      <w:r w:rsidR="0056410D" w:rsidRPr="00AD3125">
        <w:rPr>
          <w:rFonts w:cs="Arial"/>
          <w:szCs w:val="18"/>
          <w:lang w:val="en-US"/>
        </w:rPr>
        <w:t>2014)</w:t>
      </w:r>
      <w:r w:rsidRPr="00AD3125">
        <w:rPr>
          <w:rFonts w:cs="Arial"/>
          <w:szCs w:val="18"/>
          <w:lang w:val="en-US"/>
        </w:rPr>
        <w:t xml:space="preserve">. Santos et al. (2013) using this same yeast in a medium composed of 5% animal fat and 2.5% corn liquor obtained </w:t>
      </w:r>
      <w:r w:rsidR="0056410D">
        <w:rPr>
          <w:rFonts w:cs="Arial"/>
          <w:szCs w:val="18"/>
          <w:lang w:val="en-US"/>
        </w:rPr>
        <w:t xml:space="preserve">a </w:t>
      </w:r>
      <w:r w:rsidRPr="00AD3125">
        <w:rPr>
          <w:rFonts w:cs="Arial"/>
          <w:szCs w:val="18"/>
          <w:lang w:val="en-US"/>
        </w:rPr>
        <w:t xml:space="preserve">CMC equal to 0.3 g/L. </w:t>
      </w:r>
      <w:r w:rsidR="0056410D">
        <w:rPr>
          <w:rFonts w:cs="Arial"/>
          <w:szCs w:val="18"/>
          <w:lang w:val="en-US"/>
        </w:rPr>
        <w:t>A m</w:t>
      </w:r>
      <w:r w:rsidRPr="00AD3125">
        <w:rPr>
          <w:rFonts w:cs="Arial"/>
          <w:szCs w:val="18"/>
          <w:lang w:val="en-US"/>
        </w:rPr>
        <w:t xml:space="preserve">ore recent study using a bacterium of the genus </w:t>
      </w:r>
      <w:r w:rsidRPr="00AD3125">
        <w:rPr>
          <w:rFonts w:cs="Arial"/>
          <w:i/>
          <w:szCs w:val="18"/>
          <w:lang w:val="en-US"/>
        </w:rPr>
        <w:t>Pseudomonas</w:t>
      </w:r>
      <w:r w:rsidRPr="00AD3125">
        <w:rPr>
          <w:rFonts w:cs="Arial"/>
          <w:szCs w:val="18"/>
          <w:lang w:val="en-US"/>
        </w:rPr>
        <w:t xml:space="preserve"> for the production of biosurfactant, </w:t>
      </w:r>
      <w:r w:rsidR="0056410D">
        <w:rPr>
          <w:rFonts w:cs="Arial"/>
          <w:szCs w:val="18"/>
          <w:lang w:val="en-US"/>
        </w:rPr>
        <w:t xml:space="preserve">grown </w:t>
      </w:r>
      <w:r w:rsidRPr="00AD3125">
        <w:rPr>
          <w:rFonts w:cs="Arial"/>
          <w:szCs w:val="18"/>
          <w:lang w:val="en-US"/>
        </w:rPr>
        <w:t xml:space="preserve">in mineral medium composed of 2% canola frying oil and 3% corn </w:t>
      </w:r>
      <w:r w:rsidR="0056410D">
        <w:rPr>
          <w:rFonts w:cs="Arial"/>
          <w:szCs w:val="18"/>
          <w:lang w:val="en-US"/>
        </w:rPr>
        <w:t xml:space="preserve">steep </w:t>
      </w:r>
      <w:r w:rsidRPr="00AD3125">
        <w:rPr>
          <w:rFonts w:cs="Arial"/>
          <w:szCs w:val="18"/>
          <w:lang w:val="en-US"/>
        </w:rPr>
        <w:t xml:space="preserve">liquor </w:t>
      </w:r>
      <w:r w:rsidR="0056410D" w:rsidRPr="00AD3125">
        <w:rPr>
          <w:rFonts w:cs="Arial"/>
          <w:szCs w:val="18"/>
          <w:lang w:val="en-US"/>
        </w:rPr>
        <w:t>(Soares da Silva et al., 2017)</w:t>
      </w:r>
      <w:r w:rsidR="0056410D">
        <w:rPr>
          <w:rFonts w:cs="Arial"/>
          <w:szCs w:val="18"/>
          <w:lang w:val="en-US"/>
        </w:rPr>
        <w:t xml:space="preserve"> described</w:t>
      </w:r>
      <w:r w:rsidRPr="00AD3125">
        <w:rPr>
          <w:rFonts w:cs="Arial"/>
          <w:szCs w:val="18"/>
          <w:lang w:val="en-US"/>
        </w:rPr>
        <w:t xml:space="preserve"> a CMC value equal to that found in </w:t>
      </w:r>
      <w:r w:rsidR="0056410D">
        <w:rPr>
          <w:rFonts w:cs="Arial"/>
          <w:szCs w:val="18"/>
          <w:lang w:val="en-US"/>
        </w:rPr>
        <w:t>our</w:t>
      </w:r>
      <w:r w:rsidRPr="00AD3125">
        <w:rPr>
          <w:rFonts w:cs="Arial"/>
          <w:szCs w:val="18"/>
          <w:lang w:val="en-US"/>
        </w:rPr>
        <w:t xml:space="preserve"> work</w:t>
      </w:r>
      <w:r w:rsidR="0056410D">
        <w:rPr>
          <w:rFonts w:cs="Arial"/>
          <w:szCs w:val="18"/>
          <w:lang w:val="en-US"/>
        </w:rPr>
        <w:t xml:space="preserve">, of </w:t>
      </w:r>
      <w:r w:rsidRPr="00AD3125">
        <w:rPr>
          <w:rFonts w:cs="Arial"/>
          <w:szCs w:val="18"/>
          <w:lang w:val="en-US"/>
        </w:rPr>
        <w:t>0.6 g/L.</w:t>
      </w:r>
    </w:p>
    <w:p w:rsidR="00CA6FAC" w:rsidRDefault="00CA6FAC" w:rsidP="006C270C">
      <w:pPr>
        <w:pStyle w:val="CETheadingx"/>
      </w:pPr>
      <w:r w:rsidRPr="002F6E98">
        <w:t>Particle Size Distribution</w:t>
      </w:r>
    </w:p>
    <w:p w:rsidR="00CA6FAC" w:rsidRDefault="00CA6FAC" w:rsidP="00CA6FAC">
      <w:pPr>
        <w:autoSpaceDE w:val="0"/>
        <w:autoSpaceDN w:val="0"/>
        <w:adjustRightInd w:val="0"/>
        <w:rPr>
          <w:rFonts w:cs="Arial"/>
          <w:szCs w:val="18"/>
          <w:lang w:val="en-US"/>
        </w:rPr>
      </w:pPr>
      <w:r w:rsidRPr="000615BC">
        <w:rPr>
          <w:rFonts w:cs="Arial"/>
          <w:szCs w:val="18"/>
          <w:lang w:val="en-US"/>
        </w:rPr>
        <w:t xml:space="preserve">The evaluation of the particle size distribution of emulsions is important for the study of the physical properties of a biosurfactant, since it is possible to observe the droplet size of the emulsion, which may be related to several industrial processes </w:t>
      </w:r>
      <w:r>
        <w:rPr>
          <w:rFonts w:cs="Arial"/>
          <w:szCs w:val="18"/>
          <w:lang w:val="en-US"/>
        </w:rPr>
        <w:t>such as</w:t>
      </w:r>
      <w:r w:rsidRPr="000615BC">
        <w:rPr>
          <w:rFonts w:cs="Arial"/>
          <w:szCs w:val="18"/>
          <w:lang w:val="en-US"/>
        </w:rPr>
        <w:t xml:space="preserve"> flocculation</w:t>
      </w:r>
      <w:r w:rsidR="000F4560">
        <w:rPr>
          <w:rFonts w:cs="Arial"/>
          <w:szCs w:val="18"/>
          <w:lang w:val="en-US"/>
        </w:rPr>
        <w:t xml:space="preserve"> </w:t>
      </w:r>
      <w:r w:rsidRPr="000615BC">
        <w:rPr>
          <w:rFonts w:cs="Arial"/>
          <w:szCs w:val="18"/>
          <w:lang w:val="en-US"/>
        </w:rPr>
        <w:t>(Han et al., 2015; Luo et al., 2017). The photomicrographs of emulsions of the biosurfactant solutions produced (½ CMC, CMC and 2</w:t>
      </w:r>
      <w:r w:rsidR="0056410D">
        <w:rPr>
          <w:rFonts w:cs="Arial"/>
          <w:szCs w:val="18"/>
          <w:lang w:val="en-US"/>
        </w:rPr>
        <w:t>X</w:t>
      </w:r>
      <w:r w:rsidRPr="000615BC">
        <w:rPr>
          <w:rFonts w:cs="Arial"/>
          <w:szCs w:val="18"/>
          <w:lang w:val="en-US"/>
        </w:rPr>
        <w:t xml:space="preserve">CMC) with the </w:t>
      </w:r>
      <w:r>
        <w:rPr>
          <w:rFonts w:cs="Arial"/>
          <w:szCs w:val="18"/>
          <w:lang w:val="en-US"/>
        </w:rPr>
        <w:t>sunflower</w:t>
      </w:r>
      <w:r w:rsidRPr="000615BC">
        <w:rPr>
          <w:rFonts w:cs="Arial"/>
          <w:szCs w:val="18"/>
          <w:lang w:val="en-US"/>
        </w:rPr>
        <w:t xml:space="preserve"> and motor oils are shown in Figure 2.</w:t>
      </w:r>
      <w:r w:rsidR="000B0385">
        <w:rPr>
          <w:rFonts w:cs="Arial"/>
          <w:szCs w:val="18"/>
          <w:lang w:val="en-US"/>
        </w:rPr>
        <w:t xml:space="preserve"> </w:t>
      </w:r>
      <w:r w:rsidR="000B0385" w:rsidRPr="000B0385">
        <w:rPr>
          <w:rFonts w:cs="Arial"/>
          <w:szCs w:val="18"/>
          <w:lang w:val="en-US"/>
        </w:rPr>
        <w:t>According to Rocha e Silva et al. (2017) the size, shape and distribution of droplet size depends on various factors, the stability of the emulsion being inversely proportional to the size of the droplet</w:t>
      </w:r>
      <w:r w:rsidRPr="00DB11CE">
        <w:rPr>
          <w:rFonts w:cs="Arial"/>
          <w:szCs w:val="18"/>
          <w:lang w:val="en-US"/>
        </w:rPr>
        <w:t xml:space="preserve">. Observing Figure 2, the emulsions presented different particle sizes in relation to the two evaluated oils, besides the differences in the format and distance between the particles. The smaller the size and the more distant the particles from each other, the greater the resistance to coalescence. In general, it was observed that the increase in the concentration of the biosurfactant resulted in the decrease of the particle size, that is, the higher the concentration of a given biosurfactant, the greater the stability of the emulsion. To date, no records have been found in the literature of microscopic analysis of the emulsions using biosurfactant produced by yeasts, however, Han et al. (2015) performed this analysis with sunflower oil emulsions with exopolysaccharides produced by </w:t>
      </w:r>
      <w:r w:rsidRPr="0056410D">
        <w:rPr>
          <w:rFonts w:cs="Arial"/>
          <w:i/>
          <w:szCs w:val="18"/>
          <w:lang w:val="en-US"/>
        </w:rPr>
        <w:t>Bacillus</w:t>
      </w:r>
      <w:r w:rsidRPr="00DB11CE">
        <w:rPr>
          <w:rFonts w:cs="Arial"/>
          <w:szCs w:val="18"/>
          <w:lang w:val="en-US"/>
        </w:rPr>
        <w:t xml:space="preserve"> species and with commercial guar gum emulsifier, obtaining photomicrographs similar to the emulsions of the biosurfactants with motor oil. Therefore, the results show that the biosurfactant produced by </w:t>
      </w:r>
      <w:r w:rsidR="000B0385">
        <w:rPr>
          <w:rFonts w:cs="Arial"/>
          <w:i/>
          <w:szCs w:val="18"/>
          <w:lang w:val="en-US"/>
        </w:rPr>
        <w:t>C.</w:t>
      </w:r>
      <w:r w:rsidRPr="008F6102">
        <w:rPr>
          <w:rFonts w:cs="Arial"/>
          <w:i/>
          <w:szCs w:val="18"/>
          <w:lang w:val="en-US"/>
        </w:rPr>
        <w:t xml:space="preserve"> utilis</w:t>
      </w:r>
      <w:r w:rsidRPr="00DB11CE">
        <w:rPr>
          <w:rFonts w:cs="Arial"/>
          <w:szCs w:val="18"/>
          <w:lang w:val="en-US"/>
        </w:rPr>
        <w:t xml:space="preserve"> has great potential to be used as an emulsifier.</w:t>
      </w:r>
    </w:p>
    <w:p w:rsidR="00CA6FAC" w:rsidRDefault="00CA6FAC" w:rsidP="00C667B2">
      <w:pPr>
        <w:autoSpaceDE w:val="0"/>
        <w:autoSpaceDN w:val="0"/>
        <w:adjustRightInd w:val="0"/>
        <w:jc w:val="left"/>
        <w:rPr>
          <w:rFonts w:cs="Arial"/>
          <w:szCs w:val="18"/>
          <w:lang w:val="en-US"/>
        </w:rPr>
      </w:pPr>
      <w:r>
        <w:rPr>
          <w:noProof/>
          <w:color w:val="1F497D"/>
          <w:szCs w:val="24"/>
        </w:rPr>
        <w:lastRenderedPageBreak/>
        <w:drawing>
          <wp:inline distT="0" distB="0" distL="0" distR="0" wp14:anchorId="0879A1D1" wp14:editId="3D417896">
            <wp:extent cx="3189600" cy="1796400"/>
            <wp:effectExtent l="0" t="0" r="0" b="0"/>
            <wp:docPr id="4" name="Imagem 4"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3923"/>
                    <a:stretch/>
                  </pic:blipFill>
                  <pic:spPr bwMode="auto">
                    <a:xfrm>
                      <a:off x="0" y="0"/>
                      <a:ext cx="3189600" cy="1796400"/>
                    </a:xfrm>
                    <a:prstGeom prst="rect">
                      <a:avLst/>
                    </a:prstGeom>
                    <a:noFill/>
                    <a:ln>
                      <a:noFill/>
                    </a:ln>
                    <a:extLst>
                      <a:ext uri="{53640926-AAD7-44D8-BBD7-CCE9431645EC}">
                        <a14:shadowObscured xmlns:a14="http://schemas.microsoft.com/office/drawing/2010/main"/>
                      </a:ext>
                    </a:extLst>
                  </pic:spPr>
                </pic:pic>
              </a:graphicData>
            </a:graphic>
          </wp:inline>
        </w:drawing>
      </w:r>
    </w:p>
    <w:p w:rsidR="00C667B2" w:rsidRPr="00C667B2" w:rsidRDefault="00B64E33" w:rsidP="00C667B2">
      <w:pPr>
        <w:pStyle w:val="CETCaption"/>
      </w:pPr>
      <w:r w:rsidRPr="00B64E33">
        <w:t xml:space="preserve">Figure 2: </w:t>
      </w:r>
      <w:r>
        <w:t>E</w:t>
      </w:r>
      <w:r w:rsidRPr="00B64E33">
        <w:t>mulsions prepared with solutions (½ CMC, CMC and 2</w:t>
      </w:r>
      <w:r w:rsidR="00710BB8">
        <w:t>X</w:t>
      </w:r>
      <w:r w:rsidRPr="00B64E33">
        <w:t>CMC) of C. utilis biosurfactant in medium with 6.00% canola frying oil and 6.00% D-glucose. Sunflower oil (above) and motor</w:t>
      </w:r>
      <w:r w:rsidR="00710BB8">
        <w:t xml:space="preserve"> oil</w:t>
      </w:r>
      <w:r w:rsidRPr="00B64E33">
        <w:t xml:space="preserve"> (below</w:t>
      </w:r>
      <w:r w:rsidR="00C667B2" w:rsidRPr="00C667B2">
        <w:t>).</w:t>
      </w:r>
    </w:p>
    <w:p w:rsidR="00CA6FAC" w:rsidRPr="00586545" w:rsidRDefault="00CA6FAC" w:rsidP="006C270C">
      <w:pPr>
        <w:pStyle w:val="CETheadingx"/>
      </w:pPr>
      <w:r w:rsidRPr="00014E82">
        <w:t xml:space="preserve">Analysis of the texture profile of </w:t>
      </w:r>
      <w:r w:rsidRPr="00586545">
        <w:t>cookies</w:t>
      </w:r>
    </w:p>
    <w:p w:rsidR="00CA6FAC" w:rsidRDefault="00CA6FAC" w:rsidP="00CA6FAC">
      <w:pPr>
        <w:autoSpaceDE w:val="0"/>
        <w:autoSpaceDN w:val="0"/>
        <w:adjustRightInd w:val="0"/>
        <w:rPr>
          <w:rFonts w:cs="Arial"/>
          <w:szCs w:val="18"/>
          <w:lang w:val="en-US"/>
        </w:rPr>
      </w:pPr>
      <w:r w:rsidRPr="00727FCA">
        <w:rPr>
          <w:rFonts w:cs="Arial"/>
          <w:szCs w:val="18"/>
          <w:lang w:val="en-US"/>
        </w:rPr>
        <w:t>In the analysis of the quality of a food, one of the main characteristics to be considered in the acceptance by the consumer is the result of the texture profile (Pereira et al., 2004), the fat being the ingredient that significantly affects this result, since it influences in the intensity and perception of sensory properties, such as taste. According to Table 2, it was observed that there were significant differences with the substitution of the animal fat (egg yolk) for the biosurfactant alone in relation to all texture parameters in the pasta before cooking. After the cooking process, significant decreases in firmness values were observed, mainly with total substitution (B) (from 445.59 ± 15.52 to 354.93 ± 14.84 N).</w:t>
      </w:r>
      <w:r>
        <w:rPr>
          <w:rFonts w:cs="Arial"/>
          <w:szCs w:val="18"/>
          <w:lang w:val="en-US"/>
        </w:rPr>
        <w:t xml:space="preserve"> </w:t>
      </w:r>
      <w:r w:rsidRPr="00727FCA">
        <w:rPr>
          <w:rFonts w:cs="Arial"/>
          <w:szCs w:val="18"/>
          <w:lang w:val="en-US"/>
        </w:rPr>
        <w:t xml:space="preserve">Similar results of firmness were also found by </w:t>
      </w:r>
      <w:proofErr w:type="spellStart"/>
      <w:r w:rsidRPr="00727FCA">
        <w:rPr>
          <w:rFonts w:cs="Arial"/>
          <w:szCs w:val="18"/>
          <w:lang w:val="en-US"/>
        </w:rPr>
        <w:t>Zouari</w:t>
      </w:r>
      <w:proofErr w:type="spellEnd"/>
      <w:r w:rsidRPr="00727FCA">
        <w:rPr>
          <w:rFonts w:cs="Arial"/>
          <w:szCs w:val="18"/>
          <w:lang w:val="en-US"/>
        </w:rPr>
        <w:t xml:space="preserve"> et al. (2016), which showed a significant decrease (p ≤ 0.05) with the addition of a </w:t>
      </w:r>
      <w:proofErr w:type="spellStart"/>
      <w:r w:rsidRPr="00727FCA">
        <w:rPr>
          <w:rFonts w:cs="Arial"/>
          <w:szCs w:val="18"/>
          <w:lang w:val="en-US"/>
        </w:rPr>
        <w:t>bioemulsifier</w:t>
      </w:r>
      <w:proofErr w:type="spellEnd"/>
      <w:r w:rsidRPr="00727FCA">
        <w:rPr>
          <w:rFonts w:cs="Arial"/>
          <w:szCs w:val="18"/>
          <w:lang w:val="en-US"/>
        </w:rPr>
        <w:t xml:space="preserve"> produced by </w:t>
      </w:r>
      <w:r w:rsidRPr="00727FCA">
        <w:rPr>
          <w:rFonts w:cs="Arial"/>
          <w:i/>
          <w:szCs w:val="18"/>
          <w:lang w:val="en-US"/>
        </w:rPr>
        <w:t>Bacillus subtilis</w:t>
      </w:r>
      <w:r w:rsidRPr="00727FCA">
        <w:rPr>
          <w:rFonts w:cs="Arial"/>
          <w:szCs w:val="18"/>
          <w:lang w:val="en-US"/>
        </w:rPr>
        <w:t xml:space="preserve"> SPB1 at concentrations above 0.5%. However, they obtained higher values of cohesiveness and lower values of elasticity. In general, the substitution of fat by the biosurfactant of </w:t>
      </w:r>
      <w:r w:rsidRPr="00727FCA">
        <w:rPr>
          <w:rFonts w:cs="Arial"/>
          <w:i/>
          <w:szCs w:val="18"/>
          <w:lang w:val="en-US"/>
        </w:rPr>
        <w:t>Candida utilis</w:t>
      </w:r>
      <w:r w:rsidRPr="00727FCA">
        <w:rPr>
          <w:rFonts w:cs="Arial"/>
          <w:szCs w:val="18"/>
          <w:lang w:val="en-US"/>
        </w:rPr>
        <w:t xml:space="preserve"> presented improvements in the texture profile of the mass, being possible to replace the fat of animal origin by the evaluated biosurfactant, without prejudice to the characteristics of the final product.</w:t>
      </w:r>
    </w:p>
    <w:p w:rsidR="00CA6FAC" w:rsidRPr="00CA6FAC" w:rsidRDefault="00CA6FAC" w:rsidP="00C14426">
      <w:pPr>
        <w:pStyle w:val="CETTabletitle"/>
        <w:jc w:val="both"/>
      </w:pPr>
      <w:r w:rsidRPr="000477D0">
        <w:t>Table 2: Texture profile analysis of dough before and after baking.</w:t>
      </w:r>
      <w:r w:rsidR="00C14426">
        <w:t xml:space="preserve"> </w:t>
      </w:r>
      <w:r w:rsidR="00C14426" w:rsidRPr="00C14426">
        <w:t>Different letters in columns denote significant differences between formulations (p ≤ 0.05, Tukey’s test).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275"/>
        <w:gridCol w:w="1277"/>
        <w:gridCol w:w="1417"/>
        <w:gridCol w:w="1701"/>
        <w:gridCol w:w="1418"/>
      </w:tblGrid>
      <w:tr w:rsidR="008B26BE" w:rsidRPr="00B57B36" w:rsidTr="00AE1FC1">
        <w:tc>
          <w:tcPr>
            <w:tcW w:w="1134" w:type="dxa"/>
            <w:vMerge w:val="restart"/>
            <w:tcBorders>
              <w:top w:val="single" w:sz="12" w:space="0" w:color="008000"/>
            </w:tcBorders>
            <w:shd w:val="clear" w:color="auto" w:fill="FFFFFF"/>
            <w:vAlign w:val="center"/>
          </w:tcPr>
          <w:p w:rsidR="008B26BE" w:rsidRPr="008F5BE4" w:rsidRDefault="008B26BE" w:rsidP="008B26BE">
            <w:pPr>
              <w:pStyle w:val="CETBodytext"/>
              <w:jc w:val="left"/>
              <w:rPr>
                <w:lang w:val="en-GB"/>
              </w:rPr>
            </w:pPr>
            <w:r w:rsidRPr="008F5BE4">
              <w:rPr>
                <w:lang w:val="en-GB"/>
              </w:rPr>
              <w:t>Formulation</w:t>
            </w:r>
          </w:p>
        </w:tc>
        <w:tc>
          <w:tcPr>
            <w:tcW w:w="5670" w:type="dxa"/>
            <w:gridSpan w:val="4"/>
            <w:tcBorders>
              <w:top w:val="single" w:sz="12" w:space="0" w:color="008000"/>
              <w:bottom w:val="single" w:sz="6" w:space="0" w:color="008000"/>
            </w:tcBorders>
            <w:shd w:val="clear" w:color="auto" w:fill="FFFFFF"/>
            <w:vAlign w:val="center"/>
          </w:tcPr>
          <w:p w:rsidR="008B26BE" w:rsidRPr="008F5BE4" w:rsidRDefault="008B26BE" w:rsidP="008B26BE">
            <w:pPr>
              <w:pStyle w:val="CETBodytext"/>
              <w:ind w:right="-1"/>
              <w:jc w:val="center"/>
              <w:rPr>
                <w:rFonts w:cs="Arial"/>
                <w:szCs w:val="18"/>
                <w:lang w:val="en-GB"/>
              </w:rPr>
            </w:pPr>
            <w:r w:rsidRPr="008B26BE">
              <w:rPr>
                <w:lang w:val="en-GB"/>
              </w:rPr>
              <w:t>Before baking</w:t>
            </w:r>
          </w:p>
        </w:tc>
        <w:tc>
          <w:tcPr>
            <w:tcW w:w="1418" w:type="dxa"/>
            <w:tcBorders>
              <w:top w:val="single" w:sz="12" w:space="0" w:color="008000"/>
              <w:bottom w:val="single" w:sz="6" w:space="0" w:color="008000"/>
            </w:tcBorders>
            <w:shd w:val="clear" w:color="auto" w:fill="FFFFFF"/>
            <w:vAlign w:val="center"/>
          </w:tcPr>
          <w:p w:rsidR="008B26BE" w:rsidRPr="008F5BE4" w:rsidRDefault="008B26BE" w:rsidP="00F40773">
            <w:pPr>
              <w:pStyle w:val="CETBodytext"/>
              <w:ind w:right="-1"/>
              <w:rPr>
                <w:rFonts w:cs="Arial"/>
                <w:szCs w:val="18"/>
                <w:lang w:val="en-GB"/>
              </w:rPr>
            </w:pPr>
            <w:r w:rsidRPr="008B26BE">
              <w:rPr>
                <w:rFonts w:cs="Arial"/>
                <w:szCs w:val="18"/>
                <w:lang w:val="en-GB"/>
              </w:rPr>
              <w:t>After baking</w:t>
            </w:r>
          </w:p>
        </w:tc>
      </w:tr>
      <w:tr w:rsidR="008B26BE" w:rsidRPr="00B57B36" w:rsidTr="00AE1FC1">
        <w:tc>
          <w:tcPr>
            <w:tcW w:w="1134" w:type="dxa"/>
            <w:vMerge/>
            <w:tcBorders>
              <w:bottom w:val="single" w:sz="6" w:space="0" w:color="008000"/>
            </w:tcBorders>
            <w:shd w:val="clear" w:color="auto" w:fill="FFFFFF"/>
            <w:vAlign w:val="center"/>
          </w:tcPr>
          <w:p w:rsidR="008B26BE" w:rsidRPr="00B57B36" w:rsidRDefault="008B26BE" w:rsidP="008B26BE">
            <w:pPr>
              <w:pStyle w:val="CETBodytext"/>
              <w:jc w:val="left"/>
              <w:rPr>
                <w:lang w:val="en-GB"/>
              </w:rPr>
            </w:pPr>
          </w:p>
        </w:tc>
        <w:tc>
          <w:tcPr>
            <w:tcW w:w="1275" w:type="dxa"/>
            <w:tcBorders>
              <w:top w:val="single" w:sz="12" w:space="0" w:color="008000"/>
              <w:bottom w:val="single" w:sz="6" w:space="0" w:color="008000"/>
            </w:tcBorders>
            <w:shd w:val="clear" w:color="auto" w:fill="FFFFFF"/>
            <w:vAlign w:val="center"/>
          </w:tcPr>
          <w:p w:rsidR="008B26BE" w:rsidRPr="00B57B36" w:rsidRDefault="008B26BE" w:rsidP="008B26BE">
            <w:pPr>
              <w:pStyle w:val="CETBodytext"/>
              <w:jc w:val="left"/>
              <w:rPr>
                <w:lang w:val="en-GB"/>
              </w:rPr>
            </w:pPr>
            <w:r w:rsidRPr="008F5BE4">
              <w:rPr>
                <w:lang w:val="en-GB"/>
              </w:rPr>
              <w:t>Firmness</w:t>
            </w:r>
            <w:r>
              <w:rPr>
                <w:lang w:val="en-GB"/>
              </w:rPr>
              <w:t xml:space="preserve"> </w:t>
            </w:r>
            <w:r w:rsidRPr="008F5BE4">
              <w:rPr>
                <w:lang w:val="en-GB"/>
              </w:rPr>
              <w:t>(N)</w:t>
            </w:r>
          </w:p>
        </w:tc>
        <w:tc>
          <w:tcPr>
            <w:tcW w:w="1277" w:type="dxa"/>
            <w:tcBorders>
              <w:top w:val="single" w:sz="12" w:space="0" w:color="008000"/>
              <w:bottom w:val="single" w:sz="6" w:space="0" w:color="008000"/>
            </w:tcBorders>
            <w:shd w:val="clear" w:color="auto" w:fill="FFFFFF"/>
            <w:vAlign w:val="center"/>
          </w:tcPr>
          <w:p w:rsidR="008B26BE" w:rsidRPr="00B57B36" w:rsidRDefault="008B26BE" w:rsidP="008B26BE">
            <w:pPr>
              <w:pStyle w:val="CETBodytext"/>
              <w:jc w:val="left"/>
              <w:rPr>
                <w:lang w:val="en-GB"/>
              </w:rPr>
            </w:pPr>
            <w:r w:rsidRPr="008F5BE4">
              <w:rPr>
                <w:lang w:val="en-GB"/>
              </w:rPr>
              <w:t>Cohesiveness</w:t>
            </w:r>
          </w:p>
        </w:tc>
        <w:tc>
          <w:tcPr>
            <w:tcW w:w="1417" w:type="dxa"/>
            <w:tcBorders>
              <w:top w:val="single" w:sz="12" w:space="0" w:color="008000"/>
              <w:bottom w:val="single" w:sz="6" w:space="0" w:color="008000"/>
            </w:tcBorders>
            <w:shd w:val="clear" w:color="auto" w:fill="FFFFFF"/>
            <w:vAlign w:val="center"/>
          </w:tcPr>
          <w:p w:rsidR="008B26BE" w:rsidRPr="00B57B36" w:rsidRDefault="008B26BE" w:rsidP="008B26BE">
            <w:pPr>
              <w:pStyle w:val="CETBodytext"/>
              <w:ind w:right="-1"/>
              <w:jc w:val="left"/>
              <w:rPr>
                <w:rFonts w:cs="Arial"/>
                <w:szCs w:val="18"/>
                <w:lang w:val="en-GB"/>
              </w:rPr>
            </w:pPr>
            <w:r w:rsidRPr="008F5BE4">
              <w:rPr>
                <w:rFonts w:cs="Arial"/>
                <w:szCs w:val="18"/>
                <w:lang w:val="en-GB"/>
              </w:rPr>
              <w:t>Elasticity</w:t>
            </w:r>
            <w:r>
              <w:rPr>
                <w:rFonts w:cs="Arial"/>
                <w:szCs w:val="18"/>
                <w:lang w:val="en-GB"/>
              </w:rPr>
              <w:t xml:space="preserve"> </w:t>
            </w:r>
            <w:r w:rsidRPr="008F5BE4">
              <w:rPr>
                <w:rFonts w:cs="Arial"/>
                <w:szCs w:val="18"/>
                <w:lang w:val="en-GB"/>
              </w:rPr>
              <w:t>(mm)</w:t>
            </w:r>
          </w:p>
        </w:tc>
        <w:tc>
          <w:tcPr>
            <w:tcW w:w="1701" w:type="dxa"/>
            <w:tcBorders>
              <w:top w:val="single" w:sz="12" w:space="0" w:color="008000"/>
              <w:bottom w:val="single" w:sz="6" w:space="0" w:color="008000"/>
            </w:tcBorders>
            <w:shd w:val="clear" w:color="auto" w:fill="FFFFFF"/>
            <w:vAlign w:val="center"/>
          </w:tcPr>
          <w:p w:rsidR="008B26BE" w:rsidRPr="00B57B36" w:rsidRDefault="008B26BE" w:rsidP="008B26BE">
            <w:pPr>
              <w:pStyle w:val="CETBodytext"/>
              <w:ind w:right="-1"/>
              <w:jc w:val="left"/>
              <w:rPr>
                <w:rFonts w:cs="Arial"/>
                <w:szCs w:val="18"/>
                <w:lang w:val="en-GB"/>
              </w:rPr>
            </w:pPr>
            <w:r w:rsidRPr="008F5BE4">
              <w:rPr>
                <w:rFonts w:cs="Arial"/>
                <w:szCs w:val="18"/>
                <w:lang w:val="en-GB"/>
              </w:rPr>
              <w:t>Adhesiveness</w:t>
            </w:r>
            <w:r>
              <w:rPr>
                <w:rFonts w:cs="Arial"/>
                <w:szCs w:val="18"/>
                <w:lang w:val="en-GB"/>
              </w:rPr>
              <w:t xml:space="preserve"> </w:t>
            </w:r>
            <w:r w:rsidRPr="008F5BE4">
              <w:rPr>
                <w:rFonts w:cs="Arial"/>
                <w:szCs w:val="18"/>
                <w:lang w:val="en-GB"/>
              </w:rPr>
              <w:t>(</w:t>
            </w:r>
            <w:proofErr w:type="spellStart"/>
            <w:r w:rsidRPr="008F5BE4">
              <w:rPr>
                <w:rFonts w:cs="Arial"/>
                <w:szCs w:val="18"/>
                <w:lang w:val="en-GB"/>
              </w:rPr>
              <w:t>mJ</w:t>
            </w:r>
            <w:proofErr w:type="spellEnd"/>
            <w:r w:rsidRPr="008F5BE4">
              <w:rPr>
                <w:rFonts w:cs="Arial"/>
                <w:szCs w:val="18"/>
                <w:lang w:val="en-GB"/>
              </w:rPr>
              <w:t>)</w:t>
            </w:r>
          </w:p>
        </w:tc>
        <w:tc>
          <w:tcPr>
            <w:tcW w:w="1418" w:type="dxa"/>
            <w:tcBorders>
              <w:top w:val="single" w:sz="12" w:space="0" w:color="008000"/>
              <w:bottom w:val="single" w:sz="6" w:space="0" w:color="008000"/>
            </w:tcBorders>
            <w:shd w:val="clear" w:color="auto" w:fill="FFFFFF"/>
            <w:vAlign w:val="center"/>
          </w:tcPr>
          <w:p w:rsidR="008B26BE" w:rsidRPr="00B57B36" w:rsidRDefault="008B26BE" w:rsidP="008B26BE">
            <w:pPr>
              <w:pStyle w:val="CETBodytext"/>
              <w:ind w:right="-1"/>
              <w:jc w:val="left"/>
              <w:rPr>
                <w:rFonts w:cs="Arial"/>
                <w:szCs w:val="18"/>
                <w:lang w:val="en-GB"/>
              </w:rPr>
            </w:pPr>
            <w:r w:rsidRPr="008F5BE4">
              <w:rPr>
                <w:rFonts w:cs="Arial"/>
                <w:szCs w:val="18"/>
                <w:lang w:val="en-GB"/>
              </w:rPr>
              <w:t>Firmness</w:t>
            </w:r>
            <w:r>
              <w:rPr>
                <w:rFonts w:cs="Arial"/>
                <w:szCs w:val="18"/>
                <w:lang w:val="en-GB"/>
              </w:rPr>
              <w:t xml:space="preserve"> </w:t>
            </w:r>
            <w:r w:rsidRPr="008F5BE4">
              <w:rPr>
                <w:rFonts w:cs="Arial"/>
                <w:szCs w:val="18"/>
                <w:lang w:val="en-GB"/>
              </w:rPr>
              <w:t>(N)</w:t>
            </w:r>
          </w:p>
        </w:tc>
      </w:tr>
      <w:tr w:rsidR="008F5BE4" w:rsidRPr="00B57B36" w:rsidTr="00AE1FC1">
        <w:tc>
          <w:tcPr>
            <w:tcW w:w="1134" w:type="dxa"/>
            <w:shd w:val="clear" w:color="auto" w:fill="FFFFFF"/>
            <w:vAlign w:val="center"/>
          </w:tcPr>
          <w:p w:rsidR="008F5BE4" w:rsidRPr="001C68C4" w:rsidRDefault="008F5BE4" w:rsidP="008B26BE">
            <w:pPr>
              <w:jc w:val="left"/>
            </w:pPr>
            <w:r w:rsidRPr="001C68C4">
              <w:t>Standard</w:t>
            </w:r>
          </w:p>
        </w:tc>
        <w:tc>
          <w:tcPr>
            <w:tcW w:w="1275" w:type="dxa"/>
            <w:shd w:val="clear" w:color="auto" w:fill="FFFFFF"/>
            <w:vAlign w:val="center"/>
          </w:tcPr>
          <w:p w:rsidR="008F5BE4" w:rsidRPr="001C68C4" w:rsidRDefault="008F5BE4" w:rsidP="008B26BE">
            <w:pPr>
              <w:jc w:val="left"/>
            </w:pPr>
            <w:r w:rsidRPr="001C68C4">
              <w:t>63.57</w:t>
            </w:r>
            <w:r w:rsidR="00AE1FC1">
              <w:t xml:space="preserve"> </w:t>
            </w:r>
            <w:r w:rsidRPr="001C68C4">
              <w:t>±</w:t>
            </w:r>
            <w:r w:rsidR="00AE1FC1">
              <w:t xml:space="preserve"> </w:t>
            </w:r>
            <w:r w:rsidRPr="001C68C4">
              <w:t>2.84</w:t>
            </w:r>
            <w:r w:rsidRPr="008F5BE4">
              <w:rPr>
                <w:vertAlign w:val="superscript"/>
              </w:rPr>
              <w:t>a</w:t>
            </w:r>
          </w:p>
        </w:tc>
        <w:tc>
          <w:tcPr>
            <w:tcW w:w="1277" w:type="dxa"/>
            <w:shd w:val="clear" w:color="auto" w:fill="FFFFFF"/>
            <w:vAlign w:val="center"/>
          </w:tcPr>
          <w:p w:rsidR="008F5BE4" w:rsidRPr="001C68C4" w:rsidRDefault="008F5BE4" w:rsidP="008B26BE">
            <w:pPr>
              <w:jc w:val="left"/>
            </w:pPr>
            <w:r w:rsidRPr="001C68C4">
              <w:t>0.70</w:t>
            </w:r>
            <w:r w:rsidR="00AE1FC1">
              <w:t xml:space="preserve"> </w:t>
            </w:r>
            <w:r w:rsidRPr="001C68C4">
              <w:t>±</w:t>
            </w:r>
            <w:r w:rsidR="00AE1FC1">
              <w:t xml:space="preserve"> </w:t>
            </w:r>
            <w:r w:rsidRPr="001C68C4">
              <w:t>0.02</w:t>
            </w:r>
            <w:r w:rsidRPr="008F5BE4">
              <w:rPr>
                <w:vertAlign w:val="superscript"/>
              </w:rPr>
              <w:t>a</w:t>
            </w:r>
          </w:p>
        </w:tc>
        <w:tc>
          <w:tcPr>
            <w:tcW w:w="1417" w:type="dxa"/>
            <w:shd w:val="clear" w:color="auto" w:fill="FFFFFF"/>
            <w:vAlign w:val="center"/>
          </w:tcPr>
          <w:p w:rsidR="008F5BE4" w:rsidRPr="001C68C4" w:rsidRDefault="008F5BE4" w:rsidP="008B26BE">
            <w:pPr>
              <w:jc w:val="left"/>
            </w:pPr>
            <w:r w:rsidRPr="001C68C4">
              <w:t>0.77</w:t>
            </w:r>
            <w:r w:rsidR="00AE1FC1">
              <w:t xml:space="preserve"> </w:t>
            </w:r>
            <w:r w:rsidRPr="001C68C4">
              <w:t>±</w:t>
            </w:r>
            <w:r w:rsidR="00AE1FC1">
              <w:t xml:space="preserve"> </w:t>
            </w:r>
            <w:r w:rsidRPr="001C68C4">
              <w:t>0.12</w:t>
            </w:r>
            <w:r w:rsidRPr="008F5BE4">
              <w:rPr>
                <w:vertAlign w:val="superscript"/>
              </w:rPr>
              <w:t>a</w:t>
            </w:r>
          </w:p>
        </w:tc>
        <w:tc>
          <w:tcPr>
            <w:tcW w:w="1701" w:type="dxa"/>
            <w:shd w:val="clear" w:color="auto" w:fill="FFFFFF"/>
            <w:vAlign w:val="center"/>
          </w:tcPr>
          <w:p w:rsidR="008F5BE4" w:rsidRPr="001C68C4" w:rsidRDefault="008F5BE4" w:rsidP="008B26BE">
            <w:pPr>
              <w:jc w:val="left"/>
            </w:pPr>
            <w:r w:rsidRPr="001C68C4">
              <w:t>1.67</w:t>
            </w:r>
            <w:r w:rsidR="00AE1FC1">
              <w:t xml:space="preserve"> </w:t>
            </w:r>
            <w:r w:rsidRPr="001C68C4">
              <w:t>±</w:t>
            </w:r>
            <w:r w:rsidR="00AE1FC1">
              <w:t xml:space="preserve"> </w:t>
            </w:r>
            <w:r w:rsidRPr="001C68C4">
              <w:t>0.29</w:t>
            </w:r>
            <w:r w:rsidRPr="008F5BE4">
              <w:rPr>
                <w:vertAlign w:val="superscript"/>
              </w:rPr>
              <w:t>a</w:t>
            </w:r>
          </w:p>
        </w:tc>
        <w:tc>
          <w:tcPr>
            <w:tcW w:w="1418" w:type="dxa"/>
            <w:shd w:val="clear" w:color="auto" w:fill="FFFFFF"/>
            <w:vAlign w:val="center"/>
          </w:tcPr>
          <w:p w:rsidR="008F5BE4" w:rsidRPr="001C68C4" w:rsidRDefault="008F5BE4" w:rsidP="008B26BE">
            <w:pPr>
              <w:jc w:val="left"/>
            </w:pPr>
            <w:r w:rsidRPr="001C68C4">
              <w:t>445.59</w:t>
            </w:r>
            <w:r w:rsidR="00AE1FC1">
              <w:t xml:space="preserve"> </w:t>
            </w:r>
            <w:r w:rsidRPr="001C68C4">
              <w:t>±</w:t>
            </w:r>
            <w:r w:rsidR="00AE1FC1">
              <w:t xml:space="preserve"> </w:t>
            </w:r>
            <w:r w:rsidRPr="001C68C4">
              <w:t>15.52</w:t>
            </w:r>
            <w:r w:rsidRPr="008F5BE4">
              <w:rPr>
                <w:vertAlign w:val="superscript"/>
              </w:rPr>
              <w:t>a</w:t>
            </w:r>
          </w:p>
        </w:tc>
      </w:tr>
      <w:tr w:rsidR="008F5BE4" w:rsidRPr="00B57B36" w:rsidTr="00AE1FC1">
        <w:tc>
          <w:tcPr>
            <w:tcW w:w="1134" w:type="dxa"/>
            <w:shd w:val="clear" w:color="auto" w:fill="FFFFFF"/>
            <w:vAlign w:val="center"/>
          </w:tcPr>
          <w:p w:rsidR="008F5BE4" w:rsidRPr="001C68C4" w:rsidRDefault="008F5BE4" w:rsidP="008B26BE">
            <w:pPr>
              <w:jc w:val="left"/>
            </w:pPr>
            <w:r w:rsidRPr="001C68C4">
              <w:t>A</w:t>
            </w:r>
          </w:p>
        </w:tc>
        <w:tc>
          <w:tcPr>
            <w:tcW w:w="1275" w:type="dxa"/>
            <w:shd w:val="clear" w:color="auto" w:fill="FFFFFF"/>
            <w:vAlign w:val="center"/>
          </w:tcPr>
          <w:p w:rsidR="008F5BE4" w:rsidRPr="001C68C4" w:rsidRDefault="008F5BE4" w:rsidP="008B26BE">
            <w:pPr>
              <w:jc w:val="left"/>
            </w:pPr>
            <w:r w:rsidRPr="001C68C4">
              <w:t>54.94</w:t>
            </w:r>
            <w:r w:rsidR="00AE1FC1">
              <w:t xml:space="preserve"> </w:t>
            </w:r>
            <w:r w:rsidRPr="001C68C4">
              <w:t>±</w:t>
            </w:r>
            <w:r w:rsidR="00AE1FC1">
              <w:t xml:space="preserve"> </w:t>
            </w:r>
            <w:r w:rsidRPr="001C68C4">
              <w:t>3.49</w:t>
            </w:r>
            <w:r w:rsidRPr="008F5BE4">
              <w:rPr>
                <w:vertAlign w:val="superscript"/>
              </w:rPr>
              <w:t>b</w:t>
            </w:r>
          </w:p>
        </w:tc>
        <w:tc>
          <w:tcPr>
            <w:tcW w:w="1277" w:type="dxa"/>
            <w:shd w:val="clear" w:color="auto" w:fill="FFFFFF"/>
            <w:vAlign w:val="center"/>
          </w:tcPr>
          <w:p w:rsidR="008F5BE4" w:rsidRPr="001C68C4" w:rsidRDefault="008F5BE4" w:rsidP="008B26BE">
            <w:pPr>
              <w:jc w:val="left"/>
            </w:pPr>
            <w:r w:rsidRPr="001C68C4">
              <w:t>0.44</w:t>
            </w:r>
            <w:r w:rsidR="00AE1FC1">
              <w:t xml:space="preserve"> </w:t>
            </w:r>
            <w:r w:rsidRPr="001C68C4">
              <w:t>±</w:t>
            </w:r>
            <w:r w:rsidR="00AE1FC1">
              <w:t xml:space="preserve"> </w:t>
            </w:r>
            <w:r w:rsidRPr="001C68C4">
              <w:t>0.02</w:t>
            </w:r>
            <w:r w:rsidRPr="008F5BE4">
              <w:rPr>
                <w:vertAlign w:val="superscript"/>
              </w:rPr>
              <w:t>b</w:t>
            </w:r>
          </w:p>
        </w:tc>
        <w:tc>
          <w:tcPr>
            <w:tcW w:w="1417" w:type="dxa"/>
            <w:shd w:val="clear" w:color="auto" w:fill="FFFFFF"/>
            <w:vAlign w:val="center"/>
          </w:tcPr>
          <w:p w:rsidR="008F5BE4" w:rsidRPr="001C68C4" w:rsidRDefault="008F5BE4" w:rsidP="008B26BE">
            <w:pPr>
              <w:jc w:val="left"/>
            </w:pPr>
            <w:r w:rsidRPr="001C68C4">
              <w:t>2.87</w:t>
            </w:r>
            <w:r w:rsidR="00AE1FC1">
              <w:t xml:space="preserve"> </w:t>
            </w:r>
            <w:r w:rsidRPr="001C68C4">
              <w:t>±</w:t>
            </w:r>
            <w:r w:rsidR="00AE1FC1">
              <w:t xml:space="preserve"> </w:t>
            </w:r>
            <w:r w:rsidRPr="001C68C4">
              <w:t>0.32</w:t>
            </w:r>
            <w:r w:rsidRPr="008F5BE4">
              <w:rPr>
                <w:vertAlign w:val="superscript"/>
              </w:rPr>
              <w:t>b</w:t>
            </w:r>
          </w:p>
        </w:tc>
        <w:tc>
          <w:tcPr>
            <w:tcW w:w="1701" w:type="dxa"/>
            <w:shd w:val="clear" w:color="auto" w:fill="FFFFFF"/>
            <w:vAlign w:val="center"/>
          </w:tcPr>
          <w:p w:rsidR="008F5BE4" w:rsidRPr="001C68C4" w:rsidRDefault="008F5BE4" w:rsidP="008B26BE">
            <w:pPr>
              <w:jc w:val="left"/>
            </w:pPr>
            <w:r w:rsidRPr="001C68C4">
              <w:t>2.00</w:t>
            </w:r>
            <w:r w:rsidR="00AE1FC1">
              <w:t xml:space="preserve"> </w:t>
            </w:r>
            <w:r w:rsidRPr="001C68C4">
              <w:t>±</w:t>
            </w:r>
            <w:r w:rsidR="00AE1FC1">
              <w:t xml:space="preserve"> </w:t>
            </w:r>
            <w:r w:rsidRPr="001C68C4">
              <w:t>0.50</w:t>
            </w:r>
            <w:r w:rsidRPr="008F5BE4">
              <w:rPr>
                <w:vertAlign w:val="superscript"/>
              </w:rPr>
              <w:t>a</w:t>
            </w:r>
          </w:p>
        </w:tc>
        <w:tc>
          <w:tcPr>
            <w:tcW w:w="1418" w:type="dxa"/>
            <w:shd w:val="clear" w:color="auto" w:fill="FFFFFF"/>
            <w:vAlign w:val="center"/>
          </w:tcPr>
          <w:p w:rsidR="008F5BE4" w:rsidRPr="001C68C4" w:rsidRDefault="008F5BE4" w:rsidP="008B26BE">
            <w:pPr>
              <w:jc w:val="left"/>
            </w:pPr>
            <w:r w:rsidRPr="001C68C4">
              <w:t>368.19</w:t>
            </w:r>
            <w:r w:rsidR="00AE1FC1">
              <w:t xml:space="preserve"> </w:t>
            </w:r>
            <w:r w:rsidRPr="001C68C4">
              <w:t>±</w:t>
            </w:r>
            <w:r w:rsidR="00AE1FC1">
              <w:t xml:space="preserve"> </w:t>
            </w:r>
            <w:r w:rsidRPr="001C68C4">
              <w:t>7.63</w:t>
            </w:r>
            <w:r w:rsidRPr="008F5BE4">
              <w:rPr>
                <w:vertAlign w:val="superscript"/>
              </w:rPr>
              <w:t>b</w:t>
            </w:r>
          </w:p>
        </w:tc>
      </w:tr>
      <w:tr w:rsidR="008F5BE4" w:rsidRPr="00B57B36" w:rsidTr="00AE1FC1">
        <w:tc>
          <w:tcPr>
            <w:tcW w:w="1134" w:type="dxa"/>
            <w:shd w:val="clear" w:color="auto" w:fill="FFFFFF"/>
            <w:vAlign w:val="center"/>
          </w:tcPr>
          <w:p w:rsidR="008F5BE4" w:rsidRPr="001C68C4" w:rsidRDefault="008F5BE4" w:rsidP="008B26BE">
            <w:pPr>
              <w:jc w:val="left"/>
            </w:pPr>
            <w:r w:rsidRPr="001C68C4">
              <w:t>B</w:t>
            </w:r>
          </w:p>
        </w:tc>
        <w:tc>
          <w:tcPr>
            <w:tcW w:w="1275" w:type="dxa"/>
            <w:shd w:val="clear" w:color="auto" w:fill="FFFFFF"/>
            <w:vAlign w:val="center"/>
          </w:tcPr>
          <w:p w:rsidR="008F5BE4" w:rsidRPr="001C68C4" w:rsidRDefault="008F5BE4" w:rsidP="008B26BE">
            <w:pPr>
              <w:jc w:val="left"/>
            </w:pPr>
            <w:r w:rsidRPr="001C68C4">
              <w:t>45.65</w:t>
            </w:r>
            <w:r w:rsidR="00AE1FC1">
              <w:t xml:space="preserve"> </w:t>
            </w:r>
            <w:r w:rsidRPr="001C68C4">
              <w:t>±</w:t>
            </w:r>
            <w:r w:rsidR="00AE1FC1">
              <w:t xml:space="preserve"> </w:t>
            </w:r>
            <w:r w:rsidRPr="001C68C4">
              <w:t>2.27</w:t>
            </w:r>
            <w:r w:rsidRPr="008F5BE4">
              <w:rPr>
                <w:vertAlign w:val="superscript"/>
              </w:rPr>
              <w:t>cb</w:t>
            </w:r>
          </w:p>
        </w:tc>
        <w:tc>
          <w:tcPr>
            <w:tcW w:w="1277" w:type="dxa"/>
            <w:shd w:val="clear" w:color="auto" w:fill="FFFFFF"/>
            <w:vAlign w:val="center"/>
          </w:tcPr>
          <w:p w:rsidR="008F5BE4" w:rsidRPr="001C68C4" w:rsidRDefault="008F5BE4" w:rsidP="008B26BE">
            <w:pPr>
              <w:jc w:val="left"/>
            </w:pPr>
            <w:r w:rsidRPr="001C68C4">
              <w:t>0.46</w:t>
            </w:r>
            <w:r w:rsidR="00AE1FC1">
              <w:t xml:space="preserve"> </w:t>
            </w:r>
            <w:r w:rsidRPr="001C68C4">
              <w:t>±</w:t>
            </w:r>
            <w:r w:rsidR="00AE1FC1">
              <w:t xml:space="preserve"> </w:t>
            </w:r>
            <w:r w:rsidRPr="001C68C4">
              <w:t>0.02</w:t>
            </w:r>
            <w:r w:rsidRPr="008F5BE4">
              <w:rPr>
                <w:vertAlign w:val="superscript"/>
              </w:rPr>
              <w:t>cb</w:t>
            </w:r>
          </w:p>
        </w:tc>
        <w:tc>
          <w:tcPr>
            <w:tcW w:w="1417" w:type="dxa"/>
            <w:shd w:val="clear" w:color="auto" w:fill="FFFFFF"/>
            <w:vAlign w:val="center"/>
          </w:tcPr>
          <w:p w:rsidR="008F5BE4" w:rsidRPr="001C68C4" w:rsidRDefault="008F5BE4" w:rsidP="008B26BE">
            <w:pPr>
              <w:jc w:val="left"/>
            </w:pPr>
            <w:r w:rsidRPr="001C68C4">
              <w:t>0.83</w:t>
            </w:r>
            <w:r w:rsidR="00AE1FC1">
              <w:t xml:space="preserve"> </w:t>
            </w:r>
            <w:r w:rsidRPr="001C68C4">
              <w:t>±</w:t>
            </w:r>
            <w:r w:rsidR="00AE1FC1">
              <w:t xml:space="preserve"> </w:t>
            </w:r>
            <w:r w:rsidRPr="001C68C4">
              <w:t>0.06</w:t>
            </w:r>
            <w:r w:rsidRPr="008F5BE4">
              <w:rPr>
                <w:vertAlign w:val="superscript"/>
              </w:rPr>
              <w:t>ca</w:t>
            </w:r>
          </w:p>
        </w:tc>
        <w:tc>
          <w:tcPr>
            <w:tcW w:w="1701" w:type="dxa"/>
            <w:shd w:val="clear" w:color="auto" w:fill="FFFFFF"/>
            <w:vAlign w:val="center"/>
          </w:tcPr>
          <w:p w:rsidR="008F5BE4" w:rsidRPr="001C68C4" w:rsidRDefault="008F5BE4" w:rsidP="008B26BE">
            <w:pPr>
              <w:jc w:val="left"/>
            </w:pPr>
            <w:r w:rsidRPr="001C68C4">
              <w:t>2.25</w:t>
            </w:r>
            <w:r w:rsidR="00AE1FC1">
              <w:t xml:space="preserve"> </w:t>
            </w:r>
            <w:r w:rsidRPr="001C68C4">
              <w:t>±</w:t>
            </w:r>
            <w:r w:rsidR="00AE1FC1">
              <w:t xml:space="preserve"> </w:t>
            </w:r>
            <w:r w:rsidRPr="001C68C4">
              <w:t>0.29</w:t>
            </w:r>
            <w:r w:rsidRPr="008F5BE4">
              <w:rPr>
                <w:vertAlign w:val="superscript"/>
              </w:rPr>
              <w:t>ba</w:t>
            </w:r>
          </w:p>
        </w:tc>
        <w:tc>
          <w:tcPr>
            <w:tcW w:w="1418" w:type="dxa"/>
            <w:shd w:val="clear" w:color="auto" w:fill="FFFFFF"/>
            <w:vAlign w:val="center"/>
          </w:tcPr>
          <w:p w:rsidR="008F5BE4" w:rsidRDefault="008F5BE4" w:rsidP="008B26BE">
            <w:pPr>
              <w:jc w:val="left"/>
            </w:pPr>
            <w:r w:rsidRPr="001C68C4">
              <w:t>354.93</w:t>
            </w:r>
            <w:r w:rsidR="00AE1FC1">
              <w:t xml:space="preserve"> </w:t>
            </w:r>
            <w:r w:rsidRPr="001C68C4">
              <w:t>±</w:t>
            </w:r>
            <w:r w:rsidR="00AE1FC1">
              <w:t xml:space="preserve"> </w:t>
            </w:r>
            <w:r w:rsidRPr="001C68C4">
              <w:t>14.84</w:t>
            </w:r>
            <w:r w:rsidRPr="008F5BE4">
              <w:rPr>
                <w:vertAlign w:val="superscript"/>
              </w:rPr>
              <w:t>cb</w:t>
            </w:r>
          </w:p>
        </w:tc>
      </w:tr>
    </w:tbl>
    <w:p w:rsidR="00600535" w:rsidRPr="00B57B36" w:rsidRDefault="00600535" w:rsidP="00600535">
      <w:pPr>
        <w:pStyle w:val="CETHeading1"/>
        <w:rPr>
          <w:lang w:val="en-GB"/>
        </w:rPr>
      </w:pPr>
      <w:r w:rsidRPr="00B57B36">
        <w:rPr>
          <w:lang w:val="en-GB"/>
        </w:rPr>
        <w:t>Conclusions</w:t>
      </w:r>
    </w:p>
    <w:p w:rsidR="00600535" w:rsidRPr="00B57B36" w:rsidRDefault="00B5542F" w:rsidP="00600535">
      <w:pPr>
        <w:pStyle w:val="CETBodytext"/>
        <w:rPr>
          <w:lang w:val="en-GB"/>
        </w:rPr>
      </w:pPr>
      <w:r w:rsidRPr="00B5542F">
        <w:rPr>
          <w:lang w:val="en-GB"/>
        </w:rPr>
        <w:t xml:space="preserve">The medium supplemented with </w:t>
      </w:r>
      <w:proofErr w:type="spellStart"/>
      <w:r w:rsidRPr="00B5542F">
        <w:rPr>
          <w:lang w:val="en-GB"/>
        </w:rPr>
        <w:t>agroindustrial</w:t>
      </w:r>
      <w:proofErr w:type="spellEnd"/>
      <w:r w:rsidRPr="00B5542F">
        <w:rPr>
          <w:lang w:val="en-GB"/>
        </w:rPr>
        <w:t xml:space="preserve"> residue and </w:t>
      </w:r>
      <w:r w:rsidR="0056410D" w:rsidRPr="007C72D8">
        <w:rPr>
          <w:lang w:val="en-GB"/>
        </w:rPr>
        <w:t>the</w:t>
      </w:r>
      <w:r w:rsidR="009D0E96" w:rsidRPr="007C72D8">
        <w:rPr>
          <w:lang w:val="en-GB"/>
        </w:rPr>
        <w:t xml:space="preserve"> optimization</w:t>
      </w:r>
      <w:r w:rsidR="0056410D" w:rsidRPr="007C72D8">
        <w:rPr>
          <w:lang w:val="en-GB"/>
        </w:rPr>
        <w:t xml:space="preserve"> </w:t>
      </w:r>
      <w:r w:rsidRPr="007C72D8">
        <w:rPr>
          <w:lang w:val="en-GB"/>
        </w:rPr>
        <w:t xml:space="preserve">isolation of the biosurfactant with less volume of solvent </w:t>
      </w:r>
      <w:r w:rsidR="0056410D" w:rsidRPr="007C72D8">
        <w:rPr>
          <w:lang w:val="en-GB"/>
        </w:rPr>
        <w:t>favour</w:t>
      </w:r>
      <w:r w:rsidRPr="007C72D8">
        <w:rPr>
          <w:lang w:val="en-GB"/>
        </w:rPr>
        <w:t xml:space="preserve"> its study and use by reducing the costs associated with </w:t>
      </w:r>
      <w:r w:rsidRPr="00B5542F">
        <w:rPr>
          <w:lang w:val="en-GB"/>
        </w:rPr>
        <w:t>the production process</w:t>
      </w:r>
      <w:r w:rsidR="0056410D">
        <w:rPr>
          <w:lang w:val="en-GB"/>
        </w:rPr>
        <w:t xml:space="preserve"> of the biomolecule</w:t>
      </w:r>
      <w:r w:rsidRPr="00B5542F">
        <w:rPr>
          <w:lang w:val="en-GB"/>
        </w:rPr>
        <w:t xml:space="preserve">. The results obtained for the production of </w:t>
      </w:r>
      <w:r w:rsidR="0056410D">
        <w:rPr>
          <w:lang w:val="en-GB"/>
        </w:rPr>
        <w:t>the</w:t>
      </w:r>
      <w:r w:rsidRPr="00B5542F">
        <w:rPr>
          <w:lang w:val="en-GB"/>
        </w:rPr>
        <w:t xml:space="preserve"> biosurfactant by </w:t>
      </w:r>
      <w:r w:rsidRPr="00201933">
        <w:rPr>
          <w:i/>
          <w:lang w:val="en-GB"/>
        </w:rPr>
        <w:t>Candida utilis</w:t>
      </w:r>
      <w:r w:rsidRPr="00B5542F">
        <w:rPr>
          <w:lang w:val="en-GB"/>
        </w:rPr>
        <w:t xml:space="preserve"> demonstrate that this secondary metabolite presents promising properties in relation to surface tension and as emulsifying agent for both environmental and food purposes with potential industrial application</w:t>
      </w:r>
      <w:r w:rsidR="00600535" w:rsidRPr="00B57B36">
        <w:rPr>
          <w:lang w:val="en-GB"/>
        </w:rPr>
        <w:t>.</w:t>
      </w:r>
    </w:p>
    <w:p w:rsidR="00600535" w:rsidRPr="00B57B36" w:rsidRDefault="00600535" w:rsidP="00600535">
      <w:pPr>
        <w:pStyle w:val="CETAcknowledgementstitle"/>
      </w:pPr>
      <w:r w:rsidRPr="00B57B36">
        <w:t>Acknowledgments</w:t>
      </w:r>
    </w:p>
    <w:p w:rsidR="00600535" w:rsidRPr="00EA79CF" w:rsidRDefault="00EA79CF" w:rsidP="00EA79CF">
      <w:pPr>
        <w:autoSpaceDE w:val="0"/>
        <w:autoSpaceDN w:val="0"/>
        <w:adjustRightInd w:val="0"/>
        <w:spacing w:before="120" w:after="120"/>
        <w:rPr>
          <w:rFonts w:cs="Arial"/>
          <w:szCs w:val="18"/>
          <w:lang w:val="en-US"/>
        </w:rPr>
      </w:pPr>
      <w:r w:rsidRPr="00A01706">
        <w:rPr>
          <w:rFonts w:cs="Arial"/>
          <w:szCs w:val="18"/>
          <w:lang w:val="en-US"/>
        </w:rPr>
        <w:t>The authors are grateful to the Scientific and Technological Development Council (</w:t>
      </w:r>
      <w:proofErr w:type="spellStart"/>
      <w:r w:rsidRPr="00A01706">
        <w:rPr>
          <w:rFonts w:cs="Arial"/>
          <w:szCs w:val="18"/>
          <w:lang w:val="en-US"/>
        </w:rPr>
        <w:t>CNPq</w:t>
      </w:r>
      <w:proofErr w:type="spellEnd"/>
      <w:r w:rsidRPr="00A01706">
        <w:rPr>
          <w:rFonts w:cs="Arial"/>
          <w:szCs w:val="18"/>
          <w:lang w:val="en-US"/>
        </w:rPr>
        <w:t xml:space="preserve">) and Coordination for the Improvement of Higher Education Personnel (CAPES), the Center for Science and Technology of the Catholic University of Pernambuco, the Institute for Advanced Technology and Innovation (IATI) and </w:t>
      </w:r>
      <w:r>
        <w:rPr>
          <w:rFonts w:cs="Arial"/>
          <w:szCs w:val="18"/>
          <w:lang w:val="en-US"/>
        </w:rPr>
        <w:t xml:space="preserve">to the </w:t>
      </w:r>
      <w:r w:rsidRPr="00A01706">
        <w:rPr>
          <w:rFonts w:cs="Arial"/>
          <w:szCs w:val="18"/>
          <w:lang w:val="en-US"/>
        </w:rPr>
        <w:t>Federal University of Pernambuco, Brazil for the support to this study</w:t>
      </w:r>
      <w:r w:rsidR="00600535" w:rsidRPr="00B57B36">
        <w:t>.</w:t>
      </w:r>
    </w:p>
    <w:p w:rsidR="00600535" w:rsidRPr="00B57B36" w:rsidRDefault="00600535" w:rsidP="00600535">
      <w:pPr>
        <w:pStyle w:val="CETReference"/>
      </w:pPr>
      <w:r w:rsidRPr="00B57B36">
        <w:t>References</w:t>
      </w:r>
    </w:p>
    <w:p w:rsidR="00A129DC" w:rsidRDefault="00A129DC" w:rsidP="00A129DC">
      <w:pPr>
        <w:pStyle w:val="CETReferencetext"/>
      </w:pPr>
      <w:r>
        <w:t>Almeida, D.G.</w:t>
      </w:r>
      <w:r w:rsidR="0088203A">
        <w:t>,</w:t>
      </w:r>
      <w:r>
        <w:t xml:space="preserve"> Soares da Silva, R.C.F.</w:t>
      </w:r>
      <w:r w:rsidR="0088203A">
        <w:t>,</w:t>
      </w:r>
      <w:r>
        <w:t xml:space="preserve"> Luna, J.M.</w:t>
      </w:r>
      <w:r w:rsidR="0088203A">
        <w:t>,</w:t>
      </w:r>
      <w:r>
        <w:t xml:space="preserve"> Rufino, R.D.</w:t>
      </w:r>
      <w:r w:rsidR="0088203A">
        <w:t>,</w:t>
      </w:r>
      <w:r>
        <w:t xml:space="preserve"> Santos, V.A.</w:t>
      </w:r>
      <w:r w:rsidR="0088203A">
        <w:t>,</w:t>
      </w:r>
      <w:r>
        <w:t xml:space="preserve"> Sarubbo, L.A, 2017, Response Surface Methodology for Optimizing the Production of Biosurfactant by </w:t>
      </w:r>
      <w:r w:rsidRPr="0088203A">
        <w:rPr>
          <w:i/>
        </w:rPr>
        <w:t>Candida tropicalis</w:t>
      </w:r>
      <w:r>
        <w:t xml:space="preserve"> on Industrial Waste Substrates</w:t>
      </w:r>
      <w:r w:rsidR="0088203A">
        <w:t>,</w:t>
      </w:r>
      <w:r>
        <w:t xml:space="preserve"> Front. </w:t>
      </w:r>
      <w:proofErr w:type="spellStart"/>
      <w:r>
        <w:t>Microbiol</w:t>
      </w:r>
      <w:proofErr w:type="spellEnd"/>
      <w:r>
        <w:t>., 8(157), 1-13.</w:t>
      </w:r>
    </w:p>
    <w:p w:rsidR="00A129DC" w:rsidRDefault="00A129DC" w:rsidP="00A129DC">
      <w:pPr>
        <w:pStyle w:val="CETReferencetext"/>
      </w:pPr>
      <w:r>
        <w:lastRenderedPageBreak/>
        <w:t>Bhatia, V.</w:t>
      </w:r>
      <w:r w:rsidR="0088203A">
        <w:t>,</w:t>
      </w:r>
      <w:r>
        <w:t xml:space="preserve"> Saharan, B.S., 2016, Isolation and partial Structural &amp; Functional Characterization of Glycolipid Biosurfactant producing </w:t>
      </w:r>
      <w:r w:rsidRPr="0088203A">
        <w:rPr>
          <w:i/>
        </w:rPr>
        <w:t xml:space="preserve">Pichia </w:t>
      </w:r>
      <w:proofErr w:type="spellStart"/>
      <w:r w:rsidRPr="0088203A">
        <w:rPr>
          <w:i/>
        </w:rPr>
        <w:t>sorbitophila</w:t>
      </w:r>
      <w:proofErr w:type="spellEnd"/>
      <w:r>
        <w:t xml:space="preserve"> WG1 from Rotten Grapes</w:t>
      </w:r>
      <w:r w:rsidR="0088203A">
        <w:t>,</w:t>
      </w:r>
      <w:r>
        <w:t xml:space="preserve"> J. Chem. Pharm. Res., 8(7), 357-367.</w:t>
      </w:r>
    </w:p>
    <w:p w:rsidR="00A129DC" w:rsidRDefault="00A129DC" w:rsidP="00A129DC">
      <w:pPr>
        <w:pStyle w:val="CETReferencetext"/>
      </w:pPr>
      <w:proofErr w:type="spellStart"/>
      <w:r>
        <w:t>Bezerra</w:t>
      </w:r>
      <w:proofErr w:type="spellEnd"/>
      <w:r>
        <w:t xml:space="preserve">, K.G.O.; Rufino, R.D.; Luna, J.M; Sarubbo, L.A., 2018, Saponins and Microbial Biosurfactants: Potential Raw Materials for the Formulation of Cosmetics. </w:t>
      </w:r>
      <w:proofErr w:type="spellStart"/>
      <w:r>
        <w:t>Biotechnol</w:t>
      </w:r>
      <w:proofErr w:type="spellEnd"/>
      <w:r>
        <w:t xml:space="preserve">. </w:t>
      </w:r>
      <w:proofErr w:type="spellStart"/>
      <w:r>
        <w:t>Progr</w:t>
      </w:r>
      <w:proofErr w:type="spellEnd"/>
      <w:r>
        <w:t>. DOI: 10.1002/btpr.2682.</w:t>
      </w:r>
    </w:p>
    <w:p w:rsidR="00A129DC" w:rsidRDefault="00A129DC" w:rsidP="00A129DC">
      <w:pPr>
        <w:pStyle w:val="CETReferencetext"/>
      </w:pPr>
      <w:r>
        <w:t>Cameron, D.R.</w:t>
      </w:r>
      <w:r w:rsidR="0088203A">
        <w:t>,</w:t>
      </w:r>
      <w:r>
        <w:t xml:space="preserve"> Cooper, D.G.</w:t>
      </w:r>
      <w:r w:rsidR="0088203A">
        <w:t>,</w:t>
      </w:r>
      <w:r>
        <w:t xml:space="preserve"> Neufeld, R.J., 1988, The mannoprotein of </w:t>
      </w:r>
      <w:r w:rsidRPr="0088203A">
        <w:rPr>
          <w:i/>
        </w:rPr>
        <w:t>Saccharomyces cerevisiae</w:t>
      </w:r>
      <w:r>
        <w:t xml:space="preserve"> is an effective </w:t>
      </w:r>
      <w:proofErr w:type="spellStart"/>
      <w:r>
        <w:t>bioemulsifier</w:t>
      </w:r>
      <w:proofErr w:type="spellEnd"/>
      <w:r w:rsidR="0088203A">
        <w:t>,</w:t>
      </w:r>
      <w:r>
        <w:t xml:space="preserve"> Appl. Environ. </w:t>
      </w:r>
      <w:proofErr w:type="spellStart"/>
      <w:r>
        <w:t>Microbiol</w:t>
      </w:r>
      <w:proofErr w:type="spellEnd"/>
      <w:r>
        <w:t>., 54, 1420-1425.</w:t>
      </w:r>
    </w:p>
    <w:p w:rsidR="00A129DC" w:rsidRDefault="00A129DC" w:rsidP="00A129DC">
      <w:pPr>
        <w:pStyle w:val="CETReferencetext"/>
      </w:pPr>
      <w:r>
        <w:t>Campos, J.M.</w:t>
      </w:r>
      <w:r w:rsidR="0088203A">
        <w:t>,</w:t>
      </w:r>
      <w:r>
        <w:t xml:space="preserve"> Stamford, T.L.M.</w:t>
      </w:r>
      <w:r w:rsidR="0088203A">
        <w:t>,</w:t>
      </w:r>
      <w:r>
        <w:t xml:space="preserve"> Sarubbo, L.A., 2014, Production of a </w:t>
      </w:r>
      <w:proofErr w:type="spellStart"/>
      <w:r>
        <w:t>Bioemulsifier</w:t>
      </w:r>
      <w:proofErr w:type="spellEnd"/>
      <w:r>
        <w:t xml:space="preserve"> with Potential Application in the Food Industry</w:t>
      </w:r>
      <w:r w:rsidR="0088203A">
        <w:t>,</w:t>
      </w:r>
      <w:r>
        <w:t xml:space="preserve"> Appl. </w:t>
      </w:r>
      <w:proofErr w:type="spellStart"/>
      <w:r>
        <w:t>Biochem</w:t>
      </w:r>
      <w:proofErr w:type="spellEnd"/>
      <w:r>
        <w:t xml:space="preserve">. </w:t>
      </w:r>
      <w:proofErr w:type="spellStart"/>
      <w:r>
        <w:t>Biotechnol</w:t>
      </w:r>
      <w:proofErr w:type="spellEnd"/>
      <w:r>
        <w:t>., 172, 3234 – 3252.</w:t>
      </w:r>
    </w:p>
    <w:p w:rsidR="00A129DC" w:rsidRDefault="00A129DC" w:rsidP="00A129DC">
      <w:pPr>
        <w:pStyle w:val="CETReferencetext"/>
      </w:pPr>
      <w:r>
        <w:t>Derguine-Mecheri, L.</w:t>
      </w:r>
      <w:r w:rsidR="006A2B83">
        <w:t>,</w:t>
      </w:r>
      <w:r>
        <w:t xml:space="preserve"> </w:t>
      </w:r>
      <w:proofErr w:type="spellStart"/>
      <w:r>
        <w:t>Kebbouche-Gana</w:t>
      </w:r>
      <w:proofErr w:type="spellEnd"/>
      <w:r>
        <w:t>, S.</w:t>
      </w:r>
      <w:r w:rsidR="006A2B83">
        <w:t>,</w:t>
      </w:r>
      <w:r>
        <w:t xml:space="preserve"> </w:t>
      </w:r>
      <w:proofErr w:type="spellStart"/>
      <w:r>
        <w:t>Khemili-Talbi</w:t>
      </w:r>
      <w:proofErr w:type="spellEnd"/>
      <w:r>
        <w:t>, S.</w:t>
      </w:r>
      <w:r w:rsidR="006A2B83">
        <w:t>,</w:t>
      </w:r>
      <w:r>
        <w:t xml:space="preserve"> </w:t>
      </w:r>
      <w:proofErr w:type="spellStart"/>
      <w:r>
        <w:t>Djenane</w:t>
      </w:r>
      <w:proofErr w:type="spellEnd"/>
      <w:r>
        <w:t>, D., 2018, Screening and biosurfactant/</w:t>
      </w:r>
      <w:proofErr w:type="spellStart"/>
      <w:r>
        <w:t>bioemulsifier</w:t>
      </w:r>
      <w:proofErr w:type="spellEnd"/>
      <w:r>
        <w:t xml:space="preserve"> production from a high-salt-tolerant halophilic </w:t>
      </w:r>
      <w:r w:rsidRPr="006A2B83">
        <w:rPr>
          <w:i/>
        </w:rPr>
        <w:t>Cryptococcus</w:t>
      </w:r>
      <w:r>
        <w:t xml:space="preserve"> strain YLF isolated from crude oil</w:t>
      </w:r>
      <w:r w:rsidR="006A2B83">
        <w:t>,</w:t>
      </w:r>
      <w:r>
        <w:t xml:space="preserve"> Journal of Petroleum Science and Engineering, v. 162, 2018, p. 712-724.</w:t>
      </w:r>
    </w:p>
    <w:p w:rsidR="00A129DC" w:rsidRDefault="00A129DC" w:rsidP="00A129DC">
      <w:pPr>
        <w:pStyle w:val="CETReferencetext"/>
      </w:pPr>
      <w:r>
        <w:t>Han, Y.</w:t>
      </w:r>
      <w:r w:rsidR="006A2B83">
        <w:t>,</w:t>
      </w:r>
      <w:r>
        <w:t xml:space="preserve"> Liu, E.</w:t>
      </w:r>
      <w:r w:rsidR="006A2B83">
        <w:t>,</w:t>
      </w:r>
      <w:r>
        <w:t xml:space="preserve"> Liu, L.</w:t>
      </w:r>
      <w:r w:rsidR="006A2B83">
        <w:t>,</w:t>
      </w:r>
      <w:r>
        <w:t xml:space="preserve"> Zhang, B.</w:t>
      </w:r>
      <w:r w:rsidR="006A2B83">
        <w:t>,</w:t>
      </w:r>
      <w:r>
        <w:t xml:space="preserve"> Wang, Y.</w:t>
      </w:r>
      <w:r w:rsidR="006A2B83">
        <w:t>,</w:t>
      </w:r>
      <w:r>
        <w:t xml:space="preserve"> </w:t>
      </w:r>
      <w:proofErr w:type="spellStart"/>
      <w:r>
        <w:t>Gui</w:t>
      </w:r>
      <w:proofErr w:type="spellEnd"/>
      <w:r>
        <w:t>, M.</w:t>
      </w:r>
      <w:r w:rsidR="006A2B83">
        <w:t>,</w:t>
      </w:r>
      <w:r>
        <w:t xml:space="preserve"> Wu, R.</w:t>
      </w:r>
      <w:r w:rsidR="006A2B83">
        <w:t>,</w:t>
      </w:r>
      <w:r>
        <w:t xml:space="preserve"> Li, P., 2015, Rheological, emulsifying and thermostability properties of two exopolysaccharides produced by </w:t>
      </w:r>
      <w:r w:rsidRPr="006A2B83">
        <w:rPr>
          <w:i/>
        </w:rPr>
        <w:t xml:space="preserve">Bacillus </w:t>
      </w:r>
      <w:proofErr w:type="spellStart"/>
      <w:r w:rsidRPr="006A2B83">
        <w:rPr>
          <w:i/>
        </w:rPr>
        <w:t>amyloliquefaciens</w:t>
      </w:r>
      <w:proofErr w:type="spellEnd"/>
      <w:r>
        <w:t xml:space="preserve"> LPL061</w:t>
      </w:r>
      <w:r w:rsidR="006A2B83">
        <w:t>,</w:t>
      </w:r>
      <w:r>
        <w:t xml:space="preserve"> </w:t>
      </w:r>
      <w:proofErr w:type="spellStart"/>
      <w:r>
        <w:t>Carbohydr</w:t>
      </w:r>
      <w:proofErr w:type="spellEnd"/>
      <w:r>
        <w:t xml:space="preserve">. </w:t>
      </w:r>
      <w:proofErr w:type="spellStart"/>
      <w:r>
        <w:t>Polym</w:t>
      </w:r>
      <w:proofErr w:type="spellEnd"/>
      <w:r>
        <w:t>., 115, 230–237.</w:t>
      </w:r>
    </w:p>
    <w:p w:rsidR="00A129DC" w:rsidRDefault="00A129DC" w:rsidP="00A129DC">
      <w:pPr>
        <w:pStyle w:val="CETReferencetext"/>
      </w:pPr>
      <w:r>
        <w:t>Johny, J.M., 2013, Inhibitory effect of biosurfactant purified from probiotic yeast against biofilm producers</w:t>
      </w:r>
      <w:r w:rsidR="006A2B83">
        <w:t>,</w:t>
      </w:r>
      <w:r>
        <w:t xml:space="preserve"> J. Environ. Sci., </w:t>
      </w:r>
      <w:proofErr w:type="spellStart"/>
      <w:r>
        <w:t>Toxicol</w:t>
      </w:r>
      <w:proofErr w:type="spellEnd"/>
      <w:r>
        <w:t>. Food Technol. (IOSR-JESTFT), 6(1), 51-55.</w:t>
      </w:r>
    </w:p>
    <w:p w:rsidR="00493152" w:rsidRDefault="00493152" w:rsidP="00A129DC">
      <w:pPr>
        <w:pStyle w:val="CETReferencetext"/>
      </w:pPr>
      <w:r w:rsidRPr="00493152">
        <w:t>Luna, J.M.; Pinto, A.A.L.</w:t>
      </w:r>
      <w:r>
        <w:t>,</w:t>
      </w:r>
      <w:r w:rsidRPr="00493152">
        <w:t xml:space="preserve"> Pinto, M.I.S.</w:t>
      </w:r>
      <w:r>
        <w:t>,</w:t>
      </w:r>
      <w:r w:rsidRPr="00493152">
        <w:t xml:space="preserve"> Brasileiro, P</w:t>
      </w:r>
      <w:r>
        <w:t>.</w:t>
      </w:r>
      <w:r w:rsidRPr="00493152">
        <w:t>P.F.</w:t>
      </w:r>
      <w:r>
        <w:t>,</w:t>
      </w:r>
      <w:r w:rsidRPr="00493152">
        <w:t xml:space="preserve"> Rufino, R.D.</w:t>
      </w:r>
      <w:r>
        <w:t>,</w:t>
      </w:r>
      <w:r w:rsidRPr="00493152">
        <w:t xml:space="preserve"> Sarubbo, L.A.</w:t>
      </w:r>
      <w:r>
        <w:t>, 2018,</w:t>
      </w:r>
      <w:r w:rsidRPr="00493152">
        <w:t xml:space="preserve"> Production in bioreactor and application of biosurfactant in dissolved air flotation for the treatment of industrial effluents. Chem</w:t>
      </w:r>
      <w:r>
        <w:t xml:space="preserve">. </w:t>
      </w:r>
      <w:r w:rsidRPr="00493152">
        <w:t>Eng</w:t>
      </w:r>
      <w:r>
        <w:t xml:space="preserve">. </w:t>
      </w:r>
      <w:r w:rsidRPr="00493152">
        <w:t>Trans</w:t>
      </w:r>
      <w:r>
        <w:t>.</w:t>
      </w:r>
      <w:r w:rsidRPr="00493152">
        <w:t>, 64, 559</w:t>
      </w:r>
      <w:r>
        <w:t>-</w:t>
      </w:r>
      <w:r w:rsidRPr="00493152">
        <w:t>564</w:t>
      </w:r>
      <w:r>
        <w:t>.</w:t>
      </w:r>
    </w:p>
    <w:p w:rsidR="00A129DC" w:rsidRDefault="00A129DC" w:rsidP="00A129DC">
      <w:pPr>
        <w:pStyle w:val="CETReferencetext"/>
      </w:pPr>
      <w:r>
        <w:t>Luna, J.M.</w:t>
      </w:r>
      <w:r w:rsidR="00594C58">
        <w:t>,</w:t>
      </w:r>
      <w:r>
        <w:t xml:space="preserve"> Rufino, R.D.</w:t>
      </w:r>
      <w:r w:rsidR="00594C58">
        <w:t>,</w:t>
      </w:r>
      <w:r>
        <w:t xml:space="preserve"> Sarubbo, L.A.</w:t>
      </w:r>
      <w:r w:rsidR="00594C58">
        <w:t>,</w:t>
      </w:r>
      <w:r>
        <w:t xml:space="preserve"> Campos-Takaki, G. M., 2013, Characterization, surface properties and biological activity of a biosurfactant produced from industrial waste by </w:t>
      </w:r>
      <w:r w:rsidRPr="00594C58">
        <w:rPr>
          <w:i/>
        </w:rPr>
        <w:t>Candida sphaerica</w:t>
      </w:r>
      <w:r>
        <w:t xml:space="preserve"> UCP0995 for application in the petroleum industry</w:t>
      </w:r>
      <w:r w:rsidR="00594C58">
        <w:t>,</w:t>
      </w:r>
      <w:r>
        <w:t xml:space="preserve"> Colloids Surf. B: </w:t>
      </w:r>
      <w:proofErr w:type="spellStart"/>
      <w:r>
        <w:t>Biointerf</w:t>
      </w:r>
      <w:proofErr w:type="spellEnd"/>
      <w:r>
        <w:t>., 102, 202– 209.</w:t>
      </w:r>
    </w:p>
    <w:p w:rsidR="00A129DC" w:rsidRDefault="00A129DC" w:rsidP="00A129DC">
      <w:pPr>
        <w:pStyle w:val="CETReferencetext"/>
      </w:pPr>
      <w:r>
        <w:t>Luo, X.</w:t>
      </w:r>
      <w:r w:rsidR="00594C58">
        <w:t>,</w:t>
      </w:r>
      <w:r>
        <w:t xml:space="preserve"> Zhou, Y.</w:t>
      </w:r>
      <w:r w:rsidR="00594C58">
        <w:t>,</w:t>
      </w:r>
      <w:r>
        <w:t xml:space="preserve"> Bai, L.</w:t>
      </w:r>
      <w:r w:rsidR="00594C58">
        <w:t>,</w:t>
      </w:r>
      <w:r>
        <w:t xml:space="preserve"> Liu, F.</w:t>
      </w:r>
      <w:r w:rsidR="00594C58">
        <w:t>,</w:t>
      </w:r>
      <w:r>
        <w:t xml:space="preserve"> Zhang, R.</w:t>
      </w:r>
      <w:r w:rsidR="00594C58">
        <w:t>,</w:t>
      </w:r>
      <w:r>
        <w:t xml:space="preserve"> Zhang, Z</w:t>
      </w:r>
      <w:r w:rsidR="00594C58">
        <w:t>.,</w:t>
      </w:r>
      <w:r>
        <w:t xml:space="preserve"> Zheng, B.</w:t>
      </w:r>
      <w:r w:rsidR="00594C58">
        <w:t>,</w:t>
      </w:r>
      <w:r>
        <w:t xml:space="preserve"> Deng, Y.</w:t>
      </w:r>
      <w:r w:rsidR="00594C58">
        <w:t>,</w:t>
      </w:r>
      <w:r>
        <w:t xml:space="preserve"> Mc</w:t>
      </w:r>
      <w:r w:rsidR="00AA7EDA">
        <w:t>C</w:t>
      </w:r>
      <w:r>
        <w:t>lements, D.J., 2017, Production of highly concentrated oil-in-water emulsions using dual-channel microfluidization: Use of individual and mixed natural emulsifiers (saponin and lecithin)</w:t>
      </w:r>
      <w:r w:rsidR="00594C58">
        <w:t>,</w:t>
      </w:r>
      <w:r>
        <w:t xml:space="preserve"> Food Res. Int., 96, 103–112.</w:t>
      </w:r>
    </w:p>
    <w:p w:rsidR="00A129DC" w:rsidRPr="00B64E33" w:rsidRDefault="00A129DC" w:rsidP="00A129DC">
      <w:pPr>
        <w:pStyle w:val="CETReferencetext"/>
        <w:rPr>
          <w:lang w:val="pt-BR"/>
        </w:rPr>
      </w:pPr>
      <w:proofErr w:type="spellStart"/>
      <w:proofErr w:type="gramStart"/>
      <w:r>
        <w:t>Mnif,I</w:t>
      </w:r>
      <w:proofErr w:type="spellEnd"/>
      <w:r>
        <w:t>.</w:t>
      </w:r>
      <w:proofErr w:type="gramEnd"/>
      <w:r w:rsidR="00985705">
        <w:t>,</w:t>
      </w:r>
      <w:r>
        <w:t xml:space="preserve"> </w:t>
      </w:r>
      <w:proofErr w:type="spellStart"/>
      <w:r>
        <w:t>Ellouz</w:t>
      </w:r>
      <w:proofErr w:type="spellEnd"/>
      <w:r>
        <w:rPr>
          <w:rFonts w:ascii="MS Gothic" w:eastAsia="MS Gothic" w:hAnsi="MS Gothic" w:cs="MS Gothic" w:hint="eastAsia"/>
        </w:rPr>
        <w:t>‑</w:t>
      </w:r>
      <w:proofErr w:type="spellStart"/>
      <w:r>
        <w:t>Chaabouni</w:t>
      </w:r>
      <w:proofErr w:type="spellEnd"/>
      <w:r>
        <w:t>, S</w:t>
      </w:r>
      <w:r w:rsidR="00985705">
        <w:t>.,</w:t>
      </w:r>
      <w:r>
        <w:t xml:space="preserve"> Ghribi, D., 2017, Glycolipid Biosurfactants, Main Classes, Functional Properties and Related Potential Applications in Environmental Biotechnology</w:t>
      </w:r>
      <w:r w:rsidR="00985705">
        <w:t>,</w:t>
      </w:r>
      <w:r>
        <w:t xml:space="preserve"> J. </w:t>
      </w:r>
      <w:proofErr w:type="spellStart"/>
      <w:r>
        <w:t>Polym</w:t>
      </w:r>
      <w:proofErr w:type="spellEnd"/>
      <w:r>
        <w:t xml:space="preserve">. </w:t>
      </w:r>
      <w:proofErr w:type="spellStart"/>
      <w:r w:rsidRPr="00B64E33">
        <w:rPr>
          <w:lang w:val="pt-BR"/>
        </w:rPr>
        <w:t>Environ</w:t>
      </w:r>
      <w:proofErr w:type="spellEnd"/>
      <w:r w:rsidRPr="00B64E33">
        <w:rPr>
          <w:lang w:val="pt-BR"/>
        </w:rPr>
        <w:t>., 4, 1-15.</w:t>
      </w:r>
    </w:p>
    <w:p w:rsidR="00A129DC" w:rsidRDefault="00A129DC" w:rsidP="00A129DC">
      <w:pPr>
        <w:pStyle w:val="CETReferencetext"/>
      </w:pPr>
      <w:r w:rsidRPr="00A129DC">
        <w:rPr>
          <w:lang w:val="pt-BR"/>
        </w:rPr>
        <w:t>Pereira, J.</w:t>
      </w:r>
      <w:r w:rsidR="00985705">
        <w:rPr>
          <w:lang w:val="pt-BR"/>
        </w:rPr>
        <w:t>,</w:t>
      </w:r>
      <w:r w:rsidRPr="00A129DC">
        <w:rPr>
          <w:lang w:val="pt-BR"/>
        </w:rPr>
        <w:t xml:space="preserve"> </w:t>
      </w:r>
      <w:proofErr w:type="spellStart"/>
      <w:r w:rsidRPr="00A129DC">
        <w:rPr>
          <w:lang w:val="pt-BR"/>
        </w:rPr>
        <w:t>Ciacco</w:t>
      </w:r>
      <w:proofErr w:type="spellEnd"/>
      <w:r w:rsidRPr="00A129DC">
        <w:rPr>
          <w:lang w:val="pt-BR"/>
        </w:rPr>
        <w:t>, C.F.</w:t>
      </w:r>
      <w:r w:rsidR="00985705">
        <w:rPr>
          <w:lang w:val="pt-BR"/>
        </w:rPr>
        <w:t>,</w:t>
      </w:r>
      <w:r w:rsidRPr="00A129DC">
        <w:rPr>
          <w:lang w:val="pt-BR"/>
        </w:rPr>
        <w:t xml:space="preserve"> Vilela, E.R.</w:t>
      </w:r>
      <w:r w:rsidR="00985705">
        <w:rPr>
          <w:lang w:val="pt-BR"/>
        </w:rPr>
        <w:t>,</w:t>
      </w:r>
      <w:r w:rsidRPr="00A129DC">
        <w:rPr>
          <w:lang w:val="pt-BR"/>
        </w:rPr>
        <w:t xml:space="preserve"> Pereira, R.G.F.A., 2004, Função dos ingredientes na consistência da massa e nas características do pão de queijo</w:t>
      </w:r>
      <w:r w:rsidR="00985705">
        <w:rPr>
          <w:lang w:val="pt-BR"/>
        </w:rPr>
        <w:t>,</w:t>
      </w:r>
      <w:r w:rsidRPr="00A129DC">
        <w:rPr>
          <w:lang w:val="pt-BR"/>
        </w:rPr>
        <w:t xml:space="preserve"> </w:t>
      </w:r>
      <w:r w:rsidRPr="00985705">
        <w:rPr>
          <w:lang w:val="pt-BR"/>
        </w:rPr>
        <w:t xml:space="preserve">Ciênc. </w:t>
      </w:r>
      <w:proofErr w:type="spellStart"/>
      <w:r>
        <w:t>Tecnol</w:t>
      </w:r>
      <w:proofErr w:type="spellEnd"/>
      <w:r>
        <w:t>. Aliment., 24(4), 494-500.</w:t>
      </w:r>
    </w:p>
    <w:p w:rsidR="00CC253A" w:rsidRDefault="00CC253A" w:rsidP="00A129DC">
      <w:pPr>
        <w:pStyle w:val="CETReferencetext"/>
      </w:pPr>
      <w:r w:rsidRPr="00CC253A">
        <w:t>Pinto, M.I.S.</w:t>
      </w:r>
      <w:r>
        <w:t>,</w:t>
      </w:r>
      <w:r w:rsidRPr="00CC253A">
        <w:t xml:space="preserve"> Ribeiro, B.G.</w:t>
      </w:r>
      <w:r>
        <w:t>,</w:t>
      </w:r>
      <w:r w:rsidRPr="00CC253A">
        <w:t xml:space="preserve"> Campos, J.M.</w:t>
      </w:r>
      <w:r>
        <w:t>,</w:t>
      </w:r>
      <w:r w:rsidRPr="00CC253A">
        <w:t xml:space="preserve"> Rufino, R.D.</w:t>
      </w:r>
      <w:r>
        <w:t>,</w:t>
      </w:r>
      <w:r w:rsidRPr="00CC253A">
        <w:t xml:space="preserve"> Sarubbo, L.A.</w:t>
      </w:r>
      <w:r>
        <w:t>,</w:t>
      </w:r>
      <w:r w:rsidRPr="00CC253A">
        <w:t xml:space="preserve"> Santos, V.A.</w:t>
      </w:r>
      <w:r>
        <w:t>,</w:t>
      </w:r>
      <w:r w:rsidRPr="00CC253A">
        <w:t xml:space="preserve"> Luna, J.M.</w:t>
      </w:r>
      <w:r>
        <w:t xml:space="preserve">, 2018, </w:t>
      </w:r>
      <w:r w:rsidRPr="00CC253A">
        <w:t>Production in bioreactor, toxicity and stability of a low-cost biosurfactant</w:t>
      </w:r>
      <w:r>
        <w:t xml:space="preserve">, </w:t>
      </w:r>
      <w:r w:rsidRPr="00CC253A">
        <w:t>Chem</w:t>
      </w:r>
      <w:r>
        <w:t>.</w:t>
      </w:r>
      <w:r w:rsidRPr="00CC253A">
        <w:t xml:space="preserve"> Eng</w:t>
      </w:r>
      <w:r>
        <w:t>.</w:t>
      </w:r>
      <w:r w:rsidRPr="00CC253A">
        <w:t xml:space="preserve"> Trans</w:t>
      </w:r>
      <w:r>
        <w:t>.</w:t>
      </w:r>
      <w:r w:rsidRPr="00CC253A">
        <w:t>, 64, 595</w:t>
      </w:r>
      <w:r>
        <w:t>-</w:t>
      </w:r>
      <w:r w:rsidRPr="00CC253A">
        <w:t>600</w:t>
      </w:r>
      <w:r>
        <w:t>.</w:t>
      </w:r>
    </w:p>
    <w:p w:rsidR="00A129DC" w:rsidRDefault="00A129DC" w:rsidP="00A129DC">
      <w:pPr>
        <w:pStyle w:val="CETReferencetext"/>
      </w:pPr>
      <w:r>
        <w:t>Prasanna, P.H.P.</w:t>
      </w:r>
      <w:r w:rsidR="00985705">
        <w:t>,</w:t>
      </w:r>
      <w:r>
        <w:t xml:space="preserve"> Bell, A.</w:t>
      </w:r>
      <w:r w:rsidR="00985705">
        <w:t>,</w:t>
      </w:r>
      <w:r>
        <w:t xml:space="preserve"> Grandison, A.S., 2012, Emulsifying, rheological and physicochemical properties of exopolysaccharide produced by </w:t>
      </w:r>
      <w:r w:rsidRPr="00985705">
        <w:rPr>
          <w:i/>
        </w:rPr>
        <w:t xml:space="preserve">Bifidobacterium </w:t>
      </w:r>
      <w:proofErr w:type="spellStart"/>
      <w:r w:rsidRPr="00985705">
        <w:rPr>
          <w:i/>
        </w:rPr>
        <w:t>longum</w:t>
      </w:r>
      <w:proofErr w:type="spellEnd"/>
      <w:r>
        <w:t xml:space="preserve"> subsp. </w:t>
      </w:r>
      <w:r w:rsidRPr="00985705">
        <w:rPr>
          <w:i/>
        </w:rPr>
        <w:t>infantis</w:t>
      </w:r>
      <w:r>
        <w:t xml:space="preserve"> CCUG 52486 and Bifidobacterium </w:t>
      </w:r>
      <w:proofErr w:type="spellStart"/>
      <w:r>
        <w:t>infantis</w:t>
      </w:r>
      <w:proofErr w:type="spellEnd"/>
      <w:r>
        <w:t xml:space="preserve"> NCIMB 702205</w:t>
      </w:r>
      <w:r w:rsidR="00B1270D">
        <w:t>,</w:t>
      </w:r>
      <w:r>
        <w:t xml:space="preserve"> </w:t>
      </w:r>
      <w:proofErr w:type="spellStart"/>
      <w:r>
        <w:t>Carbohydr</w:t>
      </w:r>
      <w:proofErr w:type="spellEnd"/>
      <w:r>
        <w:t xml:space="preserve">. </w:t>
      </w:r>
      <w:proofErr w:type="spellStart"/>
      <w:r>
        <w:t>Polym</w:t>
      </w:r>
      <w:proofErr w:type="spellEnd"/>
      <w:r>
        <w:t>., 90, 533–540.</w:t>
      </w:r>
    </w:p>
    <w:p w:rsidR="00A129DC" w:rsidRDefault="00A129DC" w:rsidP="00A129DC">
      <w:pPr>
        <w:pStyle w:val="CETReferencetext"/>
      </w:pPr>
      <w:proofErr w:type="spellStart"/>
      <w:r>
        <w:t>Radzuan</w:t>
      </w:r>
      <w:proofErr w:type="spellEnd"/>
      <w:r>
        <w:t>, M.N.</w:t>
      </w:r>
      <w:r w:rsidR="0072713F">
        <w:t>,</w:t>
      </w:r>
      <w:r>
        <w:t xml:space="preserve"> Banat, I.M.</w:t>
      </w:r>
      <w:r w:rsidR="0072713F">
        <w:t>,</w:t>
      </w:r>
      <w:r>
        <w:t xml:space="preserve"> Winterburn, J., 2017, Production and characterization of rhamnolipid using palm oil agricultural refinery waste</w:t>
      </w:r>
      <w:r w:rsidR="0072713F">
        <w:t>,</w:t>
      </w:r>
      <w:r>
        <w:t xml:space="preserve"> Bioresource Technol., 225, 99–105.</w:t>
      </w:r>
    </w:p>
    <w:p w:rsidR="00A129DC" w:rsidRDefault="00A129DC" w:rsidP="00A129DC">
      <w:pPr>
        <w:pStyle w:val="CETReferencetext"/>
      </w:pPr>
      <w:r>
        <w:t>Rufino, R.D.</w:t>
      </w:r>
      <w:r w:rsidR="0072713F">
        <w:t>,</w:t>
      </w:r>
      <w:r>
        <w:t xml:space="preserve"> Luna, J.M.</w:t>
      </w:r>
      <w:r w:rsidR="0072713F">
        <w:t>,</w:t>
      </w:r>
      <w:r>
        <w:t xml:space="preserve"> Campos-Takaki, G.M.</w:t>
      </w:r>
      <w:r w:rsidR="0072713F">
        <w:t>,</w:t>
      </w:r>
      <w:r>
        <w:t xml:space="preserve"> Sarubbo, L.A., 2014, Characterization and properties of the biosurfactant produced by </w:t>
      </w:r>
      <w:r w:rsidRPr="00CC0AB2">
        <w:rPr>
          <w:i/>
        </w:rPr>
        <w:t>Candida lipolytica</w:t>
      </w:r>
      <w:r>
        <w:t xml:space="preserve"> UCP 0988</w:t>
      </w:r>
      <w:r w:rsidR="0072713F">
        <w:t>,</w:t>
      </w:r>
      <w:r>
        <w:t xml:space="preserve"> Elect. J. </w:t>
      </w:r>
      <w:proofErr w:type="spellStart"/>
      <w:r>
        <w:t>Biotechnol</w:t>
      </w:r>
      <w:proofErr w:type="spellEnd"/>
      <w:r>
        <w:t>., 17, 34–38.</w:t>
      </w:r>
    </w:p>
    <w:p w:rsidR="00A129DC" w:rsidRDefault="00A129DC" w:rsidP="00A129DC">
      <w:pPr>
        <w:pStyle w:val="CETReferencetext"/>
      </w:pPr>
      <w:r>
        <w:t xml:space="preserve">Rocha </w:t>
      </w:r>
      <w:r w:rsidR="00CC0AB2">
        <w:t>e</w:t>
      </w:r>
      <w:r>
        <w:t xml:space="preserve"> Silva, F.C.P.</w:t>
      </w:r>
      <w:r w:rsidR="00CC0AB2">
        <w:t>,</w:t>
      </w:r>
      <w:r>
        <w:t xml:space="preserve"> Roque, B.A.C.</w:t>
      </w:r>
      <w:r w:rsidR="00CC0AB2">
        <w:t>,</w:t>
      </w:r>
      <w:r>
        <w:t xml:space="preserve"> Rocha E Silva, N.M.P.</w:t>
      </w:r>
      <w:r w:rsidR="00CC0AB2">
        <w:t>,</w:t>
      </w:r>
      <w:r>
        <w:t xml:space="preserve"> Rufino, R.D.</w:t>
      </w:r>
      <w:r w:rsidR="00CC0AB2">
        <w:t xml:space="preserve">, </w:t>
      </w:r>
      <w:r>
        <w:t>Luna, J.M.</w:t>
      </w:r>
      <w:r w:rsidR="00CC0AB2">
        <w:t>,</w:t>
      </w:r>
      <w:r>
        <w:t xml:space="preserve"> Santos, V. A.</w:t>
      </w:r>
      <w:r w:rsidR="00CC0AB2">
        <w:t>,</w:t>
      </w:r>
      <w:r>
        <w:t xml:space="preserve"> Banat, I. M.</w:t>
      </w:r>
      <w:r w:rsidR="00CC0AB2">
        <w:t>,</w:t>
      </w:r>
      <w:r>
        <w:t xml:space="preserve"> Sarubbo, L. A., 2017, Yeasts and bacterial biosurfactants as </w:t>
      </w:r>
      <w:proofErr w:type="spellStart"/>
      <w:r>
        <w:t>demulsifiers</w:t>
      </w:r>
      <w:proofErr w:type="spellEnd"/>
      <w:r>
        <w:t xml:space="preserve"> for petroleum derivative in seawater emulsions</w:t>
      </w:r>
      <w:r w:rsidR="00CC0AB2">
        <w:t>,</w:t>
      </w:r>
      <w:r>
        <w:t xml:space="preserve"> AMB Express, 7, DOI: 10.1186/s13568-017-0499-6.</w:t>
      </w:r>
    </w:p>
    <w:p w:rsidR="00A129DC" w:rsidRDefault="00A129DC" w:rsidP="00A129DC">
      <w:pPr>
        <w:pStyle w:val="CETReferencetext"/>
      </w:pPr>
      <w:r>
        <w:t>Santos, D.K.F.</w:t>
      </w:r>
      <w:r w:rsidR="00B82301">
        <w:t>,</w:t>
      </w:r>
      <w:r>
        <w:t xml:space="preserve"> Luna, J.M.</w:t>
      </w:r>
      <w:r w:rsidR="00B82301">
        <w:t>,</w:t>
      </w:r>
      <w:r>
        <w:t xml:space="preserve"> Rufino, R.D.</w:t>
      </w:r>
      <w:r w:rsidR="00B82301">
        <w:t>,</w:t>
      </w:r>
      <w:r>
        <w:t xml:space="preserve"> Santos, V.A.</w:t>
      </w:r>
      <w:r w:rsidR="00B82301">
        <w:t>,</w:t>
      </w:r>
      <w:r>
        <w:t xml:space="preserve"> Sarubbo, L.A., 2016, Biosurfactants: Multifunctional Biomolecules of the 21st Century</w:t>
      </w:r>
      <w:r w:rsidR="00B82301">
        <w:t>,</w:t>
      </w:r>
      <w:r>
        <w:t xml:space="preserve"> Int. J. Mol. Sci., 17, 401-430.</w:t>
      </w:r>
    </w:p>
    <w:p w:rsidR="00A129DC" w:rsidRDefault="00A129DC" w:rsidP="00A129DC">
      <w:pPr>
        <w:pStyle w:val="CETReferencetext"/>
      </w:pPr>
      <w:r>
        <w:t>Santos, D.K.F., Rufino, R.D., Luna, J.M.,</w:t>
      </w:r>
      <w:bookmarkStart w:id="0" w:name="_GoBack"/>
      <w:bookmarkEnd w:id="0"/>
      <w:r>
        <w:t xml:space="preserve"> Santos, V.A., </w:t>
      </w:r>
      <w:proofErr w:type="spellStart"/>
      <w:r>
        <w:t>Salgueiro</w:t>
      </w:r>
      <w:proofErr w:type="spellEnd"/>
      <w:r>
        <w:t xml:space="preserve">, A.A.; Sarubbo, L.A., 2013, Synthesis and evaluation of biosurfactant produced by </w:t>
      </w:r>
      <w:r w:rsidRPr="00B82301">
        <w:rPr>
          <w:i/>
        </w:rPr>
        <w:t>Candida lipolytica</w:t>
      </w:r>
      <w:r>
        <w:t xml:space="preserve"> using animal fat and corn steep liquor</w:t>
      </w:r>
      <w:r w:rsidR="00B82301">
        <w:t>,</w:t>
      </w:r>
      <w:r>
        <w:t xml:space="preserve"> J. Petrol. Sci. Eng., 105, 4–50.</w:t>
      </w:r>
    </w:p>
    <w:p w:rsidR="00A129DC" w:rsidRDefault="00A129DC" w:rsidP="00A129DC">
      <w:pPr>
        <w:pStyle w:val="CETReferencetext"/>
      </w:pPr>
      <w:r>
        <w:t xml:space="preserve">Shah, M.U.H., </w:t>
      </w:r>
      <w:proofErr w:type="spellStart"/>
      <w:r>
        <w:t>Sivapragasam</w:t>
      </w:r>
      <w:proofErr w:type="spellEnd"/>
      <w:r>
        <w:t xml:space="preserve">, M., </w:t>
      </w:r>
      <w:proofErr w:type="spellStart"/>
      <w:r>
        <w:t>Moniruzzamana</w:t>
      </w:r>
      <w:proofErr w:type="spellEnd"/>
      <w:r>
        <w:t xml:space="preserve">, M., </w:t>
      </w:r>
      <w:proofErr w:type="spellStart"/>
      <w:r>
        <w:t>Talukder</w:t>
      </w:r>
      <w:proofErr w:type="spellEnd"/>
      <w:r>
        <w:t xml:space="preserve">, </w:t>
      </w:r>
      <w:proofErr w:type="spellStart"/>
      <w:r>
        <w:t>Md.M.R</w:t>
      </w:r>
      <w:proofErr w:type="spellEnd"/>
      <w:r>
        <w:t xml:space="preserve">., </w:t>
      </w:r>
      <w:proofErr w:type="spellStart"/>
      <w:r>
        <w:t>Yusup</w:t>
      </w:r>
      <w:proofErr w:type="spellEnd"/>
      <w:r>
        <w:t xml:space="preserve">, </w:t>
      </w:r>
      <w:proofErr w:type="spellStart"/>
      <w:r>
        <w:t>S.Bt</w:t>
      </w:r>
      <w:proofErr w:type="spellEnd"/>
      <w:r>
        <w:t xml:space="preserve">., </w:t>
      </w:r>
      <w:proofErr w:type="spellStart"/>
      <w:r>
        <w:t>Goto</w:t>
      </w:r>
      <w:proofErr w:type="spellEnd"/>
      <w:r>
        <w:t xml:space="preserve">, M., 2017, Production of </w:t>
      </w:r>
      <w:proofErr w:type="spellStart"/>
      <w:r>
        <w:t>sophorolipids</w:t>
      </w:r>
      <w:proofErr w:type="spellEnd"/>
      <w:r>
        <w:t xml:space="preserve"> by </w:t>
      </w:r>
      <w:proofErr w:type="spellStart"/>
      <w:r w:rsidRPr="00AA1246">
        <w:rPr>
          <w:i/>
        </w:rPr>
        <w:t>Starmerella</w:t>
      </w:r>
      <w:proofErr w:type="spellEnd"/>
      <w:r w:rsidRPr="00AA1246">
        <w:rPr>
          <w:i/>
        </w:rPr>
        <w:t xml:space="preserve"> bombicola</w:t>
      </w:r>
      <w:r>
        <w:t xml:space="preserve"> yeast using new hydrophobic substrates</w:t>
      </w:r>
      <w:r w:rsidR="00AA1246">
        <w:t>,</w:t>
      </w:r>
      <w:r>
        <w:t xml:space="preserve"> </w:t>
      </w:r>
      <w:proofErr w:type="spellStart"/>
      <w:r>
        <w:t>Biochem</w:t>
      </w:r>
      <w:proofErr w:type="spellEnd"/>
      <w:r>
        <w:t>. Eng. J., 127, 60–67.</w:t>
      </w:r>
    </w:p>
    <w:p w:rsidR="00A129DC" w:rsidRDefault="00A129DC" w:rsidP="00A129DC">
      <w:pPr>
        <w:pStyle w:val="CETReferencetext"/>
      </w:pPr>
      <w:r>
        <w:t xml:space="preserve">Soares da Silva, R.C.F.S., Almeida, D.G., </w:t>
      </w:r>
      <w:proofErr w:type="spellStart"/>
      <w:r>
        <w:t>Meira</w:t>
      </w:r>
      <w:proofErr w:type="spellEnd"/>
      <w:r>
        <w:t xml:space="preserve">, H.M., Silva, E.J., Farias, C.B.B., Rufino R.D., Luna, J.M., Sarubbo, L.A., 2017, Production and characterization of a new biosurfactant from Pseudomonas </w:t>
      </w:r>
      <w:proofErr w:type="spellStart"/>
      <w:r>
        <w:t>cepacia</w:t>
      </w:r>
      <w:proofErr w:type="spellEnd"/>
      <w:r>
        <w:t xml:space="preserve"> grown in low-cost fermentative medium and its application in the oil industry</w:t>
      </w:r>
      <w:r w:rsidR="00AA1246">
        <w:t>,</w:t>
      </w:r>
      <w:r>
        <w:t xml:space="preserve"> </w:t>
      </w:r>
      <w:proofErr w:type="spellStart"/>
      <w:r>
        <w:t>Biocat</w:t>
      </w:r>
      <w:proofErr w:type="spellEnd"/>
      <w:r>
        <w:t xml:space="preserve">. Agric. </w:t>
      </w:r>
      <w:proofErr w:type="spellStart"/>
      <w:r>
        <w:t>Biotechnol</w:t>
      </w:r>
      <w:proofErr w:type="spellEnd"/>
      <w:r>
        <w:t>, 12, 206-215.</w:t>
      </w:r>
    </w:p>
    <w:p w:rsidR="008C11DE" w:rsidRDefault="00A129DC" w:rsidP="008C11DE">
      <w:pPr>
        <w:pStyle w:val="CETReferencetext"/>
      </w:pPr>
      <w:proofErr w:type="spellStart"/>
      <w:r>
        <w:t>Zouari</w:t>
      </w:r>
      <w:proofErr w:type="spellEnd"/>
      <w:r>
        <w:t xml:space="preserve">, R.; </w:t>
      </w:r>
      <w:proofErr w:type="spellStart"/>
      <w:r>
        <w:t>Besbes</w:t>
      </w:r>
      <w:proofErr w:type="spellEnd"/>
      <w:r>
        <w:t xml:space="preserve">, S.; </w:t>
      </w:r>
      <w:proofErr w:type="spellStart"/>
      <w:r>
        <w:t>Ellouze-Chaabouni</w:t>
      </w:r>
      <w:proofErr w:type="spellEnd"/>
      <w:r>
        <w:t xml:space="preserve">, S.; </w:t>
      </w:r>
      <w:proofErr w:type="spellStart"/>
      <w:r>
        <w:t>Ghribi-Aydi</w:t>
      </w:r>
      <w:proofErr w:type="spellEnd"/>
      <w:r>
        <w:t>, D., 2016, Cookies from composite wheat–sesame peels flours: Dough quality and effect of Bacillus subtilis SPB1 biosurfactant addition</w:t>
      </w:r>
      <w:r w:rsidR="00C135E3">
        <w:t>,</w:t>
      </w:r>
      <w:r>
        <w:t xml:space="preserve"> Food Chem., 194, 758–769</w:t>
      </w:r>
      <w:r w:rsidR="000B0385">
        <w:t>.</w:t>
      </w:r>
    </w:p>
    <w:sectPr w:rsidR="008C11DE"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E4A" w:rsidRDefault="00D45E4A" w:rsidP="004F5E36">
      <w:r>
        <w:separator/>
      </w:r>
    </w:p>
  </w:endnote>
  <w:endnote w:type="continuationSeparator" w:id="0">
    <w:p w:rsidR="00D45E4A" w:rsidRDefault="00D45E4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E4A" w:rsidRDefault="00D45E4A" w:rsidP="004F5E36">
      <w:r>
        <w:separator/>
      </w:r>
    </w:p>
  </w:footnote>
  <w:footnote w:type="continuationSeparator" w:id="0">
    <w:p w:rsidR="00D45E4A" w:rsidRDefault="00D45E4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51A2049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color w:val="auto"/>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68F58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20"/>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9"/>
  </w:num>
  <w:num w:numId="32">
    <w:abstractNumId w:val="10"/>
  </w:num>
  <w:num w:numId="33">
    <w:abstractNumId w:val="10"/>
  </w:num>
  <w:num w:numId="34">
    <w:abstractNumId w:val="10"/>
  </w:num>
  <w:num w:numId="35">
    <w:abstractNumId w:val="1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B61"/>
    <w:rsid w:val="00010F40"/>
    <w:rsid w:val="000117CB"/>
    <w:rsid w:val="00012554"/>
    <w:rsid w:val="0001513E"/>
    <w:rsid w:val="0003148D"/>
    <w:rsid w:val="000477D0"/>
    <w:rsid w:val="00047D7F"/>
    <w:rsid w:val="00051566"/>
    <w:rsid w:val="00062A9A"/>
    <w:rsid w:val="00065058"/>
    <w:rsid w:val="00070506"/>
    <w:rsid w:val="00086C39"/>
    <w:rsid w:val="000A03B2"/>
    <w:rsid w:val="000A3B79"/>
    <w:rsid w:val="000B0385"/>
    <w:rsid w:val="000C54F0"/>
    <w:rsid w:val="000D34BE"/>
    <w:rsid w:val="000E102F"/>
    <w:rsid w:val="000E36F1"/>
    <w:rsid w:val="000E3A73"/>
    <w:rsid w:val="000E414A"/>
    <w:rsid w:val="000F093C"/>
    <w:rsid w:val="000F16BD"/>
    <w:rsid w:val="000F2B6E"/>
    <w:rsid w:val="000F4560"/>
    <w:rsid w:val="000F787B"/>
    <w:rsid w:val="0012091F"/>
    <w:rsid w:val="001228DF"/>
    <w:rsid w:val="00126BC2"/>
    <w:rsid w:val="001308B6"/>
    <w:rsid w:val="0013121F"/>
    <w:rsid w:val="00131FAB"/>
    <w:rsid w:val="00131FE6"/>
    <w:rsid w:val="0013263F"/>
    <w:rsid w:val="00134DE4"/>
    <w:rsid w:val="0014034D"/>
    <w:rsid w:val="00144694"/>
    <w:rsid w:val="00150E59"/>
    <w:rsid w:val="00152DE3"/>
    <w:rsid w:val="00164CF9"/>
    <w:rsid w:val="00184AD6"/>
    <w:rsid w:val="001A37D7"/>
    <w:rsid w:val="001B0349"/>
    <w:rsid w:val="001B65C1"/>
    <w:rsid w:val="001C684B"/>
    <w:rsid w:val="001D063A"/>
    <w:rsid w:val="001D0828"/>
    <w:rsid w:val="001D164F"/>
    <w:rsid w:val="001D4B9A"/>
    <w:rsid w:val="001D53FC"/>
    <w:rsid w:val="001F42A5"/>
    <w:rsid w:val="001F7B9D"/>
    <w:rsid w:val="00201933"/>
    <w:rsid w:val="002224B4"/>
    <w:rsid w:val="002447EF"/>
    <w:rsid w:val="00246165"/>
    <w:rsid w:val="00251550"/>
    <w:rsid w:val="00252C1A"/>
    <w:rsid w:val="00261BC9"/>
    <w:rsid w:val="00263B05"/>
    <w:rsid w:val="00267F7D"/>
    <w:rsid w:val="0027221A"/>
    <w:rsid w:val="00275B61"/>
    <w:rsid w:val="00282656"/>
    <w:rsid w:val="00296B83"/>
    <w:rsid w:val="002A2744"/>
    <w:rsid w:val="002B78CE"/>
    <w:rsid w:val="002C2FB6"/>
    <w:rsid w:val="002D5BCD"/>
    <w:rsid w:val="002E20EF"/>
    <w:rsid w:val="002E3FE1"/>
    <w:rsid w:val="003009B7"/>
    <w:rsid w:val="00300E56"/>
    <w:rsid w:val="0030469C"/>
    <w:rsid w:val="00312195"/>
    <w:rsid w:val="00313B6D"/>
    <w:rsid w:val="00315D0D"/>
    <w:rsid w:val="00321CA6"/>
    <w:rsid w:val="00334C09"/>
    <w:rsid w:val="00334DF3"/>
    <w:rsid w:val="003365E3"/>
    <w:rsid w:val="00366539"/>
    <w:rsid w:val="003723D4"/>
    <w:rsid w:val="00380710"/>
    <w:rsid w:val="00384CC8"/>
    <w:rsid w:val="003871FD"/>
    <w:rsid w:val="00395333"/>
    <w:rsid w:val="003A1E30"/>
    <w:rsid w:val="003A7D1C"/>
    <w:rsid w:val="003B1C3E"/>
    <w:rsid w:val="003B304B"/>
    <w:rsid w:val="003B3146"/>
    <w:rsid w:val="003B60F3"/>
    <w:rsid w:val="003B741D"/>
    <w:rsid w:val="003E33AA"/>
    <w:rsid w:val="003F015E"/>
    <w:rsid w:val="00400414"/>
    <w:rsid w:val="0041446B"/>
    <w:rsid w:val="0044329C"/>
    <w:rsid w:val="004577FE"/>
    <w:rsid w:val="00457B9C"/>
    <w:rsid w:val="0046164A"/>
    <w:rsid w:val="004628D2"/>
    <w:rsid w:val="00462DCD"/>
    <w:rsid w:val="004648AD"/>
    <w:rsid w:val="00466CAB"/>
    <w:rsid w:val="004703A9"/>
    <w:rsid w:val="004760DE"/>
    <w:rsid w:val="00493152"/>
    <w:rsid w:val="004A004E"/>
    <w:rsid w:val="004A24CF"/>
    <w:rsid w:val="004B17F4"/>
    <w:rsid w:val="004B6721"/>
    <w:rsid w:val="004C3D1D"/>
    <w:rsid w:val="004C7913"/>
    <w:rsid w:val="004E4DD6"/>
    <w:rsid w:val="004E7177"/>
    <w:rsid w:val="004F5E36"/>
    <w:rsid w:val="00505C92"/>
    <w:rsid w:val="00507B47"/>
    <w:rsid w:val="00507CC9"/>
    <w:rsid w:val="005119A5"/>
    <w:rsid w:val="00513A90"/>
    <w:rsid w:val="005278B7"/>
    <w:rsid w:val="00532016"/>
    <w:rsid w:val="005346C8"/>
    <w:rsid w:val="005436F4"/>
    <w:rsid w:val="00543E7D"/>
    <w:rsid w:val="00545BF3"/>
    <w:rsid w:val="00546B05"/>
    <w:rsid w:val="00547A68"/>
    <w:rsid w:val="005531C9"/>
    <w:rsid w:val="00557D37"/>
    <w:rsid w:val="0056410D"/>
    <w:rsid w:val="005670D3"/>
    <w:rsid w:val="00593E03"/>
    <w:rsid w:val="00594C58"/>
    <w:rsid w:val="005B2110"/>
    <w:rsid w:val="005B61E6"/>
    <w:rsid w:val="005C77E1"/>
    <w:rsid w:val="005D6A2F"/>
    <w:rsid w:val="005E1A82"/>
    <w:rsid w:val="005E5B75"/>
    <w:rsid w:val="005E794C"/>
    <w:rsid w:val="005F0A28"/>
    <w:rsid w:val="005F0E5E"/>
    <w:rsid w:val="00600535"/>
    <w:rsid w:val="00610CD6"/>
    <w:rsid w:val="00620DEE"/>
    <w:rsid w:val="00621F92"/>
    <w:rsid w:val="0062308E"/>
    <w:rsid w:val="00625639"/>
    <w:rsid w:val="00631B33"/>
    <w:rsid w:val="0064184D"/>
    <w:rsid w:val="006422CC"/>
    <w:rsid w:val="00660E3E"/>
    <w:rsid w:val="00662E74"/>
    <w:rsid w:val="00664D02"/>
    <w:rsid w:val="00680C23"/>
    <w:rsid w:val="00693766"/>
    <w:rsid w:val="006A2B83"/>
    <w:rsid w:val="006A3281"/>
    <w:rsid w:val="006B4888"/>
    <w:rsid w:val="006C270C"/>
    <w:rsid w:val="006C2E45"/>
    <w:rsid w:val="006C359C"/>
    <w:rsid w:val="006C5579"/>
    <w:rsid w:val="006E737D"/>
    <w:rsid w:val="006F0A08"/>
    <w:rsid w:val="0070195D"/>
    <w:rsid w:val="00705C79"/>
    <w:rsid w:val="00710BB8"/>
    <w:rsid w:val="00714FAE"/>
    <w:rsid w:val="00720A24"/>
    <w:rsid w:val="0072713F"/>
    <w:rsid w:val="00732386"/>
    <w:rsid w:val="007447F3"/>
    <w:rsid w:val="00746AFA"/>
    <w:rsid w:val="0075499F"/>
    <w:rsid w:val="007661C8"/>
    <w:rsid w:val="0077098D"/>
    <w:rsid w:val="00783145"/>
    <w:rsid w:val="007931FA"/>
    <w:rsid w:val="007A7BBA"/>
    <w:rsid w:val="007B0C50"/>
    <w:rsid w:val="007B44CF"/>
    <w:rsid w:val="007C1A43"/>
    <w:rsid w:val="007C72D8"/>
    <w:rsid w:val="007E1DC6"/>
    <w:rsid w:val="00813288"/>
    <w:rsid w:val="008168FC"/>
    <w:rsid w:val="00830996"/>
    <w:rsid w:val="008345F1"/>
    <w:rsid w:val="00865B07"/>
    <w:rsid w:val="008667EA"/>
    <w:rsid w:val="0087637F"/>
    <w:rsid w:val="0088203A"/>
    <w:rsid w:val="008904B9"/>
    <w:rsid w:val="00892AD5"/>
    <w:rsid w:val="008A1512"/>
    <w:rsid w:val="008B26BE"/>
    <w:rsid w:val="008C11DE"/>
    <w:rsid w:val="008C78C1"/>
    <w:rsid w:val="008D32B9"/>
    <w:rsid w:val="008D433B"/>
    <w:rsid w:val="008E566E"/>
    <w:rsid w:val="008F5BE4"/>
    <w:rsid w:val="0090161A"/>
    <w:rsid w:val="00901EB6"/>
    <w:rsid w:val="00904C62"/>
    <w:rsid w:val="00924DAC"/>
    <w:rsid w:val="00927058"/>
    <w:rsid w:val="00935837"/>
    <w:rsid w:val="009450CE"/>
    <w:rsid w:val="00947179"/>
    <w:rsid w:val="0095164B"/>
    <w:rsid w:val="00954090"/>
    <w:rsid w:val="009573E7"/>
    <w:rsid w:val="00961877"/>
    <w:rsid w:val="009635B9"/>
    <w:rsid w:val="00963E05"/>
    <w:rsid w:val="00967D54"/>
    <w:rsid w:val="00972E58"/>
    <w:rsid w:val="0097506A"/>
    <w:rsid w:val="0098350B"/>
    <w:rsid w:val="0098430C"/>
    <w:rsid w:val="00985705"/>
    <w:rsid w:val="00996483"/>
    <w:rsid w:val="00996F5A"/>
    <w:rsid w:val="009A0A3E"/>
    <w:rsid w:val="009B041A"/>
    <w:rsid w:val="009C7C86"/>
    <w:rsid w:val="009D0E96"/>
    <w:rsid w:val="009D2FF7"/>
    <w:rsid w:val="009E5591"/>
    <w:rsid w:val="009E7426"/>
    <w:rsid w:val="009E7725"/>
    <w:rsid w:val="009E7826"/>
    <w:rsid w:val="009E7884"/>
    <w:rsid w:val="009E788A"/>
    <w:rsid w:val="009F0E08"/>
    <w:rsid w:val="00A129DC"/>
    <w:rsid w:val="00A1763D"/>
    <w:rsid w:val="00A17CEC"/>
    <w:rsid w:val="00A27EF0"/>
    <w:rsid w:val="00A50B20"/>
    <w:rsid w:val="00A51390"/>
    <w:rsid w:val="00A60D13"/>
    <w:rsid w:val="00A72745"/>
    <w:rsid w:val="00A76EFC"/>
    <w:rsid w:val="00A91010"/>
    <w:rsid w:val="00A95FF0"/>
    <w:rsid w:val="00A97F29"/>
    <w:rsid w:val="00AA1246"/>
    <w:rsid w:val="00AA702E"/>
    <w:rsid w:val="00AA7EDA"/>
    <w:rsid w:val="00AB0964"/>
    <w:rsid w:val="00AB434F"/>
    <w:rsid w:val="00AB5011"/>
    <w:rsid w:val="00AC455E"/>
    <w:rsid w:val="00AC7368"/>
    <w:rsid w:val="00AD16B9"/>
    <w:rsid w:val="00AD3224"/>
    <w:rsid w:val="00AD493B"/>
    <w:rsid w:val="00AD52AB"/>
    <w:rsid w:val="00AD6E0B"/>
    <w:rsid w:val="00AE1FC1"/>
    <w:rsid w:val="00AE377D"/>
    <w:rsid w:val="00AE529C"/>
    <w:rsid w:val="00AE56BD"/>
    <w:rsid w:val="00AF6981"/>
    <w:rsid w:val="00AF7496"/>
    <w:rsid w:val="00B03616"/>
    <w:rsid w:val="00B104FF"/>
    <w:rsid w:val="00B1270D"/>
    <w:rsid w:val="00B1696D"/>
    <w:rsid w:val="00B17FBD"/>
    <w:rsid w:val="00B315A6"/>
    <w:rsid w:val="00B31813"/>
    <w:rsid w:val="00B33365"/>
    <w:rsid w:val="00B434F5"/>
    <w:rsid w:val="00B5542F"/>
    <w:rsid w:val="00B57B36"/>
    <w:rsid w:val="00B64E33"/>
    <w:rsid w:val="00B66C9E"/>
    <w:rsid w:val="00B82301"/>
    <w:rsid w:val="00B8686D"/>
    <w:rsid w:val="00B966D9"/>
    <w:rsid w:val="00BC30C9"/>
    <w:rsid w:val="00BD137A"/>
    <w:rsid w:val="00BE3E58"/>
    <w:rsid w:val="00C01616"/>
    <w:rsid w:val="00C0162B"/>
    <w:rsid w:val="00C135E3"/>
    <w:rsid w:val="00C14426"/>
    <w:rsid w:val="00C345B1"/>
    <w:rsid w:val="00C40142"/>
    <w:rsid w:val="00C4176E"/>
    <w:rsid w:val="00C57182"/>
    <w:rsid w:val="00C57863"/>
    <w:rsid w:val="00C61F48"/>
    <w:rsid w:val="00C655FD"/>
    <w:rsid w:val="00C667B2"/>
    <w:rsid w:val="00C70617"/>
    <w:rsid w:val="00C870A8"/>
    <w:rsid w:val="00C9094D"/>
    <w:rsid w:val="00C94434"/>
    <w:rsid w:val="00CA0D75"/>
    <w:rsid w:val="00CA1C95"/>
    <w:rsid w:val="00CA5A9C"/>
    <w:rsid w:val="00CA6FAC"/>
    <w:rsid w:val="00CC0AB2"/>
    <w:rsid w:val="00CC253A"/>
    <w:rsid w:val="00CD3517"/>
    <w:rsid w:val="00CD5A00"/>
    <w:rsid w:val="00CD5FE2"/>
    <w:rsid w:val="00CE7C68"/>
    <w:rsid w:val="00D02B4C"/>
    <w:rsid w:val="00D040C4"/>
    <w:rsid w:val="00D12C83"/>
    <w:rsid w:val="00D174AD"/>
    <w:rsid w:val="00D45E4A"/>
    <w:rsid w:val="00D57C84"/>
    <w:rsid w:val="00D6057D"/>
    <w:rsid w:val="00D84576"/>
    <w:rsid w:val="00D85DF9"/>
    <w:rsid w:val="00DA01A6"/>
    <w:rsid w:val="00DA1399"/>
    <w:rsid w:val="00DA24C6"/>
    <w:rsid w:val="00DA4D7B"/>
    <w:rsid w:val="00DA6E80"/>
    <w:rsid w:val="00DB6750"/>
    <w:rsid w:val="00DE264A"/>
    <w:rsid w:val="00E02D18"/>
    <w:rsid w:val="00E041E7"/>
    <w:rsid w:val="00E23CA1"/>
    <w:rsid w:val="00E409A8"/>
    <w:rsid w:val="00E50C12"/>
    <w:rsid w:val="00E65B91"/>
    <w:rsid w:val="00E7209D"/>
    <w:rsid w:val="00E731DE"/>
    <w:rsid w:val="00E77223"/>
    <w:rsid w:val="00E84AAC"/>
    <w:rsid w:val="00E8528B"/>
    <w:rsid w:val="00E85B94"/>
    <w:rsid w:val="00E978D0"/>
    <w:rsid w:val="00EA4613"/>
    <w:rsid w:val="00EA797A"/>
    <w:rsid w:val="00EA79CF"/>
    <w:rsid w:val="00EA7F91"/>
    <w:rsid w:val="00EB1523"/>
    <w:rsid w:val="00EC0E49"/>
    <w:rsid w:val="00EE0131"/>
    <w:rsid w:val="00F13651"/>
    <w:rsid w:val="00F155B2"/>
    <w:rsid w:val="00F30C64"/>
    <w:rsid w:val="00F32CDB"/>
    <w:rsid w:val="00F40773"/>
    <w:rsid w:val="00F63A70"/>
    <w:rsid w:val="00F743C4"/>
    <w:rsid w:val="00F8388A"/>
    <w:rsid w:val="00F85068"/>
    <w:rsid w:val="00FA21D0"/>
    <w:rsid w:val="00FA2552"/>
    <w:rsid w:val="00FA515C"/>
    <w:rsid w:val="00FA5F5F"/>
    <w:rsid w:val="00FA63A7"/>
    <w:rsid w:val="00FB730C"/>
    <w:rsid w:val="00FC2695"/>
    <w:rsid w:val="00FC3E03"/>
    <w:rsid w:val="00FC3FC1"/>
    <w:rsid w:val="00FD1EC8"/>
    <w:rsid w:val="00FF056B"/>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C270C"/>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C270C"/>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hps">
    <w:name w:val="hps"/>
    <w:rsid w:val="0098350B"/>
  </w:style>
  <w:style w:type="paragraph" w:styleId="PargrafodaLista">
    <w:name w:val="List Paragraph"/>
    <w:basedOn w:val="Normal"/>
    <w:uiPriority w:val="34"/>
    <w:qFormat/>
    <w:rsid w:val="00CA6FAC"/>
    <w:pPr>
      <w:tabs>
        <w:tab w:val="clear" w:pos="7100"/>
      </w:tabs>
      <w:spacing w:line="240" w:lineRule="auto"/>
      <w:ind w:left="720"/>
      <w:contextualSpacing/>
      <w:jc w:val="left"/>
    </w:pPr>
    <w:rPr>
      <w:rFonts w:ascii="Times New Roman" w:hAnsi="Times New Roman"/>
      <w:sz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FE1EE-E32E-4F29-BE9E-38438807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3992</Words>
  <Characters>21557</Characters>
  <Application>Microsoft Office Word</Application>
  <DocSecurity>0</DocSecurity>
  <Lines>179</Lines>
  <Paragraphs>50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Beatriz_Tecnica_LEAQ</cp:lastModifiedBy>
  <cp:revision>32</cp:revision>
  <cp:lastPrinted>2015-05-12T18:31:00Z</cp:lastPrinted>
  <dcterms:created xsi:type="dcterms:W3CDTF">2018-12-13T22:08:00Z</dcterms:created>
  <dcterms:modified xsi:type="dcterms:W3CDTF">2019-04-03T14:14:00Z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