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171A74" w:rsidRDefault="000A03B2" w:rsidP="00171A74">
      <w:pPr>
        <w:pStyle w:val="CETBodytext"/>
        <w:rPr>
          <w:lang w:val="en-GB"/>
        </w:rPr>
        <w:sectPr w:rsidR="000A03B2" w:rsidRPr="00171A74">
          <w:type w:val="continuous"/>
          <w:pgSz w:w="11906" w:h="16838" w:code="9"/>
          <w:pgMar w:top="1701" w:right="1418" w:bottom="1701" w:left="1701" w:header="1701" w:footer="0" w:gutter="0"/>
          <w:cols w:space="708"/>
          <w:titlePg/>
          <w:docGrid w:linePitch="360"/>
        </w:sectPr>
      </w:pPr>
    </w:p>
    <w:p w:rsidR="0053778F" w:rsidRPr="000A5031" w:rsidRDefault="0053778F" w:rsidP="00E818BE">
      <w:pPr>
        <w:pStyle w:val="CETAuthors"/>
        <w:spacing w:before="480"/>
        <w:jc w:val="center"/>
        <w:rPr>
          <w:sz w:val="32"/>
          <w:lang w:val="en-US"/>
        </w:rPr>
      </w:pPr>
      <w:r w:rsidRPr="000A5031">
        <w:rPr>
          <w:sz w:val="32"/>
          <w:lang w:val="en-US"/>
        </w:rPr>
        <w:lastRenderedPageBreak/>
        <w:t>Application of Raman Spectroscopy in microfluidic devices for on-line determination of ethanol concentration in water and vegetable oil</w:t>
      </w:r>
    </w:p>
    <w:p w:rsidR="0053778F" w:rsidRPr="00B63558" w:rsidRDefault="0053778F" w:rsidP="00B63558">
      <w:pPr>
        <w:pStyle w:val="CETAddress"/>
        <w:jc w:val="both"/>
        <w:rPr>
          <w:sz w:val="24"/>
          <w:lang w:val="pt-BR"/>
        </w:rPr>
      </w:pPr>
      <w:r w:rsidRPr="000A5031">
        <w:rPr>
          <w:sz w:val="24"/>
          <w:lang w:val="pt-BR"/>
        </w:rPr>
        <w:t>Adriano G.P. da Silva, Harrson S. Santana</w:t>
      </w:r>
      <w:r>
        <w:rPr>
          <w:sz w:val="24"/>
          <w:lang w:val="pt-BR"/>
        </w:rPr>
        <w:t>*</w:t>
      </w:r>
      <w:r w:rsidRPr="000A5031">
        <w:rPr>
          <w:sz w:val="24"/>
          <w:lang w:val="pt-BR"/>
        </w:rPr>
        <w:t>, Rodrigo Bagarolo,</w:t>
      </w:r>
      <w:r>
        <w:rPr>
          <w:sz w:val="24"/>
          <w:lang w:val="pt-BR"/>
        </w:rPr>
        <w:t xml:space="preserve"> </w:t>
      </w:r>
      <w:r w:rsidRPr="001F0211">
        <w:rPr>
          <w:sz w:val="24"/>
          <w:lang w:val="pt-BR"/>
        </w:rPr>
        <w:t xml:space="preserve">Alan C. Rodrigues, </w:t>
      </w:r>
      <w:r w:rsidRPr="000A5031">
        <w:rPr>
          <w:sz w:val="24"/>
          <w:lang w:val="pt-BR"/>
        </w:rPr>
        <w:t>Guilherme J. Castilho, Marco A. Cremasco and Osvaldir P. Taranto</w:t>
      </w:r>
    </w:p>
    <w:p w:rsidR="0053778F" w:rsidRPr="001F0211" w:rsidRDefault="0053778F" w:rsidP="0053778F">
      <w:pPr>
        <w:pStyle w:val="CETAddress"/>
      </w:pPr>
      <w:r w:rsidRPr="001F0211">
        <w:t xml:space="preserve">School of Chemical Engineering, University of Campinas, 13083-852, Campinas, SP, Brazil </w:t>
      </w:r>
    </w:p>
    <w:p w:rsidR="0053778F" w:rsidRPr="00005A6A" w:rsidRDefault="0053778F" w:rsidP="0053778F">
      <w:pPr>
        <w:pStyle w:val="CETemail"/>
        <w:rPr>
          <w:lang w:val="en-US"/>
        </w:rPr>
      </w:pPr>
      <w:r w:rsidRPr="00005A6A">
        <w:rPr>
          <w:lang w:val="en-US"/>
        </w:rPr>
        <w:t xml:space="preserve">harrison.santana@gmail.com </w:t>
      </w:r>
    </w:p>
    <w:p w:rsidR="00B63558" w:rsidRPr="007E2639" w:rsidRDefault="0053778F" w:rsidP="007E2639">
      <w:pPr>
        <w:rPr>
          <w:rFonts w:cs="Arial"/>
          <w:szCs w:val="18"/>
          <w:lang w:val="en-US"/>
        </w:rPr>
      </w:pPr>
      <w:r w:rsidRPr="00B7473E">
        <w:rPr>
          <w:rFonts w:cs="Arial"/>
          <w:szCs w:val="18"/>
          <w:lang w:val="en-US"/>
        </w:rPr>
        <w:t xml:space="preserve">Microfluidic devices have presented some advantages when compared to conventional </w:t>
      </w:r>
      <w:r>
        <w:rPr>
          <w:rFonts w:cs="Arial"/>
          <w:szCs w:val="18"/>
          <w:lang w:val="en-US"/>
        </w:rPr>
        <w:t xml:space="preserve">processes. The major advantages </w:t>
      </w:r>
      <w:r w:rsidRPr="00B7473E">
        <w:rPr>
          <w:rFonts w:cs="Arial"/>
          <w:szCs w:val="18"/>
          <w:lang w:val="en-US"/>
        </w:rPr>
        <w:t>include the use of reduced amounts of reagents and samples, shorter reaction times, lower manufacturing cost, higher surface area versus volume, higher heat / mass transfer, and greater control over field strengths and concentration of molecules. These devices have been used in a variety of applications including, but not limited to, chemical and biological sensors and chemical processes. To identify molecules and/or compounds, the components are usually identified by techniques characterized as off-line, with the need for sample withdrawals, which in many cases do not allow real-time monitoring of the process. Some alternative techniques such as Raman spectroscopy allow the real-time monitoring of chemical processes being a viable alternative to monitor and quantify chemical species</w:t>
      </w:r>
      <w:r w:rsidRPr="00B7473E">
        <w:rPr>
          <w:rStyle w:val="hps"/>
          <w:rFonts w:cs="Arial"/>
          <w:szCs w:val="18"/>
          <w:lang w:val="en-US"/>
        </w:rPr>
        <w:t xml:space="preserve">. Thus, this paper evaluates the use of Raman spectroscopy to monitor and quantify the concentration of ethanol in a </w:t>
      </w:r>
      <w:r>
        <w:rPr>
          <w:rStyle w:val="hps"/>
          <w:rFonts w:cs="Arial"/>
          <w:szCs w:val="18"/>
          <w:lang w:val="en-US"/>
        </w:rPr>
        <w:t>PDMS</w:t>
      </w:r>
      <w:r w:rsidR="00171A74">
        <w:rPr>
          <w:rStyle w:val="hps"/>
          <w:rFonts w:cs="Arial"/>
          <w:szCs w:val="18"/>
          <w:lang w:val="en-US"/>
        </w:rPr>
        <w:t xml:space="preserve"> </w:t>
      </w:r>
      <w:r w:rsidR="00171A74" w:rsidRPr="00171A74">
        <w:rPr>
          <w:rStyle w:val="hps"/>
          <w:rFonts w:cs="Arial"/>
          <w:szCs w:val="18"/>
          <w:lang w:val="en-US"/>
        </w:rPr>
        <w:t>(</w:t>
      </w:r>
      <w:r w:rsidR="00171A74" w:rsidRPr="00171A74">
        <w:rPr>
          <w:rFonts w:cs="Arial"/>
          <w:bCs/>
          <w:color w:val="222222"/>
          <w:shd w:val="clear" w:color="auto" w:fill="FFFFFF"/>
        </w:rPr>
        <w:t>Polydimethylsiloxane)</w:t>
      </w:r>
      <w:r>
        <w:rPr>
          <w:rStyle w:val="hps"/>
          <w:rFonts w:cs="Arial"/>
          <w:szCs w:val="18"/>
          <w:lang w:val="en-US"/>
        </w:rPr>
        <w:t xml:space="preserve"> </w:t>
      </w:r>
      <w:r w:rsidRPr="00B7473E">
        <w:rPr>
          <w:rStyle w:val="hps"/>
          <w:rFonts w:cs="Arial"/>
          <w:szCs w:val="18"/>
          <w:lang w:val="en-US"/>
        </w:rPr>
        <w:t>microfluidic device in two differe</w:t>
      </w:r>
      <w:r>
        <w:rPr>
          <w:rStyle w:val="hps"/>
          <w:rFonts w:cs="Arial"/>
          <w:szCs w:val="18"/>
          <w:lang w:val="en-US"/>
        </w:rPr>
        <w:t xml:space="preserve">nt mixtures of compounds: water/ethanol </w:t>
      </w:r>
      <w:r w:rsidR="005D5E6F">
        <w:rPr>
          <w:rStyle w:val="hps"/>
          <w:rFonts w:cs="Arial"/>
          <w:szCs w:val="18"/>
          <w:lang w:val="en-US"/>
        </w:rPr>
        <w:t>(</w:t>
      </w:r>
      <w:r w:rsidR="005D5E6F" w:rsidRPr="005D5E6F">
        <w:rPr>
          <w:rStyle w:val="hps"/>
          <w:rFonts w:cs="Arial"/>
          <w:szCs w:val="18"/>
          <w:lang w:val="en-US"/>
        </w:rPr>
        <w:t xml:space="preserve">for control and predictive ability of the </w:t>
      </w:r>
      <w:r w:rsidR="00FC5B9B">
        <w:rPr>
          <w:rStyle w:val="hps"/>
          <w:rFonts w:cs="Arial"/>
          <w:szCs w:val="18"/>
          <w:lang w:val="en-US"/>
        </w:rPr>
        <w:t>spectrometer</w:t>
      </w:r>
      <w:r w:rsidR="005D5E6F">
        <w:rPr>
          <w:rStyle w:val="hps"/>
          <w:rFonts w:cs="Arial"/>
          <w:szCs w:val="18"/>
          <w:lang w:val="en-US"/>
        </w:rPr>
        <w:t xml:space="preserve">) </w:t>
      </w:r>
      <w:r>
        <w:rPr>
          <w:rStyle w:val="hps"/>
          <w:rFonts w:cs="Arial"/>
          <w:szCs w:val="18"/>
          <w:lang w:val="en-US"/>
        </w:rPr>
        <w:t>and vegetable oil/</w:t>
      </w:r>
      <w:r w:rsidRPr="00B7473E">
        <w:rPr>
          <w:rStyle w:val="hps"/>
          <w:rFonts w:cs="Arial"/>
          <w:szCs w:val="18"/>
          <w:lang w:val="en-US"/>
        </w:rPr>
        <w:t>ethanol in an online way. Spectra of the blend</w:t>
      </w:r>
      <w:r>
        <w:rPr>
          <w:rStyle w:val="hps"/>
          <w:rFonts w:cs="Arial"/>
          <w:szCs w:val="18"/>
          <w:lang w:val="en-US"/>
        </w:rPr>
        <w:t xml:space="preserve">s were </w:t>
      </w:r>
      <w:r w:rsidRPr="00B7473E">
        <w:rPr>
          <w:rStyle w:val="hps"/>
          <w:rFonts w:cs="Arial"/>
          <w:szCs w:val="18"/>
          <w:lang w:val="en-US"/>
        </w:rPr>
        <w:t xml:space="preserve">obtained in glass beaker (batch) and during the flow process in the microdevice (in situ). </w:t>
      </w:r>
      <w:r w:rsidRPr="0061203F">
        <w:rPr>
          <w:rStyle w:val="hps"/>
          <w:rFonts w:cs="Arial"/>
          <w:szCs w:val="18"/>
          <w:lang w:val="en-US"/>
        </w:rPr>
        <w:t>Through multivariate analysis of the data, PLS</w:t>
      </w:r>
      <w:r w:rsidR="00094A65">
        <w:rPr>
          <w:rStyle w:val="hps"/>
          <w:rFonts w:cs="Arial"/>
          <w:szCs w:val="18"/>
          <w:lang w:val="en-US"/>
        </w:rPr>
        <w:t xml:space="preserve"> (partial least squares)</w:t>
      </w:r>
      <w:r w:rsidRPr="0061203F">
        <w:rPr>
          <w:rStyle w:val="hps"/>
          <w:rFonts w:cs="Arial"/>
          <w:szCs w:val="18"/>
          <w:lang w:val="en-US"/>
        </w:rPr>
        <w:t xml:space="preserve"> models were</w:t>
      </w:r>
      <w:r>
        <w:rPr>
          <w:rStyle w:val="hps"/>
          <w:rFonts w:cs="Arial"/>
          <w:szCs w:val="18"/>
          <w:lang w:val="en-US"/>
        </w:rPr>
        <w:t xml:space="preserve"> constructed. </w:t>
      </w:r>
      <w:r w:rsidRPr="00AE3C62">
        <w:rPr>
          <w:rStyle w:val="hps"/>
          <w:rFonts w:cs="Arial"/>
          <w:szCs w:val="18"/>
          <w:lang w:val="en-US"/>
        </w:rPr>
        <w:t xml:space="preserve">It was possible to demonstrate the on-line detection of ethanol concentration in water and vegetable oil in </w:t>
      </w:r>
      <w:r>
        <w:rPr>
          <w:rStyle w:val="hps"/>
          <w:rFonts w:cs="Arial"/>
          <w:szCs w:val="18"/>
          <w:lang w:val="en-US"/>
        </w:rPr>
        <w:t>PDMS microfluidic device</w:t>
      </w:r>
      <w:r w:rsidRPr="00AE3C62">
        <w:rPr>
          <w:rStyle w:val="hps"/>
          <w:rFonts w:cs="Arial"/>
          <w:szCs w:val="18"/>
          <w:lang w:val="en-US"/>
        </w:rPr>
        <w:t xml:space="preserve"> with excellent coefficients of determination (&gt; 0.9) and with an analysis time of 45 s.</w:t>
      </w:r>
    </w:p>
    <w:p w:rsidR="0053778F" w:rsidRDefault="0053778F" w:rsidP="0053778F">
      <w:pPr>
        <w:pStyle w:val="CETHeading1"/>
        <w:rPr>
          <w:sz w:val="18"/>
          <w:szCs w:val="18"/>
        </w:rPr>
      </w:pPr>
      <w:r w:rsidRPr="009521AF">
        <w:rPr>
          <w:sz w:val="18"/>
          <w:szCs w:val="18"/>
        </w:rPr>
        <w:t>Introduction</w:t>
      </w:r>
    </w:p>
    <w:p w:rsidR="00D3463E" w:rsidRDefault="0053778F" w:rsidP="00D3463E">
      <w:pPr>
        <w:pStyle w:val="CETBodytext"/>
      </w:pPr>
      <w:r w:rsidRPr="00252390">
        <w:t>Ethanol is one of the organic components with important relevance that is present in several chemical and biological processes, as is the case of fermentation processes and production of biofuels</w:t>
      </w:r>
      <w:r>
        <w:t xml:space="preserve"> </w:t>
      </w:r>
      <w:r w:rsidRPr="001F0211">
        <w:t xml:space="preserve">(Samsudin et al., 2017; </w:t>
      </w:r>
      <w:r>
        <w:t>Mutenure et al., 2016)</w:t>
      </w:r>
      <w:r w:rsidRPr="00252390">
        <w:t>. The use of microfluidics in the investigation of these processes is mainly justified by the reduction of the reaction time and by the low amount of reagents used</w:t>
      </w:r>
      <w:r>
        <w:t xml:space="preserve"> (Santana et al., 2017)</w:t>
      </w:r>
      <w:r w:rsidR="00D3463E">
        <w:t xml:space="preserve">, </w:t>
      </w:r>
      <w:r w:rsidR="00D3463E" w:rsidRPr="00252390">
        <w:t>which necessitates in-situ analytical methods of monitoring that provide rapid responses and high prediction</w:t>
      </w:r>
      <w:r w:rsidR="00D3463E" w:rsidRPr="00D3463E">
        <w:t xml:space="preserve"> </w:t>
      </w:r>
      <w:r w:rsidR="00D3463E">
        <w:t>(</w:t>
      </w:r>
      <w:r w:rsidR="00D3463E">
        <w:t>Kant and Abalde-Cela, 2018</w:t>
      </w:r>
      <w:r w:rsidR="00D3463E">
        <w:t>)</w:t>
      </w:r>
      <w:r w:rsidR="00D3463E" w:rsidRPr="00252390">
        <w:t>. Most of the time these analyzes are done by offline measurements, leading to the need for constant sample withdrawals and an increase in response time.</w:t>
      </w:r>
    </w:p>
    <w:p w:rsidR="00D3463E" w:rsidRDefault="00D3463E" w:rsidP="00D3463E">
      <w:pPr>
        <w:pStyle w:val="CETBodytext"/>
      </w:pPr>
      <w:r w:rsidRPr="004B645E">
        <w:t>Raman spectroscopy is a technique based on the inelastic Raman dispersion of monochromatic laser light, which varies from visible to near ultraviolet. Laser interacts with molecular vibrations, phonons or other excitations that result in energy changes of the laser photons, providing information on vibrational modes. Raman spectroscopy has often been used for the direct identification and interpretation of different molecules. One of the most significant advantages of Raman spectroscopy is the ability to provide important information easily and quickly, with minimal sample handling problems, being a non-destructive technique</w:t>
      </w:r>
      <w:r>
        <w:t xml:space="preserve"> (Goh et al., 2017).</w:t>
      </w:r>
    </w:p>
    <w:p w:rsidR="0053778F" w:rsidRPr="004B645E" w:rsidRDefault="00D3463E" w:rsidP="00D3463E">
      <w:pPr>
        <w:pStyle w:val="CETBodytext"/>
      </w:pPr>
      <w:r w:rsidRPr="0070518A">
        <w:t>Thus, the objective of this work was to apply Raman spectroscopy in the monitoring and quantification of the concentration of ethanol in a PDMS microfluidic device in two different mixtures of compounds: water / ethanol and vegetable oil / ethanol</w:t>
      </w:r>
      <w:r w:rsidR="001345EC">
        <w:t xml:space="preserve"> (</w:t>
      </w:r>
      <w:r w:rsidR="001345EC" w:rsidRPr="001345EC">
        <w:t>used in biodiesel synthesis</w:t>
      </w:r>
      <w:r w:rsidR="001345EC">
        <w:t>)</w:t>
      </w:r>
      <w:r w:rsidRPr="0070518A">
        <w:t xml:space="preserve"> in an online way</w:t>
      </w:r>
      <w:r>
        <w:t xml:space="preserve"> (</w:t>
      </w:r>
      <w:r>
        <w:rPr>
          <w:rFonts w:cs="Arial"/>
          <w:szCs w:val="18"/>
        </w:rPr>
        <w:t>in-situ analysis</w:t>
      </w:r>
      <w:r>
        <w:t>)</w:t>
      </w:r>
      <w:r w:rsidRPr="0070518A">
        <w:t>.</w:t>
      </w:r>
    </w:p>
    <w:p w:rsidR="0053778F" w:rsidRPr="009521AF" w:rsidRDefault="0053778F" w:rsidP="0053778F">
      <w:pPr>
        <w:pStyle w:val="CETHeading1"/>
        <w:rPr>
          <w:sz w:val="18"/>
          <w:szCs w:val="18"/>
        </w:rPr>
      </w:pPr>
      <w:r w:rsidRPr="009521AF">
        <w:rPr>
          <w:sz w:val="18"/>
          <w:szCs w:val="18"/>
        </w:rPr>
        <w:lastRenderedPageBreak/>
        <w:t>Material and methods</w:t>
      </w:r>
    </w:p>
    <w:p w:rsidR="0053778F" w:rsidRPr="00BC2F31" w:rsidRDefault="0053778F" w:rsidP="0053778F">
      <w:pPr>
        <w:pStyle w:val="CETheadingx"/>
        <w:numPr>
          <w:ilvl w:val="1"/>
          <w:numId w:val="23"/>
        </w:numPr>
      </w:pPr>
      <w:r w:rsidRPr="00BC2F31">
        <w:t>Chemical and samples</w:t>
      </w:r>
    </w:p>
    <w:p w:rsidR="0053778F" w:rsidRDefault="0053778F" w:rsidP="0053778F">
      <w:pPr>
        <w:pStyle w:val="PargrafodaLista"/>
        <w:ind w:left="0"/>
        <w:rPr>
          <w:rFonts w:cs="Arial"/>
          <w:szCs w:val="18"/>
          <w:lang w:val="en-US"/>
        </w:rPr>
      </w:pPr>
      <w:r w:rsidRPr="00CE4F70">
        <w:rPr>
          <w:rFonts w:cs="Arial"/>
          <w:szCs w:val="18"/>
          <w:lang w:val="en-US"/>
        </w:rPr>
        <w:t>Ethanol (99.5%) obtained by Synth (São Paulo, Brazil) and refined soybean oil produced by Liza (</w:t>
      </w:r>
      <w:r>
        <w:rPr>
          <w:rFonts w:cs="Arial"/>
          <w:szCs w:val="18"/>
          <w:lang w:val="en-US"/>
        </w:rPr>
        <w:t xml:space="preserve">São Paulo, </w:t>
      </w:r>
      <w:r w:rsidRPr="00CE4F70">
        <w:rPr>
          <w:rFonts w:cs="Arial"/>
          <w:szCs w:val="18"/>
          <w:lang w:val="en-US"/>
        </w:rPr>
        <w:t>Brazil) were us</w:t>
      </w:r>
      <w:r>
        <w:rPr>
          <w:rFonts w:cs="Arial"/>
          <w:szCs w:val="18"/>
          <w:lang w:val="en-US"/>
        </w:rPr>
        <w:t>ed. Standard samples of ethanol/water and ethanol/</w:t>
      </w:r>
      <w:r w:rsidRPr="00CE4F70">
        <w:rPr>
          <w:rFonts w:cs="Arial"/>
          <w:szCs w:val="18"/>
          <w:lang w:val="en-US"/>
        </w:rPr>
        <w:t>oil were prepared to construct the calibration curve composed of 10 sample</w:t>
      </w:r>
      <w:r>
        <w:rPr>
          <w:rFonts w:cs="Arial"/>
          <w:szCs w:val="18"/>
          <w:lang w:val="en-US"/>
        </w:rPr>
        <w:t>s (10-100% ethanol) for ethanol/</w:t>
      </w:r>
      <w:r w:rsidRPr="00CE4F70">
        <w:rPr>
          <w:rFonts w:cs="Arial"/>
          <w:szCs w:val="18"/>
          <w:lang w:val="en-US"/>
        </w:rPr>
        <w:t>water mixtures and</w:t>
      </w:r>
      <w:r>
        <w:rPr>
          <w:rFonts w:cs="Arial"/>
          <w:szCs w:val="18"/>
          <w:lang w:val="en-US"/>
        </w:rPr>
        <w:t xml:space="preserve"> (6-15 molar ratio) for ethanol/</w:t>
      </w:r>
      <w:r w:rsidRPr="00CE4F70">
        <w:rPr>
          <w:rFonts w:cs="Arial"/>
          <w:szCs w:val="18"/>
          <w:lang w:val="en-US"/>
        </w:rPr>
        <w:t>oil</w:t>
      </w:r>
      <w:r>
        <w:rPr>
          <w:rFonts w:cs="Arial"/>
          <w:szCs w:val="18"/>
          <w:lang w:val="en-US"/>
        </w:rPr>
        <w:t>.</w:t>
      </w:r>
    </w:p>
    <w:p w:rsidR="00B63558" w:rsidRPr="00B63558" w:rsidRDefault="00B63558" w:rsidP="0053778F">
      <w:pPr>
        <w:pStyle w:val="PargrafodaLista"/>
        <w:ind w:left="0"/>
        <w:rPr>
          <w:rFonts w:cs="Arial"/>
          <w:szCs w:val="18"/>
          <w:lang w:val="en-US"/>
        </w:rPr>
      </w:pPr>
    </w:p>
    <w:p w:rsidR="0053778F" w:rsidRPr="00BC2F31" w:rsidRDefault="0053778F" w:rsidP="0053778F">
      <w:pPr>
        <w:pStyle w:val="PargrafodaLista"/>
        <w:numPr>
          <w:ilvl w:val="1"/>
          <w:numId w:val="23"/>
        </w:numPr>
        <w:rPr>
          <w:rFonts w:cs="Arial"/>
          <w:b/>
          <w:szCs w:val="18"/>
          <w:lang w:val="en-US"/>
        </w:rPr>
      </w:pPr>
      <w:r w:rsidRPr="00BC2F31">
        <w:rPr>
          <w:rFonts w:cs="Arial"/>
          <w:b/>
          <w:szCs w:val="18"/>
          <w:lang w:val="en-US"/>
        </w:rPr>
        <w:t xml:space="preserve"> Instrumentation</w:t>
      </w:r>
    </w:p>
    <w:p w:rsidR="0053778F" w:rsidRDefault="0053778F" w:rsidP="0053778F">
      <w:pPr>
        <w:rPr>
          <w:rFonts w:cs="Arial"/>
          <w:b/>
          <w:szCs w:val="18"/>
          <w:lang w:val="en-US"/>
        </w:rPr>
      </w:pPr>
    </w:p>
    <w:p w:rsidR="0053778F" w:rsidRDefault="0053778F" w:rsidP="0053778F">
      <w:pPr>
        <w:rPr>
          <w:rFonts w:cs="Arial"/>
          <w:szCs w:val="18"/>
          <w:lang w:val="en-US"/>
        </w:rPr>
      </w:pPr>
      <w:r w:rsidRPr="004A6950">
        <w:rPr>
          <w:rFonts w:cs="Arial"/>
          <w:szCs w:val="18"/>
          <w:lang w:val="en-US"/>
        </w:rPr>
        <w:t>Raman spectra were collected on a</w:t>
      </w:r>
      <w:r w:rsidR="00D94880">
        <w:rPr>
          <w:rFonts w:cs="Arial"/>
          <w:szCs w:val="18"/>
          <w:lang w:val="en-US"/>
        </w:rPr>
        <w:t>n</w:t>
      </w:r>
      <w:r w:rsidRPr="004A6950">
        <w:rPr>
          <w:rFonts w:cs="Arial"/>
          <w:szCs w:val="18"/>
          <w:lang w:val="en-US"/>
        </w:rPr>
        <w:t xml:space="preserve"> Avantes Spectrometer</w:t>
      </w:r>
      <w:r>
        <w:rPr>
          <w:rFonts w:cs="Arial"/>
          <w:szCs w:val="18"/>
          <w:lang w:val="en-US"/>
        </w:rPr>
        <w:t xml:space="preserve"> (AvaSpec-ULS2048l-TEC-RS-USB2) with laser of 785 nm</w:t>
      </w:r>
      <w:r w:rsidRPr="004A6950">
        <w:rPr>
          <w:rFonts w:cs="Arial"/>
          <w:szCs w:val="18"/>
          <w:lang w:val="en-US"/>
        </w:rPr>
        <w:t>. The data were recorded at room temperature in the spectral range of 250-1</w:t>
      </w:r>
      <w:r>
        <w:rPr>
          <w:rFonts w:cs="Arial"/>
          <w:szCs w:val="18"/>
          <w:lang w:val="en-US"/>
        </w:rPr>
        <w:t>700</w:t>
      </w:r>
      <w:r w:rsidRPr="004A6950">
        <w:rPr>
          <w:rFonts w:cs="Arial"/>
          <w:szCs w:val="18"/>
          <w:lang w:val="en-US"/>
        </w:rPr>
        <w:t xml:space="preserve"> cm</w:t>
      </w:r>
      <w:r w:rsidRPr="004A6950">
        <w:rPr>
          <w:rFonts w:cs="Arial"/>
          <w:szCs w:val="18"/>
          <w:vertAlign w:val="superscript"/>
          <w:lang w:val="en-US"/>
        </w:rPr>
        <w:t>-1</w:t>
      </w:r>
      <w:r>
        <w:rPr>
          <w:rFonts w:cs="Arial"/>
          <w:szCs w:val="18"/>
          <w:lang w:val="en-US"/>
        </w:rPr>
        <w:t xml:space="preserve"> to ethanol/water </w:t>
      </w:r>
      <w:r w:rsidRPr="00AB5FAE">
        <w:rPr>
          <w:rFonts w:cs="Arial"/>
          <w:szCs w:val="18"/>
          <w:lang w:val="en-US"/>
        </w:rPr>
        <w:t>and 800-1800 cm</w:t>
      </w:r>
      <w:r w:rsidRPr="00AB5FAE">
        <w:rPr>
          <w:rFonts w:cs="Arial"/>
          <w:szCs w:val="18"/>
          <w:vertAlign w:val="superscript"/>
          <w:lang w:val="en-US"/>
        </w:rPr>
        <w:t>-1</w:t>
      </w:r>
      <w:r w:rsidRPr="00AB5FAE">
        <w:rPr>
          <w:rFonts w:cs="Arial"/>
          <w:szCs w:val="18"/>
          <w:lang w:val="en-US"/>
        </w:rPr>
        <w:t xml:space="preserve"> to ethanol/oil</w:t>
      </w:r>
      <w:r>
        <w:rPr>
          <w:rFonts w:cs="Arial"/>
          <w:szCs w:val="18"/>
          <w:lang w:val="en-US"/>
        </w:rPr>
        <w:t>.</w:t>
      </w:r>
      <w:r w:rsidRPr="004A6950">
        <w:rPr>
          <w:rFonts w:cs="Arial"/>
          <w:szCs w:val="18"/>
          <w:lang w:val="en-US"/>
        </w:rPr>
        <w:t xml:space="preserve"> The laser potency was 880 mV with integration time of 15 s and 3 averages</w:t>
      </w:r>
      <w:r>
        <w:rPr>
          <w:rFonts w:cs="Arial"/>
          <w:szCs w:val="18"/>
          <w:lang w:val="en-US"/>
        </w:rPr>
        <w:t>, totaling 45 s</w:t>
      </w:r>
      <w:r w:rsidRPr="004A6950">
        <w:rPr>
          <w:rFonts w:cs="Arial"/>
          <w:szCs w:val="18"/>
          <w:lang w:val="en-US"/>
        </w:rPr>
        <w:t>. In the bat</w:t>
      </w:r>
      <w:r>
        <w:rPr>
          <w:rFonts w:cs="Arial"/>
          <w:szCs w:val="18"/>
          <w:lang w:val="en-US"/>
        </w:rPr>
        <w:t>c</w:t>
      </w:r>
      <w:r w:rsidRPr="004A6950">
        <w:rPr>
          <w:rFonts w:cs="Arial"/>
          <w:szCs w:val="18"/>
          <w:lang w:val="en-US"/>
        </w:rPr>
        <w:t xml:space="preserve">h way, the samples were placed in a </w:t>
      </w:r>
      <w:r>
        <w:rPr>
          <w:rFonts w:cs="Arial"/>
          <w:szCs w:val="18"/>
          <w:lang w:val="en-US"/>
        </w:rPr>
        <w:t>glass beaker</w:t>
      </w:r>
      <w:r w:rsidRPr="004A6950">
        <w:rPr>
          <w:rFonts w:cs="Arial"/>
          <w:szCs w:val="18"/>
          <w:lang w:val="en-US"/>
        </w:rPr>
        <w:t xml:space="preserve"> to obtain the spectra. The laser was positioned above the liquid level at a height of approximately 9 mm.</w:t>
      </w:r>
      <w:r>
        <w:rPr>
          <w:rFonts w:cs="Arial"/>
          <w:szCs w:val="18"/>
          <w:lang w:val="en-US"/>
        </w:rPr>
        <w:t xml:space="preserve"> </w:t>
      </w:r>
      <w:r w:rsidRPr="00C8010E">
        <w:rPr>
          <w:rFonts w:cs="Arial"/>
          <w:szCs w:val="18"/>
          <w:lang w:val="en-US"/>
        </w:rPr>
        <w:t>Samples of ethanol</w:t>
      </w:r>
      <w:r>
        <w:rPr>
          <w:rFonts w:cs="Arial"/>
          <w:szCs w:val="18"/>
          <w:lang w:val="en-US"/>
        </w:rPr>
        <w:t>/</w:t>
      </w:r>
      <w:r w:rsidRPr="00C8010E">
        <w:rPr>
          <w:rFonts w:cs="Arial"/>
          <w:szCs w:val="18"/>
          <w:lang w:val="en-US"/>
        </w:rPr>
        <w:t>oil were analyzed by Raman with constant stirring.</w:t>
      </w:r>
      <w:r>
        <w:rPr>
          <w:rFonts w:cs="Arial"/>
          <w:szCs w:val="18"/>
          <w:lang w:val="en-US"/>
        </w:rPr>
        <w:t xml:space="preserve"> </w:t>
      </w:r>
      <w:r w:rsidRPr="004A6950">
        <w:rPr>
          <w:rFonts w:cs="Arial"/>
          <w:szCs w:val="18"/>
          <w:lang w:val="en-US"/>
        </w:rPr>
        <w:t>The</w:t>
      </w:r>
      <w:r>
        <w:rPr>
          <w:rFonts w:cs="Arial"/>
          <w:szCs w:val="18"/>
          <w:lang w:val="en-US"/>
        </w:rPr>
        <w:t xml:space="preserve"> in-situ analysis </w:t>
      </w:r>
      <w:r w:rsidRPr="004A6950">
        <w:rPr>
          <w:rFonts w:cs="Arial"/>
          <w:szCs w:val="18"/>
          <w:lang w:val="en-US"/>
        </w:rPr>
        <w:t xml:space="preserve">was performed </w:t>
      </w:r>
      <w:r>
        <w:rPr>
          <w:rFonts w:cs="Arial"/>
          <w:szCs w:val="18"/>
          <w:lang w:val="en-US"/>
        </w:rPr>
        <w:t xml:space="preserve">using </w:t>
      </w:r>
      <w:r w:rsidRPr="001F0211">
        <w:rPr>
          <w:rFonts w:cs="Arial"/>
          <w:szCs w:val="18"/>
          <w:lang w:val="en-US"/>
        </w:rPr>
        <w:t xml:space="preserve">a microfluidic device (Figure 1), made in our laboratory by the ESCARGOT method (Saggiomo and Velders, 2015). </w:t>
      </w:r>
      <w:r>
        <w:rPr>
          <w:rFonts w:cs="Arial"/>
          <w:szCs w:val="18"/>
          <w:lang w:val="en-US"/>
        </w:rPr>
        <w:t>A</w:t>
      </w:r>
      <w:r w:rsidRPr="005F233C">
        <w:rPr>
          <w:rFonts w:cs="Arial"/>
          <w:szCs w:val="18"/>
          <w:lang w:val="en-US"/>
        </w:rPr>
        <w:t xml:space="preserve"> 1 mm diameter microchannel was u</w:t>
      </w:r>
      <w:r>
        <w:rPr>
          <w:rFonts w:cs="Arial"/>
          <w:szCs w:val="18"/>
          <w:lang w:val="en-US"/>
        </w:rPr>
        <w:t xml:space="preserve">sed for the flow of the samples. </w:t>
      </w:r>
      <w:r w:rsidRPr="005F233C">
        <w:rPr>
          <w:rFonts w:cs="Arial"/>
          <w:szCs w:val="18"/>
          <w:lang w:val="en-US"/>
        </w:rPr>
        <w:t>The</w:t>
      </w:r>
      <w:r>
        <w:rPr>
          <w:rFonts w:cs="Arial"/>
          <w:szCs w:val="18"/>
          <w:lang w:val="en-US"/>
        </w:rPr>
        <w:t xml:space="preserve"> raman</w:t>
      </w:r>
      <w:r w:rsidRPr="005F233C">
        <w:rPr>
          <w:rFonts w:cs="Arial"/>
          <w:szCs w:val="18"/>
          <w:lang w:val="en-US"/>
        </w:rPr>
        <w:t xml:space="preserve"> laser was positioned on the upper surface of the microchannel</w:t>
      </w:r>
      <w:r>
        <w:rPr>
          <w:rFonts w:cs="Arial"/>
          <w:szCs w:val="18"/>
          <w:lang w:val="en-US"/>
        </w:rPr>
        <w:t>.</w:t>
      </w:r>
      <w:r w:rsidRPr="00C8010E">
        <w:t xml:space="preserve"> </w:t>
      </w:r>
      <w:r>
        <w:rPr>
          <w:rFonts w:cs="Arial"/>
          <w:szCs w:val="18"/>
          <w:lang w:val="en-US"/>
        </w:rPr>
        <w:t xml:space="preserve">The samples were </w:t>
      </w:r>
      <w:r w:rsidRPr="00C8010E">
        <w:rPr>
          <w:rFonts w:cs="Arial"/>
          <w:szCs w:val="18"/>
          <w:lang w:val="en-US"/>
        </w:rPr>
        <w:t>transferred to the microdevice through a peristaltic pump</w:t>
      </w:r>
      <w:r>
        <w:rPr>
          <w:rFonts w:cs="Arial"/>
          <w:szCs w:val="18"/>
          <w:lang w:val="en-US"/>
        </w:rPr>
        <w:t xml:space="preserve"> (Masterflex 7518-10)</w:t>
      </w:r>
      <w:r w:rsidRPr="00C8010E">
        <w:rPr>
          <w:rFonts w:cs="Arial"/>
          <w:szCs w:val="18"/>
          <w:lang w:val="en-US"/>
        </w:rPr>
        <w:t xml:space="preserve"> at the flow rate of 0.6 mL min</w:t>
      </w:r>
      <w:r w:rsidRPr="00394BED">
        <w:rPr>
          <w:rFonts w:cs="Arial"/>
          <w:szCs w:val="18"/>
          <w:vertAlign w:val="superscript"/>
          <w:lang w:val="en-US"/>
        </w:rPr>
        <w:t>-1</w:t>
      </w:r>
      <w:r>
        <w:rPr>
          <w:rFonts w:cs="Arial"/>
          <w:szCs w:val="18"/>
          <w:lang w:val="en-US"/>
        </w:rPr>
        <w:t>.</w:t>
      </w:r>
    </w:p>
    <w:p w:rsidR="0053778F" w:rsidRDefault="0053778F" w:rsidP="0053778F">
      <w:pPr>
        <w:jc w:val="center"/>
        <w:rPr>
          <w:rFonts w:cs="Arial"/>
          <w:szCs w:val="18"/>
          <w:lang w:val="en-US"/>
        </w:rPr>
      </w:pPr>
      <w:r>
        <w:rPr>
          <w:rFonts w:cs="Arial"/>
          <w:noProof/>
          <w:szCs w:val="18"/>
          <w:lang w:val="pt-BR" w:eastAsia="pt-BR"/>
        </w:rPr>
        <w:drawing>
          <wp:inline distT="0" distB="0" distL="0" distR="0" wp14:anchorId="68A0C83E" wp14:editId="7B2EED8D">
            <wp:extent cx="2835278" cy="1663873"/>
            <wp:effectExtent l="0" t="0" r="3175" b="0"/>
            <wp:docPr id="7" name="Imagem 7" descr="G:\Meu Drive\Pós-Doutorado\1 - ICheaP 14\Artigo_Raman\Figure\IMG_20181130_122738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u Drive\Pós-Doutorado\1 - ICheaP 14\Artigo_Raman\Figure\IMG_20181130_12273866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094" r="25057" b="17268"/>
                    <a:stretch/>
                  </pic:blipFill>
                  <pic:spPr bwMode="auto">
                    <a:xfrm>
                      <a:off x="0" y="0"/>
                      <a:ext cx="2850822" cy="1672995"/>
                    </a:xfrm>
                    <a:prstGeom prst="rect">
                      <a:avLst/>
                    </a:prstGeom>
                    <a:noFill/>
                    <a:ln>
                      <a:noFill/>
                    </a:ln>
                    <a:extLst>
                      <a:ext uri="{53640926-AAD7-44D8-BBD7-CCE9431645EC}">
                        <a14:shadowObscured xmlns:a14="http://schemas.microsoft.com/office/drawing/2010/main"/>
                      </a:ext>
                    </a:extLst>
                  </pic:spPr>
                </pic:pic>
              </a:graphicData>
            </a:graphic>
          </wp:inline>
        </w:drawing>
      </w:r>
    </w:p>
    <w:p w:rsidR="0053778F" w:rsidRDefault="0053778F" w:rsidP="0053778F">
      <w:pPr>
        <w:rPr>
          <w:rFonts w:cs="Arial"/>
          <w:szCs w:val="18"/>
          <w:lang w:val="en-US"/>
        </w:rPr>
      </w:pPr>
      <w:r>
        <w:rPr>
          <w:rFonts w:cs="Arial"/>
          <w:szCs w:val="18"/>
          <w:lang w:val="en-US"/>
        </w:rPr>
        <w:t xml:space="preserve">Figure 1. </w:t>
      </w:r>
      <w:r w:rsidRPr="00E82972">
        <w:rPr>
          <w:rFonts w:cs="Arial"/>
          <w:szCs w:val="18"/>
          <w:lang w:val="en-US"/>
        </w:rPr>
        <w:t>Microfluidic device for in-situ analysis of water / ethanol and oil / ethanol using Raman</w:t>
      </w:r>
      <w:r>
        <w:rPr>
          <w:rFonts w:cs="Arial"/>
          <w:szCs w:val="18"/>
          <w:lang w:val="en-US"/>
        </w:rPr>
        <w:t xml:space="preserve"> Spectroscopy.</w:t>
      </w:r>
    </w:p>
    <w:p w:rsidR="0053778F" w:rsidRDefault="0053778F" w:rsidP="0053778F">
      <w:pPr>
        <w:pStyle w:val="CETheadingx"/>
        <w:numPr>
          <w:ilvl w:val="1"/>
          <w:numId w:val="23"/>
        </w:numPr>
      </w:pPr>
      <w:r>
        <w:t>Chemometric data analysis</w:t>
      </w:r>
    </w:p>
    <w:p w:rsidR="0053778F" w:rsidRDefault="0053778F" w:rsidP="0053778F">
      <w:pPr>
        <w:pStyle w:val="CETBodytext"/>
        <w:rPr>
          <w:rFonts w:cs="Arial"/>
          <w:szCs w:val="18"/>
        </w:rPr>
      </w:pPr>
      <w:r w:rsidRPr="006B6F47">
        <w:rPr>
          <w:rFonts w:cs="Arial"/>
          <w:szCs w:val="18"/>
        </w:rPr>
        <w:t xml:space="preserve">The </w:t>
      </w:r>
      <w:r>
        <w:rPr>
          <w:rFonts w:cs="Arial"/>
          <w:szCs w:val="18"/>
        </w:rPr>
        <w:t>chemometric</w:t>
      </w:r>
      <w:r w:rsidRPr="006B6F47">
        <w:rPr>
          <w:rFonts w:cs="Arial"/>
          <w:szCs w:val="18"/>
        </w:rPr>
        <w:t xml:space="preserve"> analyzes were performed in The Unscrambler software (version 9.7)</w:t>
      </w:r>
      <w:r>
        <w:rPr>
          <w:rFonts w:cs="Arial"/>
          <w:szCs w:val="18"/>
        </w:rPr>
        <w:t xml:space="preserve">. Pre-treatment of spectra data </w:t>
      </w:r>
      <w:r w:rsidRPr="004A6950">
        <w:rPr>
          <w:rFonts w:cs="Arial"/>
          <w:szCs w:val="18"/>
        </w:rPr>
        <w:t xml:space="preserve">were processed in three </w:t>
      </w:r>
      <w:r>
        <w:rPr>
          <w:rFonts w:cs="Arial"/>
          <w:szCs w:val="18"/>
        </w:rPr>
        <w:t xml:space="preserve">different ways. Raw spectra, </w:t>
      </w:r>
      <w:r w:rsidRPr="004A6950">
        <w:rPr>
          <w:rFonts w:cs="Arial"/>
          <w:szCs w:val="18"/>
        </w:rPr>
        <w:t>first and second derivatives</w:t>
      </w:r>
      <w:r>
        <w:rPr>
          <w:rFonts w:cs="Arial"/>
          <w:szCs w:val="18"/>
        </w:rPr>
        <w:t xml:space="preserve"> (Savitzky Golay)</w:t>
      </w:r>
      <w:r w:rsidRPr="004A6950">
        <w:rPr>
          <w:rFonts w:cs="Arial"/>
          <w:szCs w:val="18"/>
        </w:rPr>
        <w:t xml:space="preserve"> were used for comparison purposes and thus select the one that provides the best results.</w:t>
      </w:r>
      <w:r>
        <w:rPr>
          <w:rFonts w:cs="Arial"/>
          <w:szCs w:val="18"/>
        </w:rPr>
        <w:t xml:space="preserve"> </w:t>
      </w:r>
      <w:r w:rsidRPr="004A6950">
        <w:rPr>
          <w:rFonts w:cs="Arial"/>
          <w:szCs w:val="18"/>
        </w:rPr>
        <w:t>The multivariate analysis of the data was performed by</w:t>
      </w:r>
      <w:r>
        <w:rPr>
          <w:rFonts w:cs="Arial"/>
          <w:szCs w:val="18"/>
        </w:rPr>
        <w:t xml:space="preserve"> </w:t>
      </w:r>
      <w:r w:rsidRPr="006F5E05">
        <w:rPr>
          <w:rFonts w:cs="Arial"/>
          <w:szCs w:val="18"/>
        </w:rPr>
        <w:t>Partial least square regression (PLS)</w:t>
      </w:r>
      <w:r w:rsidRPr="004A6950">
        <w:rPr>
          <w:rFonts w:cs="Arial"/>
          <w:szCs w:val="18"/>
        </w:rPr>
        <w:t xml:space="preserve">. </w:t>
      </w:r>
      <w:r>
        <w:rPr>
          <w:rFonts w:cs="Arial"/>
          <w:szCs w:val="18"/>
        </w:rPr>
        <w:t xml:space="preserve">Leave-one-out cross validation was performed to evaluate the performance of PLS </w:t>
      </w:r>
      <w:r>
        <w:rPr>
          <w:rFonts w:cs="Arial"/>
          <w:szCs w:val="18"/>
        </w:rPr>
        <w:tab/>
        <w:t>models by parameters such as root mean square error (RMSE, Equation 1) of calibration (RMSEC) and cross validation (RMSECV), the coefficient of determination on calibration (R</w:t>
      </w:r>
      <w:r w:rsidRPr="003D199F">
        <w:rPr>
          <w:rFonts w:cs="Arial"/>
          <w:szCs w:val="18"/>
          <w:vertAlign w:val="superscript"/>
        </w:rPr>
        <w:t>2</w:t>
      </w:r>
      <w:r>
        <w:rPr>
          <w:rFonts w:cs="Arial"/>
          <w:szCs w:val="18"/>
        </w:rPr>
        <w:t>C) and cross validation (R</w:t>
      </w:r>
      <w:r w:rsidRPr="003D199F">
        <w:rPr>
          <w:rFonts w:cs="Arial"/>
          <w:szCs w:val="18"/>
          <w:vertAlign w:val="superscript"/>
        </w:rPr>
        <w:t>2</w:t>
      </w:r>
      <w:r>
        <w:rPr>
          <w:rFonts w:cs="Arial"/>
          <w:szCs w:val="18"/>
        </w:rPr>
        <w:t>V).</w:t>
      </w:r>
    </w:p>
    <w:p w:rsidR="0053778F" w:rsidRDefault="0053778F" w:rsidP="0053778F">
      <w:pPr>
        <w:pStyle w:val="CETBodytext"/>
        <w:rPr>
          <w:rFonts w:cs="Arial"/>
          <w:szCs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gridCol w:w="436"/>
      </w:tblGrid>
      <w:tr w:rsidR="0053778F" w:rsidTr="00047DF1">
        <w:tc>
          <w:tcPr>
            <w:tcW w:w="8341" w:type="dxa"/>
            <w:vAlign w:val="center"/>
          </w:tcPr>
          <w:p w:rsidR="0053778F" w:rsidRPr="00F27F40" w:rsidRDefault="0053778F" w:rsidP="00047DF1">
            <w:pPr>
              <w:jc w:val="center"/>
              <w:rPr>
                <w:rFonts w:cs="Arial"/>
                <w:szCs w:val="18"/>
                <w:lang w:val="en-US"/>
              </w:rPr>
            </w:pPr>
            <m:oMathPara>
              <m:oMathParaPr>
                <m:jc m:val="left"/>
              </m:oMathParaPr>
              <m:oMath>
                <m:r>
                  <w:rPr>
                    <w:rFonts w:ascii="Cambria Math" w:hAnsi="Cambria Math" w:cs="Arial"/>
                    <w:szCs w:val="18"/>
                    <w:lang w:val="en-US"/>
                  </w:rPr>
                  <m:t xml:space="preserve">RMSE </m:t>
                </m:r>
                <m:d>
                  <m:dPr>
                    <m:ctrlPr>
                      <w:rPr>
                        <w:rFonts w:ascii="Cambria Math" w:hAnsi="Cambria Math" w:cs="Arial"/>
                        <w:i/>
                        <w:szCs w:val="18"/>
                        <w:lang w:val="en-US"/>
                      </w:rPr>
                    </m:ctrlPr>
                  </m:dPr>
                  <m:e>
                    <m:r>
                      <w:rPr>
                        <w:rFonts w:ascii="Cambria Math" w:hAnsi="Cambria Math" w:cs="Arial"/>
                        <w:szCs w:val="18"/>
                        <w:lang w:val="en-US"/>
                      </w:rPr>
                      <m:t>%</m:t>
                    </m:r>
                  </m:e>
                </m:d>
                <m:r>
                  <w:rPr>
                    <w:rFonts w:ascii="Cambria Math" w:hAnsi="Cambria Math" w:cs="Arial"/>
                    <w:szCs w:val="18"/>
                    <w:lang w:val="en-US"/>
                  </w:rPr>
                  <m:t>=</m:t>
                </m:r>
                <m:f>
                  <m:fPr>
                    <m:ctrlPr>
                      <w:rPr>
                        <w:rFonts w:ascii="Cambria Math" w:hAnsi="Cambria Math" w:cs="Arial"/>
                        <w:i/>
                        <w:szCs w:val="18"/>
                        <w:lang w:val="en-US"/>
                      </w:rPr>
                    </m:ctrlPr>
                  </m:fPr>
                  <m:num>
                    <m:r>
                      <w:rPr>
                        <w:rFonts w:ascii="Cambria Math" w:hAnsi="Cambria Math" w:cs="Arial"/>
                        <w:szCs w:val="18"/>
                        <w:lang w:val="en-US"/>
                      </w:rPr>
                      <m:t>100</m:t>
                    </m:r>
                  </m:num>
                  <m:den>
                    <m:acc>
                      <m:accPr>
                        <m:chr m:val="̅"/>
                        <m:ctrlPr>
                          <w:rPr>
                            <w:rFonts w:ascii="Cambria Math" w:hAnsi="Cambria Math" w:cs="Arial"/>
                            <w:i/>
                            <w:szCs w:val="18"/>
                            <w:lang w:val="en-US"/>
                          </w:rPr>
                        </m:ctrlPr>
                      </m:accPr>
                      <m:e>
                        <m:r>
                          <w:rPr>
                            <w:rFonts w:ascii="Cambria Math" w:hAnsi="Cambria Math" w:cs="Arial"/>
                            <w:szCs w:val="18"/>
                            <w:lang w:val="en-US"/>
                          </w:rPr>
                          <m:t>y</m:t>
                        </m:r>
                      </m:e>
                    </m:acc>
                  </m:den>
                </m:f>
                <m:d>
                  <m:dPr>
                    <m:ctrlPr>
                      <w:rPr>
                        <w:rFonts w:ascii="Cambria Math" w:hAnsi="Cambria Math" w:cs="Arial"/>
                        <w:i/>
                        <w:szCs w:val="18"/>
                        <w:lang w:val="en-US"/>
                      </w:rPr>
                    </m:ctrlPr>
                  </m:dPr>
                  <m:e>
                    <m:rad>
                      <m:radPr>
                        <m:degHide m:val="1"/>
                        <m:ctrlPr>
                          <w:rPr>
                            <w:rFonts w:ascii="Cambria Math" w:hAnsi="Cambria Math" w:cs="Arial"/>
                            <w:i/>
                            <w:szCs w:val="18"/>
                            <w:lang w:val="en-US"/>
                          </w:rPr>
                        </m:ctrlPr>
                      </m:radPr>
                      <m:deg/>
                      <m:e>
                        <m:f>
                          <m:fPr>
                            <m:ctrlPr>
                              <w:rPr>
                                <w:rFonts w:ascii="Cambria Math" w:hAnsi="Cambria Math" w:cs="Arial"/>
                                <w:i/>
                                <w:szCs w:val="18"/>
                                <w:lang w:val="en-US"/>
                              </w:rPr>
                            </m:ctrlPr>
                          </m:fPr>
                          <m:num>
                            <m:nary>
                              <m:naryPr>
                                <m:chr m:val="∑"/>
                                <m:limLoc m:val="undOvr"/>
                                <m:ctrlPr>
                                  <w:rPr>
                                    <w:rFonts w:ascii="Cambria Math" w:hAnsi="Cambria Math" w:cs="Arial"/>
                                    <w:i/>
                                    <w:szCs w:val="18"/>
                                    <w:lang w:val="en-US"/>
                                  </w:rPr>
                                </m:ctrlPr>
                              </m:naryPr>
                              <m:sub>
                                <m:r>
                                  <w:rPr>
                                    <w:rFonts w:ascii="Cambria Math" w:hAnsi="Cambria Math" w:cs="Arial"/>
                                    <w:szCs w:val="18"/>
                                    <w:lang w:val="en-US"/>
                                  </w:rPr>
                                  <m:t>i=1</m:t>
                                </m:r>
                              </m:sub>
                              <m:sup>
                                <m:r>
                                  <w:rPr>
                                    <w:rFonts w:ascii="Cambria Math" w:hAnsi="Cambria Math" w:cs="Arial"/>
                                    <w:szCs w:val="18"/>
                                    <w:lang w:val="en-US"/>
                                  </w:rPr>
                                  <m:t>N</m:t>
                                </m:r>
                              </m:sup>
                              <m:e>
                                <m:sSup>
                                  <m:sSupPr>
                                    <m:ctrlPr>
                                      <w:rPr>
                                        <w:rFonts w:ascii="Cambria Math" w:hAnsi="Cambria Math" w:cs="Arial"/>
                                        <w:i/>
                                        <w:szCs w:val="18"/>
                                        <w:lang w:val="en-US"/>
                                      </w:rPr>
                                    </m:ctrlPr>
                                  </m:sSupPr>
                                  <m:e>
                                    <m:r>
                                      <w:rPr>
                                        <w:rFonts w:ascii="Cambria Math" w:hAnsi="Cambria Math" w:cs="Arial"/>
                                        <w:szCs w:val="18"/>
                                        <w:lang w:val="en-US"/>
                                      </w:rPr>
                                      <m:t>(</m:t>
                                    </m:r>
                                    <m:sSub>
                                      <m:sSubPr>
                                        <m:ctrlPr>
                                          <w:rPr>
                                            <w:rFonts w:ascii="Cambria Math" w:hAnsi="Cambria Math" w:cs="Arial"/>
                                            <w:i/>
                                            <w:szCs w:val="18"/>
                                            <w:lang w:val="en-US"/>
                                          </w:rPr>
                                        </m:ctrlPr>
                                      </m:sSubPr>
                                      <m:e>
                                        <m:r>
                                          <w:rPr>
                                            <w:rFonts w:ascii="Cambria Math" w:hAnsi="Cambria Math" w:cs="Arial"/>
                                            <w:szCs w:val="18"/>
                                            <w:lang w:val="en-US"/>
                                          </w:rPr>
                                          <m:t>y</m:t>
                                        </m:r>
                                      </m:e>
                                      <m:sub>
                                        <m:r>
                                          <w:rPr>
                                            <w:rFonts w:ascii="Cambria Math" w:hAnsi="Cambria Math" w:cs="Arial"/>
                                            <w:szCs w:val="18"/>
                                            <w:lang w:val="en-US"/>
                                          </w:rPr>
                                          <m:t>i</m:t>
                                        </m:r>
                                      </m:sub>
                                    </m:sSub>
                                    <m:r>
                                      <w:rPr>
                                        <w:rFonts w:ascii="Cambria Math" w:hAnsi="Cambria Math" w:cs="Arial"/>
                                        <w:szCs w:val="18"/>
                                        <w:lang w:val="en-US"/>
                                      </w:rPr>
                                      <m:t>-</m:t>
                                    </m:r>
                                    <m:acc>
                                      <m:accPr>
                                        <m:ctrlPr>
                                          <w:rPr>
                                            <w:rFonts w:ascii="Cambria Math" w:hAnsi="Cambria Math" w:cs="Arial"/>
                                            <w:i/>
                                            <w:szCs w:val="18"/>
                                            <w:lang w:val="en-US"/>
                                          </w:rPr>
                                        </m:ctrlPr>
                                      </m:accPr>
                                      <m:e>
                                        <m:sSub>
                                          <m:sSubPr>
                                            <m:ctrlPr>
                                              <w:rPr>
                                                <w:rFonts w:ascii="Cambria Math" w:hAnsi="Cambria Math" w:cs="Arial"/>
                                                <w:i/>
                                                <w:szCs w:val="18"/>
                                                <w:lang w:val="en-US"/>
                                              </w:rPr>
                                            </m:ctrlPr>
                                          </m:sSubPr>
                                          <m:e>
                                            <m:r>
                                              <w:rPr>
                                                <w:rFonts w:ascii="Cambria Math" w:hAnsi="Cambria Math" w:cs="Arial"/>
                                                <w:szCs w:val="18"/>
                                                <w:lang w:val="en-US"/>
                                              </w:rPr>
                                              <m:t>y</m:t>
                                            </m:r>
                                          </m:e>
                                          <m:sub>
                                            <m:r>
                                              <w:rPr>
                                                <w:rFonts w:ascii="Cambria Math" w:hAnsi="Cambria Math" w:cs="Arial"/>
                                                <w:szCs w:val="18"/>
                                                <w:lang w:val="en-US"/>
                                              </w:rPr>
                                              <m:t>i</m:t>
                                            </m:r>
                                          </m:sub>
                                        </m:sSub>
                                      </m:e>
                                    </m:acc>
                                    <m:r>
                                      <w:rPr>
                                        <w:rFonts w:ascii="Cambria Math" w:hAnsi="Cambria Math" w:cs="Arial"/>
                                        <w:szCs w:val="18"/>
                                        <w:lang w:val="en-US"/>
                                      </w:rPr>
                                      <m:t>)</m:t>
                                    </m:r>
                                  </m:e>
                                  <m:sup>
                                    <m:r>
                                      <w:rPr>
                                        <w:rFonts w:ascii="Cambria Math" w:hAnsi="Cambria Math" w:cs="Arial"/>
                                        <w:szCs w:val="18"/>
                                        <w:lang w:val="en-US"/>
                                      </w:rPr>
                                      <m:t>2</m:t>
                                    </m:r>
                                  </m:sup>
                                </m:sSup>
                              </m:e>
                            </m:nary>
                          </m:num>
                          <m:den>
                            <m:r>
                              <w:rPr>
                                <w:rFonts w:ascii="Cambria Math" w:hAnsi="Cambria Math" w:cs="Arial"/>
                                <w:szCs w:val="18"/>
                                <w:lang w:val="en-US"/>
                              </w:rPr>
                              <m:t>N</m:t>
                            </m:r>
                          </m:den>
                        </m:f>
                      </m:e>
                    </m:rad>
                  </m:e>
                </m:d>
              </m:oMath>
            </m:oMathPara>
          </w:p>
        </w:tc>
        <w:tc>
          <w:tcPr>
            <w:tcW w:w="436" w:type="dxa"/>
            <w:vAlign w:val="center"/>
          </w:tcPr>
          <w:p w:rsidR="0053778F" w:rsidRDefault="0053778F" w:rsidP="00047DF1">
            <w:pPr>
              <w:jc w:val="center"/>
              <w:rPr>
                <w:rFonts w:cs="Arial"/>
                <w:szCs w:val="18"/>
                <w:lang w:val="en-US"/>
              </w:rPr>
            </w:pPr>
            <w:r>
              <w:rPr>
                <w:rFonts w:cs="Arial"/>
                <w:szCs w:val="18"/>
                <w:lang w:val="en-US"/>
              </w:rPr>
              <w:t>(1)</w:t>
            </w:r>
          </w:p>
        </w:tc>
      </w:tr>
    </w:tbl>
    <w:p w:rsidR="0053778F" w:rsidRPr="004A6950" w:rsidRDefault="0053778F" w:rsidP="0053778F">
      <w:pPr>
        <w:rPr>
          <w:rFonts w:cs="Arial"/>
          <w:szCs w:val="18"/>
          <w:lang w:val="en-US"/>
        </w:rPr>
      </w:pPr>
    </w:p>
    <w:p w:rsidR="0053778F" w:rsidRPr="004A6950" w:rsidRDefault="0053778F" w:rsidP="0053778F">
      <w:pPr>
        <w:pStyle w:val="PargrafodaLista"/>
        <w:ind w:left="0"/>
        <w:rPr>
          <w:rFonts w:cs="Arial"/>
          <w:szCs w:val="18"/>
          <w:lang w:val="en-US"/>
        </w:rPr>
      </w:pPr>
      <w:r w:rsidRPr="004A6950">
        <w:rPr>
          <w:rFonts w:cs="Arial"/>
          <w:szCs w:val="18"/>
          <w:lang w:val="en-US"/>
        </w:rPr>
        <w:t xml:space="preserve">where N= number of samples, </w:t>
      </w:r>
      <m:oMath>
        <m:sSub>
          <m:sSubPr>
            <m:ctrlPr>
              <w:rPr>
                <w:rFonts w:ascii="Cambria Math" w:hAnsi="Cambria Math" w:cs="Arial"/>
                <w:i/>
                <w:szCs w:val="18"/>
                <w:lang w:val="en-US"/>
              </w:rPr>
            </m:ctrlPr>
          </m:sSubPr>
          <m:e>
            <m:r>
              <w:rPr>
                <w:rFonts w:ascii="Cambria Math" w:hAnsi="Cambria Math" w:cs="Arial"/>
                <w:szCs w:val="18"/>
                <w:lang w:val="en-US"/>
              </w:rPr>
              <m:t>y</m:t>
            </m:r>
          </m:e>
          <m:sub>
            <m:r>
              <w:rPr>
                <w:rFonts w:ascii="Cambria Math" w:hAnsi="Cambria Math" w:cs="Arial"/>
                <w:szCs w:val="18"/>
                <w:lang w:val="en-US"/>
              </w:rPr>
              <m:t>i</m:t>
            </m:r>
          </m:sub>
        </m:sSub>
      </m:oMath>
      <w:r w:rsidRPr="004A6950">
        <w:rPr>
          <w:rFonts w:cs="Arial"/>
          <w:szCs w:val="18"/>
          <w:lang w:val="en-US"/>
        </w:rPr>
        <w:t xml:space="preserve"> = actual </w:t>
      </w:r>
      <w:r>
        <w:rPr>
          <w:rFonts w:cs="Arial"/>
          <w:szCs w:val="18"/>
          <w:lang w:val="en-US"/>
        </w:rPr>
        <w:t>amount</w:t>
      </w:r>
      <w:r w:rsidRPr="004A6950">
        <w:rPr>
          <w:rFonts w:cs="Arial"/>
          <w:szCs w:val="18"/>
          <w:lang w:val="en-US"/>
        </w:rPr>
        <w:t xml:space="preserve">, </w:t>
      </w:r>
      <m:oMath>
        <m:acc>
          <m:accPr>
            <m:ctrlPr>
              <w:rPr>
                <w:rFonts w:ascii="Cambria Math" w:hAnsi="Cambria Math" w:cs="Arial"/>
                <w:i/>
                <w:szCs w:val="18"/>
                <w:lang w:val="en-US"/>
              </w:rPr>
            </m:ctrlPr>
          </m:accPr>
          <m:e>
            <m:sSub>
              <m:sSubPr>
                <m:ctrlPr>
                  <w:rPr>
                    <w:rFonts w:ascii="Cambria Math" w:hAnsi="Cambria Math" w:cs="Arial"/>
                    <w:i/>
                    <w:szCs w:val="18"/>
                    <w:lang w:val="en-US"/>
                  </w:rPr>
                </m:ctrlPr>
              </m:sSubPr>
              <m:e>
                <m:r>
                  <w:rPr>
                    <w:rFonts w:ascii="Cambria Math" w:hAnsi="Cambria Math" w:cs="Arial"/>
                    <w:szCs w:val="18"/>
                    <w:lang w:val="en-US"/>
                  </w:rPr>
                  <m:t>y</m:t>
                </m:r>
              </m:e>
              <m:sub>
                <m:r>
                  <w:rPr>
                    <w:rFonts w:ascii="Cambria Math" w:hAnsi="Cambria Math" w:cs="Arial"/>
                    <w:szCs w:val="18"/>
                    <w:lang w:val="en-US"/>
                  </w:rPr>
                  <m:t>i</m:t>
                </m:r>
              </m:sub>
            </m:sSub>
          </m:e>
        </m:acc>
        <m:r>
          <w:rPr>
            <w:rFonts w:ascii="Cambria Math" w:hAnsi="Cambria Math" w:cs="Arial"/>
            <w:szCs w:val="18"/>
            <w:lang w:val="en-US"/>
          </w:rPr>
          <m:t xml:space="preserve"> </m:t>
        </m:r>
      </m:oMath>
      <w:r w:rsidRPr="004A6950">
        <w:rPr>
          <w:rFonts w:cs="Arial"/>
          <w:szCs w:val="18"/>
          <w:lang w:val="en-US"/>
        </w:rPr>
        <w:t xml:space="preserve">= predicted </w:t>
      </w:r>
      <w:r>
        <w:rPr>
          <w:rFonts w:cs="Arial"/>
          <w:szCs w:val="18"/>
          <w:lang w:val="en-US"/>
        </w:rPr>
        <w:t>amount</w:t>
      </w:r>
      <w:r w:rsidRPr="004A6950">
        <w:rPr>
          <w:rFonts w:cs="Arial"/>
          <w:szCs w:val="18"/>
          <w:lang w:val="en-US"/>
        </w:rPr>
        <w:t xml:space="preserve">, and </w:t>
      </w:r>
      <m:oMath>
        <m:acc>
          <m:accPr>
            <m:chr m:val="̅"/>
            <m:ctrlPr>
              <w:rPr>
                <w:rFonts w:ascii="Cambria Math" w:hAnsi="Cambria Math" w:cs="Arial"/>
                <w:i/>
                <w:szCs w:val="18"/>
                <w:lang w:val="en-US"/>
              </w:rPr>
            </m:ctrlPr>
          </m:accPr>
          <m:e>
            <m:r>
              <w:rPr>
                <w:rFonts w:ascii="Cambria Math" w:hAnsi="Cambria Math" w:cs="Arial"/>
                <w:szCs w:val="18"/>
                <w:lang w:val="en-US"/>
              </w:rPr>
              <m:t>y</m:t>
            </m:r>
          </m:e>
        </m:acc>
        <m:r>
          <w:rPr>
            <w:rFonts w:ascii="Cambria Math" w:hAnsi="Cambria Math" w:cs="Arial"/>
            <w:szCs w:val="18"/>
            <w:lang w:val="en-US"/>
          </w:rPr>
          <m:t xml:space="preserve"> </m:t>
        </m:r>
      </m:oMath>
      <w:r w:rsidRPr="004A6950">
        <w:rPr>
          <w:rFonts w:cs="Arial"/>
          <w:szCs w:val="18"/>
          <w:lang w:val="en-US"/>
        </w:rPr>
        <w:t xml:space="preserve">= average of actual </w:t>
      </w:r>
      <w:r>
        <w:rPr>
          <w:rFonts w:cs="Arial"/>
          <w:szCs w:val="18"/>
          <w:lang w:val="en-US"/>
        </w:rPr>
        <w:t>amount</w:t>
      </w:r>
      <w:r w:rsidRPr="004A6950">
        <w:rPr>
          <w:rFonts w:cs="Arial"/>
          <w:szCs w:val="18"/>
          <w:lang w:val="en-US"/>
        </w:rPr>
        <w:t xml:space="preserve"> values.</w:t>
      </w:r>
    </w:p>
    <w:p w:rsidR="0053778F" w:rsidRPr="009521AF" w:rsidRDefault="0053778F" w:rsidP="0053778F">
      <w:pPr>
        <w:pStyle w:val="CETHeading1"/>
        <w:numPr>
          <w:ilvl w:val="0"/>
          <w:numId w:val="22"/>
        </w:numPr>
        <w:rPr>
          <w:sz w:val="18"/>
          <w:szCs w:val="18"/>
        </w:rPr>
      </w:pPr>
      <w:r w:rsidRPr="009521AF">
        <w:rPr>
          <w:sz w:val="18"/>
          <w:szCs w:val="18"/>
        </w:rPr>
        <w:t>Results and discussion</w:t>
      </w:r>
    </w:p>
    <w:p w:rsidR="0053778F" w:rsidRPr="00091781" w:rsidRDefault="0053778F" w:rsidP="0053778F">
      <w:pPr>
        <w:pStyle w:val="CETheadingx"/>
        <w:numPr>
          <w:ilvl w:val="1"/>
          <w:numId w:val="22"/>
        </w:numPr>
      </w:pPr>
      <w:r>
        <w:t>Ethanol/water samples</w:t>
      </w:r>
    </w:p>
    <w:p w:rsidR="0053778F" w:rsidRPr="00086D9B" w:rsidRDefault="00890401" w:rsidP="0053778F">
      <w:pPr>
        <w:pStyle w:val="CETBodytext"/>
        <w:rPr>
          <w:rFonts w:cs="Arial"/>
          <w:szCs w:val="18"/>
        </w:rPr>
      </w:pPr>
      <w:r>
        <w:rPr>
          <w:rFonts w:cs="Arial"/>
          <w:szCs w:val="18"/>
        </w:rPr>
        <w:t>S</w:t>
      </w:r>
      <w:r w:rsidRPr="00890401">
        <w:rPr>
          <w:rFonts w:cs="Arial"/>
          <w:szCs w:val="18"/>
        </w:rPr>
        <w:t>pectra of ethanol in water were analyzed as a way of verifying the prediction ability of the spectrometer since the mixture is simple and provides good prediction results according to published work.</w:t>
      </w:r>
      <w:r>
        <w:rPr>
          <w:rFonts w:cs="Arial"/>
          <w:szCs w:val="18"/>
        </w:rPr>
        <w:t xml:space="preserve"> </w:t>
      </w:r>
      <w:r w:rsidR="0053778F" w:rsidRPr="00BA35C8">
        <w:rPr>
          <w:rFonts w:cs="Arial"/>
          <w:szCs w:val="18"/>
        </w:rPr>
        <w:t xml:space="preserve">Figures </w:t>
      </w:r>
      <w:r w:rsidR="0053778F">
        <w:rPr>
          <w:rFonts w:cs="Arial"/>
          <w:szCs w:val="18"/>
        </w:rPr>
        <w:t>2</w:t>
      </w:r>
      <w:r w:rsidR="0053778F" w:rsidRPr="00BA35C8">
        <w:rPr>
          <w:rFonts w:cs="Arial"/>
          <w:szCs w:val="18"/>
        </w:rPr>
        <w:t xml:space="preserve"> and </w:t>
      </w:r>
      <w:r w:rsidR="0053778F">
        <w:rPr>
          <w:rFonts w:cs="Arial"/>
          <w:szCs w:val="18"/>
        </w:rPr>
        <w:t>3</w:t>
      </w:r>
      <w:r w:rsidR="0053778F" w:rsidRPr="00BA35C8">
        <w:rPr>
          <w:rFonts w:cs="Arial"/>
          <w:szCs w:val="18"/>
        </w:rPr>
        <w:t xml:space="preserve"> show</w:t>
      </w:r>
      <w:r w:rsidR="0053778F">
        <w:rPr>
          <w:rFonts w:cs="Arial"/>
          <w:szCs w:val="18"/>
        </w:rPr>
        <w:t>s</w:t>
      </w:r>
      <w:r w:rsidR="0053778F" w:rsidRPr="00BA35C8">
        <w:rPr>
          <w:rFonts w:cs="Arial"/>
          <w:szCs w:val="18"/>
        </w:rPr>
        <w:t xml:space="preserve"> the ethanol/water mixture spectra obtained in the concentrations analyzed (10-100%) in batch and </w:t>
      </w:r>
      <w:r w:rsidR="0053778F">
        <w:rPr>
          <w:rFonts w:cs="Arial"/>
          <w:szCs w:val="18"/>
        </w:rPr>
        <w:t>in-situ, respectively,</w:t>
      </w:r>
      <w:r w:rsidR="0053778F" w:rsidRPr="00BA35C8">
        <w:rPr>
          <w:rFonts w:cs="Arial"/>
          <w:szCs w:val="18"/>
        </w:rPr>
        <w:t xml:space="preserve"> that were used to construct the calibration and validation models.</w:t>
      </w:r>
      <w:r w:rsidR="0053778F">
        <w:rPr>
          <w:rFonts w:cs="Arial"/>
          <w:szCs w:val="18"/>
        </w:rPr>
        <w:t xml:space="preserve"> </w:t>
      </w:r>
      <w:r w:rsidR="0053778F" w:rsidRPr="00FF01E2">
        <w:rPr>
          <w:rFonts w:cs="Arial"/>
          <w:szCs w:val="18"/>
        </w:rPr>
        <w:t>Each line represents a sample, where the Raman intensity increases as the concentration increases</w:t>
      </w:r>
      <w:r w:rsidR="0053778F">
        <w:rPr>
          <w:rFonts w:cs="Arial"/>
          <w:szCs w:val="18"/>
        </w:rPr>
        <w:t>.</w:t>
      </w:r>
      <w:r w:rsidR="0053778F" w:rsidRPr="00BA35C8">
        <w:rPr>
          <w:rFonts w:cs="Arial"/>
          <w:szCs w:val="18"/>
        </w:rPr>
        <w:t xml:space="preserve"> The region considered for the </w:t>
      </w:r>
      <w:r w:rsidR="0053778F">
        <w:rPr>
          <w:rFonts w:cs="Arial"/>
          <w:szCs w:val="18"/>
        </w:rPr>
        <w:t>multivariate analysis was 250-1700 cm</w:t>
      </w:r>
      <w:r w:rsidR="0053778F" w:rsidRPr="00BA35C8">
        <w:rPr>
          <w:rFonts w:cs="Arial"/>
          <w:szCs w:val="18"/>
          <w:vertAlign w:val="superscript"/>
        </w:rPr>
        <w:t>-1</w:t>
      </w:r>
      <w:r w:rsidR="0053778F" w:rsidRPr="00BA35C8">
        <w:rPr>
          <w:rFonts w:cs="Arial"/>
          <w:szCs w:val="18"/>
        </w:rPr>
        <w:t xml:space="preserve">. </w:t>
      </w:r>
      <w:r w:rsidR="0053778F">
        <w:rPr>
          <w:rFonts w:cs="Arial"/>
          <w:szCs w:val="18"/>
        </w:rPr>
        <w:t>As shown in Figure 2, s</w:t>
      </w:r>
      <w:r w:rsidR="0053778F" w:rsidRPr="00120968">
        <w:rPr>
          <w:rFonts w:cs="Arial"/>
          <w:szCs w:val="18"/>
        </w:rPr>
        <w:t xml:space="preserve">ix peaks are commonly present in aqueous solutions of </w:t>
      </w:r>
      <w:r w:rsidR="0053778F" w:rsidRPr="00120968">
        <w:rPr>
          <w:rFonts w:cs="Arial"/>
          <w:szCs w:val="18"/>
        </w:rPr>
        <w:lastRenderedPageBreak/>
        <w:t>ethanol</w:t>
      </w:r>
      <w:r w:rsidR="0053778F">
        <w:rPr>
          <w:rFonts w:cs="Arial"/>
          <w:szCs w:val="18"/>
        </w:rPr>
        <w:t xml:space="preserve"> as observed by Pappas et al., 2016 and Khetani et al., 2013. </w:t>
      </w:r>
      <w:r w:rsidR="0053778F" w:rsidRPr="00BA35C8">
        <w:rPr>
          <w:rFonts w:cs="Arial"/>
          <w:szCs w:val="18"/>
        </w:rPr>
        <w:t>The</w:t>
      </w:r>
      <w:r w:rsidR="0053778F">
        <w:rPr>
          <w:rFonts w:cs="Arial"/>
          <w:szCs w:val="18"/>
        </w:rPr>
        <w:t xml:space="preserve"> region at 880 cm</w:t>
      </w:r>
      <w:r w:rsidR="0053778F" w:rsidRPr="00BA35C8">
        <w:rPr>
          <w:rFonts w:cs="Arial"/>
          <w:szCs w:val="18"/>
          <w:vertAlign w:val="superscript"/>
        </w:rPr>
        <w:t>-1</w:t>
      </w:r>
      <w:r w:rsidR="0053778F" w:rsidRPr="00BA35C8">
        <w:rPr>
          <w:rFonts w:cs="Arial"/>
          <w:szCs w:val="18"/>
        </w:rPr>
        <w:t xml:space="preserve"> presents </w:t>
      </w:r>
      <w:r w:rsidR="0053778F">
        <w:rPr>
          <w:rFonts w:cs="Arial"/>
          <w:szCs w:val="18"/>
        </w:rPr>
        <w:t xml:space="preserve">the most intense signal attributed to the symmetric C-C-O stretch of ethanol </w:t>
      </w:r>
      <w:r w:rsidR="0053778F" w:rsidRPr="00086D9B">
        <w:rPr>
          <w:rFonts w:cs="Arial"/>
          <w:szCs w:val="18"/>
        </w:rPr>
        <w:t>(Nordon et al., 2005)</w:t>
      </w:r>
      <w:r w:rsidR="0053778F">
        <w:rPr>
          <w:rFonts w:cs="Arial"/>
          <w:szCs w:val="18"/>
        </w:rPr>
        <w:t xml:space="preserve">. </w:t>
      </w:r>
      <w:r w:rsidR="0053778F" w:rsidRPr="00086D9B">
        <w:rPr>
          <w:rFonts w:cs="Arial"/>
          <w:szCs w:val="18"/>
        </w:rPr>
        <w:t>The peak in the 1049 cm</w:t>
      </w:r>
      <w:r w:rsidR="0053778F" w:rsidRPr="00086D9B">
        <w:rPr>
          <w:rFonts w:cs="Arial"/>
          <w:szCs w:val="18"/>
          <w:vertAlign w:val="superscript"/>
        </w:rPr>
        <w:t>-1</w:t>
      </w:r>
      <w:r w:rsidR="0053778F" w:rsidRPr="00086D9B">
        <w:rPr>
          <w:rFonts w:cs="Arial"/>
          <w:szCs w:val="18"/>
        </w:rPr>
        <w:t xml:space="preserve"> region represents the vibrational stretch of th</w:t>
      </w:r>
      <w:r w:rsidR="0053778F">
        <w:rPr>
          <w:rFonts w:cs="Arial"/>
          <w:szCs w:val="18"/>
        </w:rPr>
        <w:t>e C-C bond. The peak at 1089 cm</w:t>
      </w:r>
      <w:r w:rsidR="0053778F" w:rsidRPr="00086D9B">
        <w:rPr>
          <w:rFonts w:cs="Arial"/>
          <w:szCs w:val="18"/>
          <w:vertAlign w:val="superscript"/>
        </w:rPr>
        <w:t>-1</w:t>
      </w:r>
      <w:r w:rsidR="0053778F" w:rsidRPr="00086D9B">
        <w:rPr>
          <w:rFonts w:cs="Arial"/>
          <w:szCs w:val="18"/>
        </w:rPr>
        <w:t xml:space="preserve"> is due to the vibrational stretch of C-C and the asymmetric vibration of C-C-O. At 1455 cm</w:t>
      </w:r>
      <w:r w:rsidR="0053778F" w:rsidRPr="00086D9B">
        <w:rPr>
          <w:rFonts w:cs="Arial"/>
          <w:szCs w:val="18"/>
          <w:vertAlign w:val="superscript"/>
        </w:rPr>
        <w:t>-1</w:t>
      </w:r>
      <w:r w:rsidR="0053778F" w:rsidRPr="00086D9B">
        <w:rPr>
          <w:rFonts w:cs="Arial"/>
          <w:szCs w:val="18"/>
        </w:rPr>
        <w:t xml:space="preserve"> the asymmetric defo</w:t>
      </w:r>
      <w:r w:rsidR="0053778F">
        <w:rPr>
          <w:rFonts w:cs="Arial"/>
          <w:szCs w:val="18"/>
        </w:rPr>
        <w:t xml:space="preserve">rmation of </w:t>
      </w:r>
      <w:r w:rsidR="0053778F" w:rsidRPr="00086D9B">
        <w:rPr>
          <w:rFonts w:cs="Arial"/>
          <w:szCs w:val="18"/>
        </w:rPr>
        <w:t>-CH</w:t>
      </w:r>
      <w:r w:rsidR="0053778F" w:rsidRPr="00086D9B">
        <w:rPr>
          <w:rFonts w:cs="Arial"/>
          <w:szCs w:val="18"/>
          <w:vertAlign w:val="subscript"/>
        </w:rPr>
        <w:t>3</w:t>
      </w:r>
      <w:r w:rsidR="0053778F" w:rsidRPr="00086D9B">
        <w:rPr>
          <w:rFonts w:cs="Arial"/>
          <w:szCs w:val="18"/>
        </w:rPr>
        <w:t>- and the vibration of -CH</w:t>
      </w:r>
      <w:r w:rsidR="0053778F" w:rsidRPr="00086D9B">
        <w:rPr>
          <w:rFonts w:cs="Arial"/>
          <w:szCs w:val="18"/>
          <w:vertAlign w:val="subscript"/>
        </w:rPr>
        <w:t>2</w:t>
      </w:r>
      <w:r w:rsidR="0053778F">
        <w:rPr>
          <w:rFonts w:cs="Arial"/>
          <w:szCs w:val="18"/>
        </w:rPr>
        <w:t>- occur. The peak at 1277 cm</w:t>
      </w:r>
      <w:r w:rsidR="0053778F" w:rsidRPr="00086D9B">
        <w:rPr>
          <w:rFonts w:cs="Arial"/>
          <w:szCs w:val="18"/>
          <w:vertAlign w:val="superscript"/>
        </w:rPr>
        <w:t>-1</w:t>
      </w:r>
      <w:r w:rsidR="0053778F" w:rsidRPr="00086D9B">
        <w:rPr>
          <w:rFonts w:cs="Arial"/>
          <w:szCs w:val="18"/>
        </w:rPr>
        <w:t xml:space="preserve"> is related to the vibration torsion of -CH</w:t>
      </w:r>
      <w:r w:rsidR="0053778F" w:rsidRPr="00086D9B">
        <w:rPr>
          <w:rFonts w:cs="Arial"/>
          <w:szCs w:val="18"/>
          <w:vertAlign w:val="subscript"/>
        </w:rPr>
        <w:t>2</w:t>
      </w:r>
      <w:r w:rsidR="0053778F" w:rsidRPr="00086D9B">
        <w:rPr>
          <w:rFonts w:cs="Arial"/>
          <w:szCs w:val="18"/>
        </w:rPr>
        <w:t>-. The less intense band at 434 cm</w:t>
      </w:r>
      <w:r w:rsidR="0053778F" w:rsidRPr="00086D9B">
        <w:rPr>
          <w:rFonts w:cs="Arial"/>
          <w:szCs w:val="18"/>
          <w:vertAlign w:val="superscript"/>
        </w:rPr>
        <w:t>-1</w:t>
      </w:r>
      <w:r w:rsidR="0053778F" w:rsidRPr="00086D9B">
        <w:rPr>
          <w:rFonts w:cs="Arial"/>
          <w:szCs w:val="18"/>
        </w:rPr>
        <w:t xml:space="preserve"> is due to vibration of C-O deformation </w:t>
      </w:r>
      <w:r w:rsidR="0053778F">
        <w:rPr>
          <w:rFonts w:cs="Arial"/>
          <w:szCs w:val="18"/>
        </w:rPr>
        <w:t>(Socrates, 2001)</w:t>
      </w:r>
      <w:r w:rsidR="00F16440">
        <w:rPr>
          <w:rFonts w:cs="Arial"/>
          <w:szCs w:val="18"/>
        </w:rPr>
        <w:t>.</w:t>
      </w:r>
    </w:p>
    <w:p w:rsidR="0053778F" w:rsidRPr="00786528" w:rsidRDefault="0053778F" w:rsidP="0053778F">
      <w:pPr>
        <w:pStyle w:val="CETBodytext"/>
      </w:pPr>
      <w:r>
        <w:rPr>
          <w:rFonts w:cs="Arial"/>
        </w:rPr>
        <w:t>In the spectrum of Figure 3</w:t>
      </w:r>
      <w:r w:rsidRPr="00C12B91">
        <w:rPr>
          <w:rFonts w:cs="Arial"/>
        </w:rPr>
        <w:t xml:space="preserve"> other peaks are observed beyond those mentioned above. The first three peaks are characteristic of PDMS</w:t>
      </w:r>
      <w:r>
        <w:rPr>
          <w:rFonts w:cs="Arial"/>
        </w:rPr>
        <w:t xml:space="preserve"> (Alvarado et al., 2009)</w:t>
      </w:r>
      <w:r w:rsidRPr="00C12B91">
        <w:rPr>
          <w:rFonts w:cs="Arial"/>
        </w:rPr>
        <w:t>.</w:t>
      </w:r>
      <w:r>
        <w:rPr>
          <w:rFonts w:cs="Arial"/>
        </w:rPr>
        <w:t xml:space="preserve"> Prediction performance of PLS models are summarized in </w:t>
      </w:r>
      <w:r w:rsidRPr="00AA6E75">
        <w:rPr>
          <w:rFonts w:cs="Arial"/>
        </w:rPr>
        <w:t xml:space="preserve">Table 1. </w:t>
      </w:r>
      <w:r>
        <w:rPr>
          <w:rFonts w:cs="Arial"/>
        </w:rPr>
        <w:t>F</w:t>
      </w:r>
      <w:r w:rsidRPr="00AA6E75">
        <w:rPr>
          <w:rFonts w:cs="Arial"/>
        </w:rPr>
        <w:t xml:space="preserve">or the batch data, </w:t>
      </w:r>
      <w:r>
        <w:rPr>
          <w:rFonts w:cs="Arial"/>
        </w:rPr>
        <w:t>i</w:t>
      </w:r>
      <w:r w:rsidRPr="00AA6E75">
        <w:rPr>
          <w:rFonts w:cs="Arial"/>
        </w:rPr>
        <w:t>t is verified that</w:t>
      </w:r>
      <w:r>
        <w:rPr>
          <w:rFonts w:cs="Arial"/>
        </w:rPr>
        <w:t xml:space="preserve">, </w:t>
      </w:r>
      <w:r w:rsidRPr="00AA6E75">
        <w:rPr>
          <w:rFonts w:cs="Arial"/>
        </w:rPr>
        <w:t>the largest correlation coefficients and the smallest errors were obtained after the first derivative pre</w:t>
      </w:r>
      <w:r>
        <w:rPr>
          <w:rFonts w:cs="Arial"/>
        </w:rPr>
        <w:t>-</w:t>
      </w:r>
      <w:r w:rsidRPr="00AA6E75">
        <w:rPr>
          <w:rFonts w:cs="Arial"/>
        </w:rPr>
        <w:t>treatment</w:t>
      </w:r>
      <w:r>
        <w:rPr>
          <w:rFonts w:cs="Arial"/>
        </w:rPr>
        <w:t xml:space="preserve"> (</w:t>
      </w:r>
      <w:r>
        <w:t>R</w:t>
      </w:r>
      <w:r>
        <w:rPr>
          <w:vertAlign w:val="superscript"/>
        </w:rPr>
        <w:t>2</w:t>
      </w:r>
      <w:r w:rsidRPr="006C3C28">
        <w:rPr>
          <w:vertAlign w:val="subscript"/>
        </w:rPr>
        <w:t>C</w:t>
      </w:r>
      <w:r>
        <w:t>=0.999; R</w:t>
      </w:r>
      <w:r>
        <w:rPr>
          <w:vertAlign w:val="superscript"/>
        </w:rPr>
        <w:t>2</w:t>
      </w:r>
      <w:r>
        <w:rPr>
          <w:vertAlign w:val="subscript"/>
        </w:rPr>
        <w:t>V</w:t>
      </w:r>
      <w:r>
        <w:t>=0.979)</w:t>
      </w:r>
      <w:r w:rsidRPr="00AA6E75">
        <w:rPr>
          <w:rFonts w:cs="Arial"/>
        </w:rPr>
        <w:t xml:space="preserve">. For the spectra obtained in </w:t>
      </w:r>
      <w:r>
        <w:rPr>
          <w:rFonts w:cs="Arial"/>
        </w:rPr>
        <w:t>situ</w:t>
      </w:r>
      <w:r w:rsidRPr="00AA6E75">
        <w:rPr>
          <w:rFonts w:cs="Arial"/>
        </w:rPr>
        <w:t xml:space="preserve">, the largest </w:t>
      </w:r>
      <w:r>
        <w:rPr>
          <w:rFonts w:cs="Arial"/>
        </w:rPr>
        <w:t>determination</w:t>
      </w:r>
      <w:r w:rsidRPr="00AA6E75">
        <w:rPr>
          <w:rFonts w:cs="Arial"/>
        </w:rPr>
        <w:t xml:space="preserve"> coefficients</w:t>
      </w:r>
      <w:r>
        <w:rPr>
          <w:rFonts w:cs="Arial"/>
        </w:rPr>
        <w:t xml:space="preserve"> (</w:t>
      </w:r>
      <w:r>
        <w:t>R</w:t>
      </w:r>
      <w:r>
        <w:rPr>
          <w:vertAlign w:val="superscript"/>
        </w:rPr>
        <w:t>2</w:t>
      </w:r>
      <w:r w:rsidRPr="006C3C28">
        <w:rPr>
          <w:vertAlign w:val="subscript"/>
        </w:rPr>
        <w:t>C</w:t>
      </w:r>
      <w:r>
        <w:t>=0.998; R</w:t>
      </w:r>
      <w:r>
        <w:rPr>
          <w:vertAlign w:val="superscript"/>
        </w:rPr>
        <w:t>2</w:t>
      </w:r>
      <w:r>
        <w:rPr>
          <w:vertAlign w:val="subscript"/>
        </w:rPr>
        <w:t>V</w:t>
      </w:r>
      <w:r>
        <w:t>=0.982)</w:t>
      </w:r>
      <w:r w:rsidRPr="00AA6E75">
        <w:rPr>
          <w:rFonts w:cs="Arial"/>
        </w:rPr>
        <w:t xml:space="preserve"> associated to the smallest errors were obtained </w:t>
      </w:r>
      <w:r>
        <w:rPr>
          <w:rFonts w:cs="Arial"/>
        </w:rPr>
        <w:t>using raw spectra</w:t>
      </w:r>
      <w:r w:rsidRPr="00AA6E75">
        <w:rPr>
          <w:rFonts w:cs="Arial"/>
        </w:rPr>
        <w:t>.</w:t>
      </w:r>
      <w:r>
        <w:rPr>
          <w:rFonts w:cs="Arial"/>
          <w:color w:val="FF0000"/>
        </w:rPr>
        <w:t xml:space="preserve"> </w:t>
      </w:r>
      <w:r w:rsidRPr="00547E75">
        <w:rPr>
          <w:rFonts w:cs="Arial"/>
          <w:szCs w:val="18"/>
        </w:rPr>
        <w:t>Figure 4</w:t>
      </w:r>
      <w:r w:rsidRPr="0080507C">
        <w:rPr>
          <w:rFonts w:cs="Arial"/>
          <w:szCs w:val="18"/>
        </w:rPr>
        <w:t xml:space="preserve"> shows the good agreement between the values obtained experimentally and the values predicted by the model presented in this study, </w:t>
      </w:r>
      <w:r w:rsidRPr="00463422">
        <w:rPr>
          <w:rFonts w:cs="Arial"/>
          <w:szCs w:val="18"/>
        </w:rPr>
        <w:t xml:space="preserve">showing that Raman spectroscopy can be </w:t>
      </w:r>
      <w:r>
        <w:rPr>
          <w:rFonts w:cs="Arial"/>
          <w:szCs w:val="18"/>
        </w:rPr>
        <w:t>applied</w:t>
      </w:r>
      <w:r w:rsidRPr="00463422">
        <w:rPr>
          <w:rFonts w:cs="Arial"/>
          <w:szCs w:val="18"/>
        </w:rPr>
        <w:t xml:space="preserve"> for on-line quantification of the ethanol concentration in the mixture with water in microfluidic devices.</w:t>
      </w:r>
    </w:p>
    <w:p w:rsidR="0053778F" w:rsidRPr="0080507C" w:rsidRDefault="0053778F" w:rsidP="0053778F">
      <w:pPr>
        <w:pStyle w:val="CETBodytext"/>
        <w:rPr>
          <w:rFonts w:cs="Arial"/>
        </w:rPr>
      </w:pPr>
    </w:p>
    <w:p w:rsidR="0053778F" w:rsidRDefault="0053778F" w:rsidP="0053778F">
      <w:pPr>
        <w:pStyle w:val="PargrafodaLista"/>
        <w:ind w:left="0"/>
        <w:jc w:val="left"/>
        <w:rPr>
          <w:noProof/>
          <w:lang w:val="pt-BR" w:eastAsia="pt-BR"/>
        </w:rPr>
      </w:pPr>
      <w:r>
        <w:rPr>
          <w:noProof/>
          <w:lang w:val="pt-BR" w:eastAsia="pt-BR"/>
        </w:rPr>
        <w:drawing>
          <wp:inline distT="0" distB="0" distL="0" distR="0" wp14:anchorId="525C442A" wp14:editId="38AFE888">
            <wp:extent cx="5361858" cy="2106777"/>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73504" cy="2111353"/>
                    </a:xfrm>
                    <a:prstGeom prst="rect">
                      <a:avLst/>
                    </a:prstGeom>
                  </pic:spPr>
                </pic:pic>
              </a:graphicData>
            </a:graphic>
          </wp:inline>
        </w:drawing>
      </w:r>
    </w:p>
    <w:p w:rsidR="0053778F" w:rsidRPr="001F0211" w:rsidRDefault="0053778F" w:rsidP="0053778F">
      <w:pPr>
        <w:pStyle w:val="PargrafodaLista"/>
        <w:ind w:left="0"/>
        <w:jc w:val="left"/>
        <w:rPr>
          <w:rFonts w:cs="Arial"/>
          <w:lang w:val="pt-BR"/>
        </w:rPr>
      </w:pPr>
      <w:r w:rsidRPr="00FF01E2">
        <w:rPr>
          <w:rFonts w:cs="Arial"/>
          <w:lang w:val="en-US"/>
        </w:rPr>
        <w:t xml:space="preserve">Figure </w:t>
      </w:r>
      <w:r>
        <w:rPr>
          <w:rFonts w:cs="Arial"/>
          <w:lang w:val="en-US"/>
        </w:rPr>
        <w:t>2</w:t>
      </w:r>
      <w:r w:rsidRPr="00FF01E2">
        <w:rPr>
          <w:rFonts w:cs="Arial"/>
          <w:lang w:val="en-US"/>
        </w:rPr>
        <w:t xml:space="preserve">. Spectra of ethanol/water mixtures in batch mode (10-100%). </w:t>
      </w:r>
      <w:r w:rsidRPr="001F0211">
        <w:rPr>
          <w:rFonts w:cs="Arial"/>
          <w:lang w:val="pt-BR"/>
        </w:rPr>
        <w:t>Range: 250-1700 cm</w:t>
      </w:r>
      <w:r w:rsidRPr="001F0211">
        <w:rPr>
          <w:rFonts w:cs="Arial"/>
          <w:vertAlign w:val="superscript"/>
          <w:lang w:val="pt-BR"/>
        </w:rPr>
        <w:t>-1</w:t>
      </w:r>
    </w:p>
    <w:p w:rsidR="0053778F" w:rsidRPr="00120968" w:rsidRDefault="0053778F" w:rsidP="00171A74">
      <w:pPr>
        <w:rPr>
          <w:rFonts w:asciiTheme="minorHAnsi" w:hAnsiTheme="minorHAnsi"/>
          <w:sz w:val="22"/>
          <w:lang w:val="en-US"/>
        </w:rPr>
      </w:pPr>
      <w:r>
        <w:rPr>
          <w:noProof/>
          <w:lang w:val="pt-BR" w:eastAsia="pt-BR"/>
        </w:rPr>
        <w:drawing>
          <wp:inline distT="0" distB="0" distL="0" distR="0" wp14:anchorId="4F788B1D" wp14:editId="5E7DABFA">
            <wp:extent cx="5347411" cy="2280920"/>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2596" cy="2283132"/>
                    </a:xfrm>
                    <a:prstGeom prst="rect">
                      <a:avLst/>
                    </a:prstGeom>
                    <a:noFill/>
                    <a:ln>
                      <a:noFill/>
                    </a:ln>
                  </pic:spPr>
                </pic:pic>
              </a:graphicData>
            </a:graphic>
          </wp:inline>
        </w:drawing>
      </w:r>
    </w:p>
    <w:p w:rsidR="0053778F" w:rsidRDefault="0053778F" w:rsidP="0053778F">
      <w:pPr>
        <w:jc w:val="left"/>
        <w:rPr>
          <w:rFonts w:cs="Arial"/>
          <w:vertAlign w:val="superscript"/>
          <w:lang w:val="en-US"/>
        </w:rPr>
      </w:pPr>
      <w:r w:rsidRPr="00FF01E2">
        <w:rPr>
          <w:rFonts w:cs="Arial"/>
          <w:lang w:val="en-US"/>
        </w:rPr>
        <w:t xml:space="preserve">Figure </w:t>
      </w:r>
      <w:r>
        <w:rPr>
          <w:rFonts w:cs="Arial"/>
          <w:lang w:val="en-US"/>
        </w:rPr>
        <w:t>3</w:t>
      </w:r>
      <w:r w:rsidRPr="00FF01E2">
        <w:rPr>
          <w:rFonts w:cs="Arial"/>
          <w:lang w:val="en-US"/>
        </w:rPr>
        <w:t xml:space="preserve">. Spectra of ethanol/water mixtures in </w:t>
      </w:r>
      <w:r>
        <w:rPr>
          <w:rFonts w:cs="Arial"/>
          <w:lang w:val="en-US"/>
        </w:rPr>
        <w:t>situ</w:t>
      </w:r>
      <w:r w:rsidRPr="00FF01E2">
        <w:rPr>
          <w:rFonts w:cs="Arial"/>
          <w:lang w:val="en-US"/>
        </w:rPr>
        <w:t xml:space="preserve"> (10-100%). Range: 250-1700 cm</w:t>
      </w:r>
      <w:r w:rsidRPr="00FF01E2">
        <w:rPr>
          <w:rFonts w:cs="Arial"/>
          <w:vertAlign w:val="superscript"/>
          <w:lang w:val="en-US"/>
        </w:rPr>
        <w:t>-1</w:t>
      </w:r>
    </w:p>
    <w:p w:rsidR="0026790E" w:rsidRDefault="0026790E" w:rsidP="0053778F">
      <w:pPr>
        <w:pStyle w:val="CETBodytext"/>
        <w:spacing w:line="360" w:lineRule="auto"/>
        <w:jc w:val="left"/>
      </w:pPr>
    </w:p>
    <w:p w:rsidR="0053778F" w:rsidRPr="000479E7" w:rsidRDefault="0053778F" w:rsidP="0053778F">
      <w:pPr>
        <w:pStyle w:val="CETBodytext"/>
        <w:spacing w:line="360" w:lineRule="auto"/>
        <w:jc w:val="left"/>
      </w:pPr>
      <w:r w:rsidRPr="005F08E2">
        <w:t>Table 1.</w:t>
      </w:r>
      <w:r w:rsidRPr="003767D4">
        <w:rPr>
          <w:b/>
        </w:rPr>
        <w:t xml:space="preserve"> </w:t>
      </w:r>
      <w:r>
        <w:t xml:space="preserve">Determination coefficients and root mean square errors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850"/>
        <w:gridCol w:w="851"/>
        <w:gridCol w:w="992"/>
        <w:gridCol w:w="992"/>
      </w:tblGrid>
      <w:tr w:rsidR="0053778F" w:rsidRPr="00B57B36" w:rsidTr="00047DF1">
        <w:tc>
          <w:tcPr>
            <w:tcW w:w="1134" w:type="dxa"/>
            <w:tcBorders>
              <w:top w:val="single" w:sz="12" w:space="0" w:color="008000"/>
              <w:bottom w:val="single" w:sz="6" w:space="0" w:color="008000"/>
            </w:tcBorders>
            <w:shd w:val="clear" w:color="auto" w:fill="FFFFFF"/>
            <w:vAlign w:val="center"/>
          </w:tcPr>
          <w:p w:rsidR="0053778F" w:rsidRPr="00B57B36" w:rsidRDefault="0053778F" w:rsidP="00047DF1">
            <w:pPr>
              <w:pStyle w:val="CETBodytext"/>
              <w:jc w:val="left"/>
              <w:rPr>
                <w:lang w:val="en-GB"/>
              </w:rPr>
            </w:pPr>
            <w:r w:rsidRPr="00B57B36">
              <w:rPr>
                <w:lang w:val="en-GB"/>
              </w:rPr>
              <w:t>Heading1</w:t>
            </w:r>
          </w:p>
        </w:tc>
        <w:tc>
          <w:tcPr>
            <w:tcW w:w="1418" w:type="dxa"/>
            <w:tcBorders>
              <w:top w:val="single" w:sz="12" w:space="0" w:color="008000"/>
              <w:bottom w:val="single" w:sz="6" w:space="0" w:color="008000"/>
            </w:tcBorders>
            <w:shd w:val="clear" w:color="auto" w:fill="FFFFFF"/>
            <w:vAlign w:val="center"/>
          </w:tcPr>
          <w:p w:rsidR="0053778F" w:rsidRPr="00B57B36" w:rsidRDefault="0053778F" w:rsidP="00047DF1">
            <w:pPr>
              <w:pStyle w:val="CETBodytext"/>
              <w:jc w:val="left"/>
              <w:rPr>
                <w:lang w:val="en-GB"/>
              </w:rPr>
            </w:pPr>
            <w:r>
              <w:t>Pre-treatment</w:t>
            </w:r>
          </w:p>
        </w:tc>
        <w:tc>
          <w:tcPr>
            <w:tcW w:w="850" w:type="dxa"/>
            <w:tcBorders>
              <w:top w:val="single" w:sz="12" w:space="0" w:color="008000"/>
              <w:bottom w:val="single" w:sz="6" w:space="0" w:color="008000"/>
            </w:tcBorders>
            <w:shd w:val="clear" w:color="auto" w:fill="FFFFFF"/>
            <w:vAlign w:val="center"/>
          </w:tcPr>
          <w:p w:rsidR="0053778F" w:rsidRPr="007314D6" w:rsidRDefault="0053778F" w:rsidP="00047DF1">
            <w:pPr>
              <w:pStyle w:val="CETBodytext"/>
              <w:jc w:val="left"/>
              <w:rPr>
                <w:lang w:val="en-GB"/>
              </w:rPr>
            </w:pPr>
            <w:r>
              <w:t>R</w:t>
            </w:r>
            <w:r>
              <w:rPr>
                <w:vertAlign w:val="superscript"/>
              </w:rPr>
              <w:t>2</w:t>
            </w:r>
            <w:r w:rsidRPr="006C3C28">
              <w:rPr>
                <w:vertAlign w:val="subscript"/>
              </w:rPr>
              <w:t>C</w:t>
            </w:r>
          </w:p>
        </w:tc>
        <w:tc>
          <w:tcPr>
            <w:tcW w:w="851" w:type="dxa"/>
            <w:tcBorders>
              <w:top w:val="single" w:sz="12" w:space="0" w:color="008000"/>
              <w:bottom w:val="single" w:sz="6" w:space="0" w:color="008000"/>
            </w:tcBorders>
            <w:shd w:val="clear" w:color="auto" w:fill="FFFFFF"/>
            <w:vAlign w:val="center"/>
          </w:tcPr>
          <w:p w:rsidR="0053778F" w:rsidRPr="007314D6" w:rsidRDefault="0053778F" w:rsidP="00047DF1">
            <w:pPr>
              <w:pStyle w:val="CETBodytext"/>
              <w:jc w:val="left"/>
              <w:rPr>
                <w:lang w:val="en-GB"/>
              </w:rPr>
            </w:pPr>
            <w:r>
              <w:t>R</w:t>
            </w:r>
            <w:r>
              <w:rPr>
                <w:vertAlign w:val="superscript"/>
              </w:rPr>
              <w:t>2</w:t>
            </w:r>
            <w:r w:rsidRPr="006C3C28">
              <w:rPr>
                <w:vertAlign w:val="subscript"/>
              </w:rPr>
              <w:t>V</w:t>
            </w:r>
          </w:p>
        </w:tc>
        <w:tc>
          <w:tcPr>
            <w:tcW w:w="992" w:type="dxa"/>
            <w:tcBorders>
              <w:top w:val="single" w:sz="12" w:space="0" w:color="008000"/>
              <w:bottom w:val="single" w:sz="6" w:space="0" w:color="008000"/>
            </w:tcBorders>
            <w:shd w:val="clear" w:color="auto" w:fill="FFFFFF"/>
            <w:vAlign w:val="center"/>
          </w:tcPr>
          <w:p w:rsidR="0053778F" w:rsidRPr="00B57B36" w:rsidRDefault="0053778F" w:rsidP="00047DF1">
            <w:pPr>
              <w:pStyle w:val="CETBodytext"/>
              <w:ind w:right="-1"/>
              <w:jc w:val="left"/>
              <w:rPr>
                <w:rFonts w:cs="Arial"/>
                <w:szCs w:val="18"/>
                <w:lang w:val="en-GB"/>
              </w:rPr>
            </w:pPr>
            <w:r>
              <w:t>RMSEP</w:t>
            </w:r>
            <w:r w:rsidRPr="006C3C28">
              <w:rPr>
                <w:vertAlign w:val="subscript"/>
              </w:rPr>
              <w:t>C</w:t>
            </w:r>
          </w:p>
        </w:tc>
        <w:tc>
          <w:tcPr>
            <w:tcW w:w="992" w:type="dxa"/>
            <w:tcBorders>
              <w:top w:val="single" w:sz="12" w:space="0" w:color="008000"/>
              <w:bottom w:val="single" w:sz="6" w:space="0" w:color="008000"/>
            </w:tcBorders>
            <w:shd w:val="clear" w:color="auto" w:fill="FFFFFF"/>
            <w:vAlign w:val="center"/>
          </w:tcPr>
          <w:p w:rsidR="0053778F" w:rsidRPr="00B57B36" w:rsidRDefault="0053778F" w:rsidP="00047DF1">
            <w:pPr>
              <w:pStyle w:val="CETBodytext"/>
              <w:ind w:right="-1"/>
              <w:jc w:val="left"/>
              <w:rPr>
                <w:rFonts w:cs="Arial"/>
                <w:szCs w:val="18"/>
                <w:lang w:val="en-GB"/>
              </w:rPr>
            </w:pPr>
            <w:r>
              <w:t>RMSEP</w:t>
            </w:r>
            <w:r w:rsidRPr="006C3C28">
              <w:rPr>
                <w:vertAlign w:val="subscript"/>
              </w:rPr>
              <w:t>V</w:t>
            </w:r>
          </w:p>
        </w:tc>
      </w:tr>
      <w:tr w:rsidR="0053778F" w:rsidRPr="00B57B36" w:rsidTr="00047DF1">
        <w:tc>
          <w:tcPr>
            <w:tcW w:w="1134" w:type="dxa"/>
            <w:vMerge w:val="restart"/>
            <w:shd w:val="clear" w:color="auto" w:fill="FFFFFF"/>
            <w:vAlign w:val="center"/>
          </w:tcPr>
          <w:p w:rsidR="0053778F" w:rsidRPr="00B57B36" w:rsidRDefault="0053778F" w:rsidP="00047DF1">
            <w:pPr>
              <w:pStyle w:val="CETBodytext"/>
              <w:jc w:val="left"/>
              <w:rPr>
                <w:lang w:val="en-GB"/>
              </w:rPr>
            </w:pPr>
            <w:r>
              <w:rPr>
                <w:lang w:val="en-GB"/>
              </w:rPr>
              <w:t>Batch</w:t>
            </w:r>
          </w:p>
        </w:tc>
        <w:tc>
          <w:tcPr>
            <w:tcW w:w="1418" w:type="dxa"/>
            <w:shd w:val="clear" w:color="auto" w:fill="FFFFFF"/>
            <w:vAlign w:val="center"/>
          </w:tcPr>
          <w:p w:rsidR="0053778F" w:rsidRPr="00B57B36" w:rsidRDefault="0053778F" w:rsidP="00047DF1">
            <w:pPr>
              <w:pStyle w:val="CETBodytext"/>
              <w:jc w:val="left"/>
              <w:rPr>
                <w:lang w:val="en-GB"/>
              </w:rPr>
            </w:pPr>
            <w:r>
              <w:t>Raw spectra</w:t>
            </w:r>
          </w:p>
        </w:tc>
        <w:tc>
          <w:tcPr>
            <w:tcW w:w="850" w:type="dxa"/>
            <w:shd w:val="clear" w:color="auto" w:fill="FFFFFF"/>
            <w:vAlign w:val="center"/>
          </w:tcPr>
          <w:p w:rsidR="0053778F" w:rsidRPr="00B57B36" w:rsidRDefault="0053778F" w:rsidP="00047DF1">
            <w:pPr>
              <w:pStyle w:val="CETBodytext"/>
              <w:jc w:val="left"/>
              <w:rPr>
                <w:lang w:val="en-GB"/>
              </w:rPr>
            </w:pPr>
            <w:r>
              <w:t>0.990</w:t>
            </w:r>
          </w:p>
        </w:tc>
        <w:tc>
          <w:tcPr>
            <w:tcW w:w="851" w:type="dxa"/>
            <w:shd w:val="clear" w:color="auto" w:fill="FFFFFF"/>
            <w:vAlign w:val="center"/>
          </w:tcPr>
          <w:p w:rsidR="0053778F" w:rsidRPr="00B57B36" w:rsidRDefault="0053778F" w:rsidP="00047DF1">
            <w:pPr>
              <w:pStyle w:val="CETBodytext"/>
              <w:jc w:val="left"/>
              <w:rPr>
                <w:lang w:val="en-GB"/>
              </w:rPr>
            </w:pPr>
            <w:r>
              <w:t>0.979</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2.761</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4.563</w:t>
            </w:r>
          </w:p>
        </w:tc>
      </w:tr>
      <w:tr w:rsidR="0053778F" w:rsidRPr="00B57B36" w:rsidTr="00047DF1">
        <w:tc>
          <w:tcPr>
            <w:tcW w:w="1134" w:type="dxa"/>
            <w:vMerge/>
            <w:shd w:val="clear" w:color="auto" w:fill="FFFFFF"/>
            <w:vAlign w:val="center"/>
          </w:tcPr>
          <w:p w:rsidR="0053778F" w:rsidRPr="00B57B36" w:rsidRDefault="0053778F" w:rsidP="00047DF1">
            <w:pPr>
              <w:pStyle w:val="CETBodytext"/>
              <w:ind w:right="-1"/>
              <w:jc w:val="left"/>
              <w:rPr>
                <w:rFonts w:cs="Arial"/>
                <w:szCs w:val="18"/>
                <w:lang w:val="en-GB"/>
              </w:rPr>
            </w:pPr>
          </w:p>
        </w:tc>
        <w:tc>
          <w:tcPr>
            <w:tcW w:w="1418" w:type="dxa"/>
            <w:shd w:val="clear" w:color="auto" w:fill="FFFFFF"/>
            <w:vAlign w:val="center"/>
          </w:tcPr>
          <w:p w:rsidR="0053778F" w:rsidRPr="00B57B36" w:rsidRDefault="0053778F" w:rsidP="00047DF1">
            <w:pPr>
              <w:pStyle w:val="CETBodytext"/>
              <w:ind w:right="-1"/>
              <w:jc w:val="left"/>
              <w:rPr>
                <w:rFonts w:cs="Arial"/>
                <w:szCs w:val="18"/>
                <w:lang w:val="en-GB"/>
              </w:rPr>
            </w:pPr>
            <w:r>
              <w:t>1° derivate</w:t>
            </w:r>
          </w:p>
        </w:tc>
        <w:tc>
          <w:tcPr>
            <w:tcW w:w="850" w:type="dxa"/>
            <w:shd w:val="clear" w:color="auto" w:fill="FFFFFF"/>
            <w:vAlign w:val="center"/>
          </w:tcPr>
          <w:p w:rsidR="0053778F" w:rsidRPr="00B57B36" w:rsidRDefault="0053778F" w:rsidP="00047DF1">
            <w:pPr>
              <w:pStyle w:val="CETBodytext"/>
              <w:ind w:right="-1"/>
              <w:jc w:val="left"/>
              <w:rPr>
                <w:rFonts w:cs="Arial"/>
                <w:szCs w:val="18"/>
                <w:lang w:val="en-GB"/>
              </w:rPr>
            </w:pPr>
            <w:r>
              <w:t>0.999</w:t>
            </w:r>
          </w:p>
        </w:tc>
        <w:tc>
          <w:tcPr>
            <w:tcW w:w="851" w:type="dxa"/>
            <w:shd w:val="clear" w:color="auto" w:fill="FFFFFF"/>
            <w:vAlign w:val="center"/>
          </w:tcPr>
          <w:p w:rsidR="0053778F" w:rsidRPr="00B57B36" w:rsidRDefault="0053778F" w:rsidP="00047DF1">
            <w:pPr>
              <w:pStyle w:val="CETBodytext"/>
              <w:ind w:right="-1"/>
              <w:jc w:val="left"/>
              <w:rPr>
                <w:rFonts w:cs="Arial"/>
                <w:szCs w:val="18"/>
                <w:lang w:val="en-GB"/>
              </w:rPr>
            </w:pPr>
            <w:r>
              <w:t>0.979</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0.595</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4.577</w:t>
            </w:r>
          </w:p>
        </w:tc>
      </w:tr>
      <w:tr w:rsidR="0053778F" w:rsidRPr="00B57B36" w:rsidTr="00047DF1">
        <w:tc>
          <w:tcPr>
            <w:tcW w:w="1134" w:type="dxa"/>
            <w:vMerge/>
            <w:shd w:val="clear" w:color="auto" w:fill="FFFFFF"/>
            <w:vAlign w:val="center"/>
          </w:tcPr>
          <w:p w:rsidR="0053778F" w:rsidRPr="00B57B36" w:rsidRDefault="0053778F" w:rsidP="00047DF1">
            <w:pPr>
              <w:pStyle w:val="CETBodytext"/>
              <w:ind w:right="-1"/>
              <w:jc w:val="left"/>
              <w:rPr>
                <w:rFonts w:cs="Arial"/>
                <w:szCs w:val="18"/>
                <w:lang w:val="en-GB"/>
              </w:rPr>
            </w:pPr>
          </w:p>
        </w:tc>
        <w:tc>
          <w:tcPr>
            <w:tcW w:w="1418" w:type="dxa"/>
            <w:shd w:val="clear" w:color="auto" w:fill="FFFFFF"/>
            <w:vAlign w:val="center"/>
          </w:tcPr>
          <w:p w:rsidR="0053778F" w:rsidRPr="00B57B36" w:rsidRDefault="0053778F" w:rsidP="00047DF1">
            <w:pPr>
              <w:pStyle w:val="CETBodytext"/>
              <w:ind w:right="-1"/>
              <w:jc w:val="left"/>
              <w:rPr>
                <w:rFonts w:cs="Arial"/>
                <w:szCs w:val="18"/>
                <w:lang w:val="en-GB"/>
              </w:rPr>
            </w:pPr>
            <w:r>
              <w:t>2° derivate</w:t>
            </w:r>
          </w:p>
        </w:tc>
        <w:tc>
          <w:tcPr>
            <w:tcW w:w="850" w:type="dxa"/>
            <w:shd w:val="clear" w:color="auto" w:fill="FFFFFF"/>
            <w:vAlign w:val="center"/>
          </w:tcPr>
          <w:p w:rsidR="0053778F" w:rsidRPr="00B57B36" w:rsidRDefault="0053778F" w:rsidP="00047DF1">
            <w:pPr>
              <w:pStyle w:val="CETBodytext"/>
              <w:ind w:right="-1"/>
              <w:jc w:val="left"/>
              <w:rPr>
                <w:rFonts w:cs="Arial"/>
                <w:szCs w:val="18"/>
                <w:lang w:val="en-GB"/>
              </w:rPr>
            </w:pPr>
            <w:r>
              <w:t>0.986</w:t>
            </w:r>
          </w:p>
        </w:tc>
        <w:tc>
          <w:tcPr>
            <w:tcW w:w="851" w:type="dxa"/>
            <w:shd w:val="clear" w:color="auto" w:fill="FFFFFF"/>
            <w:vAlign w:val="center"/>
          </w:tcPr>
          <w:p w:rsidR="0053778F" w:rsidRPr="00B57B36" w:rsidRDefault="0053778F" w:rsidP="00047DF1">
            <w:pPr>
              <w:pStyle w:val="CETBodytext"/>
              <w:ind w:right="-1"/>
              <w:jc w:val="left"/>
              <w:rPr>
                <w:rFonts w:cs="Arial"/>
                <w:szCs w:val="18"/>
                <w:lang w:val="en-GB"/>
              </w:rPr>
            </w:pPr>
            <w:r>
              <w:t>0.495</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3.386</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22.676</w:t>
            </w:r>
          </w:p>
        </w:tc>
      </w:tr>
      <w:tr w:rsidR="0053778F" w:rsidRPr="00B57B36" w:rsidTr="00047DF1">
        <w:tc>
          <w:tcPr>
            <w:tcW w:w="1134" w:type="dxa"/>
            <w:vMerge w:val="restart"/>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In-situ</w:t>
            </w:r>
          </w:p>
        </w:tc>
        <w:tc>
          <w:tcPr>
            <w:tcW w:w="1418" w:type="dxa"/>
            <w:shd w:val="clear" w:color="auto" w:fill="FFFFFF"/>
            <w:vAlign w:val="center"/>
          </w:tcPr>
          <w:p w:rsidR="0053778F" w:rsidRDefault="0053778F" w:rsidP="00047DF1">
            <w:pPr>
              <w:pStyle w:val="CETBodytext"/>
              <w:ind w:right="-1"/>
              <w:jc w:val="left"/>
            </w:pPr>
          </w:p>
          <w:p w:rsidR="0053778F" w:rsidRPr="00B57B36" w:rsidRDefault="0053778F" w:rsidP="00047DF1">
            <w:pPr>
              <w:pStyle w:val="CETBodytext"/>
              <w:ind w:right="-1"/>
              <w:jc w:val="left"/>
              <w:rPr>
                <w:rFonts w:cs="Arial"/>
                <w:szCs w:val="18"/>
                <w:lang w:val="en-GB"/>
              </w:rPr>
            </w:pPr>
            <w:r>
              <w:t>Raw spectra</w:t>
            </w:r>
          </w:p>
        </w:tc>
        <w:tc>
          <w:tcPr>
            <w:tcW w:w="850" w:type="dxa"/>
            <w:shd w:val="clear" w:color="auto" w:fill="FFFFFF"/>
            <w:vAlign w:val="center"/>
          </w:tcPr>
          <w:p w:rsidR="0053778F" w:rsidRDefault="0053778F" w:rsidP="00047DF1">
            <w:pPr>
              <w:pStyle w:val="CETBodytext"/>
              <w:ind w:right="-1"/>
              <w:jc w:val="left"/>
            </w:pPr>
          </w:p>
          <w:p w:rsidR="0053778F" w:rsidRPr="00B57B36" w:rsidRDefault="0053778F" w:rsidP="00047DF1">
            <w:pPr>
              <w:pStyle w:val="CETBodytext"/>
              <w:ind w:right="-1"/>
              <w:jc w:val="left"/>
              <w:rPr>
                <w:rFonts w:cs="Arial"/>
                <w:szCs w:val="18"/>
                <w:lang w:val="en-GB"/>
              </w:rPr>
            </w:pPr>
            <w:r>
              <w:t>0.998</w:t>
            </w:r>
          </w:p>
        </w:tc>
        <w:tc>
          <w:tcPr>
            <w:tcW w:w="851" w:type="dxa"/>
            <w:shd w:val="clear" w:color="auto" w:fill="FFFFFF"/>
            <w:vAlign w:val="center"/>
          </w:tcPr>
          <w:p w:rsidR="0053778F" w:rsidRDefault="0053778F" w:rsidP="00047DF1">
            <w:pPr>
              <w:pStyle w:val="CETBodytext"/>
              <w:ind w:right="-1"/>
              <w:jc w:val="left"/>
            </w:pPr>
          </w:p>
          <w:p w:rsidR="0053778F" w:rsidRPr="00B57B36" w:rsidRDefault="0053778F" w:rsidP="00047DF1">
            <w:pPr>
              <w:pStyle w:val="CETBodytext"/>
              <w:ind w:right="-1"/>
              <w:jc w:val="left"/>
              <w:rPr>
                <w:rFonts w:cs="Arial"/>
                <w:szCs w:val="18"/>
                <w:lang w:val="en-GB"/>
              </w:rPr>
            </w:pPr>
            <w:r>
              <w:t>0.982</w:t>
            </w:r>
          </w:p>
        </w:tc>
        <w:tc>
          <w:tcPr>
            <w:tcW w:w="992" w:type="dxa"/>
            <w:shd w:val="clear" w:color="auto" w:fill="FFFFFF"/>
            <w:vAlign w:val="center"/>
          </w:tcPr>
          <w:p w:rsidR="0053778F" w:rsidRDefault="0053778F" w:rsidP="00047DF1">
            <w:pPr>
              <w:pStyle w:val="CETBodytext"/>
              <w:ind w:right="-1"/>
              <w:jc w:val="left"/>
            </w:pPr>
          </w:p>
          <w:p w:rsidR="0053778F" w:rsidRPr="00B57B36" w:rsidRDefault="0053778F" w:rsidP="00047DF1">
            <w:pPr>
              <w:pStyle w:val="CETBodytext"/>
              <w:ind w:right="-1"/>
              <w:jc w:val="left"/>
              <w:rPr>
                <w:rFonts w:cs="Arial"/>
                <w:szCs w:val="18"/>
                <w:lang w:val="en-GB"/>
              </w:rPr>
            </w:pPr>
            <w:r>
              <w:t>1.199</w:t>
            </w:r>
          </w:p>
        </w:tc>
        <w:tc>
          <w:tcPr>
            <w:tcW w:w="992" w:type="dxa"/>
            <w:shd w:val="clear" w:color="auto" w:fill="FFFFFF"/>
            <w:vAlign w:val="center"/>
          </w:tcPr>
          <w:p w:rsidR="0053778F" w:rsidRDefault="0053778F" w:rsidP="00047DF1">
            <w:pPr>
              <w:pStyle w:val="CETBodytext"/>
              <w:ind w:right="-1"/>
              <w:jc w:val="left"/>
            </w:pPr>
          </w:p>
          <w:p w:rsidR="0053778F" w:rsidRPr="00B57B36" w:rsidRDefault="0053778F" w:rsidP="00047DF1">
            <w:pPr>
              <w:pStyle w:val="CETBodytext"/>
              <w:ind w:right="-1"/>
              <w:jc w:val="left"/>
              <w:rPr>
                <w:rFonts w:cs="Arial"/>
                <w:szCs w:val="18"/>
                <w:lang w:val="en-GB"/>
              </w:rPr>
            </w:pPr>
            <w:r>
              <w:t>4.233</w:t>
            </w:r>
          </w:p>
        </w:tc>
      </w:tr>
      <w:tr w:rsidR="0053778F" w:rsidRPr="00B57B36" w:rsidTr="00047DF1">
        <w:tc>
          <w:tcPr>
            <w:tcW w:w="1134" w:type="dxa"/>
            <w:vMerge/>
            <w:shd w:val="clear" w:color="auto" w:fill="FFFFFF"/>
            <w:vAlign w:val="center"/>
          </w:tcPr>
          <w:p w:rsidR="0053778F" w:rsidRPr="00B57B36" w:rsidRDefault="0053778F" w:rsidP="00047DF1">
            <w:pPr>
              <w:pStyle w:val="CETBodytext"/>
              <w:ind w:right="-1"/>
              <w:jc w:val="left"/>
              <w:rPr>
                <w:rFonts w:cs="Arial"/>
                <w:szCs w:val="18"/>
                <w:lang w:val="en-GB"/>
              </w:rPr>
            </w:pPr>
          </w:p>
        </w:tc>
        <w:tc>
          <w:tcPr>
            <w:tcW w:w="1418" w:type="dxa"/>
            <w:shd w:val="clear" w:color="auto" w:fill="FFFFFF"/>
            <w:vAlign w:val="center"/>
          </w:tcPr>
          <w:p w:rsidR="0053778F" w:rsidRPr="00B57B36" w:rsidRDefault="0053778F" w:rsidP="00047DF1">
            <w:pPr>
              <w:pStyle w:val="CETBodytext"/>
              <w:ind w:right="-1"/>
              <w:jc w:val="left"/>
              <w:rPr>
                <w:rFonts w:cs="Arial"/>
                <w:szCs w:val="18"/>
                <w:lang w:val="en-GB"/>
              </w:rPr>
            </w:pPr>
            <w:r>
              <w:t>1° derivate</w:t>
            </w:r>
          </w:p>
        </w:tc>
        <w:tc>
          <w:tcPr>
            <w:tcW w:w="850" w:type="dxa"/>
            <w:shd w:val="clear" w:color="auto" w:fill="FFFFFF"/>
            <w:vAlign w:val="center"/>
          </w:tcPr>
          <w:p w:rsidR="0053778F" w:rsidRPr="00B57B36" w:rsidRDefault="0053778F" w:rsidP="00047DF1">
            <w:pPr>
              <w:pStyle w:val="CETBodytext"/>
              <w:ind w:right="-1"/>
              <w:jc w:val="left"/>
              <w:rPr>
                <w:rFonts w:cs="Arial"/>
                <w:szCs w:val="18"/>
                <w:lang w:val="en-GB"/>
              </w:rPr>
            </w:pPr>
            <w:r>
              <w:t>0.942</w:t>
            </w:r>
          </w:p>
        </w:tc>
        <w:tc>
          <w:tcPr>
            <w:tcW w:w="851" w:type="dxa"/>
            <w:shd w:val="clear" w:color="auto" w:fill="FFFFFF"/>
            <w:vAlign w:val="center"/>
          </w:tcPr>
          <w:p w:rsidR="0053778F" w:rsidRPr="00B57B36" w:rsidRDefault="0053778F" w:rsidP="00047DF1">
            <w:pPr>
              <w:pStyle w:val="CETBodytext"/>
              <w:ind w:right="-1"/>
              <w:jc w:val="left"/>
              <w:rPr>
                <w:rFonts w:cs="Arial"/>
                <w:szCs w:val="18"/>
                <w:lang w:val="en-GB"/>
              </w:rPr>
            </w:pPr>
            <w:r>
              <w:t>0.894</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6.905</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10.379</w:t>
            </w:r>
          </w:p>
        </w:tc>
      </w:tr>
      <w:tr w:rsidR="0053778F" w:rsidRPr="00B57B36" w:rsidTr="00047DF1">
        <w:tc>
          <w:tcPr>
            <w:tcW w:w="1134" w:type="dxa"/>
            <w:vMerge/>
            <w:shd w:val="clear" w:color="auto" w:fill="FFFFFF"/>
            <w:vAlign w:val="center"/>
          </w:tcPr>
          <w:p w:rsidR="0053778F" w:rsidRPr="00B57B36" w:rsidRDefault="0053778F" w:rsidP="00047DF1">
            <w:pPr>
              <w:pStyle w:val="CETBodytext"/>
              <w:ind w:right="-1"/>
              <w:jc w:val="left"/>
              <w:rPr>
                <w:rFonts w:cs="Arial"/>
                <w:szCs w:val="18"/>
                <w:lang w:val="en-GB"/>
              </w:rPr>
            </w:pPr>
          </w:p>
        </w:tc>
        <w:tc>
          <w:tcPr>
            <w:tcW w:w="1418" w:type="dxa"/>
            <w:shd w:val="clear" w:color="auto" w:fill="FFFFFF"/>
            <w:vAlign w:val="center"/>
          </w:tcPr>
          <w:p w:rsidR="0053778F" w:rsidRPr="00B57B36" w:rsidRDefault="0053778F" w:rsidP="00047DF1">
            <w:pPr>
              <w:pStyle w:val="CETBodytext"/>
              <w:ind w:right="-1"/>
              <w:jc w:val="left"/>
              <w:rPr>
                <w:rFonts w:cs="Arial"/>
                <w:szCs w:val="18"/>
                <w:lang w:val="en-GB"/>
              </w:rPr>
            </w:pPr>
            <w:r>
              <w:t>2° derivate</w:t>
            </w:r>
          </w:p>
        </w:tc>
        <w:tc>
          <w:tcPr>
            <w:tcW w:w="850" w:type="dxa"/>
            <w:shd w:val="clear" w:color="auto" w:fill="FFFFFF"/>
            <w:vAlign w:val="center"/>
          </w:tcPr>
          <w:p w:rsidR="0053778F" w:rsidRPr="00B57B36" w:rsidRDefault="0053778F" w:rsidP="00047DF1">
            <w:pPr>
              <w:pStyle w:val="CETBodytext"/>
              <w:ind w:right="-1"/>
              <w:jc w:val="left"/>
              <w:rPr>
                <w:rFonts w:cs="Arial"/>
                <w:szCs w:val="18"/>
                <w:lang w:val="en-GB"/>
              </w:rPr>
            </w:pPr>
            <w:r>
              <w:t>0.996</w:t>
            </w:r>
          </w:p>
        </w:tc>
        <w:tc>
          <w:tcPr>
            <w:tcW w:w="851" w:type="dxa"/>
            <w:shd w:val="clear" w:color="auto" w:fill="FFFFFF"/>
            <w:vAlign w:val="center"/>
          </w:tcPr>
          <w:p w:rsidR="0053778F" w:rsidRPr="00B57B36" w:rsidRDefault="0053778F" w:rsidP="00047DF1">
            <w:pPr>
              <w:pStyle w:val="CETBodytext"/>
              <w:ind w:right="-1"/>
              <w:jc w:val="left"/>
              <w:rPr>
                <w:rFonts w:cs="Arial"/>
                <w:szCs w:val="18"/>
                <w:lang w:val="en-GB"/>
              </w:rPr>
            </w:pPr>
            <w:r>
              <w:t>0.935</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1.670</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t>8.119</w:t>
            </w:r>
          </w:p>
        </w:tc>
      </w:tr>
    </w:tbl>
    <w:p w:rsidR="0053778F" w:rsidRDefault="0053778F" w:rsidP="0053778F">
      <w:pPr>
        <w:pStyle w:val="CETBodytext"/>
        <w:jc w:val="left"/>
      </w:pPr>
      <w:r>
        <w:rPr>
          <w:noProof/>
          <w:lang w:val="pt-BR" w:eastAsia="pt-BR"/>
        </w:rPr>
        <w:lastRenderedPageBreak/>
        <w:drawing>
          <wp:inline distT="0" distB="0" distL="0" distR="0" wp14:anchorId="163B8ADC" wp14:editId="054AE920">
            <wp:extent cx="2603500" cy="1935959"/>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7380" cy="1953716"/>
                    </a:xfrm>
                    <a:prstGeom prst="rect">
                      <a:avLst/>
                    </a:prstGeom>
                  </pic:spPr>
                </pic:pic>
              </a:graphicData>
            </a:graphic>
          </wp:inline>
        </w:drawing>
      </w:r>
      <w:r>
        <w:br w:type="textWrapping" w:clear="all"/>
      </w:r>
    </w:p>
    <w:p w:rsidR="0053778F" w:rsidRDefault="0053778F" w:rsidP="0053778F">
      <w:pPr>
        <w:pStyle w:val="CETBodytext"/>
        <w:jc w:val="left"/>
      </w:pPr>
      <w:r>
        <w:t xml:space="preserve">Figure 4. Predicted versus measured ethanol content in water of in-situ analysis. </w:t>
      </w:r>
    </w:p>
    <w:p w:rsidR="0053778F" w:rsidRDefault="0053778F" w:rsidP="0053778F">
      <w:pPr>
        <w:pStyle w:val="CETBodytext"/>
        <w:jc w:val="left"/>
      </w:pPr>
    </w:p>
    <w:p w:rsidR="0053778F" w:rsidRPr="00BC2F31" w:rsidRDefault="0053778F" w:rsidP="0053778F">
      <w:pPr>
        <w:pStyle w:val="CETBodytext"/>
        <w:numPr>
          <w:ilvl w:val="1"/>
          <w:numId w:val="22"/>
        </w:numPr>
        <w:jc w:val="left"/>
        <w:rPr>
          <w:b/>
        </w:rPr>
      </w:pPr>
      <w:r w:rsidRPr="00BC2F31">
        <w:rPr>
          <w:b/>
        </w:rPr>
        <w:t>Ethanol/oil samples</w:t>
      </w:r>
    </w:p>
    <w:p w:rsidR="0053778F" w:rsidRDefault="0053778F" w:rsidP="0053778F">
      <w:pPr>
        <w:pStyle w:val="CETBodytext"/>
        <w:rPr>
          <w:rFonts w:cs="Arial"/>
        </w:rPr>
      </w:pPr>
      <w:r w:rsidRPr="00BC01CC">
        <w:t>The spectra of the ethanol</w:t>
      </w:r>
      <w:r>
        <w:t>/</w:t>
      </w:r>
      <w:r w:rsidRPr="00BC01CC">
        <w:t>oil mixture at different molar rati</w:t>
      </w:r>
      <w:r>
        <w:t>os (6-15) are shown in Figures 5 and 6</w:t>
      </w:r>
      <w:r w:rsidRPr="00BC01CC">
        <w:t>. Batch analyzes showed peaks similar</w:t>
      </w:r>
      <w:r>
        <w:t xml:space="preserve"> </w:t>
      </w:r>
      <w:r w:rsidRPr="00BC01CC">
        <w:t>to those observed in the ethanol/water blends spectra. The PLS model for the batch mode, which presented the highest determination coefficients for calibration and validation, associated with the lowest errors, was obtained after the second derivative was applied to the spectral data (R</w:t>
      </w:r>
      <w:r w:rsidRPr="00BC01CC">
        <w:rPr>
          <w:vertAlign w:val="superscript"/>
        </w:rPr>
        <w:t>2</w:t>
      </w:r>
      <w:r w:rsidRPr="00BC01CC">
        <w:rPr>
          <w:vertAlign w:val="subscript"/>
        </w:rPr>
        <w:t>C</w:t>
      </w:r>
      <w:r w:rsidRPr="00BC01CC">
        <w:t xml:space="preserve"> = 0.973, R</w:t>
      </w:r>
      <w:r w:rsidRPr="00BC01CC">
        <w:rPr>
          <w:vertAlign w:val="superscript"/>
        </w:rPr>
        <w:t>2</w:t>
      </w:r>
      <w:r w:rsidRPr="00BC01CC">
        <w:rPr>
          <w:vertAlign w:val="subscript"/>
        </w:rPr>
        <w:t>V</w:t>
      </w:r>
      <w:r w:rsidRPr="00BC01CC">
        <w:t xml:space="preserve"> = 0.883).</w:t>
      </w:r>
      <w:r w:rsidR="00CE5FEF">
        <w:t xml:space="preserve"> </w:t>
      </w:r>
      <w:r>
        <w:t xml:space="preserve">In the in situ analyzes </w:t>
      </w:r>
      <w:r w:rsidRPr="00BC01CC">
        <w:t>the presence of considerable noise</w:t>
      </w:r>
      <w:r>
        <w:t xml:space="preserve"> is observed</w:t>
      </w:r>
      <w:r w:rsidRPr="00BC01CC">
        <w:t>. For these spectra</w:t>
      </w:r>
      <w:r w:rsidR="00A34BAD">
        <w:t>,</w:t>
      </w:r>
      <w:r w:rsidRPr="00BC01CC">
        <w:t xml:space="preserve"> it was necessary to perform an additional pre-treatment of baseline correction prior to the pre-treatments mentioned in Table 2. The application of the first derivative was the pretreatment that generated the highest determination coefficients (R</w:t>
      </w:r>
      <w:r w:rsidRPr="00DF55DA">
        <w:rPr>
          <w:vertAlign w:val="superscript"/>
        </w:rPr>
        <w:t>2</w:t>
      </w:r>
      <w:r w:rsidRPr="00DF55DA">
        <w:rPr>
          <w:vertAlign w:val="subscript"/>
        </w:rPr>
        <w:t>C</w:t>
      </w:r>
      <w:r w:rsidRPr="00BC01CC">
        <w:t xml:space="preserve"> = 0.996, R</w:t>
      </w:r>
      <w:r w:rsidRPr="00DF55DA">
        <w:rPr>
          <w:vertAlign w:val="superscript"/>
        </w:rPr>
        <w:t>2</w:t>
      </w:r>
      <w:r w:rsidRPr="00DF55DA">
        <w:rPr>
          <w:vertAlign w:val="subscript"/>
        </w:rPr>
        <w:t>V</w:t>
      </w:r>
      <w:r w:rsidRPr="00BC01CC">
        <w:t xml:space="preserve"> = 0.927)</w:t>
      </w:r>
      <w:r>
        <w:t xml:space="preserve">. </w:t>
      </w:r>
      <w:r w:rsidRPr="007261AC">
        <w:rPr>
          <w:rFonts w:cs="Arial"/>
        </w:rPr>
        <w:t xml:space="preserve">Figure </w:t>
      </w:r>
      <w:r>
        <w:rPr>
          <w:rFonts w:cs="Arial"/>
        </w:rPr>
        <w:t>7</w:t>
      </w:r>
      <w:r w:rsidRPr="007261AC">
        <w:rPr>
          <w:rFonts w:cs="Arial"/>
        </w:rPr>
        <w:t xml:space="preserve"> shows the adjustment of the PLS calibration model with the values predicted by </w:t>
      </w:r>
      <w:r>
        <w:rPr>
          <w:rFonts w:cs="Arial"/>
        </w:rPr>
        <w:t xml:space="preserve">PLS </w:t>
      </w:r>
      <w:r w:rsidRPr="007261AC">
        <w:rPr>
          <w:rFonts w:cs="Arial"/>
        </w:rPr>
        <w:t>m</w:t>
      </w:r>
      <w:r>
        <w:rPr>
          <w:rFonts w:cs="Arial"/>
        </w:rPr>
        <w:t xml:space="preserve">odel versus the measured values, </w:t>
      </w:r>
      <w:r w:rsidRPr="00605E98">
        <w:rPr>
          <w:rFonts w:cs="Arial"/>
        </w:rPr>
        <w:t>showing that Raman spectroscopy can be used for the quantification of ethanol concentration in the soybean oil mixture in situ in microfluidic devices.</w:t>
      </w:r>
    </w:p>
    <w:p w:rsidR="00CE5FEF" w:rsidRPr="00CE5FEF" w:rsidRDefault="00E601CB" w:rsidP="0053778F">
      <w:pPr>
        <w:pStyle w:val="CETBodytext"/>
      </w:pPr>
      <w:r w:rsidRPr="00E601CB">
        <w:t>Therefore it is clear that the method of quantification of ethanol in the mixture with oil is highly predictive and can serve as a basis for monitoring reactions where ethanol is present, as in the reaction of biodisel for example, where the interest is in the detection of ethanol consumption during the reaction.</w:t>
      </w:r>
    </w:p>
    <w:p w:rsidR="0026790E" w:rsidRPr="00786528" w:rsidRDefault="0026790E" w:rsidP="0053778F">
      <w:pPr>
        <w:pStyle w:val="CETBodytext"/>
      </w:pPr>
    </w:p>
    <w:p w:rsidR="0053778F" w:rsidRDefault="0053778F" w:rsidP="0053778F">
      <w:pPr>
        <w:pStyle w:val="CETBodytext"/>
        <w:jc w:val="left"/>
      </w:pPr>
      <w:r>
        <w:rPr>
          <w:noProof/>
          <w:lang w:val="pt-BR" w:eastAsia="pt-BR"/>
        </w:rPr>
        <w:drawing>
          <wp:inline distT="0" distB="0" distL="0" distR="0" wp14:anchorId="25DE23E1" wp14:editId="56132B81">
            <wp:extent cx="5579745" cy="225308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4634" cy="2255055"/>
                    </a:xfrm>
                    <a:prstGeom prst="rect">
                      <a:avLst/>
                    </a:prstGeom>
                  </pic:spPr>
                </pic:pic>
              </a:graphicData>
            </a:graphic>
          </wp:inline>
        </w:drawing>
      </w:r>
    </w:p>
    <w:p w:rsidR="0053778F" w:rsidRDefault="0053778F" w:rsidP="0053778F">
      <w:pPr>
        <w:pStyle w:val="CETBodytext"/>
        <w:jc w:val="left"/>
      </w:pPr>
    </w:p>
    <w:p w:rsidR="0053778F" w:rsidRPr="005368AF" w:rsidRDefault="0053778F" w:rsidP="0053778F">
      <w:pPr>
        <w:jc w:val="left"/>
        <w:rPr>
          <w:rFonts w:cs="Arial"/>
          <w:lang w:val="en-US"/>
        </w:rPr>
      </w:pPr>
      <w:r w:rsidRPr="00FF01E2">
        <w:rPr>
          <w:rFonts w:cs="Arial"/>
          <w:lang w:val="en-US"/>
        </w:rPr>
        <w:t xml:space="preserve">Figure </w:t>
      </w:r>
      <w:r>
        <w:rPr>
          <w:rFonts w:cs="Arial"/>
          <w:lang w:val="en-US"/>
        </w:rPr>
        <w:t>5</w:t>
      </w:r>
      <w:r w:rsidRPr="00FF01E2">
        <w:rPr>
          <w:rFonts w:cs="Arial"/>
          <w:lang w:val="en-US"/>
        </w:rPr>
        <w:t>. Spectra of ethanol/</w:t>
      </w:r>
      <w:r>
        <w:rPr>
          <w:rFonts w:cs="Arial"/>
          <w:lang w:val="en-US"/>
        </w:rPr>
        <w:t>oil</w:t>
      </w:r>
      <w:r w:rsidRPr="00FF01E2">
        <w:rPr>
          <w:rFonts w:cs="Arial"/>
          <w:lang w:val="en-US"/>
        </w:rPr>
        <w:t xml:space="preserve"> mixtures in </w:t>
      </w:r>
      <w:r>
        <w:rPr>
          <w:rFonts w:cs="Arial"/>
          <w:lang w:val="en-US"/>
        </w:rPr>
        <w:t>batch</w:t>
      </w:r>
      <w:r w:rsidRPr="00FF01E2">
        <w:rPr>
          <w:rFonts w:cs="Arial"/>
          <w:lang w:val="en-US"/>
        </w:rPr>
        <w:t xml:space="preserve"> mode (</w:t>
      </w:r>
      <w:r>
        <w:rPr>
          <w:rFonts w:cs="Arial"/>
          <w:lang w:val="en-US"/>
        </w:rPr>
        <w:t>6-15 molar ratio</w:t>
      </w:r>
      <w:r w:rsidRPr="00FF01E2">
        <w:rPr>
          <w:rFonts w:cs="Arial"/>
          <w:lang w:val="en-US"/>
        </w:rPr>
        <w:t xml:space="preserve">). Range: </w:t>
      </w:r>
      <w:r>
        <w:rPr>
          <w:rFonts w:cs="Arial"/>
          <w:lang w:val="en-US"/>
        </w:rPr>
        <w:t>800</w:t>
      </w:r>
      <w:r w:rsidRPr="00FF01E2">
        <w:rPr>
          <w:rFonts w:cs="Arial"/>
          <w:lang w:val="en-US"/>
        </w:rPr>
        <w:t>-1</w:t>
      </w:r>
      <w:r>
        <w:rPr>
          <w:rFonts w:cs="Arial"/>
          <w:lang w:val="en-US"/>
        </w:rPr>
        <w:t>800</w:t>
      </w:r>
      <w:r w:rsidRPr="00FF01E2">
        <w:rPr>
          <w:rFonts w:cs="Arial"/>
          <w:lang w:val="en-US"/>
        </w:rPr>
        <w:t xml:space="preserve"> cm</w:t>
      </w:r>
      <w:r w:rsidRPr="00FF01E2">
        <w:rPr>
          <w:rFonts w:cs="Arial"/>
          <w:vertAlign w:val="superscript"/>
          <w:lang w:val="en-US"/>
        </w:rPr>
        <w:t>-1</w:t>
      </w:r>
      <w:r>
        <w:rPr>
          <w:rFonts w:cs="Arial"/>
          <w:lang w:val="en-US"/>
        </w:rPr>
        <w:t xml:space="preserve"> </w:t>
      </w:r>
    </w:p>
    <w:p w:rsidR="0053778F" w:rsidRDefault="0053778F" w:rsidP="0053778F">
      <w:pPr>
        <w:pStyle w:val="CETBodytext"/>
        <w:jc w:val="left"/>
      </w:pPr>
    </w:p>
    <w:p w:rsidR="0053778F" w:rsidRDefault="0053778F" w:rsidP="0053778F">
      <w:pPr>
        <w:pStyle w:val="CETBodytext"/>
        <w:jc w:val="left"/>
      </w:pPr>
      <w:r>
        <w:rPr>
          <w:noProof/>
          <w:lang w:val="pt-BR" w:eastAsia="pt-BR"/>
        </w:rPr>
        <w:lastRenderedPageBreak/>
        <w:drawing>
          <wp:inline distT="0" distB="0" distL="0" distR="0" wp14:anchorId="3878D99E" wp14:editId="0F414F81">
            <wp:extent cx="5579745" cy="236601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79745" cy="2366010"/>
                    </a:xfrm>
                    <a:prstGeom prst="rect">
                      <a:avLst/>
                    </a:prstGeom>
                  </pic:spPr>
                </pic:pic>
              </a:graphicData>
            </a:graphic>
          </wp:inline>
        </w:drawing>
      </w:r>
    </w:p>
    <w:p w:rsidR="0053778F" w:rsidRDefault="0053778F" w:rsidP="0053778F">
      <w:pPr>
        <w:jc w:val="left"/>
        <w:rPr>
          <w:rFonts w:cs="Arial"/>
          <w:lang w:val="en-US"/>
        </w:rPr>
      </w:pPr>
    </w:p>
    <w:p w:rsidR="0053778F" w:rsidRDefault="0053778F" w:rsidP="0053778F">
      <w:pPr>
        <w:jc w:val="left"/>
        <w:rPr>
          <w:rFonts w:cs="Arial"/>
          <w:vertAlign w:val="superscript"/>
          <w:lang w:val="en-US"/>
        </w:rPr>
      </w:pPr>
      <w:r w:rsidRPr="00FF01E2">
        <w:rPr>
          <w:rFonts w:cs="Arial"/>
          <w:lang w:val="en-US"/>
        </w:rPr>
        <w:t xml:space="preserve">Figure </w:t>
      </w:r>
      <w:r>
        <w:rPr>
          <w:rFonts w:cs="Arial"/>
          <w:lang w:val="en-US"/>
        </w:rPr>
        <w:t>6</w:t>
      </w:r>
      <w:r w:rsidRPr="00FF01E2">
        <w:rPr>
          <w:rFonts w:cs="Arial"/>
          <w:lang w:val="en-US"/>
        </w:rPr>
        <w:t>. Spectra of ethanol/</w:t>
      </w:r>
      <w:r>
        <w:rPr>
          <w:rFonts w:cs="Arial"/>
          <w:lang w:val="en-US"/>
        </w:rPr>
        <w:t>oil</w:t>
      </w:r>
      <w:r w:rsidRPr="00FF01E2">
        <w:rPr>
          <w:rFonts w:cs="Arial"/>
          <w:lang w:val="en-US"/>
        </w:rPr>
        <w:t xml:space="preserve"> mixtures in </w:t>
      </w:r>
      <w:r>
        <w:rPr>
          <w:rFonts w:cs="Arial"/>
          <w:lang w:val="en-US"/>
        </w:rPr>
        <w:t>situ</w:t>
      </w:r>
      <w:r w:rsidRPr="00FF01E2">
        <w:rPr>
          <w:rFonts w:cs="Arial"/>
          <w:lang w:val="en-US"/>
        </w:rPr>
        <w:t xml:space="preserve"> (</w:t>
      </w:r>
      <w:r>
        <w:rPr>
          <w:rFonts w:cs="Arial"/>
          <w:lang w:val="en-US"/>
        </w:rPr>
        <w:t>6-15 molar ratio</w:t>
      </w:r>
      <w:r w:rsidRPr="00FF01E2">
        <w:rPr>
          <w:rFonts w:cs="Arial"/>
          <w:lang w:val="en-US"/>
        </w:rPr>
        <w:t xml:space="preserve">). Range: </w:t>
      </w:r>
      <w:r>
        <w:rPr>
          <w:rFonts w:cs="Arial"/>
          <w:lang w:val="en-US"/>
        </w:rPr>
        <w:t>800</w:t>
      </w:r>
      <w:r w:rsidRPr="00FF01E2">
        <w:rPr>
          <w:rFonts w:cs="Arial"/>
          <w:lang w:val="en-US"/>
        </w:rPr>
        <w:t>-1</w:t>
      </w:r>
      <w:r>
        <w:rPr>
          <w:rFonts w:cs="Arial"/>
          <w:lang w:val="en-US"/>
        </w:rPr>
        <w:t>800</w:t>
      </w:r>
      <w:r w:rsidRPr="00FF01E2">
        <w:rPr>
          <w:rFonts w:cs="Arial"/>
          <w:lang w:val="en-US"/>
        </w:rPr>
        <w:t xml:space="preserve"> cm</w:t>
      </w:r>
      <w:r w:rsidRPr="00FF01E2">
        <w:rPr>
          <w:rFonts w:cs="Arial"/>
          <w:vertAlign w:val="superscript"/>
          <w:lang w:val="en-US"/>
        </w:rPr>
        <w:t>-1</w:t>
      </w:r>
    </w:p>
    <w:p w:rsidR="0053778F" w:rsidRDefault="0053778F" w:rsidP="0053778F">
      <w:pPr>
        <w:jc w:val="left"/>
        <w:rPr>
          <w:rFonts w:cs="Arial"/>
          <w:vertAlign w:val="superscript"/>
          <w:lang w:val="en-US"/>
        </w:rPr>
      </w:pPr>
    </w:p>
    <w:p w:rsidR="0053778F" w:rsidRPr="00142FA3" w:rsidRDefault="0053778F" w:rsidP="0053778F">
      <w:pPr>
        <w:jc w:val="left"/>
        <w:rPr>
          <w:rFonts w:cs="Arial"/>
          <w:vertAlign w:val="superscript"/>
          <w:lang w:val="en-US"/>
        </w:rPr>
      </w:pPr>
    </w:p>
    <w:p w:rsidR="0053778F" w:rsidRDefault="0053778F" w:rsidP="0053778F">
      <w:pPr>
        <w:pStyle w:val="CETBodytext"/>
        <w:spacing w:line="360" w:lineRule="auto"/>
        <w:jc w:val="left"/>
      </w:pPr>
      <w:r w:rsidRPr="005F08E2">
        <w:t xml:space="preserve">Table </w:t>
      </w:r>
      <w:r>
        <w:t>2</w:t>
      </w:r>
      <w:r w:rsidRPr="005F08E2">
        <w:t>.</w:t>
      </w:r>
      <w:r w:rsidRPr="003767D4">
        <w:rPr>
          <w:b/>
        </w:rPr>
        <w:t xml:space="preserve"> </w:t>
      </w:r>
      <w:r>
        <w:t xml:space="preserve">Determination coefficients and root mean square errors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850"/>
        <w:gridCol w:w="851"/>
        <w:gridCol w:w="992"/>
        <w:gridCol w:w="992"/>
      </w:tblGrid>
      <w:tr w:rsidR="0053778F" w:rsidRPr="00B57B36" w:rsidTr="00047DF1">
        <w:tc>
          <w:tcPr>
            <w:tcW w:w="1134" w:type="dxa"/>
            <w:tcBorders>
              <w:top w:val="single" w:sz="12" w:space="0" w:color="008000"/>
              <w:bottom w:val="single" w:sz="6" w:space="0" w:color="008000"/>
            </w:tcBorders>
            <w:shd w:val="clear" w:color="auto" w:fill="FFFFFF"/>
            <w:vAlign w:val="center"/>
          </w:tcPr>
          <w:p w:rsidR="0053778F" w:rsidRPr="00B57B36" w:rsidRDefault="0053778F" w:rsidP="00047DF1">
            <w:pPr>
              <w:pStyle w:val="CETBodytext"/>
              <w:jc w:val="left"/>
              <w:rPr>
                <w:lang w:val="en-GB"/>
              </w:rPr>
            </w:pPr>
            <w:r w:rsidRPr="00B57B36">
              <w:rPr>
                <w:lang w:val="en-GB"/>
              </w:rPr>
              <w:t>Heading1</w:t>
            </w:r>
          </w:p>
        </w:tc>
        <w:tc>
          <w:tcPr>
            <w:tcW w:w="1418" w:type="dxa"/>
            <w:tcBorders>
              <w:top w:val="single" w:sz="12" w:space="0" w:color="008000"/>
              <w:bottom w:val="single" w:sz="6" w:space="0" w:color="008000"/>
            </w:tcBorders>
            <w:shd w:val="clear" w:color="auto" w:fill="FFFFFF"/>
            <w:vAlign w:val="center"/>
          </w:tcPr>
          <w:p w:rsidR="0053778F" w:rsidRPr="00B57B36" w:rsidRDefault="0053778F" w:rsidP="00047DF1">
            <w:pPr>
              <w:pStyle w:val="CETBodytext"/>
              <w:jc w:val="left"/>
              <w:rPr>
                <w:lang w:val="en-GB"/>
              </w:rPr>
            </w:pPr>
            <w:r>
              <w:t>Pre-treatment</w:t>
            </w:r>
          </w:p>
        </w:tc>
        <w:tc>
          <w:tcPr>
            <w:tcW w:w="850" w:type="dxa"/>
            <w:tcBorders>
              <w:top w:val="single" w:sz="12" w:space="0" w:color="008000"/>
              <w:bottom w:val="single" w:sz="6" w:space="0" w:color="008000"/>
            </w:tcBorders>
            <w:shd w:val="clear" w:color="auto" w:fill="FFFFFF"/>
            <w:vAlign w:val="center"/>
          </w:tcPr>
          <w:p w:rsidR="0053778F" w:rsidRPr="004058DF" w:rsidRDefault="0053778F" w:rsidP="00047DF1">
            <w:pPr>
              <w:pStyle w:val="CETBodytext"/>
              <w:jc w:val="left"/>
              <w:rPr>
                <w:lang w:val="en-GB"/>
              </w:rPr>
            </w:pPr>
            <w:r>
              <w:t>R</w:t>
            </w:r>
            <w:r>
              <w:rPr>
                <w:vertAlign w:val="superscript"/>
              </w:rPr>
              <w:t>2</w:t>
            </w:r>
            <w:r w:rsidRPr="006C3C28">
              <w:rPr>
                <w:vertAlign w:val="subscript"/>
              </w:rPr>
              <w:t>C</w:t>
            </w:r>
          </w:p>
        </w:tc>
        <w:tc>
          <w:tcPr>
            <w:tcW w:w="851" w:type="dxa"/>
            <w:tcBorders>
              <w:top w:val="single" w:sz="12" w:space="0" w:color="008000"/>
              <w:bottom w:val="single" w:sz="6" w:space="0" w:color="008000"/>
            </w:tcBorders>
            <w:shd w:val="clear" w:color="auto" w:fill="FFFFFF"/>
            <w:vAlign w:val="center"/>
          </w:tcPr>
          <w:p w:rsidR="0053778F" w:rsidRPr="004058DF" w:rsidRDefault="0053778F" w:rsidP="00047DF1">
            <w:pPr>
              <w:pStyle w:val="CETBodytext"/>
              <w:jc w:val="left"/>
              <w:rPr>
                <w:lang w:val="en-GB"/>
              </w:rPr>
            </w:pPr>
            <w:r>
              <w:t>R</w:t>
            </w:r>
            <w:r>
              <w:rPr>
                <w:vertAlign w:val="superscript"/>
              </w:rPr>
              <w:t>2</w:t>
            </w:r>
            <w:r w:rsidRPr="006C3C28">
              <w:rPr>
                <w:vertAlign w:val="subscript"/>
              </w:rPr>
              <w:t>V</w:t>
            </w:r>
          </w:p>
        </w:tc>
        <w:tc>
          <w:tcPr>
            <w:tcW w:w="992" w:type="dxa"/>
            <w:tcBorders>
              <w:top w:val="single" w:sz="12" w:space="0" w:color="008000"/>
              <w:bottom w:val="single" w:sz="6" w:space="0" w:color="008000"/>
            </w:tcBorders>
            <w:shd w:val="clear" w:color="auto" w:fill="FFFFFF"/>
            <w:vAlign w:val="center"/>
          </w:tcPr>
          <w:p w:rsidR="0053778F" w:rsidRPr="00B57B36" w:rsidRDefault="0053778F" w:rsidP="00047DF1">
            <w:pPr>
              <w:pStyle w:val="CETBodytext"/>
              <w:ind w:right="-1"/>
              <w:jc w:val="left"/>
              <w:rPr>
                <w:rFonts w:cs="Arial"/>
                <w:szCs w:val="18"/>
                <w:lang w:val="en-GB"/>
              </w:rPr>
            </w:pPr>
            <w:r>
              <w:t>RMSEP</w:t>
            </w:r>
            <w:r w:rsidRPr="006C3C28">
              <w:rPr>
                <w:vertAlign w:val="subscript"/>
              </w:rPr>
              <w:t>C</w:t>
            </w:r>
          </w:p>
        </w:tc>
        <w:tc>
          <w:tcPr>
            <w:tcW w:w="992" w:type="dxa"/>
            <w:tcBorders>
              <w:top w:val="single" w:sz="12" w:space="0" w:color="008000"/>
              <w:bottom w:val="single" w:sz="6" w:space="0" w:color="008000"/>
            </w:tcBorders>
            <w:shd w:val="clear" w:color="auto" w:fill="FFFFFF"/>
            <w:vAlign w:val="center"/>
          </w:tcPr>
          <w:p w:rsidR="0053778F" w:rsidRPr="00B57B36" w:rsidRDefault="0053778F" w:rsidP="00047DF1">
            <w:pPr>
              <w:pStyle w:val="CETBodytext"/>
              <w:ind w:right="-1"/>
              <w:jc w:val="left"/>
              <w:rPr>
                <w:rFonts w:cs="Arial"/>
                <w:szCs w:val="18"/>
                <w:lang w:val="en-GB"/>
              </w:rPr>
            </w:pPr>
            <w:r>
              <w:t>RMSEP</w:t>
            </w:r>
            <w:r w:rsidRPr="006C3C28">
              <w:rPr>
                <w:vertAlign w:val="subscript"/>
              </w:rPr>
              <w:t>V</w:t>
            </w:r>
          </w:p>
        </w:tc>
      </w:tr>
      <w:tr w:rsidR="0053778F" w:rsidRPr="00B57B36" w:rsidTr="00047DF1">
        <w:tc>
          <w:tcPr>
            <w:tcW w:w="1134" w:type="dxa"/>
            <w:vMerge w:val="restart"/>
            <w:shd w:val="clear" w:color="auto" w:fill="FFFFFF"/>
            <w:vAlign w:val="center"/>
          </w:tcPr>
          <w:p w:rsidR="0053778F" w:rsidRPr="00B57B36" w:rsidRDefault="0053778F" w:rsidP="00047DF1">
            <w:pPr>
              <w:pStyle w:val="CETBodytext"/>
              <w:jc w:val="left"/>
              <w:rPr>
                <w:lang w:val="en-GB"/>
              </w:rPr>
            </w:pPr>
            <w:r>
              <w:rPr>
                <w:lang w:val="en-GB"/>
              </w:rPr>
              <w:t>Batch</w:t>
            </w:r>
          </w:p>
        </w:tc>
        <w:tc>
          <w:tcPr>
            <w:tcW w:w="1418" w:type="dxa"/>
            <w:shd w:val="clear" w:color="auto" w:fill="FFFFFF"/>
            <w:vAlign w:val="center"/>
          </w:tcPr>
          <w:p w:rsidR="0053778F" w:rsidRPr="00B57B36" w:rsidRDefault="0053778F" w:rsidP="00047DF1">
            <w:pPr>
              <w:pStyle w:val="CETBodytext"/>
              <w:jc w:val="left"/>
              <w:rPr>
                <w:lang w:val="en-GB"/>
              </w:rPr>
            </w:pPr>
            <w:r>
              <w:t>Raw spectra</w:t>
            </w:r>
          </w:p>
        </w:tc>
        <w:tc>
          <w:tcPr>
            <w:tcW w:w="850" w:type="dxa"/>
            <w:shd w:val="clear" w:color="auto" w:fill="FFFFFF"/>
            <w:vAlign w:val="center"/>
          </w:tcPr>
          <w:p w:rsidR="0053778F" w:rsidRPr="00B57B36" w:rsidRDefault="0053778F" w:rsidP="00047DF1">
            <w:pPr>
              <w:pStyle w:val="CETBodytext"/>
              <w:jc w:val="left"/>
              <w:rPr>
                <w:lang w:val="en-GB"/>
              </w:rPr>
            </w:pPr>
            <w:r>
              <w:rPr>
                <w:lang w:val="en-GB"/>
              </w:rPr>
              <w:t>0.882</w:t>
            </w:r>
          </w:p>
        </w:tc>
        <w:tc>
          <w:tcPr>
            <w:tcW w:w="851" w:type="dxa"/>
            <w:shd w:val="clear" w:color="auto" w:fill="FFFFFF"/>
            <w:vAlign w:val="center"/>
          </w:tcPr>
          <w:p w:rsidR="0053778F" w:rsidRPr="00B57B36" w:rsidRDefault="0053778F" w:rsidP="00047DF1">
            <w:pPr>
              <w:pStyle w:val="CETBodytext"/>
              <w:jc w:val="left"/>
              <w:rPr>
                <w:lang w:val="en-GB"/>
              </w:rPr>
            </w:pPr>
            <w:r>
              <w:rPr>
                <w:lang w:val="en-GB"/>
              </w:rPr>
              <w:t>0.789</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0.986</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1.465</w:t>
            </w:r>
          </w:p>
        </w:tc>
      </w:tr>
      <w:tr w:rsidR="0053778F" w:rsidRPr="00B57B36" w:rsidTr="00047DF1">
        <w:tc>
          <w:tcPr>
            <w:tcW w:w="1134" w:type="dxa"/>
            <w:vMerge/>
            <w:shd w:val="clear" w:color="auto" w:fill="FFFFFF"/>
            <w:vAlign w:val="center"/>
          </w:tcPr>
          <w:p w:rsidR="0053778F" w:rsidRPr="00B57B36" w:rsidRDefault="0053778F" w:rsidP="00047DF1">
            <w:pPr>
              <w:pStyle w:val="CETBodytext"/>
              <w:ind w:right="-1"/>
              <w:jc w:val="left"/>
              <w:rPr>
                <w:rFonts w:cs="Arial"/>
                <w:szCs w:val="18"/>
                <w:lang w:val="en-GB"/>
              </w:rPr>
            </w:pPr>
          </w:p>
        </w:tc>
        <w:tc>
          <w:tcPr>
            <w:tcW w:w="1418" w:type="dxa"/>
            <w:shd w:val="clear" w:color="auto" w:fill="FFFFFF"/>
            <w:vAlign w:val="center"/>
          </w:tcPr>
          <w:p w:rsidR="0053778F" w:rsidRPr="00B57B36" w:rsidRDefault="0053778F" w:rsidP="00047DF1">
            <w:pPr>
              <w:pStyle w:val="CETBodytext"/>
              <w:ind w:right="-1"/>
              <w:jc w:val="left"/>
              <w:rPr>
                <w:rFonts w:cs="Arial"/>
                <w:szCs w:val="18"/>
                <w:lang w:val="en-GB"/>
              </w:rPr>
            </w:pPr>
            <w:r>
              <w:t>1° derivate</w:t>
            </w:r>
          </w:p>
        </w:tc>
        <w:tc>
          <w:tcPr>
            <w:tcW w:w="850"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0.842</w:t>
            </w:r>
          </w:p>
        </w:tc>
        <w:tc>
          <w:tcPr>
            <w:tcW w:w="851"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0.814</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1.138</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1.375</w:t>
            </w:r>
          </w:p>
        </w:tc>
      </w:tr>
      <w:tr w:rsidR="0053778F" w:rsidRPr="00B57B36" w:rsidTr="00047DF1">
        <w:tc>
          <w:tcPr>
            <w:tcW w:w="1134" w:type="dxa"/>
            <w:vMerge/>
            <w:shd w:val="clear" w:color="auto" w:fill="FFFFFF"/>
            <w:vAlign w:val="center"/>
          </w:tcPr>
          <w:p w:rsidR="0053778F" w:rsidRPr="00B57B36" w:rsidRDefault="0053778F" w:rsidP="00047DF1">
            <w:pPr>
              <w:pStyle w:val="CETBodytext"/>
              <w:ind w:right="-1"/>
              <w:jc w:val="left"/>
              <w:rPr>
                <w:rFonts w:cs="Arial"/>
                <w:szCs w:val="18"/>
                <w:lang w:val="en-GB"/>
              </w:rPr>
            </w:pPr>
          </w:p>
        </w:tc>
        <w:tc>
          <w:tcPr>
            <w:tcW w:w="1418" w:type="dxa"/>
            <w:shd w:val="clear" w:color="auto" w:fill="FFFFFF"/>
            <w:vAlign w:val="center"/>
          </w:tcPr>
          <w:p w:rsidR="0053778F" w:rsidRPr="00B57B36" w:rsidRDefault="0053778F" w:rsidP="00047DF1">
            <w:pPr>
              <w:pStyle w:val="CETBodytext"/>
              <w:ind w:right="-1"/>
              <w:jc w:val="left"/>
              <w:rPr>
                <w:rFonts w:cs="Arial"/>
                <w:szCs w:val="18"/>
                <w:lang w:val="en-GB"/>
              </w:rPr>
            </w:pPr>
            <w:r>
              <w:t>2° derivate</w:t>
            </w:r>
          </w:p>
        </w:tc>
        <w:tc>
          <w:tcPr>
            <w:tcW w:w="850"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0.973</w:t>
            </w:r>
          </w:p>
        </w:tc>
        <w:tc>
          <w:tcPr>
            <w:tcW w:w="851"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0.883</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0.464</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1.089</w:t>
            </w:r>
          </w:p>
        </w:tc>
      </w:tr>
      <w:tr w:rsidR="0053778F" w:rsidRPr="00B57B36" w:rsidTr="00047DF1">
        <w:tc>
          <w:tcPr>
            <w:tcW w:w="1134" w:type="dxa"/>
            <w:vMerge w:val="restart"/>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In-situ</w:t>
            </w:r>
          </w:p>
        </w:tc>
        <w:tc>
          <w:tcPr>
            <w:tcW w:w="1418" w:type="dxa"/>
            <w:shd w:val="clear" w:color="auto" w:fill="FFFFFF"/>
            <w:vAlign w:val="center"/>
          </w:tcPr>
          <w:p w:rsidR="0053778F" w:rsidRDefault="0053778F" w:rsidP="00047DF1">
            <w:pPr>
              <w:pStyle w:val="CETBodytext"/>
              <w:ind w:right="-1"/>
              <w:jc w:val="left"/>
            </w:pPr>
          </w:p>
          <w:p w:rsidR="0053778F" w:rsidRPr="00B57B36" w:rsidRDefault="0053778F" w:rsidP="00047DF1">
            <w:pPr>
              <w:pStyle w:val="CETBodytext"/>
              <w:ind w:right="-1"/>
              <w:jc w:val="left"/>
              <w:rPr>
                <w:rFonts w:cs="Arial"/>
                <w:szCs w:val="18"/>
                <w:lang w:val="en-GB"/>
              </w:rPr>
            </w:pPr>
            <w:r>
              <w:t>Raw spectra</w:t>
            </w:r>
          </w:p>
        </w:tc>
        <w:tc>
          <w:tcPr>
            <w:tcW w:w="850" w:type="dxa"/>
            <w:shd w:val="clear" w:color="auto" w:fill="FFFFFF"/>
            <w:vAlign w:val="center"/>
          </w:tcPr>
          <w:p w:rsidR="0053778F" w:rsidRDefault="0053778F" w:rsidP="00047DF1">
            <w:pPr>
              <w:pStyle w:val="CETBodytext"/>
              <w:ind w:right="-1"/>
              <w:jc w:val="left"/>
              <w:rPr>
                <w:rFonts w:cs="Arial"/>
                <w:szCs w:val="18"/>
                <w:lang w:val="en-GB"/>
              </w:rPr>
            </w:pPr>
          </w:p>
          <w:p w:rsidR="0053778F" w:rsidRPr="00B57B36" w:rsidRDefault="0053778F" w:rsidP="00047DF1">
            <w:pPr>
              <w:pStyle w:val="CETBodytext"/>
              <w:ind w:right="-1"/>
              <w:jc w:val="left"/>
              <w:rPr>
                <w:rFonts w:cs="Arial"/>
                <w:szCs w:val="18"/>
                <w:lang w:val="en-GB"/>
              </w:rPr>
            </w:pPr>
            <w:r>
              <w:rPr>
                <w:rFonts w:cs="Arial"/>
                <w:szCs w:val="18"/>
                <w:lang w:val="en-GB"/>
              </w:rPr>
              <w:t>0.968</w:t>
            </w:r>
          </w:p>
        </w:tc>
        <w:tc>
          <w:tcPr>
            <w:tcW w:w="851" w:type="dxa"/>
            <w:shd w:val="clear" w:color="auto" w:fill="FFFFFF"/>
            <w:vAlign w:val="center"/>
          </w:tcPr>
          <w:p w:rsidR="0053778F" w:rsidRDefault="0053778F" w:rsidP="00047DF1">
            <w:pPr>
              <w:pStyle w:val="CETBodytext"/>
              <w:ind w:right="-1"/>
              <w:jc w:val="left"/>
              <w:rPr>
                <w:rFonts w:cs="Arial"/>
                <w:szCs w:val="18"/>
                <w:lang w:val="en-GB"/>
              </w:rPr>
            </w:pPr>
          </w:p>
          <w:p w:rsidR="0053778F" w:rsidRPr="00B57B36" w:rsidRDefault="0053778F" w:rsidP="00047DF1">
            <w:pPr>
              <w:pStyle w:val="CETBodytext"/>
              <w:ind w:right="-1"/>
              <w:jc w:val="left"/>
              <w:rPr>
                <w:rFonts w:cs="Arial"/>
                <w:szCs w:val="18"/>
                <w:lang w:val="en-GB"/>
              </w:rPr>
            </w:pPr>
            <w:r>
              <w:rPr>
                <w:rFonts w:cs="Arial"/>
                <w:szCs w:val="18"/>
                <w:lang w:val="en-GB"/>
              </w:rPr>
              <w:t>0.912</w:t>
            </w:r>
          </w:p>
        </w:tc>
        <w:tc>
          <w:tcPr>
            <w:tcW w:w="992" w:type="dxa"/>
            <w:shd w:val="clear" w:color="auto" w:fill="FFFFFF"/>
            <w:vAlign w:val="center"/>
          </w:tcPr>
          <w:p w:rsidR="0053778F" w:rsidRDefault="0053778F" w:rsidP="00047DF1">
            <w:pPr>
              <w:pStyle w:val="CETBodytext"/>
              <w:ind w:right="-1"/>
              <w:jc w:val="left"/>
              <w:rPr>
                <w:rFonts w:cs="Arial"/>
                <w:szCs w:val="18"/>
                <w:lang w:val="en-GB"/>
              </w:rPr>
            </w:pPr>
          </w:p>
          <w:p w:rsidR="0053778F" w:rsidRPr="00B57B36" w:rsidRDefault="0053778F" w:rsidP="00047DF1">
            <w:pPr>
              <w:pStyle w:val="CETBodytext"/>
              <w:ind w:right="-1"/>
              <w:jc w:val="left"/>
              <w:rPr>
                <w:rFonts w:cs="Arial"/>
                <w:szCs w:val="18"/>
                <w:lang w:val="en-GB"/>
              </w:rPr>
            </w:pPr>
            <w:r>
              <w:rPr>
                <w:rFonts w:cs="Arial"/>
                <w:szCs w:val="18"/>
                <w:lang w:val="en-GB"/>
              </w:rPr>
              <w:t>0.512</w:t>
            </w:r>
          </w:p>
        </w:tc>
        <w:tc>
          <w:tcPr>
            <w:tcW w:w="992" w:type="dxa"/>
            <w:shd w:val="clear" w:color="auto" w:fill="FFFFFF"/>
            <w:vAlign w:val="center"/>
          </w:tcPr>
          <w:p w:rsidR="0053778F" w:rsidRDefault="0053778F" w:rsidP="00047DF1">
            <w:pPr>
              <w:pStyle w:val="CETBodytext"/>
              <w:ind w:right="-1"/>
              <w:jc w:val="left"/>
              <w:rPr>
                <w:rFonts w:cs="Arial"/>
                <w:szCs w:val="18"/>
                <w:lang w:val="en-GB"/>
              </w:rPr>
            </w:pPr>
          </w:p>
          <w:p w:rsidR="0053778F" w:rsidRPr="00B57B36" w:rsidRDefault="0053778F" w:rsidP="00047DF1">
            <w:pPr>
              <w:pStyle w:val="CETBodytext"/>
              <w:ind w:right="-1"/>
              <w:jc w:val="left"/>
              <w:rPr>
                <w:rFonts w:cs="Arial"/>
                <w:szCs w:val="18"/>
                <w:lang w:val="en-GB"/>
              </w:rPr>
            </w:pPr>
            <w:r>
              <w:rPr>
                <w:rFonts w:cs="Arial"/>
                <w:szCs w:val="18"/>
                <w:lang w:val="en-GB"/>
              </w:rPr>
              <w:t>0.968</w:t>
            </w:r>
          </w:p>
        </w:tc>
      </w:tr>
      <w:tr w:rsidR="0053778F" w:rsidRPr="00B57B36" w:rsidTr="00047DF1">
        <w:tc>
          <w:tcPr>
            <w:tcW w:w="1134" w:type="dxa"/>
            <w:vMerge/>
            <w:shd w:val="clear" w:color="auto" w:fill="FFFFFF"/>
            <w:vAlign w:val="center"/>
          </w:tcPr>
          <w:p w:rsidR="0053778F" w:rsidRPr="00B57B36" w:rsidRDefault="0053778F" w:rsidP="00047DF1">
            <w:pPr>
              <w:pStyle w:val="CETBodytext"/>
              <w:ind w:right="-1"/>
              <w:jc w:val="left"/>
              <w:rPr>
                <w:rFonts w:cs="Arial"/>
                <w:szCs w:val="18"/>
                <w:lang w:val="en-GB"/>
              </w:rPr>
            </w:pPr>
          </w:p>
        </w:tc>
        <w:tc>
          <w:tcPr>
            <w:tcW w:w="1418" w:type="dxa"/>
            <w:shd w:val="clear" w:color="auto" w:fill="FFFFFF"/>
            <w:vAlign w:val="center"/>
          </w:tcPr>
          <w:p w:rsidR="0053778F" w:rsidRPr="00B57B36" w:rsidRDefault="0053778F" w:rsidP="00047DF1">
            <w:pPr>
              <w:pStyle w:val="CETBodytext"/>
              <w:ind w:right="-1"/>
              <w:jc w:val="left"/>
              <w:rPr>
                <w:rFonts w:cs="Arial"/>
                <w:szCs w:val="18"/>
                <w:lang w:val="en-GB"/>
              </w:rPr>
            </w:pPr>
            <w:r>
              <w:t>1° derivate</w:t>
            </w:r>
          </w:p>
        </w:tc>
        <w:tc>
          <w:tcPr>
            <w:tcW w:w="850"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0.996</w:t>
            </w:r>
          </w:p>
        </w:tc>
        <w:tc>
          <w:tcPr>
            <w:tcW w:w="851"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0.927</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0.168</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0.856</w:t>
            </w:r>
          </w:p>
        </w:tc>
      </w:tr>
      <w:tr w:rsidR="0053778F" w:rsidRPr="00B57B36" w:rsidTr="00047DF1">
        <w:tc>
          <w:tcPr>
            <w:tcW w:w="1134" w:type="dxa"/>
            <w:vMerge/>
            <w:shd w:val="clear" w:color="auto" w:fill="FFFFFF"/>
            <w:vAlign w:val="center"/>
          </w:tcPr>
          <w:p w:rsidR="0053778F" w:rsidRPr="00B57B36" w:rsidRDefault="0053778F" w:rsidP="00047DF1">
            <w:pPr>
              <w:pStyle w:val="CETBodytext"/>
              <w:ind w:right="-1"/>
              <w:jc w:val="left"/>
              <w:rPr>
                <w:rFonts w:cs="Arial"/>
                <w:szCs w:val="18"/>
                <w:lang w:val="en-GB"/>
              </w:rPr>
            </w:pPr>
          </w:p>
        </w:tc>
        <w:tc>
          <w:tcPr>
            <w:tcW w:w="1418" w:type="dxa"/>
            <w:shd w:val="clear" w:color="auto" w:fill="FFFFFF"/>
            <w:vAlign w:val="center"/>
          </w:tcPr>
          <w:p w:rsidR="0053778F" w:rsidRPr="00B57B36" w:rsidRDefault="0053778F" w:rsidP="00047DF1">
            <w:pPr>
              <w:pStyle w:val="CETBodytext"/>
              <w:ind w:right="-1"/>
              <w:jc w:val="left"/>
              <w:rPr>
                <w:rFonts w:cs="Arial"/>
                <w:szCs w:val="18"/>
                <w:lang w:val="en-GB"/>
              </w:rPr>
            </w:pPr>
            <w:r>
              <w:t>2° derivate</w:t>
            </w:r>
          </w:p>
        </w:tc>
        <w:tc>
          <w:tcPr>
            <w:tcW w:w="850"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0.997</w:t>
            </w:r>
          </w:p>
        </w:tc>
        <w:tc>
          <w:tcPr>
            <w:tcW w:w="851"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0.418</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0.132</w:t>
            </w:r>
          </w:p>
        </w:tc>
        <w:tc>
          <w:tcPr>
            <w:tcW w:w="992" w:type="dxa"/>
            <w:shd w:val="clear" w:color="auto" w:fill="FFFFFF"/>
            <w:vAlign w:val="center"/>
          </w:tcPr>
          <w:p w:rsidR="0053778F" w:rsidRPr="00B57B36" w:rsidRDefault="0053778F" w:rsidP="00047DF1">
            <w:pPr>
              <w:pStyle w:val="CETBodytext"/>
              <w:ind w:right="-1"/>
              <w:jc w:val="left"/>
              <w:rPr>
                <w:rFonts w:cs="Arial"/>
                <w:szCs w:val="18"/>
                <w:lang w:val="en-GB"/>
              </w:rPr>
            </w:pPr>
            <w:r>
              <w:rPr>
                <w:rFonts w:cs="Arial"/>
                <w:szCs w:val="18"/>
                <w:lang w:val="en-GB"/>
              </w:rPr>
              <w:t>2.432</w:t>
            </w:r>
          </w:p>
        </w:tc>
      </w:tr>
    </w:tbl>
    <w:p w:rsidR="0053778F" w:rsidRDefault="0053778F" w:rsidP="0053778F">
      <w:pPr>
        <w:pStyle w:val="CETBodytext"/>
        <w:jc w:val="left"/>
      </w:pPr>
      <w:r>
        <w:t>*</w:t>
      </w:r>
      <w:r w:rsidRPr="00344C21">
        <w:t>baseline was applied to all spectra before the pre-treatments tabulated</w:t>
      </w:r>
      <w:r>
        <w:t xml:space="preserve"> for </w:t>
      </w:r>
      <w:r w:rsidR="00B63558">
        <w:t>in situ</w:t>
      </w:r>
    </w:p>
    <w:p w:rsidR="0053778F" w:rsidRDefault="0053778F" w:rsidP="0053778F">
      <w:pPr>
        <w:pStyle w:val="CETBodytext"/>
        <w:jc w:val="left"/>
      </w:pPr>
    </w:p>
    <w:p w:rsidR="0053778F" w:rsidRDefault="0053778F" w:rsidP="0053778F">
      <w:pPr>
        <w:pStyle w:val="CETBodytext"/>
        <w:jc w:val="left"/>
      </w:pPr>
      <w:r>
        <w:rPr>
          <w:noProof/>
          <w:lang w:val="pt-BR" w:eastAsia="pt-BR"/>
        </w:rPr>
        <w:drawing>
          <wp:inline distT="0" distB="0" distL="0" distR="0" wp14:anchorId="5793B7D1" wp14:editId="58FFB05B">
            <wp:extent cx="2602800" cy="1922405"/>
            <wp:effectExtent l="0" t="0" r="762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02800" cy="1922405"/>
                    </a:xfrm>
                    <a:prstGeom prst="rect">
                      <a:avLst/>
                    </a:prstGeom>
                  </pic:spPr>
                </pic:pic>
              </a:graphicData>
            </a:graphic>
          </wp:inline>
        </w:drawing>
      </w:r>
    </w:p>
    <w:p w:rsidR="0053778F" w:rsidRDefault="0053778F" w:rsidP="0053778F">
      <w:pPr>
        <w:pStyle w:val="CETBodytext"/>
        <w:jc w:val="left"/>
      </w:pPr>
    </w:p>
    <w:p w:rsidR="0053778F" w:rsidRDefault="0053778F" w:rsidP="0053778F">
      <w:pPr>
        <w:pStyle w:val="CETBodytext"/>
        <w:jc w:val="left"/>
      </w:pPr>
      <w:r>
        <w:t>Figure 7. Predicted versus measured ethanol content in oil of in-situ analysis</w:t>
      </w:r>
    </w:p>
    <w:p w:rsidR="0053778F" w:rsidRDefault="0053778F" w:rsidP="0053778F">
      <w:pPr>
        <w:pStyle w:val="CETBodytext"/>
        <w:jc w:val="left"/>
      </w:pPr>
    </w:p>
    <w:p w:rsidR="0053778F" w:rsidRPr="009521AF" w:rsidRDefault="0053778F" w:rsidP="001345EC">
      <w:pPr>
        <w:pStyle w:val="CETHeading1"/>
        <w:numPr>
          <w:ilvl w:val="0"/>
          <w:numId w:val="22"/>
        </w:numPr>
        <w:rPr>
          <w:sz w:val="18"/>
          <w:szCs w:val="18"/>
        </w:rPr>
      </w:pPr>
      <w:r w:rsidRPr="009521AF">
        <w:rPr>
          <w:sz w:val="18"/>
          <w:szCs w:val="18"/>
        </w:rPr>
        <w:t>Conclusions</w:t>
      </w:r>
    </w:p>
    <w:p w:rsidR="0053778F" w:rsidRDefault="0053778F" w:rsidP="0053778F">
      <w:pPr>
        <w:pStyle w:val="CETBodytext"/>
      </w:pPr>
      <w:r w:rsidRPr="00B7473E">
        <w:t xml:space="preserve">In this </w:t>
      </w:r>
      <w:r w:rsidR="005520ED" w:rsidRPr="00B7473E">
        <w:t>paper,</w:t>
      </w:r>
      <w:r w:rsidRPr="00B7473E">
        <w:t xml:space="preserve"> our main purpose was to determine ethanol content in water and oil mixtures in an in-situ way using a PDMS microfluidic device. A short time frame </w:t>
      </w:r>
      <w:r>
        <w:t xml:space="preserve">of 45 s </w:t>
      </w:r>
      <w:r w:rsidRPr="00B7473E">
        <w:t>was used and excellent calibration and validation models were observed with high accuracy</w:t>
      </w:r>
      <w:r>
        <w:t xml:space="preserve"> (&gt;0,9)</w:t>
      </w:r>
      <w:r w:rsidRPr="00B7473E">
        <w:t>. The multivariate analysis was performed by PLS comparing three different pretreatment techniques. In general, the use of raw spectral data or using the first derivative is sufficient to generate highly reliable prediction models. Such analyzes can be used as a basis for the quantification of ethanol in more complex matrices such as biodiesel and ethanol production by bioprocesses.</w:t>
      </w:r>
    </w:p>
    <w:p w:rsidR="001345EC" w:rsidRDefault="001345EC">
      <w:pPr>
        <w:tabs>
          <w:tab w:val="clear" w:pos="7100"/>
        </w:tabs>
        <w:spacing w:after="200" w:line="276" w:lineRule="auto"/>
        <w:jc w:val="left"/>
        <w:rPr>
          <w:b/>
        </w:rPr>
      </w:pPr>
      <w:r>
        <w:br w:type="page"/>
      </w:r>
    </w:p>
    <w:p w:rsidR="001345EC" w:rsidRPr="00B57B36" w:rsidRDefault="001345EC" w:rsidP="001345EC">
      <w:pPr>
        <w:pStyle w:val="CETAcknowledgementstitle"/>
      </w:pPr>
      <w:r w:rsidRPr="00B57B36">
        <w:lastRenderedPageBreak/>
        <w:t>Acknowledgments</w:t>
      </w:r>
    </w:p>
    <w:p w:rsidR="001345EC" w:rsidRPr="00160955" w:rsidRDefault="001345EC" w:rsidP="001345EC">
      <w:pPr>
        <w:pStyle w:val="CETBodytext"/>
      </w:pPr>
      <w:r w:rsidRPr="00160955">
        <w:t xml:space="preserve">The authors </w:t>
      </w:r>
      <w:r>
        <w:t xml:space="preserve">acknowledge </w:t>
      </w:r>
      <w:r w:rsidRPr="00160955">
        <w:t>the financial support provided by CNPq (National Council for Scientific and Technological Develop</w:t>
      </w:r>
      <w:r>
        <w:t>ment, Process 404760/2016-3)</w:t>
      </w:r>
      <w:bookmarkStart w:id="0" w:name="_GoBack"/>
      <w:bookmarkEnd w:id="0"/>
      <w:r>
        <w:t xml:space="preserve"> and </w:t>
      </w:r>
      <w:r w:rsidRPr="00CF1129">
        <w:rPr>
          <w:rFonts w:cs="Arial"/>
          <w:color w:val="000000" w:themeColor="text1"/>
          <w:szCs w:val="18"/>
        </w:rPr>
        <w:t>FAPESP (São Paulo Research Foundation, Process 2016/20842-4)</w:t>
      </w:r>
      <w:r>
        <w:rPr>
          <w:rFonts w:cs="Arial"/>
          <w:color w:val="000000" w:themeColor="text1"/>
          <w:szCs w:val="18"/>
        </w:rPr>
        <w:t>.</w:t>
      </w:r>
    </w:p>
    <w:p w:rsidR="0053778F" w:rsidRDefault="0053778F" w:rsidP="005520ED">
      <w:pPr>
        <w:pStyle w:val="CETHeading1"/>
        <w:numPr>
          <w:ilvl w:val="0"/>
          <w:numId w:val="0"/>
        </w:numPr>
        <w:rPr>
          <w:sz w:val="18"/>
          <w:szCs w:val="18"/>
        </w:rPr>
      </w:pPr>
      <w:r w:rsidRPr="009521AF">
        <w:rPr>
          <w:sz w:val="18"/>
          <w:szCs w:val="18"/>
        </w:rPr>
        <w:t>References</w:t>
      </w:r>
    </w:p>
    <w:p w:rsidR="00AC02BA" w:rsidRDefault="00AC02BA" w:rsidP="00AC02BA">
      <w:pPr>
        <w:pStyle w:val="CETReferencetext"/>
        <w:rPr>
          <w:lang w:val="en-US"/>
        </w:rPr>
      </w:pPr>
      <w:r>
        <w:rPr>
          <w:lang w:val="en-US"/>
        </w:rPr>
        <w:t>Alvarado A.S</w:t>
      </w:r>
      <w:r w:rsidRPr="004C5ABA">
        <w:rPr>
          <w:lang w:val="en-US"/>
        </w:rPr>
        <w:t xml:space="preserve">., </w:t>
      </w:r>
      <w:r>
        <w:rPr>
          <w:lang w:val="en-US"/>
        </w:rPr>
        <w:t>Montiel</w:t>
      </w:r>
      <w:r w:rsidRPr="004C5ABA">
        <w:rPr>
          <w:lang w:val="en-US"/>
        </w:rPr>
        <w:t xml:space="preserve"> </w:t>
      </w:r>
      <w:r>
        <w:rPr>
          <w:lang w:val="en-US"/>
        </w:rPr>
        <w:t>V</w:t>
      </w:r>
      <w:r w:rsidRPr="004C5ABA">
        <w:rPr>
          <w:lang w:val="en-US"/>
        </w:rPr>
        <w:t xml:space="preserve">., </w:t>
      </w:r>
      <w:r>
        <w:rPr>
          <w:lang w:val="en-US"/>
        </w:rPr>
        <w:t>Lopez</w:t>
      </w:r>
      <w:r w:rsidRPr="004C5ABA">
        <w:rPr>
          <w:lang w:val="en-US"/>
        </w:rPr>
        <w:t xml:space="preserve"> </w:t>
      </w:r>
      <w:r>
        <w:rPr>
          <w:lang w:val="en-US"/>
        </w:rPr>
        <w:t>J.M</w:t>
      </w:r>
      <w:r w:rsidRPr="004C5ABA">
        <w:rPr>
          <w:lang w:val="en-US"/>
        </w:rPr>
        <w:t>.</w:t>
      </w:r>
      <w:r>
        <w:rPr>
          <w:lang w:val="en-US"/>
        </w:rPr>
        <w:t xml:space="preserve">, Ramos J.C., Atencio J.A.D, 2009, </w:t>
      </w:r>
      <w:r>
        <w:t>Parametric and Scattering Characterization of PDMS Membranes for Optical Applications</w:t>
      </w:r>
      <w:r>
        <w:rPr>
          <w:lang w:val="en-US"/>
        </w:rPr>
        <w:t xml:space="preserve">, </w:t>
      </w:r>
      <w:r w:rsidR="00D02D9E" w:rsidRPr="00D02D9E">
        <w:rPr>
          <w:lang w:val="en-US"/>
        </w:rPr>
        <w:t>Proc. SPIE 7426, Optical Manufacturing and Testing VIII, 742615</w:t>
      </w:r>
      <w:r w:rsidR="00D02D9E">
        <w:rPr>
          <w:lang w:val="en-US"/>
        </w:rPr>
        <w:t>.</w:t>
      </w:r>
    </w:p>
    <w:p w:rsidR="00AC02BA" w:rsidRDefault="00AC02BA" w:rsidP="0053778F">
      <w:pPr>
        <w:pStyle w:val="CETBodytext"/>
      </w:pPr>
    </w:p>
    <w:p w:rsidR="0053778F" w:rsidRDefault="0053778F" w:rsidP="0053778F">
      <w:pPr>
        <w:pStyle w:val="CETReferencetext"/>
        <w:rPr>
          <w:lang w:val="en-US"/>
        </w:rPr>
      </w:pPr>
      <w:r w:rsidRPr="004C5ABA">
        <w:rPr>
          <w:lang w:val="en-US"/>
        </w:rPr>
        <w:t>Goh P.S., Ismail A.F., Ng B.C.</w:t>
      </w:r>
      <w:r>
        <w:rPr>
          <w:lang w:val="en-US"/>
        </w:rPr>
        <w:t xml:space="preserve">, 2017, </w:t>
      </w:r>
      <w:r w:rsidRPr="004C5ABA">
        <w:rPr>
          <w:lang w:val="en-US"/>
        </w:rPr>
        <w:t>Raman Spectroscopy</w:t>
      </w:r>
      <w:r>
        <w:rPr>
          <w:lang w:val="en-US"/>
        </w:rPr>
        <w:t xml:space="preserve">, Chapter In: N Hilal et al., (Ed), Membrane Characterization, Part 1, Chapter 2, </w:t>
      </w:r>
      <w:r w:rsidRPr="004C5ABA">
        <w:rPr>
          <w:lang w:val="en-US"/>
        </w:rPr>
        <w:t>Universiti Teknologi Malaysia, Johor Bahru, Johor, Malaysia</w:t>
      </w:r>
      <w:r>
        <w:rPr>
          <w:lang w:val="en-US"/>
        </w:rPr>
        <w:t>, 31-46.</w:t>
      </w:r>
    </w:p>
    <w:p w:rsidR="0053778F" w:rsidRDefault="0053778F" w:rsidP="0053778F">
      <w:pPr>
        <w:pStyle w:val="CETReferencetext"/>
        <w:rPr>
          <w:lang w:val="en-US"/>
        </w:rPr>
      </w:pPr>
    </w:p>
    <w:p w:rsidR="0053778F" w:rsidRDefault="0053778F" w:rsidP="0053778F">
      <w:pPr>
        <w:pStyle w:val="CETBodytext"/>
        <w:ind w:left="284" w:hanging="284"/>
      </w:pPr>
      <w:r>
        <w:t>Nordon A, Mills A, Burn R.T, Cusick F.M, Littlejohn D., 2005, Comparison of non-invasive NIR and Raman      spectrometries for determination of alcohol content of spirits. Anal. Chim. Acta, 548,148-158.</w:t>
      </w:r>
    </w:p>
    <w:p w:rsidR="0053778F" w:rsidRDefault="0053778F" w:rsidP="0053778F">
      <w:pPr>
        <w:pStyle w:val="CETBodytext"/>
      </w:pPr>
    </w:p>
    <w:p w:rsidR="0053778F" w:rsidRDefault="0053778F" w:rsidP="0053778F">
      <w:pPr>
        <w:shd w:val="clear" w:color="auto" w:fill="FFFFFF"/>
        <w:tabs>
          <w:tab w:val="clear" w:pos="7100"/>
        </w:tabs>
        <w:ind w:left="284" w:hanging="284"/>
        <w:rPr>
          <w:rFonts w:cs="Arial"/>
          <w:color w:val="000000"/>
          <w:szCs w:val="18"/>
          <w:lang w:val="en-US" w:eastAsia="pt-BR"/>
        </w:rPr>
      </w:pPr>
      <w:r>
        <w:rPr>
          <w:rFonts w:cs="Arial"/>
          <w:color w:val="000000"/>
          <w:szCs w:val="18"/>
          <w:lang w:val="en-US" w:eastAsia="pt-BR"/>
        </w:rPr>
        <w:t xml:space="preserve">Mutenure M., 2016, </w:t>
      </w:r>
      <w:r w:rsidRPr="00D84C66">
        <w:rPr>
          <w:rFonts w:cs="Arial"/>
          <w:color w:val="000000"/>
          <w:szCs w:val="18"/>
          <w:lang w:val="en-US" w:eastAsia="pt-BR"/>
        </w:rPr>
        <w:t>Synthesis of South Africa’s Biomass to</w:t>
      </w:r>
      <w:r>
        <w:rPr>
          <w:rFonts w:cs="Arial"/>
          <w:color w:val="000000"/>
          <w:szCs w:val="18"/>
          <w:lang w:val="en-US" w:eastAsia="pt-BR"/>
        </w:rPr>
        <w:t xml:space="preserve"> </w:t>
      </w:r>
      <w:r w:rsidRPr="00D84C66">
        <w:rPr>
          <w:rFonts w:cs="Arial"/>
          <w:color w:val="000000"/>
          <w:szCs w:val="18"/>
          <w:lang w:val="en-US" w:eastAsia="pt-BR"/>
        </w:rPr>
        <w:t>Bioethanol Supply Network</w:t>
      </w:r>
      <w:r w:rsidR="001365A8">
        <w:rPr>
          <w:rFonts w:cs="Arial"/>
          <w:color w:val="000000"/>
          <w:szCs w:val="18"/>
          <w:lang w:val="en-US" w:eastAsia="pt-BR"/>
        </w:rPr>
        <w:t xml:space="preserve">, </w:t>
      </w:r>
      <w:r>
        <w:rPr>
          <w:rFonts w:cs="Arial"/>
          <w:color w:val="000000"/>
          <w:szCs w:val="18"/>
          <w:lang w:val="en-US" w:eastAsia="pt-BR"/>
        </w:rPr>
        <w:t>Chemical Engineering Transactions, 52, 805-810.</w:t>
      </w:r>
    </w:p>
    <w:p w:rsidR="0053778F" w:rsidRDefault="0053778F" w:rsidP="0053778F">
      <w:pPr>
        <w:shd w:val="clear" w:color="auto" w:fill="FFFFFF"/>
        <w:tabs>
          <w:tab w:val="clear" w:pos="7100"/>
        </w:tabs>
        <w:rPr>
          <w:rFonts w:cs="Arial"/>
          <w:color w:val="000000"/>
          <w:szCs w:val="18"/>
          <w:lang w:val="en-US" w:eastAsia="pt-BR"/>
        </w:rPr>
      </w:pPr>
    </w:p>
    <w:p w:rsidR="0053778F" w:rsidRPr="000E2324" w:rsidRDefault="0053778F" w:rsidP="0053778F">
      <w:pPr>
        <w:shd w:val="clear" w:color="auto" w:fill="FFFFFF"/>
        <w:tabs>
          <w:tab w:val="clear" w:pos="7100"/>
        </w:tabs>
        <w:ind w:left="284" w:hanging="284"/>
        <w:rPr>
          <w:rFonts w:cs="Arial"/>
          <w:color w:val="000000"/>
          <w:szCs w:val="18"/>
          <w:lang w:val="en-US" w:eastAsia="pt-BR"/>
        </w:rPr>
      </w:pPr>
      <w:r>
        <w:rPr>
          <w:rFonts w:cs="Arial"/>
          <w:color w:val="000000"/>
          <w:szCs w:val="18"/>
          <w:lang w:val="en-US" w:eastAsia="pt-BR"/>
        </w:rPr>
        <w:t xml:space="preserve">Pappas C., 2016, </w:t>
      </w:r>
      <w:r w:rsidRPr="003267BE">
        <w:rPr>
          <w:rFonts w:cs="Arial"/>
          <w:color w:val="000000"/>
          <w:szCs w:val="18"/>
          <w:lang w:val="en-US" w:eastAsia="pt-BR"/>
        </w:rPr>
        <w:t>Evaluation of A Raman Spectroscopic Method for the Determination of Alcohol Content in Greek Spirit Tsipouro</w:t>
      </w:r>
      <w:r w:rsidR="001365A8">
        <w:rPr>
          <w:rFonts w:cs="Arial"/>
          <w:color w:val="000000"/>
          <w:szCs w:val="18"/>
          <w:lang w:val="en-US" w:eastAsia="pt-BR"/>
        </w:rPr>
        <w:t>,</w:t>
      </w:r>
      <w:r>
        <w:rPr>
          <w:rFonts w:cs="Arial"/>
          <w:color w:val="000000"/>
          <w:szCs w:val="18"/>
          <w:lang w:val="en-US" w:eastAsia="pt-BR"/>
        </w:rPr>
        <w:t xml:space="preserve"> </w:t>
      </w:r>
      <w:r>
        <w:t>Current Research in Nutrition and Food Science, 4, 1-9.</w:t>
      </w:r>
    </w:p>
    <w:p w:rsidR="0053778F" w:rsidRDefault="0053778F" w:rsidP="0053778F">
      <w:pPr>
        <w:pStyle w:val="CETBodytext"/>
        <w:rPr>
          <w:rFonts w:cs="Arial"/>
          <w:bCs/>
          <w:color w:val="222222"/>
          <w:szCs w:val="18"/>
          <w:shd w:val="clear" w:color="auto" w:fill="FFFFFF"/>
        </w:rPr>
      </w:pPr>
    </w:p>
    <w:p w:rsidR="0053778F" w:rsidRDefault="0053778F" w:rsidP="0053778F">
      <w:pPr>
        <w:pStyle w:val="CETBodytext"/>
        <w:ind w:left="284" w:hanging="284"/>
        <w:rPr>
          <w:rFonts w:cs="Arial"/>
          <w:bCs/>
          <w:color w:val="222222"/>
          <w:szCs w:val="18"/>
          <w:shd w:val="clear" w:color="auto" w:fill="FFFFFF"/>
        </w:rPr>
      </w:pPr>
      <w:r w:rsidRPr="006B6BB2">
        <w:rPr>
          <w:rFonts w:cs="Arial"/>
          <w:bCs/>
          <w:color w:val="222222"/>
          <w:szCs w:val="18"/>
          <w:shd w:val="clear" w:color="auto" w:fill="FFFFFF"/>
        </w:rPr>
        <w:t>Khetani</w:t>
      </w:r>
      <w:r>
        <w:rPr>
          <w:rFonts w:cs="Arial"/>
          <w:bCs/>
          <w:color w:val="222222"/>
          <w:szCs w:val="18"/>
          <w:shd w:val="clear" w:color="auto" w:fill="FFFFFF"/>
        </w:rPr>
        <w:t xml:space="preserve"> A.</w:t>
      </w:r>
      <w:r w:rsidRPr="006B6BB2">
        <w:rPr>
          <w:rFonts w:cs="Arial"/>
          <w:bCs/>
          <w:color w:val="222222"/>
          <w:szCs w:val="18"/>
          <w:shd w:val="clear" w:color="auto" w:fill="FFFFFF"/>
        </w:rPr>
        <w:t>, Riordon</w:t>
      </w:r>
      <w:r>
        <w:rPr>
          <w:rFonts w:cs="Arial"/>
          <w:bCs/>
          <w:color w:val="222222"/>
          <w:szCs w:val="18"/>
          <w:shd w:val="clear" w:color="auto" w:fill="FFFFFF"/>
        </w:rPr>
        <w:t xml:space="preserve"> J.</w:t>
      </w:r>
      <w:r w:rsidRPr="006B6BB2">
        <w:rPr>
          <w:rFonts w:cs="Arial"/>
          <w:bCs/>
          <w:color w:val="222222"/>
          <w:szCs w:val="18"/>
          <w:shd w:val="clear" w:color="auto" w:fill="FFFFFF"/>
        </w:rPr>
        <w:t>,</w:t>
      </w:r>
      <w:r>
        <w:rPr>
          <w:rFonts w:cs="Arial"/>
          <w:bCs/>
          <w:color w:val="222222"/>
          <w:szCs w:val="18"/>
          <w:shd w:val="clear" w:color="auto" w:fill="FFFFFF"/>
        </w:rPr>
        <w:t xml:space="preserve"> </w:t>
      </w:r>
      <w:r w:rsidRPr="006B6BB2">
        <w:rPr>
          <w:rFonts w:cs="Arial"/>
          <w:bCs/>
          <w:color w:val="222222"/>
          <w:szCs w:val="18"/>
          <w:shd w:val="clear" w:color="auto" w:fill="FFFFFF"/>
        </w:rPr>
        <w:t>Tiwari</w:t>
      </w:r>
      <w:r>
        <w:rPr>
          <w:rFonts w:cs="Arial"/>
          <w:bCs/>
          <w:color w:val="222222"/>
          <w:szCs w:val="18"/>
          <w:shd w:val="clear" w:color="auto" w:fill="FFFFFF"/>
        </w:rPr>
        <w:t xml:space="preserve"> V.</w:t>
      </w:r>
      <w:r w:rsidRPr="006B6BB2">
        <w:rPr>
          <w:rFonts w:cs="Arial"/>
          <w:bCs/>
          <w:color w:val="222222"/>
          <w:szCs w:val="18"/>
          <w:shd w:val="clear" w:color="auto" w:fill="FFFFFF"/>
        </w:rPr>
        <w:t>,</w:t>
      </w:r>
      <w:r>
        <w:rPr>
          <w:rFonts w:cs="Arial"/>
          <w:bCs/>
          <w:color w:val="222222"/>
          <w:szCs w:val="18"/>
          <w:shd w:val="clear" w:color="auto" w:fill="FFFFFF"/>
        </w:rPr>
        <w:t xml:space="preserve"> </w:t>
      </w:r>
      <w:r w:rsidRPr="006B6BB2">
        <w:rPr>
          <w:rFonts w:cs="Arial"/>
          <w:bCs/>
          <w:color w:val="222222"/>
          <w:szCs w:val="18"/>
          <w:shd w:val="clear" w:color="auto" w:fill="FFFFFF"/>
        </w:rPr>
        <w:t>Momenpour</w:t>
      </w:r>
      <w:r>
        <w:rPr>
          <w:rFonts w:cs="Arial"/>
          <w:bCs/>
          <w:color w:val="222222"/>
          <w:szCs w:val="18"/>
          <w:shd w:val="clear" w:color="auto" w:fill="FFFFFF"/>
        </w:rPr>
        <w:t xml:space="preserve"> A.</w:t>
      </w:r>
      <w:r w:rsidRPr="006B6BB2">
        <w:rPr>
          <w:rFonts w:cs="Arial"/>
          <w:bCs/>
          <w:color w:val="222222"/>
          <w:szCs w:val="18"/>
          <w:shd w:val="clear" w:color="auto" w:fill="FFFFFF"/>
        </w:rPr>
        <w:t>, Godin</w:t>
      </w:r>
      <w:r>
        <w:rPr>
          <w:rFonts w:cs="Arial"/>
          <w:bCs/>
          <w:color w:val="222222"/>
          <w:szCs w:val="18"/>
          <w:shd w:val="clear" w:color="auto" w:fill="FFFFFF"/>
        </w:rPr>
        <w:t xml:space="preserve"> M.</w:t>
      </w:r>
      <w:r w:rsidRPr="006B6BB2">
        <w:rPr>
          <w:rFonts w:cs="Arial"/>
          <w:bCs/>
          <w:color w:val="222222"/>
          <w:szCs w:val="18"/>
          <w:shd w:val="clear" w:color="auto" w:fill="FFFFFF"/>
        </w:rPr>
        <w:t>,</w:t>
      </w:r>
      <w:r>
        <w:rPr>
          <w:rFonts w:cs="Arial"/>
          <w:bCs/>
          <w:color w:val="222222"/>
          <w:szCs w:val="18"/>
          <w:shd w:val="clear" w:color="auto" w:fill="FFFFFF"/>
        </w:rPr>
        <w:t xml:space="preserve"> </w:t>
      </w:r>
      <w:r w:rsidRPr="006B6BB2">
        <w:rPr>
          <w:rFonts w:cs="Arial"/>
          <w:bCs/>
          <w:color w:val="222222"/>
          <w:szCs w:val="18"/>
          <w:shd w:val="clear" w:color="auto" w:fill="FFFFFF"/>
        </w:rPr>
        <w:t>Anis</w:t>
      </w:r>
      <w:r>
        <w:rPr>
          <w:rFonts w:cs="Arial"/>
          <w:bCs/>
          <w:color w:val="222222"/>
          <w:szCs w:val="18"/>
          <w:shd w:val="clear" w:color="auto" w:fill="FFFFFF"/>
        </w:rPr>
        <w:t xml:space="preserve"> H.</w:t>
      </w:r>
      <w:r w:rsidRPr="006B6BB2">
        <w:rPr>
          <w:rFonts w:cs="Arial"/>
          <w:bCs/>
          <w:color w:val="222222"/>
          <w:szCs w:val="18"/>
          <w:shd w:val="clear" w:color="auto" w:fill="FFFFFF"/>
        </w:rPr>
        <w:t xml:space="preserve">, </w:t>
      </w:r>
      <w:r>
        <w:rPr>
          <w:rFonts w:cs="Arial"/>
          <w:bCs/>
          <w:color w:val="222222"/>
          <w:szCs w:val="18"/>
          <w:shd w:val="clear" w:color="auto" w:fill="FFFFFF"/>
        </w:rPr>
        <w:t xml:space="preserve">2013, </w:t>
      </w:r>
      <w:r w:rsidRPr="006B6BB2">
        <w:rPr>
          <w:rFonts w:cs="Arial"/>
          <w:bCs/>
          <w:color w:val="222222"/>
          <w:szCs w:val="18"/>
          <w:shd w:val="clear" w:color="auto" w:fill="FFFFFF"/>
        </w:rPr>
        <w:t>Hollow core photonic crystal fiber as a reusable Raman biosensor, Opt. Express </w:t>
      </w:r>
      <w:r w:rsidRPr="006B6BB2">
        <w:rPr>
          <w:rFonts w:cs="Arial"/>
          <w:bCs/>
          <w:color w:val="222222"/>
          <w:szCs w:val="18"/>
        </w:rPr>
        <w:t>21</w:t>
      </w:r>
      <w:r w:rsidRPr="006B6BB2">
        <w:rPr>
          <w:rFonts w:cs="Arial"/>
          <w:bCs/>
          <w:color w:val="222222"/>
          <w:szCs w:val="18"/>
          <w:shd w:val="clear" w:color="auto" w:fill="FFFFFF"/>
        </w:rPr>
        <w:t>, 12340-12350</w:t>
      </w:r>
      <w:r>
        <w:rPr>
          <w:rFonts w:cs="Arial"/>
          <w:bCs/>
          <w:color w:val="222222"/>
          <w:szCs w:val="18"/>
          <w:shd w:val="clear" w:color="auto" w:fill="FFFFFF"/>
        </w:rPr>
        <w:t>.</w:t>
      </w:r>
    </w:p>
    <w:p w:rsidR="00D470B9" w:rsidRDefault="00D470B9" w:rsidP="0053778F">
      <w:pPr>
        <w:pStyle w:val="CETBodytext"/>
        <w:ind w:left="284" w:hanging="284"/>
        <w:rPr>
          <w:rFonts w:cs="Arial"/>
          <w:bCs/>
          <w:color w:val="222222"/>
          <w:szCs w:val="18"/>
          <w:shd w:val="clear" w:color="auto" w:fill="FFFFFF"/>
        </w:rPr>
      </w:pPr>
    </w:p>
    <w:p w:rsidR="00CA45E5" w:rsidRDefault="00D470B9" w:rsidP="00D470B9">
      <w:pPr>
        <w:pStyle w:val="CETBodytext"/>
        <w:ind w:left="284" w:hanging="284"/>
        <w:rPr>
          <w:rFonts w:cs="Arial"/>
          <w:bCs/>
          <w:color w:val="222222"/>
          <w:szCs w:val="18"/>
          <w:shd w:val="clear" w:color="auto" w:fill="FFFFFF"/>
        </w:rPr>
      </w:pPr>
      <w:r>
        <w:rPr>
          <w:rFonts w:cs="Arial"/>
          <w:bCs/>
          <w:color w:val="222222"/>
          <w:szCs w:val="18"/>
          <w:shd w:val="clear" w:color="auto" w:fill="FFFFFF"/>
        </w:rPr>
        <w:t>Kant K.,</w:t>
      </w:r>
      <w:r w:rsidR="00CA45E5">
        <w:rPr>
          <w:rFonts w:cs="Arial"/>
          <w:bCs/>
          <w:color w:val="222222"/>
          <w:szCs w:val="18"/>
          <w:shd w:val="clear" w:color="auto" w:fill="FFFFFF"/>
        </w:rPr>
        <w:t xml:space="preserve"> </w:t>
      </w:r>
      <w:r>
        <w:rPr>
          <w:rFonts w:cs="Arial"/>
          <w:bCs/>
          <w:color w:val="222222"/>
          <w:szCs w:val="18"/>
          <w:shd w:val="clear" w:color="auto" w:fill="FFFFFF"/>
        </w:rPr>
        <w:t>Abalde-Cela S., 2018</w:t>
      </w:r>
      <w:r w:rsidR="00CA45E5">
        <w:rPr>
          <w:rFonts w:cs="Arial"/>
          <w:bCs/>
          <w:color w:val="222222"/>
          <w:szCs w:val="18"/>
          <w:shd w:val="clear" w:color="auto" w:fill="FFFFFF"/>
        </w:rPr>
        <w:t xml:space="preserve">, </w:t>
      </w:r>
      <w:r w:rsidRPr="00D470B9">
        <w:rPr>
          <w:rFonts w:cs="Arial"/>
          <w:bCs/>
          <w:color w:val="222222"/>
          <w:szCs w:val="18"/>
          <w:shd w:val="clear" w:color="auto" w:fill="FFFFFF"/>
        </w:rPr>
        <w:t>Surface-Enhanced Raman Scattering Spectroscopy and Microfluidics: Towards Ultrasensitive Label-Free Sensing</w:t>
      </w:r>
      <w:r w:rsidR="00CA45E5" w:rsidRPr="006B6BB2">
        <w:rPr>
          <w:rFonts w:cs="Arial"/>
          <w:bCs/>
          <w:color w:val="222222"/>
          <w:szCs w:val="18"/>
          <w:shd w:val="clear" w:color="auto" w:fill="FFFFFF"/>
        </w:rPr>
        <w:t xml:space="preserve">, </w:t>
      </w:r>
      <w:r>
        <w:rPr>
          <w:rFonts w:cs="Arial"/>
          <w:bCs/>
          <w:color w:val="222222"/>
          <w:szCs w:val="18"/>
          <w:shd w:val="clear" w:color="auto" w:fill="FFFFFF"/>
        </w:rPr>
        <w:t xml:space="preserve">Biosensors, </w:t>
      </w:r>
      <w:r>
        <w:rPr>
          <w:rFonts w:cs="Arial"/>
          <w:bCs/>
          <w:color w:val="222222"/>
          <w:szCs w:val="18"/>
        </w:rPr>
        <w:t>62</w:t>
      </w:r>
      <w:r w:rsidR="00CA45E5">
        <w:rPr>
          <w:rFonts w:cs="Arial"/>
          <w:bCs/>
          <w:color w:val="222222"/>
          <w:szCs w:val="18"/>
          <w:shd w:val="clear" w:color="auto" w:fill="FFFFFF"/>
        </w:rPr>
        <w:t>.</w:t>
      </w:r>
    </w:p>
    <w:p w:rsidR="0053778F" w:rsidRDefault="0053778F" w:rsidP="0053778F">
      <w:pPr>
        <w:pStyle w:val="CETBodytext"/>
        <w:ind w:left="284" w:hanging="284"/>
        <w:rPr>
          <w:rFonts w:cs="Arial"/>
          <w:bCs/>
          <w:color w:val="222222"/>
          <w:szCs w:val="18"/>
          <w:shd w:val="clear" w:color="auto" w:fill="FFFFFF"/>
        </w:rPr>
      </w:pPr>
    </w:p>
    <w:p w:rsidR="0053778F" w:rsidRDefault="0053778F" w:rsidP="0053778F">
      <w:pPr>
        <w:pStyle w:val="CETBodytext"/>
        <w:ind w:left="284" w:hanging="284"/>
        <w:rPr>
          <w:rFonts w:cs="Arial"/>
          <w:bCs/>
          <w:szCs w:val="18"/>
          <w:shd w:val="clear" w:color="auto" w:fill="FFFFFF"/>
        </w:rPr>
      </w:pPr>
      <w:r w:rsidRPr="00B7473E">
        <w:rPr>
          <w:rFonts w:cs="Arial"/>
          <w:bCs/>
          <w:szCs w:val="18"/>
          <w:shd w:val="clear" w:color="auto" w:fill="FFFFFF"/>
        </w:rPr>
        <w:t xml:space="preserve">Saggiomo V., Velders A.H., </w:t>
      </w:r>
      <w:r>
        <w:rPr>
          <w:rFonts w:cs="Arial"/>
          <w:bCs/>
          <w:szCs w:val="18"/>
          <w:shd w:val="clear" w:color="auto" w:fill="FFFFFF"/>
        </w:rPr>
        <w:t xml:space="preserve">2015, </w:t>
      </w:r>
      <w:r w:rsidRPr="00B7473E">
        <w:rPr>
          <w:rFonts w:cs="Arial"/>
          <w:bCs/>
          <w:szCs w:val="18"/>
          <w:shd w:val="clear" w:color="auto" w:fill="FFFFFF"/>
        </w:rPr>
        <w:t>Simple 3D Printed Scaffold-Removal Method for the Fabrication of</w:t>
      </w:r>
      <w:r w:rsidR="00067619">
        <w:rPr>
          <w:rFonts w:cs="Arial"/>
          <w:bCs/>
          <w:szCs w:val="18"/>
          <w:shd w:val="clear" w:color="auto" w:fill="FFFFFF"/>
        </w:rPr>
        <w:t xml:space="preserve"> Intricate Microfluidic Devices,</w:t>
      </w:r>
      <w:r w:rsidRPr="00B7473E">
        <w:rPr>
          <w:rFonts w:cs="Arial"/>
          <w:bCs/>
          <w:szCs w:val="18"/>
          <w:shd w:val="clear" w:color="auto" w:fill="FFFFFF"/>
        </w:rPr>
        <w:t xml:space="preserve"> Advanced Science, 2</w:t>
      </w:r>
      <w:r>
        <w:rPr>
          <w:rFonts w:cs="Arial"/>
          <w:bCs/>
          <w:szCs w:val="18"/>
          <w:shd w:val="clear" w:color="auto" w:fill="FFFFFF"/>
        </w:rPr>
        <w:t xml:space="preserve">, </w:t>
      </w:r>
      <w:r w:rsidRPr="00B7473E">
        <w:rPr>
          <w:rFonts w:cs="Arial"/>
          <w:bCs/>
          <w:szCs w:val="18"/>
          <w:shd w:val="clear" w:color="auto" w:fill="FFFFFF"/>
        </w:rPr>
        <w:t>1500125</w:t>
      </w:r>
      <w:r>
        <w:rPr>
          <w:rFonts w:cs="Arial"/>
          <w:bCs/>
          <w:szCs w:val="18"/>
          <w:shd w:val="clear" w:color="auto" w:fill="FFFFFF"/>
        </w:rPr>
        <w:t>.</w:t>
      </w:r>
    </w:p>
    <w:p w:rsidR="0053778F" w:rsidRDefault="0053778F" w:rsidP="0053778F">
      <w:pPr>
        <w:pStyle w:val="CETBodytext"/>
        <w:ind w:left="284" w:hanging="284"/>
        <w:rPr>
          <w:rFonts w:cs="Arial"/>
          <w:bCs/>
          <w:color w:val="222222"/>
          <w:szCs w:val="18"/>
          <w:shd w:val="clear" w:color="auto" w:fill="FFFFFF"/>
        </w:rPr>
      </w:pPr>
    </w:p>
    <w:p w:rsidR="0053778F" w:rsidRDefault="0053778F" w:rsidP="0053778F">
      <w:pPr>
        <w:shd w:val="clear" w:color="auto" w:fill="FFFFFF"/>
        <w:tabs>
          <w:tab w:val="clear" w:pos="7100"/>
        </w:tabs>
        <w:ind w:left="284" w:hanging="284"/>
        <w:rPr>
          <w:rFonts w:cs="Arial"/>
          <w:color w:val="000000"/>
          <w:szCs w:val="18"/>
          <w:lang w:val="en-US" w:eastAsia="pt-BR"/>
        </w:rPr>
      </w:pPr>
      <w:r>
        <w:rPr>
          <w:rFonts w:cs="Arial"/>
          <w:color w:val="000000"/>
          <w:szCs w:val="18"/>
          <w:lang w:val="en-US" w:eastAsia="pt-BR"/>
        </w:rPr>
        <w:t xml:space="preserve">Samsudin M.D.M., 2017, </w:t>
      </w:r>
      <w:r w:rsidRPr="00D84C66">
        <w:rPr>
          <w:rFonts w:cs="Arial"/>
          <w:color w:val="000000"/>
          <w:szCs w:val="18"/>
          <w:lang w:val="en-US" w:eastAsia="pt-BR"/>
        </w:rPr>
        <w:t>Batch Fermentation of Bioethanol from the Residues of Elaeis</w:t>
      </w:r>
      <w:r>
        <w:rPr>
          <w:rFonts w:cs="Arial"/>
          <w:color w:val="000000"/>
          <w:szCs w:val="18"/>
          <w:lang w:val="en-US" w:eastAsia="pt-BR"/>
        </w:rPr>
        <w:t xml:space="preserve"> </w:t>
      </w:r>
      <w:r w:rsidRPr="00D84C66">
        <w:rPr>
          <w:rFonts w:cs="Arial"/>
          <w:color w:val="000000"/>
          <w:szCs w:val="18"/>
          <w:lang w:val="en-US" w:eastAsia="pt-BR"/>
        </w:rPr>
        <w:t>Guineensis: Optimisation using Response Surface</w:t>
      </w:r>
      <w:r>
        <w:rPr>
          <w:rFonts w:cs="Arial"/>
          <w:color w:val="000000"/>
          <w:szCs w:val="18"/>
          <w:lang w:val="en-US" w:eastAsia="pt-BR"/>
        </w:rPr>
        <w:t xml:space="preserve"> </w:t>
      </w:r>
      <w:r w:rsidRPr="00D84C66">
        <w:rPr>
          <w:rFonts w:cs="Arial"/>
          <w:color w:val="000000"/>
          <w:szCs w:val="18"/>
          <w:lang w:val="en-US" w:eastAsia="pt-BR"/>
        </w:rPr>
        <w:t>Methodology</w:t>
      </w:r>
      <w:r w:rsidR="00067619">
        <w:rPr>
          <w:rFonts w:cs="Arial"/>
          <w:color w:val="000000"/>
          <w:szCs w:val="18"/>
          <w:lang w:val="en-US" w:eastAsia="pt-BR"/>
        </w:rPr>
        <w:t>,</w:t>
      </w:r>
      <w:r>
        <w:rPr>
          <w:rFonts w:cs="Arial"/>
          <w:color w:val="000000"/>
          <w:szCs w:val="18"/>
          <w:lang w:val="en-US" w:eastAsia="pt-BR"/>
        </w:rPr>
        <w:t xml:space="preserve"> Chemical Engineering Transactions, 56, 1579-1584.</w:t>
      </w:r>
    </w:p>
    <w:p w:rsidR="0053778F" w:rsidRDefault="0053778F" w:rsidP="0053778F">
      <w:pPr>
        <w:shd w:val="clear" w:color="auto" w:fill="FFFFFF"/>
        <w:tabs>
          <w:tab w:val="clear" w:pos="7100"/>
        </w:tabs>
        <w:ind w:left="284" w:hanging="284"/>
        <w:rPr>
          <w:rFonts w:cs="Arial"/>
          <w:color w:val="000000"/>
          <w:szCs w:val="18"/>
          <w:lang w:val="en-US" w:eastAsia="pt-BR"/>
        </w:rPr>
      </w:pPr>
    </w:p>
    <w:p w:rsidR="0053778F" w:rsidRDefault="0053778F" w:rsidP="0053778F">
      <w:pPr>
        <w:pStyle w:val="CETBodytext"/>
        <w:ind w:left="284" w:hanging="284"/>
        <w:rPr>
          <w:rFonts w:cs="Arial"/>
          <w:bCs/>
          <w:szCs w:val="18"/>
          <w:shd w:val="clear" w:color="auto" w:fill="FFFFFF"/>
        </w:rPr>
      </w:pPr>
      <w:r w:rsidRPr="00B15AF6">
        <w:rPr>
          <w:rFonts w:cs="Arial"/>
          <w:bCs/>
          <w:szCs w:val="18"/>
          <w:shd w:val="clear" w:color="auto" w:fill="FFFFFF"/>
        </w:rPr>
        <w:t xml:space="preserve">Santana, H. S., Tortola, D. S., Silva, J. L., &amp; Taranto, O. P., 2017, Biodiesel synthesis in </w:t>
      </w:r>
      <w:r w:rsidR="00067619">
        <w:rPr>
          <w:rFonts w:cs="Arial"/>
          <w:bCs/>
          <w:szCs w:val="18"/>
          <w:shd w:val="clear" w:color="auto" w:fill="FFFFFF"/>
        </w:rPr>
        <w:t>micromixer with static elements,</w:t>
      </w:r>
      <w:r w:rsidRPr="00B15AF6">
        <w:rPr>
          <w:rFonts w:cs="Arial"/>
          <w:bCs/>
          <w:szCs w:val="18"/>
          <w:shd w:val="clear" w:color="auto" w:fill="FFFFFF"/>
        </w:rPr>
        <w:t xml:space="preserve"> Energy Conversion and Management, 141, 28–39.</w:t>
      </w:r>
    </w:p>
    <w:p w:rsidR="0053778F" w:rsidRDefault="0053778F" w:rsidP="0053778F">
      <w:pPr>
        <w:pStyle w:val="CETBodytext"/>
        <w:ind w:left="284" w:hanging="284"/>
        <w:rPr>
          <w:rFonts w:cs="Arial"/>
          <w:bCs/>
          <w:szCs w:val="18"/>
          <w:shd w:val="clear" w:color="auto" w:fill="FFFFFF"/>
        </w:rPr>
      </w:pPr>
    </w:p>
    <w:p w:rsidR="004628D2" w:rsidRDefault="0053778F" w:rsidP="0053778F">
      <w:pPr>
        <w:pStyle w:val="CETBodytext"/>
      </w:pPr>
      <w:r>
        <w:t>Socrates G., 2001, Infrared and Raman characteristic group frequencies. Tables and charts, 3rd ed. John Willey &amp; Sons Ltd, Chichester (UK).</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CBD" w:rsidRDefault="00F45CBD" w:rsidP="004F5E36">
      <w:r>
        <w:separator/>
      </w:r>
    </w:p>
  </w:endnote>
  <w:endnote w:type="continuationSeparator" w:id="0">
    <w:p w:rsidR="00F45CBD" w:rsidRDefault="00F45CB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CBD" w:rsidRDefault="00F45CBD" w:rsidP="004F5E36">
      <w:r>
        <w:separator/>
      </w:r>
    </w:p>
  </w:footnote>
  <w:footnote w:type="continuationSeparator" w:id="0">
    <w:p w:rsidR="00F45CBD" w:rsidRDefault="00F45CBD"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1D2D6B"/>
    <w:multiLevelType w:val="multilevel"/>
    <w:tmpl w:val="1744E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A42DAC"/>
    <w:multiLevelType w:val="multilevel"/>
    <w:tmpl w:val="D8B08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1"/>
  </w:num>
  <w:num w:numId="18">
    <w:abstractNumId w:val="14"/>
    <w:lvlOverride w:ilvl="0">
      <w:startOverride w:val="1"/>
    </w:lvlOverride>
  </w:num>
  <w:num w:numId="19">
    <w:abstractNumId w:val="17"/>
  </w:num>
  <w:num w:numId="20">
    <w:abstractNumId w:val="16"/>
  </w:num>
  <w:num w:numId="21">
    <w:abstractNumId w:val="15"/>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67619"/>
    <w:rsid w:val="00086C39"/>
    <w:rsid w:val="00093649"/>
    <w:rsid w:val="00094A65"/>
    <w:rsid w:val="000A03B2"/>
    <w:rsid w:val="000A3B79"/>
    <w:rsid w:val="000B0AF6"/>
    <w:rsid w:val="000D13B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5EC"/>
    <w:rsid w:val="00134DE4"/>
    <w:rsid w:val="001365A8"/>
    <w:rsid w:val="0014034D"/>
    <w:rsid w:val="00140E44"/>
    <w:rsid w:val="00150E59"/>
    <w:rsid w:val="00152DE3"/>
    <w:rsid w:val="00162642"/>
    <w:rsid w:val="00164CF9"/>
    <w:rsid w:val="00171A74"/>
    <w:rsid w:val="00184AD6"/>
    <w:rsid w:val="0019385A"/>
    <w:rsid w:val="001B0349"/>
    <w:rsid w:val="001B65C1"/>
    <w:rsid w:val="001C684B"/>
    <w:rsid w:val="001D53FC"/>
    <w:rsid w:val="001F42A5"/>
    <w:rsid w:val="001F7B9D"/>
    <w:rsid w:val="002224B4"/>
    <w:rsid w:val="002447EF"/>
    <w:rsid w:val="00251550"/>
    <w:rsid w:val="00252C1A"/>
    <w:rsid w:val="00263B05"/>
    <w:rsid w:val="00263E78"/>
    <w:rsid w:val="0026790E"/>
    <w:rsid w:val="002720F6"/>
    <w:rsid w:val="0027221A"/>
    <w:rsid w:val="00275B61"/>
    <w:rsid w:val="00282656"/>
    <w:rsid w:val="00296B83"/>
    <w:rsid w:val="002B78CE"/>
    <w:rsid w:val="002C2FB6"/>
    <w:rsid w:val="002D5BCD"/>
    <w:rsid w:val="003009B7"/>
    <w:rsid w:val="00300E56"/>
    <w:rsid w:val="00301B08"/>
    <w:rsid w:val="0030469C"/>
    <w:rsid w:val="00321CA6"/>
    <w:rsid w:val="00334C09"/>
    <w:rsid w:val="003365E3"/>
    <w:rsid w:val="00371579"/>
    <w:rsid w:val="003723D4"/>
    <w:rsid w:val="00384CC8"/>
    <w:rsid w:val="003871FD"/>
    <w:rsid w:val="003A1E30"/>
    <w:rsid w:val="003A7D1C"/>
    <w:rsid w:val="003B304B"/>
    <w:rsid w:val="003B3146"/>
    <w:rsid w:val="003B60F3"/>
    <w:rsid w:val="003F015E"/>
    <w:rsid w:val="00400414"/>
    <w:rsid w:val="00410B27"/>
    <w:rsid w:val="0041446B"/>
    <w:rsid w:val="0044329C"/>
    <w:rsid w:val="00451A9F"/>
    <w:rsid w:val="004577FE"/>
    <w:rsid w:val="00457B9C"/>
    <w:rsid w:val="0046164A"/>
    <w:rsid w:val="004628D2"/>
    <w:rsid w:val="00462DCD"/>
    <w:rsid w:val="00464741"/>
    <w:rsid w:val="004648AD"/>
    <w:rsid w:val="004703A9"/>
    <w:rsid w:val="00474D93"/>
    <w:rsid w:val="004760DE"/>
    <w:rsid w:val="0048641B"/>
    <w:rsid w:val="004A004E"/>
    <w:rsid w:val="004A24CF"/>
    <w:rsid w:val="004B6721"/>
    <w:rsid w:val="004C3D1D"/>
    <w:rsid w:val="004C7913"/>
    <w:rsid w:val="004E4DD6"/>
    <w:rsid w:val="004F5E36"/>
    <w:rsid w:val="00507B47"/>
    <w:rsid w:val="00507CC9"/>
    <w:rsid w:val="005119A5"/>
    <w:rsid w:val="005278B7"/>
    <w:rsid w:val="00532016"/>
    <w:rsid w:val="005346C8"/>
    <w:rsid w:val="0053778F"/>
    <w:rsid w:val="00543E7D"/>
    <w:rsid w:val="00546B05"/>
    <w:rsid w:val="00547A68"/>
    <w:rsid w:val="005520ED"/>
    <w:rsid w:val="005531C9"/>
    <w:rsid w:val="0059259B"/>
    <w:rsid w:val="00594742"/>
    <w:rsid w:val="005B2110"/>
    <w:rsid w:val="005B61E6"/>
    <w:rsid w:val="005C77E1"/>
    <w:rsid w:val="005D5E6F"/>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0518A"/>
    <w:rsid w:val="00720A24"/>
    <w:rsid w:val="00725084"/>
    <w:rsid w:val="00732386"/>
    <w:rsid w:val="007447F3"/>
    <w:rsid w:val="0075499F"/>
    <w:rsid w:val="007661C8"/>
    <w:rsid w:val="0077098D"/>
    <w:rsid w:val="007931FA"/>
    <w:rsid w:val="007A7BBA"/>
    <w:rsid w:val="007B0C50"/>
    <w:rsid w:val="007C1A43"/>
    <w:rsid w:val="007C21A6"/>
    <w:rsid w:val="007E1DC6"/>
    <w:rsid w:val="007E2639"/>
    <w:rsid w:val="00813288"/>
    <w:rsid w:val="008168FC"/>
    <w:rsid w:val="00830996"/>
    <w:rsid w:val="008345F1"/>
    <w:rsid w:val="00865B07"/>
    <w:rsid w:val="008667EA"/>
    <w:rsid w:val="0087637F"/>
    <w:rsid w:val="00890401"/>
    <w:rsid w:val="008904B9"/>
    <w:rsid w:val="00892AD5"/>
    <w:rsid w:val="008A1512"/>
    <w:rsid w:val="008A5694"/>
    <w:rsid w:val="008C78C1"/>
    <w:rsid w:val="008D32B9"/>
    <w:rsid w:val="008D433B"/>
    <w:rsid w:val="008E566E"/>
    <w:rsid w:val="0090161A"/>
    <w:rsid w:val="00901EB6"/>
    <w:rsid w:val="00904C62"/>
    <w:rsid w:val="00912F5E"/>
    <w:rsid w:val="0091398A"/>
    <w:rsid w:val="0091734A"/>
    <w:rsid w:val="00924DAC"/>
    <w:rsid w:val="00927058"/>
    <w:rsid w:val="009450CE"/>
    <w:rsid w:val="00947179"/>
    <w:rsid w:val="0095164B"/>
    <w:rsid w:val="00954090"/>
    <w:rsid w:val="009573E7"/>
    <w:rsid w:val="009635B9"/>
    <w:rsid w:val="00963E05"/>
    <w:rsid w:val="00967D54"/>
    <w:rsid w:val="00967EE2"/>
    <w:rsid w:val="00996483"/>
    <w:rsid w:val="00996F5A"/>
    <w:rsid w:val="009A0A3E"/>
    <w:rsid w:val="009B041A"/>
    <w:rsid w:val="009C7C86"/>
    <w:rsid w:val="009D0237"/>
    <w:rsid w:val="009D2FF7"/>
    <w:rsid w:val="009E03B6"/>
    <w:rsid w:val="009E7884"/>
    <w:rsid w:val="009E788A"/>
    <w:rsid w:val="009F0E08"/>
    <w:rsid w:val="00A1763D"/>
    <w:rsid w:val="00A17CEC"/>
    <w:rsid w:val="00A27EF0"/>
    <w:rsid w:val="00A34BAD"/>
    <w:rsid w:val="00A42F04"/>
    <w:rsid w:val="00A50B20"/>
    <w:rsid w:val="00A51390"/>
    <w:rsid w:val="00A60D13"/>
    <w:rsid w:val="00A72745"/>
    <w:rsid w:val="00A76EFC"/>
    <w:rsid w:val="00A80431"/>
    <w:rsid w:val="00A91010"/>
    <w:rsid w:val="00A97F29"/>
    <w:rsid w:val="00AA702E"/>
    <w:rsid w:val="00AB0964"/>
    <w:rsid w:val="00AB349D"/>
    <w:rsid w:val="00AB5011"/>
    <w:rsid w:val="00AC02BA"/>
    <w:rsid w:val="00AC7368"/>
    <w:rsid w:val="00AD16B9"/>
    <w:rsid w:val="00AE377D"/>
    <w:rsid w:val="00B17FBD"/>
    <w:rsid w:val="00B315A6"/>
    <w:rsid w:val="00B31813"/>
    <w:rsid w:val="00B33365"/>
    <w:rsid w:val="00B57B36"/>
    <w:rsid w:val="00B63558"/>
    <w:rsid w:val="00B8686D"/>
    <w:rsid w:val="00BC30C9"/>
    <w:rsid w:val="00BE3E58"/>
    <w:rsid w:val="00C01616"/>
    <w:rsid w:val="00C0162B"/>
    <w:rsid w:val="00C345B1"/>
    <w:rsid w:val="00C40142"/>
    <w:rsid w:val="00C57182"/>
    <w:rsid w:val="00C57863"/>
    <w:rsid w:val="00C655FD"/>
    <w:rsid w:val="00C870A8"/>
    <w:rsid w:val="00C94434"/>
    <w:rsid w:val="00CA0D75"/>
    <w:rsid w:val="00CA1C95"/>
    <w:rsid w:val="00CA45E5"/>
    <w:rsid w:val="00CA5A9C"/>
    <w:rsid w:val="00CB31F9"/>
    <w:rsid w:val="00CD3517"/>
    <w:rsid w:val="00CD5A00"/>
    <w:rsid w:val="00CD5FE2"/>
    <w:rsid w:val="00CE5FEF"/>
    <w:rsid w:val="00CE7230"/>
    <w:rsid w:val="00CE7C68"/>
    <w:rsid w:val="00D02B4C"/>
    <w:rsid w:val="00D02D9E"/>
    <w:rsid w:val="00D040C4"/>
    <w:rsid w:val="00D3463E"/>
    <w:rsid w:val="00D470B9"/>
    <w:rsid w:val="00D57C84"/>
    <w:rsid w:val="00D6057D"/>
    <w:rsid w:val="00D84576"/>
    <w:rsid w:val="00D94880"/>
    <w:rsid w:val="00DA1399"/>
    <w:rsid w:val="00DA24C6"/>
    <w:rsid w:val="00DA4D7B"/>
    <w:rsid w:val="00DE264A"/>
    <w:rsid w:val="00E02D18"/>
    <w:rsid w:val="00E041E7"/>
    <w:rsid w:val="00E17105"/>
    <w:rsid w:val="00E23CA1"/>
    <w:rsid w:val="00E26995"/>
    <w:rsid w:val="00E409A8"/>
    <w:rsid w:val="00E44E10"/>
    <w:rsid w:val="00E50C12"/>
    <w:rsid w:val="00E601CB"/>
    <w:rsid w:val="00E65B91"/>
    <w:rsid w:val="00E71254"/>
    <w:rsid w:val="00E7209D"/>
    <w:rsid w:val="00E75ACB"/>
    <w:rsid w:val="00E77223"/>
    <w:rsid w:val="00E77BD6"/>
    <w:rsid w:val="00E818BE"/>
    <w:rsid w:val="00E8528B"/>
    <w:rsid w:val="00E85B94"/>
    <w:rsid w:val="00E978D0"/>
    <w:rsid w:val="00EA4613"/>
    <w:rsid w:val="00EA7F91"/>
    <w:rsid w:val="00EB1523"/>
    <w:rsid w:val="00EC0E49"/>
    <w:rsid w:val="00EE0131"/>
    <w:rsid w:val="00F155B2"/>
    <w:rsid w:val="00F16440"/>
    <w:rsid w:val="00F17514"/>
    <w:rsid w:val="00F30C64"/>
    <w:rsid w:val="00F32CDB"/>
    <w:rsid w:val="00F45CBD"/>
    <w:rsid w:val="00F63A70"/>
    <w:rsid w:val="00FA21D0"/>
    <w:rsid w:val="00FA5F5F"/>
    <w:rsid w:val="00FB730C"/>
    <w:rsid w:val="00FC2695"/>
    <w:rsid w:val="00FC3E03"/>
    <w:rsid w:val="00FC3FC1"/>
    <w:rsid w:val="00FC5B9B"/>
    <w:rsid w:val="00FD4E1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628B7"/>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hps">
    <w:name w:val="hps"/>
    <w:rsid w:val="0053778F"/>
  </w:style>
  <w:style w:type="paragraph" w:styleId="PargrafodaLista">
    <w:name w:val="List Paragraph"/>
    <w:basedOn w:val="Normal"/>
    <w:uiPriority w:val="34"/>
    <w:rsid w:val="00537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518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C2F4-29C7-440D-B42F-CBF63D9A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12064</Characters>
  <Application>Microsoft Office Word</Application>
  <DocSecurity>0</DocSecurity>
  <Lines>100</Lines>
  <Paragraphs>28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Harrison Silva Santana</cp:lastModifiedBy>
  <cp:revision>2</cp:revision>
  <cp:lastPrinted>2015-05-12T18:31:00Z</cp:lastPrinted>
  <dcterms:created xsi:type="dcterms:W3CDTF">2019-04-14T18:44:00Z</dcterms:created>
  <dcterms:modified xsi:type="dcterms:W3CDTF">2019-04-14T18:44:00Z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