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086BF5" w14:paraId="2B8536F2" w14:textId="77777777">
        <w:trPr>
          <w:trHeight w:val="852"/>
          <w:jc w:val="center"/>
        </w:trPr>
        <w:tc>
          <w:tcPr>
            <w:tcW w:w="6946" w:type="dxa"/>
            <w:vMerge w:val="restart"/>
            <w:tcBorders>
              <w:right w:val="single" w:sz="4" w:space="0" w:color="auto"/>
            </w:tcBorders>
          </w:tcPr>
          <w:p w14:paraId="1F6E886A" w14:textId="77777777" w:rsidR="000A03B2" w:rsidRPr="00086BF5" w:rsidRDefault="000A03B2" w:rsidP="00DE264A">
            <w:pPr>
              <w:tabs>
                <w:tab w:val="left" w:pos="-108"/>
              </w:tabs>
              <w:ind w:left="-108"/>
              <w:jc w:val="left"/>
              <w:rPr>
                <w:rFonts w:cs="Arial"/>
                <w:b/>
                <w:bCs/>
                <w:i/>
                <w:iCs/>
                <w:color w:val="000066"/>
                <w:sz w:val="12"/>
                <w:szCs w:val="12"/>
                <w:lang w:val="en-US" w:eastAsia="it-IT"/>
              </w:rPr>
            </w:pPr>
            <w:r w:rsidRPr="00086BF5">
              <w:rPr>
                <w:rFonts w:ascii="AdvP6960" w:hAnsi="AdvP6960" w:cs="AdvP6960"/>
                <w:noProof/>
                <w:color w:val="241F20"/>
                <w:szCs w:val="18"/>
                <w:lang w:val="en-US"/>
              </w:rPr>
              <w:drawing>
                <wp:inline distT="0" distB="0" distL="0" distR="0" wp14:anchorId="5F5C478F" wp14:editId="72321329">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086BF5">
              <w:rPr>
                <w:rFonts w:ascii="AdvP6960" w:hAnsi="AdvP6960" w:cs="AdvP6960"/>
                <w:color w:val="241F20"/>
                <w:szCs w:val="18"/>
                <w:lang w:val="en-US" w:eastAsia="it-IT"/>
              </w:rPr>
              <w:t xml:space="preserve"> </w:t>
            </w:r>
            <w:r w:rsidRPr="00086BF5">
              <w:rPr>
                <w:rFonts w:cs="Arial"/>
                <w:b/>
                <w:bCs/>
                <w:i/>
                <w:iCs/>
                <w:color w:val="000066"/>
                <w:sz w:val="24"/>
                <w:szCs w:val="24"/>
                <w:lang w:val="en-US" w:eastAsia="it-IT"/>
              </w:rPr>
              <w:t>CHEMICAL ENGINEERING</w:t>
            </w:r>
            <w:r w:rsidRPr="00086BF5">
              <w:rPr>
                <w:rFonts w:cs="Arial"/>
                <w:b/>
                <w:bCs/>
                <w:i/>
                <w:iCs/>
                <w:color w:val="0033FF"/>
                <w:sz w:val="24"/>
                <w:szCs w:val="24"/>
                <w:lang w:val="en-US" w:eastAsia="it-IT"/>
              </w:rPr>
              <w:t xml:space="preserve"> </w:t>
            </w:r>
            <w:r w:rsidRPr="00086BF5">
              <w:rPr>
                <w:rFonts w:cs="Arial"/>
                <w:b/>
                <w:bCs/>
                <w:i/>
                <w:iCs/>
                <w:color w:val="666666"/>
                <w:sz w:val="24"/>
                <w:szCs w:val="24"/>
                <w:lang w:val="en-US" w:eastAsia="it-IT"/>
              </w:rPr>
              <w:t>TRANSACTIONS</w:t>
            </w:r>
            <w:r w:rsidRPr="00086BF5">
              <w:rPr>
                <w:color w:val="333333"/>
                <w:sz w:val="24"/>
                <w:szCs w:val="24"/>
                <w:lang w:val="en-US" w:eastAsia="it-IT"/>
              </w:rPr>
              <w:t xml:space="preserve"> </w:t>
            </w:r>
            <w:r w:rsidRPr="00086BF5">
              <w:rPr>
                <w:rFonts w:cs="Arial"/>
                <w:b/>
                <w:bCs/>
                <w:i/>
                <w:iCs/>
                <w:color w:val="000066"/>
                <w:sz w:val="27"/>
                <w:szCs w:val="27"/>
                <w:lang w:val="en-US" w:eastAsia="it-IT"/>
              </w:rPr>
              <w:br/>
            </w:r>
          </w:p>
          <w:p w14:paraId="6E74179B" w14:textId="77777777" w:rsidR="000A03B2" w:rsidRPr="00086BF5" w:rsidRDefault="00A76EFC" w:rsidP="009635B9">
            <w:pPr>
              <w:tabs>
                <w:tab w:val="left" w:pos="-108"/>
              </w:tabs>
              <w:ind w:left="-108"/>
              <w:rPr>
                <w:rFonts w:cs="Arial"/>
                <w:b/>
                <w:bCs/>
                <w:i/>
                <w:iCs/>
                <w:color w:val="000066"/>
                <w:sz w:val="22"/>
                <w:szCs w:val="22"/>
                <w:lang w:val="en-US" w:eastAsia="it-IT"/>
              </w:rPr>
            </w:pPr>
            <w:r w:rsidRPr="00086BF5">
              <w:rPr>
                <w:rFonts w:cs="Arial"/>
                <w:b/>
                <w:bCs/>
                <w:i/>
                <w:iCs/>
                <w:color w:val="000066"/>
                <w:sz w:val="22"/>
                <w:szCs w:val="22"/>
                <w:lang w:val="en-US" w:eastAsia="it-IT"/>
              </w:rPr>
              <w:t xml:space="preserve">VOL. </w:t>
            </w:r>
            <w:r w:rsidR="007931FA" w:rsidRPr="00086BF5">
              <w:rPr>
                <w:rFonts w:cs="Arial"/>
                <w:b/>
                <w:bCs/>
                <w:i/>
                <w:iCs/>
                <w:color w:val="000066"/>
                <w:sz w:val="22"/>
                <w:szCs w:val="22"/>
                <w:lang w:val="en-US" w:eastAsia="it-IT"/>
              </w:rPr>
              <w:t>7</w:t>
            </w:r>
            <w:r w:rsidR="009635B9" w:rsidRPr="00086BF5">
              <w:rPr>
                <w:rFonts w:cs="Arial"/>
                <w:b/>
                <w:bCs/>
                <w:i/>
                <w:iCs/>
                <w:color w:val="000066"/>
                <w:sz w:val="22"/>
                <w:szCs w:val="22"/>
                <w:lang w:val="en-US" w:eastAsia="it-IT"/>
              </w:rPr>
              <w:t>6</w:t>
            </w:r>
            <w:r w:rsidR="00FA5F5F" w:rsidRPr="00086BF5">
              <w:rPr>
                <w:rFonts w:cs="Arial"/>
                <w:b/>
                <w:bCs/>
                <w:i/>
                <w:iCs/>
                <w:color w:val="000066"/>
                <w:sz w:val="22"/>
                <w:szCs w:val="22"/>
                <w:lang w:val="en-US" w:eastAsia="it-IT"/>
              </w:rPr>
              <w:t>, 201</w:t>
            </w:r>
            <w:r w:rsidR="007931FA" w:rsidRPr="00086BF5">
              <w:rPr>
                <w:rFonts w:cs="Arial"/>
                <w:b/>
                <w:bCs/>
                <w:i/>
                <w:iCs/>
                <w:color w:val="000066"/>
                <w:sz w:val="22"/>
                <w:szCs w:val="22"/>
                <w:lang w:val="en-US" w:eastAsia="it-IT"/>
              </w:rPr>
              <w:t>9</w:t>
            </w:r>
          </w:p>
        </w:tc>
        <w:tc>
          <w:tcPr>
            <w:tcW w:w="1843" w:type="dxa"/>
            <w:tcBorders>
              <w:left w:val="single" w:sz="4" w:space="0" w:color="auto"/>
              <w:bottom w:val="nil"/>
              <w:right w:val="single" w:sz="4" w:space="0" w:color="auto"/>
            </w:tcBorders>
          </w:tcPr>
          <w:p w14:paraId="76BA91FC" w14:textId="77777777" w:rsidR="000A03B2" w:rsidRPr="00086BF5" w:rsidRDefault="000A03B2" w:rsidP="00CD5FE2">
            <w:pPr>
              <w:spacing w:line="140" w:lineRule="atLeast"/>
              <w:jc w:val="right"/>
              <w:rPr>
                <w:rFonts w:cs="Arial"/>
                <w:sz w:val="14"/>
                <w:szCs w:val="14"/>
                <w:lang w:val="en-US"/>
              </w:rPr>
            </w:pPr>
            <w:r w:rsidRPr="00086BF5">
              <w:rPr>
                <w:rFonts w:cs="Arial"/>
                <w:sz w:val="14"/>
                <w:szCs w:val="14"/>
                <w:lang w:val="en-US"/>
              </w:rPr>
              <w:t>A publication of</w:t>
            </w:r>
          </w:p>
          <w:p w14:paraId="6E7F7A56" w14:textId="77777777" w:rsidR="000A03B2" w:rsidRPr="00086BF5" w:rsidRDefault="000A03B2" w:rsidP="00CD5FE2">
            <w:pPr>
              <w:jc w:val="right"/>
              <w:rPr>
                <w:lang w:val="en-US"/>
              </w:rPr>
            </w:pPr>
            <w:r w:rsidRPr="00086BF5">
              <w:rPr>
                <w:noProof/>
                <w:lang w:val="en-US"/>
              </w:rPr>
              <w:drawing>
                <wp:inline distT="0" distB="0" distL="0" distR="0" wp14:anchorId="06160069" wp14:editId="151A810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F1059B" w14:paraId="6F08390A" w14:textId="77777777">
        <w:trPr>
          <w:trHeight w:val="567"/>
          <w:jc w:val="center"/>
        </w:trPr>
        <w:tc>
          <w:tcPr>
            <w:tcW w:w="6946" w:type="dxa"/>
            <w:vMerge/>
            <w:tcBorders>
              <w:right w:val="single" w:sz="4" w:space="0" w:color="auto"/>
            </w:tcBorders>
          </w:tcPr>
          <w:p w14:paraId="3099A593" w14:textId="77777777" w:rsidR="000A03B2" w:rsidRPr="00086BF5"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1171D312" w14:textId="77777777" w:rsidR="000A03B2" w:rsidRPr="00086BF5" w:rsidRDefault="000A03B2" w:rsidP="00CD5FE2">
            <w:pPr>
              <w:spacing w:line="140" w:lineRule="atLeast"/>
              <w:jc w:val="right"/>
              <w:rPr>
                <w:rFonts w:cs="Arial"/>
                <w:sz w:val="14"/>
                <w:szCs w:val="14"/>
                <w:lang w:val="en-US"/>
              </w:rPr>
            </w:pPr>
            <w:r w:rsidRPr="00086BF5">
              <w:rPr>
                <w:rFonts w:cs="Arial"/>
                <w:sz w:val="14"/>
                <w:szCs w:val="14"/>
                <w:lang w:val="en-US"/>
              </w:rPr>
              <w:t>The Italian Association</w:t>
            </w:r>
          </w:p>
          <w:p w14:paraId="56BB04C6" w14:textId="77777777" w:rsidR="000A03B2" w:rsidRPr="00086BF5" w:rsidRDefault="000A03B2" w:rsidP="00CD5FE2">
            <w:pPr>
              <w:spacing w:line="140" w:lineRule="atLeast"/>
              <w:jc w:val="right"/>
              <w:rPr>
                <w:rFonts w:cs="Arial"/>
                <w:sz w:val="14"/>
                <w:szCs w:val="14"/>
                <w:lang w:val="en-US"/>
              </w:rPr>
            </w:pPr>
            <w:r w:rsidRPr="00086BF5">
              <w:rPr>
                <w:rFonts w:cs="Arial"/>
                <w:sz w:val="14"/>
                <w:szCs w:val="14"/>
                <w:lang w:val="en-US"/>
              </w:rPr>
              <w:t>of Chemical Engineering</w:t>
            </w:r>
          </w:p>
          <w:p w14:paraId="5FB2F259" w14:textId="77777777" w:rsidR="000A03B2" w:rsidRPr="00510ACC" w:rsidRDefault="000A03B2" w:rsidP="00162642">
            <w:pPr>
              <w:spacing w:line="140" w:lineRule="atLeast"/>
              <w:jc w:val="right"/>
              <w:rPr>
                <w:rFonts w:cs="Arial"/>
                <w:sz w:val="14"/>
                <w:szCs w:val="14"/>
                <w:lang w:val="da-DK"/>
              </w:rPr>
            </w:pPr>
            <w:r w:rsidRPr="00510ACC">
              <w:rPr>
                <w:rFonts w:cs="Arial"/>
                <w:sz w:val="14"/>
                <w:szCs w:val="14"/>
                <w:lang w:val="da-DK"/>
              </w:rPr>
              <w:t xml:space="preserve">Online at </w:t>
            </w:r>
            <w:r w:rsidR="00162642" w:rsidRPr="00510ACC">
              <w:rPr>
                <w:rFonts w:cs="Arial"/>
                <w:sz w:val="14"/>
                <w:szCs w:val="14"/>
                <w:lang w:val="da-DK"/>
              </w:rPr>
              <w:t>www.cetjournal.it</w:t>
            </w:r>
          </w:p>
        </w:tc>
      </w:tr>
      <w:tr w:rsidR="000A03B2" w:rsidRPr="00086BF5" w14:paraId="46E2F1BE" w14:textId="77777777">
        <w:trPr>
          <w:trHeight w:val="68"/>
          <w:jc w:val="center"/>
        </w:trPr>
        <w:tc>
          <w:tcPr>
            <w:tcW w:w="8789" w:type="dxa"/>
            <w:gridSpan w:val="2"/>
          </w:tcPr>
          <w:p w14:paraId="29812660" w14:textId="77777777" w:rsidR="00300E56" w:rsidRPr="00510ACC" w:rsidRDefault="00300E56" w:rsidP="003365E3">
            <w:pPr>
              <w:ind w:left="-107"/>
              <w:rPr>
                <w:lang w:val="es-EC"/>
              </w:rPr>
            </w:pPr>
            <w:r w:rsidRPr="00510ACC">
              <w:rPr>
                <w:rFonts w:ascii="Tahoma" w:hAnsi="Tahoma" w:cs="Tahoma"/>
                <w:iCs/>
                <w:color w:val="333333"/>
                <w:sz w:val="14"/>
                <w:szCs w:val="14"/>
                <w:lang w:val="es-EC" w:eastAsia="it-IT"/>
              </w:rPr>
              <w:t>Guest Editors:</w:t>
            </w:r>
            <w:r w:rsidR="00904C62" w:rsidRPr="00510ACC">
              <w:rPr>
                <w:rFonts w:ascii="Tahoma" w:hAnsi="Tahoma" w:cs="Tahoma"/>
                <w:iCs/>
                <w:color w:val="333333"/>
                <w:sz w:val="14"/>
                <w:szCs w:val="14"/>
                <w:lang w:val="es-EC" w:eastAsia="it-IT"/>
              </w:rPr>
              <w:t xml:space="preserve"> </w:t>
            </w:r>
            <w:r w:rsidR="009635B9" w:rsidRPr="00510ACC">
              <w:rPr>
                <w:rFonts w:ascii="Tahoma" w:hAnsi="Tahoma" w:cs="Tahoma"/>
                <w:sz w:val="14"/>
                <w:szCs w:val="14"/>
                <w:lang w:val="es-EC"/>
              </w:rPr>
              <w:t>Sauro Pierucci,</w:t>
            </w:r>
            <w:r w:rsidR="003B60F3" w:rsidRPr="00510ACC">
              <w:rPr>
                <w:rFonts w:ascii="Tahoma" w:hAnsi="Tahoma" w:cs="Tahoma"/>
                <w:sz w:val="14"/>
                <w:szCs w:val="14"/>
                <w:lang w:val="es-EC"/>
              </w:rPr>
              <w:t xml:space="preserve"> </w:t>
            </w:r>
            <w:r w:rsidR="00047D7F" w:rsidRPr="00510ACC">
              <w:rPr>
                <w:rFonts w:ascii="Tahoma" w:hAnsi="Tahoma" w:cs="Tahoma"/>
                <w:sz w:val="14"/>
                <w:szCs w:val="14"/>
                <w:shd w:val="clear" w:color="auto" w:fill="FFFFFF"/>
                <w:lang w:val="es-EC"/>
              </w:rPr>
              <w:t>Jiří Jaromír Klemeš</w:t>
            </w:r>
            <w:r w:rsidR="00252C1A" w:rsidRPr="00510ACC">
              <w:rPr>
                <w:rFonts w:ascii="Tahoma" w:hAnsi="Tahoma" w:cs="Tahoma"/>
                <w:sz w:val="14"/>
                <w:szCs w:val="14"/>
                <w:shd w:val="clear" w:color="auto" w:fill="FFFFFF"/>
                <w:lang w:val="es-EC"/>
              </w:rPr>
              <w:t>, Laura Piazza</w:t>
            </w:r>
          </w:p>
          <w:p w14:paraId="5AAA0086" w14:textId="77777777" w:rsidR="000A03B2" w:rsidRPr="00086BF5" w:rsidRDefault="00FA5F5F" w:rsidP="00131FAB">
            <w:pPr>
              <w:tabs>
                <w:tab w:val="left" w:pos="-108"/>
              </w:tabs>
              <w:spacing w:line="140" w:lineRule="atLeast"/>
              <w:ind w:left="-107"/>
              <w:jc w:val="left"/>
              <w:rPr>
                <w:lang w:val="en-US"/>
              </w:rPr>
            </w:pPr>
            <w:r w:rsidRPr="00086BF5">
              <w:rPr>
                <w:rFonts w:ascii="Tahoma" w:hAnsi="Tahoma" w:cs="Tahoma"/>
                <w:iCs/>
                <w:color w:val="333333"/>
                <w:sz w:val="14"/>
                <w:szCs w:val="14"/>
                <w:lang w:val="en-US" w:eastAsia="it-IT"/>
              </w:rPr>
              <w:t>Copyright © 201</w:t>
            </w:r>
            <w:r w:rsidR="007931FA" w:rsidRPr="00086BF5">
              <w:rPr>
                <w:rFonts w:ascii="Tahoma" w:hAnsi="Tahoma" w:cs="Tahoma"/>
                <w:iCs/>
                <w:color w:val="333333"/>
                <w:sz w:val="14"/>
                <w:szCs w:val="14"/>
                <w:lang w:val="en-US" w:eastAsia="it-IT"/>
              </w:rPr>
              <w:t>9</w:t>
            </w:r>
            <w:r w:rsidR="00904C62" w:rsidRPr="00086BF5">
              <w:rPr>
                <w:rFonts w:ascii="Tahoma" w:hAnsi="Tahoma" w:cs="Tahoma"/>
                <w:iCs/>
                <w:color w:val="333333"/>
                <w:sz w:val="14"/>
                <w:szCs w:val="14"/>
                <w:lang w:val="en-US" w:eastAsia="it-IT"/>
              </w:rPr>
              <w:t>, AIDIC Servizi S.r.l.</w:t>
            </w:r>
            <w:r w:rsidR="00300E56" w:rsidRPr="00086BF5">
              <w:rPr>
                <w:rFonts w:ascii="Tahoma" w:hAnsi="Tahoma" w:cs="Tahoma"/>
                <w:iCs/>
                <w:color w:val="333333"/>
                <w:sz w:val="14"/>
                <w:szCs w:val="14"/>
                <w:lang w:val="en-US" w:eastAsia="it-IT"/>
              </w:rPr>
              <w:br/>
            </w:r>
            <w:r w:rsidR="00300E56" w:rsidRPr="00086BF5">
              <w:rPr>
                <w:rFonts w:ascii="Tahoma" w:hAnsi="Tahoma" w:cs="Tahoma"/>
                <w:b/>
                <w:iCs/>
                <w:color w:val="000000"/>
                <w:sz w:val="14"/>
                <w:szCs w:val="14"/>
                <w:lang w:val="en-US" w:eastAsia="it-IT"/>
              </w:rPr>
              <w:t>ISBN</w:t>
            </w:r>
            <w:r w:rsidR="00300E56" w:rsidRPr="00086BF5">
              <w:rPr>
                <w:rFonts w:ascii="Tahoma" w:hAnsi="Tahoma" w:cs="Tahoma"/>
                <w:iCs/>
                <w:color w:val="000000"/>
                <w:sz w:val="14"/>
                <w:szCs w:val="14"/>
                <w:lang w:val="en-US" w:eastAsia="it-IT"/>
              </w:rPr>
              <w:t xml:space="preserve"> </w:t>
            </w:r>
            <w:r w:rsidR="008D32B9" w:rsidRPr="00086BF5">
              <w:rPr>
                <w:rFonts w:ascii="Tahoma" w:hAnsi="Tahoma" w:cs="Tahoma"/>
                <w:sz w:val="14"/>
                <w:szCs w:val="14"/>
                <w:lang w:val="en-US"/>
              </w:rPr>
              <w:t>978-88-95608-</w:t>
            </w:r>
            <w:r w:rsidR="009635B9" w:rsidRPr="00086BF5">
              <w:rPr>
                <w:rFonts w:ascii="Tahoma" w:hAnsi="Tahoma" w:cs="Tahoma"/>
                <w:sz w:val="14"/>
                <w:szCs w:val="14"/>
                <w:lang w:val="en-US"/>
              </w:rPr>
              <w:t>73</w:t>
            </w:r>
            <w:r w:rsidR="008D32B9" w:rsidRPr="00086BF5">
              <w:rPr>
                <w:rFonts w:ascii="Tahoma" w:hAnsi="Tahoma" w:cs="Tahoma"/>
                <w:sz w:val="14"/>
                <w:szCs w:val="14"/>
                <w:lang w:val="en-US"/>
              </w:rPr>
              <w:t>-</w:t>
            </w:r>
            <w:r w:rsidR="009635B9" w:rsidRPr="00086BF5">
              <w:rPr>
                <w:rFonts w:ascii="Tahoma" w:hAnsi="Tahoma" w:cs="Tahoma"/>
                <w:sz w:val="14"/>
                <w:szCs w:val="14"/>
                <w:lang w:val="en-US"/>
              </w:rPr>
              <w:t>0</w:t>
            </w:r>
            <w:r w:rsidR="00300E56" w:rsidRPr="00086BF5">
              <w:rPr>
                <w:rFonts w:ascii="Tahoma" w:hAnsi="Tahoma" w:cs="Tahoma"/>
                <w:iCs/>
                <w:color w:val="333333"/>
                <w:sz w:val="14"/>
                <w:szCs w:val="14"/>
                <w:lang w:val="en-US" w:eastAsia="it-IT"/>
              </w:rPr>
              <w:t xml:space="preserve">; </w:t>
            </w:r>
            <w:r w:rsidR="00300E56" w:rsidRPr="00086BF5">
              <w:rPr>
                <w:rFonts w:ascii="Tahoma" w:hAnsi="Tahoma" w:cs="Tahoma"/>
                <w:b/>
                <w:iCs/>
                <w:color w:val="333333"/>
                <w:sz w:val="14"/>
                <w:szCs w:val="14"/>
                <w:lang w:val="en-US" w:eastAsia="it-IT"/>
              </w:rPr>
              <w:t>ISSN</w:t>
            </w:r>
            <w:r w:rsidR="00300E56" w:rsidRPr="00086BF5">
              <w:rPr>
                <w:rFonts w:ascii="Tahoma" w:hAnsi="Tahoma" w:cs="Tahoma"/>
                <w:iCs/>
                <w:color w:val="333333"/>
                <w:sz w:val="14"/>
                <w:szCs w:val="14"/>
                <w:lang w:val="en-US" w:eastAsia="it-IT"/>
              </w:rPr>
              <w:t xml:space="preserve"> 2283-9216</w:t>
            </w:r>
          </w:p>
        </w:tc>
      </w:tr>
    </w:tbl>
    <w:p w14:paraId="0B60D06E" w14:textId="77777777" w:rsidR="000A03B2" w:rsidRPr="00086BF5" w:rsidRDefault="000A03B2" w:rsidP="000A03B2">
      <w:pPr>
        <w:pStyle w:val="CETAuthors"/>
        <w:rPr>
          <w:lang w:val="en-US"/>
        </w:rPr>
        <w:sectPr w:rsidR="000A03B2" w:rsidRPr="00086BF5">
          <w:type w:val="continuous"/>
          <w:pgSz w:w="11906" w:h="16838" w:code="9"/>
          <w:pgMar w:top="1701" w:right="1418" w:bottom="1701" w:left="1701" w:header="1701" w:footer="0" w:gutter="0"/>
          <w:cols w:space="708"/>
          <w:titlePg/>
          <w:docGrid w:linePitch="360"/>
        </w:sectPr>
      </w:pPr>
    </w:p>
    <w:p w14:paraId="1C28CD9A" w14:textId="24C5BF6D" w:rsidR="00E978D0" w:rsidRPr="00086BF5" w:rsidRDefault="00177621" w:rsidP="00E978D0">
      <w:pPr>
        <w:pStyle w:val="CETTitle"/>
        <w:rPr>
          <w:lang w:val="en-US"/>
        </w:rPr>
      </w:pPr>
      <w:r w:rsidRPr="00086BF5">
        <w:rPr>
          <w:lang w:val="en-US"/>
        </w:rPr>
        <w:t>Modeling of the Coldfinger Water Exhauster for Advanced TEG Regeneration in Natural Gas Dehydration</w:t>
      </w:r>
    </w:p>
    <w:p w14:paraId="646444EA" w14:textId="01C08BE9" w:rsidR="00E978D0" w:rsidRPr="00086BF5" w:rsidRDefault="00177621" w:rsidP="00AB5011">
      <w:pPr>
        <w:pStyle w:val="CETAuthors"/>
        <w:rPr>
          <w:lang w:val="en-US"/>
        </w:rPr>
      </w:pPr>
      <w:r w:rsidRPr="00086BF5">
        <w:rPr>
          <w:lang w:val="en-US"/>
        </w:rPr>
        <w:t>Iveth A. Romero</w:t>
      </w:r>
      <w:r w:rsidR="00600535" w:rsidRPr="00086BF5">
        <w:rPr>
          <w:vertAlign w:val="superscript"/>
          <w:lang w:val="en-US"/>
        </w:rPr>
        <w:t>a</w:t>
      </w:r>
      <w:r w:rsidR="00600535" w:rsidRPr="00086BF5">
        <w:rPr>
          <w:lang w:val="en-US"/>
        </w:rPr>
        <w:t>,</w:t>
      </w:r>
      <w:r w:rsidRPr="00086BF5">
        <w:rPr>
          <w:lang w:val="en-US"/>
        </w:rPr>
        <w:t xml:space="preserve"> Anders Andreasen</w:t>
      </w:r>
      <w:r w:rsidRPr="00086BF5">
        <w:rPr>
          <w:vertAlign w:val="superscript"/>
          <w:lang w:val="en-US"/>
        </w:rPr>
        <w:t>b</w:t>
      </w:r>
      <w:r w:rsidRPr="00086BF5">
        <w:rPr>
          <w:lang w:val="en-US"/>
        </w:rPr>
        <w:t>,</w:t>
      </w:r>
      <w:r w:rsidR="00600535" w:rsidRPr="00086BF5">
        <w:rPr>
          <w:lang w:val="en-US"/>
        </w:rPr>
        <w:t xml:space="preserve"> </w:t>
      </w:r>
      <w:r w:rsidRPr="00086BF5">
        <w:rPr>
          <w:lang w:val="en-US"/>
        </w:rPr>
        <w:t>Rudi P. Nielsen</w:t>
      </w:r>
      <w:r w:rsidRPr="00086BF5">
        <w:rPr>
          <w:vertAlign w:val="superscript"/>
          <w:lang w:val="en-US"/>
        </w:rPr>
        <w:t>a</w:t>
      </w:r>
      <w:r w:rsidR="00600535" w:rsidRPr="00086BF5">
        <w:rPr>
          <w:vertAlign w:val="superscript"/>
          <w:lang w:val="en-US"/>
        </w:rPr>
        <w:t>,</w:t>
      </w:r>
      <w:r w:rsidRPr="00086BF5">
        <w:rPr>
          <w:lang w:val="en-US"/>
        </w:rPr>
        <w:t xml:space="preserve"> Marco Maschietti</w:t>
      </w:r>
      <w:r w:rsidRPr="00086BF5">
        <w:rPr>
          <w:vertAlign w:val="superscript"/>
          <w:lang w:val="en-US"/>
        </w:rPr>
        <w:t>a,</w:t>
      </w:r>
      <w:r w:rsidR="00600535" w:rsidRPr="00086BF5">
        <w:rPr>
          <w:lang w:val="en-US"/>
        </w:rPr>
        <w:t>*</w:t>
      </w:r>
    </w:p>
    <w:p w14:paraId="75B4B925" w14:textId="1F03573B" w:rsidR="00E978D0" w:rsidRPr="00086BF5" w:rsidRDefault="00E978D0" w:rsidP="00E978D0">
      <w:pPr>
        <w:pStyle w:val="CETAddress"/>
        <w:rPr>
          <w:lang w:val="en-US"/>
        </w:rPr>
      </w:pPr>
      <w:r w:rsidRPr="00086BF5">
        <w:rPr>
          <w:vertAlign w:val="superscript"/>
          <w:lang w:val="en-US"/>
        </w:rPr>
        <w:t>a</w:t>
      </w:r>
      <w:r w:rsidR="00177621" w:rsidRPr="00086BF5">
        <w:rPr>
          <w:lang w:val="en-US"/>
        </w:rPr>
        <w:t>Aalborg University, Department of Chemistry and Bioscience, Niels Bohrs Vej 8A</w:t>
      </w:r>
      <w:r w:rsidRPr="00086BF5">
        <w:rPr>
          <w:lang w:val="en-US"/>
        </w:rPr>
        <w:t xml:space="preserve">, </w:t>
      </w:r>
      <w:r w:rsidR="00177621" w:rsidRPr="00086BF5">
        <w:rPr>
          <w:lang w:val="en-US"/>
        </w:rPr>
        <w:t>6700 Esbjerg, Denmark.</w:t>
      </w:r>
      <w:r w:rsidRPr="00086BF5">
        <w:rPr>
          <w:lang w:val="en-US"/>
        </w:rPr>
        <w:t xml:space="preserve"> </w:t>
      </w:r>
    </w:p>
    <w:p w14:paraId="312FAF1D" w14:textId="091C7938" w:rsidR="00E978D0" w:rsidRPr="00086BF5" w:rsidRDefault="00E978D0" w:rsidP="00E978D0">
      <w:pPr>
        <w:pStyle w:val="CETAddress"/>
        <w:rPr>
          <w:lang w:val="en-US"/>
        </w:rPr>
      </w:pPr>
      <w:r w:rsidRPr="00086BF5">
        <w:rPr>
          <w:vertAlign w:val="superscript"/>
          <w:lang w:val="en-US"/>
        </w:rPr>
        <w:t>b</w:t>
      </w:r>
      <w:r w:rsidR="00177621" w:rsidRPr="00086BF5">
        <w:rPr>
          <w:lang w:val="en-US"/>
        </w:rPr>
        <w:t>Ramboll Energy, Field Development, Studies and FEED, Bavnehøjvej 5, 6700 Esbjerg, Denmark</w:t>
      </w:r>
      <w:r w:rsidR="001C2926">
        <w:rPr>
          <w:lang w:val="en-US"/>
        </w:rPr>
        <w:t>.</w:t>
      </w:r>
      <w:r w:rsidRPr="00086BF5">
        <w:rPr>
          <w:lang w:val="en-US"/>
        </w:rPr>
        <w:t xml:space="preserve"> </w:t>
      </w:r>
    </w:p>
    <w:p w14:paraId="0D5DA9F4" w14:textId="3AD31705" w:rsidR="00E978D0" w:rsidRPr="00086BF5" w:rsidRDefault="00177621" w:rsidP="00E978D0">
      <w:pPr>
        <w:pStyle w:val="CETemail"/>
        <w:rPr>
          <w:lang w:val="en-US"/>
        </w:rPr>
      </w:pPr>
      <w:r w:rsidRPr="00086BF5">
        <w:rPr>
          <w:lang w:val="en-US"/>
        </w:rPr>
        <w:t>*marco</w:t>
      </w:r>
      <w:r w:rsidR="00600535" w:rsidRPr="00086BF5">
        <w:rPr>
          <w:lang w:val="en-US"/>
        </w:rPr>
        <w:t>@</w:t>
      </w:r>
      <w:r w:rsidRPr="00086BF5">
        <w:rPr>
          <w:lang w:val="en-US"/>
        </w:rPr>
        <w:t>bio.aau.dk</w:t>
      </w:r>
    </w:p>
    <w:p w14:paraId="24001EDC" w14:textId="6961F4C2" w:rsidR="00181686" w:rsidRPr="00181686" w:rsidRDefault="002A6822" w:rsidP="00181686">
      <w:pPr>
        <w:pStyle w:val="CETBodytext"/>
      </w:pPr>
      <w:r>
        <w:t xml:space="preserve">The performance of </w:t>
      </w:r>
      <w:r w:rsidR="003756A3">
        <w:t xml:space="preserve">natural gas </w:t>
      </w:r>
      <w:r>
        <w:t xml:space="preserve">dehydration </w:t>
      </w:r>
      <w:r w:rsidR="003756A3">
        <w:t xml:space="preserve">using triethylene glycol (TEG) </w:t>
      </w:r>
      <w:r w:rsidR="00052785">
        <w:t xml:space="preserve">strongly </w:t>
      </w:r>
      <w:r w:rsidR="00295568">
        <w:t xml:space="preserve">depends on the </w:t>
      </w:r>
      <w:r>
        <w:t>purity</w:t>
      </w:r>
      <w:r w:rsidR="00295568">
        <w:t xml:space="preserve"> level of TEG in the regeneration unit.</w:t>
      </w:r>
      <w:r w:rsidR="001C2926">
        <w:t xml:space="preserve"> Coldfinger is a TEG regeneration technology </w:t>
      </w:r>
      <w:r w:rsidR="003756A3">
        <w:t xml:space="preserve">reported to be </w:t>
      </w:r>
      <w:r w:rsidR="001C2926">
        <w:t xml:space="preserve">capable of increasing TEG purity to levels </w:t>
      </w:r>
      <w:r w:rsidR="003756A3">
        <w:t>above</w:t>
      </w:r>
      <w:r w:rsidR="001C2926">
        <w:t xml:space="preserve"> 99.</w:t>
      </w:r>
      <w:r w:rsidR="003756A3">
        <w:t>8</w:t>
      </w:r>
      <w:r w:rsidR="001C2926">
        <w:t xml:space="preserve"> wt.%</w:t>
      </w:r>
      <w:r w:rsidR="003756A3">
        <w:t xml:space="preserve">, but conceptual models of this equipment appear to be lacking. </w:t>
      </w:r>
      <w:r w:rsidR="001C2926">
        <w:t>This work presents a methodology for modeling Coldfinger</w:t>
      </w:r>
      <w:r w:rsidR="003756A3">
        <w:t>, where the equipment is represented as two theoretical equilibrium stages operating</w:t>
      </w:r>
      <w:r w:rsidR="001C2926">
        <w:t xml:space="preserve"> at </w:t>
      </w:r>
      <w:r w:rsidR="003756A3">
        <w:t xml:space="preserve">different temperatures in the presence of internal vapor recirculation. The key parameters governing the functioning of the equipment are discussed </w:t>
      </w:r>
      <w:r w:rsidR="005B6824">
        <w:t xml:space="preserve">on the basis of </w:t>
      </w:r>
      <w:r w:rsidR="003756A3">
        <w:t xml:space="preserve">a series of simulations carried out for different top temperatures and internal recirculation ratios. The results demonstrate that a regeneration of TEG </w:t>
      </w:r>
      <w:r w:rsidR="005B6824">
        <w:t xml:space="preserve">up </w:t>
      </w:r>
      <w:r w:rsidR="003756A3">
        <w:t xml:space="preserve">to </w:t>
      </w:r>
      <w:r w:rsidR="005B6824">
        <w:t>approximately 99.9</w:t>
      </w:r>
      <w:r w:rsidR="003756A3">
        <w:t xml:space="preserve"> wt.% is achievable by injecting smalls amounts of dry gas, considerably lower than conventional </w:t>
      </w:r>
      <w:r w:rsidR="005B6824">
        <w:t>enhanced TEG regen</w:t>
      </w:r>
      <w:r w:rsidR="00350EC4">
        <w:t>e</w:t>
      </w:r>
      <w:r w:rsidR="005B6824">
        <w:t xml:space="preserve">ration by </w:t>
      </w:r>
      <w:r w:rsidR="003756A3">
        <w:t>gas stripping.</w:t>
      </w:r>
    </w:p>
    <w:p w14:paraId="3F52B81B" w14:textId="69CF751D" w:rsidR="00600535" w:rsidRPr="00086BF5" w:rsidRDefault="00600535" w:rsidP="00600535">
      <w:pPr>
        <w:pStyle w:val="CETHeading1"/>
      </w:pPr>
      <w:r w:rsidRPr="00086BF5">
        <w:t>Introduction</w:t>
      </w:r>
    </w:p>
    <w:p w14:paraId="1F8BB3DF" w14:textId="77777777" w:rsidR="002275A2" w:rsidRDefault="000729E1" w:rsidP="00554E59">
      <w:pPr>
        <w:pStyle w:val="CETBodytext"/>
      </w:pPr>
      <w:r w:rsidRPr="00086BF5">
        <w:t xml:space="preserve">Natural gas produced from reservoirs is often saturated with water. In current industrial practice, the concentration of water in the </w:t>
      </w:r>
      <w:r w:rsidR="00AE43DE">
        <w:t xml:space="preserve">export </w:t>
      </w:r>
      <w:r w:rsidRPr="00086BF5">
        <w:t xml:space="preserve">gas stream </w:t>
      </w:r>
      <w:r w:rsidR="0022711B">
        <w:t xml:space="preserve">should be maintained </w:t>
      </w:r>
      <w:r w:rsidR="00AE43DE">
        <w:t>at</w:t>
      </w:r>
      <w:r w:rsidRPr="00086BF5">
        <w:t xml:space="preserve"> low levels</w:t>
      </w:r>
      <w:r w:rsidR="00F2277F" w:rsidRPr="00086BF5">
        <w:t xml:space="preserve">, </w:t>
      </w:r>
      <w:r w:rsidRPr="00086BF5">
        <w:t>typically in the range of 70 to 120 mg/Nm</w:t>
      </w:r>
      <w:r w:rsidRPr="00086BF5">
        <w:rPr>
          <w:vertAlign w:val="superscript"/>
        </w:rPr>
        <w:t>3</w:t>
      </w:r>
      <w:r w:rsidR="001C5ED4">
        <w:t xml:space="preserve">, </w:t>
      </w:r>
      <w:r w:rsidRPr="00086BF5">
        <w:t>in order to avoid severe operational problems such as water condensation, corrosion and hydrate formation. Absorption by means of triethylene glycol (TEG) is the most common natural gas dehydration method</w:t>
      </w:r>
      <w:r w:rsidR="00AE43DE">
        <w:t xml:space="preserve"> applied to reach </w:t>
      </w:r>
      <w:r w:rsidR="007636C3">
        <w:t>required</w:t>
      </w:r>
      <w:r w:rsidR="00AE43DE">
        <w:t xml:space="preserve"> water contents</w:t>
      </w:r>
      <w:r w:rsidRPr="00086BF5">
        <w:t xml:space="preserve">. </w:t>
      </w:r>
      <w:r w:rsidR="00AE43DE">
        <w:t xml:space="preserve">The </w:t>
      </w:r>
      <w:r w:rsidRPr="00086BF5">
        <w:t>efficiency</w:t>
      </w:r>
      <w:r w:rsidR="00AE43DE">
        <w:t xml:space="preserve"> of the absorption process</w:t>
      </w:r>
      <w:r w:rsidRPr="00086BF5">
        <w:t xml:space="preserve"> is mainly subjected to the purity levels of TEG attainable in the regeneration stage, which is typically carried out by distillation at ambient pressure and maximum reboiler temperature of 204</w:t>
      </w:r>
      <w:r w:rsidR="000A2834" w:rsidRPr="00086BF5">
        <w:t xml:space="preserve"> </w:t>
      </w:r>
      <w:r w:rsidRPr="00086BF5">
        <w:t>°C (TEG degradation onset temperature). Under these conditions, the maximum TEG purity achieved is roughly 99 wt.%. For this reason, several advanced regeneration processes have been implemented in oil and gas production to</w:t>
      </w:r>
      <w:r w:rsidR="00510ACC">
        <w:t xml:space="preserve"> </w:t>
      </w:r>
      <w:r w:rsidR="00FF48D9">
        <w:t>comply with current water content specifications, which means</w:t>
      </w:r>
      <w:r w:rsidRPr="00086BF5">
        <w:t xml:space="preserve"> higher levels of TEG purity and consequently higher efficiency in the gas dehydration process</w:t>
      </w:r>
      <w:r w:rsidR="00FF48D9">
        <w:t xml:space="preserve"> </w:t>
      </w:r>
      <w:r w:rsidR="00FF48D9" w:rsidRPr="00086BF5">
        <w:t>(Gironi et al., 2007</w:t>
      </w:r>
      <w:r w:rsidR="00FF48D9">
        <w:t>a</w:t>
      </w:r>
      <w:r w:rsidR="00FF48D9" w:rsidRPr="00086BF5">
        <w:t>)</w:t>
      </w:r>
      <w:r w:rsidRPr="00086BF5">
        <w:t>.</w:t>
      </w:r>
      <w:r w:rsidR="00CE5430">
        <w:t xml:space="preserve"> </w:t>
      </w:r>
    </w:p>
    <w:p w14:paraId="1B2F1A41" w14:textId="10AAFFE7" w:rsidR="00554E59" w:rsidRDefault="000729E1" w:rsidP="00554E59">
      <w:pPr>
        <w:pStyle w:val="CETBodytext"/>
      </w:pPr>
      <w:r w:rsidRPr="00086BF5">
        <w:t>One of these processes is the Coldfinger technology, which basically consists of a water exhauster integrated with the basic distillation column and fed by TEG leaving the reboiler. In the exhauster, TEG is further dehydrated by continuous vaporization coupled with partial condensation and removal of the vapor at the top of the equipment, where a cold pipe (i.e. the “cold finger”) is located.</w:t>
      </w:r>
      <w:r w:rsidR="006A5409">
        <w:t xml:space="preserve"> It is typically reported that,</w:t>
      </w:r>
      <w:r w:rsidRPr="00086BF5">
        <w:t xml:space="preserve"> </w:t>
      </w:r>
      <w:r w:rsidR="006A5409">
        <w:t>u</w:t>
      </w:r>
      <w:r w:rsidRPr="00086BF5">
        <w:t xml:space="preserve">sing this technology, TEG purity </w:t>
      </w:r>
      <w:r w:rsidR="00714579">
        <w:t>around 99.2 to</w:t>
      </w:r>
      <w:r w:rsidRPr="00086BF5">
        <w:t xml:space="preserve"> 99.5 wt.% is achievable</w:t>
      </w:r>
      <w:r w:rsidR="00714579">
        <w:t xml:space="preserve"> (GPSA, 2012)</w:t>
      </w:r>
      <w:r w:rsidRPr="00086BF5">
        <w:t>.</w:t>
      </w:r>
      <w:r w:rsidR="002275A2">
        <w:t xml:space="preserve"> </w:t>
      </w:r>
      <w:r w:rsidR="006D370D" w:rsidRPr="00086BF5">
        <w:t xml:space="preserve">Even though the Coldfinger technology was </w:t>
      </w:r>
      <w:r w:rsidR="00C00A00">
        <w:t>disclosed</w:t>
      </w:r>
      <w:r w:rsidR="006D370D" w:rsidRPr="00086BF5">
        <w:t xml:space="preserve"> in 197</w:t>
      </w:r>
      <w:r w:rsidR="00F15B9C">
        <w:t>1</w:t>
      </w:r>
      <w:sdt>
        <w:sdtPr>
          <w:id w:val="1874955872"/>
          <w:citation/>
        </w:sdtPr>
        <w:sdtEndPr/>
        <w:sdtContent>
          <w:r w:rsidR="00EE7187">
            <w:fldChar w:fldCharType="begin"/>
          </w:r>
          <w:r w:rsidR="00544B3D">
            <w:instrText xml:space="preserve">CITATION Lau71 \t  \l 1033 </w:instrText>
          </w:r>
          <w:r w:rsidR="00EE7187">
            <w:fldChar w:fldCharType="separate"/>
          </w:r>
          <w:r w:rsidR="00746AFC">
            <w:rPr>
              <w:noProof/>
            </w:rPr>
            <w:t xml:space="preserve"> (Reid 1971)</w:t>
          </w:r>
          <w:r w:rsidR="00EE7187">
            <w:fldChar w:fldCharType="end"/>
          </w:r>
        </w:sdtContent>
      </w:sdt>
      <w:r w:rsidR="006D370D" w:rsidRPr="00086BF5">
        <w:t xml:space="preserve">, to this day </w:t>
      </w:r>
      <w:r w:rsidR="00473DBC" w:rsidRPr="00086BF5">
        <w:t xml:space="preserve">available commercial process simulators are not provided with a Coldfinger unit per se </w:t>
      </w:r>
      <w:r w:rsidR="00473DBC">
        <w:t xml:space="preserve">and </w:t>
      </w:r>
      <w:r w:rsidR="006D370D" w:rsidRPr="00086BF5">
        <w:t xml:space="preserve">only few studies </w:t>
      </w:r>
      <w:r w:rsidR="00B06019" w:rsidRPr="00086BF5">
        <w:t>report</w:t>
      </w:r>
      <w:r w:rsidR="006D370D" w:rsidRPr="00086BF5">
        <w:t xml:space="preserve"> model</w:t>
      </w:r>
      <w:r w:rsidR="00535AAA">
        <w:t>s for</w:t>
      </w:r>
      <w:r w:rsidR="006D370D" w:rsidRPr="00086BF5">
        <w:t xml:space="preserve"> the Coldfinger unit. For instance, Gironi et al. (2007</w:t>
      </w:r>
      <w:r w:rsidR="00DC2039">
        <w:t>a</w:t>
      </w:r>
      <w:r w:rsidR="006D370D" w:rsidRPr="00086BF5">
        <w:t>)</w:t>
      </w:r>
      <w:r w:rsidR="00554E59">
        <w:t xml:space="preserve"> and </w:t>
      </w:r>
      <w:r w:rsidR="00554E59" w:rsidRPr="00086BF5">
        <w:t xml:space="preserve">Øi and </w:t>
      </w:r>
      <w:r w:rsidR="002275A2">
        <w:t>Selst</w:t>
      </w:r>
      <w:r w:rsidR="002275A2" w:rsidRPr="00086BF5">
        <w:t>ø</w:t>
      </w:r>
      <w:r w:rsidR="00554E59">
        <w:t xml:space="preserve"> (</w:t>
      </w:r>
      <w:r w:rsidR="00554E59" w:rsidRPr="00086BF5">
        <w:t>2002)</w:t>
      </w:r>
      <w:r w:rsidR="00554E59">
        <w:t xml:space="preserve"> reported strategies for modeling the water exhauster by means of an external routine and the commercial process simulator Aspen HYSYS</w:t>
      </w:r>
      <w:r w:rsidR="00554E59" w:rsidRPr="00086BF5">
        <w:t>®</w:t>
      </w:r>
      <w:r w:rsidR="00554E59">
        <w:t xml:space="preserve">; however, neither of them </w:t>
      </w:r>
      <w:r w:rsidR="00DC2039">
        <w:t>disclosed</w:t>
      </w:r>
      <w:r w:rsidR="00554E59">
        <w:t xml:space="preserve"> a model of the equipment based on its physical principles. Finally, </w:t>
      </w:r>
      <w:r w:rsidR="00554E59" w:rsidRPr="00086BF5">
        <w:t>Rahimpour et al. (2013) present</w:t>
      </w:r>
      <w:r w:rsidR="00554E59">
        <w:t>ed</w:t>
      </w:r>
      <w:r w:rsidR="00554E59" w:rsidRPr="00086BF5">
        <w:t xml:space="preserve"> a methodology for modeling </w:t>
      </w:r>
      <w:r w:rsidR="002275A2">
        <w:t xml:space="preserve">an industrial </w:t>
      </w:r>
      <w:r w:rsidR="00554E59" w:rsidRPr="00086BF5">
        <w:t xml:space="preserve">Coldfinger </w:t>
      </w:r>
      <w:r w:rsidR="002275A2">
        <w:t>unit, which incorporates</w:t>
      </w:r>
      <w:r w:rsidR="00514E1C">
        <w:t xml:space="preserve"> the</w:t>
      </w:r>
      <w:r w:rsidR="002275A2">
        <w:t xml:space="preserve"> injection of hot stripping gas. Their model is </w:t>
      </w:r>
      <w:r w:rsidR="00554E59" w:rsidRPr="00086BF5">
        <w:t xml:space="preserve">based on </w:t>
      </w:r>
      <w:r w:rsidR="002275A2">
        <w:t xml:space="preserve">segmenting the equipment in sub-systems and coupling heat transfer calculations with phase equilibrium. </w:t>
      </w:r>
      <w:r w:rsidR="00266065">
        <w:t>However, TEG/water ratio in the condensates is taken equal to the value in the vapor, which is apparently not the case for TEG/water mixtures.</w:t>
      </w:r>
    </w:p>
    <w:p w14:paraId="3859879F" w14:textId="330A6C25" w:rsidR="00875688" w:rsidRDefault="00473DBC" w:rsidP="000729E1">
      <w:pPr>
        <w:pStyle w:val="CETBodytext"/>
      </w:pPr>
      <w:r>
        <w:lastRenderedPageBreak/>
        <w:t>T</w:t>
      </w:r>
      <w:r w:rsidR="00B74458" w:rsidRPr="00086BF5">
        <w:t xml:space="preserve">his work presents </w:t>
      </w:r>
      <w:r w:rsidR="00875688" w:rsidRPr="00875688">
        <w:t xml:space="preserve">a </w:t>
      </w:r>
      <w:r w:rsidR="00FC2E69">
        <w:t xml:space="preserve">different approach for </w:t>
      </w:r>
      <w:r w:rsidR="00875688" w:rsidRPr="00875688">
        <w:t>model</w:t>
      </w:r>
      <w:r w:rsidR="00FC2E69">
        <w:t xml:space="preserve">ing the </w:t>
      </w:r>
      <w:r w:rsidR="009D497B">
        <w:t>Coldfinger</w:t>
      </w:r>
      <w:r w:rsidR="00875688" w:rsidRPr="00875688">
        <w:t xml:space="preserve"> water exhauster</w:t>
      </w:r>
      <w:r w:rsidR="009D497B">
        <w:t>,</w:t>
      </w:r>
      <w:r w:rsidR="00875688" w:rsidRPr="00875688">
        <w:t xml:space="preserve"> </w:t>
      </w:r>
      <w:r w:rsidR="009D497B">
        <w:t>which is rep</w:t>
      </w:r>
      <w:r w:rsidR="00DC2039">
        <w:t>resented</w:t>
      </w:r>
      <w:r w:rsidR="009D497B">
        <w:t xml:space="preserve"> as a two-equilibrium stage unit with internal recirculation of the vapor. </w:t>
      </w:r>
      <w:r w:rsidR="00875688" w:rsidRPr="00875688">
        <w:t xml:space="preserve">An in-depth study of the Coldfinger performance </w:t>
      </w:r>
      <w:r w:rsidR="009D497B">
        <w:t>depending o</w:t>
      </w:r>
      <w:r w:rsidR="00DC2039">
        <w:t xml:space="preserve">n process </w:t>
      </w:r>
      <w:r w:rsidR="00875688" w:rsidRPr="00875688">
        <w:t xml:space="preserve">parameters such as </w:t>
      </w:r>
      <w:r w:rsidR="00DC2039">
        <w:t xml:space="preserve">the </w:t>
      </w:r>
      <w:r w:rsidR="00875688" w:rsidRPr="00875688">
        <w:t xml:space="preserve">temperature of the cooling pipe, </w:t>
      </w:r>
      <w:r w:rsidR="00DC2039">
        <w:t xml:space="preserve">the </w:t>
      </w:r>
      <w:r w:rsidR="00875688" w:rsidRPr="00875688">
        <w:t>internal recirculation rat</w:t>
      </w:r>
      <w:r w:rsidR="009D497B">
        <w:t>io</w:t>
      </w:r>
      <w:r w:rsidR="00875688" w:rsidRPr="00875688">
        <w:t xml:space="preserve"> and </w:t>
      </w:r>
      <w:r w:rsidR="00DC2039">
        <w:t xml:space="preserve">the </w:t>
      </w:r>
      <w:r w:rsidR="00875688" w:rsidRPr="00875688">
        <w:t xml:space="preserve">amount of injected </w:t>
      </w:r>
      <w:r w:rsidR="009D497B">
        <w:t>stripping</w:t>
      </w:r>
      <w:r w:rsidR="00875688" w:rsidRPr="00875688">
        <w:t xml:space="preserve"> gas </w:t>
      </w:r>
      <w:r w:rsidR="00DC2039">
        <w:t>is</w:t>
      </w:r>
      <w:r w:rsidR="00875688" w:rsidRPr="00875688">
        <w:t xml:space="preserve"> presented</w:t>
      </w:r>
      <w:r w:rsidR="00875688">
        <w:t>.</w:t>
      </w:r>
    </w:p>
    <w:p w14:paraId="247030DD" w14:textId="10B5221B" w:rsidR="00600535" w:rsidRPr="00086BF5" w:rsidRDefault="006B10D3" w:rsidP="00247FB9">
      <w:pPr>
        <w:pStyle w:val="CETHeading1"/>
        <w:tabs>
          <w:tab w:val="right" w:pos="7100"/>
        </w:tabs>
        <w:jc w:val="both"/>
      </w:pPr>
      <w:r w:rsidRPr="00086BF5">
        <w:t>Methodology</w:t>
      </w:r>
    </w:p>
    <w:p w14:paraId="23D59531" w14:textId="3068DC13" w:rsidR="008F5163" w:rsidRPr="00086BF5" w:rsidRDefault="008F5163" w:rsidP="008F5163">
      <w:pPr>
        <w:pStyle w:val="CETheadingx"/>
      </w:pPr>
      <w:r w:rsidRPr="00086BF5">
        <w:t>Conceptualization and modeling</w:t>
      </w:r>
    </w:p>
    <w:p w14:paraId="768799D2" w14:textId="2523F067" w:rsidR="00AB4492" w:rsidRDefault="00307514" w:rsidP="006B10D3">
      <w:pPr>
        <w:pStyle w:val="CETBodytext"/>
        <w:rPr>
          <w:noProof/>
        </w:rPr>
      </w:pPr>
      <w:r w:rsidRPr="00086BF5">
        <w:t>The Coldfinger water exhauster, represented in Figure 1</w:t>
      </w:r>
      <w:r w:rsidR="00AF3738">
        <w:t>a</w:t>
      </w:r>
      <w:r w:rsidRPr="00086BF5">
        <w:t xml:space="preserve">, is an easy-to-install technology that consists of a cooling </w:t>
      </w:r>
      <w:r w:rsidR="005012B6">
        <w:t>U-pipe</w:t>
      </w:r>
      <w:r w:rsidRPr="00086BF5">
        <w:t xml:space="preserve"> placed in the vapor space of the vessel containing the TEG coming from the reboiler of the regeneration column. Such vessel can be either a separate equipment (surge tank) or an </w:t>
      </w:r>
      <w:r w:rsidR="006A0619" w:rsidRPr="00086BF5">
        <w:t>integrated</w:t>
      </w:r>
      <w:r w:rsidRPr="00086BF5">
        <w:t xml:space="preserve"> section </w:t>
      </w:r>
      <w:r w:rsidR="006A0619" w:rsidRPr="00086BF5">
        <w:t>of</w:t>
      </w:r>
      <w:r w:rsidRPr="00086BF5">
        <w:t xml:space="preserve"> the reboiler itself.</w:t>
      </w:r>
      <w:r w:rsidR="006A0619" w:rsidRPr="00086BF5">
        <w:t xml:space="preserve"> Additionally, the water exhauster is provided with a tray placed right under the cooling </w:t>
      </w:r>
      <w:r w:rsidR="005012B6">
        <w:t>pipe</w:t>
      </w:r>
      <w:r w:rsidR="006A0619" w:rsidRPr="00086BF5">
        <w:t>, where the condensate of the vapor mixture in the proximities of the Coldfinger is collected and sent back to the reboiler.</w:t>
      </w:r>
      <w:r w:rsidR="003D004C">
        <w:t xml:space="preserve"> </w:t>
      </w:r>
      <w:r w:rsidR="00DF66CB" w:rsidRPr="00086BF5">
        <w:t xml:space="preserve">TEG from the reboiler enters the Coldfinger at </w:t>
      </w:r>
      <w:r w:rsidR="005B0832">
        <w:t xml:space="preserve">a </w:t>
      </w:r>
      <w:r w:rsidR="00DF66CB" w:rsidRPr="00086BF5">
        <w:t>purity around 98.</w:t>
      </w:r>
      <w:r w:rsidR="00DC2039">
        <w:t>7</w:t>
      </w:r>
      <w:r w:rsidR="00AB4492">
        <w:t>-</w:t>
      </w:r>
      <w:r w:rsidR="00DC2039">
        <w:t>99</w:t>
      </w:r>
      <w:r w:rsidR="00FC2E69">
        <w:t>.0</w:t>
      </w:r>
      <w:r w:rsidR="00DF66CB" w:rsidRPr="00086BF5">
        <w:t xml:space="preserve"> wt.%, under reboiler conditions of</w:t>
      </w:r>
      <w:r w:rsidR="000A2834" w:rsidRPr="00086BF5">
        <w:t xml:space="preserve"> </w:t>
      </w:r>
      <w:r w:rsidR="00DF66CB" w:rsidRPr="00086BF5">
        <w:t>204</w:t>
      </w:r>
      <w:r w:rsidR="005B0832">
        <w:t xml:space="preserve"> </w:t>
      </w:r>
      <w:r w:rsidR="00DF66CB" w:rsidRPr="00086BF5">
        <w:t>°C and atmospheric pressure</w:t>
      </w:r>
      <w:r w:rsidR="00AB4492">
        <w:t xml:space="preserve"> (GPSA, 2012)</w:t>
      </w:r>
      <w:r w:rsidR="00DF66CB" w:rsidRPr="00086BF5">
        <w:t xml:space="preserve">, being a </w:t>
      </w:r>
      <w:r w:rsidR="005B3EED">
        <w:t>water-</w:t>
      </w:r>
      <w:r w:rsidR="00DF66CB" w:rsidRPr="00086BF5">
        <w:t>saturated liquid at the mentioned conditions</w:t>
      </w:r>
      <w:r w:rsidR="005B3EED">
        <w:t xml:space="preserve">. </w:t>
      </w:r>
      <w:r w:rsidR="005B3EED">
        <w:rPr>
          <w:noProof/>
        </w:rPr>
        <w:t xml:space="preserve">Since the bottom section of the Coldfinger operates </w:t>
      </w:r>
      <w:r w:rsidR="002D6D5F">
        <w:rPr>
          <w:noProof/>
        </w:rPr>
        <w:t xml:space="preserve">practically </w:t>
      </w:r>
      <w:r w:rsidR="005B3EED">
        <w:rPr>
          <w:noProof/>
        </w:rPr>
        <w:t>at the same pressure and temperature of the reboiler</w:t>
      </w:r>
      <w:r w:rsidR="00FC2E69">
        <w:rPr>
          <w:noProof/>
        </w:rPr>
        <w:t xml:space="preserve"> </w:t>
      </w:r>
      <w:r w:rsidR="00FC2E69">
        <w:t>(GPSA, 2012)</w:t>
      </w:r>
      <w:r w:rsidR="00FC2E69" w:rsidRPr="00086BF5">
        <w:t>,</w:t>
      </w:r>
      <w:r w:rsidR="00FC2E69">
        <w:t xml:space="preserve"> </w:t>
      </w:r>
      <w:r w:rsidR="00AB4492">
        <w:rPr>
          <w:noProof/>
        </w:rPr>
        <w:t>a change</w:t>
      </w:r>
      <w:r w:rsidR="00514E1C">
        <w:rPr>
          <w:noProof/>
        </w:rPr>
        <w:t xml:space="preserve"> </w:t>
      </w:r>
      <w:r w:rsidR="00AB4492">
        <w:rPr>
          <w:noProof/>
        </w:rPr>
        <w:t xml:space="preserve">in the overall system composition </w:t>
      </w:r>
      <w:r w:rsidR="005B3EED">
        <w:rPr>
          <w:noProof/>
        </w:rPr>
        <w:t>is necessary to shift the equilibrium conditions</w:t>
      </w:r>
      <w:r w:rsidR="00AB4492">
        <w:rPr>
          <w:noProof/>
        </w:rPr>
        <w:t xml:space="preserve"> and obtain TEG at higher purity levels</w:t>
      </w:r>
      <w:r w:rsidR="00A13C0D">
        <w:rPr>
          <w:noProof/>
        </w:rPr>
        <w:t xml:space="preserve">. This </w:t>
      </w:r>
      <w:r w:rsidR="00AB4492">
        <w:rPr>
          <w:noProof/>
        </w:rPr>
        <w:t xml:space="preserve">can </w:t>
      </w:r>
      <w:r w:rsidR="00514E1C">
        <w:rPr>
          <w:noProof/>
        </w:rPr>
        <w:t xml:space="preserve">be </w:t>
      </w:r>
      <w:r w:rsidR="00A13C0D">
        <w:rPr>
          <w:noProof/>
        </w:rPr>
        <w:t xml:space="preserve">achieved by injection of small quantities of </w:t>
      </w:r>
      <w:r w:rsidR="00AB4492">
        <w:rPr>
          <w:noProof/>
        </w:rPr>
        <w:t xml:space="preserve">dry </w:t>
      </w:r>
      <w:r w:rsidR="00A13C0D">
        <w:rPr>
          <w:noProof/>
        </w:rPr>
        <w:t>gas</w:t>
      </w:r>
      <w:r w:rsidR="00AB4492">
        <w:rPr>
          <w:noProof/>
        </w:rPr>
        <w:t xml:space="preserve"> </w:t>
      </w:r>
      <w:r w:rsidR="00AB4492" w:rsidRPr="00AB4492">
        <w:rPr>
          <w:noProof/>
        </w:rPr>
        <w:t xml:space="preserve">and recirculation of </w:t>
      </w:r>
      <w:r w:rsidR="00AB4492">
        <w:rPr>
          <w:noProof/>
        </w:rPr>
        <w:t xml:space="preserve">the </w:t>
      </w:r>
      <w:r w:rsidR="00AB4492" w:rsidRPr="00AB4492">
        <w:rPr>
          <w:noProof/>
        </w:rPr>
        <w:t>uncondensed gas and vapours from the top to the bottom of the equipment.</w:t>
      </w:r>
      <w:r w:rsidR="00AB4492" w:rsidRPr="00AB4492">
        <w:t xml:space="preserve"> The Co</w:t>
      </w:r>
      <w:r w:rsidR="00AB4492">
        <w:t>l</w:t>
      </w:r>
      <w:r w:rsidR="00AB4492" w:rsidRPr="00AB4492">
        <w:t>dfinger internal recirculation is driven by natural convection due to the temperature difference between the bottom and the top section of the vessel.</w:t>
      </w:r>
    </w:p>
    <w:p w14:paraId="6718D882" w14:textId="50E1ACEA" w:rsidR="00B74458" w:rsidRDefault="00D47CBB" w:rsidP="00800527">
      <w:pPr>
        <w:pStyle w:val="CETBodytext"/>
      </w:pPr>
      <w:r>
        <w:t>Considering the above mentioned</w:t>
      </w:r>
      <w:r w:rsidR="00AD7C4C" w:rsidRPr="00086BF5">
        <w:t>, the Coldfinger is modeled as two contiguous</w:t>
      </w:r>
      <w:r w:rsidR="00004793" w:rsidRPr="00086BF5">
        <w:t xml:space="preserve"> </w:t>
      </w:r>
      <w:r w:rsidR="00AD7C4C" w:rsidRPr="00086BF5">
        <w:t xml:space="preserve">compartments where two-stage phase equilibrium takes place, as represented in Figure </w:t>
      </w:r>
      <w:r w:rsidR="002E3181">
        <w:t>1b</w:t>
      </w:r>
      <w:r w:rsidR="00AD7C4C" w:rsidRPr="00086BF5">
        <w:t xml:space="preserve">. The first compartment (bottom section) </w:t>
      </w:r>
      <w:r w:rsidR="006D3A8E">
        <w:t>contains the enhanced regenerated TEG (L</w:t>
      </w:r>
      <w:r w:rsidR="006D3A8E" w:rsidRPr="006D3A8E">
        <w:rPr>
          <w:vertAlign w:val="subscript"/>
        </w:rPr>
        <w:t>1</w:t>
      </w:r>
      <w:r w:rsidR="006D3A8E">
        <w:t>) in equilibrium with its vapor (V</w:t>
      </w:r>
      <w:r w:rsidR="006D3A8E" w:rsidRPr="006D3A8E">
        <w:rPr>
          <w:vertAlign w:val="subscript"/>
        </w:rPr>
        <w:t>1</w:t>
      </w:r>
      <w:r w:rsidR="006D3A8E">
        <w:t xml:space="preserve">) due to the constant injection of </w:t>
      </w:r>
      <w:r w:rsidR="005614D8">
        <w:t>stripping</w:t>
      </w:r>
      <w:r w:rsidR="006D3A8E">
        <w:t xml:space="preserve"> gas (G</w:t>
      </w:r>
      <w:r w:rsidR="006D3A8E" w:rsidRPr="006D3A8E">
        <w:rPr>
          <w:vertAlign w:val="subscript"/>
        </w:rPr>
        <w:t>0</w:t>
      </w:r>
      <w:r w:rsidR="006D3A8E">
        <w:t xml:space="preserve">) to the liquid </w:t>
      </w:r>
      <w:r>
        <w:t>stream</w:t>
      </w:r>
      <w:r w:rsidR="006D3A8E">
        <w:t xml:space="preserve"> coming from the reboiler (L</w:t>
      </w:r>
      <w:r w:rsidR="006D3A8E" w:rsidRPr="006D3A8E">
        <w:rPr>
          <w:vertAlign w:val="subscript"/>
        </w:rPr>
        <w:t>0</w:t>
      </w:r>
      <w:r w:rsidR="006D3A8E">
        <w:t xml:space="preserve">). </w:t>
      </w:r>
      <w:r w:rsidR="006D3A8E" w:rsidRPr="00086BF5">
        <w:t xml:space="preserve">The second compartment (top section) </w:t>
      </w:r>
      <w:r w:rsidR="006D3A8E">
        <w:t>receives</w:t>
      </w:r>
      <w:r w:rsidR="006D3A8E" w:rsidRPr="00086BF5">
        <w:t xml:space="preserve"> the vapor coming from the bottom section (V</w:t>
      </w:r>
      <w:r w:rsidR="006D3A8E" w:rsidRPr="00086BF5">
        <w:rPr>
          <w:vertAlign w:val="subscript"/>
        </w:rPr>
        <w:t>1</w:t>
      </w:r>
      <w:r w:rsidR="006D3A8E" w:rsidRPr="00086BF5">
        <w:t>)</w:t>
      </w:r>
      <w:r w:rsidR="006D3A8E">
        <w:t>,</w:t>
      </w:r>
      <w:r>
        <w:t xml:space="preserve"> </w:t>
      </w:r>
      <w:r w:rsidRPr="00D47CBB">
        <w:t>which is partially condensed due to the temperature drop caused by the cold fingers</w:t>
      </w:r>
      <w:r w:rsidR="007C584D" w:rsidRPr="00D47CBB">
        <w:t>.</w:t>
      </w:r>
      <w:r w:rsidR="007C584D">
        <w:t xml:space="preserve"> </w:t>
      </w:r>
      <w:r>
        <w:t>T</w:t>
      </w:r>
      <w:r w:rsidR="007C584D">
        <w:t xml:space="preserve">he </w:t>
      </w:r>
      <w:r w:rsidR="006D3A8E" w:rsidRPr="00086BF5">
        <w:t>liquid condense</w:t>
      </w:r>
      <w:r w:rsidR="005614D8">
        <w:t>d</w:t>
      </w:r>
      <w:r w:rsidR="006D3A8E" w:rsidRPr="00086BF5">
        <w:t xml:space="preserve"> on the surface of the cooling </w:t>
      </w:r>
      <w:r w:rsidR="006D3A8E">
        <w:t>pipe</w:t>
      </w:r>
      <w:r w:rsidR="006D3A8E" w:rsidRPr="00086BF5">
        <w:t xml:space="preserve"> and removed from the vessel (L</w:t>
      </w:r>
      <w:r w:rsidR="006D3A8E" w:rsidRPr="00086BF5">
        <w:rPr>
          <w:vertAlign w:val="subscript"/>
        </w:rPr>
        <w:t>2</w:t>
      </w:r>
      <w:r w:rsidR="006D3A8E" w:rsidRPr="00086BF5">
        <w:t>)</w:t>
      </w:r>
      <w:r w:rsidR="007C584D">
        <w:t xml:space="preserve"> is </w:t>
      </w:r>
      <w:r w:rsidR="006D3A8E" w:rsidRPr="00086BF5">
        <w:t xml:space="preserve">in equilibrium with </w:t>
      </w:r>
      <w:r w:rsidR="007C584D">
        <w:t>the uncondensed vapor (V</w:t>
      </w:r>
      <w:r w:rsidR="007C584D" w:rsidRPr="007C584D">
        <w:rPr>
          <w:vertAlign w:val="subscript"/>
        </w:rPr>
        <w:t>2</w:t>
      </w:r>
      <w:r w:rsidR="007C584D">
        <w:t>).</w:t>
      </w:r>
      <w:r w:rsidR="001A1F8E">
        <w:t xml:space="preserve"> </w:t>
      </w:r>
      <w:r w:rsidR="00AD7C4C" w:rsidRPr="00086BF5">
        <w:t xml:space="preserve">The natural convection is here represented by considering a continuous reflux of </w:t>
      </w:r>
      <w:r w:rsidR="00004793" w:rsidRPr="00086BF5">
        <w:t xml:space="preserve">a certain amount of </w:t>
      </w:r>
      <w:r w:rsidR="00AD7C4C" w:rsidRPr="00086BF5">
        <w:t xml:space="preserve">the vapor </w:t>
      </w:r>
      <w:r w:rsidR="00004793" w:rsidRPr="00086BF5">
        <w:t xml:space="preserve">generated in the </w:t>
      </w:r>
      <w:r w:rsidR="00AD7C4C" w:rsidRPr="00086BF5">
        <w:t>second</w:t>
      </w:r>
      <w:r w:rsidR="00004793" w:rsidRPr="00086BF5">
        <w:t xml:space="preserve"> compartment </w:t>
      </w:r>
      <w:r w:rsidR="00AD7C4C" w:rsidRPr="00086BF5">
        <w:t xml:space="preserve">to the first </w:t>
      </w:r>
      <w:r w:rsidR="00004793" w:rsidRPr="00086BF5">
        <w:t>one (V</w:t>
      </w:r>
      <w:r w:rsidR="00004793" w:rsidRPr="00086BF5">
        <w:rPr>
          <w:vertAlign w:val="subscript"/>
        </w:rPr>
        <w:t>2R</w:t>
      </w:r>
      <w:r w:rsidR="00004793" w:rsidRPr="00086BF5">
        <w:t>)</w:t>
      </w:r>
      <w:r w:rsidR="00AD7C4C" w:rsidRPr="00086BF5">
        <w:t>.</w:t>
      </w:r>
      <w:r w:rsidR="00B74458">
        <w:t xml:space="preserve"> </w:t>
      </w:r>
      <w:r w:rsidR="00AF3738" w:rsidRPr="00086BF5">
        <w:t xml:space="preserve">The </w:t>
      </w:r>
      <w:r>
        <w:t xml:space="preserve">study </w:t>
      </w:r>
      <w:r w:rsidR="00AF3738" w:rsidRPr="00086BF5">
        <w:t xml:space="preserve">is performed considering </w:t>
      </w:r>
      <w:r>
        <w:t xml:space="preserve">pure </w:t>
      </w:r>
      <w:r w:rsidR="00AF3738" w:rsidRPr="00086BF5">
        <w:t xml:space="preserve">methane as the </w:t>
      </w:r>
      <w:r w:rsidR="005614D8">
        <w:t>stripping</w:t>
      </w:r>
      <w:r w:rsidR="00AF3738" w:rsidRPr="00086BF5">
        <w:t xml:space="preserve"> gas injected at the bottom section</w:t>
      </w:r>
      <w:r>
        <w:t xml:space="preserve"> and a binary mixture of water-TEG coming from the reboiler,</w:t>
      </w:r>
      <w:r w:rsidR="00AF3738" w:rsidRPr="00086BF5">
        <w:t xml:space="preserve"> </w:t>
      </w:r>
      <w:r>
        <w:t xml:space="preserve">thus </w:t>
      </w:r>
      <w:r w:rsidR="00AF3738" w:rsidRPr="00086BF5">
        <w:t xml:space="preserve">obtaining a three-component system </w:t>
      </w:r>
      <w:r>
        <w:t xml:space="preserve">inside the Coldfinger </w:t>
      </w:r>
      <w:r w:rsidR="00AF3738" w:rsidRPr="00086BF5">
        <w:t xml:space="preserve">formed by methane (1) – water (2) – TEG (3). </w:t>
      </w:r>
      <w:r w:rsidR="00AF3738" w:rsidRPr="00800527">
        <w:t xml:space="preserve">Although the dry gas </w:t>
      </w:r>
      <w:r w:rsidR="00800527" w:rsidRPr="00800527">
        <w:t xml:space="preserve">available in </w:t>
      </w:r>
      <w:r w:rsidR="00AF3738" w:rsidRPr="00800527">
        <w:t>dehydration unit</w:t>
      </w:r>
      <w:r w:rsidR="00800527" w:rsidRPr="00800527">
        <w:t>s</w:t>
      </w:r>
      <w:r w:rsidR="00AF3738" w:rsidRPr="00800527">
        <w:t xml:space="preserve"> is not pure methane</w:t>
      </w:r>
      <w:r w:rsidR="00800527" w:rsidRPr="00800527">
        <w:t xml:space="preserve"> and the liquid stream coming from the reboiler contains also traces of other chemical species</w:t>
      </w:r>
      <w:r w:rsidR="00AF3738" w:rsidRPr="00800527">
        <w:t>, the components</w:t>
      </w:r>
      <w:r w:rsidR="00800527" w:rsidRPr="00800527">
        <w:t xml:space="preserve"> other than the three reported above</w:t>
      </w:r>
      <w:r w:rsidR="00AF3738" w:rsidRPr="00800527">
        <w:t xml:space="preserve"> are present in</w:t>
      </w:r>
      <w:r w:rsidR="00800527" w:rsidRPr="00800527">
        <w:t xml:space="preserve"> </w:t>
      </w:r>
      <w:r w:rsidR="00AF3738" w:rsidRPr="00800527">
        <w:t>smal</w:t>
      </w:r>
      <w:r w:rsidR="00800527" w:rsidRPr="00800527">
        <w:t>l</w:t>
      </w:r>
      <w:r w:rsidR="00AF3738" w:rsidRPr="00800527">
        <w:t xml:space="preserve"> amount</w:t>
      </w:r>
      <w:r w:rsidR="00800527" w:rsidRPr="00800527">
        <w:t xml:space="preserve">; therefore, </w:t>
      </w:r>
      <w:r w:rsidR="00AF3738" w:rsidRPr="00800527">
        <w:t xml:space="preserve">they </w:t>
      </w:r>
      <w:r w:rsidR="00800527" w:rsidRPr="00800527">
        <w:t xml:space="preserve">are </w:t>
      </w:r>
      <w:r w:rsidR="00AF3738" w:rsidRPr="00800527">
        <w:t xml:space="preserve">neglected </w:t>
      </w:r>
      <w:r w:rsidR="00800527" w:rsidRPr="00800527">
        <w:t>in this conceptual study</w:t>
      </w:r>
      <w:r w:rsidR="00AF3738" w:rsidRPr="00800527">
        <w:t xml:space="preserve">. From preliminary simulations, the </w:t>
      </w:r>
      <w:r w:rsidR="00800527" w:rsidRPr="00800527">
        <w:t xml:space="preserve">cooling of the bottom section caused by the mixing of the </w:t>
      </w:r>
      <w:r w:rsidR="00AF3738" w:rsidRPr="00800527">
        <w:t>recirculated uncondensed vapor</w:t>
      </w:r>
      <w:r w:rsidR="00800527" w:rsidRPr="00800527">
        <w:t xml:space="preserve"> </w:t>
      </w:r>
      <w:r w:rsidR="00AF3738" w:rsidRPr="00800527">
        <w:t xml:space="preserve">is seen to be less than 2 °C </w:t>
      </w:r>
      <w:r w:rsidR="00800527" w:rsidRPr="00800527">
        <w:t xml:space="preserve">due to the small amount of the internal recirculated vapor compared to the TEG-rich stream from the reboiler. Consequently, this effect is neglected, and </w:t>
      </w:r>
      <w:r w:rsidR="00AF3738" w:rsidRPr="00800527">
        <w:t xml:space="preserve">the temperature of the bottom section is fixed at </w:t>
      </w:r>
      <w:r w:rsidR="00800527" w:rsidRPr="00800527">
        <w:t xml:space="preserve">the same temperature of the </w:t>
      </w:r>
      <w:r w:rsidR="00800527" w:rsidRPr="005D2E33">
        <w:t>reboiler (</w:t>
      </w:r>
      <w:r w:rsidR="00AF3738" w:rsidRPr="005D2E33">
        <w:t>204 °C</w:t>
      </w:r>
      <w:r w:rsidR="00800527" w:rsidRPr="005D2E33">
        <w:t>)</w:t>
      </w:r>
      <w:r w:rsidR="00AF3738" w:rsidRPr="005D2E33">
        <w:t>. The study presented in this work focuses on the effect of the temperature at the top section of the Coldfinger, which depends on the heat power removed from the system, and on the internal recirculation</w:t>
      </w:r>
      <w:r w:rsidR="005D2E33" w:rsidRPr="005D2E33">
        <w:t xml:space="preserve">, which </w:t>
      </w:r>
      <w:r w:rsidR="00AF3738" w:rsidRPr="005D2E33">
        <w:t xml:space="preserve">depends on the temperature difference between the two sections of the equipment </w:t>
      </w:r>
      <w:r w:rsidR="005D2E33" w:rsidRPr="005D2E33">
        <w:t>and</w:t>
      </w:r>
      <w:r w:rsidR="00AF3738" w:rsidRPr="005D2E33">
        <w:t xml:space="preserve"> on its design.</w:t>
      </w:r>
    </w:p>
    <w:p w14:paraId="3B41CAF8" w14:textId="77777777" w:rsidR="00431098" w:rsidRDefault="00431098" w:rsidP="00AF3738">
      <w:pPr>
        <w:pStyle w:val="CETBodytext"/>
      </w:pPr>
    </w:p>
    <w:p w14:paraId="50572C67" w14:textId="13A55D83" w:rsidR="00AF3738" w:rsidRPr="00AF3738" w:rsidRDefault="00AF3738" w:rsidP="00AF3738">
      <w:pPr>
        <w:pStyle w:val="CETBodytext"/>
        <w:sectPr w:rsidR="00AF3738" w:rsidRPr="00AF3738" w:rsidSect="0077098D">
          <w:type w:val="continuous"/>
          <w:pgSz w:w="11906" w:h="16838" w:code="9"/>
          <w:pgMar w:top="1701" w:right="1418" w:bottom="1701" w:left="1701" w:header="1701" w:footer="0" w:gutter="0"/>
          <w:cols w:space="708"/>
          <w:formProt w:val="0"/>
          <w:titlePg/>
          <w:docGrid w:linePitch="360"/>
        </w:sectPr>
      </w:pPr>
    </w:p>
    <w:p w14:paraId="32043E16" w14:textId="77777777" w:rsidR="006E1E68" w:rsidRDefault="006E1E68" w:rsidP="00370C02">
      <w:pPr>
        <w:pStyle w:val="CETBodytext"/>
      </w:pPr>
    </w:p>
    <w:p w14:paraId="6A54E567" w14:textId="3D599DB7" w:rsidR="00370C02" w:rsidRDefault="008B4B60" w:rsidP="00370C02">
      <w:pPr>
        <w:pStyle w:val="CETBodytext"/>
      </w:pPr>
      <w:r w:rsidRPr="008B4B60">
        <w:rPr>
          <w:noProof/>
        </w:rPr>
        <w:drawing>
          <wp:inline distT="0" distB="0" distL="0" distR="0" wp14:anchorId="31E49AF2" wp14:editId="3F1A3D4C">
            <wp:extent cx="2761488" cy="14630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61488" cy="1463040"/>
                    </a:xfrm>
                    <a:prstGeom prst="rect">
                      <a:avLst/>
                    </a:prstGeom>
                  </pic:spPr>
                </pic:pic>
              </a:graphicData>
            </a:graphic>
          </wp:inline>
        </w:drawing>
      </w:r>
    </w:p>
    <w:p w14:paraId="32D8B601" w14:textId="77777777" w:rsidR="008B4B60" w:rsidRDefault="008B4B60" w:rsidP="008F5163">
      <w:pPr>
        <w:pStyle w:val="CETBodytext"/>
        <w:rPr>
          <w:sz w:val="16"/>
        </w:rPr>
      </w:pPr>
    </w:p>
    <w:p w14:paraId="15F38B41" w14:textId="77777777" w:rsidR="00FC2E69" w:rsidRDefault="00FC2E69" w:rsidP="008F5163">
      <w:pPr>
        <w:pStyle w:val="CETBodytext"/>
        <w:rPr>
          <w:sz w:val="16"/>
        </w:rPr>
      </w:pPr>
    </w:p>
    <w:p w14:paraId="4B3B6945" w14:textId="52D379C6" w:rsidR="005614D8" w:rsidRPr="00473DBC" w:rsidRDefault="00370C02" w:rsidP="008F5163">
      <w:pPr>
        <w:pStyle w:val="CETBodytext"/>
        <w:rPr>
          <w:sz w:val="16"/>
        </w:rPr>
      </w:pPr>
      <w:r w:rsidRPr="00473DBC">
        <w:rPr>
          <w:sz w:val="16"/>
        </w:rPr>
        <w:t>(a)</w:t>
      </w:r>
    </w:p>
    <w:p w14:paraId="2C2251B5" w14:textId="0E4A6F06" w:rsidR="005614D8" w:rsidRPr="00473DBC" w:rsidRDefault="003D41C7" w:rsidP="008F5163">
      <w:pPr>
        <w:pStyle w:val="CETBodytext"/>
        <w:rPr>
          <w:sz w:val="16"/>
        </w:rPr>
      </w:pPr>
      <w:r w:rsidRPr="00473DBC">
        <w:rPr>
          <w:noProof/>
          <w:sz w:val="16"/>
        </w:rPr>
        <w:drawing>
          <wp:inline distT="0" distB="0" distL="0" distR="0" wp14:anchorId="5891F6EB" wp14:editId="181E05DC">
            <wp:extent cx="1712794" cy="1818808"/>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46807" cy="1854926"/>
                    </a:xfrm>
                    <a:prstGeom prst="rect">
                      <a:avLst/>
                    </a:prstGeom>
                  </pic:spPr>
                </pic:pic>
              </a:graphicData>
            </a:graphic>
          </wp:inline>
        </w:drawing>
      </w:r>
    </w:p>
    <w:p w14:paraId="4A9FD865" w14:textId="52FB3642" w:rsidR="00B31610" w:rsidRPr="00473DBC" w:rsidRDefault="00370C02" w:rsidP="008F5163">
      <w:pPr>
        <w:pStyle w:val="CETBodytext"/>
        <w:rPr>
          <w:sz w:val="16"/>
        </w:rPr>
      </w:pPr>
      <w:r w:rsidRPr="00473DBC">
        <w:rPr>
          <w:sz w:val="16"/>
        </w:rPr>
        <w:t>(b)</w:t>
      </w:r>
    </w:p>
    <w:p w14:paraId="4FA922CC" w14:textId="5A04B475" w:rsidR="00B31610" w:rsidRDefault="00B31610" w:rsidP="008F5163">
      <w:pPr>
        <w:pStyle w:val="CETBodytext"/>
        <w:sectPr w:rsidR="00B31610" w:rsidSect="00370C02">
          <w:type w:val="continuous"/>
          <w:pgSz w:w="11906" w:h="16838" w:code="9"/>
          <w:pgMar w:top="1701" w:right="1418" w:bottom="1701" w:left="1701" w:header="1701" w:footer="0" w:gutter="0"/>
          <w:cols w:num="2" w:space="708"/>
          <w:formProt w:val="0"/>
          <w:titlePg/>
          <w:docGrid w:linePitch="360"/>
        </w:sectPr>
      </w:pPr>
    </w:p>
    <w:p w14:paraId="3DFA37B2" w14:textId="2B71676F" w:rsidR="004D1339" w:rsidRPr="00086BF5" w:rsidRDefault="004D1339" w:rsidP="008F5163">
      <w:pPr>
        <w:pStyle w:val="CETCaption"/>
        <w:rPr>
          <w:lang w:val="en-US"/>
        </w:rPr>
      </w:pPr>
      <w:r w:rsidRPr="00086BF5">
        <w:rPr>
          <w:lang w:val="en-US"/>
        </w:rPr>
        <w:t xml:space="preserve">Figure </w:t>
      </w:r>
      <w:r w:rsidR="00B31610">
        <w:rPr>
          <w:lang w:val="en-US"/>
        </w:rPr>
        <w:t>1</w:t>
      </w:r>
      <w:r w:rsidRPr="00086BF5">
        <w:rPr>
          <w:lang w:val="en-US"/>
        </w:rPr>
        <w:t>:</w:t>
      </w:r>
      <w:r w:rsidR="005B2868">
        <w:rPr>
          <w:lang w:val="en-US"/>
        </w:rPr>
        <w:t xml:space="preserve"> </w:t>
      </w:r>
      <w:r w:rsidR="005646F2" w:rsidRPr="00086BF5">
        <w:rPr>
          <w:lang w:val="en-US"/>
        </w:rPr>
        <w:t xml:space="preserve">Schematic representation </w:t>
      </w:r>
      <w:r w:rsidR="005646F2">
        <w:rPr>
          <w:lang w:val="en-US"/>
        </w:rPr>
        <w:t>of the Coldfinger water exhauster</w:t>
      </w:r>
      <w:r w:rsidR="00473DBC">
        <w:rPr>
          <w:lang w:val="en-US"/>
        </w:rPr>
        <w:t xml:space="preserve">. </w:t>
      </w:r>
      <w:r w:rsidR="000412F5">
        <w:rPr>
          <w:lang w:val="en-US"/>
        </w:rPr>
        <w:t>(</w:t>
      </w:r>
      <w:r w:rsidR="005B2868">
        <w:rPr>
          <w:lang w:val="en-US"/>
        </w:rPr>
        <w:t xml:space="preserve">a) </w:t>
      </w:r>
      <w:r w:rsidR="008B4B60">
        <w:rPr>
          <w:lang w:val="en-US"/>
        </w:rPr>
        <w:t>E</w:t>
      </w:r>
      <w:r w:rsidR="005646F2">
        <w:rPr>
          <w:lang w:val="en-US"/>
        </w:rPr>
        <w:t>quipment configuration</w:t>
      </w:r>
      <w:r w:rsidR="00473DBC">
        <w:rPr>
          <w:lang w:val="en-US"/>
        </w:rPr>
        <w:t xml:space="preserve">. </w:t>
      </w:r>
      <w:r w:rsidR="000412F5">
        <w:rPr>
          <w:lang w:val="en-US"/>
        </w:rPr>
        <w:t>(</w:t>
      </w:r>
      <w:r w:rsidR="00B31610">
        <w:rPr>
          <w:lang w:val="en-US"/>
        </w:rPr>
        <w:t xml:space="preserve">b) </w:t>
      </w:r>
      <w:r w:rsidR="008B4B60">
        <w:rPr>
          <w:lang w:val="en-US"/>
        </w:rPr>
        <w:t xml:space="preserve">Conceptual </w:t>
      </w:r>
      <w:r w:rsidRPr="00086BF5">
        <w:rPr>
          <w:lang w:val="en-US"/>
        </w:rPr>
        <w:t xml:space="preserve">model </w:t>
      </w:r>
      <w:r w:rsidR="005646F2">
        <w:rPr>
          <w:lang w:val="en-US"/>
        </w:rPr>
        <w:t>app</w:t>
      </w:r>
      <w:r w:rsidR="008B4B60">
        <w:rPr>
          <w:lang w:val="en-US"/>
        </w:rPr>
        <w:t>aratus</w:t>
      </w:r>
      <w:r w:rsidRPr="00086BF5">
        <w:rPr>
          <w:lang w:val="en-US"/>
        </w:rPr>
        <w:t xml:space="preserve">. </w:t>
      </w:r>
    </w:p>
    <w:p w14:paraId="4DAF3CEA" w14:textId="39776688" w:rsidR="000569BF" w:rsidRPr="00086BF5" w:rsidRDefault="000569BF" w:rsidP="000569BF">
      <w:pPr>
        <w:pStyle w:val="CETheadingx"/>
      </w:pPr>
      <w:r w:rsidRPr="00086BF5">
        <w:lastRenderedPageBreak/>
        <w:t>Thermodynamic model</w:t>
      </w:r>
    </w:p>
    <w:p w14:paraId="12CFEC77" w14:textId="3563EFB4" w:rsidR="000569BF" w:rsidRPr="00086BF5" w:rsidRDefault="00D6117F" w:rsidP="006B10D3">
      <w:pPr>
        <w:pStyle w:val="CETBodytext"/>
      </w:pPr>
      <w:r w:rsidRPr="00086BF5">
        <w:t>The thermodynamic model</w:t>
      </w:r>
      <w:r w:rsidR="00C072F5">
        <w:t xml:space="preserve"> used</w:t>
      </w:r>
      <w:r w:rsidRPr="00086BF5">
        <w:t xml:space="preserve"> for the Coldfinger water exhauster is based on the Peng</w:t>
      </w:r>
      <w:r w:rsidR="00795D53" w:rsidRPr="00086BF5">
        <w:t>-</w:t>
      </w:r>
      <w:r w:rsidRPr="00086BF5">
        <w:t>Robinson equation of state</w:t>
      </w:r>
      <w:r w:rsidR="00795D53" w:rsidRPr="00086BF5">
        <w:t xml:space="preserve"> (EOS)</w:t>
      </w:r>
      <w:r w:rsidRPr="00086BF5">
        <w:t xml:space="preserve"> </w:t>
      </w:r>
      <w:r w:rsidR="0002694A" w:rsidRPr="00086BF5">
        <w:t xml:space="preserve">and the classic form of the </w:t>
      </w:r>
      <w:r w:rsidR="002C7E60">
        <w:t>quadratic mixing rules (</w:t>
      </w:r>
      <w:r w:rsidR="0002694A" w:rsidRPr="00086BF5">
        <w:t>van der Waals mixing rules</w:t>
      </w:r>
      <w:r w:rsidR="002C7E60">
        <w:t>)</w:t>
      </w:r>
      <w:r w:rsidR="0002694A" w:rsidRPr="00086BF5">
        <w:t>. The critical parameters</w:t>
      </w:r>
      <w:r w:rsidR="00536808">
        <w:t xml:space="preserve"> and acentric factor</w:t>
      </w:r>
      <w:r w:rsidR="0002694A" w:rsidRPr="00086BF5">
        <w:t xml:space="preserve"> of the three components of the system under study are shown in Table 1.</w:t>
      </w:r>
      <w:r w:rsidR="00586072">
        <w:t xml:space="preserve"> Data for methane are taken from Perry (1999), </w:t>
      </w:r>
      <w:r w:rsidR="002C7E60">
        <w:t>whereas data for water and</w:t>
      </w:r>
      <w:r w:rsidR="00586072">
        <w:t xml:space="preserve"> TEG are taken </w:t>
      </w:r>
      <w:r w:rsidR="00653914">
        <w:t xml:space="preserve">from </w:t>
      </w:r>
      <w:r w:rsidR="002C7E60">
        <w:t>Gironi</w:t>
      </w:r>
      <w:r w:rsidR="00536808">
        <w:t xml:space="preserve"> et al. (20</w:t>
      </w:r>
      <w:r w:rsidR="004C4FA1">
        <w:t>10</w:t>
      </w:r>
      <w:r w:rsidR="00536808">
        <w:t>).</w:t>
      </w:r>
    </w:p>
    <w:p w14:paraId="0D87B9B6" w14:textId="69D734E2" w:rsidR="0002694A" w:rsidRPr="00086BF5" w:rsidRDefault="0002694A" w:rsidP="0002694A">
      <w:pPr>
        <w:pStyle w:val="CETTabletitle"/>
        <w:rPr>
          <w:lang w:val="en-US"/>
        </w:rPr>
      </w:pPr>
      <w:r w:rsidRPr="00086BF5">
        <w:rPr>
          <w:lang w:val="en-US"/>
        </w:rPr>
        <w:t>Table 1: Critical parameters</w:t>
      </w:r>
      <w:r w:rsidR="00AC7F87" w:rsidRPr="00086BF5">
        <w:rPr>
          <w:lang w:val="en-US"/>
        </w:rPr>
        <w:t xml:space="preserve"> and acentric factor</w:t>
      </w:r>
      <w:r w:rsidR="004C4FA1">
        <w:rPr>
          <w:lang w:val="en-US"/>
        </w:rPr>
        <w:t>s</w:t>
      </w:r>
      <w:r w:rsidRPr="00086BF5">
        <w:rPr>
          <w:lang w:val="en-US"/>
        </w:rPr>
        <w:t xml:space="preserve"> for CH</w:t>
      </w:r>
      <w:r w:rsidRPr="00086BF5">
        <w:rPr>
          <w:vertAlign w:val="subscript"/>
          <w:lang w:val="en-US"/>
        </w:rPr>
        <w:t xml:space="preserve">4 </w:t>
      </w:r>
      <w:r w:rsidRPr="00086BF5">
        <w:rPr>
          <w:lang w:val="en-US"/>
        </w:rPr>
        <w:t>(1)</w:t>
      </w:r>
      <w:r w:rsidR="00812AFE">
        <w:rPr>
          <w:lang w:val="en-US"/>
        </w:rPr>
        <w:t xml:space="preserve">, </w:t>
      </w:r>
      <w:r w:rsidRPr="00086BF5">
        <w:rPr>
          <w:lang w:val="en-US"/>
        </w:rPr>
        <w:t>water (2)</w:t>
      </w:r>
      <w:r w:rsidR="004C4FA1">
        <w:rPr>
          <w:lang w:val="en-US"/>
        </w:rPr>
        <w:t xml:space="preserve"> and </w:t>
      </w:r>
      <w:r w:rsidRPr="00086BF5">
        <w:rPr>
          <w:lang w:val="en-US"/>
        </w:rPr>
        <w:t>TEG (3)</w:t>
      </w:r>
      <w:r w:rsidR="004C4FA1">
        <w:rPr>
          <w:lang w:val="en-US"/>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61"/>
        <w:gridCol w:w="1661"/>
        <w:gridCol w:w="1661"/>
        <w:gridCol w:w="1661"/>
      </w:tblGrid>
      <w:tr w:rsidR="0002694A" w:rsidRPr="00086BF5" w14:paraId="6FC7628F" w14:textId="77777777" w:rsidTr="00180114">
        <w:trPr>
          <w:trHeight w:val="439"/>
        </w:trPr>
        <w:tc>
          <w:tcPr>
            <w:tcW w:w="1661" w:type="dxa"/>
            <w:tcBorders>
              <w:top w:val="single" w:sz="12" w:space="0" w:color="008000"/>
              <w:bottom w:val="single" w:sz="6" w:space="0" w:color="008000"/>
            </w:tcBorders>
            <w:shd w:val="clear" w:color="auto" w:fill="FFFFFF"/>
            <w:vAlign w:val="center"/>
          </w:tcPr>
          <w:p w14:paraId="2AEC4526" w14:textId="2930FE67" w:rsidR="0002694A" w:rsidRPr="00086BF5" w:rsidRDefault="0002694A" w:rsidP="00180114">
            <w:pPr>
              <w:pStyle w:val="CETBodytext"/>
              <w:jc w:val="left"/>
            </w:pPr>
            <w:r w:rsidRPr="00086BF5">
              <w:t xml:space="preserve">Component </w:t>
            </w:r>
          </w:p>
        </w:tc>
        <w:tc>
          <w:tcPr>
            <w:tcW w:w="1661" w:type="dxa"/>
            <w:tcBorders>
              <w:top w:val="single" w:sz="12" w:space="0" w:color="008000"/>
              <w:bottom w:val="single" w:sz="6" w:space="0" w:color="008000"/>
            </w:tcBorders>
            <w:shd w:val="clear" w:color="auto" w:fill="FFFFFF"/>
            <w:vAlign w:val="center"/>
          </w:tcPr>
          <w:p w14:paraId="452587F7" w14:textId="5DA13DC0" w:rsidR="0002694A" w:rsidRPr="00086BF5" w:rsidRDefault="0002694A" w:rsidP="00180114">
            <w:pPr>
              <w:pStyle w:val="CETBodytext"/>
              <w:jc w:val="left"/>
            </w:pPr>
            <w:r w:rsidRPr="00086BF5">
              <w:t xml:space="preserve">Pc, </w:t>
            </w:r>
            <w:r w:rsidR="00E1772A">
              <w:t>M</w:t>
            </w:r>
            <w:r w:rsidRPr="00086BF5">
              <w:t>Pa</w:t>
            </w:r>
          </w:p>
        </w:tc>
        <w:tc>
          <w:tcPr>
            <w:tcW w:w="1661" w:type="dxa"/>
            <w:tcBorders>
              <w:top w:val="single" w:sz="12" w:space="0" w:color="008000"/>
              <w:bottom w:val="single" w:sz="6" w:space="0" w:color="008000"/>
            </w:tcBorders>
            <w:shd w:val="clear" w:color="auto" w:fill="FFFFFF"/>
            <w:vAlign w:val="center"/>
          </w:tcPr>
          <w:p w14:paraId="4BDDDB4F" w14:textId="56F9FCC0" w:rsidR="0002694A" w:rsidRPr="00086BF5" w:rsidRDefault="0002694A" w:rsidP="00180114">
            <w:pPr>
              <w:pStyle w:val="CETBodytext"/>
              <w:jc w:val="left"/>
            </w:pPr>
            <w:r w:rsidRPr="00086BF5">
              <w:t>Tc, K</w:t>
            </w:r>
          </w:p>
        </w:tc>
        <w:tc>
          <w:tcPr>
            <w:tcW w:w="1661" w:type="dxa"/>
            <w:tcBorders>
              <w:top w:val="single" w:sz="12" w:space="0" w:color="008000"/>
              <w:bottom w:val="single" w:sz="6" w:space="0" w:color="008000"/>
            </w:tcBorders>
            <w:shd w:val="clear" w:color="auto" w:fill="FFFFFF"/>
            <w:vAlign w:val="center"/>
          </w:tcPr>
          <w:p w14:paraId="1933319B" w14:textId="3C95400A" w:rsidR="0002694A" w:rsidRPr="00086BF5" w:rsidRDefault="0002694A" w:rsidP="00180114">
            <w:pPr>
              <w:pStyle w:val="CETBodytext"/>
              <w:ind w:right="-1"/>
              <w:jc w:val="left"/>
              <w:rPr>
                <w:rFonts w:cs="Arial"/>
                <w:szCs w:val="18"/>
              </w:rPr>
            </w:pPr>
            <w:r w:rsidRPr="00086BF5">
              <w:rPr>
                <w:rFonts w:cs="Arial"/>
                <w:szCs w:val="18"/>
              </w:rPr>
              <w:t>Acentric factor</w:t>
            </w:r>
          </w:p>
        </w:tc>
      </w:tr>
      <w:tr w:rsidR="0002694A" w:rsidRPr="00086BF5" w14:paraId="2BA1C26D" w14:textId="77777777" w:rsidTr="00180114">
        <w:trPr>
          <w:trHeight w:val="229"/>
        </w:trPr>
        <w:tc>
          <w:tcPr>
            <w:tcW w:w="1661" w:type="dxa"/>
            <w:shd w:val="clear" w:color="auto" w:fill="FFFFFF"/>
            <w:vAlign w:val="center"/>
          </w:tcPr>
          <w:p w14:paraId="4F1D0395" w14:textId="4DE95453" w:rsidR="0002694A" w:rsidRPr="00086BF5" w:rsidRDefault="0002694A" w:rsidP="00180114">
            <w:pPr>
              <w:pStyle w:val="CETBodytext"/>
              <w:jc w:val="left"/>
            </w:pPr>
            <w:r w:rsidRPr="00086BF5">
              <w:t>Methane, CH</w:t>
            </w:r>
            <w:r w:rsidRPr="00086BF5">
              <w:rPr>
                <w:vertAlign w:val="subscript"/>
              </w:rPr>
              <w:t>4</w:t>
            </w:r>
          </w:p>
        </w:tc>
        <w:tc>
          <w:tcPr>
            <w:tcW w:w="1661" w:type="dxa"/>
            <w:shd w:val="clear" w:color="auto" w:fill="FFFFFF"/>
            <w:vAlign w:val="center"/>
          </w:tcPr>
          <w:p w14:paraId="271F39E1" w14:textId="3B15F125" w:rsidR="0002694A" w:rsidRPr="00086BF5" w:rsidRDefault="00806F55" w:rsidP="00180114">
            <w:pPr>
              <w:pStyle w:val="CETBodytext"/>
              <w:jc w:val="left"/>
            </w:pPr>
            <w:r w:rsidRPr="00086BF5">
              <w:t>4.59</w:t>
            </w:r>
          </w:p>
        </w:tc>
        <w:tc>
          <w:tcPr>
            <w:tcW w:w="1661" w:type="dxa"/>
            <w:shd w:val="clear" w:color="auto" w:fill="FFFFFF"/>
            <w:vAlign w:val="center"/>
          </w:tcPr>
          <w:p w14:paraId="73FC42E7" w14:textId="08964384" w:rsidR="0002694A" w:rsidRPr="00086BF5" w:rsidRDefault="00247FB9" w:rsidP="00180114">
            <w:pPr>
              <w:pStyle w:val="CETBodytext"/>
              <w:jc w:val="left"/>
            </w:pPr>
            <w:r w:rsidRPr="00086BF5">
              <w:t>190.564</w:t>
            </w:r>
          </w:p>
        </w:tc>
        <w:tc>
          <w:tcPr>
            <w:tcW w:w="1661" w:type="dxa"/>
            <w:shd w:val="clear" w:color="auto" w:fill="FFFFFF"/>
            <w:vAlign w:val="center"/>
          </w:tcPr>
          <w:p w14:paraId="2F9F93C7" w14:textId="21456E80" w:rsidR="0002694A" w:rsidRPr="00086BF5" w:rsidRDefault="00247FB9" w:rsidP="00180114">
            <w:pPr>
              <w:pStyle w:val="CETBodytext"/>
              <w:ind w:right="-1"/>
              <w:jc w:val="left"/>
              <w:rPr>
                <w:rFonts w:cs="Arial"/>
                <w:szCs w:val="18"/>
              </w:rPr>
            </w:pPr>
            <w:r w:rsidRPr="00086BF5">
              <w:rPr>
                <w:rFonts w:cs="Arial"/>
                <w:szCs w:val="18"/>
              </w:rPr>
              <w:t>0.011</w:t>
            </w:r>
          </w:p>
        </w:tc>
      </w:tr>
      <w:tr w:rsidR="0002694A" w:rsidRPr="00086BF5" w14:paraId="7A26D4F9" w14:textId="77777777" w:rsidTr="00180114">
        <w:trPr>
          <w:trHeight w:val="219"/>
        </w:trPr>
        <w:tc>
          <w:tcPr>
            <w:tcW w:w="1661" w:type="dxa"/>
            <w:shd w:val="clear" w:color="auto" w:fill="FFFFFF"/>
            <w:vAlign w:val="center"/>
          </w:tcPr>
          <w:p w14:paraId="77ACAA55" w14:textId="0F64135C" w:rsidR="0002694A" w:rsidRPr="00086BF5" w:rsidRDefault="0002694A" w:rsidP="00180114">
            <w:pPr>
              <w:pStyle w:val="CETBodytext"/>
              <w:ind w:right="-1"/>
              <w:jc w:val="left"/>
              <w:rPr>
                <w:rFonts w:cs="Arial"/>
                <w:szCs w:val="18"/>
              </w:rPr>
            </w:pPr>
            <w:r w:rsidRPr="00086BF5">
              <w:rPr>
                <w:rFonts w:cs="Arial"/>
                <w:szCs w:val="18"/>
              </w:rPr>
              <w:t>Water, H</w:t>
            </w:r>
            <w:r w:rsidRPr="00086BF5">
              <w:rPr>
                <w:rFonts w:cs="Arial"/>
                <w:szCs w:val="18"/>
                <w:vertAlign w:val="subscript"/>
              </w:rPr>
              <w:t>2</w:t>
            </w:r>
            <w:r w:rsidRPr="00086BF5">
              <w:rPr>
                <w:rFonts w:cs="Arial"/>
                <w:szCs w:val="18"/>
              </w:rPr>
              <w:t>O</w:t>
            </w:r>
          </w:p>
        </w:tc>
        <w:tc>
          <w:tcPr>
            <w:tcW w:w="1661" w:type="dxa"/>
            <w:shd w:val="clear" w:color="auto" w:fill="FFFFFF"/>
            <w:vAlign w:val="center"/>
          </w:tcPr>
          <w:p w14:paraId="360F7DCF" w14:textId="0FB25F70" w:rsidR="0002694A" w:rsidRPr="00086BF5" w:rsidRDefault="00806F55" w:rsidP="00180114">
            <w:pPr>
              <w:pStyle w:val="CETBodytext"/>
              <w:ind w:right="-1"/>
              <w:jc w:val="left"/>
              <w:rPr>
                <w:rFonts w:cs="Arial"/>
                <w:szCs w:val="18"/>
              </w:rPr>
            </w:pPr>
            <w:r w:rsidRPr="00086BF5">
              <w:rPr>
                <w:rFonts w:cs="Arial"/>
                <w:szCs w:val="18"/>
              </w:rPr>
              <w:t>2</w:t>
            </w:r>
            <w:r w:rsidR="002C7E60">
              <w:rPr>
                <w:rFonts w:cs="Arial"/>
                <w:szCs w:val="18"/>
              </w:rPr>
              <w:t>2</w:t>
            </w:r>
            <w:r w:rsidRPr="00086BF5">
              <w:rPr>
                <w:rFonts w:cs="Arial"/>
                <w:szCs w:val="18"/>
              </w:rPr>
              <w:t>.</w:t>
            </w:r>
            <w:r w:rsidR="002C7E60">
              <w:rPr>
                <w:rFonts w:cs="Arial"/>
                <w:szCs w:val="18"/>
              </w:rPr>
              <w:t>12</w:t>
            </w:r>
          </w:p>
        </w:tc>
        <w:tc>
          <w:tcPr>
            <w:tcW w:w="1661" w:type="dxa"/>
            <w:shd w:val="clear" w:color="auto" w:fill="FFFFFF"/>
            <w:vAlign w:val="center"/>
          </w:tcPr>
          <w:p w14:paraId="0B5A3CA7" w14:textId="5A0E6201" w:rsidR="0002694A" w:rsidRPr="00086BF5" w:rsidRDefault="00247FB9" w:rsidP="00180114">
            <w:pPr>
              <w:pStyle w:val="CETBodytext"/>
              <w:ind w:right="-1"/>
              <w:jc w:val="left"/>
              <w:rPr>
                <w:rFonts w:cs="Arial"/>
                <w:szCs w:val="18"/>
              </w:rPr>
            </w:pPr>
            <w:r w:rsidRPr="00086BF5">
              <w:rPr>
                <w:rFonts w:cs="Arial"/>
                <w:szCs w:val="18"/>
              </w:rPr>
              <w:t>647.3</w:t>
            </w:r>
          </w:p>
        </w:tc>
        <w:tc>
          <w:tcPr>
            <w:tcW w:w="1661" w:type="dxa"/>
            <w:shd w:val="clear" w:color="auto" w:fill="FFFFFF"/>
            <w:vAlign w:val="center"/>
          </w:tcPr>
          <w:p w14:paraId="1FD58CF7" w14:textId="50BA144F" w:rsidR="0002694A" w:rsidRPr="00086BF5" w:rsidRDefault="00247FB9" w:rsidP="00180114">
            <w:pPr>
              <w:pStyle w:val="CETBodytext"/>
              <w:ind w:right="-1"/>
              <w:jc w:val="left"/>
              <w:rPr>
                <w:rFonts w:cs="Arial"/>
                <w:szCs w:val="18"/>
              </w:rPr>
            </w:pPr>
            <w:r w:rsidRPr="00086BF5">
              <w:rPr>
                <w:rFonts w:cs="Arial"/>
                <w:szCs w:val="18"/>
              </w:rPr>
              <w:t>0.34</w:t>
            </w:r>
            <w:r w:rsidR="002C7E60">
              <w:rPr>
                <w:rFonts w:cs="Arial"/>
                <w:szCs w:val="18"/>
              </w:rPr>
              <w:t>4</w:t>
            </w:r>
          </w:p>
        </w:tc>
      </w:tr>
      <w:tr w:rsidR="0002694A" w:rsidRPr="00086BF5" w14:paraId="666EA433" w14:textId="77777777" w:rsidTr="00180114">
        <w:trPr>
          <w:trHeight w:val="219"/>
        </w:trPr>
        <w:tc>
          <w:tcPr>
            <w:tcW w:w="1661" w:type="dxa"/>
            <w:shd w:val="clear" w:color="auto" w:fill="FFFFFF"/>
            <w:vAlign w:val="center"/>
          </w:tcPr>
          <w:p w14:paraId="5BBA13A8" w14:textId="531B643D" w:rsidR="0002694A" w:rsidRPr="00086BF5" w:rsidRDefault="0002694A" w:rsidP="00180114">
            <w:pPr>
              <w:pStyle w:val="CETBodytext"/>
              <w:ind w:right="-1"/>
              <w:jc w:val="left"/>
              <w:rPr>
                <w:rFonts w:cs="Arial"/>
                <w:szCs w:val="18"/>
              </w:rPr>
            </w:pPr>
            <w:r w:rsidRPr="00086BF5">
              <w:rPr>
                <w:rFonts w:cs="Arial"/>
                <w:szCs w:val="18"/>
              </w:rPr>
              <w:t>TEG</w:t>
            </w:r>
          </w:p>
        </w:tc>
        <w:tc>
          <w:tcPr>
            <w:tcW w:w="1661" w:type="dxa"/>
            <w:shd w:val="clear" w:color="auto" w:fill="FFFFFF"/>
            <w:vAlign w:val="center"/>
          </w:tcPr>
          <w:p w14:paraId="0C90E9E7" w14:textId="3ADC2EDC" w:rsidR="0002694A" w:rsidRPr="00086BF5" w:rsidRDefault="00806F55" w:rsidP="00180114">
            <w:pPr>
              <w:pStyle w:val="CETBodytext"/>
              <w:ind w:right="-1"/>
              <w:jc w:val="left"/>
              <w:rPr>
                <w:rFonts w:cs="Arial"/>
                <w:szCs w:val="18"/>
              </w:rPr>
            </w:pPr>
            <w:r w:rsidRPr="00086BF5">
              <w:rPr>
                <w:rFonts w:cs="Arial"/>
                <w:szCs w:val="18"/>
              </w:rPr>
              <w:t>3.</w:t>
            </w:r>
            <w:r w:rsidR="002C7E60">
              <w:rPr>
                <w:rFonts w:cs="Arial"/>
                <w:szCs w:val="18"/>
              </w:rPr>
              <w:t>958</w:t>
            </w:r>
          </w:p>
        </w:tc>
        <w:tc>
          <w:tcPr>
            <w:tcW w:w="1661" w:type="dxa"/>
            <w:shd w:val="clear" w:color="auto" w:fill="FFFFFF"/>
            <w:vAlign w:val="center"/>
          </w:tcPr>
          <w:p w14:paraId="2E69FC8A" w14:textId="48F4DDAB" w:rsidR="00247FB9" w:rsidRPr="00086BF5" w:rsidRDefault="002C7E60" w:rsidP="00180114">
            <w:pPr>
              <w:pStyle w:val="CETBodytext"/>
              <w:ind w:right="-1"/>
              <w:jc w:val="left"/>
              <w:rPr>
                <w:rFonts w:ascii="Calibri" w:hAnsi="Calibri" w:cs="Calibri"/>
                <w:szCs w:val="18"/>
                <w:vertAlign w:val="superscript"/>
              </w:rPr>
            </w:pPr>
            <w:r>
              <w:rPr>
                <w:rFonts w:cs="Arial"/>
                <w:szCs w:val="18"/>
              </w:rPr>
              <w:t>806.3</w:t>
            </w:r>
          </w:p>
        </w:tc>
        <w:tc>
          <w:tcPr>
            <w:tcW w:w="1661" w:type="dxa"/>
            <w:shd w:val="clear" w:color="auto" w:fill="FFFFFF"/>
            <w:vAlign w:val="center"/>
          </w:tcPr>
          <w:p w14:paraId="330A07C2" w14:textId="01B144FF" w:rsidR="0002694A" w:rsidRPr="00086BF5" w:rsidRDefault="002C7E60" w:rsidP="00180114">
            <w:pPr>
              <w:pStyle w:val="CETBodytext"/>
              <w:ind w:right="-1"/>
              <w:jc w:val="left"/>
              <w:rPr>
                <w:rFonts w:cs="Arial"/>
                <w:szCs w:val="18"/>
              </w:rPr>
            </w:pPr>
            <w:r>
              <w:rPr>
                <w:rFonts w:cs="Arial"/>
                <w:szCs w:val="18"/>
              </w:rPr>
              <w:t>0.563</w:t>
            </w:r>
          </w:p>
        </w:tc>
      </w:tr>
    </w:tbl>
    <w:p w14:paraId="552AA38B" w14:textId="509513DD" w:rsidR="006B10D3" w:rsidRPr="00086BF5" w:rsidRDefault="006B10D3" w:rsidP="006B10D3">
      <w:pPr>
        <w:pStyle w:val="CETBodytext"/>
      </w:pPr>
    </w:p>
    <w:p w14:paraId="5729E622" w14:textId="348D1F96" w:rsidR="00844885" w:rsidRPr="00086BF5" w:rsidRDefault="00AC7F87" w:rsidP="006B10D3">
      <w:pPr>
        <w:pStyle w:val="CETBodytext"/>
      </w:pPr>
      <w:r w:rsidRPr="00086BF5">
        <w:t>The binary interaction parameter</w:t>
      </w:r>
      <w:r w:rsidR="004C4FA1">
        <w:t>s</w:t>
      </w:r>
      <w:r w:rsidRPr="00086BF5">
        <w:t xml:space="preserve"> (</w:t>
      </w:r>
      <w:r w:rsidRPr="00086BF5">
        <w:rPr>
          <w:rFonts w:ascii="Calibri" w:hAnsi="Calibri" w:cs="Calibri"/>
        </w:rPr>
        <w:t>κ</w:t>
      </w:r>
      <w:r w:rsidRPr="00086BF5">
        <w:rPr>
          <w:vertAlign w:val="subscript"/>
        </w:rPr>
        <w:t>12</w:t>
      </w:r>
      <w:r w:rsidRPr="00086BF5">
        <w:t xml:space="preserve">) </w:t>
      </w:r>
      <w:r w:rsidR="00E1772A">
        <w:t>were</w:t>
      </w:r>
      <w:r w:rsidRPr="00086BF5">
        <w:t xml:space="preserve"> </w:t>
      </w:r>
      <w:r w:rsidR="00E1772A">
        <w:t xml:space="preserve">taken or </w:t>
      </w:r>
      <w:r w:rsidR="004C4FA1">
        <w:t>regressed</w:t>
      </w:r>
      <w:r w:rsidRPr="00086BF5">
        <w:t xml:space="preserve"> from </w:t>
      </w:r>
      <w:r w:rsidR="00795D53" w:rsidRPr="00086BF5">
        <w:t>available</w:t>
      </w:r>
      <w:r w:rsidRPr="00086BF5">
        <w:t xml:space="preserve"> </w:t>
      </w:r>
      <w:r w:rsidR="00536808">
        <w:t xml:space="preserve">literature </w:t>
      </w:r>
      <w:r w:rsidRPr="00086BF5">
        <w:t>data. Gironi et al. (</w:t>
      </w:r>
      <w:r w:rsidR="004C4FA1">
        <w:t>20</w:t>
      </w:r>
      <w:r w:rsidR="00E1772A">
        <w:t>0</w:t>
      </w:r>
      <w:r w:rsidR="004C4FA1">
        <w:t xml:space="preserve">7b, </w:t>
      </w:r>
      <w:r w:rsidR="00C101D1">
        <w:t xml:space="preserve">2010) </w:t>
      </w:r>
      <w:r w:rsidRPr="00086BF5">
        <w:t>report</w:t>
      </w:r>
      <w:r w:rsidR="00C101D1">
        <w:t>ed</w:t>
      </w:r>
      <w:r w:rsidRPr="00086BF5">
        <w:t xml:space="preserve"> a linear relation of</w:t>
      </w:r>
      <w:r w:rsidR="00795D53" w:rsidRPr="00086BF5">
        <w:t xml:space="preserve"> </w:t>
      </w:r>
      <w:r w:rsidR="00795D53" w:rsidRPr="00086BF5">
        <w:rPr>
          <w:rFonts w:ascii="Calibri" w:hAnsi="Calibri" w:cs="Calibri"/>
        </w:rPr>
        <w:t>κ</w:t>
      </w:r>
      <w:r w:rsidR="00795D53" w:rsidRPr="00086BF5">
        <w:rPr>
          <w:vertAlign w:val="subscript"/>
        </w:rPr>
        <w:t>12</w:t>
      </w:r>
      <w:r w:rsidR="00795D53" w:rsidRPr="00086BF5">
        <w:t xml:space="preserve"> with respect to temperature for the TEG-water binary system</w:t>
      </w:r>
      <w:r w:rsidR="00E1772A">
        <w:t>, which is used in this work</w:t>
      </w:r>
      <w:r w:rsidR="00795D53" w:rsidRPr="00086BF5">
        <w:t>. For the CH</w:t>
      </w:r>
      <w:r w:rsidR="00795D53" w:rsidRPr="00086BF5">
        <w:rPr>
          <w:vertAlign w:val="subscript"/>
        </w:rPr>
        <w:t>4</w:t>
      </w:r>
      <w:r w:rsidR="00795D53" w:rsidRPr="00086BF5">
        <w:t>-water</w:t>
      </w:r>
      <w:r w:rsidR="00FD42B8" w:rsidRPr="00086BF5">
        <w:t xml:space="preserve"> </w:t>
      </w:r>
      <w:r w:rsidR="00795D53" w:rsidRPr="00086BF5">
        <w:t>and CH</w:t>
      </w:r>
      <w:r w:rsidR="00795D53" w:rsidRPr="00086BF5">
        <w:rPr>
          <w:vertAlign w:val="subscript"/>
        </w:rPr>
        <w:t>4</w:t>
      </w:r>
      <w:r w:rsidR="00795D53" w:rsidRPr="00086BF5">
        <w:t xml:space="preserve">-TEG binary systems, the binary interaction parameters </w:t>
      </w:r>
      <w:r w:rsidR="00E1772A">
        <w:t>were</w:t>
      </w:r>
      <w:r w:rsidR="00795D53" w:rsidRPr="00086BF5">
        <w:t xml:space="preserve"> obtained by regression </w:t>
      </w:r>
      <w:r w:rsidR="004C4FA1">
        <w:t>of</w:t>
      </w:r>
      <w:r w:rsidR="00795D53" w:rsidRPr="00086BF5">
        <w:t xml:space="preserve"> experimental data</w:t>
      </w:r>
      <w:r w:rsidR="004C4FA1">
        <w:t xml:space="preserve"> of solubility of CH</w:t>
      </w:r>
      <w:r w:rsidR="004C4FA1" w:rsidRPr="004C4FA1">
        <w:rPr>
          <w:vertAlign w:val="subscript"/>
        </w:rPr>
        <w:t>4</w:t>
      </w:r>
      <w:r w:rsidR="00795D53" w:rsidRPr="00086BF5">
        <w:t xml:space="preserve"> </w:t>
      </w:r>
      <w:r w:rsidRPr="00086BF5">
        <w:t>reported in previous works</w:t>
      </w:r>
      <w:r w:rsidR="00844885" w:rsidRPr="00086BF5">
        <w:t>, considering the minimization of the objective function (</w:t>
      </w:r>
      <w:r w:rsidR="00844885" w:rsidRPr="004C4FA1">
        <w:rPr>
          <w:rFonts w:ascii="Calibri" w:hAnsi="Calibri" w:cs="Calibri"/>
        </w:rPr>
        <w:t>φ</w:t>
      </w:r>
      <w:r w:rsidR="00844885" w:rsidRPr="00086BF5">
        <w:t>) presented in Eq(1)</w:t>
      </w:r>
      <w:r w:rsidR="00795D53" w:rsidRPr="00086BF5">
        <w:t xml:space="preserve">. </w:t>
      </w:r>
    </w:p>
    <w:tbl>
      <w:tblPr>
        <w:tblW w:w="5000" w:type="pct"/>
        <w:tblLook w:val="04A0" w:firstRow="1" w:lastRow="0" w:firstColumn="1" w:lastColumn="0" w:noHBand="0" w:noVBand="1"/>
      </w:tblPr>
      <w:tblGrid>
        <w:gridCol w:w="7986"/>
        <w:gridCol w:w="801"/>
      </w:tblGrid>
      <w:tr w:rsidR="00844885" w:rsidRPr="00086BF5" w14:paraId="14CF779E" w14:textId="77777777" w:rsidTr="00844885">
        <w:tc>
          <w:tcPr>
            <w:tcW w:w="7986" w:type="dxa"/>
            <w:shd w:val="clear" w:color="auto" w:fill="auto"/>
            <w:vAlign w:val="center"/>
          </w:tcPr>
          <w:p w14:paraId="544C6DEC" w14:textId="7F865A2D" w:rsidR="00844885" w:rsidRPr="00086BF5" w:rsidRDefault="00844885" w:rsidP="00152EC7">
            <w:pPr>
              <w:pStyle w:val="CETEquation"/>
              <w:rPr>
                <w:rFonts w:cs="Arial"/>
                <w:szCs w:val="18"/>
                <w:lang w:val="en-US"/>
              </w:rPr>
            </w:pPr>
            <m:oMathPara>
              <m:oMathParaPr>
                <m:jc m:val="left"/>
              </m:oMathParaPr>
              <m:oMath>
                <m:r>
                  <w:rPr>
                    <w:rFonts w:ascii="Cambria Math" w:hAnsi="Cambria Math" w:cs="Arial"/>
                    <w:szCs w:val="18"/>
                    <w:lang w:val="en-US"/>
                  </w:rPr>
                  <m:t xml:space="preserve">ϕ= </m:t>
                </m:r>
                <m:nary>
                  <m:naryPr>
                    <m:chr m:val="∑"/>
                    <m:limLoc m:val="undOvr"/>
                    <m:ctrlPr>
                      <w:rPr>
                        <w:rFonts w:ascii="Cambria Math" w:hAnsi="Cambria Math" w:cs="Arial"/>
                        <w:i/>
                        <w:szCs w:val="18"/>
                        <w:lang w:val="en-US"/>
                      </w:rPr>
                    </m:ctrlPr>
                  </m:naryPr>
                  <m:sub>
                    <m:r>
                      <w:rPr>
                        <w:rFonts w:ascii="Cambria Math" w:hAnsi="Cambria Math" w:cs="Arial"/>
                        <w:szCs w:val="18"/>
                        <w:lang w:val="en-US"/>
                      </w:rPr>
                      <m:t>i=1</m:t>
                    </m:r>
                  </m:sub>
                  <m:sup>
                    <m:r>
                      <w:rPr>
                        <w:rFonts w:ascii="Cambria Math" w:hAnsi="Cambria Math" w:cs="Arial"/>
                        <w:szCs w:val="18"/>
                        <w:lang w:val="en-US"/>
                      </w:rPr>
                      <m:t>N</m:t>
                    </m:r>
                  </m:sup>
                  <m:e>
                    <m:sSup>
                      <m:sSupPr>
                        <m:ctrlPr>
                          <w:rPr>
                            <w:rFonts w:ascii="Cambria Math" w:hAnsi="Cambria Math" w:cs="Arial"/>
                            <w:i/>
                            <w:szCs w:val="18"/>
                            <w:lang w:val="en-US"/>
                          </w:rPr>
                        </m:ctrlPr>
                      </m:sSupPr>
                      <m:e>
                        <m:sSub>
                          <m:sSubPr>
                            <m:ctrlPr>
                              <w:rPr>
                                <w:rFonts w:ascii="Cambria Math" w:hAnsi="Cambria Math" w:cs="Arial"/>
                                <w:i/>
                                <w:szCs w:val="18"/>
                                <w:lang w:val="en-US"/>
                              </w:rPr>
                            </m:ctrlPr>
                          </m:sSubPr>
                          <m:e>
                            <m:r>
                              <w:rPr>
                                <w:rFonts w:ascii="Cambria Math" w:hAnsi="Cambria Math" w:cs="Arial"/>
                                <w:szCs w:val="18"/>
                                <w:lang w:val="en-US"/>
                              </w:rPr>
                              <m:t>(</m:t>
                            </m:r>
                            <m:sSub>
                              <m:sSubPr>
                                <m:ctrlPr>
                                  <w:rPr>
                                    <w:rFonts w:ascii="Cambria Math" w:hAnsi="Cambria Math" w:cs="Arial"/>
                                    <w:i/>
                                    <w:szCs w:val="18"/>
                                    <w:lang w:val="en-US"/>
                                  </w:rPr>
                                </m:ctrlPr>
                              </m:sSubPr>
                              <m:e>
                                <m:r>
                                  <w:rPr>
                                    <w:rFonts w:ascii="Cambria Math" w:hAnsi="Cambria Math" w:cs="Arial"/>
                                    <w:szCs w:val="18"/>
                                    <w:lang w:val="en-US"/>
                                  </w:rPr>
                                  <m:t>x</m:t>
                                </m:r>
                              </m:e>
                              <m:sub>
                                <m:r>
                                  <w:rPr>
                                    <w:rFonts w:ascii="Cambria Math" w:hAnsi="Cambria Math" w:cs="Arial"/>
                                    <w:szCs w:val="18"/>
                                    <w:lang w:val="en-US"/>
                                  </w:rPr>
                                  <m:t>exp</m:t>
                                </m:r>
                              </m:sub>
                            </m:sSub>
                            <m:r>
                              <w:rPr>
                                <w:rFonts w:ascii="Cambria Math" w:hAnsi="Cambria Math" w:cs="Arial"/>
                                <w:szCs w:val="18"/>
                                <w:lang w:val="en-US"/>
                              </w:rPr>
                              <m:t>-</m:t>
                            </m:r>
                            <m:sSub>
                              <m:sSubPr>
                                <m:ctrlPr>
                                  <w:rPr>
                                    <w:rFonts w:ascii="Cambria Math" w:hAnsi="Cambria Math" w:cs="Arial"/>
                                    <w:i/>
                                    <w:szCs w:val="18"/>
                                    <w:lang w:val="en-US"/>
                                  </w:rPr>
                                </m:ctrlPr>
                              </m:sSubPr>
                              <m:e>
                                <m:r>
                                  <w:rPr>
                                    <w:rFonts w:ascii="Cambria Math" w:hAnsi="Cambria Math" w:cs="Arial"/>
                                    <w:szCs w:val="18"/>
                                    <w:lang w:val="en-US"/>
                                  </w:rPr>
                                  <m:t>x</m:t>
                                </m:r>
                              </m:e>
                              <m:sub>
                                <m:r>
                                  <w:rPr>
                                    <w:rFonts w:ascii="Cambria Math" w:hAnsi="Cambria Math" w:cs="Arial"/>
                                    <w:szCs w:val="18"/>
                                    <w:lang w:val="en-US"/>
                                  </w:rPr>
                                  <m:t>calc</m:t>
                                </m:r>
                              </m:sub>
                            </m:sSub>
                            <m:r>
                              <w:rPr>
                                <w:rFonts w:ascii="Cambria Math" w:hAnsi="Cambria Math" w:cs="Arial"/>
                                <w:szCs w:val="18"/>
                                <w:lang w:val="en-US"/>
                              </w:rPr>
                              <m:t>)</m:t>
                            </m:r>
                          </m:e>
                          <m:sub>
                            <m:r>
                              <w:rPr>
                                <w:rFonts w:ascii="Cambria Math" w:hAnsi="Cambria Math" w:cs="Arial"/>
                                <w:szCs w:val="18"/>
                                <w:lang w:val="en-US"/>
                              </w:rPr>
                              <m:t>i</m:t>
                            </m:r>
                          </m:sub>
                        </m:sSub>
                      </m:e>
                      <m:sup>
                        <m:r>
                          <w:rPr>
                            <w:rFonts w:ascii="Cambria Math" w:hAnsi="Cambria Math" w:cs="Arial"/>
                            <w:szCs w:val="18"/>
                            <w:lang w:val="en-US"/>
                          </w:rPr>
                          <m:t>2</m:t>
                        </m:r>
                      </m:sup>
                    </m:sSup>
                  </m:e>
                </m:nary>
              </m:oMath>
            </m:oMathPara>
          </w:p>
        </w:tc>
        <w:tc>
          <w:tcPr>
            <w:tcW w:w="801" w:type="dxa"/>
            <w:shd w:val="clear" w:color="auto" w:fill="auto"/>
            <w:vAlign w:val="center"/>
          </w:tcPr>
          <w:p w14:paraId="1321DAB1" w14:textId="77777777" w:rsidR="00844885" w:rsidRPr="00086BF5" w:rsidRDefault="00844885" w:rsidP="00152EC7">
            <w:pPr>
              <w:pStyle w:val="CETEquation"/>
              <w:jc w:val="right"/>
              <w:rPr>
                <w:rFonts w:cs="Arial"/>
                <w:szCs w:val="18"/>
                <w:lang w:val="en-US"/>
              </w:rPr>
            </w:pPr>
            <w:r w:rsidRPr="00086BF5">
              <w:rPr>
                <w:rFonts w:cs="Arial"/>
                <w:szCs w:val="18"/>
                <w:lang w:val="en-US"/>
              </w:rPr>
              <w:t>(1)</w:t>
            </w:r>
          </w:p>
        </w:tc>
      </w:tr>
    </w:tbl>
    <w:p w14:paraId="64F8D146" w14:textId="483CF361" w:rsidR="00844885" w:rsidRDefault="00E1772A" w:rsidP="006B10D3">
      <w:pPr>
        <w:pStyle w:val="CETBodytext"/>
      </w:pPr>
      <w:r>
        <w:t>w</w:t>
      </w:r>
      <w:r w:rsidR="00C101D1">
        <w:t xml:space="preserve">here, </w:t>
      </w:r>
      <m:oMath>
        <m:sSub>
          <m:sSubPr>
            <m:ctrlPr>
              <w:rPr>
                <w:rFonts w:ascii="Cambria Math" w:hAnsi="Cambria Math"/>
                <w:i/>
              </w:rPr>
            </m:ctrlPr>
          </m:sSubPr>
          <m:e>
            <m:r>
              <w:rPr>
                <w:rFonts w:ascii="Cambria Math" w:hAnsi="Cambria Math"/>
              </w:rPr>
              <m:t>x</m:t>
            </m:r>
          </m:e>
          <m:sub>
            <m:r>
              <w:rPr>
                <w:rFonts w:ascii="Cambria Math" w:hAnsi="Cambria Math"/>
              </w:rPr>
              <m:t>exp</m:t>
            </m:r>
          </m:sub>
        </m:sSub>
      </m:oMath>
      <w:r w:rsidR="00051BFD">
        <w:t xml:space="preserve"> </w:t>
      </w:r>
      <w:r w:rsidR="004C4FA1">
        <w:t xml:space="preserve"> and </w:t>
      </w:r>
      <m:oMath>
        <m:sSub>
          <m:sSubPr>
            <m:ctrlPr>
              <w:rPr>
                <w:rFonts w:ascii="Cambria Math" w:hAnsi="Cambria Math"/>
                <w:i/>
              </w:rPr>
            </m:ctrlPr>
          </m:sSubPr>
          <m:e>
            <m:r>
              <w:rPr>
                <w:rFonts w:ascii="Cambria Math" w:hAnsi="Cambria Math"/>
              </w:rPr>
              <m:t>x</m:t>
            </m:r>
          </m:e>
          <m:sub>
            <m:r>
              <w:rPr>
                <w:rFonts w:ascii="Cambria Math" w:hAnsi="Cambria Math"/>
              </w:rPr>
              <m:t>calc</m:t>
            </m:r>
          </m:sub>
        </m:sSub>
      </m:oMath>
      <w:r w:rsidR="004C4FA1">
        <w:t xml:space="preserve"> are the</w:t>
      </w:r>
      <w:r w:rsidR="002F6D28">
        <w:t xml:space="preserve"> experimental</w:t>
      </w:r>
      <w:r w:rsidR="004C4FA1">
        <w:t xml:space="preserve"> and calculated</w:t>
      </w:r>
      <w:r w:rsidR="002F6D28">
        <w:t xml:space="preserve"> mole fraction</w:t>
      </w:r>
      <w:r w:rsidR="004C4FA1">
        <w:t>s of CH</w:t>
      </w:r>
      <w:r w:rsidR="004C4FA1" w:rsidRPr="004C4FA1">
        <w:rPr>
          <w:vertAlign w:val="subscript"/>
        </w:rPr>
        <w:t>4</w:t>
      </w:r>
      <w:r w:rsidR="002F6D28">
        <w:t xml:space="preserve"> in the liquid phase</w:t>
      </w:r>
      <w:r w:rsidR="004C4FA1">
        <w:t xml:space="preserve">, respectively; </w:t>
      </w:r>
      <w:r w:rsidR="002F6D28">
        <w:t xml:space="preserve">the subscript </w:t>
      </w:r>
      <m:oMath>
        <m:r>
          <w:rPr>
            <w:rFonts w:ascii="Cambria Math" w:hAnsi="Cambria Math"/>
          </w:rPr>
          <m:t>i</m:t>
        </m:r>
      </m:oMath>
      <w:r w:rsidR="002F6D28">
        <w:t xml:space="preserve"> </w:t>
      </w:r>
      <w:r w:rsidR="004C4FA1">
        <w:t>stands for the i-th experimental data</w:t>
      </w:r>
      <w:r w:rsidR="0093445C">
        <w:t xml:space="preserve">, </w:t>
      </w:r>
      <w:r w:rsidR="004C4FA1">
        <w:t xml:space="preserve">while </w:t>
      </w:r>
      <m:oMath>
        <m:r>
          <w:rPr>
            <w:rFonts w:ascii="Cambria Math" w:hAnsi="Cambria Math"/>
          </w:rPr>
          <m:t>N</m:t>
        </m:r>
      </m:oMath>
      <w:r w:rsidR="002F6D28">
        <w:t xml:space="preserve"> </w:t>
      </w:r>
      <w:r w:rsidR="004C4FA1">
        <w:t>represents</w:t>
      </w:r>
      <w:r w:rsidR="002F6D28">
        <w:t xml:space="preserve"> the total number of experimental </w:t>
      </w:r>
      <w:r w:rsidR="0093445C">
        <w:t>data</w:t>
      </w:r>
      <w:r w:rsidR="002F6D28">
        <w:t xml:space="preserve">. </w:t>
      </w:r>
    </w:p>
    <w:p w14:paraId="3F384EE4" w14:textId="67730F9C" w:rsidR="00FD42B8" w:rsidRPr="00086BF5" w:rsidRDefault="00795D53" w:rsidP="006B10D3">
      <w:pPr>
        <w:pStyle w:val="CETBodytext"/>
      </w:pPr>
      <w:r w:rsidRPr="00086BF5">
        <w:t>For the system CH</w:t>
      </w:r>
      <w:r w:rsidRPr="00086BF5">
        <w:rPr>
          <w:vertAlign w:val="subscript"/>
        </w:rPr>
        <w:t>4</w:t>
      </w:r>
      <w:r w:rsidRPr="00086BF5">
        <w:t xml:space="preserve">-TEG, </w:t>
      </w:r>
      <w:r w:rsidR="00AC7F87" w:rsidRPr="00086BF5">
        <w:t xml:space="preserve">Jou et al. </w:t>
      </w:r>
      <w:r w:rsidRPr="00086BF5">
        <w:t>(</w:t>
      </w:r>
      <w:r w:rsidR="00AC7F87" w:rsidRPr="00086BF5">
        <w:t>1987</w:t>
      </w:r>
      <w:r w:rsidRPr="00086BF5">
        <w:t>)</w:t>
      </w:r>
      <w:r w:rsidR="00AC7F87" w:rsidRPr="00086BF5">
        <w:t xml:space="preserve"> </w:t>
      </w:r>
      <w:r w:rsidRPr="00086BF5">
        <w:t>report</w:t>
      </w:r>
      <w:r w:rsidR="00E1772A">
        <w:t>ed</w:t>
      </w:r>
      <w:r w:rsidRPr="00086BF5">
        <w:t xml:space="preserve"> </w:t>
      </w:r>
      <w:r w:rsidR="00FD42B8" w:rsidRPr="00086BF5">
        <w:t>several</w:t>
      </w:r>
      <w:r w:rsidRPr="00086BF5">
        <w:t xml:space="preserve"> T-P-x experimental data for different values of temperature</w:t>
      </w:r>
      <w:r w:rsidR="00FD42B8" w:rsidRPr="00086BF5">
        <w:t xml:space="preserve"> ranging from 298.15 to 398.15 K</w:t>
      </w:r>
      <w:r w:rsidR="00402ABB">
        <w:t xml:space="preserve"> and pressures up to 20 MPa</w:t>
      </w:r>
      <w:r w:rsidRPr="00086BF5">
        <w:t xml:space="preserve">. </w:t>
      </w:r>
      <w:r w:rsidR="00E1772A">
        <w:t>Regarding</w:t>
      </w:r>
      <w:r w:rsidR="00FD42B8" w:rsidRPr="00086BF5">
        <w:t xml:space="preserve"> the system CH</w:t>
      </w:r>
      <w:r w:rsidR="00FD42B8" w:rsidRPr="00086BF5">
        <w:rPr>
          <w:vertAlign w:val="subscript"/>
        </w:rPr>
        <w:t>4</w:t>
      </w:r>
      <w:r w:rsidR="00FD42B8" w:rsidRPr="00086BF5">
        <w:t xml:space="preserve">-water, two sets of experimental data </w:t>
      </w:r>
      <w:r w:rsidR="00E1772A">
        <w:t>were</w:t>
      </w:r>
      <w:r w:rsidR="00844885" w:rsidRPr="00086BF5">
        <w:t xml:space="preserve"> </w:t>
      </w:r>
      <w:r w:rsidR="00086BF5" w:rsidRPr="00086BF5">
        <w:t>analyzed</w:t>
      </w:r>
      <w:r w:rsidR="00844885" w:rsidRPr="00086BF5">
        <w:t xml:space="preserve">. </w:t>
      </w:r>
      <w:r w:rsidR="005C2931">
        <w:t xml:space="preserve">The first set </w:t>
      </w:r>
      <w:r w:rsidR="000F316E">
        <w:t xml:space="preserve">comprises </w:t>
      </w:r>
      <w:r w:rsidR="005C2931">
        <w:t xml:space="preserve">the values reported </w:t>
      </w:r>
      <w:r w:rsidR="000F316E">
        <w:t>by</w:t>
      </w:r>
      <w:r w:rsidR="005C2931">
        <w:t xml:space="preserve"> </w:t>
      </w:r>
      <w:r w:rsidR="00844885" w:rsidRPr="00086BF5">
        <w:t>Chapoy et al. (2004)</w:t>
      </w:r>
      <w:r w:rsidR="00E1772A">
        <w:t>,</w:t>
      </w:r>
      <w:r w:rsidR="00844885" w:rsidRPr="00086BF5">
        <w:t xml:space="preserve"> </w:t>
      </w:r>
      <w:r w:rsidR="000F316E">
        <w:t xml:space="preserve">who </w:t>
      </w:r>
      <w:r w:rsidR="00844885" w:rsidRPr="00086BF5">
        <w:t>report</w:t>
      </w:r>
      <w:r w:rsidR="00373041">
        <w:t>ed</w:t>
      </w:r>
      <w:r w:rsidR="00844885" w:rsidRPr="00086BF5">
        <w:t xml:space="preserve"> several T-P-x experimental data at low temperatures ranging from 275.11 to 313.11 K</w:t>
      </w:r>
      <w:r w:rsidR="00720C5A">
        <w:t xml:space="preserve"> and pressures up to 18 MPa</w:t>
      </w:r>
      <w:r w:rsidR="0093445C">
        <w:t>.</w:t>
      </w:r>
      <w:r w:rsidR="00FD51BB" w:rsidRPr="00086BF5">
        <w:t xml:space="preserve"> </w:t>
      </w:r>
      <w:r w:rsidR="0093445C">
        <w:t>The second set of experimental data</w:t>
      </w:r>
      <w:r w:rsidR="0093445C" w:rsidRPr="00086BF5">
        <w:t xml:space="preserve"> </w:t>
      </w:r>
      <w:r w:rsidR="0093445C">
        <w:t>comprises</w:t>
      </w:r>
      <w:r w:rsidR="00FD51BB" w:rsidRPr="00086BF5">
        <w:t xml:space="preserve"> </w:t>
      </w:r>
      <w:r w:rsidR="00844885" w:rsidRPr="00086BF5">
        <w:t xml:space="preserve">the experimental T-P-x values reported </w:t>
      </w:r>
      <w:r w:rsidR="005B0832">
        <w:t>by</w:t>
      </w:r>
      <w:r w:rsidR="00844885" w:rsidRPr="00086BF5">
        <w:t xml:space="preserve"> Culberson and McKetta (1951)</w:t>
      </w:r>
      <w:r w:rsidR="0093445C">
        <w:t>, which</w:t>
      </w:r>
      <w:r w:rsidR="00844885" w:rsidRPr="00086BF5">
        <w:t xml:space="preserve"> correspond</w:t>
      </w:r>
      <w:r w:rsidR="0093445C">
        <w:t>s</w:t>
      </w:r>
      <w:r w:rsidR="00844885" w:rsidRPr="00086BF5">
        <w:t xml:space="preserve"> to measurements</w:t>
      </w:r>
      <w:r w:rsidR="005C2931">
        <w:t xml:space="preserve"> at temperatures from 298.15 to 410.93 K and </w:t>
      </w:r>
      <w:r w:rsidR="00844885" w:rsidRPr="00086BF5">
        <w:t>pressures up to</w:t>
      </w:r>
      <w:r w:rsidR="00E81AEC">
        <w:t xml:space="preserve"> 68.95 MPa</w:t>
      </w:r>
      <w:r w:rsidR="00844885" w:rsidRPr="00086BF5">
        <w:t>.</w:t>
      </w:r>
      <w:r w:rsidR="00FD51BB" w:rsidRPr="00086BF5">
        <w:t xml:space="preserve"> </w:t>
      </w:r>
      <w:r w:rsidR="00FD51BB" w:rsidRPr="00720C5A">
        <w:t>After minimization of the objective function of each set of data</w:t>
      </w:r>
      <w:r w:rsidR="000F316E" w:rsidRPr="00720C5A">
        <w:t xml:space="preserve"> for the system CH</w:t>
      </w:r>
      <w:r w:rsidR="000F316E" w:rsidRPr="00720C5A">
        <w:rPr>
          <w:vertAlign w:val="subscript"/>
        </w:rPr>
        <w:t>4</w:t>
      </w:r>
      <w:r w:rsidR="000F316E" w:rsidRPr="00720C5A">
        <w:t>-water</w:t>
      </w:r>
      <w:r w:rsidR="00FD51BB" w:rsidRPr="00720C5A">
        <w:t xml:space="preserve">, the values of the calculated </w:t>
      </w:r>
      <w:r w:rsidR="00FD51BB" w:rsidRPr="00720C5A">
        <w:rPr>
          <w:rFonts w:ascii="Calibri" w:hAnsi="Calibri" w:cs="Calibri"/>
        </w:rPr>
        <w:t>κ</w:t>
      </w:r>
      <w:r w:rsidR="00FD51BB" w:rsidRPr="00720C5A">
        <w:rPr>
          <w:vertAlign w:val="subscript"/>
        </w:rPr>
        <w:t>12</w:t>
      </w:r>
      <w:r w:rsidR="00FD51BB" w:rsidRPr="00720C5A">
        <w:t xml:space="preserve"> were very close</w:t>
      </w:r>
      <w:r w:rsidR="00720C5A" w:rsidRPr="00720C5A">
        <w:t>,</w:t>
      </w:r>
      <w:r w:rsidR="00FD51BB" w:rsidRPr="00720C5A">
        <w:t xml:space="preserve"> leading to negl</w:t>
      </w:r>
      <w:r w:rsidR="00720C5A" w:rsidRPr="00720C5A">
        <w:t>ect</w:t>
      </w:r>
      <w:r w:rsidR="00FD51BB" w:rsidRPr="00720C5A">
        <w:t xml:space="preserve"> the overall effect of such difference</w:t>
      </w:r>
      <w:r w:rsidR="00720C5A">
        <w:t xml:space="preserve"> and </w:t>
      </w:r>
      <w:r w:rsidR="002B74CF">
        <w:t>consider</w:t>
      </w:r>
      <w:r w:rsidR="00720C5A">
        <w:t xml:space="preserve"> the results obtained with the experimental values from Culberson and McKetta</w:t>
      </w:r>
      <w:bookmarkStart w:id="0" w:name="_GoBack"/>
      <w:bookmarkEnd w:id="0"/>
      <w:r w:rsidR="00720C5A">
        <w:t xml:space="preserve"> (1951)</w:t>
      </w:r>
      <w:r w:rsidR="00FD51BB" w:rsidRPr="00720C5A">
        <w:t xml:space="preserve">. </w:t>
      </w:r>
      <w:r w:rsidR="00720C5A">
        <w:t>As a result</w:t>
      </w:r>
      <w:r w:rsidR="00720C5A" w:rsidRPr="00720C5A">
        <w:t>, a linear relation of</w:t>
      </w:r>
      <w:r w:rsidR="00720C5A" w:rsidRPr="00720C5A">
        <w:rPr>
          <w:vertAlign w:val="subscript"/>
        </w:rPr>
        <w:t xml:space="preserve"> </w:t>
      </w:r>
      <w:r w:rsidR="00720C5A" w:rsidRPr="00720C5A">
        <w:rPr>
          <w:rFonts w:ascii="Calibri" w:hAnsi="Calibri" w:cs="Calibri"/>
        </w:rPr>
        <w:t>κ</w:t>
      </w:r>
      <w:r w:rsidR="00720C5A" w:rsidRPr="00720C5A">
        <w:rPr>
          <w:vertAlign w:val="subscript"/>
        </w:rPr>
        <w:t>12</w:t>
      </w:r>
      <w:r w:rsidR="00720C5A" w:rsidRPr="00720C5A">
        <w:t xml:space="preserve"> with temperature f</w:t>
      </w:r>
      <w:r w:rsidR="00FD51BB" w:rsidRPr="00720C5A">
        <w:t xml:space="preserve">or </w:t>
      </w:r>
      <w:r w:rsidR="00720C5A" w:rsidRPr="00720C5A">
        <w:t>the</w:t>
      </w:r>
      <w:r w:rsidR="00FD51BB" w:rsidRPr="00720C5A">
        <w:t xml:space="preserve"> binary systems CH</w:t>
      </w:r>
      <w:r w:rsidR="00FD51BB" w:rsidRPr="00720C5A">
        <w:rPr>
          <w:vertAlign w:val="subscript"/>
        </w:rPr>
        <w:t>4</w:t>
      </w:r>
      <w:r w:rsidR="00FD51BB" w:rsidRPr="00720C5A">
        <w:t>-TEG and CH</w:t>
      </w:r>
      <w:r w:rsidR="00FD51BB" w:rsidRPr="00720C5A">
        <w:rPr>
          <w:vertAlign w:val="subscript"/>
        </w:rPr>
        <w:t>4</w:t>
      </w:r>
      <w:r w:rsidR="00FD51BB" w:rsidRPr="00720C5A">
        <w:t>-water is found</w:t>
      </w:r>
      <w:r w:rsidR="00E81AEC">
        <w:t xml:space="preserve">, with and average absolute deviation (AAD) of </w:t>
      </w:r>
      <w:r w:rsidR="00E1772A">
        <w:t>0.00</w:t>
      </w:r>
      <w:r w:rsidR="00E81AEC">
        <w:t xml:space="preserve">21 and </w:t>
      </w:r>
      <w:r w:rsidR="00E1772A">
        <w:t>0.0000</w:t>
      </w:r>
      <w:r w:rsidR="00E81AEC">
        <w:t xml:space="preserve">85, respectively. </w:t>
      </w:r>
      <w:r w:rsidR="00FD51BB" w:rsidRPr="00720C5A">
        <w:t xml:space="preserve"> The values of the </w:t>
      </w:r>
      <w:r w:rsidR="009B5F7B" w:rsidRPr="00720C5A">
        <w:t>binary interaction parameters</w:t>
      </w:r>
      <w:r w:rsidR="00FD51BB" w:rsidRPr="00720C5A">
        <w:t xml:space="preserve"> for the ternary system considered for modeling the Coldfinger water exhauster are summarized in Table 2.</w:t>
      </w:r>
    </w:p>
    <w:p w14:paraId="71FFC1EA" w14:textId="2E15E040" w:rsidR="00FD51BB" w:rsidRDefault="00FD51BB" w:rsidP="00FD51BB">
      <w:pPr>
        <w:pStyle w:val="CETTabletitle"/>
        <w:rPr>
          <w:lang w:val="en-US"/>
        </w:rPr>
      </w:pPr>
      <w:r w:rsidRPr="00086BF5">
        <w:rPr>
          <w:lang w:val="en-US"/>
        </w:rPr>
        <w:t xml:space="preserve">Table 2: </w:t>
      </w:r>
      <w:r w:rsidR="00600E20">
        <w:rPr>
          <w:lang w:val="en-US"/>
        </w:rPr>
        <w:t>Functions of the binary interaction parameters</w:t>
      </w:r>
      <w:r w:rsidR="00E81AEC">
        <w:rPr>
          <w:lang w:val="en-US"/>
        </w:rPr>
        <w:t xml:space="preserve"> </w:t>
      </w:r>
      <w:r w:rsidRPr="00086BF5">
        <w:rPr>
          <w:lang w:val="en-US"/>
        </w:rPr>
        <w:t>for the CH</w:t>
      </w:r>
      <w:r w:rsidRPr="00086BF5">
        <w:rPr>
          <w:vertAlign w:val="subscript"/>
          <w:lang w:val="en-US"/>
        </w:rPr>
        <w:t xml:space="preserve">4 </w:t>
      </w:r>
      <w:r w:rsidRPr="00086BF5">
        <w:rPr>
          <w:lang w:val="en-US"/>
        </w:rPr>
        <w:t>-water-TEG</w:t>
      </w:r>
      <w:r w:rsidR="009B5F7B">
        <w:rPr>
          <w:lang w:val="en-US"/>
        </w:rPr>
        <w:t xml:space="preserve"> </w:t>
      </w:r>
      <w:r w:rsidRPr="00086BF5">
        <w:rPr>
          <w:lang w:val="en-US"/>
        </w:rPr>
        <w:t>system</w:t>
      </w:r>
      <w:r w:rsidR="005C2931">
        <w:rPr>
          <w:lang w:val="en-US"/>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60"/>
        <w:gridCol w:w="2790"/>
      </w:tblGrid>
      <w:tr w:rsidR="00E81AEC" w:rsidRPr="00086BF5" w14:paraId="07D022DD" w14:textId="77777777" w:rsidTr="002B74CF">
        <w:trPr>
          <w:trHeight w:val="418"/>
        </w:trPr>
        <w:tc>
          <w:tcPr>
            <w:tcW w:w="2160" w:type="dxa"/>
            <w:tcBorders>
              <w:top w:val="single" w:sz="12" w:space="0" w:color="008000"/>
              <w:bottom w:val="single" w:sz="6" w:space="0" w:color="008000"/>
            </w:tcBorders>
            <w:shd w:val="clear" w:color="auto" w:fill="FFFFFF"/>
            <w:vAlign w:val="center"/>
          </w:tcPr>
          <w:p w14:paraId="2FD9345C" w14:textId="63C0A7DC" w:rsidR="00E81AEC" w:rsidRPr="00086BF5" w:rsidRDefault="00E81AEC" w:rsidP="00781AF9">
            <w:pPr>
              <w:pStyle w:val="CETBodytext"/>
              <w:jc w:val="left"/>
            </w:pPr>
            <w:r>
              <w:t>Binary System</w:t>
            </w:r>
            <w:r w:rsidRPr="00086BF5">
              <w:t xml:space="preserve"> </w:t>
            </w:r>
          </w:p>
        </w:tc>
        <w:tc>
          <w:tcPr>
            <w:tcW w:w="2790" w:type="dxa"/>
            <w:tcBorders>
              <w:top w:val="single" w:sz="12" w:space="0" w:color="008000"/>
              <w:bottom w:val="single" w:sz="6" w:space="0" w:color="008000"/>
            </w:tcBorders>
            <w:shd w:val="clear" w:color="auto" w:fill="FFFFFF"/>
            <w:vAlign w:val="center"/>
          </w:tcPr>
          <w:p w14:paraId="3ABA8B4F" w14:textId="16C9E41E" w:rsidR="00E81AEC" w:rsidRPr="00086BF5" w:rsidRDefault="00E81AEC" w:rsidP="00781AF9">
            <w:pPr>
              <w:pStyle w:val="CETBodytext"/>
              <w:jc w:val="left"/>
            </w:pPr>
            <w:r w:rsidRPr="002B74CF">
              <w:t>κ</w:t>
            </w:r>
            <w:r w:rsidRPr="00E1772A">
              <w:rPr>
                <w:vertAlign w:val="subscript"/>
              </w:rPr>
              <w:t>12</w:t>
            </w:r>
            <w:r w:rsidRPr="00086BF5">
              <w:t>(T)</w:t>
            </w:r>
          </w:p>
        </w:tc>
      </w:tr>
      <w:tr w:rsidR="00E81AEC" w:rsidRPr="00086BF5" w14:paraId="0660B685" w14:textId="77777777" w:rsidTr="002B74CF">
        <w:trPr>
          <w:trHeight w:val="218"/>
        </w:trPr>
        <w:tc>
          <w:tcPr>
            <w:tcW w:w="2160" w:type="dxa"/>
            <w:shd w:val="clear" w:color="auto" w:fill="FFFFFF"/>
            <w:vAlign w:val="center"/>
          </w:tcPr>
          <w:p w14:paraId="56D61F52" w14:textId="464AF399" w:rsidR="00E81AEC" w:rsidRPr="00086BF5" w:rsidRDefault="00E81AEC" w:rsidP="002B74CF">
            <w:pPr>
              <w:pStyle w:val="CETBodytext"/>
              <w:jc w:val="left"/>
            </w:pPr>
            <w:r w:rsidRPr="00086BF5">
              <w:t>CH</w:t>
            </w:r>
            <w:r w:rsidRPr="00086BF5">
              <w:rPr>
                <w:vertAlign w:val="subscript"/>
              </w:rPr>
              <w:t>4</w:t>
            </w:r>
            <w:r w:rsidRPr="00086BF5">
              <w:t>-water</w:t>
            </w:r>
          </w:p>
        </w:tc>
        <w:tc>
          <w:tcPr>
            <w:tcW w:w="2790" w:type="dxa"/>
            <w:shd w:val="clear" w:color="auto" w:fill="FFFFFF"/>
            <w:vAlign w:val="center"/>
          </w:tcPr>
          <w:p w14:paraId="6F7C7EFA" w14:textId="58D2BDF6" w:rsidR="00E81AEC" w:rsidRPr="00086BF5" w:rsidRDefault="00E81AEC" w:rsidP="002B74CF">
            <w:pPr>
              <w:pStyle w:val="CETBodytext"/>
              <w:jc w:val="left"/>
            </w:pPr>
            <w:r w:rsidRPr="00086BF5">
              <w:t>k(T) = 0.0025</w:t>
            </w:r>
            <w:r>
              <w:t>1</w:t>
            </w:r>
            <w:r w:rsidRPr="00086BF5">
              <w:t xml:space="preserve"> T</w:t>
            </w:r>
            <w:r>
              <w:t xml:space="preserve"> – </w:t>
            </w:r>
            <w:r w:rsidRPr="00086BF5">
              <w:t>1.0</w:t>
            </w:r>
            <w:r>
              <w:t>5038</w:t>
            </w:r>
          </w:p>
        </w:tc>
      </w:tr>
      <w:tr w:rsidR="00E81AEC" w:rsidRPr="00086BF5" w14:paraId="252132BD" w14:textId="77777777" w:rsidTr="002B74CF">
        <w:trPr>
          <w:trHeight w:val="208"/>
        </w:trPr>
        <w:tc>
          <w:tcPr>
            <w:tcW w:w="2160" w:type="dxa"/>
            <w:shd w:val="clear" w:color="auto" w:fill="FFFFFF"/>
            <w:vAlign w:val="center"/>
          </w:tcPr>
          <w:p w14:paraId="4746B41A" w14:textId="7ED30812" w:rsidR="00E81AEC" w:rsidRPr="00086BF5" w:rsidRDefault="00E81AEC" w:rsidP="002B74CF">
            <w:pPr>
              <w:pStyle w:val="CETBodytext"/>
              <w:ind w:right="-1"/>
              <w:jc w:val="left"/>
              <w:rPr>
                <w:rFonts w:cs="Arial"/>
                <w:szCs w:val="18"/>
              </w:rPr>
            </w:pPr>
            <w:r w:rsidRPr="00086BF5">
              <w:t>CH</w:t>
            </w:r>
            <w:r w:rsidRPr="00086BF5">
              <w:rPr>
                <w:vertAlign w:val="subscript"/>
              </w:rPr>
              <w:t>4</w:t>
            </w:r>
            <w:r w:rsidRPr="00086BF5">
              <w:t>-TEG</w:t>
            </w:r>
          </w:p>
        </w:tc>
        <w:tc>
          <w:tcPr>
            <w:tcW w:w="2790" w:type="dxa"/>
            <w:shd w:val="clear" w:color="auto" w:fill="FFFFFF"/>
            <w:vAlign w:val="center"/>
          </w:tcPr>
          <w:p w14:paraId="7E783497" w14:textId="5F3F1A41" w:rsidR="00E81AEC" w:rsidRPr="00086BF5" w:rsidRDefault="00E81AEC" w:rsidP="002B74CF">
            <w:pPr>
              <w:pStyle w:val="CETBodytext"/>
              <w:ind w:right="-1"/>
              <w:jc w:val="left"/>
              <w:rPr>
                <w:rFonts w:cs="Arial"/>
                <w:szCs w:val="18"/>
              </w:rPr>
            </w:pPr>
            <w:r w:rsidRPr="00086BF5">
              <w:t>k(T) = 0.00030 T + 0.</w:t>
            </w:r>
            <w:r>
              <w:t>1328</w:t>
            </w:r>
          </w:p>
        </w:tc>
      </w:tr>
      <w:tr w:rsidR="00E81AEC" w:rsidRPr="00086BF5" w14:paraId="67A7A8C9" w14:textId="77777777" w:rsidTr="002B74CF">
        <w:trPr>
          <w:trHeight w:val="208"/>
        </w:trPr>
        <w:tc>
          <w:tcPr>
            <w:tcW w:w="2160" w:type="dxa"/>
            <w:shd w:val="clear" w:color="auto" w:fill="FFFFFF"/>
            <w:vAlign w:val="center"/>
          </w:tcPr>
          <w:p w14:paraId="05A43C6E" w14:textId="5FC923B8" w:rsidR="00E81AEC" w:rsidRPr="00086BF5" w:rsidRDefault="00E81AEC" w:rsidP="002B74CF">
            <w:pPr>
              <w:pStyle w:val="CETBodytext"/>
              <w:ind w:right="-1"/>
              <w:jc w:val="left"/>
              <w:rPr>
                <w:rFonts w:cs="Arial"/>
                <w:szCs w:val="18"/>
              </w:rPr>
            </w:pPr>
            <w:r w:rsidRPr="00086BF5">
              <w:rPr>
                <w:rFonts w:cs="Arial"/>
                <w:szCs w:val="18"/>
              </w:rPr>
              <w:t>TEG-water</w:t>
            </w:r>
          </w:p>
        </w:tc>
        <w:tc>
          <w:tcPr>
            <w:tcW w:w="2790" w:type="dxa"/>
            <w:shd w:val="clear" w:color="auto" w:fill="FFFFFF"/>
            <w:vAlign w:val="center"/>
          </w:tcPr>
          <w:p w14:paraId="08AEEB2E" w14:textId="4CF49BF7" w:rsidR="00E81AEC" w:rsidRPr="00086BF5" w:rsidRDefault="00E81AEC" w:rsidP="002B74CF">
            <w:pPr>
              <w:pStyle w:val="CETBodytext"/>
              <w:ind w:right="-1"/>
              <w:jc w:val="left"/>
              <w:rPr>
                <w:rFonts w:cs="Arial"/>
                <w:szCs w:val="18"/>
              </w:rPr>
            </w:pPr>
            <w:r w:rsidRPr="00086BF5">
              <w:t>k(T) = 0.000482 T – 0.3935</w:t>
            </w:r>
          </w:p>
        </w:tc>
      </w:tr>
    </w:tbl>
    <w:p w14:paraId="0503B793" w14:textId="4993FAB2" w:rsidR="009B5F7B" w:rsidRDefault="009B5F7B" w:rsidP="009B5F7B">
      <w:pPr>
        <w:pStyle w:val="CETBodytext"/>
        <w:rPr>
          <w:sz w:val="16"/>
        </w:rPr>
      </w:pPr>
      <w:r w:rsidRPr="009B5F7B">
        <w:rPr>
          <w:sz w:val="16"/>
        </w:rPr>
        <w:t>Temperature in K.</w:t>
      </w:r>
    </w:p>
    <w:p w14:paraId="4D0552A9" w14:textId="6040E89F" w:rsidR="00FE69FD" w:rsidRDefault="00FE69FD" w:rsidP="009B5F7B">
      <w:pPr>
        <w:pStyle w:val="CETBodytext"/>
        <w:rPr>
          <w:sz w:val="16"/>
        </w:rPr>
      </w:pPr>
    </w:p>
    <w:p w14:paraId="352903B0" w14:textId="1B3835DB" w:rsidR="00FE69FD" w:rsidRDefault="00FE69FD" w:rsidP="00EB10C7">
      <w:pPr>
        <w:pStyle w:val="CETBodytext"/>
      </w:pPr>
      <w:r w:rsidRPr="00EB10C7">
        <w:t xml:space="preserve">With the selected thermodynamic model for the system TEG-water, the </w:t>
      </w:r>
      <w:r w:rsidR="002F3413" w:rsidRPr="00EB10C7">
        <w:t xml:space="preserve">calculated </w:t>
      </w:r>
      <w:r w:rsidRPr="00EB10C7">
        <w:t xml:space="preserve">TEG purity of the liquid leaving the reboiler (and entering the bottom section of the Coldfinger) at 204 °C and atmospheric pressure </w:t>
      </w:r>
      <w:r w:rsidR="002F3413" w:rsidRPr="00EB10C7">
        <w:t>is</w:t>
      </w:r>
      <w:r w:rsidRPr="00EB10C7">
        <w:t xml:space="preserve"> 9</w:t>
      </w:r>
      <w:r w:rsidR="00353DE0">
        <w:t>9</w:t>
      </w:r>
      <w:r w:rsidR="00E1772A">
        <w:t>.0</w:t>
      </w:r>
      <w:r w:rsidRPr="00EB10C7">
        <w:t xml:space="preserve"> wt.%, which is </w:t>
      </w:r>
      <w:r w:rsidR="00353DE0">
        <w:t>in line</w:t>
      </w:r>
      <w:r w:rsidRPr="00EB10C7">
        <w:t xml:space="preserve"> </w:t>
      </w:r>
      <w:r w:rsidR="00353DE0">
        <w:t>with</w:t>
      </w:r>
      <w:r w:rsidRPr="00EB10C7">
        <w:t xml:space="preserve"> the v</w:t>
      </w:r>
      <w:r w:rsidR="002F3413" w:rsidRPr="00EB10C7">
        <w:t>alue</w:t>
      </w:r>
      <w:r w:rsidRPr="00EB10C7">
        <w:t xml:space="preserve"> </w:t>
      </w:r>
      <w:r w:rsidR="002F3413" w:rsidRPr="00EB10C7">
        <w:t xml:space="preserve">of TEG purity </w:t>
      </w:r>
      <w:r w:rsidR="002F3413" w:rsidRPr="006C7D1C">
        <w:t>typically obtained in the Oil &amp; Gas industry</w:t>
      </w:r>
      <w:r w:rsidR="00812EA2" w:rsidRPr="006C7D1C">
        <w:t>, corresponding to 98</w:t>
      </w:r>
      <w:r w:rsidR="00353DE0">
        <w:t>.7-99</w:t>
      </w:r>
      <w:r w:rsidR="00E1772A">
        <w:t xml:space="preserve">.0 </w:t>
      </w:r>
      <w:r w:rsidR="00812EA2" w:rsidRPr="006C7D1C">
        <w:t>wt.%</w:t>
      </w:r>
      <w:r w:rsidR="00F64D9F">
        <w:t xml:space="preserve"> (</w:t>
      </w:r>
      <w:r w:rsidR="00353DE0">
        <w:t>GPSA</w:t>
      </w:r>
      <w:r w:rsidR="00F64D9F">
        <w:t>, 2</w:t>
      </w:r>
      <w:r w:rsidR="00353DE0">
        <w:t>012</w:t>
      </w:r>
      <w:r w:rsidR="00F64D9F">
        <w:t>)</w:t>
      </w:r>
      <w:r w:rsidR="00812EA2" w:rsidRPr="006C7D1C">
        <w:t>.</w:t>
      </w:r>
    </w:p>
    <w:p w14:paraId="5676C31C" w14:textId="2527FDFD" w:rsidR="00600D08" w:rsidRDefault="00600D08" w:rsidP="00EB10C7">
      <w:pPr>
        <w:pStyle w:val="CETBodytext"/>
      </w:pPr>
    </w:p>
    <w:p w14:paraId="0A478D35" w14:textId="7600E9DD" w:rsidR="00600D08" w:rsidRDefault="00600D08" w:rsidP="00EB10C7">
      <w:pPr>
        <w:pStyle w:val="CETBodytext"/>
      </w:pPr>
    </w:p>
    <w:p w14:paraId="1C18CBA8" w14:textId="77777777" w:rsidR="00600D08" w:rsidRDefault="00600D08" w:rsidP="00EB10C7">
      <w:pPr>
        <w:pStyle w:val="CETBodytext"/>
      </w:pPr>
    </w:p>
    <w:p w14:paraId="6E35A605" w14:textId="605A588B" w:rsidR="00622995" w:rsidRPr="00086BF5" w:rsidRDefault="00622995" w:rsidP="00622995">
      <w:pPr>
        <w:pStyle w:val="CETHeading1"/>
        <w:tabs>
          <w:tab w:val="right" w:pos="7100"/>
        </w:tabs>
        <w:jc w:val="both"/>
      </w:pPr>
      <w:r w:rsidRPr="00086BF5">
        <w:lastRenderedPageBreak/>
        <w:t>Results</w:t>
      </w:r>
      <w:r w:rsidR="00AB0AE0" w:rsidRPr="00086BF5">
        <w:t xml:space="preserve"> and Discussion</w:t>
      </w:r>
    </w:p>
    <w:p w14:paraId="5573F27F" w14:textId="309C19BC" w:rsidR="00EB380D" w:rsidRDefault="00AB0AE0" w:rsidP="00CE73A1">
      <w:pPr>
        <w:pStyle w:val="CETBodytext"/>
      </w:pPr>
      <w:r w:rsidRPr="00086BF5">
        <w:t xml:space="preserve">The performance of the Coldfinger water exhauster </w:t>
      </w:r>
      <w:r w:rsidR="0068017E">
        <w:t>was analyzed with respect to</w:t>
      </w:r>
      <w:r w:rsidR="00CE73A1">
        <w:t xml:space="preserve"> the i</w:t>
      </w:r>
      <w:r w:rsidR="00EB10C7" w:rsidRPr="00EB10C7">
        <w:t>nternal vapor recirculation</w:t>
      </w:r>
      <w:r w:rsidR="00D74FD1">
        <w:t xml:space="preserve"> (</w:t>
      </w:r>
      <m:oMath>
        <m:r>
          <w:rPr>
            <w:rFonts w:ascii="Cambria Math" w:hAnsi="Cambria Math" w:cs="Arial"/>
            <w:szCs w:val="18"/>
          </w:rPr>
          <m:t>α)</m:t>
        </m:r>
      </m:oMath>
      <w:r w:rsidR="00EB380D">
        <w:t xml:space="preserve"> and the gas-to-liquid feed ratio (</w:t>
      </w:r>
      <m:oMath>
        <m:r>
          <w:rPr>
            <w:rFonts w:ascii="Cambria Math" w:hAnsi="Cambria Math" w:cs="Arial"/>
            <w:szCs w:val="18"/>
          </w:rPr>
          <m:t>β</m:t>
        </m:r>
      </m:oMath>
      <w:r w:rsidR="00EB380D">
        <w:rPr>
          <w:szCs w:val="18"/>
        </w:rPr>
        <w:t>)</w:t>
      </w:r>
      <w:r w:rsidR="00EB380D">
        <w:t>, defined as:</w:t>
      </w:r>
    </w:p>
    <w:tbl>
      <w:tblPr>
        <w:tblW w:w="5000" w:type="pct"/>
        <w:tblLook w:val="04A0" w:firstRow="1" w:lastRow="0" w:firstColumn="1" w:lastColumn="0" w:noHBand="0" w:noVBand="1"/>
      </w:tblPr>
      <w:tblGrid>
        <w:gridCol w:w="7986"/>
        <w:gridCol w:w="801"/>
      </w:tblGrid>
      <w:tr w:rsidR="00EB380D" w:rsidRPr="00086BF5" w14:paraId="5BAC8C3C" w14:textId="77777777" w:rsidTr="00EB380D">
        <w:tc>
          <w:tcPr>
            <w:tcW w:w="7986" w:type="dxa"/>
            <w:shd w:val="clear" w:color="auto" w:fill="auto"/>
            <w:vAlign w:val="center"/>
          </w:tcPr>
          <w:p w14:paraId="20829B2A" w14:textId="176855CA" w:rsidR="00EB380D" w:rsidRPr="00086BF5" w:rsidRDefault="00EB380D" w:rsidP="00EB380D">
            <w:pPr>
              <w:pStyle w:val="CETEquation"/>
              <w:rPr>
                <w:lang w:val="en-US"/>
              </w:rPr>
            </w:pPr>
            <m:oMathPara>
              <m:oMathParaPr>
                <m:jc m:val="left"/>
              </m:oMathParaPr>
              <m:oMath>
                <m:r>
                  <w:rPr>
                    <w:rFonts w:ascii="Cambria Math" w:hAnsi="Cambria Math"/>
                  </w:rPr>
                  <m:t>α</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V</m:t>
                        </m:r>
                      </m:e>
                      <m:sub>
                        <m:r>
                          <m:rPr>
                            <m:sty m:val="p"/>
                          </m:rPr>
                          <w:rPr>
                            <w:rFonts w:ascii="Cambria Math" w:hAnsi="Cambria Math"/>
                          </w:rPr>
                          <m:t>2</m:t>
                        </m:r>
                        <m:r>
                          <w:rPr>
                            <w:rFonts w:ascii="Cambria Math" w:hAnsi="Cambria Math"/>
                          </w:rPr>
                          <m:t>R</m:t>
                        </m:r>
                      </m:sub>
                    </m:sSub>
                  </m:num>
                  <m:den>
                    <m:sSub>
                      <m:sSubPr>
                        <m:ctrlPr>
                          <w:rPr>
                            <w:rFonts w:ascii="Cambria Math" w:hAnsi="Cambria Math"/>
                          </w:rPr>
                        </m:ctrlPr>
                      </m:sSubPr>
                      <m:e>
                        <m:r>
                          <w:rPr>
                            <w:rFonts w:ascii="Cambria Math" w:hAnsi="Cambria Math"/>
                          </w:rPr>
                          <m:t>V</m:t>
                        </m:r>
                      </m:e>
                      <m:sub>
                        <m:r>
                          <m:rPr>
                            <m:sty m:val="p"/>
                          </m:rPr>
                          <w:rPr>
                            <w:rFonts w:ascii="Cambria Math" w:hAnsi="Cambria Math"/>
                          </w:rPr>
                          <m:t>2</m:t>
                        </m:r>
                      </m:sub>
                    </m:sSub>
                  </m:den>
                </m:f>
              </m:oMath>
            </m:oMathPara>
          </w:p>
        </w:tc>
        <w:tc>
          <w:tcPr>
            <w:tcW w:w="801" w:type="dxa"/>
            <w:shd w:val="clear" w:color="auto" w:fill="auto"/>
            <w:vAlign w:val="center"/>
          </w:tcPr>
          <w:p w14:paraId="4D8753F4" w14:textId="2E737104" w:rsidR="00EB380D" w:rsidRPr="00086BF5" w:rsidRDefault="00EB380D" w:rsidP="00EB380D">
            <w:pPr>
              <w:pStyle w:val="CETEquation"/>
              <w:rPr>
                <w:lang w:val="en-US"/>
              </w:rPr>
            </w:pPr>
            <w:r w:rsidRPr="00086BF5">
              <w:rPr>
                <w:lang w:val="en-US"/>
              </w:rPr>
              <w:t>(</w:t>
            </w:r>
            <w:r>
              <w:rPr>
                <w:lang w:val="en-US"/>
              </w:rPr>
              <w:t>2</w:t>
            </w:r>
            <w:r w:rsidRPr="00086BF5">
              <w:rPr>
                <w:lang w:val="en-US"/>
              </w:rPr>
              <w:t>)</w:t>
            </w:r>
          </w:p>
        </w:tc>
      </w:tr>
      <w:tr w:rsidR="00EB380D" w:rsidRPr="00086BF5" w14:paraId="74C11127" w14:textId="77777777" w:rsidTr="00781AF9">
        <w:tc>
          <w:tcPr>
            <w:tcW w:w="7986" w:type="dxa"/>
            <w:shd w:val="clear" w:color="auto" w:fill="auto"/>
            <w:vAlign w:val="center"/>
          </w:tcPr>
          <w:p w14:paraId="296FB3E2" w14:textId="076DFB6B" w:rsidR="00EB380D" w:rsidRPr="00086BF5" w:rsidRDefault="00EB380D" w:rsidP="00EB380D">
            <w:pPr>
              <w:pStyle w:val="CETEquation"/>
              <w:rPr>
                <w:lang w:val="en-US"/>
              </w:rPr>
            </w:pPr>
            <m:oMathPara>
              <m:oMathParaPr>
                <m:jc m:val="left"/>
              </m:oMathParaPr>
              <m:oMath>
                <m:r>
                  <w:rPr>
                    <w:rFonts w:ascii="Cambria Math" w:hAnsi="Cambria Math"/>
                  </w:rPr>
                  <m:t>β</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G</m:t>
                        </m:r>
                      </m:e>
                      <m:sub>
                        <m:r>
                          <m:rPr>
                            <m:sty m:val="p"/>
                          </m:rPr>
                          <w:rPr>
                            <w:rFonts w:ascii="Cambria Math" w:hAnsi="Cambria Math"/>
                          </w:rPr>
                          <m:t>0</m:t>
                        </m:r>
                      </m:sub>
                    </m:sSub>
                  </m:num>
                  <m:den>
                    <m:sSub>
                      <m:sSubPr>
                        <m:ctrlPr>
                          <w:rPr>
                            <w:rFonts w:ascii="Cambria Math" w:hAnsi="Cambria Math"/>
                          </w:rPr>
                        </m:ctrlPr>
                      </m:sSubPr>
                      <m:e>
                        <m:r>
                          <w:rPr>
                            <w:rFonts w:ascii="Cambria Math" w:hAnsi="Cambria Math"/>
                          </w:rPr>
                          <m:t>L</m:t>
                        </m:r>
                      </m:e>
                      <m:sub>
                        <m:r>
                          <m:rPr>
                            <m:sty m:val="p"/>
                          </m:rPr>
                          <w:rPr>
                            <w:rFonts w:ascii="Cambria Math" w:hAnsi="Cambria Math"/>
                          </w:rPr>
                          <m:t>0</m:t>
                        </m:r>
                      </m:sub>
                    </m:sSub>
                  </m:den>
                </m:f>
                <m:r>
                  <m:rPr>
                    <m:sty m:val="p"/>
                  </m:rPr>
                  <w:rPr>
                    <w:rFonts w:ascii="Cambria Math" w:hAnsi="Cambria Math"/>
                  </w:rPr>
                  <m:t xml:space="preserve"> </m:t>
                </m:r>
              </m:oMath>
            </m:oMathPara>
          </w:p>
        </w:tc>
        <w:tc>
          <w:tcPr>
            <w:tcW w:w="801" w:type="dxa"/>
            <w:shd w:val="clear" w:color="auto" w:fill="auto"/>
            <w:vAlign w:val="center"/>
          </w:tcPr>
          <w:p w14:paraId="3D54AEC2" w14:textId="04DC49DA" w:rsidR="00EB380D" w:rsidRPr="00086BF5" w:rsidRDefault="00EB380D" w:rsidP="00EB380D">
            <w:pPr>
              <w:pStyle w:val="CETEquation"/>
              <w:rPr>
                <w:lang w:val="en-US"/>
              </w:rPr>
            </w:pPr>
            <w:r w:rsidRPr="00086BF5">
              <w:rPr>
                <w:lang w:val="en-US"/>
              </w:rPr>
              <w:t>(</w:t>
            </w:r>
            <w:r>
              <w:rPr>
                <w:lang w:val="en-US"/>
              </w:rPr>
              <w:t>3</w:t>
            </w:r>
            <w:r w:rsidRPr="00086BF5">
              <w:rPr>
                <w:lang w:val="en-US"/>
              </w:rPr>
              <w:t>)</w:t>
            </w:r>
          </w:p>
        </w:tc>
      </w:tr>
    </w:tbl>
    <w:p w14:paraId="5C03F8FB" w14:textId="77777777" w:rsidR="00DC2B0C" w:rsidRDefault="005345B8" w:rsidP="00AB0AE0">
      <w:pPr>
        <w:pStyle w:val="CETBodytext"/>
      </w:pPr>
      <w:r>
        <w:rPr>
          <w:szCs w:val="18"/>
        </w:rPr>
        <w:t>In addition</w:t>
      </w:r>
      <w:r w:rsidR="00D74FD1">
        <w:rPr>
          <w:szCs w:val="18"/>
        </w:rPr>
        <w:t xml:space="preserve">, </w:t>
      </w:r>
      <w:r w:rsidR="00CE73A1">
        <w:t xml:space="preserve">the </w:t>
      </w:r>
      <w:r>
        <w:t>performance was also analyzed</w:t>
      </w:r>
      <w:r w:rsidR="00CE73A1">
        <w:t xml:space="preserve"> </w:t>
      </w:r>
      <w:r>
        <w:t xml:space="preserve">as a function </w:t>
      </w:r>
      <w:r w:rsidR="00CE73A1">
        <w:t>of the</w:t>
      </w:r>
      <w:r>
        <w:t xml:space="preserve"> temperature of the</w:t>
      </w:r>
      <w:r w:rsidR="00CE73A1">
        <w:t xml:space="preserve"> top section </w:t>
      </w:r>
      <w:r w:rsidR="00CE73A1" w:rsidRPr="00086BF5">
        <w:t>(T</w:t>
      </w:r>
      <w:r w:rsidR="00CE73A1" w:rsidRPr="00086BF5">
        <w:rPr>
          <w:vertAlign w:val="subscript"/>
        </w:rPr>
        <w:t>2</w:t>
      </w:r>
      <w:r w:rsidR="00CE73A1" w:rsidRPr="00086BF5">
        <w:t>)</w:t>
      </w:r>
      <w:r w:rsidR="00D74FD1">
        <w:t>.</w:t>
      </w:r>
      <w:r>
        <w:t xml:space="preserve"> The </w:t>
      </w:r>
      <w:r w:rsidRPr="00D361F5">
        <w:t>internal vapor recirculation</w:t>
      </w:r>
      <w:r>
        <w:t xml:space="preserve"> was varied on four levels</w:t>
      </w:r>
      <w:r w:rsidR="00842E98" w:rsidRPr="00D361F5">
        <w:t>,</w:t>
      </w:r>
      <w:r w:rsidR="00D142AC" w:rsidRPr="00D361F5">
        <w:t xml:space="preserve"> </w:t>
      </w:r>
      <w:r w:rsidR="00E47638" w:rsidRPr="00D361F5">
        <w:t xml:space="preserve">ranging </w:t>
      </w:r>
      <w:r w:rsidR="00AB0AE0" w:rsidRPr="00D361F5">
        <w:t xml:space="preserve">from 0 to 0.8. </w:t>
      </w:r>
      <w:r w:rsidR="00936308" w:rsidRPr="00D361F5">
        <w:t xml:space="preserve">The base case of analysis corresponds to </w:t>
      </w:r>
      <w:r w:rsidR="00842E98" w:rsidRPr="00D361F5">
        <w:rPr>
          <w:rFonts w:cs="Arial"/>
        </w:rPr>
        <w:t>α</w:t>
      </w:r>
      <w:r w:rsidR="006D443F">
        <w:rPr>
          <w:rFonts w:cs="Arial"/>
        </w:rPr>
        <w:t xml:space="preserve"> </w:t>
      </w:r>
      <w:r w:rsidR="00AB0AE0" w:rsidRPr="00D361F5">
        <w:t>=</w:t>
      </w:r>
      <w:r w:rsidR="006D443F">
        <w:t xml:space="preserve"> </w:t>
      </w:r>
      <w:r w:rsidR="00AB0AE0" w:rsidRPr="00D361F5">
        <w:t>0</w:t>
      </w:r>
      <w:r w:rsidR="00936308" w:rsidRPr="00D361F5">
        <w:t xml:space="preserve">, where </w:t>
      </w:r>
      <w:r w:rsidR="00AB0AE0" w:rsidRPr="00D361F5">
        <w:t xml:space="preserve">no vapor from the top section recirculates to the bottom section, representing a </w:t>
      </w:r>
      <w:r>
        <w:t xml:space="preserve">conventional </w:t>
      </w:r>
      <w:r w:rsidR="00B518F8" w:rsidRPr="00D361F5">
        <w:t>single</w:t>
      </w:r>
      <w:r w:rsidR="00D142AC" w:rsidRPr="00D361F5">
        <w:t>-</w:t>
      </w:r>
      <w:r w:rsidR="00AB0AE0" w:rsidRPr="00D361F5">
        <w:t>stage</w:t>
      </w:r>
      <w:r w:rsidR="00936308" w:rsidRPr="00D361F5">
        <w:t xml:space="preserve"> stripping</w:t>
      </w:r>
      <w:r w:rsidR="00B518F8" w:rsidRPr="00D361F5">
        <w:t xml:space="preserve"> process. The gas-to-liquid</w:t>
      </w:r>
      <w:r w:rsidR="00E53CE9" w:rsidRPr="00D361F5">
        <w:t xml:space="preserve"> </w:t>
      </w:r>
      <w:r w:rsidR="00B518F8" w:rsidRPr="00D361F5">
        <w:t>feed ratio</w:t>
      </w:r>
      <w:r w:rsidR="00D142AC" w:rsidRPr="00D361F5">
        <w:t xml:space="preserve"> </w:t>
      </w:r>
      <w:r>
        <w:t xml:space="preserve">was </w:t>
      </w:r>
      <w:r w:rsidR="009B5F7B" w:rsidRPr="00D361F5">
        <w:t>varie</w:t>
      </w:r>
      <w:r>
        <w:t>d</w:t>
      </w:r>
      <w:r w:rsidR="00B518F8" w:rsidRPr="00D361F5">
        <w:t xml:space="preserve"> from 0.001 to 0.01</w:t>
      </w:r>
      <w:r w:rsidR="00D142AC" w:rsidRPr="00D361F5">
        <w:t>, values</w:t>
      </w:r>
      <w:r>
        <w:t xml:space="preserve"> that are</w:t>
      </w:r>
      <w:r w:rsidR="00D142AC" w:rsidRPr="00D361F5">
        <w:t xml:space="preserve"> substantially lower than the ones typically used for enhanced regeneration of TEG </w:t>
      </w:r>
      <w:r>
        <w:t>by</w:t>
      </w:r>
      <w:r w:rsidR="00D142AC" w:rsidRPr="00D361F5">
        <w:t xml:space="preserve"> gas</w:t>
      </w:r>
      <w:r>
        <w:t xml:space="preserve"> </w:t>
      </w:r>
      <w:r w:rsidR="00D142AC" w:rsidRPr="00D361F5">
        <w:t>stripping</w:t>
      </w:r>
      <w:r w:rsidR="00B518F8" w:rsidRPr="00D361F5">
        <w:t>. Finally,</w:t>
      </w:r>
      <w:r w:rsidR="00403BC4" w:rsidRPr="00D361F5">
        <w:t xml:space="preserve"> T</w:t>
      </w:r>
      <w:r w:rsidR="00403BC4" w:rsidRPr="00D361F5">
        <w:rPr>
          <w:vertAlign w:val="subscript"/>
        </w:rPr>
        <w:t>2</w:t>
      </w:r>
      <w:r w:rsidR="002B20FC" w:rsidRPr="00D361F5">
        <w:t xml:space="preserve"> </w:t>
      </w:r>
      <w:r>
        <w:t xml:space="preserve">was </w:t>
      </w:r>
      <w:r w:rsidR="001C6F5A" w:rsidRPr="00D361F5">
        <w:t>varie</w:t>
      </w:r>
      <w:r>
        <w:t>d</w:t>
      </w:r>
      <w:r w:rsidR="001C6F5A" w:rsidRPr="00D361F5">
        <w:t xml:space="preserve"> from </w:t>
      </w:r>
      <w:r w:rsidR="002B20FC" w:rsidRPr="00D361F5">
        <w:t>204</w:t>
      </w:r>
      <w:r w:rsidR="001C6F5A" w:rsidRPr="00D361F5">
        <w:t xml:space="preserve"> °C, </w:t>
      </w:r>
      <w:r w:rsidR="002B20FC" w:rsidRPr="00D361F5">
        <w:t>equivalent</w:t>
      </w:r>
      <w:r w:rsidR="001C6F5A" w:rsidRPr="00D361F5">
        <w:t xml:space="preserve"> to </w:t>
      </w:r>
      <w:r w:rsidR="002B20FC" w:rsidRPr="00D361F5">
        <w:t xml:space="preserve">no </w:t>
      </w:r>
      <w:r>
        <w:t>heat removal in the top section</w:t>
      </w:r>
      <w:r w:rsidR="001C6F5A" w:rsidRPr="00D361F5">
        <w:t xml:space="preserve">, </w:t>
      </w:r>
      <w:r w:rsidR="00933894">
        <w:t xml:space="preserve">down </w:t>
      </w:r>
      <w:r w:rsidR="001C6F5A" w:rsidRPr="00D361F5">
        <w:t>to 34 °C</w:t>
      </w:r>
      <w:r>
        <w:t xml:space="preserve">. The minimum temperature is consistent </w:t>
      </w:r>
      <w:r w:rsidR="002B20FC" w:rsidRPr="00D361F5">
        <w:t>w</w:t>
      </w:r>
      <w:r>
        <w:t>ith the use of</w:t>
      </w:r>
      <w:r w:rsidR="002B20FC" w:rsidRPr="00D361F5">
        <w:t xml:space="preserve"> col</w:t>
      </w:r>
      <w:r w:rsidR="00836375" w:rsidRPr="00D361F5">
        <w:t>d</w:t>
      </w:r>
      <w:r w:rsidR="002B20FC" w:rsidRPr="00D361F5">
        <w:t xml:space="preserve"> water as </w:t>
      </w:r>
      <w:r w:rsidR="00514E1C">
        <w:t xml:space="preserve">an </w:t>
      </w:r>
      <w:r w:rsidR="002B20FC" w:rsidRPr="00D361F5">
        <w:t>external cooling agent through the Coldfinger</w:t>
      </w:r>
      <w:r w:rsidR="00E53CE9" w:rsidRPr="00D361F5">
        <w:t>.</w:t>
      </w:r>
    </w:p>
    <w:p w14:paraId="3D723C16" w14:textId="02E666D7" w:rsidR="00DF0FAF" w:rsidRPr="00D361F5" w:rsidRDefault="00DF0FAF" w:rsidP="00AB0AE0">
      <w:pPr>
        <w:pStyle w:val="CETBodytext"/>
      </w:pPr>
      <w:r w:rsidRPr="00D361F5">
        <w:t xml:space="preserve"> </w:t>
      </w:r>
    </w:p>
    <w:p w14:paraId="78594C05" w14:textId="2085082B" w:rsidR="00544B3D" w:rsidRDefault="0068768A" w:rsidP="00AB0AE0">
      <w:pPr>
        <w:pStyle w:val="CETBodytext"/>
      </w:pPr>
      <w:r>
        <w:t xml:space="preserve">The further TEG enrichment due to the Coldfinger is clearly seen, as compared to the base case (conventional stripping). </w:t>
      </w:r>
      <w:r w:rsidR="00DF0FAF" w:rsidRPr="00D361F5">
        <w:t xml:space="preserve">For the </w:t>
      </w:r>
      <w:r w:rsidR="009E7DB4" w:rsidRPr="00D361F5">
        <w:t>minimum</w:t>
      </w:r>
      <w:r w:rsidR="00DF0FAF" w:rsidRPr="00D361F5">
        <w:t xml:space="preserve"> </w:t>
      </w:r>
      <w:r w:rsidR="003B7639" w:rsidRPr="00D361F5">
        <w:t xml:space="preserve">and maximum </w:t>
      </w:r>
      <w:r w:rsidR="00DF0FAF" w:rsidRPr="00D361F5">
        <w:t>value</w:t>
      </w:r>
      <w:r w:rsidR="003006C3" w:rsidRPr="00D361F5">
        <w:t>s</w:t>
      </w:r>
      <w:r w:rsidR="00DF0FAF" w:rsidRPr="00D361F5">
        <w:t xml:space="preserve"> of </w:t>
      </w:r>
      <w:r w:rsidR="00DF0FAF" w:rsidRPr="00D361F5">
        <w:rPr>
          <w:rFonts w:ascii="Calibri" w:hAnsi="Calibri" w:cs="Calibri"/>
        </w:rPr>
        <w:t>β</w:t>
      </w:r>
      <w:r w:rsidR="00DF0FAF" w:rsidRPr="00D361F5">
        <w:t xml:space="preserve"> </w:t>
      </w:r>
      <w:r w:rsidR="009E7DB4" w:rsidRPr="00D361F5">
        <w:t xml:space="preserve">under analysis </w:t>
      </w:r>
      <w:r w:rsidR="00DF0FAF" w:rsidRPr="00D361F5">
        <w:t>(0.001</w:t>
      </w:r>
      <w:r w:rsidR="003B7639" w:rsidRPr="00D361F5">
        <w:t xml:space="preserve"> – 0.01</w:t>
      </w:r>
      <w:r w:rsidR="00DF0FAF" w:rsidRPr="00D361F5">
        <w:t xml:space="preserve">), it is seen </w:t>
      </w:r>
      <w:r w:rsidR="00E47638" w:rsidRPr="00D361F5">
        <w:t xml:space="preserve">from Figure 3 </w:t>
      </w:r>
      <w:r w:rsidR="00DF0FAF" w:rsidRPr="00D361F5">
        <w:t xml:space="preserve">that the purity of the enhanced regenerated TEG decreases as the temperature at the top section of the </w:t>
      </w:r>
      <w:r w:rsidR="009E7DB4" w:rsidRPr="00D361F5">
        <w:t>equipment</w:t>
      </w:r>
      <w:r w:rsidR="00DF0FAF" w:rsidRPr="00D361F5">
        <w:t xml:space="preserve"> increases. In </w:t>
      </w:r>
      <w:r w:rsidR="00695CDB">
        <w:t>addition, the shape of the curves shows that the</w:t>
      </w:r>
      <w:r w:rsidR="009E7DB4" w:rsidRPr="00D361F5">
        <w:t xml:space="preserve"> Coldfinger process is not efficient when there is </w:t>
      </w:r>
      <w:r w:rsidR="00836375" w:rsidRPr="00D361F5">
        <w:t>only little</w:t>
      </w:r>
      <w:r w:rsidR="009E7DB4" w:rsidRPr="00D361F5">
        <w:t xml:space="preserve"> cooling </w:t>
      </w:r>
      <w:r w:rsidR="00E47638" w:rsidRPr="00D361F5">
        <w:t>of the vapor in the top section. This behavior is reproduced for all the values of internal vapor recirculation considered</w:t>
      </w:r>
      <w:r w:rsidR="00695CDB">
        <w:t>,</w:t>
      </w:r>
      <w:r w:rsidR="00E47638" w:rsidRPr="00D361F5">
        <w:t xml:space="preserve"> except for </w:t>
      </w:r>
      <w:r w:rsidR="00E47638" w:rsidRPr="00D361F5">
        <w:rPr>
          <w:rFonts w:cs="Arial"/>
        </w:rPr>
        <w:t>α</w:t>
      </w:r>
      <w:r w:rsidR="006D443F">
        <w:rPr>
          <w:rFonts w:cs="Arial"/>
        </w:rPr>
        <w:t xml:space="preserve"> </w:t>
      </w:r>
      <w:r w:rsidR="00E47638" w:rsidRPr="00D361F5">
        <w:t>=</w:t>
      </w:r>
      <w:r w:rsidR="006D443F">
        <w:t xml:space="preserve"> </w:t>
      </w:r>
      <w:r w:rsidR="00E47638" w:rsidRPr="00D361F5">
        <w:t>0 where the regenerated TEG purity remains constant and independent from T</w:t>
      </w:r>
      <w:r w:rsidR="00E47638" w:rsidRPr="00D361F5">
        <w:rPr>
          <w:vertAlign w:val="subscript"/>
        </w:rPr>
        <w:t>2</w:t>
      </w:r>
      <w:r w:rsidR="00E47638" w:rsidRPr="00D361F5">
        <w:t xml:space="preserve"> due to the absence of vapor recirculation.</w:t>
      </w:r>
    </w:p>
    <w:p w14:paraId="71542A52" w14:textId="05261F27" w:rsidR="00C87E21" w:rsidRPr="002E3181" w:rsidRDefault="00C87E21" w:rsidP="00C87E21">
      <w:pPr>
        <w:pStyle w:val="CETBodytext"/>
      </w:pPr>
      <w:r w:rsidRPr="002E3181">
        <w:rPr>
          <w:rStyle w:val="CETBodytextCarattere"/>
        </w:rPr>
        <w:t xml:space="preserve">Additionally, the effect of the gas-to-liquid feed ratio in the performance of the Coldfinger </w:t>
      </w:r>
      <w:r>
        <w:rPr>
          <w:rStyle w:val="CETBodytextCarattere"/>
        </w:rPr>
        <w:t>was</w:t>
      </w:r>
      <w:r w:rsidRPr="002E3181">
        <w:rPr>
          <w:rStyle w:val="CETBodytextCarattere"/>
        </w:rPr>
        <w:t xml:space="preserve"> analyzed for two given values of top temperature. As it can be seen in Figure 4</w:t>
      </w:r>
      <w:r w:rsidR="00514E1C">
        <w:rPr>
          <w:rStyle w:val="CETBodytextCarattere"/>
        </w:rPr>
        <w:t>,</w:t>
      </w:r>
      <w:r w:rsidRPr="002E3181">
        <w:rPr>
          <w:rStyle w:val="CETBodytextCarattere"/>
        </w:rPr>
        <w:t xml:space="preserve"> the purity of TEG increases as β and α increase as well. Furthermore, Figure 4 presents the purity of the liquid TEG leaving the reboiler of the regeneration column. It is clearly seen the significant enhancement in TEG purity achieved by means of the Coldfinger regeneration process. The maximum purity of TEG obtained by this means is 99.8</w:t>
      </w:r>
      <w:r>
        <w:rPr>
          <w:rStyle w:val="CETBodytextCarattere"/>
        </w:rPr>
        <w:t>6</w:t>
      </w:r>
      <w:r w:rsidRPr="002E3181">
        <w:rPr>
          <w:rStyle w:val="CETBodytextCarattere"/>
        </w:rPr>
        <w:t xml:space="preserve"> wt.%, corresponding to the case where the temperature at the top section</w:t>
      </w:r>
      <w:r w:rsidRPr="002E3181">
        <w:t xml:space="preserve"> is 34 °C (</w:t>
      </w:r>
      <w:r>
        <w:t xml:space="preserve">assumed </w:t>
      </w:r>
      <w:r w:rsidRPr="002E3181">
        <w:t>maximum cooling), α =</w:t>
      </w:r>
      <w:r>
        <w:t xml:space="preserve"> </w:t>
      </w:r>
      <w:r w:rsidRPr="002E3181">
        <w:t>0.8 and β</w:t>
      </w:r>
      <w:r>
        <w:t xml:space="preserve"> </w:t>
      </w:r>
      <w:r w:rsidRPr="002E3181">
        <w:t>=</w:t>
      </w:r>
      <w:r>
        <w:t xml:space="preserve"> </w:t>
      </w:r>
      <w:r w:rsidRPr="002E3181">
        <w:t>0.01.</w:t>
      </w:r>
    </w:p>
    <w:p w14:paraId="44E8852C" w14:textId="77777777" w:rsidR="00C87E21" w:rsidRDefault="00C87E21" w:rsidP="00C87E21">
      <w:pPr>
        <w:pStyle w:val="CETBodytext"/>
      </w:pPr>
      <w:r w:rsidRPr="00086BF5">
        <w:t xml:space="preserve">From Figure </w:t>
      </w:r>
      <w:r>
        <w:t>4</w:t>
      </w:r>
      <w:r w:rsidRPr="00086BF5">
        <w:t xml:space="preserve"> it can also be seen that, for a given TEG purity, the amount of </w:t>
      </w:r>
      <w:r>
        <w:t>stripping</w:t>
      </w:r>
      <w:r w:rsidRPr="00086BF5">
        <w:t xml:space="preserve"> gas necessary to inject </w:t>
      </w:r>
      <w:r>
        <w:t>in</w:t>
      </w:r>
      <w:r w:rsidRPr="00086BF5">
        <w:t>to the Coldfinger is considerably less than the amount needed in a single</w:t>
      </w:r>
      <w:r>
        <w:t>-</w:t>
      </w:r>
      <w:r w:rsidRPr="00086BF5">
        <w:t>stage stripping process</w:t>
      </w:r>
      <w:r>
        <w:t xml:space="preserve">, or </w:t>
      </w:r>
      <w:r>
        <w:rPr>
          <w:rFonts w:cs="Arial"/>
        </w:rPr>
        <w:t xml:space="preserve">α </w:t>
      </w:r>
      <w:r>
        <w:t xml:space="preserve">= </w:t>
      </w:r>
      <w:r w:rsidRPr="00086BF5">
        <w:t xml:space="preserve">0. </w:t>
      </w:r>
      <w:r w:rsidRPr="002B361A">
        <w:t>For instance, for a TEG purity of 99.6 wt.% and T</w:t>
      </w:r>
      <w:r w:rsidRPr="002B361A">
        <w:rPr>
          <w:vertAlign w:val="subscript"/>
        </w:rPr>
        <w:t>2</w:t>
      </w:r>
      <w:r w:rsidRPr="002B361A">
        <w:t xml:space="preserve"> of 34 °C, it would be necessary to inject into the Coldfinger a flow of dry gas equivalent to 0.2 % of the liquid feed (TEG entering the reboiler) considering an internal vapor recirculation of 0.8; while the same TEG purity (99.6 wt.%) would be achieved in a single-stage process by injecting a significant flow of dry gas equivalent to 0.8 % of the liquid feed.</w:t>
      </w:r>
    </w:p>
    <w:p w14:paraId="1DDB4571" w14:textId="77777777" w:rsidR="003B7639" w:rsidRDefault="003B7639" w:rsidP="00AB0AE0">
      <w:pPr>
        <w:pStyle w:val="CETBodytext"/>
      </w:pPr>
    </w:p>
    <w:p w14:paraId="139B7E31" w14:textId="77777777" w:rsidR="003B7639" w:rsidRDefault="003B7639" w:rsidP="00AB3777">
      <w:pPr>
        <w:pStyle w:val="CETBodytext"/>
        <w:sectPr w:rsidR="003B7639" w:rsidSect="0077098D">
          <w:type w:val="continuous"/>
          <w:pgSz w:w="11906" w:h="16838" w:code="9"/>
          <w:pgMar w:top="1701" w:right="1418" w:bottom="1701" w:left="1701" w:header="1701" w:footer="0" w:gutter="0"/>
          <w:cols w:space="708"/>
          <w:formProt w:val="0"/>
          <w:titlePg/>
          <w:docGrid w:linePitch="360"/>
        </w:sectPr>
      </w:pPr>
    </w:p>
    <w:p w14:paraId="49D84C18" w14:textId="4353BED7" w:rsidR="00E47638" w:rsidRDefault="00AC22C7" w:rsidP="00AB0AE0">
      <w:pPr>
        <w:pStyle w:val="CETBodytext"/>
      </w:pPr>
      <w:r w:rsidRPr="00AC22C7">
        <w:rPr>
          <w:noProof/>
        </w:rPr>
        <w:drawing>
          <wp:inline distT="0" distB="0" distL="0" distR="0" wp14:anchorId="1FFE2A66" wp14:editId="10288D94">
            <wp:extent cx="2560320" cy="1920240"/>
            <wp:effectExtent l="19050" t="19050" r="11430" b="2286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0320" cy="1920240"/>
                    </a:xfrm>
                    <a:prstGeom prst="rect">
                      <a:avLst/>
                    </a:prstGeom>
                    <a:noFill/>
                    <a:ln>
                      <a:solidFill>
                        <a:schemeClr val="tx1"/>
                      </a:solidFill>
                    </a:ln>
                  </pic:spPr>
                </pic:pic>
              </a:graphicData>
            </a:graphic>
          </wp:inline>
        </w:drawing>
      </w:r>
    </w:p>
    <w:p w14:paraId="54FF98E4" w14:textId="16D69DDD" w:rsidR="003B7639" w:rsidRDefault="003B7639" w:rsidP="00AB0AE0">
      <w:pPr>
        <w:pStyle w:val="CETBodytext"/>
      </w:pPr>
      <w:r>
        <w:t>(a)</w:t>
      </w:r>
    </w:p>
    <w:p w14:paraId="489B143B" w14:textId="783105F0" w:rsidR="003B7639" w:rsidRDefault="00AC22C7" w:rsidP="00AB0AE0">
      <w:pPr>
        <w:pStyle w:val="CETBodytext"/>
      </w:pPr>
      <w:r w:rsidRPr="00AC22C7">
        <w:rPr>
          <w:noProof/>
        </w:rPr>
        <w:drawing>
          <wp:inline distT="0" distB="0" distL="0" distR="0" wp14:anchorId="6CFBA1E8" wp14:editId="2C6A657A">
            <wp:extent cx="2560320" cy="1920240"/>
            <wp:effectExtent l="19050" t="19050" r="11430" b="2286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0320" cy="1920240"/>
                    </a:xfrm>
                    <a:prstGeom prst="rect">
                      <a:avLst/>
                    </a:prstGeom>
                    <a:noFill/>
                    <a:ln>
                      <a:solidFill>
                        <a:schemeClr val="tx1"/>
                      </a:solidFill>
                    </a:ln>
                  </pic:spPr>
                </pic:pic>
              </a:graphicData>
            </a:graphic>
          </wp:inline>
        </w:drawing>
      </w:r>
    </w:p>
    <w:p w14:paraId="0DD3E2B7" w14:textId="5B49767C" w:rsidR="003B7639" w:rsidRDefault="003B7639" w:rsidP="003B7639">
      <w:pPr>
        <w:pStyle w:val="CETBodytext"/>
        <w:sectPr w:rsidR="003B7639" w:rsidSect="003B7639">
          <w:type w:val="continuous"/>
          <w:pgSz w:w="11906" w:h="16838" w:code="9"/>
          <w:pgMar w:top="1701" w:right="1418" w:bottom="1701" w:left="1701" w:header="1701" w:footer="0" w:gutter="0"/>
          <w:cols w:num="2" w:space="708"/>
          <w:formProt w:val="0"/>
          <w:titlePg/>
          <w:docGrid w:linePitch="360"/>
        </w:sectPr>
      </w:pPr>
      <w:r>
        <w:t>(b)</w:t>
      </w:r>
    </w:p>
    <w:p w14:paraId="2BAE9553" w14:textId="0CAA9E4E" w:rsidR="003B7639" w:rsidRDefault="00F60142" w:rsidP="002E3181">
      <w:pPr>
        <w:pStyle w:val="CETCaption"/>
        <w:rPr>
          <w:rFonts w:cs="Arial"/>
        </w:rPr>
        <w:sectPr w:rsidR="003B7639" w:rsidSect="0077098D">
          <w:type w:val="continuous"/>
          <w:pgSz w:w="11906" w:h="16838" w:code="9"/>
          <w:pgMar w:top="1701" w:right="1418" w:bottom="1701" w:left="1701" w:header="1701" w:footer="0" w:gutter="0"/>
          <w:cols w:space="708"/>
          <w:formProt w:val="0"/>
          <w:titlePg/>
          <w:docGrid w:linePitch="360"/>
        </w:sectPr>
      </w:pPr>
      <w:r w:rsidRPr="00086BF5">
        <w:t xml:space="preserve">Figure 3: </w:t>
      </w:r>
      <w:r>
        <w:t>Influence of the temperature of the top section (T</w:t>
      </w:r>
      <w:r w:rsidRPr="00110BFD">
        <w:rPr>
          <w:vertAlign w:val="subscript"/>
        </w:rPr>
        <w:t>2</w:t>
      </w:r>
      <w:r>
        <w:t>) on regenerated TEG purity obtained with the Coldfinger process, for different values of internal vapor recirculation (</w:t>
      </w:r>
      <w:r>
        <w:rPr>
          <w:rFonts w:cs="Arial"/>
        </w:rPr>
        <w:t>α)</w:t>
      </w:r>
      <w:r w:rsidR="00AF5822">
        <w:rPr>
          <w:rFonts w:cs="Arial"/>
        </w:rPr>
        <w:t xml:space="preserve"> (a)</w:t>
      </w:r>
      <w:r w:rsidR="00AF5822" w:rsidRPr="00AF5822">
        <w:rPr>
          <w:rFonts w:cs="Arial"/>
        </w:rPr>
        <w:t xml:space="preserve"> </w:t>
      </w:r>
      <w:r w:rsidR="00972867" w:rsidRPr="00972867">
        <w:rPr>
          <w:rFonts w:ascii="Calibri" w:hAnsi="Calibri" w:cs="Arial"/>
          <w:i w:val="0"/>
        </w:rPr>
        <w:t>β</w:t>
      </w:r>
      <w:r w:rsidR="006D443F">
        <w:rPr>
          <w:rFonts w:ascii="Calibri" w:hAnsi="Calibri" w:cs="Arial"/>
          <w:i w:val="0"/>
        </w:rPr>
        <w:t xml:space="preserve"> </w:t>
      </w:r>
      <w:r w:rsidR="00972867">
        <w:rPr>
          <w:rFonts w:cs="Arial"/>
        </w:rPr>
        <w:t>=</w:t>
      </w:r>
      <w:r w:rsidR="006D443F">
        <w:rPr>
          <w:rFonts w:cs="Arial"/>
        </w:rPr>
        <w:t xml:space="preserve"> </w:t>
      </w:r>
      <w:r w:rsidR="00AF5822">
        <w:rPr>
          <w:rFonts w:cs="Arial"/>
        </w:rPr>
        <w:t xml:space="preserve">0.001 </w:t>
      </w:r>
      <w:r w:rsidR="00972867">
        <w:rPr>
          <w:rFonts w:cs="Arial"/>
        </w:rPr>
        <w:t xml:space="preserve">(b) </w:t>
      </w:r>
      <w:r w:rsidR="00972867" w:rsidRPr="00972867">
        <w:rPr>
          <w:rFonts w:ascii="Calibri" w:hAnsi="Calibri" w:cs="Arial"/>
          <w:i w:val="0"/>
        </w:rPr>
        <w:t>β</w:t>
      </w:r>
      <w:r w:rsidR="006D443F">
        <w:rPr>
          <w:rFonts w:ascii="Calibri" w:hAnsi="Calibri" w:cs="Arial"/>
          <w:i w:val="0"/>
        </w:rPr>
        <w:t xml:space="preserve"> </w:t>
      </w:r>
      <w:r w:rsidR="00972867">
        <w:rPr>
          <w:rFonts w:cs="Arial"/>
        </w:rPr>
        <w:t>=</w:t>
      </w:r>
      <w:r w:rsidR="006D443F">
        <w:rPr>
          <w:rFonts w:cs="Arial"/>
        </w:rPr>
        <w:t xml:space="preserve"> </w:t>
      </w:r>
      <w:r w:rsidR="00972867">
        <w:rPr>
          <w:rFonts w:cs="Arial"/>
        </w:rPr>
        <w:t>0.01</w:t>
      </w:r>
      <w:r w:rsidR="00717855">
        <w:rPr>
          <w:rFonts w:cs="Arial"/>
        </w:rPr>
        <w:t>.</w:t>
      </w:r>
    </w:p>
    <w:p w14:paraId="2E9B55C5" w14:textId="4E19CF84" w:rsidR="00A12449" w:rsidRPr="00086BF5" w:rsidRDefault="00A12449" w:rsidP="00AB0AE0">
      <w:pPr>
        <w:pStyle w:val="CETBodytext"/>
        <w:sectPr w:rsidR="00A12449" w:rsidRPr="00086BF5" w:rsidSect="0077098D">
          <w:type w:val="continuous"/>
          <w:pgSz w:w="11906" w:h="16838" w:code="9"/>
          <w:pgMar w:top="1701" w:right="1418" w:bottom="1701" w:left="1701" w:header="1701" w:footer="0" w:gutter="0"/>
          <w:cols w:space="708"/>
          <w:formProt w:val="0"/>
          <w:titlePg/>
          <w:docGrid w:linePitch="360"/>
        </w:sectPr>
      </w:pPr>
    </w:p>
    <w:p w14:paraId="446E3128" w14:textId="7E4CB5BF" w:rsidR="00AD18F0" w:rsidRDefault="00242E1A" w:rsidP="00AD18F0">
      <w:pPr>
        <w:pStyle w:val="CETBodytext"/>
      </w:pPr>
      <w:r w:rsidRPr="00242E1A">
        <w:rPr>
          <w:noProof/>
        </w:rPr>
        <w:lastRenderedPageBreak/>
        <w:drawing>
          <wp:inline distT="0" distB="0" distL="0" distR="0" wp14:anchorId="5492F2BE" wp14:editId="20896245">
            <wp:extent cx="2560320" cy="1737360"/>
            <wp:effectExtent l="19050" t="19050" r="11430" b="1524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0320" cy="1737360"/>
                    </a:xfrm>
                    <a:prstGeom prst="rect">
                      <a:avLst/>
                    </a:prstGeom>
                    <a:noFill/>
                    <a:ln>
                      <a:solidFill>
                        <a:schemeClr val="tx1"/>
                      </a:solidFill>
                    </a:ln>
                  </pic:spPr>
                </pic:pic>
              </a:graphicData>
            </a:graphic>
          </wp:inline>
        </w:drawing>
      </w:r>
    </w:p>
    <w:p w14:paraId="0C49CA69" w14:textId="4CA092FB" w:rsidR="00AD18F0" w:rsidRDefault="00AD18F0" w:rsidP="00AD18F0">
      <w:pPr>
        <w:pStyle w:val="CETBodytext"/>
      </w:pPr>
      <w:r w:rsidRPr="00086BF5">
        <w:t>(a)</w:t>
      </w:r>
    </w:p>
    <w:p w14:paraId="2D0FCCA8" w14:textId="15C2B3ED" w:rsidR="00AD18F0" w:rsidRDefault="00242E1A" w:rsidP="00AD18F0">
      <w:pPr>
        <w:pStyle w:val="CETBodytext"/>
      </w:pPr>
      <w:r w:rsidRPr="00242E1A">
        <w:rPr>
          <w:noProof/>
        </w:rPr>
        <w:drawing>
          <wp:inline distT="0" distB="0" distL="0" distR="0" wp14:anchorId="3B9BB08A" wp14:editId="07BCC4E7">
            <wp:extent cx="2560320" cy="1737360"/>
            <wp:effectExtent l="19050" t="19050" r="11430" b="1524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0320" cy="1737360"/>
                    </a:xfrm>
                    <a:prstGeom prst="rect">
                      <a:avLst/>
                    </a:prstGeom>
                    <a:noFill/>
                    <a:ln>
                      <a:solidFill>
                        <a:schemeClr val="tx1"/>
                      </a:solidFill>
                    </a:ln>
                  </pic:spPr>
                </pic:pic>
              </a:graphicData>
            </a:graphic>
          </wp:inline>
        </w:drawing>
      </w:r>
    </w:p>
    <w:p w14:paraId="310D4A3A" w14:textId="3C90DE44" w:rsidR="00AD18F0" w:rsidRDefault="00DD0301" w:rsidP="00AD18F0">
      <w:pPr>
        <w:pStyle w:val="CETBodytext"/>
        <w:sectPr w:rsidR="00AD18F0" w:rsidSect="005E5BE0">
          <w:type w:val="continuous"/>
          <w:pgSz w:w="11906" w:h="16838" w:code="9"/>
          <w:pgMar w:top="1701" w:right="1466" w:bottom="1701" w:left="1701" w:header="1701" w:footer="0" w:gutter="0"/>
          <w:cols w:num="2" w:space="279"/>
          <w:formProt w:val="0"/>
          <w:titlePg/>
          <w:docGrid w:linePitch="360"/>
        </w:sectPr>
      </w:pPr>
      <w:r w:rsidRPr="00086BF5">
        <w:t>(b)</w:t>
      </w:r>
    </w:p>
    <w:p w14:paraId="19CE96E3" w14:textId="186EC172" w:rsidR="00622995" w:rsidRPr="00086BF5" w:rsidRDefault="00F4079B" w:rsidP="00AD18F0">
      <w:pPr>
        <w:pStyle w:val="CETCaption"/>
        <w:rPr>
          <w:noProof/>
        </w:rPr>
      </w:pPr>
      <w:r w:rsidRPr="00086BF5">
        <w:t xml:space="preserve">Figure </w:t>
      </w:r>
      <w:r w:rsidR="00544B3D">
        <w:t>4</w:t>
      </w:r>
      <w:r w:rsidRPr="00086BF5">
        <w:t xml:space="preserve">: Variation of TEG purity (wt.%) as function of </w:t>
      </w:r>
      <w:r w:rsidR="00634238" w:rsidRPr="00634238">
        <w:rPr>
          <w:rFonts w:ascii="Calibri" w:hAnsi="Calibri" w:cs="Calibri"/>
          <w:i w:val="0"/>
        </w:rPr>
        <w:t>β</w:t>
      </w:r>
      <w:r w:rsidR="00634238">
        <w:t xml:space="preserve"> </w:t>
      </w:r>
      <w:r w:rsidRPr="00086BF5">
        <w:t>for different values of internal vapor recirculation. (a) Top section temperature of 59 °C. (b) Top section temperature of 34 °C.</w:t>
      </w:r>
    </w:p>
    <w:p w14:paraId="346E5F8B" w14:textId="767FFB9C" w:rsidR="002E3181" w:rsidRDefault="00C87E21" w:rsidP="002E3181">
      <w:pPr>
        <w:pStyle w:val="CETBodytext"/>
      </w:pPr>
      <w:r>
        <w:t xml:space="preserve">The effect of the temperature of the top section of the equipment can be analyzed through </w:t>
      </w:r>
      <w:r w:rsidRPr="007932A2">
        <w:t>the composition of the recirculating vapor</w:t>
      </w:r>
      <w:r>
        <w:t xml:space="preserve"> </w:t>
      </w:r>
      <w:r w:rsidRPr="007932A2">
        <w:t>from the top to the bottom section</w:t>
      </w:r>
      <w:r>
        <w:t xml:space="preserve"> and the amount of specific heat removed by the cooling pipe (expressed per kilogram of liquid feed). The heat removed from the system was calculated through an energy balance in the top section of the equipment for a steady state process. Latent heats of vaporization and heat capacities for each component of the ternary system were taken from Yaws (1999).</w:t>
      </w:r>
      <w:r w:rsidR="008D7833">
        <w:t xml:space="preserve"> </w:t>
      </w:r>
      <w:r w:rsidR="00E36D65">
        <w:t xml:space="preserve">Considering the conditions of </w:t>
      </w:r>
      <w:r w:rsidR="00E36D65">
        <w:rPr>
          <w:rFonts w:cs="Arial"/>
        </w:rPr>
        <w:t>α</w:t>
      </w:r>
      <w:r w:rsidR="00E36D65">
        <w:t xml:space="preserve"> and </w:t>
      </w:r>
      <w:r w:rsidR="00E36D65">
        <w:rPr>
          <w:rFonts w:ascii="Calibri" w:hAnsi="Calibri" w:cs="Calibri"/>
        </w:rPr>
        <w:t>β</w:t>
      </w:r>
      <w:r w:rsidR="00E36D65">
        <w:t xml:space="preserve"> at which the maximum TEG purity is achieved, Figure 5a </w:t>
      </w:r>
      <w:r w:rsidR="00E36D65" w:rsidRPr="00C9050E">
        <w:t xml:space="preserve">presents the mass fraction of methane as function of the top section temperature. </w:t>
      </w:r>
      <w:r w:rsidR="00C9050E" w:rsidRPr="00C9050E">
        <w:t xml:space="preserve">It can be seen that </w:t>
      </w:r>
      <w:r w:rsidR="00C3006F" w:rsidRPr="00C9050E">
        <w:t xml:space="preserve">the amount of methane present in the recirculating vapor </w:t>
      </w:r>
      <w:r w:rsidR="00C9050E" w:rsidRPr="00C9050E">
        <w:t>de</w:t>
      </w:r>
      <w:r w:rsidR="00C3006F" w:rsidRPr="00C9050E">
        <w:t xml:space="preserve">creases as </w:t>
      </w:r>
      <w:r w:rsidR="00C9050E" w:rsidRPr="00C9050E">
        <w:t>T</w:t>
      </w:r>
      <w:r w:rsidR="00C9050E" w:rsidRPr="00C9050E">
        <w:rPr>
          <w:vertAlign w:val="subscript"/>
        </w:rPr>
        <w:t>2</w:t>
      </w:r>
      <w:r w:rsidR="00C3006F" w:rsidRPr="00C9050E">
        <w:t xml:space="preserve"> increases</w:t>
      </w:r>
      <w:r w:rsidR="00C9050E" w:rsidRPr="00C9050E">
        <w:t xml:space="preserve"> up to a value of top temperature</w:t>
      </w:r>
      <w:r w:rsidR="00C9050E">
        <w:t xml:space="preserve"> </w:t>
      </w:r>
      <w:r w:rsidR="00C9050E" w:rsidRPr="00C9050E">
        <w:t xml:space="preserve">where it remains practically constant. This behavior demonstrates </w:t>
      </w:r>
      <w:r w:rsidR="00DC5BEC" w:rsidRPr="00C9050E">
        <w:t>that</w:t>
      </w:r>
      <w:r w:rsidR="00C9050E">
        <w:t>,</w:t>
      </w:r>
      <w:r w:rsidR="00C9050E" w:rsidRPr="00C9050E">
        <w:t xml:space="preserve"> at</w:t>
      </w:r>
      <w:r w:rsidR="00DC5BEC" w:rsidRPr="00C9050E">
        <w:t xml:space="preserve"> </w:t>
      </w:r>
      <w:r w:rsidR="00C9050E" w:rsidRPr="00C9050E">
        <w:t>lower top section temperatures</w:t>
      </w:r>
      <w:r w:rsidR="00C9050E">
        <w:t>,</w:t>
      </w:r>
      <w:r w:rsidR="00C9050E" w:rsidRPr="00C9050E">
        <w:t xml:space="preserve"> </w:t>
      </w:r>
      <w:r w:rsidR="00DC5BEC" w:rsidRPr="00C9050E">
        <w:t>more water is condensed and removed from the Coldfinger and more methane will recirculate to the bottom section enhancing the stripping effect of the injected dry gas</w:t>
      </w:r>
      <w:r>
        <w:t>, for a given dry gas inlet in the bottom section.</w:t>
      </w:r>
    </w:p>
    <w:p w14:paraId="5161466E" w14:textId="058200C2" w:rsidR="000F7C44" w:rsidRDefault="000F7C44" w:rsidP="000F7C44">
      <w:pPr>
        <w:pStyle w:val="CETBodytext"/>
      </w:pPr>
      <w:r w:rsidRPr="000F7C44">
        <w:t xml:space="preserve">Figure 5b shows </w:t>
      </w:r>
      <w:r w:rsidR="007F117B" w:rsidRPr="000F7C44">
        <w:t xml:space="preserve">the purity of enhanced regenerated TEG as a function of the </w:t>
      </w:r>
      <w:r w:rsidRPr="000F7C44">
        <w:t xml:space="preserve">specific heat removed. The results show that, as the amount of heat removed increases, more water is removed from TEG and its purity level increases, with the whole process becoming efficient </w:t>
      </w:r>
      <w:r w:rsidR="008D7833">
        <w:t xml:space="preserve">in the “vertical” region of </w:t>
      </w:r>
      <w:r w:rsidRPr="000F7C44">
        <w:t>the S-shaped curve. At low values of heat removal, which correspond to high top temperatures</w:t>
      </w:r>
      <w:r w:rsidR="00356D92">
        <w:t xml:space="preserve"> as marked in the plot</w:t>
      </w:r>
      <w:r w:rsidRPr="000F7C44">
        <w:t>, the regeneration of TEG increases in a very small amount, meaning that the heat removal is not efficient since it is leading to poor condensation of water from the recirculating vapor. However, as more heat is removed, there is a considerable increase of the TEG purity. In this region, the condensation degree of the vapor at the proximities of the cooling pipe is effective and a significant amount of water is removed from the recirculating vapor. Finally, TEG purity increases up to a point where it shows an asymptotic trend, meaning that additional heat removal is not effective in further improving TEG regeneration.</w:t>
      </w:r>
      <w:r>
        <w:t xml:space="preserve"> </w:t>
      </w:r>
    </w:p>
    <w:p w14:paraId="5130CB1C" w14:textId="77777777" w:rsidR="00DC5BEC" w:rsidRDefault="00DC5BEC" w:rsidP="00F4079B">
      <w:pPr>
        <w:pStyle w:val="CETBodytext"/>
      </w:pPr>
    </w:p>
    <w:p w14:paraId="559E6757" w14:textId="77777777" w:rsidR="00DC5BEC" w:rsidRDefault="00DC5BEC" w:rsidP="00F4079B">
      <w:pPr>
        <w:pStyle w:val="CETBodytext"/>
        <w:sectPr w:rsidR="00DC5BEC" w:rsidSect="0077098D">
          <w:type w:val="continuous"/>
          <w:pgSz w:w="11906" w:h="16838" w:code="9"/>
          <w:pgMar w:top="1701" w:right="1418" w:bottom="1701" w:left="1701" w:header="1701" w:footer="0" w:gutter="0"/>
          <w:cols w:space="708"/>
          <w:formProt w:val="0"/>
          <w:titlePg/>
          <w:docGrid w:linePitch="360"/>
        </w:sectPr>
      </w:pPr>
    </w:p>
    <w:p w14:paraId="2F386C09" w14:textId="5173F3F6" w:rsidR="00DC5BEC" w:rsidRDefault="00F74332" w:rsidP="00F4079B">
      <w:pPr>
        <w:pStyle w:val="CETBodytext"/>
      </w:pPr>
      <w:r w:rsidRPr="00F74332">
        <w:rPr>
          <w:noProof/>
        </w:rPr>
        <w:drawing>
          <wp:inline distT="0" distB="0" distL="0" distR="0" wp14:anchorId="26D87B2E" wp14:editId="4B9E8A01">
            <wp:extent cx="2560320" cy="1737360"/>
            <wp:effectExtent l="19050" t="19050" r="11430" b="1524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0320" cy="1737360"/>
                    </a:xfrm>
                    <a:prstGeom prst="rect">
                      <a:avLst/>
                    </a:prstGeom>
                    <a:noFill/>
                    <a:ln>
                      <a:solidFill>
                        <a:schemeClr val="tx1"/>
                      </a:solidFill>
                    </a:ln>
                  </pic:spPr>
                </pic:pic>
              </a:graphicData>
            </a:graphic>
          </wp:inline>
        </w:drawing>
      </w:r>
    </w:p>
    <w:p w14:paraId="6F05C174" w14:textId="31CB5003" w:rsidR="00DC5BEC" w:rsidRDefault="00DC5BEC" w:rsidP="00F4079B">
      <w:pPr>
        <w:pStyle w:val="CETBodytext"/>
      </w:pPr>
      <w:r>
        <w:t>(a)</w:t>
      </w:r>
    </w:p>
    <w:p w14:paraId="718C59E9" w14:textId="545C41BA" w:rsidR="00DC5BEC" w:rsidRDefault="00EF75D0" w:rsidP="00AF665D">
      <w:pPr>
        <w:pStyle w:val="CETBodytext"/>
        <w:ind w:left="-90"/>
      </w:pPr>
      <w:r w:rsidRPr="00EF75D0">
        <w:rPr>
          <w:noProof/>
        </w:rPr>
        <w:drawing>
          <wp:inline distT="0" distB="0" distL="0" distR="0" wp14:anchorId="4C09EF1A" wp14:editId="7593DAC5">
            <wp:extent cx="2560320" cy="1737360"/>
            <wp:effectExtent l="19050" t="19050" r="11430" b="1524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0320" cy="1737360"/>
                    </a:xfrm>
                    <a:prstGeom prst="rect">
                      <a:avLst/>
                    </a:prstGeom>
                    <a:noFill/>
                    <a:ln>
                      <a:solidFill>
                        <a:schemeClr val="tx1"/>
                      </a:solidFill>
                    </a:ln>
                  </pic:spPr>
                </pic:pic>
              </a:graphicData>
            </a:graphic>
          </wp:inline>
        </w:drawing>
      </w:r>
    </w:p>
    <w:p w14:paraId="5C536A0C" w14:textId="3299DF04" w:rsidR="00DC5BEC" w:rsidRDefault="00DC5BEC" w:rsidP="00F4079B">
      <w:pPr>
        <w:pStyle w:val="CETBodytext"/>
      </w:pPr>
      <w:r>
        <w:t>(b)</w:t>
      </w:r>
    </w:p>
    <w:p w14:paraId="04C7CB3A" w14:textId="77777777" w:rsidR="00DC5BEC" w:rsidRDefault="00DC5BEC" w:rsidP="00F4079B">
      <w:pPr>
        <w:pStyle w:val="CETBodytext"/>
        <w:sectPr w:rsidR="00DC5BEC" w:rsidSect="005E5BE0">
          <w:type w:val="continuous"/>
          <w:pgSz w:w="11906" w:h="16838" w:code="9"/>
          <w:pgMar w:top="1701" w:right="1418" w:bottom="1701" w:left="1701" w:header="1701" w:footer="0" w:gutter="0"/>
          <w:cols w:num="2" w:space="593"/>
          <w:formProt w:val="0"/>
          <w:titlePg/>
          <w:docGrid w:linePitch="360"/>
        </w:sectPr>
      </w:pPr>
    </w:p>
    <w:p w14:paraId="469BB62F" w14:textId="24D2B1F7" w:rsidR="00633CA4" w:rsidRDefault="00633CA4" w:rsidP="00633CA4">
      <w:pPr>
        <w:pStyle w:val="CETCaption"/>
        <w:rPr>
          <w:lang w:val="en-US"/>
        </w:rPr>
      </w:pPr>
      <w:r w:rsidRPr="00086BF5">
        <w:rPr>
          <w:lang w:val="en-US"/>
        </w:rPr>
        <w:t xml:space="preserve">Figure </w:t>
      </w:r>
      <w:r>
        <w:rPr>
          <w:lang w:val="en-US"/>
        </w:rPr>
        <w:t>5</w:t>
      </w:r>
      <w:r w:rsidRPr="00086BF5">
        <w:rPr>
          <w:lang w:val="en-US"/>
        </w:rPr>
        <w:t xml:space="preserve">: </w:t>
      </w:r>
      <w:r w:rsidR="00782DBC">
        <w:rPr>
          <w:lang w:val="en-US"/>
        </w:rPr>
        <w:t>Influence of the top section temperature on the Coldfinger process</w:t>
      </w:r>
      <w:r w:rsidR="0090211B">
        <w:rPr>
          <w:lang w:val="en-US"/>
        </w:rPr>
        <w:t xml:space="preserve"> for </w:t>
      </w:r>
      <w:r w:rsidR="0090211B" w:rsidRPr="0090211B">
        <w:rPr>
          <w:rFonts w:ascii="Calibri" w:hAnsi="Calibri" w:cs="Calibri"/>
          <w:i w:val="0"/>
          <w:lang w:val="en-US"/>
        </w:rPr>
        <w:t>β</w:t>
      </w:r>
      <w:r w:rsidR="007939F7">
        <w:rPr>
          <w:rFonts w:ascii="Calibri" w:hAnsi="Calibri" w:cs="Calibri"/>
          <w:i w:val="0"/>
          <w:lang w:val="en-US"/>
        </w:rPr>
        <w:t xml:space="preserve"> </w:t>
      </w:r>
      <w:r w:rsidR="0090211B">
        <w:rPr>
          <w:lang w:val="en-US"/>
        </w:rPr>
        <w:t>=</w:t>
      </w:r>
      <w:r w:rsidR="007939F7">
        <w:rPr>
          <w:lang w:val="en-US"/>
        </w:rPr>
        <w:t xml:space="preserve"> </w:t>
      </w:r>
      <w:r w:rsidR="0090211B">
        <w:rPr>
          <w:lang w:val="en-US"/>
        </w:rPr>
        <w:t xml:space="preserve">0.001 and </w:t>
      </w:r>
      <w:r w:rsidR="0090211B">
        <w:rPr>
          <w:rFonts w:cs="Arial"/>
          <w:lang w:val="en-US"/>
        </w:rPr>
        <w:t>α</w:t>
      </w:r>
      <w:r w:rsidR="007939F7">
        <w:rPr>
          <w:rFonts w:cs="Arial"/>
          <w:lang w:val="en-US"/>
        </w:rPr>
        <w:t xml:space="preserve"> </w:t>
      </w:r>
      <w:r w:rsidR="0090211B">
        <w:rPr>
          <w:lang w:val="en-US"/>
        </w:rPr>
        <w:t>=</w:t>
      </w:r>
      <w:r w:rsidR="007939F7">
        <w:rPr>
          <w:lang w:val="en-US"/>
        </w:rPr>
        <w:t xml:space="preserve"> </w:t>
      </w:r>
      <w:r w:rsidR="0090211B">
        <w:rPr>
          <w:lang w:val="en-US"/>
        </w:rPr>
        <w:t>0.8</w:t>
      </w:r>
      <w:r w:rsidR="00782DBC">
        <w:rPr>
          <w:lang w:val="en-US"/>
        </w:rPr>
        <w:t xml:space="preserve">. </w:t>
      </w:r>
      <w:r w:rsidR="000412F5">
        <w:rPr>
          <w:lang w:val="en-US"/>
        </w:rPr>
        <w:t>(</w:t>
      </w:r>
      <w:r w:rsidR="00782DBC">
        <w:rPr>
          <w:lang w:val="en-US"/>
        </w:rPr>
        <w:t>a) Mass fraction of CH</w:t>
      </w:r>
      <w:r w:rsidR="00782DBC" w:rsidRPr="0090211B">
        <w:rPr>
          <w:vertAlign w:val="subscript"/>
          <w:lang w:val="en-US"/>
        </w:rPr>
        <w:t>4</w:t>
      </w:r>
      <w:r w:rsidR="00782DBC">
        <w:rPr>
          <w:lang w:val="en-US"/>
        </w:rPr>
        <w:t xml:space="preserve"> in the recirculated vapor</w:t>
      </w:r>
      <w:r w:rsidR="0090211B">
        <w:rPr>
          <w:lang w:val="en-US"/>
        </w:rPr>
        <w:t xml:space="preserve">. </w:t>
      </w:r>
      <w:r w:rsidR="000412F5">
        <w:rPr>
          <w:lang w:val="en-US"/>
        </w:rPr>
        <w:t>(</w:t>
      </w:r>
      <w:r w:rsidR="0090211B">
        <w:rPr>
          <w:lang w:val="en-US"/>
        </w:rPr>
        <w:t>b)</w:t>
      </w:r>
      <w:r w:rsidR="00782DBC">
        <w:rPr>
          <w:lang w:val="en-US"/>
        </w:rPr>
        <w:t xml:space="preserve"> </w:t>
      </w:r>
      <w:r w:rsidR="007F117B">
        <w:rPr>
          <w:lang w:val="en-US"/>
        </w:rPr>
        <w:t>Purity of TEG (wt.%) as a function of the s</w:t>
      </w:r>
      <w:r w:rsidR="007939F7">
        <w:rPr>
          <w:lang w:val="en-US"/>
        </w:rPr>
        <w:t>pecific h</w:t>
      </w:r>
      <w:r w:rsidR="0090211B">
        <w:rPr>
          <w:lang w:val="en-US"/>
        </w:rPr>
        <w:t xml:space="preserve">eat </w:t>
      </w:r>
      <w:r w:rsidR="00932FF4">
        <w:rPr>
          <w:lang w:val="en-US"/>
        </w:rPr>
        <w:t xml:space="preserve">removed from the </w:t>
      </w:r>
      <w:r w:rsidR="007939F7">
        <w:rPr>
          <w:lang w:val="en-US"/>
        </w:rPr>
        <w:t>top section (per kilogram of feed)</w:t>
      </w:r>
      <w:r w:rsidR="007F117B">
        <w:rPr>
          <w:lang w:val="en-US"/>
        </w:rPr>
        <w:t>.</w:t>
      </w:r>
    </w:p>
    <w:p w14:paraId="4B626233" w14:textId="0320CC1D" w:rsidR="001B2D02" w:rsidRDefault="001B2D02" w:rsidP="001B2D02">
      <w:pPr>
        <w:pStyle w:val="CETHeading1"/>
        <w:tabs>
          <w:tab w:val="right" w:pos="7100"/>
        </w:tabs>
        <w:jc w:val="both"/>
      </w:pPr>
      <w:r>
        <w:lastRenderedPageBreak/>
        <w:t>Conclusions</w:t>
      </w:r>
    </w:p>
    <w:p w14:paraId="6455D0FA" w14:textId="3D586A87" w:rsidR="00CD5883" w:rsidRDefault="003652CE" w:rsidP="001B2D02">
      <w:pPr>
        <w:pStyle w:val="CETBodytext"/>
      </w:pPr>
      <w:r>
        <w:t>Conceptual m</w:t>
      </w:r>
      <w:r w:rsidR="001B2D02">
        <w:t xml:space="preserve">odeling of the Coldfinger </w:t>
      </w:r>
      <w:r>
        <w:t xml:space="preserve">water exhauster </w:t>
      </w:r>
      <w:r w:rsidR="001B2D02">
        <w:t xml:space="preserve">is successfully achieved </w:t>
      </w:r>
      <w:r>
        <w:t>by representing the equipment as</w:t>
      </w:r>
      <w:r w:rsidR="0033369F">
        <w:t xml:space="preserve"> </w:t>
      </w:r>
      <w:r>
        <w:t>a two-stage phase equilibrium system with internal recirculation of the vapor and different stage temperatures</w:t>
      </w:r>
      <w:r w:rsidR="001B2D02" w:rsidRPr="00111AB4">
        <w:t>.</w:t>
      </w:r>
      <w:r w:rsidR="00111AB4">
        <w:t xml:space="preserve"> </w:t>
      </w:r>
      <w:r w:rsidR="00A049E8" w:rsidRPr="00111AB4">
        <w:t>Operating on simplified ternary system (CH</w:t>
      </w:r>
      <w:r w:rsidR="00A049E8" w:rsidRPr="00111AB4">
        <w:rPr>
          <w:vertAlign w:val="subscript"/>
        </w:rPr>
        <w:t>4</w:t>
      </w:r>
      <w:r w:rsidR="00A049E8" w:rsidRPr="00111AB4">
        <w:t>-water-TEG)</w:t>
      </w:r>
      <w:r w:rsidR="00111AB4" w:rsidRPr="00111AB4">
        <w:t>, i</w:t>
      </w:r>
      <w:r w:rsidR="001B2D02" w:rsidRPr="00111AB4">
        <w:t xml:space="preserve">t is </w:t>
      </w:r>
      <w:r w:rsidR="00111AB4" w:rsidRPr="00111AB4">
        <w:t xml:space="preserve">shown how </w:t>
      </w:r>
      <w:r w:rsidR="001B2D02" w:rsidRPr="00111AB4">
        <w:t xml:space="preserve">the Coldfinger technology is able of increasing the purity of TEG </w:t>
      </w:r>
      <w:r w:rsidR="00111AB4" w:rsidRPr="00111AB4">
        <w:t xml:space="preserve">up </w:t>
      </w:r>
      <w:r w:rsidR="001B2D02" w:rsidRPr="00111AB4">
        <w:t>to</w:t>
      </w:r>
      <w:r w:rsidR="00111AB4" w:rsidRPr="00111AB4">
        <w:t xml:space="preserve"> </w:t>
      </w:r>
      <w:r w:rsidR="00AD1B79">
        <w:t>approximately 99.9</w:t>
      </w:r>
      <w:r w:rsidR="001B2D02" w:rsidRPr="00111AB4">
        <w:t xml:space="preserve"> wt.% in the regeneration process by using only a </w:t>
      </w:r>
      <w:r w:rsidRPr="00111AB4">
        <w:t xml:space="preserve">small </w:t>
      </w:r>
      <w:r w:rsidR="001B2D02" w:rsidRPr="00111AB4">
        <w:t xml:space="preserve">fraction of the dry gas </w:t>
      </w:r>
      <w:r w:rsidR="00111AB4" w:rsidRPr="00111AB4">
        <w:t xml:space="preserve">that would be </w:t>
      </w:r>
      <w:r w:rsidR="001B2D02" w:rsidRPr="00111AB4">
        <w:t>needed in a single-stage stripping</w:t>
      </w:r>
      <w:r w:rsidR="00111AB4" w:rsidRPr="00111AB4">
        <w:t xml:space="preserve"> process</w:t>
      </w:r>
      <w:r w:rsidR="00CD5883" w:rsidRPr="00111AB4">
        <w:t xml:space="preserve">. </w:t>
      </w:r>
      <w:r w:rsidR="0033369F" w:rsidRPr="00111AB4">
        <w:t>For instance</w:t>
      </w:r>
      <w:r w:rsidR="00CD5883" w:rsidRPr="00111AB4">
        <w:t>,</w:t>
      </w:r>
      <w:r w:rsidR="00C46481" w:rsidRPr="00111AB4">
        <w:t xml:space="preserve"> </w:t>
      </w:r>
      <w:r w:rsidR="00111AB4" w:rsidRPr="00111AB4">
        <w:t>a</w:t>
      </w:r>
      <w:r w:rsidR="00CD5883" w:rsidRPr="00111AB4">
        <w:t xml:space="preserve"> TEG purity of 99.86 wt.%</w:t>
      </w:r>
      <w:r w:rsidR="00111AB4" w:rsidRPr="00111AB4">
        <w:t xml:space="preserve"> is obtained </w:t>
      </w:r>
      <w:r w:rsidR="00CD5883" w:rsidRPr="00111AB4">
        <w:t xml:space="preserve">using the Coldfinger technology, considering an internal vapor recirculation ratio of 0.8 and a temperature of the top section of 34 °C, </w:t>
      </w:r>
      <w:r w:rsidR="0033369F" w:rsidRPr="00111AB4">
        <w:t>with an</w:t>
      </w:r>
      <w:r w:rsidR="00CD5883" w:rsidRPr="00111AB4">
        <w:t xml:space="preserve"> amount of stripping gas </w:t>
      </w:r>
      <w:r w:rsidR="0033369F" w:rsidRPr="00111AB4">
        <w:t>of</w:t>
      </w:r>
      <w:r w:rsidR="00CD5883" w:rsidRPr="00111AB4">
        <w:t xml:space="preserve"> approximately 1</w:t>
      </w:r>
      <w:r w:rsidR="00AD1B79">
        <w:t xml:space="preserve"> </w:t>
      </w:r>
      <w:r w:rsidR="00CD5883" w:rsidRPr="00111AB4">
        <w:t>% of the liquid feed entering the Coldfinger, whereas the same TEG purity could be achieved in a single-stage stripping regeneration process with an injection of stripping gas corresponding to 5</w:t>
      </w:r>
      <w:r w:rsidR="00AD1B79">
        <w:t xml:space="preserve"> </w:t>
      </w:r>
      <w:r w:rsidR="00CD5883" w:rsidRPr="00111AB4">
        <w:t>% of the liquid feed leaving the reboiler</w:t>
      </w:r>
      <w:r w:rsidR="00111AB4" w:rsidRPr="00111AB4">
        <w:t xml:space="preserve">. This result is an example of quantification of the advantage of </w:t>
      </w:r>
      <w:r w:rsidR="00CD5883" w:rsidRPr="00111AB4">
        <w:t>Coldfinger over the conventional stripping process.</w:t>
      </w:r>
      <w:r w:rsidR="00C46481">
        <w:t xml:space="preserve"> </w:t>
      </w:r>
    </w:p>
    <w:p w14:paraId="59DC93C2" w14:textId="03FB9769" w:rsidR="00F22234" w:rsidRPr="00EB644D" w:rsidRDefault="001B2D02" w:rsidP="001B2D02">
      <w:pPr>
        <w:pStyle w:val="CETBodytext"/>
      </w:pPr>
      <w:r w:rsidRPr="00EB644D">
        <w:t xml:space="preserve">Through </w:t>
      </w:r>
      <w:r w:rsidR="00F22234" w:rsidRPr="00EB644D">
        <w:t>the</w:t>
      </w:r>
      <w:r w:rsidRPr="00EB644D">
        <w:t xml:space="preserve"> in-depth study of the </w:t>
      </w:r>
      <w:r w:rsidR="00F22234" w:rsidRPr="00EB644D">
        <w:t xml:space="preserve">parameters influencing the performance of the Coldfinger, it is seen that the </w:t>
      </w:r>
      <w:r w:rsidR="00D85B89">
        <w:t>internal vapor recirculation</w:t>
      </w:r>
      <w:r w:rsidR="00F22234" w:rsidRPr="00EB644D">
        <w:t>, along with the constant condensation of water on the surface of the cooling coil, exert</w:t>
      </w:r>
      <w:r w:rsidR="00AD1B79">
        <w:t>s</w:t>
      </w:r>
      <w:r w:rsidR="00F22234" w:rsidRPr="00EB644D">
        <w:t xml:space="preserve"> a strong influence on the achievable levels of TEG dehydration. These parameters are, in fact, the key </w:t>
      </w:r>
      <w:r w:rsidR="003638F3">
        <w:t xml:space="preserve">conceptual parameters </w:t>
      </w:r>
      <w:r w:rsidR="003638F3" w:rsidRPr="00EB644D">
        <w:t>to</w:t>
      </w:r>
      <w:r w:rsidR="003638F3">
        <w:t xml:space="preserve"> explain</w:t>
      </w:r>
      <w:r w:rsidR="00F22234" w:rsidRPr="00EB644D">
        <w:t xml:space="preserve"> the </w:t>
      </w:r>
      <w:r w:rsidR="003638F3">
        <w:t xml:space="preserve">extent of the enhanced TEG regeneration with small amounts of injected dry gas. </w:t>
      </w:r>
      <w:r w:rsidR="00EC516B" w:rsidRPr="00EB644D">
        <w:t xml:space="preserve">The heat removed from the </w:t>
      </w:r>
      <w:r w:rsidR="00EE3C54">
        <w:t>top</w:t>
      </w:r>
      <w:r w:rsidR="00EC516B" w:rsidRPr="00EB644D">
        <w:t xml:space="preserve"> section of the apparatus shows, as well, that the </w:t>
      </w:r>
      <w:r w:rsidR="004F27AB" w:rsidRPr="00EB644D">
        <w:t xml:space="preserve">purity of TEG depends strongly on the </w:t>
      </w:r>
      <w:r w:rsidR="00EC516B" w:rsidRPr="00EB644D">
        <w:t xml:space="preserve">condensation capacity of the cooling </w:t>
      </w:r>
      <w:r w:rsidR="0009261C" w:rsidRPr="00EB644D">
        <w:t>pipe</w:t>
      </w:r>
      <w:r w:rsidR="004F27AB" w:rsidRPr="00EB644D">
        <w:t>.</w:t>
      </w:r>
    </w:p>
    <w:p w14:paraId="4922DD3B" w14:textId="20FC3AA2" w:rsidR="00083BC0" w:rsidRDefault="00083BC0" w:rsidP="00083BC0">
      <w:pPr>
        <w:pStyle w:val="CETBodytext"/>
      </w:pPr>
      <w:r w:rsidRPr="00EB644D">
        <w:t>The results presented in this work demonstrate that it is possible to explain the behavior of the Coldfinger water exhauster based on thermodynamics</w:t>
      </w:r>
      <w:r w:rsidR="003638F3">
        <w:t>. C</w:t>
      </w:r>
      <w:r w:rsidRPr="00EB644D">
        <w:t xml:space="preserve">onsequently, the </w:t>
      </w:r>
      <w:r w:rsidR="003638F3">
        <w:t xml:space="preserve">presented </w:t>
      </w:r>
      <w:r w:rsidRPr="00EB644D">
        <w:t>approach</w:t>
      </w:r>
      <w:r w:rsidR="003638F3">
        <w:t xml:space="preserve"> is suggested as a Coldfinger model for the </w:t>
      </w:r>
      <w:r w:rsidRPr="00EB644D">
        <w:t>conceptual design of the unit</w:t>
      </w:r>
      <w:r w:rsidR="00EB644D" w:rsidRPr="00EB644D">
        <w:t xml:space="preserve">, </w:t>
      </w:r>
      <w:r w:rsidR="003638F3">
        <w:t>to be implemented as a</w:t>
      </w:r>
      <w:r w:rsidR="00EB644D" w:rsidRPr="00EB644D">
        <w:t xml:space="preserve"> starting point </w:t>
      </w:r>
      <w:r w:rsidR="003638F3">
        <w:t>for the</w:t>
      </w:r>
      <w:r w:rsidR="00EB644D" w:rsidRPr="00EB644D">
        <w:t xml:space="preserve"> equipment design.</w:t>
      </w:r>
    </w:p>
    <w:p w14:paraId="0CA33CC1" w14:textId="77777777" w:rsidR="004B344F" w:rsidRPr="004B344F" w:rsidRDefault="004B344F" w:rsidP="004B344F">
      <w:pPr>
        <w:pStyle w:val="CETAcknowledgementstitle"/>
        <w:rPr>
          <w:lang w:val="en-US"/>
        </w:rPr>
      </w:pPr>
      <w:r w:rsidRPr="004B344F">
        <w:rPr>
          <w:lang w:val="en-US"/>
        </w:rPr>
        <w:t>Acknowledgments</w:t>
      </w:r>
    </w:p>
    <w:p w14:paraId="1A45757A" w14:textId="43E3FE85" w:rsidR="004B344F" w:rsidRPr="004B344F" w:rsidRDefault="004B344F" w:rsidP="004B344F">
      <w:pPr>
        <w:pStyle w:val="CETAcknowledgementstitle"/>
        <w:spacing w:before="0"/>
        <w:rPr>
          <w:b w:val="0"/>
          <w:lang w:val="en-US"/>
        </w:rPr>
      </w:pPr>
      <w:r w:rsidRPr="004B344F">
        <w:rPr>
          <w:b w:val="0"/>
          <w:lang w:val="en-US"/>
        </w:rPr>
        <w:t xml:space="preserve">The </w:t>
      </w:r>
      <w:r w:rsidRPr="004B344F">
        <w:rPr>
          <w:b w:val="0"/>
          <w:lang w:val="en-US"/>
        </w:rPr>
        <w:t>Danish Hydrocarbon Research and Technology Centre (DHRTC</w:t>
      </w:r>
      <w:r w:rsidRPr="004B344F">
        <w:rPr>
          <w:b w:val="0"/>
          <w:lang w:val="en-US"/>
        </w:rPr>
        <w:t>) is acknowledged for financial support.</w:t>
      </w:r>
    </w:p>
    <w:p w14:paraId="7714F015" w14:textId="4CA47730" w:rsidR="006A3000" w:rsidRDefault="006A3000" w:rsidP="005278B3">
      <w:pPr>
        <w:pStyle w:val="CETReference"/>
      </w:pPr>
      <w:r>
        <w:t>References</w:t>
      </w:r>
    </w:p>
    <w:p w14:paraId="5EA084E3" w14:textId="016692B0" w:rsidR="00CF40A0" w:rsidRPr="000442FE" w:rsidRDefault="00CF40A0" w:rsidP="000442FE">
      <w:pPr>
        <w:pStyle w:val="CETReferencetext"/>
      </w:pPr>
      <w:r w:rsidRPr="000442FE">
        <w:t>Chapoy</w:t>
      </w:r>
      <w:r w:rsidR="00922E77" w:rsidRPr="000442FE">
        <w:t xml:space="preserve"> </w:t>
      </w:r>
      <w:r w:rsidRPr="000442FE">
        <w:t>A., Mohammadi</w:t>
      </w:r>
      <w:r w:rsidR="00922E77" w:rsidRPr="000442FE">
        <w:t xml:space="preserve"> </w:t>
      </w:r>
      <w:r w:rsidRPr="000442FE">
        <w:t>A., Richon</w:t>
      </w:r>
      <w:r w:rsidR="00922E77" w:rsidRPr="000442FE">
        <w:t xml:space="preserve"> </w:t>
      </w:r>
      <w:r w:rsidRPr="000442FE">
        <w:t>D., Tohidi</w:t>
      </w:r>
      <w:r w:rsidR="00D84207" w:rsidRPr="000442FE">
        <w:t xml:space="preserve"> </w:t>
      </w:r>
      <w:r w:rsidRPr="000442FE">
        <w:t>B., 2004, Gas solubility measurement and modeling for methane-water and methane-ethane-n-butane-water systems at low temperature conditions, Fluid Phase Equilibria, 220, 113-121.</w:t>
      </w:r>
    </w:p>
    <w:p w14:paraId="4F16F3CC" w14:textId="1F4E727F" w:rsidR="00CF40A0" w:rsidRPr="000442FE" w:rsidRDefault="00CF40A0" w:rsidP="000442FE">
      <w:pPr>
        <w:pStyle w:val="CETReferencetext"/>
      </w:pPr>
      <w:r w:rsidRPr="000442FE">
        <w:t>Culberson</w:t>
      </w:r>
      <w:r w:rsidR="00D84207" w:rsidRPr="000442FE">
        <w:t xml:space="preserve"> </w:t>
      </w:r>
      <w:r w:rsidRPr="000442FE">
        <w:t>O., McKetta</w:t>
      </w:r>
      <w:r w:rsidR="00D84207" w:rsidRPr="000442FE">
        <w:t xml:space="preserve"> </w:t>
      </w:r>
      <w:r w:rsidRPr="000442FE">
        <w:t xml:space="preserve">J., 1951, Phase equilibria in hydrocarbon-water systems III – The solubility of methane in water at pressures to 10,000 psia, </w:t>
      </w:r>
      <w:r w:rsidR="00B6679D" w:rsidRPr="000442FE">
        <w:t>Petroleum Transactions</w:t>
      </w:r>
      <w:r w:rsidR="00F216C4" w:rsidRPr="000442FE">
        <w:t>,</w:t>
      </w:r>
      <w:r w:rsidR="00B6679D" w:rsidRPr="000442FE">
        <w:t xml:space="preserve"> AIME, 192, 223-226.</w:t>
      </w:r>
    </w:p>
    <w:p w14:paraId="045F31DA" w14:textId="05048E48" w:rsidR="00F57683" w:rsidRPr="000442FE" w:rsidRDefault="00F57683" w:rsidP="000442FE">
      <w:pPr>
        <w:pStyle w:val="CETReferencetext"/>
      </w:pPr>
      <w:r w:rsidRPr="000442FE">
        <w:t>Gironi</w:t>
      </w:r>
      <w:r w:rsidR="00D84207" w:rsidRPr="000442FE">
        <w:t xml:space="preserve"> </w:t>
      </w:r>
      <w:r w:rsidRPr="000442FE">
        <w:t>F., Maschietti</w:t>
      </w:r>
      <w:r w:rsidR="00D84207" w:rsidRPr="000442FE">
        <w:t xml:space="preserve"> </w:t>
      </w:r>
      <w:r w:rsidRPr="000442FE">
        <w:t>M., Piemonte V., Diba</w:t>
      </w:r>
      <w:r w:rsidR="00D84207" w:rsidRPr="000442FE">
        <w:t xml:space="preserve"> </w:t>
      </w:r>
      <w:r w:rsidRPr="000442FE">
        <w:t>D., Gallegati</w:t>
      </w:r>
      <w:r w:rsidR="00D84207" w:rsidRPr="000442FE">
        <w:t xml:space="preserve"> </w:t>
      </w:r>
      <w:r w:rsidRPr="000442FE">
        <w:t>S.</w:t>
      </w:r>
      <w:r w:rsidR="00F12C1D" w:rsidRPr="000442FE">
        <w:t xml:space="preserve">, </w:t>
      </w:r>
      <w:r w:rsidRPr="000442FE">
        <w:t>Schiavo</w:t>
      </w:r>
      <w:r w:rsidR="00D84207" w:rsidRPr="000442FE">
        <w:t xml:space="preserve"> </w:t>
      </w:r>
      <w:r w:rsidRPr="000442FE">
        <w:t xml:space="preserve">S., </w:t>
      </w:r>
      <w:r w:rsidR="005278B3" w:rsidRPr="000442FE">
        <w:t>2007</w:t>
      </w:r>
      <w:r w:rsidR="00314F18" w:rsidRPr="000442FE">
        <w:t>a</w:t>
      </w:r>
      <w:r w:rsidR="005278B3" w:rsidRPr="000442FE">
        <w:t xml:space="preserve">, </w:t>
      </w:r>
      <w:r w:rsidR="003424D0" w:rsidRPr="000442FE">
        <w:t>Triethylene glycol regeneration in natural gas dehydration plants: a study on the Coldfinger process</w:t>
      </w:r>
      <w:r w:rsidR="005278B3" w:rsidRPr="000442FE">
        <w:t>,</w:t>
      </w:r>
      <w:r w:rsidRPr="000442FE">
        <w:t xml:space="preserve"> in Proceedings of the 8</w:t>
      </w:r>
      <w:r w:rsidR="00314F18" w:rsidRPr="000442FE">
        <w:rPr>
          <w:vertAlign w:val="superscript"/>
        </w:rPr>
        <w:t>th</w:t>
      </w:r>
      <w:r w:rsidRPr="000442FE">
        <w:t xml:space="preserve"> Offshore Mediterranean Conference and Exhibition (OMC 2007), Ravenna, Italy.</w:t>
      </w:r>
    </w:p>
    <w:p w14:paraId="2781C426" w14:textId="0F98FA3A" w:rsidR="00CF40A0" w:rsidRPr="000442FE" w:rsidRDefault="00CF40A0" w:rsidP="000442FE">
      <w:pPr>
        <w:pStyle w:val="CETReferencetext"/>
      </w:pPr>
      <w:r w:rsidRPr="000442FE">
        <w:t>Gironi</w:t>
      </w:r>
      <w:r w:rsidR="00D84207" w:rsidRPr="000442FE">
        <w:t xml:space="preserve"> </w:t>
      </w:r>
      <w:r w:rsidRPr="000442FE">
        <w:t>F., Maschietti</w:t>
      </w:r>
      <w:r w:rsidR="00D84207" w:rsidRPr="000442FE">
        <w:t xml:space="preserve"> </w:t>
      </w:r>
      <w:r w:rsidRPr="000442FE">
        <w:t>M., Piemonte</w:t>
      </w:r>
      <w:r w:rsidR="00D84207" w:rsidRPr="000442FE">
        <w:t xml:space="preserve"> </w:t>
      </w:r>
      <w:r w:rsidRPr="000442FE">
        <w:t>V., 2007b, Modelling of triethylene glycol – water system for natural gas dehydration, Chemical Engineering Transactions, 11, 881-886.</w:t>
      </w:r>
    </w:p>
    <w:p w14:paraId="4CB6B87A" w14:textId="07941F5A" w:rsidR="005537F4" w:rsidRPr="000442FE" w:rsidRDefault="005537F4" w:rsidP="000442FE">
      <w:pPr>
        <w:pStyle w:val="CETReferencetext"/>
      </w:pPr>
      <w:r w:rsidRPr="000442FE">
        <w:t>Gironi</w:t>
      </w:r>
      <w:r w:rsidR="00D84207" w:rsidRPr="000442FE">
        <w:t xml:space="preserve"> </w:t>
      </w:r>
      <w:r w:rsidRPr="000442FE">
        <w:t>F., Ma</w:t>
      </w:r>
      <w:r w:rsidR="00746AFC" w:rsidRPr="000442FE">
        <w:t>s</w:t>
      </w:r>
      <w:r w:rsidRPr="000442FE">
        <w:t>chietti</w:t>
      </w:r>
      <w:r w:rsidR="00D84207" w:rsidRPr="000442FE">
        <w:t xml:space="preserve"> </w:t>
      </w:r>
      <w:r w:rsidRPr="000442FE">
        <w:t>M., Piemonte</w:t>
      </w:r>
      <w:r w:rsidR="00D84207" w:rsidRPr="000442FE">
        <w:t xml:space="preserve"> </w:t>
      </w:r>
      <w:r w:rsidRPr="000442FE">
        <w:t xml:space="preserve">V., 2010, Natural gas dehydration: a triethylene glycol – water system analysis, Energy Sources, </w:t>
      </w:r>
      <w:r w:rsidR="004D67AC" w:rsidRPr="000442FE">
        <w:t xml:space="preserve">Part A: </w:t>
      </w:r>
      <w:r w:rsidR="00812EA2" w:rsidRPr="000442FE">
        <w:t>Recovery, utilization, and Environmental Effects, 32:20, 1861-1868.</w:t>
      </w:r>
    </w:p>
    <w:p w14:paraId="03ED75E6" w14:textId="77B54B54" w:rsidR="002E34BA" w:rsidRPr="000442FE" w:rsidRDefault="002E34BA" w:rsidP="000442FE">
      <w:pPr>
        <w:pStyle w:val="CETReferencetext"/>
      </w:pPr>
      <w:r w:rsidRPr="000442FE">
        <w:t>GPSA, 2012, Engineering Databook, 13</w:t>
      </w:r>
      <w:r w:rsidRPr="000442FE">
        <w:rPr>
          <w:vertAlign w:val="superscript"/>
        </w:rPr>
        <w:t>th</w:t>
      </w:r>
      <w:r w:rsidRPr="000442FE">
        <w:t xml:space="preserve"> Edition - SI, Volume I+II, Tulsa Oklahoma, USA. </w:t>
      </w:r>
    </w:p>
    <w:p w14:paraId="04C619EA" w14:textId="5BEB78BB" w:rsidR="00CF40A0" w:rsidRPr="000442FE" w:rsidRDefault="00CF40A0" w:rsidP="000442FE">
      <w:pPr>
        <w:pStyle w:val="CETReferencetext"/>
      </w:pPr>
      <w:r w:rsidRPr="000442FE">
        <w:t>Jou</w:t>
      </w:r>
      <w:r w:rsidR="00D84207" w:rsidRPr="000442FE">
        <w:t xml:space="preserve"> </w:t>
      </w:r>
      <w:r w:rsidRPr="000442FE">
        <w:t>F., Deshmukh</w:t>
      </w:r>
      <w:r w:rsidR="00D84207" w:rsidRPr="000442FE">
        <w:t xml:space="preserve"> </w:t>
      </w:r>
      <w:r w:rsidRPr="000442FE">
        <w:t>R., Otto</w:t>
      </w:r>
      <w:r w:rsidR="00D84207" w:rsidRPr="000442FE">
        <w:t xml:space="preserve"> </w:t>
      </w:r>
      <w:r w:rsidRPr="000442FE">
        <w:t>F., Mather</w:t>
      </w:r>
      <w:r w:rsidR="00D84207" w:rsidRPr="000442FE">
        <w:t xml:space="preserve"> </w:t>
      </w:r>
      <w:r w:rsidRPr="000442FE">
        <w:t>A., 1987, Vapor-liquid equilibria for acid gases and lower alkane</w:t>
      </w:r>
      <w:r w:rsidR="00675221" w:rsidRPr="000442FE">
        <w:t>s</w:t>
      </w:r>
      <w:r w:rsidRPr="000442FE">
        <w:t xml:space="preserve"> in triethylene glycol, Fluid Phase Equilibria, 36, 121-140.</w:t>
      </w:r>
    </w:p>
    <w:p w14:paraId="58D43AE2" w14:textId="43CD18E9" w:rsidR="003424D0" w:rsidRPr="000442FE" w:rsidRDefault="00F12C1D" w:rsidP="000442FE">
      <w:pPr>
        <w:pStyle w:val="CETReferencetext"/>
      </w:pPr>
      <w:r w:rsidRPr="000442FE">
        <w:t>Øi</w:t>
      </w:r>
      <w:r w:rsidR="00D84207" w:rsidRPr="000442FE">
        <w:t xml:space="preserve"> </w:t>
      </w:r>
      <w:r w:rsidRPr="000442FE">
        <w:t>L</w:t>
      </w:r>
      <w:r w:rsidR="000442FE">
        <w:t>.</w:t>
      </w:r>
      <w:r w:rsidRPr="000442FE">
        <w:t xml:space="preserve">, </w:t>
      </w:r>
      <w:r w:rsidR="00D84207" w:rsidRPr="000442FE">
        <w:t xml:space="preserve">Selstø </w:t>
      </w:r>
      <w:r w:rsidRPr="000442FE">
        <w:t>E., 2002, Process simulation of glycol regeneration, for presentation at GPA Europe’s meeting, Bergen, Norway.</w:t>
      </w:r>
    </w:p>
    <w:p w14:paraId="32F9CE49" w14:textId="4DB12AEB" w:rsidR="00F12C1D" w:rsidRPr="000442FE" w:rsidRDefault="00F12C1D" w:rsidP="000442FE">
      <w:pPr>
        <w:pStyle w:val="CETReferencetext"/>
      </w:pPr>
      <w:r w:rsidRPr="000442FE">
        <w:t>Perry</w:t>
      </w:r>
      <w:r w:rsidR="00D84207" w:rsidRPr="000442FE">
        <w:t xml:space="preserve"> </w:t>
      </w:r>
      <w:r w:rsidRPr="000442FE">
        <w:t>R.H., Green</w:t>
      </w:r>
      <w:r w:rsidR="00D84207" w:rsidRPr="000442FE">
        <w:t xml:space="preserve"> </w:t>
      </w:r>
      <w:r w:rsidRPr="000442FE">
        <w:t>D.W.</w:t>
      </w:r>
      <w:r w:rsidR="00565AD9" w:rsidRPr="000442FE">
        <w:t xml:space="preserve"> (Eds.)</w:t>
      </w:r>
      <w:r w:rsidRPr="000442FE">
        <w:t>, 1999, Perry’s Chemical Engineers’ Handbook, McGraw-Hill, New York, USA.</w:t>
      </w:r>
    </w:p>
    <w:p w14:paraId="0466B8AB" w14:textId="3AE9B257" w:rsidR="00CF40A0" w:rsidRPr="000442FE" w:rsidRDefault="00CF40A0" w:rsidP="000442FE">
      <w:pPr>
        <w:pStyle w:val="CETReferencetext"/>
      </w:pPr>
      <w:r w:rsidRPr="000442FE">
        <w:t>Rahimpour</w:t>
      </w:r>
      <w:r w:rsidR="00D84207" w:rsidRPr="000442FE">
        <w:t xml:space="preserve"> </w:t>
      </w:r>
      <w:r w:rsidRPr="000442FE">
        <w:t>M., Jokar</w:t>
      </w:r>
      <w:r w:rsidR="00D84207" w:rsidRPr="000442FE">
        <w:t xml:space="preserve"> </w:t>
      </w:r>
      <w:r w:rsidRPr="000442FE">
        <w:t>S., Feyzi</w:t>
      </w:r>
      <w:r w:rsidR="00D84207" w:rsidRPr="000442FE">
        <w:t xml:space="preserve"> </w:t>
      </w:r>
      <w:r w:rsidRPr="000442FE">
        <w:t>P., Asghari</w:t>
      </w:r>
      <w:r w:rsidR="00D84207" w:rsidRPr="000442FE">
        <w:t xml:space="preserve"> </w:t>
      </w:r>
      <w:r w:rsidRPr="000442FE">
        <w:t>R.,</w:t>
      </w:r>
      <w:r w:rsidR="00565AD9" w:rsidRPr="000442FE">
        <w:t xml:space="preserve"> 2013, </w:t>
      </w:r>
      <w:r w:rsidRPr="000442FE">
        <w:t>Investigating the performance of dehydration unit with Coldfinger technology in gas processing plant,</w:t>
      </w:r>
      <w:r w:rsidR="00565AD9" w:rsidRPr="000442FE">
        <w:t xml:space="preserve"> </w:t>
      </w:r>
      <w:r w:rsidRPr="000442FE">
        <w:t>Journal of Natural Gas Science and Engineering, 12, 1-12.</w:t>
      </w:r>
    </w:p>
    <w:p w14:paraId="204A8B18" w14:textId="3DEE5283" w:rsidR="00EF1926" w:rsidRPr="000442FE" w:rsidRDefault="006C7D1C" w:rsidP="000442FE">
      <w:pPr>
        <w:pStyle w:val="CETReferencetext"/>
      </w:pPr>
      <w:r w:rsidRPr="000442FE">
        <w:t>Reid</w:t>
      </w:r>
      <w:r w:rsidR="00D84207" w:rsidRPr="000442FE">
        <w:t xml:space="preserve"> </w:t>
      </w:r>
      <w:r w:rsidRPr="000442FE">
        <w:t>L., 1971, Apparatus for dehydrating organic liquids, US Patent</w:t>
      </w:r>
      <w:r w:rsidR="00565AD9" w:rsidRPr="000442FE">
        <w:t xml:space="preserve"> </w:t>
      </w:r>
      <w:r w:rsidRPr="000442FE">
        <w:t>3589984.</w:t>
      </w:r>
    </w:p>
    <w:p w14:paraId="12EA6B4F" w14:textId="20AF8E16" w:rsidR="00CF40A0" w:rsidRPr="000442FE" w:rsidRDefault="00B72B19" w:rsidP="000442FE">
      <w:pPr>
        <w:pStyle w:val="CETReferencetext"/>
      </w:pPr>
      <w:r w:rsidRPr="000442FE">
        <w:t>Yaws</w:t>
      </w:r>
      <w:r w:rsidR="00D84207" w:rsidRPr="000442FE">
        <w:t xml:space="preserve"> </w:t>
      </w:r>
      <w:r w:rsidRPr="000442FE">
        <w:t>C.,</w:t>
      </w:r>
      <w:r w:rsidR="000A0BF6" w:rsidRPr="000442FE">
        <w:t xml:space="preserve"> 1999, Chemical </w:t>
      </w:r>
      <w:r w:rsidR="00565AD9" w:rsidRPr="000442FE">
        <w:t>Properties Handbook: Physical, Thermodynamic, Environmental, Transport, Safety, and Health Related Properties for Organic and Inorganic Chemicals</w:t>
      </w:r>
      <w:r w:rsidR="000A0BF6" w:rsidRPr="000442FE">
        <w:t>, McGraw-Hill, New York, USA.</w:t>
      </w:r>
    </w:p>
    <w:sectPr w:rsidR="00CF40A0" w:rsidRPr="000442FE"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4E971" w14:textId="77777777" w:rsidR="005F0FAE" w:rsidRDefault="005F0FAE" w:rsidP="004F5E36">
      <w:r>
        <w:separator/>
      </w:r>
    </w:p>
  </w:endnote>
  <w:endnote w:type="continuationSeparator" w:id="0">
    <w:p w14:paraId="00002FD5" w14:textId="77777777" w:rsidR="005F0FAE" w:rsidRDefault="005F0FA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70330" w14:textId="77777777" w:rsidR="005F0FAE" w:rsidRDefault="005F0FAE" w:rsidP="004F5E36">
      <w:r>
        <w:separator/>
      </w:r>
    </w:p>
  </w:footnote>
  <w:footnote w:type="continuationSeparator" w:id="0">
    <w:p w14:paraId="624FDBD2" w14:textId="77777777" w:rsidR="005F0FAE" w:rsidRDefault="005F0FA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4F523C"/>
    <w:multiLevelType w:val="hybridMultilevel"/>
    <w:tmpl w:val="CAFE001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DA2080"/>
    <w:multiLevelType w:val="hybridMultilevel"/>
    <w:tmpl w:val="D8967B46"/>
    <w:lvl w:ilvl="0" w:tplc="0A18B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21"/>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793"/>
    <w:rsid w:val="000052FB"/>
    <w:rsid w:val="00010F40"/>
    <w:rsid w:val="000117CB"/>
    <w:rsid w:val="00017663"/>
    <w:rsid w:val="0002694A"/>
    <w:rsid w:val="0003148D"/>
    <w:rsid w:val="000365FA"/>
    <w:rsid w:val="000412F5"/>
    <w:rsid w:val="000442FE"/>
    <w:rsid w:val="00047D7F"/>
    <w:rsid w:val="00051566"/>
    <w:rsid w:val="00051BFD"/>
    <w:rsid w:val="00052785"/>
    <w:rsid w:val="000535AB"/>
    <w:rsid w:val="000569BF"/>
    <w:rsid w:val="00062A9A"/>
    <w:rsid w:val="00065058"/>
    <w:rsid w:val="000729E1"/>
    <w:rsid w:val="00077955"/>
    <w:rsid w:val="00083BC0"/>
    <w:rsid w:val="00086BF5"/>
    <w:rsid w:val="00086C39"/>
    <w:rsid w:val="000924D1"/>
    <w:rsid w:val="0009261C"/>
    <w:rsid w:val="000A03B2"/>
    <w:rsid w:val="000A0BF6"/>
    <w:rsid w:val="000A2834"/>
    <w:rsid w:val="000A3B79"/>
    <w:rsid w:val="000D34BE"/>
    <w:rsid w:val="000D3E76"/>
    <w:rsid w:val="000E102F"/>
    <w:rsid w:val="000E276A"/>
    <w:rsid w:val="000E36F1"/>
    <w:rsid w:val="000E3A73"/>
    <w:rsid w:val="000E414A"/>
    <w:rsid w:val="000F093C"/>
    <w:rsid w:val="000F16BD"/>
    <w:rsid w:val="000F316E"/>
    <w:rsid w:val="000F36D4"/>
    <w:rsid w:val="000F39C7"/>
    <w:rsid w:val="000F3E2C"/>
    <w:rsid w:val="000F787B"/>
    <w:rsid w:val="000F7C44"/>
    <w:rsid w:val="0010099F"/>
    <w:rsid w:val="00102236"/>
    <w:rsid w:val="00110BFD"/>
    <w:rsid w:val="00111AB4"/>
    <w:rsid w:val="00115921"/>
    <w:rsid w:val="0012091F"/>
    <w:rsid w:val="00121BE5"/>
    <w:rsid w:val="00126BC2"/>
    <w:rsid w:val="001308B6"/>
    <w:rsid w:val="0013121F"/>
    <w:rsid w:val="00131FAB"/>
    <w:rsid w:val="00131FE6"/>
    <w:rsid w:val="0013263F"/>
    <w:rsid w:val="00134DE4"/>
    <w:rsid w:val="00140173"/>
    <w:rsid w:val="0014034D"/>
    <w:rsid w:val="0014789A"/>
    <w:rsid w:val="00150E59"/>
    <w:rsid w:val="00152DE3"/>
    <w:rsid w:val="00152EC7"/>
    <w:rsid w:val="00162642"/>
    <w:rsid w:val="00164CF9"/>
    <w:rsid w:val="00177621"/>
    <w:rsid w:val="00180114"/>
    <w:rsid w:val="00181686"/>
    <w:rsid w:val="00184AD6"/>
    <w:rsid w:val="001A1F8E"/>
    <w:rsid w:val="001A3FB6"/>
    <w:rsid w:val="001A6215"/>
    <w:rsid w:val="001B0349"/>
    <w:rsid w:val="001B2D02"/>
    <w:rsid w:val="001B456E"/>
    <w:rsid w:val="001B65C1"/>
    <w:rsid w:val="001C2926"/>
    <w:rsid w:val="001C5ED4"/>
    <w:rsid w:val="001C684B"/>
    <w:rsid w:val="001C6F5A"/>
    <w:rsid w:val="001D53FC"/>
    <w:rsid w:val="001E23E8"/>
    <w:rsid w:val="001E7A95"/>
    <w:rsid w:val="001F42A5"/>
    <w:rsid w:val="001F65C9"/>
    <w:rsid w:val="001F6FE2"/>
    <w:rsid w:val="001F7B9D"/>
    <w:rsid w:val="001F7FC1"/>
    <w:rsid w:val="002224B4"/>
    <w:rsid w:val="0022430D"/>
    <w:rsid w:val="0022711B"/>
    <w:rsid w:val="002275A2"/>
    <w:rsid w:val="00230BDD"/>
    <w:rsid w:val="0024032F"/>
    <w:rsid w:val="00242E1A"/>
    <w:rsid w:val="002447EF"/>
    <w:rsid w:val="00247FB9"/>
    <w:rsid w:val="002503C6"/>
    <w:rsid w:val="00251550"/>
    <w:rsid w:val="00252C1A"/>
    <w:rsid w:val="00263B05"/>
    <w:rsid w:val="00266065"/>
    <w:rsid w:val="002715E1"/>
    <w:rsid w:val="0027221A"/>
    <w:rsid w:val="00275532"/>
    <w:rsid w:val="00275B61"/>
    <w:rsid w:val="00282656"/>
    <w:rsid w:val="00286D07"/>
    <w:rsid w:val="00295568"/>
    <w:rsid w:val="00296B83"/>
    <w:rsid w:val="002A6822"/>
    <w:rsid w:val="002A700A"/>
    <w:rsid w:val="002B20FC"/>
    <w:rsid w:val="002B361A"/>
    <w:rsid w:val="002B4954"/>
    <w:rsid w:val="002B74CF"/>
    <w:rsid w:val="002B78CE"/>
    <w:rsid w:val="002C2FB6"/>
    <w:rsid w:val="002C7E60"/>
    <w:rsid w:val="002D25D2"/>
    <w:rsid w:val="002D5BCD"/>
    <w:rsid w:val="002D6D5F"/>
    <w:rsid w:val="002D7FC1"/>
    <w:rsid w:val="002E3181"/>
    <w:rsid w:val="002E34BA"/>
    <w:rsid w:val="002E6D82"/>
    <w:rsid w:val="002F3413"/>
    <w:rsid w:val="002F6D28"/>
    <w:rsid w:val="003006C3"/>
    <w:rsid w:val="003009B7"/>
    <w:rsid w:val="00300E56"/>
    <w:rsid w:val="003010AD"/>
    <w:rsid w:val="0030469C"/>
    <w:rsid w:val="00307514"/>
    <w:rsid w:val="00314F18"/>
    <w:rsid w:val="00321CA6"/>
    <w:rsid w:val="0033369F"/>
    <w:rsid w:val="00334C09"/>
    <w:rsid w:val="003365E3"/>
    <w:rsid w:val="00336CA0"/>
    <w:rsid w:val="00340AE7"/>
    <w:rsid w:val="003424D0"/>
    <w:rsid w:val="003500E6"/>
    <w:rsid w:val="0035082D"/>
    <w:rsid w:val="00350EC4"/>
    <w:rsid w:val="00353DE0"/>
    <w:rsid w:val="00356D92"/>
    <w:rsid w:val="003638F3"/>
    <w:rsid w:val="003652CE"/>
    <w:rsid w:val="00370C02"/>
    <w:rsid w:val="003723D4"/>
    <w:rsid w:val="00373041"/>
    <w:rsid w:val="00373C6D"/>
    <w:rsid w:val="003756A3"/>
    <w:rsid w:val="003806A1"/>
    <w:rsid w:val="00380E3F"/>
    <w:rsid w:val="00380E84"/>
    <w:rsid w:val="0038135E"/>
    <w:rsid w:val="00384CC8"/>
    <w:rsid w:val="003871FD"/>
    <w:rsid w:val="003905F7"/>
    <w:rsid w:val="00391B70"/>
    <w:rsid w:val="0039321E"/>
    <w:rsid w:val="003A1186"/>
    <w:rsid w:val="003A1E30"/>
    <w:rsid w:val="003A220F"/>
    <w:rsid w:val="003A7D1C"/>
    <w:rsid w:val="003B304B"/>
    <w:rsid w:val="003B3146"/>
    <w:rsid w:val="003B60F3"/>
    <w:rsid w:val="003B7639"/>
    <w:rsid w:val="003C5661"/>
    <w:rsid w:val="003C7375"/>
    <w:rsid w:val="003D004C"/>
    <w:rsid w:val="003D41C7"/>
    <w:rsid w:val="003E7F65"/>
    <w:rsid w:val="003F015E"/>
    <w:rsid w:val="003F0199"/>
    <w:rsid w:val="003F1C90"/>
    <w:rsid w:val="003F405C"/>
    <w:rsid w:val="003F7547"/>
    <w:rsid w:val="00400414"/>
    <w:rsid w:val="00401A93"/>
    <w:rsid w:val="004020A3"/>
    <w:rsid w:val="00402ABB"/>
    <w:rsid w:val="00403BC4"/>
    <w:rsid w:val="00410AD3"/>
    <w:rsid w:val="0041446B"/>
    <w:rsid w:val="004272D9"/>
    <w:rsid w:val="00431098"/>
    <w:rsid w:val="00437821"/>
    <w:rsid w:val="0044329C"/>
    <w:rsid w:val="00444704"/>
    <w:rsid w:val="00445008"/>
    <w:rsid w:val="00454301"/>
    <w:rsid w:val="004577FE"/>
    <w:rsid w:val="00457B9C"/>
    <w:rsid w:val="0046164A"/>
    <w:rsid w:val="004628D2"/>
    <w:rsid w:val="00462DCD"/>
    <w:rsid w:val="004648AD"/>
    <w:rsid w:val="0046780F"/>
    <w:rsid w:val="004703A9"/>
    <w:rsid w:val="00472D95"/>
    <w:rsid w:val="00473DBC"/>
    <w:rsid w:val="004760DE"/>
    <w:rsid w:val="0048703A"/>
    <w:rsid w:val="004A004E"/>
    <w:rsid w:val="004A24CF"/>
    <w:rsid w:val="004A4770"/>
    <w:rsid w:val="004A712F"/>
    <w:rsid w:val="004B344F"/>
    <w:rsid w:val="004B6721"/>
    <w:rsid w:val="004C3D1D"/>
    <w:rsid w:val="004C4FA1"/>
    <w:rsid w:val="004C7913"/>
    <w:rsid w:val="004D1339"/>
    <w:rsid w:val="004D67AC"/>
    <w:rsid w:val="004E4437"/>
    <w:rsid w:val="004E4DD6"/>
    <w:rsid w:val="004F27AB"/>
    <w:rsid w:val="004F2DEA"/>
    <w:rsid w:val="004F5E31"/>
    <w:rsid w:val="004F5E36"/>
    <w:rsid w:val="004F67BD"/>
    <w:rsid w:val="004F7203"/>
    <w:rsid w:val="005012B6"/>
    <w:rsid w:val="005020B5"/>
    <w:rsid w:val="00507B47"/>
    <w:rsid w:val="00507CC9"/>
    <w:rsid w:val="00510ACC"/>
    <w:rsid w:val="005119A5"/>
    <w:rsid w:val="00514E1C"/>
    <w:rsid w:val="00526C76"/>
    <w:rsid w:val="005278B3"/>
    <w:rsid w:val="005278B7"/>
    <w:rsid w:val="00532016"/>
    <w:rsid w:val="005345B8"/>
    <w:rsid w:val="005346C8"/>
    <w:rsid w:val="00535AAA"/>
    <w:rsid w:val="00536808"/>
    <w:rsid w:val="0053744B"/>
    <w:rsid w:val="00543E7D"/>
    <w:rsid w:val="00544B3D"/>
    <w:rsid w:val="00546B05"/>
    <w:rsid w:val="00547A68"/>
    <w:rsid w:val="005531C9"/>
    <w:rsid w:val="005537F4"/>
    <w:rsid w:val="00553FA7"/>
    <w:rsid w:val="00554E59"/>
    <w:rsid w:val="005614D8"/>
    <w:rsid w:val="005646F2"/>
    <w:rsid w:val="0056583C"/>
    <w:rsid w:val="00565AD9"/>
    <w:rsid w:val="005679AB"/>
    <w:rsid w:val="0057629E"/>
    <w:rsid w:val="00576BCE"/>
    <w:rsid w:val="00586072"/>
    <w:rsid w:val="0059670C"/>
    <w:rsid w:val="005A4D27"/>
    <w:rsid w:val="005A62B4"/>
    <w:rsid w:val="005B0832"/>
    <w:rsid w:val="005B2110"/>
    <w:rsid w:val="005B2868"/>
    <w:rsid w:val="005B3EED"/>
    <w:rsid w:val="005B4DED"/>
    <w:rsid w:val="005B61E6"/>
    <w:rsid w:val="005B6824"/>
    <w:rsid w:val="005C2931"/>
    <w:rsid w:val="005C4E7E"/>
    <w:rsid w:val="005C77E1"/>
    <w:rsid w:val="005D057D"/>
    <w:rsid w:val="005D2E33"/>
    <w:rsid w:val="005D511A"/>
    <w:rsid w:val="005D6A2F"/>
    <w:rsid w:val="005E1A82"/>
    <w:rsid w:val="005E282D"/>
    <w:rsid w:val="005E4320"/>
    <w:rsid w:val="005E5BE0"/>
    <w:rsid w:val="005E794C"/>
    <w:rsid w:val="005F0A28"/>
    <w:rsid w:val="005F0E5E"/>
    <w:rsid w:val="005F0FAE"/>
    <w:rsid w:val="00600535"/>
    <w:rsid w:val="00600D08"/>
    <w:rsid w:val="00600E20"/>
    <w:rsid w:val="00610CD6"/>
    <w:rsid w:val="00620DEE"/>
    <w:rsid w:val="00621F92"/>
    <w:rsid w:val="00622995"/>
    <w:rsid w:val="00625639"/>
    <w:rsid w:val="00626980"/>
    <w:rsid w:val="00631B33"/>
    <w:rsid w:val="006321F7"/>
    <w:rsid w:val="00633CA4"/>
    <w:rsid w:val="00634238"/>
    <w:rsid w:val="0064184D"/>
    <w:rsid w:val="00641E04"/>
    <w:rsid w:val="006422CC"/>
    <w:rsid w:val="00653914"/>
    <w:rsid w:val="006578C1"/>
    <w:rsid w:val="00660E3E"/>
    <w:rsid w:val="00662E74"/>
    <w:rsid w:val="00675221"/>
    <w:rsid w:val="00677D5C"/>
    <w:rsid w:val="0068017E"/>
    <w:rsid w:val="00680C23"/>
    <w:rsid w:val="00681730"/>
    <w:rsid w:val="00685487"/>
    <w:rsid w:val="00685E8B"/>
    <w:rsid w:val="0068768A"/>
    <w:rsid w:val="00693766"/>
    <w:rsid w:val="00695CDB"/>
    <w:rsid w:val="006A0619"/>
    <w:rsid w:val="006A3000"/>
    <w:rsid w:val="006A3281"/>
    <w:rsid w:val="006A5409"/>
    <w:rsid w:val="006B10D3"/>
    <w:rsid w:val="006B4888"/>
    <w:rsid w:val="006C2E45"/>
    <w:rsid w:val="006C359C"/>
    <w:rsid w:val="006C5579"/>
    <w:rsid w:val="006C7D1C"/>
    <w:rsid w:val="006D370D"/>
    <w:rsid w:val="006D39FE"/>
    <w:rsid w:val="006D3A8E"/>
    <w:rsid w:val="006D443F"/>
    <w:rsid w:val="006E1E68"/>
    <w:rsid w:val="006E737D"/>
    <w:rsid w:val="0070195D"/>
    <w:rsid w:val="00714579"/>
    <w:rsid w:val="00717855"/>
    <w:rsid w:val="00720A24"/>
    <w:rsid w:val="00720C5A"/>
    <w:rsid w:val="00724A0E"/>
    <w:rsid w:val="00732386"/>
    <w:rsid w:val="007447F3"/>
    <w:rsid w:val="00746AFC"/>
    <w:rsid w:val="0075499F"/>
    <w:rsid w:val="007636C3"/>
    <w:rsid w:val="007661C8"/>
    <w:rsid w:val="0077098D"/>
    <w:rsid w:val="00781AF9"/>
    <w:rsid w:val="00782DBC"/>
    <w:rsid w:val="007931FA"/>
    <w:rsid w:val="007932A2"/>
    <w:rsid w:val="00793713"/>
    <w:rsid w:val="007939F7"/>
    <w:rsid w:val="00795D53"/>
    <w:rsid w:val="007A7BBA"/>
    <w:rsid w:val="007B0C50"/>
    <w:rsid w:val="007C1A43"/>
    <w:rsid w:val="007C584D"/>
    <w:rsid w:val="007C7CD3"/>
    <w:rsid w:val="007E1DC6"/>
    <w:rsid w:val="007F117B"/>
    <w:rsid w:val="0080017D"/>
    <w:rsid w:val="00800527"/>
    <w:rsid w:val="00806F55"/>
    <w:rsid w:val="00812AFE"/>
    <w:rsid w:val="00812EA2"/>
    <w:rsid w:val="00813288"/>
    <w:rsid w:val="00815215"/>
    <w:rsid w:val="008168FC"/>
    <w:rsid w:val="00816983"/>
    <w:rsid w:val="00830996"/>
    <w:rsid w:val="008345F1"/>
    <w:rsid w:val="00834F87"/>
    <w:rsid w:val="008357C7"/>
    <w:rsid w:val="00836375"/>
    <w:rsid w:val="00842E98"/>
    <w:rsid w:val="00844885"/>
    <w:rsid w:val="00845C65"/>
    <w:rsid w:val="00855ABF"/>
    <w:rsid w:val="00861A5C"/>
    <w:rsid w:val="00865B07"/>
    <w:rsid w:val="008667EA"/>
    <w:rsid w:val="00873012"/>
    <w:rsid w:val="00875688"/>
    <w:rsid w:val="0087637F"/>
    <w:rsid w:val="00877E1F"/>
    <w:rsid w:val="008904B9"/>
    <w:rsid w:val="00892AD5"/>
    <w:rsid w:val="008A1512"/>
    <w:rsid w:val="008B4B60"/>
    <w:rsid w:val="008B79BF"/>
    <w:rsid w:val="008C1786"/>
    <w:rsid w:val="008C78C1"/>
    <w:rsid w:val="008D1A60"/>
    <w:rsid w:val="008D32B9"/>
    <w:rsid w:val="008D433B"/>
    <w:rsid w:val="008D7833"/>
    <w:rsid w:val="008E566E"/>
    <w:rsid w:val="008F3709"/>
    <w:rsid w:val="008F5163"/>
    <w:rsid w:val="0090161A"/>
    <w:rsid w:val="00901EB6"/>
    <w:rsid w:val="0090211B"/>
    <w:rsid w:val="00904C62"/>
    <w:rsid w:val="00917FF5"/>
    <w:rsid w:val="00922E77"/>
    <w:rsid w:val="00924DAC"/>
    <w:rsid w:val="00927058"/>
    <w:rsid w:val="00932FF4"/>
    <w:rsid w:val="00933894"/>
    <w:rsid w:val="0093445C"/>
    <w:rsid w:val="00936308"/>
    <w:rsid w:val="009450CE"/>
    <w:rsid w:val="00947179"/>
    <w:rsid w:val="0095164B"/>
    <w:rsid w:val="00954090"/>
    <w:rsid w:val="009573E7"/>
    <w:rsid w:val="00957E6A"/>
    <w:rsid w:val="009635B9"/>
    <w:rsid w:val="00963E05"/>
    <w:rsid w:val="00967D54"/>
    <w:rsid w:val="00972867"/>
    <w:rsid w:val="009850ED"/>
    <w:rsid w:val="009867FA"/>
    <w:rsid w:val="00991112"/>
    <w:rsid w:val="00996483"/>
    <w:rsid w:val="00996F5A"/>
    <w:rsid w:val="009A0A3E"/>
    <w:rsid w:val="009A2445"/>
    <w:rsid w:val="009A30E0"/>
    <w:rsid w:val="009B041A"/>
    <w:rsid w:val="009B5F7B"/>
    <w:rsid w:val="009B7178"/>
    <w:rsid w:val="009C7C86"/>
    <w:rsid w:val="009D2FF7"/>
    <w:rsid w:val="009D497B"/>
    <w:rsid w:val="009E638E"/>
    <w:rsid w:val="009E7884"/>
    <w:rsid w:val="009E788A"/>
    <w:rsid w:val="009E7DB4"/>
    <w:rsid w:val="009F0E08"/>
    <w:rsid w:val="009F3E41"/>
    <w:rsid w:val="00A049E8"/>
    <w:rsid w:val="00A12449"/>
    <w:rsid w:val="00A13C0D"/>
    <w:rsid w:val="00A1763D"/>
    <w:rsid w:val="00A17CEC"/>
    <w:rsid w:val="00A22825"/>
    <w:rsid w:val="00A23348"/>
    <w:rsid w:val="00A26E6F"/>
    <w:rsid w:val="00A27EF0"/>
    <w:rsid w:val="00A30A36"/>
    <w:rsid w:val="00A50B20"/>
    <w:rsid w:val="00A51390"/>
    <w:rsid w:val="00A5501E"/>
    <w:rsid w:val="00A60D13"/>
    <w:rsid w:val="00A72745"/>
    <w:rsid w:val="00A7474E"/>
    <w:rsid w:val="00A76EFC"/>
    <w:rsid w:val="00A80C19"/>
    <w:rsid w:val="00A91010"/>
    <w:rsid w:val="00A97F29"/>
    <w:rsid w:val="00AA3222"/>
    <w:rsid w:val="00AA702E"/>
    <w:rsid w:val="00AB0964"/>
    <w:rsid w:val="00AB0AE0"/>
    <w:rsid w:val="00AB3777"/>
    <w:rsid w:val="00AB4492"/>
    <w:rsid w:val="00AB5011"/>
    <w:rsid w:val="00AC07B8"/>
    <w:rsid w:val="00AC22C7"/>
    <w:rsid w:val="00AC2EB1"/>
    <w:rsid w:val="00AC44FF"/>
    <w:rsid w:val="00AC7368"/>
    <w:rsid w:val="00AC7F87"/>
    <w:rsid w:val="00AD16B9"/>
    <w:rsid w:val="00AD18F0"/>
    <w:rsid w:val="00AD1B79"/>
    <w:rsid w:val="00AD54C2"/>
    <w:rsid w:val="00AD7C4C"/>
    <w:rsid w:val="00AE377D"/>
    <w:rsid w:val="00AE43DE"/>
    <w:rsid w:val="00AF3738"/>
    <w:rsid w:val="00AF5822"/>
    <w:rsid w:val="00AF665D"/>
    <w:rsid w:val="00B05CF8"/>
    <w:rsid w:val="00B06019"/>
    <w:rsid w:val="00B0722D"/>
    <w:rsid w:val="00B17FBD"/>
    <w:rsid w:val="00B22E1E"/>
    <w:rsid w:val="00B3121E"/>
    <w:rsid w:val="00B315A6"/>
    <w:rsid w:val="00B31610"/>
    <w:rsid w:val="00B316E5"/>
    <w:rsid w:val="00B31813"/>
    <w:rsid w:val="00B33365"/>
    <w:rsid w:val="00B518F8"/>
    <w:rsid w:val="00B566E9"/>
    <w:rsid w:val="00B57B36"/>
    <w:rsid w:val="00B6679D"/>
    <w:rsid w:val="00B72B19"/>
    <w:rsid w:val="00B74458"/>
    <w:rsid w:val="00B83C72"/>
    <w:rsid w:val="00B84543"/>
    <w:rsid w:val="00B8686D"/>
    <w:rsid w:val="00BC30C9"/>
    <w:rsid w:val="00BD5963"/>
    <w:rsid w:val="00BD7F12"/>
    <w:rsid w:val="00BE3E58"/>
    <w:rsid w:val="00C00A00"/>
    <w:rsid w:val="00C01616"/>
    <w:rsid w:val="00C0162B"/>
    <w:rsid w:val="00C05680"/>
    <w:rsid w:val="00C072F5"/>
    <w:rsid w:val="00C101D1"/>
    <w:rsid w:val="00C21B1D"/>
    <w:rsid w:val="00C2326F"/>
    <w:rsid w:val="00C24313"/>
    <w:rsid w:val="00C3006F"/>
    <w:rsid w:val="00C31281"/>
    <w:rsid w:val="00C345B1"/>
    <w:rsid w:val="00C40142"/>
    <w:rsid w:val="00C46481"/>
    <w:rsid w:val="00C57182"/>
    <w:rsid w:val="00C57863"/>
    <w:rsid w:val="00C655FD"/>
    <w:rsid w:val="00C74FDF"/>
    <w:rsid w:val="00C75CAA"/>
    <w:rsid w:val="00C867A3"/>
    <w:rsid w:val="00C870A8"/>
    <w:rsid w:val="00C87E21"/>
    <w:rsid w:val="00C9050E"/>
    <w:rsid w:val="00C94434"/>
    <w:rsid w:val="00CA0D75"/>
    <w:rsid w:val="00CA1C95"/>
    <w:rsid w:val="00CA5A9C"/>
    <w:rsid w:val="00CB47E7"/>
    <w:rsid w:val="00CC2740"/>
    <w:rsid w:val="00CC5B9A"/>
    <w:rsid w:val="00CD31D7"/>
    <w:rsid w:val="00CD3517"/>
    <w:rsid w:val="00CD5883"/>
    <w:rsid w:val="00CD5A00"/>
    <w:rsid w:val="00CD5FE2"/>
    <w:rsid w:val="00CE1127"/>
    <w:rsid w:val="00CE2674"/>
    <w:rsid w:val="00CE5430"/>
    <w:rsid w:val="00CE73A1"/>
    <w:rsid w:val="00CE7C68"/>
    <w:rsid w:val="00CF40A0"/>
    <w:rsid w:val="00D02B4C"/>
    <w:rsid w:val="00D040C4"/>
    <w:rsid w:val="00D12CBC"/>
    <w:rsid w:val="00D14226"/>
    <w:rsid w:val="00D142AC"/>
    <w:rsid w:val="00D361F5"/>
    <w:rsid w:val="00D4392A"/>
    <w:rsid w:val="00D46F66"/>
    <w:rsid w:val="00D47CBB"/>
    <w:rsid w:val="00D5067F"/>
    <w:rsid w:val="00D517E4"/>
    <w:rsid w:val="00D57C84"/>
    <w:rsid w:val="00D6057D"/>
    <w:rsid w:val="00D6117F"/>
    <w:rsid w:val="00D74FD1"/>
    <w:rsid w:val="00D77349"/>
    <w:rsid w:val="00D80798"/>
    <w:rsid w:val="00D84207"/>
    <w:rsid w:val="00D84576"/>
    <w:rsid w:val="00D85B89"/>
    <w:rsid w:val="00D87E4F"/>
    <w:rsid w:val="00D91EFD"/>
    <w:rsid w:val="00D939A9"/>
    <w:rsid w:val="00DA1399"/>
    <w:rsid w:val="00DA24C6"/>
    <w:rsid w:val="00DA4D7B"/>
    <w:rsid w:val="00DB77BB"/>
    <w:rsid w:val="00DC2039"/>
    <w:rsid w:val="00DC2A7E"/>
    <w:rsid w:val="00DC2B0C"/>
    <w:rsid w:val="00DC4C3A"/>
    <w:rsid w:val="00DC5BEC"/>
    <w:rsid w:val="00DD0301"/>
    <w:rsid w:val="00DE264A"/>
    <w:rsid w:val="00DF0FAF"/>
    <w:rsid w:val="00DF66CB"/>
    <w:rsid w:val="00E02AAC"/>
    <w:rsid w:val="00E02D18"/>
    <w:rsid w:val="00E041E7"/>
    <w:rsid w:val="00E1772A"/>
    <w:rsid w:val="00E23CA1"/>
    <w:rsid w:val="00E26995"/>
    <w:rsid w:val="00E36D65"/>
    <w:rsid w:val="00E409A8"/>
    <w:rsid w:val="00E4673D"/>
    <w:rsid w:val="00E47638"/>
    <w:rsid w:val="00E501EC"/>
    <w:rsid w:val="00E50C12"/>
    <w:rsid w:val="00E53CE9"/>
    <w:rsid w:val="00E55F10"/>
    <w:rsid w:val="00E57AB4"/>
    <w:rsid w:val="00E60AE1"/>
    <w:rsid w:val="00E6144F"/>
    <w:rsid w:val="00E65B91"/>
    <w:rsid w:val="00E7209D"/>
    <w:rsid w:val="00E77223"/>
    <w:rsid w:val="00E7743C"/>
    <w:rsid w:val="00E81AEC"/>
    <w:rsid w:val="00E8528B"/>
    <w:rsid w:val="00E85B94"/>
    <w:rsid w:val="00E94A85"/>
    <w:rsid w:val="00E978D0"/>
    <w:rsid w:val="00EA4613"/>
    <w:rsid w:val="00EA7F91"/>
    <w:rsid w:val="00EB0ECD"/>
    <w:rsid w:val="00EB10C7"/>
    <w:rsid w:val="00EB1523"/>
    <w:rsid w:val="00EB380D"/>
    <w:rsid w:val="00EB644D"/>
    <w:rsid w:val="00EC0E49"/>
    <w:rsid w:val="00EC2691"/>
    <w:rsid w:val="00EC516B"/>
    <w:rsid w:val="00ED7676"/>
    <w:rsid w:val="00EE0131"/>
    <w:rsid w:val="00EE2E8A"/>
    <w:rsid w:val="00EE3C54"/>
    <w:rsid w:val="00EE7187"/>
    <w:rsid w:val="00EF1926"/>
    <w:rsid w:val="00EF75D0"/>
    <w:rsid w:val="00F02B31"/>
    <w:rsid w:val="00F05A62"/>
    <w:rsid w:val="00F1059B"/>
    <w:rsid w:val="00F12C1D"/>
    <w:rsid w:val="00F15352"/>
    <w:rsid w:val="00F155B2"/>
    <w:rsid w:val="00F15B9C"/>
    <w:rsid w:val="00F216C4"/>
    <w:rsid w:val="00F22234"/>
    <w:rsid w:val="00F2277F"/>
    <w:rsid w:val="00F24825"/>
    <w:rsid w:val="00F30C64"/>
    <w:rsid w:val="00F32CDB"/>
    <w:rsid w:val="00F37317"/>
    <w:rsid w:val="00F4079B"/>
    <w:rsid w:val="00F42301"/>
    <w:rsid w:val="00F44BC6"/>
    <w:rsid w:val="00F57683"/>
    <w:rsid w:val="00F57CAB"/>
    <w:rsid w:val="00F60142"/>
    <w:rsid w:val="00F63A70"/>
    <w:rsid w:val="00F64D9F"/>
    <w:rsid w:val="00F74332"/>
    <w:rsid w:val="00FA21D0"/>
    <w:rsid w:val="00FA33D9"/>
    <w:rsid w:val="00FA5F5F"/>
    <w:rsid w:val="00FB730C"/>
    <w:rsid w:val="00FC2695"/>
    <w:rsid w:val="00FC2E69"/>
    <w:rsid w:val="00FC3E03"/>
    <w:rsid w:val="00FC3FC1"/>
    <w:rsid w:val="00FD42B8"/>
    <w:rsid w:val="00FD4B29"/>
    <w:rsid w:val="00FD51BB"/>
    <w:rsid w:val="00FE0188"/>
    <w:rsid w:val="00FE0A19"/>
    <w:rsid w:val="00FE4EE1"/>
    <w:rsid w:val="00FE69FD"/>
    <w:rsid w:val="00FF0E00"/>
    <w:rsid w:val="00FF3476"/>
    <w:rsid w:val="00FF35F0"/>
    <w:rsid w:val="00FF414C"/>
    <w:rsid w:val="00FF48D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B6331"/>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qFormat/>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FootnoteReference">
    <w:name w:val="footnote reference"/>
    <w:basedOn w:val="DefaultParagraphFont"/>
    <w:uiPriority w:val="99"/>
    <w:semiHidden/>
    <w:unhideWhenUsed/>
    <w:rsid w:val="00180114"/>
    <w:rPr>
      <w:vertAlign w:val="superscript"/>
    </w:rPr>
  </w:style>
  <w:style w:type="character" w:styleId="PlaceholderText">
    <w:name w:val="Placeholder Text"/>
    <w:basedOn w:val="DefaultParagraphFont"/>
    <w:uiPriority w:val="99"/>
    <w:semiHidden/>
    <w:rsid w:val="008448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9728">
      <w:bodyDiv w:val="1"/>
      <w:marLeft w:val="0"/>
      <w:marRight w:val="0"/>
      <w:marTop w:val="0"/>
      <w:marBottom w:val="0"/>
      <w:divBdr>
        <w:top w:val="none" w:sz="0" w:space="0" w:color="auto"/>
        <w:left w:val="none" w:sz="0" w:space="0" w:color="auto"/>
        <w:bottom w:val="none" w:sz="0" w:space="0" w:color="auto"/>
        <w:right w:val="none" w:sz="0" w:space="0" w:color="auto"/>
      </w:divBdr>
    </w:div>
    <w:div w:id="15890343">
      <w:bodyDiv w:val="1"/>
      <w:marLeft w:val="0"/>
      <w:marRight w:val="0"/>
      <w:marTop w:val="0"/>
      <w:marBottom w:val="0"/>
      <w:divBdr>
        <w:top w:val="none" w:sz="0" w:space="0" w:color="auto"/>
        <w:left w:val="none" w:sz="0" w:space="0" w:color="auto"/>
        <w:bottom w:val="none" w:sz="0" w:space="0" w:color="auto"/>
        <w:right w:val="none" w:sz="0" w:space="0" w:color="auto"/>
      </w:divBdr>
    </w:div>
    <w:div w:id="33120449">
      <w:bodyDiv w:val="1"/>
      <w:marLeft w:val="0"/>
      <w:marRight w:val="0"/>
      <w:marTop w:val="0"/>
      <w:marBottom w:val="0"/>
      <w:divBdr>
        <w:top w:val="none" w:sz="0" w:space="0" w:color="auto"/>
        <w:left w:val="none" w:sz="0" w:space="0" w:color="auto"/>
        <w:bottom w:val="none" w:sz="0" w:space="0" w:color="auto"/>
        <w:right w:val="none" w:sz="0" w:space="0" w:color="auto"/>
      </w:divBdr>
    </w:div>
    <w:div w:id="76826546">
      <w:bodyDiv w:val="1"/>
      <w:marLeft w:val="0"/>
      <w:marRight w:val="0"/>
      <w:marTop w:val="0"/>
      <w:marBottom w:val="0"/>
      <w:divBdr>
        <w:top w:val="none" w:sz="0" w:space="0" w:color="auto"/>
        <w:left w:val="none" w:sz="0" w:space="0" w:color="auto"/>
        <w:bottom w:val="none" w:sz="0" w:space="0" w:color="auto"/>
        <w:right w:val="none" w:sz="0" w:space="0" w:color="auto"/>
      </w:divBdr>
    </w:div>
    <w:div w:id="141432480">
      <w:bodyDiv w:val="1"/>
      <w:marLeft w:val="0"/>
      <w:marRight w:val="0"/>
      <w:marTop w:val="0"/>
      <w:marBottom w:val="0"/>
      <w:divBdr>
        <w:top w:val="none" w:sz="0" w:space="0" w:color="auto"/>
        <w:left w:val="none" w:sz="0" w:space="0" w:color="auto"/>
        <w:bottom w:val="none" w:sz="0" w:space="0" w:color="auto"/>
        <w:right w:val="none" w:sz="0" w:space="0" w:color="auto"/>
      </w:divBdr>
    </w:div>
    <w:div w:id="148254003">
      <w:bodyDiv w:val="1"/>
      <w:marLeft w:val="0"/>
      <w:marRight w:val="0"/>
      <w:marTop w:val="0"/>
      <w:marBottom w:val="0"/>
      <w:divBdr>
        <w:top w:val="none" w:sz="0" w:space="0" w:color="auto"/>
        <w:left w:val="none" w:sz="0" w:space="0" w:color="auto"/>
        <w:bottom w:val="none" w:sz="0" w:space="0" w:color="auto"/>
        <w:right w:val="none" w:sz="0" w:space="0" w:color="auto"/>
      </w:divBdr>
    </w:div>
    <w:div w:id="151601140">
      <w:bodyDiv w:val="1"/>
      <w:marLeft w:val="0"/>
      <w:marRight w:val="0"/>
      <w:marTop w:val="0"/>
      <w:marBottom w:val="0"/>
      <w:divBdr>
        <w:top w:val="none" w:sz="0" w:space="0" w:color="auto"/>
        <w:left w:val="none" w:sz="0" w:space="0" w:color="auto"/>
        <w:bottom w:val="none" w:sz="0" w:space="0" w:color="auto"/>
        <w:right w:val="none" w:sz="0" w:space="0" w:color="auto"/>
      </w:divBdr>
    </w:div>
    <w:div w:id="252014888">
      <w:bodyDiv w:val="1"/>
      <w:marLeft w:val="0"/>
      <w:marRight w:val="0"/>
      <w:marTop w:val="0"/>
      <w:marBottom w:val="0"/>
      <w:divBdr>
        <w:top w:val="none" w:sz="0" w:space="0" w:color="auto"/>
        <w:left w:val="none" w:sz="0" w:space="0" w:color="auto"/>
        <w:bottom w:val="none" w:sz="0" w:space="0" w:color="auto"/>
        <w:right w:val="none" w:sz="0" w:space="0" w:color="auto"/>
      </w:divBdr>
    </w:div>
    <w:div w:id="301890589">
      <w:bodyDiv w:val="1"/>
      <w:marLeft w:val="0"/>
      <w:marRight w:val="0"/>
      <w:marTop w:val="0"/>
      <w:marBottom w:val="0"/>
      <w:divBdr>
        <w:top w:val="none" w:sz="0" w:space="0" w:color="auto"/>
        <w:left w:val="none" w:sz="0" w:space="0" w:color="auto"/>
        <w:bottom w:val="none" w:sz="0" w:space="0" w:color="auto"/>
        <w:right w:val="none" w:sz="0" w:space="0" w:color="auto"/>
      </w:divBdr>
    </w:div>
    <w:div w:id="302973626">
      <w:bodyDiv w:val="1"/>
      <w:marLeft w:val="0"/>
      <w:marRight w:val="0"/>
      <w:marTop w:val="0"/>
      <w:marBottom w:val="0"/>
      <w:divBdr>
        <w:top w:val="none" w:sz="0" w:space="0" w:color="auto"/>
        <w:left w:val="none" w:sz="0" w:space="0" w:color="auto"/>
        <w:bottom w:val="none" w:sz="0" w:space="0" w:color="auto"/>
        <w:right w:val="none" w:sz="0" w:space="0" w:color="auto"/>
      </w:divBdr>
    </w:div>
    <w:div w:id="313026832">
      <w:bodyDiv w:val="1"/>
      <w:marLeft w:val="0"/>
      <w:marRight w:val="0"/>
      <w:marTop w:val="0"/>
      <w:marBottom w:val="0"/>
      <w:divBdr>
        <w:top w:val="none" w:sz="0" w:space="0" w:color="auto"/>
        <w:left w:val="none" w:sz="0" w:space="0" w:color="auto"/>
        <w:bottom w:val="none" w:sz="0" w:space="0" w:color="auto"/>
        <w:right w:val="none" w:sz="0" w:space="0" w:color="auto"/>
      </w:divBdr>
    </w:div>
    <w:div w:id="317880863">
      <w:bodyDiv w:val="1"/>
      <w:marLeft w:val="0"/>
      <w:marRight w:val="0"/>
      <w:marTop w:val="0"/>
      <w:marBottom w:val="0"/>
      <w:divBdr>
        <w:top w:val="none" w:sz="0" w:space="0" w:color="auto"/>
        <w:left w:val="none" w:sz="0" w:space="0" w:color="auto"/>
        <w:bottom w:val="none" w:sz="0" w:space="0" w:color="auto"/>
        <w:right w:val="none" w:sz="0" w:space="0" w:color="auto"/>
      </w:divBdr>
    </w:div>
    <w:div w:id="341787883">
      <w:bodyDiv w:val="1"/>
      <w:marLeft w:val="0"/>
      <w:marRight w:val="0"/>
      <w:marTop w:val="0"/>
      <w:marBottom w:val="0"/>
      <w:divBdr>
        <w:top w:val="none" w:sz="0" w:space="0" w:color="auto"/>
        <w:left w:val="none" w:sz="0" w:space="0" w:color="auto"/>
        <w:bottom w:val="none" w:sz="0" w:space="0" w:color="auto"/>
        <w:right w:val="none" w:sz="0" w:space="0" w:color="auto"/>
      </w:divBdr>
    </w:div>
    <w:div w:id="522204573">
      <w:bodyDiv w:val="1"/>
      <w:marLeft w:val="0"/>
      <w:marRight w:val="0"/>
      <w:marTop w:val="0"/>
      <w:marBottom w:val="0"/>
      <w:divBdr>
        <w:top w:val="none" w:sz="0" w:space="0" w:color="auto"/>
        <w:left w:val="none" w:sz="0" w:space="0" w:color="auto"/>
        <w:bottom w:val="none" w:sz="0" w:space="0" w:color="auto"/>
        <w:right w:val="none" w:sz="0" w:space="0" w:color="auto"/>
      </w:divBdr>
    </w:div>
    <w:div w:id="528490821">
      <w:bodyDiv w:val="1"/>
      <w:marLeft w:val="0"/>
      <w:marRight w:val="0"/>
      <w:marTop w:val="0"/>
      <w:marBottom w:val="0"/>
      <w:divBdr>
        <w:top w:val="none" w:sz="0" w:space="0" w:color="auto"/>
        <w:left w:val="none" w:sz="0" w:space="0" w:color="auto"/>
        <w:bottom w:val="none" w:sz="0" w:space="0" w:color="auto"/>
        <w:right w:val="none" w:sz="0" w:space="0" w:color="auto"/>
      </w:divBdr>
    </w:div>
    <w:div w:id="588151079">
      <w:bodyDiv w:val="1"/>
      <w:marLeft w:val="0"/>
      <w:marRight w:val="0"/>
      <w:marTop w:val="0"/>
      <w:marBottom w:val="0"/>
      <w:divBdr>
        <w:top w:val="none" w:sz="0" w:space="0" w:color="auto"/>
        <w:left w:val="none" w:sz="0" w:space="0" w:color="auto"/>
        <w:bottom w:val="none" w:sz="0" w:space="0" w:color="auto"/>
        <w:right w:val="none" w:sz="0" w:space="0" w:color="auto"/>
      </w:divBdr>
    </w:div>
    <w:div w:id="74298814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059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940679">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5178">
      <w:bodyDiv w:val="1"/>
      <w:marLeft w:val="0"/>
      <w:marRight w:val="0"/>
      <w:marTop w:val="0"/>
      <w:marBottom w:val="0"/>
      <w:divBdr>
        <w:top w:val="none" w:sz="0" w:space="0" w:color="auto"/>
        <w:left w:val="none" w:sz="0" w:space="0" w:color="auto"/>
        <w:bottom w:val="none" w:sz="0" w:space="0" w:color="auto"/>
        <w:right w:val="none" w:sz="0" w:space="0" w:color="auto"/>
      </w:divBdr>
    </w:div>
    <w:div w:id="1104495129">
      <w:bodyDiv w:val="1"/>
      <w:marLeft w:val="0"/>
      <w:marRight w:val="0"/>
      <w:marTop w:val="0"/>
      <w:marBottom w:val="0"/>
      <w:divBdr>
        <w:top w:val="none" w:sz="0" w:space="0" w:color="auto"/>
        <w:left w:val="none" w:sz="0" w:space="0" w:color="auto"/>
        <w:bottom w:val="none" w:sz="0" w:space="0" w:color="auto"/>
        <w:right w:val="none" w:sz="0" w:space="0" w:color="auto"/>
      </w:divBdr>
    </w:div>
    <w:div w:id="1111973870">
      <w:bodyDiv w:val="1"/>
      <w:marLeft w:val="0"/>
      <w:marRight w:val="0"/>
      <w:marTop w:val="0"/>
      <w:marBottom w:val="0"/>
      <w:divBdr>
        <w:top w:val="none" w:sz="0" w:space="0" w:color="auto"/>
        <w:left w:val="none" w:sz="0" w:space="0" w:color="auto"/>
        <w:bottom w:val="none" w:sz="0" w:space="0" w:color="auto"/>
        <w:right w:val="none" w:sz="0" w:space="0" w:color="auto"/>
      </w:divBdr>
    </w:div>
    <w:div w:id="1166629018">
      <w:bodyDiv w:val="1"/>
      <w:marLeft w:val="0"/>
      <w:marRight w:val="0"/>
      <w:marTop w:val="0"/>
      <w:marBottom w:val="0"/>
      <w:divBdr>
        <w:top w:val="none" w:sz="0" w:space="0" w:color="auto"/>
        <w:left w:val="none" w:sz="0" w:space="0" w:color="auto"/>
        <w:bottom w:val="none" w:sz="0" w:space="0" w:color="auto"/>
        <w:right w:val="none" w:sz="0" w:space="0" w:color="auto"/>
      </w:divBdr>
    </w:div>
    <w:div w:id="1195076958">
      <w:bodyDiv w:val="1"/>
      <w:marLeft w:val="0"/>
      <w:marRight w:val="0"/>
      <w:marTop w:val="0"/>
      <w:marBottom w:val="0"/>
      <w:divBdr>
        <w:top w:val="none" w:sz="0" w:space="0" w:color="auto"/>
        <w:left w:val="none" w:sz="0" w:space="0" w:color="auto"/>
        <w:bottom w:val="none" w:sz="0" w:space="0" w:color="auto"/>
        <w:right w:val="none" w:sz="0" w:space="0" w:color="auto"/>
      </w:divBdr>
    </w:div>
    <w:div w:id="1205946668">
      <w:bodyDiv w:val="1"/>
      <w:marLeft w:val="0"/>
      <w:marRight w:val="0"/>
      <w:marTop w:val="0"/>
      <w:marBottom w:val="0"/>
      <w:divBdr>
        <w:top w:val="none" w:sz="0" w:space="0" w:color="auto"/>
        <w:left w:val="none" w:sz="0" w:space="0" w:color="auto"/>
        <w:bottom w:val="none" w:sz="0" w:space="0" w:color="auto"/>
        <w:right w:val="none" w:sz="0" w:space="0" w:color="auto"/>
      </w:divBdr>
    </w:div>
    <w:div w:id="1279293189">
      <w:bodyDiv w:val="1"/>
      <w:marLeft w:val="0"/>
      <w:marRight w:val="0"/>
      <w:marTop w:val="0"/>
      <w:marBottom w:val="0"/>
      <w:divBdr>
        <w:top w:val="none" w:sz="0" w:space="0" w:color="auto"/>
        <w:left w:val="none" w:sz="0" w:space="0" w:color="auto"/>
        <w:bottom w:val="none" w:sz="0" w:space="0" w:color="auto"/>
        <w:right w:val="none" w:sz="0" w:space="0" w:color="auto"/>
      </w:divBdr>
    </w:div>
    <w:div w:id="1307706745">
      <w:bodyDiv w:val="1"/>
      <w:marLeft w:val="0"/>
      <w:marRight w:val="0"/>
      <w:marTop w:val="0"/>
      <w:marBottom w:val="0"/>
      <w:divBdr>
        <w:top w:val="none" w:sz="0" w:space="0" w:color="auto"/>
        <w:left w:val="none" w:sz="0" w:space="0" w:color="auto"/>
        <w:bottom w:val="none" w:sz="0" w:space="0" w:color="auto"/>
        <w:right w:val="none" w:sz="0" w:space="0" w:color="auto"/>
      </w:divBdr>
    </w:div>
    <w:div w:id="1311861063">
      <w:bodyDiv w:val="1"/>
      <w:marLeft w:val="0"/>
      <w:marRight w:val="0"/>
      <w:marTop w:val="0"/>
      <w:marBottom w:val="0"/>
      <w:divBdr>
        <w:top w:val="none" w:sz="0" w:space="0" w:color="auto"/>
        <w:left w:val="none" w:sz="0" w:space="0" w:color="auto"/>
        <w:bottom w:val="none" w:sz="0" w:space="0" w:color="auto"/>
        <w:right w:val="none" w:sz="0" w:space="0" w:color="auto"/>
      </w:divBdr>
    </w:div>
    <w:div w:id="1333987311">
      <w:bodyDiv w:val="1"/>
      <w:marLeft w:val="0"/>
      <w:marRight w:val="0"/>
      <w:marTop w:val="0"/>
      <w:marBottom w:val="0"/>
      <w:divBdr>
        <w:top w:val="none" w:sz="0" w:space="0" w:color="auto"/>
        <w:left w:val="none" w:sz="0" w:space="0" w:color="auto"/>
        <w:bottom w:val="none" w:sz="0" w:space="0" w:color="auto"/>
        <w:right w:val="none" w:sz="0" w:space="0" w:color="auto"/>
      </w:divBdr>
    </w:div>
    <w:div w:id="1350451313">
      <w:bodyDiv w:val="1"/>
      <w:marLeft w:val="0"/>
      <w:marRight w:val="0"/>
      <w:marTop w:val="0"/>
      <w:marBottom w:val="0"/>
      <w:divBdr>
        <w:top w:val="none" w:sz="0" w:space="0" w:color="auto"/>
        <w:left w:val="none" w:sz="0" w:space="0" w:color="auto"/>
        <w:bottom w:val="none" w:sz="0" w:space="0" w:color="auto"/>
        <w:right w:val="none" w:sz="0" w:space="0" w:color="auto"/>
      </w:divBdr>
    </w:div>
    <w:div w:id="1370259348">
      <w:bodyDiv w:val="1"/>
      <w:marLeft w:val="0"/>
      <w:marRight w:val="0"/>
      <w:marTop w:val="0"/>
      <w:marBottom w:val="0"/>
      <w:divBdr>
        <w:top w:val="none" w:sz="0" w:space="0" w:color="auto"/>
        <w:left w:val="none" w:sz="0" w:space="0" w:color="auto"/>
        <w:bottom w:val="none" w:sz="0" w:space="0" w:color="auto"/>
        <w:right w:val="none" w:sz="0" w:space="0" w:color="auto"/>
      </w:divBdr>
    </w:div>
    <w:div w:id="1392802873">
      <w:bodyDiv w:val="1"/>
      <w:marLeft w:val="0"/>
      <w:marRight w:val="0"/>
      <w:marTop w:val="0"/>
      <w:marBottom w:val="0"/>
      <w:divBdr>
        <w:top w:val="none" w:sz="0" w:space="0" w:color="auto"/>
        <w:left w:val="none" w:sz="0" w:space="0" w:color="auto"/>
        <w:bottom w:val="none" w:sz="0" w:space="0" w:color="auto"/>
        <w:right w:val="none" w:sz="0" w:space="0" w:color="auto"/>
      </w:divBdr>
    </w:div>
    <w:div w:id="1631395561">
      <w:bodyDiv w:val="1"/>
      <w:marLeft w:val="0"/>
      <w:marRight w:val="0"/>
      <w:marTop w:val="0"/>
      <w:marBottom w:val="0"/>
      <w:divBdr>
        <w:top w:val="none" w:sz="0" w:space="0" w:color="auto"/>
        <w:left w:val="none" w:sz="0" w:space="0" w:color="auto"/>
        <w:bottom w:val="none" w:sz="0" w:space="0" w:color="auto"/>
        <w:right w:val="none" w:sz="0" w:space="0" w:color="auto"/>
      </w:divBdr>
    </w:div>
    <w:div w:id="166338559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0362">
      <w:bodyDiv w:val="1"/>
      <w:marLeft w:val="0"/>
      <w:marRight w:val="0"/>
      <w:marTop w:val="0"/>
      <w:marBottom w:val="0"/>
      <w:divBdr>
        <w:top w:val="none" w:sz="0" w:space="0" w:color="auto"/>
        <w:left w:val="none" w:sz="0" w:space="0" w:color="auto"/>
        <w:bottom w:val="none" w:sz="0" w:space="0" w:color="auto"/>
        <w:right w:val="none" w:sz="0" w:space="0" w:color="auto"/>
      </w:divBdr>
    </w:div>
    <w:div w:id="1776709182">
      <w:bodyDiv w:val="1"/>
      <w:marLeft w:val="0"/>
      <w:marRight w:val="0"/>
      <w:marTop w:val="0"/>
      <w:marBottom w:val="0"/>
      <w:divBdr>
        <w:top w:val="none" w:sz="0" w:space="0" w:color="auto"/>
        <w:left w:val="none" w:sz="0" w:space="0" w:color="auto"/>
        <w:bottom w:val="none" w:sz="0" w:space="0" w:color="auto"/>
        <w:right w:val="none" w:sz="0" w:space="0" w:color="auto"/>
      </w:divBdr>
    </w:div>
    <w:div w:id="1779444773">
      <w:bodyDiv w:val="1"/>
      <w:marLeft w:val="0"/>
      <w:marRight w:val="0"/>
      <w:marTop w:val="0"/>
      <w:marBottom w:val="0"/>
      <w:divBdr>
        <w:top w:val="none" w:sz="0" w:space="0" w:color="auto"/>
        <w:left w:val="none" w:sz="0" w:space="0" w:color="auto"/>
        <w:bottom w:val="none" w:sz="0" w:space="0" w:color="auto"/>
        <w:right w:val="none" w:sz="0" w:space="0" w:color="auto"/>
      </w:divBdr>
    </w:div>
    <w:div w:id="1798403152">
      <w:bodyDiv w:val="1"/>
      <w:marLeft w:val="0"/>
      <w:marRight w:val="0"/>
      <w:marTop w:val="0"/>
      <w:marBottom w:val="0"/>
      <w:divBdr>
        <w:top w:val="none" w:sz="0" w:space="0" w:color="auto"/>
        <w:left w:val="none" w:sz="0" w:space="0" w:color="auto"/>
        <w:bottom w:val="none" w:sz="0" w:space="0" w:color="auto"/>
        <w:right w:val="none" w:sz="0" w:space="0" w:color="auto"/>
      </w:divBdr>
    </w:div>
    <w:div w:id="1835607449">
      <w:bodyDiv w:val="1"/>
      <w:marLeft w:val="0"/>
      <w:marRight w:val="0"/>
      <w:marTop w:val="0"/>
      <w:marBottom w:val="0"/>
      <w:divBdr>
        <w:top w:val="none" w:sz="0" w:space="0" w:color="auto"/>
        <w:left w:val="none" w:sz="0" w:space="0" w:color="auto"/>
        <w:bottom w:val="none" w:sz="0" w:space="0" w:color="auto"/>
        <w:right w:val="none" w:sz="0" w:space="0" w:color="auto"/>
      </w:divBdr>
    </w:div>
    <w:div w:id="1998528478">
      <w:bodyDiv w:val="1"/>
      <w:marLeft w:val="0"/>
      <w:marRight w:val="0"/>
      <w:marTop w:val="0"/>
      <w:marBottom w:val="0"/>
      <w:divBdr>
        <w:top w:val="none" w:sz="0" w:space="0" w:color="auto"/>
        <w:left w:val="none" w:sz="0" w:space="0" w:color="auto"/>
        <w:bottom w:val="none" w:sz="0" w:space="0" w:color="auto"/>
        <w:right w:val="none" w:sz="0" w:space="0" w:color="auto"/>
      </w:divBdr>
    </w:div>
    <w:div w:id="2010055521">
      <w:bodyDiv w:val="1"/>
      <w:marLeft w:val="0"/>
      <w:marRight w:val="0"/>
      <w:marTop w:val="0"/>
      <w:marBottom w:val="0"/>
      <w:divBdr>
        <w:top w:val="none" w:sz="0" w:space="0" w:color="auto"/>
        <w:left w:val="none" w:sz="0" w:space="0" w:color="auto"/>
        <w:bottom w:val="none" w:sz="0" w:space="0" w:color="auto"/>
        <w:right w:val="none" w:sz="0" w:space="0" w:color="auto"/>
      </w:divBdr>
    </w:div>
    <w:div w:id="2056351999">
      <w:bodyDiv w:val="1"/>
      <w:marLeft w:val="0"/>
      <w:marRight w:val="0"/>
      <w:marTop w:val="0"/>
      <w:marBottom w:val="0"/>
      <w:divBdr>
        <w:top w:val="none" w:sz="0" w:space="0" w:color="auto"/>
        <w:left w:val="none" w:sz="0" w:space="0" w:color="auto"/>
        <w:bottom w:val="none" w:sz="0" w:space="0" w:color="auto"/>
        <w:right w:val="none" w:sz="0" w:space="0" w:color="auto"/>
      </w:divBdr>
    </w:div>
    <w:div w:id="2074888054">
      <w:bodyDiv w:val="1"/>
      <w:marLeft w:val="0"/>
      <w:marRight w:val="0"/>
      <w:marTop w:val="0"/>
      <w:marBottom w:val="0"/>
      <w:divBdr>
        <w:top w:val="none" w:sz="0" w:space="0" w:color="auto"/>
        <w:left w:val="none" w:sz="0" w:space="0" w:color="auto"/>
        <w:bottom w:val="none" w:sz="0" w:space="0" w:color="auto"/>
        <w:right w:val="none" w:sz="0" w:space="0" w:color="auto"/>
      </w:divBdr>
    </w:div>
    <w:div w:id="210279998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Lau71</b:Tag>
    <b:SourceType>Patent</b:SourceType>
    <b:Guid>{A8759C6D-CEE8-4298-AFA8-767D044B00FE}</b:Guid>
    <b:Year>1971</b:Year>
    <b:LCID>en-US</b:LCID>
    <b:Author>
      <b:Inventor>
        <b:NameList>
          <b:Person>
            <b:Last>Reid</b:Last>
            <b:First>Laurence</b:First>
          </b:Person>
        </b:NameList>
      </b:Inventor>
    </b:Author>
    <b:CountryRegion>Unitated States of America</b:CountryRegion>
    <b:PatentNumber>3,589,984</b:PatentNumber>
    <b:RefOrder>1</b:RefOrder>
  </b:Source>
  <b:Source>
    <b:Tag>Gir10</b:Tag>
    <b:SourceType>JournalArticle</b:SourceType>
    <b:Guid>{D12831AD-C8F0-4C1C-914A-C68822EAF0A8}</b:Guid>
    <b:Title>Natural Gas Dehydration: A Triethylene Glycol-Water System Analysis</b:Title>
    <b:Year>2010</b:Year>
    <b:Author>
      <b:Author>
        <b:NameList>
          <b:Person>
            <b:Last>Gironi</b:Last>
            <b:First>F.,</b:First>
            <b:Middle>Maschietti, M. and Piemonte, V.</b:Middle>
          </b:Person>
        </b:NameList>
      </b:Author>
    </b:Author>
    <b:Publisher>Energy Sources, Part A: Recovery, Utilization and Environmental Effects</b:Publisher>
    <b:Volume>32</b:Volume>
    <b:Issue>20</b:Issue>
    <b:LCID>en-US</b:LCID>
    <b:Pages>1861-1868</b:Pages>
    <b:DOI>10.1080/15567030902804756</b:DOI>
    <b:RefOrder>2</b:RefOrder>
  </b:Source>
  <b:Source>
    <b:Tag>Cha04</b:Tag>
    <b:SourceType>JournalArticle</b:SourceType>
    <b:Guid>{D12F42F2-FA2D-496D-B68A-28588C1F6AA1}</b:Guid>
    <b:Author>
      <b:Author>
        <b:NameList>
          <b:Person>
            <b:Last>Chapoy</b:Last>
            <b:First>A.,</b:First>
            <b:Middle>Mohammadi, A., Richon, D., Tohidi, B.</b:Middle>
          </b:Person>
        </b:NameList>
      </b:Author>
    </b:Author>
    <b:Title>Gas solubility measurement and modeling for methane-water and methane-ethane-n-butane-water systems at low temperature conditions</b:Title>
    <b:Year>2004</b:Year>
    <b:Publisher>Fluid Phase Equilibria</b:Publisher>
    <b:Issue>220</b:Issue>
    <b:Pages>113-121</b:Pages>
    <b:RefOrder>3</b:RefOrder>
  </b:Source>
</b:Sources>
</file>

<file path=customXml/itemProps1.xml><?xml version="1.0" encoding="utf-8"?>
<ds:datastoreItem xmlns:ds="http://schemas.openxmlformats.org/officeDocument/2006/customXml" ds:itemID="{31B91A18-62B9-4C07-887B-B092115F7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3273</Words>
  <Characters>18660</Characters>
  <Application>Microsoft Office Word</Application>
  <DocSecurity>0</DocSecurity>
  <Lines>155</Lines>
  <Paragraphs>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Marco Maschietti</cp:lastModifiedBy>
  <cp:revision>10</cp:revision>
  <cp:lastPrinted>2019-04-01T12:31:00Z</cp:lastPrinted>
  <dcterms:created xsi:type="dcterms:W3CDTF">2019-02-15T14:26:00Z</dcterms:created>
  <dcterms:modified xsi:type="dcterms:W3CDTF">2019-04-02T07:45:00Z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