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E42816" w:rsidRPr="00E42816" w14:paraId="083AFCEC" w14:textId="77777777">
        <w:trPr>
          <w:trHeight w:val="852"/>
          <w:jc w:val="center"/>
        </w:trPr>
        <w:tc>
          <w:tcPr>
            <w:tcW w:w="6946" w:type="dxa"/>
            <w:vMerge w:val="restart"/>
            <w:tcBorders>
              <w:right w:val="single" w:sz="4" w:space="0" w:color="auto"/>
            </w:tcBorders>
          </w:tcPr>
          <w:p w14:paraId="40555FC0" w14:textId="77777777" w:rsidR="000A03B2" w:rsidRPr="00E42816" w:rsidRDefault="000A03B2" w:rsidP="00DE264A">
            <w:pPr>
              <w:tabs>
                <w:tab w:val="left" w:pos="-108"/>
              </w:tabs>
              <w:ind w:left="-108"/>
              <w:jc w:val="left"/>
              <w:rPr>
                <w:rFonts w:cs="Arial"/>
                <w:b/>
                <w:bCs/>
                <w:i/>
                <w:iCs/>
                <w:sz w:val="12"/>
                <w:szCs w:val="12"/>
                <w:lang w:val="en-US" w:eastAsia="it-IT"/>
              </w:rPr>
            </w:pPr>
            <w:bookmarkStart w:id="0" w:name="_GoBack"/>
            <w:bookmarkEnd w:id="0"/>
            <w:r w:rsidRPr="00E42816">
              <w:rPr>
                <w:rFonts w:ascii="AdvP6960" w:hAnsi="AdvP6960" w:cs="AdvP6960"/>
                <w:noProof/>
                <w:szCs w:val="18"/>
                <w:lang w:val="en-US" w:eastAsia="it-IT"/>
              </w:rPr>
              <w:drawing>
                <wp:inline distT="0" distB="0" distL="0" distR="0" wp14:anchorId="7072019C" wp14:editId="60B4B6E7">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E42816">
              <w:rPr>
                <w:rFonts w:ascii="AdvP6960" w:hAnsi="AdvP6960" w:cs="AdvP6960"/>
                <w:szCs w:val="18"/>
                <w:lang w:val="en-US" w:eastAsia="it-IT"/>
              </w:rPr>
              <w:t xml:space="preserve"> </w:t>
            </w:r>
            <w:r w:rsidRPr="00E42816">
              <w:rPr>
                <w:rFonts w:cs="Arial"/>
                <w:b/>
                <w:bCs/>
                <w:i/>
                <w:iCs/>
                <w:sz w:val="24"/>
                <w:szCs w:val="24"/>
                <w:lang w:val="en-US" w:eastAsia="it-IT"/>
              </w:rPr>
              <w:t>CHEMICAL ENGINEERING TRANSACTIONS</w:t>
            </w:r>
            <w:r w:rsidRPr="00E42816">
              <w:rPr>
                <w:sz w:val="24"/>
                <w:szCs w:val="24"/>
                <w:lang w:val="en-US" w:eastAsia="it-IT"/>
              </w:rPr>
              <w:t xml:space="preserve"> </w:t>
            </w:r>
            <w:r w:rsidRPr="00E42816">
              <w:rPr>
                <w:rFonts w:cs="Arial"/>
                <w:b/>
                <w:bCs/>
                <w:i/>
                <w:iCs/>
                <w:sz w:val="27"/>
                <w:szCs w:val="27"/>
                <w:lang w:val="en-US" w:eastAsia="it-IT"/>
              </w:rPr>
              <w:br/>
            </w:r>
          </w:p>
          <w:p w14:paraId="26472729" w14:textId="77777777" w:rsidR="000A03B2" w:rsidRPr="00E42816" w:rsidRDefault="00A76EFC" w:rsidP="009635B9">
            <w:pPr>
              <w:tabs>
                <w:tab w:val="left" w:pos="-108"/>
              </w:tabs>
              <w:ind w:left="-108"/>
              <w:rPr>
                <w:rFonts w:cs="Arial"/>
                <w:b/>
                <w:bCs/>
                <w:i/>
                <w:iCs/>
                <w:sz w:val="22"/>
                <w:szCs w:val="22"/>
                <w:lang w:val="en-US" w:eastAsia="it-IT"/>
              </w:rPr>
            </w:pPr>
            <w:r w:rsidRPr="00E42816">
              <w:rPr>
                <w:rFonts w:cs="Arial"/>
                <w:b/>
                <w:bCs/>
                <w:i/>
                <w:iCs/>
                <w:sz w:val="22"/>
                <w:szCs w:val="22"/>
                <w:lang w:val="en-US" w:eastAsia="it-IT"/>
              </w:rPr>
              <w:t xml:space="preserve">VOL. </w:t>
            </w:r>
            <w:r w:rsidR="007931FA" w:rsidRPr="00E42816">
              <w:rPr>
                <w:rFonts w:cs="Arial"/>
                <w:b/>
                <w:bCs/>
                <w:i/>
                <w:iCs/>
                <w:sz w:val="22"/>
                <w:szCs w:val="22"/>
                <w:lang w:val="en-US" w:eastAsia="it-IT"/>
              </w:rPr>
              <w:t>7</w:t>
            </w:r>
            <w:r w:rsidR="009635B9" w:rsidRPr="00E42816">
              <w:rPr>
                <w:rFonts w:cs="Arial"/>
                <w:b/>
                <w:bCs/>
                <w:i/>
                <w:iCs/>
                <w:sz w:val="22"/>
                <w:szCs w:val="22"/>
                <w:lang w:val="en-US" w:eastAsia="it-IT"/>
              </w:rPr>
              <w:t>6</w:t>
            </w:r>
            <w:r w:rsidR="00FA5F5F" w:rsidRPr="00E42816">
              <w:rPr>
                <w:rFonts w:cs="Arial"/>
                <w:b/>
                <w:bCs/>
                <w:i/>
                <w:iCs/>
                <w:sz w:val="22"/>
                <w:szCs w:val="22"/>
                <w:lang w:val="en-US" w:eastAsia="it-IT"/>
              </w:rPr>
              <w:t>, 201</w:t>
            </w:r>
            <w:r w:rsidR="007931FA" w:rsidRPr="00E42816">
              <w:rPr>
                <w:rFonts w:cs="Arial"/>
                <w:b/>
                <w:bCs/>
                <w:i/>
                <w:iCs/>
                <w:sz w:val="22"/>
                <w:szCs w:val="22"/>
                <w:lang w:val="en-US" w:eastAsia="it-IT"/>
              </w:rPr>
              <w:t>9</w:t>
            </w:r>
          </w:p>
        </w:tc>
        <w:tc>
          <w:tcPr>
            <w:tcW w:w="1843" w:type="dxa"/>
            <w:tcBorders>
              <w:left w:val="single" w:sz="4" w:space="0" w:color="auto"/>
              <w:bottom w:val="nil"/>
              <w:right w:val="single" w:sz="4" w:space="0" w:color="auto"/>
            </w:tcBorders>
          </w:tcPr>
          <w:p w14:paraId="12B624A4" w14:textId="77777777" w:rsidR="000A03B2" w:rsidRPr="00E42816" w:rsidRDefault="000A03B2" w:rsidP="00CD5FE2">
            <w:pPr>
              <w:spacing w:line="140" w:lineRule="atLeast"/>
              <w:jc w:val="right"/>
              <w:rPr>
                <w:rFonts w:cs="Arial"/>
                <w:sz w:val="14"/>
                <w:szCs w:val="14"/>
                <w:lang w:val="en-US"/>
              </w:rPr>
            </w:pPr>
            <w:r w:rsidRPr="00E42816">
              <w:rPr>
                <w:rFonts w:cs="Arial"/>
                <w:sz w:val="14"/>
                <w:szCs w:val="14"/>
                <w:lang w:val="en-US"/>
              </w:rPr>
              <w:t>A publication of</w:t>
            </w:r>
          </w:p>
          <w:p w14:paraId="70A86BC3" w14:textId="77777777" w:rsidR="000A03B2" w:rsidRPr="00E42816" w:rsidRDefault="000A03B2" w:rsidP="00CD5FE2">
            <w:pPr>
              <w:jc w:val="right"/>
              <w:rPr>
                <w:lang w:val="en-US"/>
              </w:rPr>
            </w:pPr>
            <w:r w:rsidRPr="00E42816">
              <w:rPr>
                <w:noProof/>
                <w:lang w:val="en-US" w:eastAsia="it-IT"/>
              </w:rPr>
              <w:drawing>
                <wp:inline distT="0" distB="0" distL="0" distR="0" wp14:anchorId="0FD9B83A" wp14:editId="2E7D49A9">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E42816" w:rsidRPr="00E42816" w14:paraId="2A39866D" w14:textId="77777777">
        <w:trPr>
          <w:trHeight w:val="567"/>
          <w:jc w:val="center"/>
        </w:trPr>
        <w:tc>
          <w:tcPr>
            <w:tcW w:w="6946" w:type="dxa"/>
            <w:vMerge/>
            <w:tcBorders>
              <w:right w:val="single" w:sz="4" w:space="0" w:color="auto"/>
            </w:tcBorders>
          </w:tcPr>
          <w:p w14:paraId="5A059E8F" w14:textId="77777777" w:rsidR="000A03B2" w:rsidRPr="00E42816" w:rsidRDefault="000A03B2" w:rsidP="00CD5FE2">
            <w:pPr>
              <w:tabs>
                <w:tab w:val="left" w:pos="-108"/>
              </w:tabs>
              <w:rPr>
                <w:lang w:val="en-US"/>
              </w:rPr>
            </w:pPr>
          </w:p>
        </w:tc>
        <w:tc>
          <w:tcPr>
            <w:tcW w:w="1843" w:type="dxa"/>
            <w:tcBorders>
              <w:left w:val="single" w:sz="4" w:space="0" w:color="auto"/>
              <w:bottom w:val="nil"/>
              <w:right w:val="single" w:sz="4" w:space="0" w:color="auto"/>
            </w:tcBorders>
          </w:tcPr>
          <w:p w14:paraId="24A0AFF7" w14:textId="77777777" w:rsidR="000A03B2" w:rsidRPr="00E42816" w:rsidRDefault="000A03B2" w:rsidP="00CD5FE2">
            <w:pPr>
              <w:spacing w:line="140" w:lineRule="atLeast"/>
              <w:jc w:val="right"/>
              <w:rPr>
                <w:rFonts w:cs="Arial"/>
                <w:sz w:val="14"/>
                <w:szCs w:val="14"/>
                <w:lang w:val="en-US"/>
              </w:rPr>
            </w:pPr>
            <w:r w:rsidRPr="00E42816">
              <w:rPr>
                <w:rFonts w:cs="Arial"/>
                <w:sz w:val="14"/>
                <w:szCs w:val="14"/>
                <w:lang w:val="en-US"/>
              </w:rPr>
              <w:t>The Italian Association</w:t>
            </w:r>
          </w:p>
          <w:p w14:paraId="438B4C4E" w14:textId="77777777" w:rsidR="000A03B2" w:rsidRPr="00E42816" w:rsidRDefault="000A03B2" w:rsidP="00CD5FE2">
            <w:pPr>
              <w:spacing w:line="140" w:lineRule="atLeast"/>
              <w:jc w:val="right"/>
              <w:rPr>
                <w:rFonts w:cs="Arial"/>
                <w:sz w:val="14"/>
                <w:szCs w:val="14"/>
                <w:lang w:val="en-US"/>
              </w:rPr>
            </w:pPr>
            <w:r w:rsidRPr="00E42816">
              <w:rPr>
                <w:rFonts w:cs="Arial"/>
                <w:sz w:val="14"/>
                <w:szCs w:val="14"/>
                <w:lang w:val="en-US"/>
              </w:rPr>
              <w:t>of Chemical Engineering</w:t>
            </w:r>
          </w:p>
          <w:p w14:paraId="51FB214E" w14:textId="77777777" w:rsidR="000A03B2" w:rsidRPr="00E42816" w:rsidRDefault="000A03B2" w:rsidP="00CD5FE2">
            <w:pPr>
              <w:spacing w:line="140" w:lineRule="atLeast"/>
              <w:jc w:val="right"/>
              <w:rPr>
                <w:rFonts w:cs="Arial"/>
                <w:sz w:val="14"/>
                <w:szCs w:val="14"/>
                <w:lang w:val="en-US"/>
              </w:rPr>
            </w:pPr>
            <w:r w:rsidRPr="00E42816">
              <w:rPr>
                <w:rFonts w:cs="Arial"/>
                <w:sz w:val="14"/>
                <w:szCs w:val="14"/>
                <w:lang w:val="en-US"/>
              </w:rPr>
              <w:t xml:space="preserve">Online at </w:t>
            </w:r>
            <w:r w:rsidR="00892AD5" w:rsidRPr="00E42816">
              <w:rPr>
                <w:rFonts w:cs="Arial"/>
                <w:sz w:val="14"/>
                <w:szCs w:val="14"/>
                <w:lang w:val="en-US"/>
              </w:rPr>
              <w:t>www.aidic.it/cet</w:t>
            </w:r>
          </w:p>
        </w:tc>
      </w:tr>
      <w:tr w:rsidR="00E42816" w:rsidRPr="00E42816" w14:paraId="0003E588" w14:textId="77777777">
        <w:trPr>
          <w:trHeight w:val="68"/>
          <w:jc w:val="center"/>
        </w:trPr>
        <w:tc>
          <w:tcPr>
            <w:tcW w:w="8789" w:type="dxa"/>
            <w:gridSpan w:val="2"/>
          </w:tcPr>
          <w:p w14:paraId="7BE6DC4F" w14:textId="77777777" w:rsidR="00300E56" w:rsidRPr="00E42816" w:rsidRDefault="00300E56" w:rsidP="003365E3">
            <w:pPr>
              <w:ind w:left="-107"/>
              <w:rPr>
                <w:lang w:val="it-IT"/>
              </w:rPr>
            </w:pPr>
            <w:r w:rsidRPr="00E42816">
              <w:rPr>
                <w:rFonts w:ascii="Tahoma" w:hAnsi="Tahoma" w:cs="Tahoma"/>
                <w:iCs/>
                <w:sz w:val="14"/>
                <w:szCs w:val="14"/>
                <w:lang w:val="it-IT" w:eastAsia="it-IT"/>
              </w:rPr>
              <w:t>Guest Editors:</w:t>
            </w:r>
            <w:r w:rsidR="00904C62" w:rsidRPr="00E42816">
              <w:rPr>
                <w:rFonts w:ascii="Tahoma" w:hAnsi="Tahoma" w:cs="Tahoma"/>
                <w:iCs/>
                <w:sz w:val="14"/>
                <w:szCs w:val="14"/>
                <w:lang w:val="it-IT" w:eastAsia="it-IT"/>
              </w:rPr>
              <w:t xml:space="preserve"> </w:t>
            </w:r>
            <w:r w:rsidR="009635B9" w:rsidRPr="00E42816">
              <w:rPr>
                <w:rFonts w:ascii="Tahoma" w:hAnsi="Tahoma" w:cs="Tahoma"/>
                <w:sz w:val="14"/>
                <w:szCs w:val="14"/>
                <w:lang w:val="it-IT"/>
              </w:rPr>
              <w:t>Sauro Pierucci,</w:t>
            </w:r>
            <w:r w:rsidR="003B60F3" w:rsidRPr="00E42816">
              <w:rPr>
                <w:rFonts w:ascii="Tahoma" w:hAnsi="Tahoma" w:cs="Tahoma"/>
                <w:sz w:val="14"/>
                <w:szCs w:val="14"/>
                <w:lang w:val="it-IT"/>
              </w:rPr>
              <w:t xml:space="preserve"> </w:t>
            </w:r>
            <w:proofErr w:type="spellStart"/>
            <w:r w:rsidR="00047D7F" w:rsidRPr="00E42816">
              <w:rPr>
                <w:rFonts w:ascii="Tahoma" w:hAnsi="Tahoma" w:cs="Tahoma"/>
                <w:sz w:val="14"/>
                <w:szCs w:val="14"/>
                <w:shd w:val="clear" w:color="auto" w:fill="FFFFFF"/>
                <w:lang w:val="it-IT"/>
              </w:rPr>
              <w:t>Jiří</w:t>
            </w:r>
            <w:proofErr w:type="spellEnd"/>
            <w:r w:rsidR="00047D7F" w:rsidRPr="00E42816">
              <w:rPr>
                <w:rFonts w:ascii="Tahoma" w:hAnsi="Tahoma" w:cs="Tahoma"/>
                <w:sz w:val="14"/>
                <w:szCs w:val="14"/>
                <w:shd w:val="clear" w:color="auto" w:fill="FFFFFF"/>
                <w:lang w:val="it-IT"/>
              </w:rPr>
              <w:t xml:space="preserve"> </w:t>
            </w:r>
            <w:proofErr w:type="spellStart"/>
            <w:r w:rsidR="00047D7F" w:rsidRPr="00E42816">
              <w:rPr>
                <w:rFonts w:ascii="Tahoma" w:hAnsi="Tahoma" w:cs="Tahoma"/>
                <w:sz w:val="14"/>
                <w:szCs w:val="14"/>
                <w:shd w:val="clear" w:color="auto" w:fill="FFFFFF"/>
                <w:lang w:val="it-IT"/>
              </w:rPr>
              <w:t>Jaromír</w:t>
            </w:r>
            <w:proofErr w:type="spellEnd"/>
            <w:r w:rsidR="00047D7F" w:rsidRPr="00E42816">
              <w:rPr>
                <w:rFonts w:ascii="Tahoma" w:hAnsi="Tahoma" w:cs="Tahoma"/>
                <w:sz w:val="14"/>
                <w:szCs w:val="14"/>
                <w:shd w:val="clear" w:color="auto" w:fill="FFFFFF"/>
                <w:lang w:val="it-IT"/>
              </w:rPr>
              <w:t xml:space="preserve"> </w:t>
            </w:r>
            <w:proofErr w:type="spellStart"/>
            <w:r w:rsidR="00047D7F" w:rsidRPr="00E42816">
              <w:rPr>
                <w:rFonts w:ascii="Tahoma" w:hAnsi="Tahoma" w:cs="Tahoma"/>
                <w:sz w:val="14"/>
                <w:szCs w:val="14"/>
                <w:shd w:val="clear" w:color="auto" w:fill="FFFFFF"/>
                <w:lang w:val="it-IT"/>
              </w:rPr>
              <w:t>Klemeš</w:t>
            </w:r>
            <w:proofErr w:type="spellEnd"/>
            <w:r w:rsidR="00252C1A" w:rsidRPr="00E42816">
              <w:rPr>
                <w:rFonts w:ascii="Tahoma" w:hAnsi="Tahoma" w:cs="Tahoma"/>
                <w:sz w:val="14"/>
                <w:szCs w:val="14"/>
                <w:shd w:val="clear" w:color="auto" w:fill="FFFFFF"/>
                <w:lang w:val="it-IT"/>
              </w:rPr>
              <w:t>, Laura Piazza</w:t>
            </w:r>
          </w:p>
          <w:p w14:paraId="629EC54C" w14:textId="77777777" w:rsidR="000A03B2" w:rsidRPr="00E42816" w:rsidRDefault="00FA5F5F" w:rsidP="00131FAB">
            <w:pPr>
              <w:tabs>
                <w:tab w:val="left" w:pos="-108"/>
              </w:tabs>
              <w:spacing w:line="140" w:lineRule="atLeast"/>
              <w:ind w:left="-107"/>
              <w:jc w:val="left"/>
              <w:rPr>
                <w:lang w:val="en-US"/>
              </w:rPr>
            </w:pPr>
            <w:r w:rsidRPr="00E42816">
              <w:rPr>
                <w:rFonts w:ascii="Tahoma" w:hAnsi="Tahoma" w:cs="Tahoma"/>
                <w:iCs/>
                <w:sz w:val="14"/>
                <w:szCs w:val="14"/>
                <w:lang w:val="en-US" w:eastAsia="it-IT"/>
              </w:rPr>
              <w:t>Copyright © 201</w:t>
            </w:r>
            <w:r w:rsidR="007931FA" w:rsidRPr="00E42816">
              <w:rPr>
                <w:rFonts w:ascii="Tahoma" w:hAnsi="Tahoma" w:cs="Tahoma"/>
                <w:iCs/>
                <w:sz w:val="14"/>
                <w:szCs w:val="14"/>
                <w:lang w:val="en-US" w:eastAsia="it-IT"/>
              </w:rPr>
              <w:t>9</w:t>
            </w:r>
            <w:r w:rsidR="00904C62" w:rsidRPr="00E42816">
              <w:rPr>
                <w:rFonts w:ascii="Tahoma" w:hAnsi="Tahoma" w:cs="Tahoma"/>
                <w:iCs/>
                <w:sz w:val="14"/>
                <w:szCs w:val="14"/>
                <w:lang w:val="en-US" w:eastAsia="it-IT"/>
              </w:rPr>
              <w:t xml:space="preserve">, AIDIC </w:t>
            </w:r>
            <w:proofErr w:type="spellStart"/>
            <w:r w:rsidR="00904C62" w:rsidRPr="00E42816">
              <w:rPr>
                <w:rFonts w:ascii="Tahoma" w:hAnsi="Tahoma" w:cs="Tahoma"/>
                <w:iCs/>
                <w:sz w:val="14"/>
                <w:szCs w:val="14"/>
                <w:lang w:val="en-US" w:eastAsia="it-IT"/>
              </w:rPr>
              <w:t>Servizi</w:t>
            </w:r>
            <w:proofErr w:type="spellEnd"/>
            <w:r w:rsidR="00904C62" w:rsidRPr="00E42816">
              <w:rPr>
                <w:rFonts w:ascii="Tahoma" w:hAnsi="Tahoma" w:cs="Tahoma"/>
                <w:iCs/>
                <w:sz w:val="14"/>
                <w:szCs w:val="14"/>
                <w:lang w:val="en-US" w:eastAsia="it-IT"/>
              </w:rPr>
              <w:t xml:space="preserve"> </w:t>
            </w:r>
            <w:proofErr w:type="spellStart"/>
            <w:r w:rsidR="00904C62" w:rsidRPr="00E42816">
              <w:rPr>
                <w:rFonts w:ascii="Tahoma" w:hAnsi="Tahoma" w:cs="Tahoma"/>
                <w:iCs/>
                <w:sz w:val="14"/>
                <w:szCs w:val="14"/>
                <w:lang w:val="en-US" w:eastAsia="it-IT"/>
              </w:rPr>
              <w:t>S.r.l</w:t>
            </w:r>
            <w:proofErr w:type="spellEnd"/>
            <w:r w:rsidR="00904C62" w:rsidRPr="00E42816">
              <w:rPr>
                <w:rFonts w:ascii="Tahoma" w:hAnsi="Tahoma" w:cs="Tahoma"/>
                <w:iCs/>
                <w:sz w:val="14"/>
                <w:szCs w:val="14"/>
                <w:lang w:val="en-US" w:eastAsia="it-IT"/>
              </w:rPr>
              <w:t>.</w:t>
            </w:r>
            <w:r w:rsidR="00300E56" w:rsidRPr="00E42816">
              <w:rPr>
                <w:rFonts w:ascii="Tahoma" w:hAnsi="Tahoma" w:cs="Tahoma"/>
                <w:iCs/>
                <w:sz w:val="14"/>
                <w:szCs w:val="14"/>
                <w:lang w:val="en-US" w:eastAsia="it-IT"/>
              </w:rPr>
              <w:br/>
            </w:r>
            <w:r w:rsidR="00300E56" w:rsidRPr="00E42816">
              <w:rPr>
                <w:rFonts w:ascii="Tahoma" w:hAnsi="Tahoma" w:cs="Tahoma"/>
                <w:b/>
                <w:iCs/>
                <w:sz w:val="14"/>
                <w:szCs w:val="14"/>
                <w:lang w:val="en-US" w:eastAsia="it-IT"/>
              </w:rPr>
              <w:t>ISBN</w:t>
            </w:r>
            <w:r w:rsidR="00300E56" w:rsidRPr="00E42816">
              <w:rPr>
                <w:rFonts w:ascii="Tahoma" w:hAnsi="Tahoma" w:cs="Tahoma"/>
                <w:iCs/>
                <w:sz w:val="14"/>
                <w:szCs w:val="14"/>
                <w:lang w:val="en-US" w:eastAsia="it-IT"/>
              </w:rPr>
              <w:t xml:space="preserve"> </w:t>
            </w:r>
            <w:r w:rsidR="008D32B9" w:rsidRPr="00E42816">
              <w:rPr>
                <w:rFonts w:ascii="Tahoma" w:hAnsi="Tahoma" w:cs="Tahoma"/>
                <w:sz w:val="14"/>
                <w:szCs w:val="14"/>
                <w:lang w:val="en-US"/>
              </w:rPr>
              <w:t>978-88-95608-</w:t>
            </w:r>
            <w:r w:rsidR="009635B9" w:rsidRPr="00E42816">
              <w:rPr>
                <w:rFonts w:ascii="Tahoma" w:hAnsi="Tahoma" w:cs="Tahoma"/>
                <w:sz w:val="14"/>
                <w:szCs w:val="14"/>
                <w:lang w:val="en-US"/>
              </w:rPr>
              <w:t>73</w:t>
            </w:r>
            <w:r w:rsidR="008D32B9" w:rsidRPr="00E42816">
              <w:rPr>
                <w:rFonts w:ascii="Tahoma" w:hAnsi="Tahoma" w:cs="Tahoma"/>
                <w:sz w:val="14"/>
                <w:szCs w:val="14"/>
                <w:lang w:val="en-US"/>
              </w:rPr>
              <w:t>-</w:t>
            </w:r>
            <w:r w:rsidR="009635B9" w:rsidRPr="00E42816">
              <w:rPr>
                <w:rFonts w:ascii="Tahoma" w:hAnsi="Tahoma" w:cs="Tahoma"/>
                <w:sz w:val="14"/>
                <w:szCs w:val="14"/>
                <w:lang w:val="en-US"/>
              </w:rPr>
              <w:t>0</w:t>
            </w:r>
            <w:r w:rsidR="00300E56" w:rsidRPr="00E42816">
              <w:rPr>
                <w:rFonts w:ascii="Tahoma" w:hAnsi="Tahoma" w:cs="Tahoma"/>
                <w:iCs/>
                <w:sz w:val="14"/>
                <w:szCs w:val="14"/>
                <w:lang w:val="en-US" w:eastAsia="it-IT"/>
              </w:rPr>
              <w:t xml:space="preserve">; </w:t>
            </w:r>
            <w:r w:rsidR="00300E56" w:rsidRPr="00E42816">
              <w:rPr>
                <w:rFonts w:ascii="Tahoma" w:hAnsi="Tahoma" w:cs="Tahoma"/>
                <w:b/>
                <w:iCs/>
                <w:sz w:val="14"/>
                <w:szCs w:val="14"/>
                <w:lang w:val="en-US" w:eastAsia="it-IT"/>
              </w:rPr>
              <w:t>ISSN</w:t>
            </w:r>
            <w:r w:rsidR="00300E56" w:rsidRPr="00E42816">
              <w:rPr>
                <w:rFonts w:ascii="Tahoma" w:hAnsi="Tahoma" w:cs="Tahoma"/>
                <w:iCs/>
                <w:sz w:val="14"/>
                <w:szCs w:val="14"/>
                <w:lang w:val="en-US" w:eastAsia="it-IT"/>
              </w:rPr>
              <w:t xml:space="preserve"> 2283-9216</w:t>
            </w:r>
          </w:p>
        </w:tc>
      </w:tr>
    </w:tbl>
    <w:p w14:paraId="30893B9E" w14:textId="77777777" w:rsidR="000A03B2" w:rsidRPr="00E42816" w:rsidRDefault="000A03B2" w:rsidP="000A03B2">
      <w:pPr>
        <w:pStyle w:val="CETAuthors"/>
        <w:rPr>
          <w:lang w:val="en-US"/>
        </w:rPr>
        <w:sectPr w:rsidR="000A03B2" w:rsidRPr="00E42816">
          <w:type w:val="continuous"/>
          <w:pgSz w:w="11906" w:h="16838" w:code="9"/>
          <w:pgMar w:top="1701" w:right="1418" w:bottom="1701" w:left="1701" w:header="1701" w:footer="0" w:gutter="0"/>
          <w:cols w:space="708"/>
          <w:titlePg/>
          <w:docGrid w:linePitch="360"/>
        </w:sectPr>
      </w:pPr>
    </w:p>
    <w:p w14:paraId="1933992D" w14:textId="77777777" w:rsidR="003C1015" w:rsidRPr="00E42816" w:rsidRDefault="003C1015" w:rsidP="00AB5011">
      <w:pPr>
        <w:pStyle w:val="CETAuthors"/>
        <w:rPr>
          <w:noProof w:val="0"/>
          <w:sz w:val="32"/>
          <w:lang w:val="en-US"/>
        </w:rPr>
      </w:pPr>
      <w:r w:rsidRPr="00E42816">
        <w:rPr>
          <w:noProof w:val="0"/>
          <w:sz w:val="32"/>
          <w:lang w:val="en-US"/>
        </w:rPr>
        <w:t>Preliminary analysis of mass dispersion in solid foams: separation of nitrogen/hydrogen mixtures in a packed membrane module as a case study</w:t>
      </w:r>
    </w:p>
    <w:p w14:paraId="5423A81F" w14:textId="4B42EBF1" w:rsidR="00E978D0" w:rsidRPr="00E42816" w:rsidRDefault="003C1015" w:rsidP="00AB5011">
      <w:pPr>
        <w:pStyle w:val="CETAuthors"/>
        <w:rPr>
          <w:lang w:val="en-US"/>
        </w:rPr>
      </w:pPr>
      <w:r w:rsidRPr="00E42816">
        <w:rPr>
          <w:lang w:val="en-US"/>
        </w:rPr>
        <w:t>Maria Anna Murmura</w:t>
      </w:r>
      <w:r w:rsidRPr="00E42816">
        <w:rPr>
          <w:vertAlign w:val="superscript"/>
          <w:lang w:val="en-US"/>
        </w:rPr>
        <w:t>a</w:t>
      </w:r>
      <w:r w:rsidRPr="00E42816">
        <w:rPr>
          <w:lang w:val="en-US"/>
        </w:rPr>
        <w:t>*, Stefano Cerbelli</w:t>
      </w:r>
      <w:r w:rsidRPr="00E42816">
        <w:rPr>
          <w:vertAlign w:val="superscript"/>
          <w:lang w:val="en-US"/>
        </w:rPr>
        <w:t>a</w:t>
      </w:r>
      <w:r w:rsidRPr="00E42816">
        <w:rPr>
          <w:lang w:val="en-US"/>
        </w:rPr>
        <w:t>, Alexios-Spyridon Kyriakides</w:t>
      </w:r>
      <w:r w:rsidRPr="00E42816">
        <w:rPr>
          <w:vertAlign w:val="superscript"/>
          <w:lang w:val="en-US"/>
        </w:rPr>
        <w:t>b</w:t>
      </w:r>
      <w:r w:rsidRPr="00E42816">
        <w:rPr>
          <w:lang w:val="en-US"/>
        </w:rPr>
        <w:t>, Spyros Voutetakis</w:t>
      </w:r>
      <w:r w:rsidRPr="00E42816">
        <w:rPr>
          <w:vertAlign w:val="superscript"/>
          <w:lang w:val="en-US"/>
        </w:rPr>
        <w:t>b</w:t>
      </w:r>
      <w:r w:rsidRPr="00E42816">
        <w:rPr>
          <w:lang w:val="en-US"/>
        </w:rPr>
        <w:t>, Panos Seferlis</w:t>
      </w:r>
      <w:r w:rsidRPr="00E42816">
        <w:rPr>
          <w:vertAlign w:val="superscript"/>
          <w:lang w:val="en-US"/>
        </w:rPr>
        <w:t>c</w:t>
      </w:r>
      <w:r w:rsidRPr="00E42816">
        <w:rPr>
          <w:lang w:val="en-US"/>
        </w:rPr>
        <w:t>, Simira Papadopoulou</w:t>
      </w:r>
      <w:r w:rsidRPr="00E42816">
        <w:rPr>
          <w:vertAlign w:val="superscript"/>
          <w:lang w:val="en-US"/>
        </w:rPr>
        <w:t>d</w:t>
      </w:r>
      <w:r w:rsidRPr="00E42816">
        <w:rPr>
          <w:lang w:val="en-US"/>
        </w:rPr>
        <w:t>, Maria Cristina Annesini</w:t>
      </w:r>
      <w:r w:rsidR="00600535" w:rsidRPr="00E42816">
        <w:rPr>
          <w:vertAlign w:val="superscript"/>
          <w:lang w:val="en-US"/>
        </w:rPr>
        <w:t>a</w:t>
      </w:r>
    </w:p>
    <w:p w14:paraId="76F5955F" w14:textId="550A774B" w:rsidR="00E978D0" w:rsidRPr="00E42816" w:rsidRDefault="00E978D0" w:rsidP="00E978D0">
      <w:pPr>
        <w:pStyle w:val="CETAddress"/>
        <w:rPr>
          <w:lang w:val="en-US"/>
        </w:rPr>
      </w:pPr>
      <w:r w:rsidRPr="00E42816">
        <w:rPr>
          <w:vertAlign w:val="superscript"/>
          <w:lang w:val="en-US"/>
        </w:rPr>
        <w:t>a</w:t>
      </w:r>
      <w:r w:rsidR="003C1015" w:rsidRPr="00E42816">
        <w:rPr>
          <w:lang w:val="en-US"/>
        </w:rPr>
        <w:t>University of Rome “Sapienza”, Department of Chemical Engineering, Materials and Environment, Via Eudossiana 18, 00184 Rome, Italy</w:t>
      </w:r>
    </w:p>
    <w:p w14:paraId="46705971" w14:textId="23F4852D" w:rsidR="00E978D0" w:rsidRPr="00E42816" w:rsidRDefault="00E978D0" w:rsidP="00E978D0">
      <w:pPr>
        <w:pStyle w:val="CETAddress"/>
        <w:rPr>
          <w:lang w:val="en-US"/>
        </w:rPr>
      </w:pPr>
      <w:r w:rsidRPr="00E42816">
        <w:rPr>
          <w:vertAlign w:val="superscript"/>
          <w:lang w:val="en-US"/>
        </w:rPr>
        <w:t>b</w:t>
      </w:r>
      <w:r w:rsidR="003C1015" w:rsidRPr="00E42816">
        <w:rPr>
          <w:lang w:val="en-US"/>
        </w:rPr>
        <w:t>Chemical Process &amp; Energy Resources Institute (C.P.E.R.I.), Center for Research and Technology Hellas (C.E.R.T.H.), P.O. Box 60361, 57001, Thermi-Thessaloniki, Greece</w:t>
      </w:r>
    </w:p>
    <w:p w14:paraId="76A5C55E" w14:textId="0D8F5AEE" w:rsidR="003C1015" w:rsidRPr="00E42816" w:rsidRDefault="003C1015" w:rsidP="00E978D0">
      <w:pPr>
        <w:pStyle w:val="CETAddress"/>
        <w:rPr>
          <w:lang w:val="en-US"/>
        </w:rPr>
      </w:pPr>
      <w:r w:rsidRPr="00E42816">
        <w:rPr>
          <w:vertAlign w:val="superscript"/>
          <w:lang w:val="en-US"/>
        </w:rPr>
        <w:t>c</w:t>
      </w:r>
      <w:r w:rsidRPr="00E42816">
        <w:rPr>
          <w:lang w:val="en-US"/>
        </w:rPr>
        <w:t>Department of Mechanical Engineering, Aristotle University of Thessaloniki,  P.O. Box 484, 54124 Thessaloniki, Greece</w:t>
      </w:r>
    </w:p>
    <w:p w14:paraId="4FA01867" w14:textId="4769FDF5" w:rsidR="003C1015" w:rsidRPr="00E42816" w:rsidRDefault="003C1015" w:rsidP="00E978D0">
      <w:pPr>
        <w:pStyle w:val="CETAddress"/>
        <w:rPr>
          <w:lang w:val="en-US"/>
        </w:rPr>
      </w:pPr>
      <w:r w:rsidRPr="00E42816">
        <w:rPr>
          <w:vertAlign w:val="superscript"/>
          <w:lang w:val="en-US"/>
        </w:rPr>
        <w:t>d</w:t>
      </w:r>
      <w:r w:rsidRPr="00E42816">
        <w:rPr>
          <w:lang w:val="en-US"/>
        </w:rPr>
        <w:t>Department of Automation Engineering, Alexander Technological Educational Institute of Thessaloniki, P.O. Box 141, 57400 Thessaloniki, Greece</w:t>
      </w:r>
    </w:p>
    <w:p w14:paraId="5F242EAC" w14:textId="45270F0A" w:rsidR="00E978D0" w:rsidRPr="00E42816" w:rsidRDefault="003C1015" w:rsidP="00E978D0">
      <w:pPr>
        <w:pStyle w:val="CETemail"/>
        <w:rPr>
          <w:lang w:val="en-US"/>
        </w:rPr>
      </w:pPr>
      <w:r w:rsidRPr="00E42816">
        <w:rPr>
          <w:lang w:val="en-US"/>
        </w:rPr>
        <w:t>mariaanna.murmura@uniroma1.it</w:t>
      </w:r>
    </w:p>
    <w:p w14:paraId="586970E1" w14:textId="4C3139FF" w:rsidR="003C1015" w:rsidRPr="00E42816" w:rsidRDefault="003C1015" w:rsidP="003C1015">
      <w:pPr>
        <w:snapToGrid w:val="0"/>
        <w:spacing w:after="120"/>
        <w:rPr>
          <w:rFonts w:eastAsia="MS PGothic"/>
          <w:sz w:val="20"/>
          <w:szCs w:val="22"/>
          <w:lang w:val="en-US"/>
        </w:rPr>
      </w:pPr>
      <w:r w:rsidRPr="00E42816">
        <w:rPr>
          <w:rFonts w:eastAsia="MS PGothic"/>
          <w:sz w:val="20"/>
          <w:szCs w:val="22"/>
          <w:lang w:val="en-US"/>
        </w:rPr>
        <w:t>Membrane reactors for low-temperature hydrogen production are receiving significant attention. The main design challenges include the choice of appropriate membrane</w:t>
      </w:r>
      <w:r w:rsidR="00A84567" w:rsidRPr="00E42816">
        <w:rPr>
          <w:rFonts w:eastAsia="MS PGothic"/>
          <w:sz w:val="20"/>
          <w:szCs w:val="22"/>
          <w:lang w:val="en-US"/>
        </w:rPr>
        <w:t>s</w:t>
      </w:r>
      <w:r w:rsidRPr="00E42816">
        <w:rPr>
          <w:rFonts w:eastAsia="MS PGothic"/>
          <w:sz w:val="20"/>
          <w:szCs w:val="22"/>
          <w:lang w:val="en-US"/>
        </w:rPr>
        <w:t>, catalysts</w:t>
      </w:r>
      <w:r w:rsidR="00A84567" w:rsidRPr="00E42816">
        <w:rPr>
          <w:rFonts w:eastAsia="MS PGothic"/>
          <w:sz w:val="20"/>
          <w:szCs w:val="22"/>
          <w:lang w:val="en-US"/>
        </w:rPr>
        <w:t>, and catalyst supports.</w:t>
      </w:r>
      <w:r w:rsidRPr="00E42816">
        <w:rPr>
          <w:rFonts w:eastAsia="MS PGothic"/>
          <w:sz w:val="20"/>
          <w:szCs w:val="22"/>
          <w:lang w:val="en-US"/>
        </w:rPr>
        <w:t xml:space="preserve"> </w:t>
      </w:r>
      <w:r w:rsidR="00A84567" w:rsidRPr="00E42816">
        <w:rPr>
          <w:rFonts w:eastAsia="MS PGothic"/>
          <w:sz w:val="20"/>
          <w:szCs w:val="22"/>
          <w:lang w:val="en-US"/>
        </w:rPr>
        <w:t>R</w:t>
      </w:r>
      <w:r w:rsidRPr="00E42816">
        <w:rPr>
          <w:rFonts w:eastAsia="MS PGothic"/>
          <w:sz w:val="20"/>
          <w:szCs w:val="22"/>
          <w:lang w:val="en-US"/>
        </w:rPr>
        <w:t xml:space="preserve">esearch on the </w:t>
      </w:r>
      <w:r w:rsidR="00A84567" w:rsidRPr="00E42816">
        <w:rPr>
          <w:rFonts w:eastAsia="MS PGothic"/>
          <w:sz w:val="20"/>
          <w:szCs w:val="22"/>
          <w:lang w:val="en-US"/>
        </w:rPr>
        <w:t>mechanical supports</w:t>
      </w:r>
      <w:r w:rsidRPr="00E42816">
        <w:rPr>
          <w:rFonts w:eastAsia="MS PGothic"/>
          <w:sz w:val="20"/>
          <w:szCs w:val="22"/>
          <w:lang w:val="en-US"/>
        </w:rPr>
        <w:t xml:space="preserve"> has been addressed towards the use of solid foams; however, information regarding mass dispersion within these foams is still lacking, even though the resistance to mass transport in the packed bed may become relevant when using a good catalyst and a high-permeability membrane.</w:t>
      </w:r>
      <w:r w:rsidR="00074F73" w:rsidRPr="00E42816">
        <w:rPr>
          <w:rFonts w:eastAsia="MS PGothic"/>
          <w:sz w:val="20"/>
          <w:szCs w:val="22"/>
          <w:lang w:val="en-US"/>
        </w:rPr>
        <w:t xml:space="preserve"> The aim of the present work is to carry out a preliminary analysis of mass dispersion in solid foams. To this end, experiments have been carried out for </w:t>
      </w:r>
      <w:r w:rsidR="008543F4" w:rsidRPr="00E42816">
        <w:rPr>
          <w:rFonts w:eastAsia="MS PGothic"/>
          <w:sz w:val="20"/>
          <w:szCs w:val="22"/>
          <w:lang w:val="en-US"/>
        </w:rPr>
        <w:t xml:space="preserve">hydrogen </w:t>
      </w:r>
      <w:r w:rsidR="00074F73" w:rsidRPr="00E42816">
        <w:rPr>
          <w:rFonts w:eastAsia="MS PGothic"/>
          <w:sz w:val="20"/>
          <w:szCs w:val="22"/>
          <w:lang w:val="en-US"/>
        </w:rPr>
        <w:t xml:space="preserve">separation </w:t>
      </w:r>
      <w:r w:rsidR="008543F4" w:rsidRPr="00E42816">
        <w:rPr>
          <w:rFonts w:eastAsia="MS PGothic"/>
          <w:sz w:val="20"/>
          <w:szCs w:val="22"/>
          <w:lang w:val="en-US"/>
        </w:rPr>
        <w:t xml:space="preserve">from binary </w:t>
      </w:r>
      <w:r w:rsidR="00074F73" w:rsidRPr="00E42816">
        <w:rPr>
          <w:rFonts w:eastAsia="MS PGothic"/>
          <w:sz w:val="20"/>
          <w:szCs w:val="22"/>
          <w:lang w:val="en-US"/>
        </w:rPr>
        <w:t xml:space="preserve">hydrogen/nitrogen mixtures using a packed membrane separator. The configuration adopted consists in two co-axial cylinders. A Pd-based membrane, permeable to hydrogen only, is placed on the outer wall of the innermost tube. A SiC solid foam is placed in the volume between the two cylinders. </w:t>
      </w:r>
      <w:r w:rsidR="004D2D2F" w:rsidRPr="00E42816">
        <w:rPr>
          <w:rFonts w:eastAsia="MS PGothic"/>
          <w:sz w:val="20"/>
          <w:szCs w:val="22"/>
          <w:lang w:val="en-US"/>
        </w:rPr>
        <w:t>E</w:t>
      </w:r>
      <w:r w:rsidR="00074F73" w:rsidRPr="00E42816">
        <w:rPr>
          <w:rFonts w:eastAsia="MS PGothic"/>
          <w:sz w:val="20"/>
          <w:szCs w:val="22"/>
          <w:lang w:val="en-US"/>
        </w:rPr>
        <w:t xml:space="preserve">xperimental results were analyzed with the support of a 2D isothermal model of a packed membrane separation module, previously developed by some of the same authors of this study. The model has been used to fit an effective </w:t>
      </w:r>
      <w:proofErr w:type="spellStart"/>
      <w:r w:rsidR="00074F73" w:rsidRPr="00E42816">
        <w:rPr>
          <w:rFonts w:eastAsia="MS PGothic"/>
          <w:sz w:val="20"/>
          <w:szCs w:val="22"/>
          <w:lang w:val="en-US"/>
        </w:rPr>
        <w:t>P</w:t>
      </w:r>
      <w:r w:rsidR="0029190E" w:rsidRPr="00E42816">
        <w:rPr>
          <w:rFonts w:eastAsia="MS PGothic"/>
          <w:sz w:val="20"/>
          <w:szCs w:val="22"/>
          <w:lang w:val="en-US"/>
        </w:rPr>
        <w:t>éclet</w:t>
      </w:r>
      <w:proofErr w:type="spellEnd"/>
      <w:r w:rsidR="00074F73" w:rsidRPr="00E42816">
        <w:rPr>
          <w:rFonts w:eastAsia="MS PGothic"/>
          <w:sz w:val="20"/>
          <w:szCs w:val="22"/>
          <w:lang w:val="en-US"/>
        </w:rPr>
        <w:t xml:space="preserve"> number</w:t>
      </w:r>
      <w:r w:rsidR="0029190E" w:rsidRPr="00E42816">
        <w:rPr>
          <w:rFonts w:eastAsia="MS PGothic"/>
          <w:sz w:val="20"/>
          <w:szCs w:val="22"/>
          <w:lang w:val="en-US"/>
        </w:rPr>
        <w:t xml:space="preserve"> (</w:t>
      </w:r>
      <w:proofErr w:type="spellStart"/>
      <w:r w:rsidR="0029190E" w:rsidRPr="00E42816">
        <w:rPr>
          <w:i/>
          <w:lang w:val="en-US"/>
        </w:rPr>
        <w:t>Pe</w:t>
      </w:r>
      <w:r w:rsidR="0029190E" w:rsidRPr="00E42816">
        <w:rPr>
          <w:i/>
          <w:vertAlign w:val="subscript"/>
          <w:lang w:val="en-US"/>
        </w:rPr>
        <w:t>eff</w:t>
      </w:r>
      <w:proofErr w:type="spellEnd"/>
      <w:r w:rsidR="0029190E" w:rsidRPr="00E42816">
        <w:rPr>
          <w:rFonts w:eastAsia="MS PGothic"/>
          <w:sz w:val="20"/>
          <w:szCs w:val="22"/>
          <w:lang w:val="en-US"/>
        </w:rPr>
        <w:t>)</w:t>
      </w:r>
      <w:r w:rsidR="00074F73" w:rsidRPr="00E42816">
        <w:rPr>
          <w:rFonts w:eastAsia="MS PGothic"/>
          <w:sz w:val="20"/>
          <w:szCs w:val="22"/>
          <w:lang w:val="en-US"/>
        </w:rPr>
        <w:t xml:space="preserve"> in each condition. These values were then compared to the molecular </w:t>
      </w:r>
      <w:proofErr w:type="spellStart"/>
      <w:r w:rsidR="0029190E" w:rsidRPr="00E42816">
        <w:rPr>
          <w:rFonts w:eastAsia="MS PGothic"/>
          <w:sz w:val="20"/>
          <w:szCs w:val="22"/>
          <w:lang w:val="en-US"/>
        </w:rPr>
        <w:t>Péclet</w:t>
      </w:r>
      <w:proofErr w:type="spellEnd"/>
      <w:r w:rsidR="0029190E" w:rsidRPr="00E42816">
        <w:rPr>
          <w:rFonts w:eastAsia="MS PGothic"/>
          <w:sz w:val="20"/>
          <w:szCs w:val="22"/>
          <w:lang w:val="en-US"/>
        </w:rPr>
        <w:t xml:space="preserve"> number (</w:t>
      </w:r>
      <w:r w:rsidR="0029190E" w:rsidRPr="00E42816">
        <w:rPr>
          <w:i/>
          <w:lang w:val="en-US"/>
        </w:rPr>
        <w:t>Pe</w:t>
      </w:r>
      <w:r w:rsidR="0029190E" w:rsidRPr="00E42816">
        <w:rPr>
          <w:rFonts w:eastAsia="MS PGothic"/>
          <w:sz w:val="20"/>
          <w:szCs w:val="22"/>
          <w:lang w:val="en-US"/>
        </w:rPr>
        <w:t>)</w:t>
      </w:r>
      <w:r w:rsidR="00074F73" w:rsidRPr="00E42816">
        <w:rPr>
          <w:rFonts w:eastAsia="MS PGothic"/>
          <w:sz w:val="20"/>
          <w:szCs w:val="22"/>
          <w:lang w:val="en-US"/>
        </w:rPr>
        <w:t xml:space="preserve">. The solid foams were found to convey lower dispersion than traditional packed beds and the lower axial dispersion </w:t>
      </w:r>
      <w:r w:rsidR="008543F4" w:rsidRPr="00E42816">
        <w:rPr>
          <w:rFonts w:eastAsia="MS PGothic"/>
          <w:sz w:val="20"/>
          <w:szCs w:val="22"/>
          <w:lang w:val="en-US"/>
        </w:rPr>
        <w:t>favors</w:t>
      </w:r>
      <w:r w:rsidR="00074F73" w:rsidRPr="00E42816">
        <w:rPr>
          <w:rFonts w:eastAsia="MS PGothic"/>
          <w:sz w:val="20"/>
          <w:szCs w:val="22"/>
          <w:lang w:val="en-US"/>
        </w:rPr>
        <w:t xml:space="preserve"> the overall separation efficiency.</w:t>
      </w:r>
    </w:p>
    <w:p w14:paraId="7CBA6269" w14:textId="51FB8E25" w:rsidR="00600535" w:rsidRPr="00E42816" w:rsidRDefault="00600535" w:rsidP="00600535">
      <w:pPr>
        <w:pStyle w:val="CETHeading1"/>
      </w:pPr>
      <w:r w:rsidRPr="00E42816">
        <w:t>Introduction</w:t>
      </w:r>
    </w:p>
    <w:p w14:paraId="07AD560F" w14:textId="13AE0AE0" w:rsidR="00A84567" w:rsidRPr="00E42816" w:rsidRDefault="00A84567" w:rsidP="003C1015">
      <w:pPr>
        <w:pStyle w:val="CETBodytext"/>
      </w:pPr>
      <w:r w:rsidRPr="00E42816">
        <w:t>The main design challenges for membrane reactors for low-temperature hydrogen production include the choice of an appropriate membrane</w:t>
      </w:r>
      <w:r w:rsidR="00C91751" w:rsidRPr="00E42816">
        <w:t xml:space="preserve"> in terms of both material (e.g., Pd, Pd alloy) and support (e.g., stainless steel, ceramic)</w:t>
      </w:r>
      <w:r w:rsidRPr="00E42816">
        <w:t>, the identification of catalysts that are active at the lower operating temperature</w:t>
      </w:r>
      <w:r w:rsidR="00C91751" w:rsidRPr="00E42816">
        <w:t xml:space="preserve"> and yet resistant to deactivation (e.g., due to coke formation)</w:t>
      </w:r>
      <w:r w:rsidRPr="00E42816">
        <w:t>, and the realization of mechanical supports for the catalysts capable of guaranteeing low pressure drops and high heat transfer rates. With regards to the membrane, it is now well known that Pd-based membranes present high</w:t>
      </w:r>
      <w:r w:rsidR="0029190E" w:rsidRPr="00E42816">
        <w:t xml:space="preserve"> hydrogen</w:t>
      </w:r>
      <w:r w:rsidRPr="00E42816">
        <w:t xml:space="preserve"> permeability</w:t>
      </w:r>
      <w:r w:rsidR="0029190E" w:rsidRPr="00E42816">
        <w:t>,</w:t>
      </w:r>
      <w:r w:rsidRPr="00E42816">
        <w:t xml:space="preserve"> along with infinite selectivity. Ongoing research is focused particularly on the choice of alloy</w:t>
      </w:r>
      <w:r w:rsidR="0029190E" w:rsidRPr="00E42816">
        <w:t>s</w:t>
      </w:r>
      <w:r w:rsidRPr="00E42816">
        <w:t xml:space="preserve"> that could reduce inhibition by competitive adsorption without significant</w:t>
      </w:r>
      <w:r w:rsidR="000D319F" w:rsidRPr="00E42816">
        <w:t>ly</w:t>
      </w:r>
      <w:r w:rsidRPr="00E42816">
        <w:t xml:space="preserve"> </w:t>
      </w:r>
      <w:r w:rsidR="000D319F" w:rsidRPr="00E42816">
        <w:t xml:space="preserve">reducing membrane </w:t>
      </w:r>
      <w:r w:rsidRPr="00E42816">
        <w:t xml:space="preserve">permeability and selectivity </w:t>
      </w:r>
      <w:r w:rsidR="00B13438" w:rsidRPr="00E42816">
        <w:t>(</w:t>
      </w:r>
      <w:proofErr w:type="spellStart"/>
      <w:r w:rsidR="00B13438" w:rsidRPr="00E42816">
        <w:t>Abir</w:t>
      </w:r>
      <w:proofErr w:type="spellEnd"/>
      <w:r w:rsidR="00B13438" w:rsidRPr="00E42816">
        <w:t xml:space="preserve"> and Sheintuch, 2016</w:t>
      </w:r>
      <w:r w:rsidR="003A4740" w:rsidRPr="00E42816">
        <w:t>; Murmura and Sheintuch, 2018</w:t>
      </w:r>
      <w:r w:rsidR="00B13438" w:rsidRPr="00E42816">
        <w:t>)</w:t>
      </w:r>
      <w:r w:rsidRPr="00E42816">
        <w:t xml:space="preserve">. For the choice of the catalysts’ active components, in the case of steam reforming of light </w:t>
      </w:r>
      <w:r w:rsidRPr="00E42816">
        <w:lastRenderedPageBreak/>
        <w:t xml:space="preserve">hydrocarbons, catalysts that allow high reaction rates </w:t>
      </w:r>
      <w:proofErr w:type="gramStart"/>
      <w:r w:rsidRPr="00E42816">
        <w:t>have</w:t>
      </w:r>
      <w:proofErr w:type="gramEnd"/>
      <w:r w:rsidRPr="00E42816">
        <w:t xml:space="preserve"> been successfully identified </w:t>
      </w:r>
      <w:r w:rsidR="004F6CD3" w:rsidRPr="00E42816">
        <w:t xml:space="preserve">(Turchetti et al., 2016; </w:t>
      </w:r>
      <w:proofErr w:type="spellStart"/>
      <w:r w:rsidR="004F6CD3" w:rsidRPr="00E42816">
        <w:t>Kyriakides</w:t>
      </w:r>
      <w:proofErr w:type="spellEnd"/>
      <w:r w:rsidR="004F6CD3" w:rsidRPr="00E42816">
        <w:t xml:space="preserve"> et al</w:t>
      </w:r>
      <w:r w:rsidR="0029190E" w:rsidRPr="00E42816">
        <w:t>.</w:t>
      </w:r>
      <w:r w:rsidR="004F6CD3" w:rsidRPr="00E42816">
        <w:t>, 2014)</w:t>
      </w:r>
      <w:r w:rsidRPr="00E42816">
        <w:t>.</w:t>
      </w:r>
    </w:p>
    <w:p w14:paraId="7984F747" w14:textId="2D920581" w:rsidR="003C1015" w:rsidRPr="00E42816" w:rsidRDefault="003C1015" w:rsidP="003C1015">
      <w:pPr>
        <w:pStyle w:val="CETBodytext"/>
      </w:pPr>
      <w:r w:rsidRPr="00E42816">
        <w:t>Open-cell foams are attracting increasing interest for use as catalyst support</w:t>
      </w:r>
      <w:r w:rsidR="00457565" w:rsidRPr="00E42816">
        <w:t>.</w:t>
      </w:r>
      <w:r w:rsidRPr="00E42816">
        <w:t xml:space="preserve"> These materials consist of a network of interconnected solid struts that form void spaces, known as cells, connected to each other through windows, which allow the passage of fluids. Interest in these materials as mechanical supports for cataly</w:t>
      </w:r>
      <w:r w:rsidR="005D1E8E" w:rsidRPr="00E42816">
        <w:t>s</w:t>
      </w:r>
      <w:r w:rsidRPr="00E42816">
        <w:t xml:space="preserve">ts has been growing in virtue of their high porosity and surface area. In addition, they present high thermal conductivity, high mechanical </w:t>
      </w:r>
      <w:r w:rsidR="000D319F" w:rsidRPr="00E42816">
        <w:t>stability</w:t>
      </w:r>
      <w:r w:rsidR="00FA2C0C" w:rsidRPr="00E42816">
        <w:t>,</w:t>
      </w:r>
      <w:r w:rsidR="000D319F" w:rsidRPr="00E42816">
        <w:t xml:space="preserve"> </w:t>
      </w:r>
      <w:r w:rsidRPr="00E42816">
        <w:t xml:space="preserve">and chemical resistance. </w:t>
      </w:r>
      <w:proofErr w:type="spellStart"/>
      <w:r w:rsidRPr="00E42816">
        <w:t>Lucci</w:t>
      </w:r>
      <w:proofErr w:type="spellEnd"/>
      <w:r w:rsidRPr="00E42816">
        <w:t xml:space="preserve"> et al. </w:t>
      </w:r>
      <w:r w:rsidR="005D1E8E" w:rsidRPr="00E42816">
        <w:t>(2015</w:t>
      </w:r>
      <w:r w:rsidRPr="00E42816">
        <w:t>) compared the catalytic performance of open cell structures and honeycombs and found that the enhanced mass transport characteristics of the former allow the achievement of the same conversion rate as honeycombs with only a fraction of the catalytic surface, meaning that a sign</w:t>
      </w:r>
      <w:r w:rsidR="005D1E8E" w:rsidRPr="00E42816">
        <w:t>i</w:t>
      </w:r>
      <w:r w:rsidRPr="00E42816">
        <w:t>ficant reduction in the amount of catalyst employed can be achi</w:t>
      </w:r>
      <w:r w:rsidR="005D1E8E" w:rsidRPr="00E42816">
        <w:t>e</w:t>
      </w:r>
      <w:r w:rsidRPr="00E42816">
        <w:t xml:space="preserve">ved. This is particularly significant if one considers the high cost of noble metal catalysts. In the same work, the authors also point out the difficulty in comparing the </w:t>
      </w:r>
      <w:r w:rsidR="000D319F" w:rsidRPr="00E42816">
        <w:t xml:space="preserve">performance </w:t>
      </w:r>
      <w:r w:rsidRPr="00E42816">
        <w:t>of the two types of cataly</w:t>
      </w:r>
      <w:r w:rsidR="005D1E8E" w:rsidRPr="00E42816">
        <w:t>s</w:t>
      </w:r>
      <w:r w:rsidRPr="00E42816">
        <w:t>t supports due to their inherently different structures. For instance, when comparing the trade</w:t>
      </w:r>
      <w:r w:rsidR="004F6CD3" w:rsidRPr="00E42816">
        <w:t>-</w:t>
      </w:r>
      <w:r w:rsidRPr="00E42816">
        <w:t xml:space="preserve">off between conversion and pressure drops, the authors find that honeycombs perform better than foams with the same degree of porosity. On the other hand, when the pressure drop is fixed, foams achieve a higher conversion than honeycombs. In fact, a similar </w:t>
      </w:r>
      <w:r w:rsidR="004A6EE2" w:rsidRPr="00E42816">
        <w:t xml:space="preserve">study </w:t>
      </w:r>
      <w:r w:rsidRPr="00E42816">
        <w:t xml:space="preserve">carried out by </w:t>
      </w:r>
      <w:proofErr w:type="spellStart"/>
      <w:r w:rsidRPr="00E42816">
        <w:t>Patcas</w:t>
      </w:r>
      <w:proofErr w:type="spellEnd"/>
      <w:r w:rsidRPr="00E42816">
        <w:t xml:space="preserve"> et al. (2007) concerning the ratio between conversion rate and pressure drop, predicted a lower performance of foams with respect to honeycombs when considering structures characterized by the same specific surface area.</w:t>
      </w:r>
      <w:r w:rsidR="00CE35E9" w:rsidRPr="00E42816">
        <w:t xml:space="preserve"> </w:t>
      </w:r>
      <w:r w:rsidRPr="00E42816">
        <w:t xml:space="preserve">This result confirmed the findings of </w:t>
      </w:r>
      <w:proofErr w:type="spellStart"/>
      <w:r w:rsidRPr="00E42816">
        <w:t>Giani</w:t>
      </w:r>
      <w:proofErr w:type="spellEnd"/>
      <w:r w:rsidRPr="00E42816">
        <w:t xml:space="preserve"> et al. (2005) who studied the catalytic oxidation of CO on a coated ceramic foam </w:t>
      </w:r>
      <w:r w:rsidR="0029190E" w:rsidRPr="00E42816">
        <w:t>under</w:t>
      </w:r>
      <w:r w:rsidRPr="00E42816">
        <w:t xml:space="preserve"> conditions in which the reactor performance was limited by mass-transport, i.e. </w:t>
      </w:r>
      <w:r w:rsidR="00CE35E9" w:rsidRPr="00E42816">
        <w:t>when the characteristic time of the reaction was much smaller than that of mass transport</w:t>
      </w:r>
      <w:r w:rsidRPr="00E42816">
        <w:t xml:space="preserve">. The authors found that the same conversion as the one achieved with honeycombs could be reached in a volume reduce by 2.5-3 times by supporting the catalyst on foam. On the other hand, </w:t>
      </w:r>
      <w:proofErr w:type="gramStart"/>
      <w:r w:rsidRPr="00E42816">
        <w:t xml:space="preserve">all </w:t>
      </w:r>
      <w:r w:rsidR="0029190E" w:rsidRPr="00E42816">
        <w:t>of</w:t>
      </w:r>
      <w:proofErr w:type="gramEnd"/>
      <w:r w:rsidR="0029190E" w:rsidRPr="00E42816">
        <w:t xml:space="preserve"> </w:t>
      </w:r>
      <w:r w:rsidRPr="00E42816">
        <w:t xml:space="preserve">the works cited report </w:t>
      </w:r>
      <w:r w:rsidR="00B96ACC" w:rsidRPr="00E42816">
        <w:t>the</w:t>
      </w:r>
      <w:r w:rsidRPr="00E42816">
        <w:t xml:space="preserve"> advantage of</w:t>
      </w:r>
      <w:r w:rsidR="00B96ACC" w:rsidRPr="00E42816">
        <w:t xml:space="preserve"> using</w:t>
      </w:r>
      <w:r w:rsidRPr="00E42816">
        <w:t xml:space="preserve"> foams compared to packed pellet beds.</w:t>
      </w:r>
    </w:p>
    <w:p w14:paraId="575A866A" w14:textId="27824C14" w:rsidR="00CE2A99" w:rsidRPr="00E42816" w:rsidRDefault="003C1015" w:rsidP="001118ED">
      <w:pPr>
        <w:pStyle w:val="CETBodytext"/>
      </w:pPr>
      <w:r w:rsidRPr="00E42816">
        <w:t>Despite recent efforts, a clear understanding of the behavior of open-cell foams as cataly</w:t>
      </w:r>
      <w:r w:rsidR="005D1E8E" w:rsidRPr="00E42816">
        <w:t>s</w:t>
      </w:r>
      <w:r w:rsidRPr="00E42816">
        <w:t xml:space="preserve">ts supports is still missing. This is mainly due to the wide variety of characteristics with which these foams can be realized. For example, foams may differ in construction material, mean pore diameter, strut dimension, porosity, and specific surface area. In their study of residence time distribution and tortuosity of flow, </w:t>
      </w:r>
      <w:proofErr w:type="spellStart"/>
      <w:r w:rsidRPr="00E42816">
        <w:t>Habisreuther</w:t>
      </w:r>
      <w:proofErr w:type="spellEnd"/>
      <w:r w:rsidRPr="00E42816">
        <w:t xml:space="preserve"> et al. </w:t>
      </w:r>
      <w:r w:rsidR="000F278D" w:rsidRPr="00E42816">
        <w:t>(</w:t>
      </w:r>
      <w:r w:rsidRPr="00E42816">
        <w:t xml:space="preserve">2009) found that structures having identical porosity and specific surface area present different fluid dynamic </w:t>
      </w:r>
      <w:proofErr w:type="spellStart"/>
      <w:r w:rsidR="001118ED" w:rsidRPr="00E42816">
        <w:t>behaviour</w:t>
      </w:r>
      <w:proofErr w:type="spellEnd"/>
      <w:r w:rsidR="001118ED" w:rsidRPr="00E42816">
        <w:t>,</w:t>
      </w:r>
      <w:r w:rsidRPr="00E42816">
        <w:t xml:space="preserve"> indicating that these two parameters are not </w:t>
      </w:r>
      <w:proofErr w:type="gramStart"/>
      <w:r w:rsidRPr="00E42816">
        <w:t>sufficient</w:t>
      </w:r>
      <w:proofErr w:type="gramEnd"/>
      <w:r w:rsidRPr="00E42816">
        <w:t xml:space="preserve"> to </w:t>
      </w:r>
      <w:r w:rsidR="003D7C44" w:rsidRPr="00E42816">
        <w:t>characterize them</w:t>
      </w:r>
      <w:r w:rsidRPr="00E42816">
        <w:t>.</w:t>
      </w:r>
      <w:r w:rsidR="00C14C63" w:rsidRPr="00E42816">
        <w:t xml:space="preserve"> </w:t>
      </w:r>
      <w:r w:rsidRPr="00E42816">
        <w:t xml:space="preserve">When describing </w:t>
      </w:r>
      <w:r w:rsidR="002327F3" w:rsidRPr="00E42816">
        <w:t xml:space="preserve">the </w:t>
      </w:r>
      <w:r w:rsidRPr="00E42816">
        <w:t>performance of a reactor packed with an open-cell foam, the description of the system is further complicated by the competition between mass transport by convection, dispersion</w:t>
      </w:r>
      <w:r w:rsidR="001118ED" w:rsidRPr="00E42816">
        <w:t>,</w:t>
      </w:r>
      <w:r w:rsidRPr="00E42816">
        <w:t xml:space="preserve"> and reaction, as well as by the effects of heat transport in a non-isothermal system. The development of realistic models describing such devices cannot be carried out independently from a characterization of mass transport in the solid foams. In this view, the present work </w:t>
      </w:r>
      <w:r w:rsidR="00FA2C0C" w:rsidRPr="00E42816">
        <w:t>focuses</w:t>
      </w:r>
      <w:r w:rsidRPr="00E42816">
        <w:t xml:space="preserve"> on an experimental study of mass dispersion in SiC foams. The study has been carried out using a double-pipe membrane separator. The foam was packed in the annular volume between two tubes and </w:t>
      </w:r>
      <w:r w:rsidR="00EA266E" w:rsidRPr="00E42816">
        <w:t xml:space="preserve">was </w:t>
      </w:r>
      <w:r w:rsidRPr="00E42816">
        <w:t xml:space="preserve">fed with </w:t>
      </w:r>
      <w:r w:rsidR="00EA266E" w:rsidRPr="00E42816">
        <w:t xml:space="preserve">binary </w:t>
      </w:r>
      <w:r w:rsidRPr="00E42816">
        <w:t>nitrogen/hydrogen mixture</w:t>
      </w:r>
      <w:r w:rsidR="00EA266E" w:rsidRPr="00E42816">
        <w:t>s of different composition</w:t>
      </w:r>
      <w:r w:rsidRPr="00E42816">
        <w:t xml:space="preserve">. A membrane, permeable to hydrogen only, was placed on the outer wall of the innermost tube. </w:t>
      </w:r>
      <w:r w:rsidR="00FA2C0C" w:rsidRPr="00E42816">
        <w:t>The m</w:t>
      </w:r>
      <w:r w:rsidR="004A6EE2" w:rsidRPr="00E42816">
        <w:t xml:space="preserve">embrane permeability value </w:t>
      </w:r>
      <w:r w:rsidR="00EA266E" w:rsidRPr="00E42816">
        <w:t xml:space="preserve">utilized in the present work for the simulation of the system under consideration </w:t>
      </w:r>
      <w:r w:rsidR="004A6EE2" w:rsidRPr="00E42816">
        <w:t xml:space="preserve">was measured in previous studies. </w:t>
      </w:r>
      <w:r w:rsidRPr="00E42816">
        <w:t xml:space="preserve">The separation of the binary gas mixture was tested in different experimental conditions and results have been analyzed through a two-dimensional CFD model. The temperature was maintained constant throughout the experiments in order to rule out the effects of heat transport. In this manner, it has been possible to fit values for the effective </w:t>
      </w:r>
      <w:proofErr w:type="spellStart"/>
      <w:r w:rsidRPr="00E42816">
        <w:t>P</w:t>
      </w:r>
      <w:r w:rsidR="0029190E" w:rsidRPr="00E42816">
        <w:t>é</w:t>
      </w:r>
      <w:r w:rsidRPr="00E42816">
        <w:t>clet</w:t>
      </w:r>
      <w:proofErr w:type="spellEnd"/>
      <w:r w:rsidRPr="00E42816">
        <w:t xml:space="preserve"> number</w:t>
      </w:r>
      <w:r w:rsidR="0029190E" w:rsidRPr="00E42816">
        <w:t xml:space="preserve"> (</w:t>
      </w:r>
      <w:proofErr w:type="spellStart"/>
      <w:r w:rsidR="0029190E" w:rsidRPr="00E42816">
        <w:rPr>
          <w:i/>
        </w:rPr>
        <w:t>Pe</w:t>
      </w:r>
      <w:r w:rsidR="0029190E" w:rsidRPr="00E42816">
        <w:rPr>
          <w:i/>
          <w:vertAlign w:val="subscript"/>
        </w:rPr>
        <w:t>eff</w:t>
      </w:r>
      <w:proofErr w:type="spellEnd"/>
      <w:r w:rsidR="0029190E" w:rsidRPr="00E42816">
        <w:t>)</w:t>
      </w:r>
      <w:r w:rsidRPr="00E42816">
        <w:t>, defined as the ratio between the characteristic times of dispersion and convection. This work represents a novel procedure to characterize mass transport in open-cell foams.</w:t>
      </w:r>
    </w:p>
    <w:p w14:paraId="1FF1CD4C" w14:textId="2C269301" w:rsidR="00CE2A99" w:rsidRPr="00E42816" w:rsidRDefault="00CE2A99" w:rsidP="00CE2A99">
      <w:pPr>
        <w:pStyle w:val="CETHeading1"/>
      </w:pPr>
      <w:r w:rsidRPr="00E42816">
        <w:t>Experimental</w:t>
      </w:r>
      <w:r w:rsidR="00EA266E" w:rsidRPr="00E42816">
        <w:t xml:space="preserve"> study</w:t>
      </w:r>
    </w:p>
    <w:p w14:paraId="1E7CF455" w14:textId="2145A416" w:rsidR="004C2700" w:rsidRPr="00E42816" w:rsidRDefault="004C2700" w:rsidP="0091492F">
      <w:pPr>
        <w:rPr>
          <w:lang w:val="en-US"/>
        </w:rPr>
      </w:pPr>
      <w:r w:rsidRPr="00E42816">
        <w:rPr>
          <w:rFonts w:eastAsia="MS PGothic"/>
          <w:lang w:val="en-US"/>
        </w:rPr>
        <w:t xml:space="preserve">Experiments have been carried out for </w:t>
      </w:r>
      <w:r w:rsidR="00367A65" w:rsidRPr="00E42816">
        <w:rPr>
          <w:rFonts w:eastAsia="MS PGothic"/>
          <w:lang w:val="en-US"/>
        </w:rPr>
        <w:t xml:space="preserve">hydrogen </w:t>
      </w:r>
      <w:r w:rsidRPr="00E42816">
        <w:rPr>
          <w:rFonts w:eastAsia="MS PGothic"/>
          <w:lang w:val="en-US"/>
        </w:rPr>
        <w:t xml:space="preserve">separation </w:t>
      </w:r>
      <w:r w:rsidR="00367A65" w:rsidRPr="00E42816">
        <w:rPr>
          <w:rFonts w:eastAsia="MS PGothic"/>
          <w:lang w:val="en-US"/>
        </w:rPr>
        <w:t xml:space="preserve">from binary </w:t>
      </w:r>
      <w:r w:rsidRPr="00E42816">
        <w:rPr>
          <w:rFonts w:eastAsia="MS PGothic"/>
          <w:lang w:val="en-US"/>
        </w:rPr>
        <w:t xml:space="preserve">hydrogen/nitrogen mixtures of different </w:t>
      </w:r>
      <w:r w:rsidR="00367A65" w:rsidRPr="00E42816">
        <w:rPr>
          <w:rFonts w:eastAsia="MS PGothic"/>
          <w:lang w:val="en-US"/>
        </w:rPr>
        <w:t xml:space="preserve">total inlet </w:t>
      </w:r>
      <w:r w:rsidRPr="00E42816">
        <w:rPr>
          <w:rFonts w:eastAsia="MS PGothic"/>
          <w:lang w:val="en-US"/>
        </w:rPr>
        <w:t xml:space="preserve">flow rates and compositions using a packed membrane separator. The configuration adopted consists in two co-axial cylinders. A Pd-based membrane, permeable to hydrogen only, </w:t>
      </w:r>
      <w:r w:rsidR="00F639C2" w:rsidRPr="00E42816">
        <w:rPr>
          <w:rFonts w:eastAsia="MS PGothic"/>
          <w:lang w:val="en-US"/>
        </w:rPr>
        <w:t>wa</w:t>
      </w:r>
      <w:r w:rsidRPr="00E42816">
        <w:rPr>
          <w:rFonts w:eastAsia="MS PGothic"/>
          <w:lang w:val="en-US"/>
        </w:rPr>
        <w:t>s placed on the outer wall of the innermost tube. A SiC solid foam</w:t>
      </w:r>
      <w:r w:rsidR="001D39F4" w:rsidRPr="00E42816">
        <w:rPr>
          <w:rFonts w:eastAsia="MS PGothic"/>
          <w:lang w:val="en-US"/>
        </w:rPr>
        <w:t xml:space="preserve">, with a void fraction of 0.85, </w:t>
      </w:r>
      <w:r w:rsidR="00F639C2" w:rsidRPr="00E42816">
        <w:rPr>
          <w:rFonts w:eastAsia="MS PGothic"/>
          <w:lang w:val="en-US"/>
        </w:rPr>
        <w:t>wa</w:t>
      </w:r>
      <w:r w:rsidRPr="00E42816">
        <w:rPr>
          <w:rFonts w:eastAsia="MS PGothic"/>
          <w:lang w:val="en-US"/>
        </w:rPr>
        <w:t xml:space="preserve">s placed in the volume between the two cylinders. </w:t>
      </w:r>
      <w:r w:rsidR="001D39F4" w:rsidRPr="00E42816">
        <w:rPr>
          <w:rFonts w:eastAsia="MS PGothic"/>
          <w:lang w:val="en-US"/>
        </w:rPr>
        <w:t>A scheme of the reactor configuration is shown in Figure 1,</w:t>
      </w:r>
      <w:r w:rsidRPr="00E42816">
        <w:rPr>
          <w:rFonts w:eastAsia="MS PGothic"/>
          <w:lang w:val="en-US"/>
        </w:rPr>
        <w:t xml:space="preserve"> </w:t>
      </w:r>
      <w:r w:rsidR="00367A65" w:rsidRPr="00E42816">
        <w:rPr>
          <w:rFonts w:eastAsia="MS PGothic"/>
          <w:lang w:val="en-US"/>
        </w:rPr>
        <w:t xml:space="preserve">whereas </w:t>
      </w:r>
      <w:r w:rsidRPr="00E42816">
        <w:rPr>
          <w:rFonts w:eastAsia="MS PGothic"/>
          <w:lang w:val="en-US"/>
        </w:rPr>
        <w:t xml:space="preserve">a summary of the operating conditions </w:t>
      </w:r>
      <w:r w:rsidR="00367A65" w:rsidRPr="00E42816">
        <w:rPr>
          <w:rFonts w:eastAsia="MS PGothic"/>
          <w:lang w:val="en-US"/>
        </w:rPr>
        <w:t xml:space="preserve">tested during the experimental campaign </w:t>
      </w:r>
      <w:r w:rsidRPr="00E42816">
        <w:rPr>
          <w:rFonts w:eastAsia="MS PGothic"/>
          <w:lang w:val="en-US"/>
        </w:rPr>
        <w:t xml:space="preserve">is reported in Table </w:t>
      </w:r>
      <w:r w:rsidR="001D39F4" w:rsidRPr="00E42816">
        <w:rPr>
          <w:rFonts w:eastAsia="MS PGothic"/>
          <w:lang w:val="en-US"/>
        </w:rPr>
        <w:t>1</w:t>
      </w:r>
      <w:r w:rsidRPr="00E42816">
        <w:rPr>
          <w:rFonts w:eastAsia="MS PGothic"/>
          <w:lang w:val="en-US"/>
        </w:rPr>
        <w:t>.</w:t>
      </w:r>
      <w:r w:rsidR="001118ED" w:rsidRPr="00E42816">
        <w:rPr>
          <w:rFonts w:eastAsia="MS PGothic"/>
          <w:lang w:val="en-US"/>
        </w:rPr>
        <w:t xml:space="preserve"> </w:t>
      </w:r>
      <w:r w:rsidR="001118ED" w:rsidRPr="00E42816">
        <w:rPr>
          <w:rFonts w:eastAsiaTheme="minorEastAsia"/>
          <w:lang w:val="en-US"/>
        </w:rPr>
        <w:t xml:space="preserve">For each experimental run, the test duration was long enough so that steady state conditions were reached. This was evaluated by analyzing over time the outlet </w:t>
      </w:r>
      <w:proofErr w:type="gramStart"/>
      <w:r w:rsidR="001118ED" w:rsidRPr="00E42816">
        <w:rPr>
          <w:rFonts w:eastAsiaTheme="minorEastAsia"/>
          <w:lang w:val="en-US"/>
        </w:rPr>
        <w:t>permeate</w:t>
      </w:r>
      <w:proofErr w:type="gramEnd"/>
      <w:r w:rsidR="001118ED" w:rsidRPr="00E42816">
        <w:rPr>
          <w:rFonts w:eastAsiaTheme="minorEastAsia"/>
          <w:lang w:val="en-US"/>
        </w:rPr>
        <w:t xml:space="preserve"> stream composition using a GC analyzer. Moreover</w:t>
      </w:r>
      <w:r w:rsidR="00EA266E" w:rsidRPr="00E42816">
        <w:rPr>
          <w:rFonts w:eastAsiaTheme="minorEastAsia"/>
          <w:lang w:val="en-US"/>
        </w:rPr>
        <w:t xml:space="preserve">, the selectivity of the membrane towards hydrogen was tested after every change in experimental conditions by analyzing the outlet permeate stream composition by means of gas chromatography. Results showed that only hydrogen was present in the permeate side </w:t>
      </w:r>
      <w:r w:rsidR="00FA2C0C" w:rsidRPr="00E42816">
        <w:rPr>
          <w:rFonts w:eastAsiaTheme="minorEastAsia"/>
          <w:lang w:val="en-US"/>
        </w:rPr>
        <w:t>confirming the infinite selectivity of</w:t>
      </w:r>
      <w:r w:rsidR="00EA266E" w:rsidRPr="00E42816">
        <w:rPr>
          <w:rFonts w:eastAsiaTheme="minorEastAsia"/>
          <w:lang w:val="en-US"/>
        </w:rPr>
        <w:t xml:space="preserve"> palladium towards hydrogen</w:t>
      </w:r>
      <w:r w:rsidR="00FA2C0C" w:rsidRPr="00E42816">
        <w:rPr>
          <w:rFonts w:eastAsiaTheme="minorEastAsia"/>
          <w:lang w:val="en-US"/>
        </w:rPr>
        <w:t xml:space="preserve"> permeation</w:t>
      </w:r>
      <w:r w:rsidR="00EA266E" w:rsidRPr="00E42816">
        <w:rPr>
          <w:rFonts w:eastAsiaTheme="minorEastAsia"/>
          <w:lang w:val="en-US"/>
        </w:rPr>
        <w:t>.</w:t>
      </w:r>
    </w:p>
    <w:p w14:paraId="1618D690" w14:textId="1D21283C" w:rsidR="00906B05" w:rsidRPr="00E42816" w:rsidRDefault="0087149C" w:rsidP="00906B05">
      <w:pPr>
        <w:pStyle w:val="CETBodytext"/>
        <w:jc w:val="left"/>
      </w:pPr>
      <w:r w:rsidRPr="00E42816">
        <w:rPr>
          <w:noProof/>
        </w:rPr>
        <w:lastRenderedPageBreak/>
        <w:drawing>
          <wp:inline distT="0" distB="0" distL="0" distR="0" wp14:anchorId="1C113E12" wp14:editId="13DC00BE">
            <wp:extent cx="4399612" cy="1476000"/>
            <wp:effectExtent l="0" t="0" r="127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actor.jpg"/>
                    <pic:cNvPicPr/>
                  </pic:nvPicPr>
                  <pic:blipFill>
                    <a:blip r:embed="rId10">
                      <a:extLst>
                        <a:ext uri="{28A0092B-C50C-407E-A947-70E740481C1C}">
                          <a14:useLocalDpi xmlns:a14="http://schemas.microsoft.com/office/drawing/2010/main" val="0"/>
                        </a:ext>
                      </a:extLst>
                    </a:blip>
                    <a:stretch>
                      <a:fillRect/>
                    </a:stretch>
                  </pic:blipFill>
                  <pic:spPr>
                    <a:xfrm>
                      <a:off x="0" y="0"/>
                      <a:ext cx="4399612" cy="1476000"/>
                    </a:xfrm>
                    <a:prstGeom prst="rect">
                      <a:avLst/>
                    </a:prstGeom>
                  </pic:spPr>
                </pic:pic>
              </a:graphicData>
            </a:graphic>
          </wp:inline>
        </w:drawing>
      </w:r>
    </w:p>
    <w:p w14:paraId="3B4D0DD7" w14:textId="63777171" w:rsidR="00906B05" w:rsidRPr="00E42816" w:rsidRDefault="00906B05" w:rsidP="0087149C">
      <w:pPr>
        <w:pStyle w:val="CETCaption"/>
        <w:rPr>
          <w:lang w:val="en-US"/>
        </w:rPr>
      </w:pPr>
      <w:r w:rsidRPr="00E42816">
        <w:rPr>
          <w:lang w:val="en-US"/>
        </w:rPr>
        <w:t xml:space="preserve">Figure </w:t>
      </w:r>
      <w:r w:rsidR="0087149C" w:rsidRPr="00E42816">
        <w:rPr>
          <w:lang w:val="en-US"/>
        </w:rPr>
        <w:t>1</w:t>
      </w:r>
      <w:r w:rsidRPr="00E42816">
        <w:rPr>
          <w:lang w:val="en-US"/>
        </w:rPr>
        <w:t xml:space="preserve">: </w:t>
      </w:r>
      <w:r w:rsidR="0087149C" w:rsidRPr="00E42816">
        <w:rPr>
          <w:lang w:val="en-US"/>
        </w:rPr>
        <w:t>Schematic representation of the reactor</w:t>
      </w:r>
      <w:r w:rsidRPr="00E42816">
        <w:rPr>
          <w:lang w:val="en-US"/>
        </w:rPr>
        <w:t>.</w:t>
      </w:r>
    </w:p>
    <w:p w14:paraId="587B3313" w14:textId="41963A72" w:rsidR="00F12A56" w:rsidRPr="00E42816" w:rsidRDefault="00F12A56" w:rsidP="00F12A56">
      <w:pPr>
        <w:pStyle w:val="CETTabletitle"/>
        <w:rPr>
          <w:lang w:val="en-US"/>
        </w:rPr>
      </w:pPr>
      <w:r w:rsidRPr="00E42816">
        <w:rPr>
          <w:lang w:val="en-US"/>
        </w:rPr>
        <w:t xml:space="preserve">Table </w:t>
      </w:r>
      <w:r w:rsidR="001D39F4" w:rsidRPr="00E42816">
        <w:rPr>
          <w:lang w:val="en-US"/>
        </w:rPr>
        <w:t>1</w:t>
      </w:r>
      <w:r w:rsidRPr="00E42816">
        <w:rPr>
          <w:lang w:val="en-US"/>
        </w:rPr>
        <w:t>: Summary of experiment</w:t>
      </w:r>
      <w:r w:rsidR="0086592C" w:rsidRPr="00E42816">
        <w:rPr>
          <w:lang w:val="en-US"/>
        </w:rPr>
        <w:t>al condition</w:t>
      </w:r>
      <w:r w:rsidRPr="00E42816">
        <w:rPr>
          <w:lang w:val="en-US"/>
        </w:rPr>
        <w:t>s</w:t>
      </w:r>
      <w:r w:rsidR="0086592C" w:rsidRPr="00E42816">
        <w:rPr>
          <w:lang w:val="en-US"/>
        </w:rPr>
        <w:t>.</w:t>
      </w:r>
    </w:p>
    <w:tbl>
      <w:tblPr>
        <w:tblW w:w="8839"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567"/>
        <w:gridCol w:w="993"/>
        <w:gridCol w:w="1134"/>
        <w:gridCol w:w="1701"/>
        <w:gridCol w:w="1842"/>
        <w:gridCol w:w="2602"/>
      </w:tblGrid>
      <w:tr w:rsidR="00E42816" w:rsidRPr="00E42816" w14:paraId="18C2600A" w14:textId="77777777" w:rsidTr="00F12A56">
        <w:trPr>
          <w:trHeight w:val="497"/>
        </w:trPr>
        <w:tc>
          <w:tcPr>
            <w:tcW w:w="567" w:type="dxa"/>
            <w:tcBorders>
              <w:top w:val="single" w:sz="12" w:space="0" w:color="008000"/>
              <w:bottom w:val="single" w:sz="6" w:space="0" w:color="008000"/>
            </w:tcBorders>
            <w:shd w:val="clear" w:color="auto" w:fill="FFFFFF"/>
          </w:tcPr>
          <w:p w14:paraId="30023646" w14:textId="77777777" w:rsidR="00F12A56" w:rsidRPr="00E42816" w:rsidRDefault="00F12A56" w:rsidP="00F12A56">
            <w:pPr>
              <w:pStyle w:val="CETBodytext"/>
            </w:pPr>
            <w:r w:rsidRPr="00E42816">
              <w:t xml:space="preserve">T </w:t>
            </w:r>
          </w:p>
          <w:p w14:paraId="09634390" w14:textId="4CB3FD1E" w:rsidR="00F12A56" w:rsidRPr="00E42816" w:rsidRDefault="00F12A56" w:rsidP="00F12A56">
            <w:pPr>
              <w:pStyle w:val="CETBodytext"/>
            </w:pPr>
            <w:r w:rsidRPr="00E42816">
              <w:t>[°C]</w:t>
            </w:r>
          </w:p>
        </w:tc>
        <w:tc>
          <w:tcPr>
            <w:tcW w:w="993" w:type="dxa"/>
            <w:tcBorders>
              <w:top w:val="single" w:sz="12" w:space="0" w:color="008000"/>
              <w:bottom w:val="single" w:sz="6" w:space="0" w:color="008000"/>
            </w:tcBorders>
            <w:shd w:val="clear" w:color="auto" w:fill="FFFFFF"/>
          </w:tcPr>
          <w:p w14:paraId="07106A00" w14:textId="77777777" w:rsidR="00F12A56" w:rsidRPr="00E42816" w:rsidRDefault="00F12A56" w:rsidP="00F12A56">
            <w:pPr>
              <w:pStyle w:val="CETBodytext"/>
            </w:pPr>
            <w:r w:rsidRPr="00E42816">
              <w:t xml:space="preserve">P retentate </w:t>
            </w:r>
          </w:p>
          <w:p w14:paraId="40238EC1" w14:textId="5FE8F51E" w:rsidR="00F12A56" w:rsidRPr="00E42816" w:rsidRDefault="00F12A56" w:rsidP="00F12A56">
            <w:pPr>
              <w:pStyle w:val="CETBodytext"/>
            </w:pPr>
            <w:r w:rsidRPr="00E42816">
              <w:t>[bar]</w:t>
            </w:r>
          </w:p>
        </w:tc>
        <w:tc>
          <w:tcPr>
            <w:tcW w:w="1134" w:type="dxa"/>
            <w:tcBorders>
              <w:top w:val="single" w:sz="12" w:space="0" w:color="008000"/>
              <w:bottom w:val="single" w:sz="6" w:space="0" w:color="008000"/>
            </w:tcBorders>
            <w:shd w:val="clear" w:color="auto" w:fill="FFFFFF"/>
          </w:tcPr>
          <w:p w14:paraId="129E4D8C" w14:textId="77777777" w:rsidR="00F12A56" w:rsidRPr="00E42816" w:rsidRDefault="00F12A56" w:rsidP="00F12A56">
            <w:pPr>
              <w:pStyle w:val="CETBodytext"/>
            </w:pPr>
            <w:r w:rsidRPr="00E42816">
              <w:t xml:space="preserve">P </w:t>
            </w:r>
            <w:proofErr w:type="gramStart"/>
            <w:r w:rsidRPr="00E42816">
              <w:t>permeate</w:t>
            </w:r>
            <w:proofErr w:type="gramEnd"/>
            <w:r w:rsidRPr="00E42816">
              <w:t xml:space="preserve"> </w:t>
            </w:r>
          </w:p>
          <w:p w14:paraId="2F2858BB" w14:textId="1BBF3D45" w:rsidR="00F12A56" w:rsidRPr="00E42816" w:rsidRDefault="00F12A56" w:rsidP="00F12A56">
            <w:pPr>
              <w:pStyle w:val="CETBodytext"/>
            </w:pPr>
            <w:r w:rsidRPr="00E42816">
              <w:t>[bar]</w:t>
            </w:r>
          </w:p>
        </w:tc>
        <w:tc>
          <w:tcPr>
            <w:tcW w:w="1701" w:type="dxa"/>
            <w:tcBorders>
              <w:top w:val="single" w:sz="12" w:space="0" w:color="008000"/>
              <w:bottom w:val="single" w:sz="6" w:space="0" w:color="008000"/>
            </w:tcBorders>
            <w:shd w:val="clear" w:color="auto" w:fill="FFFFFF"/>
          </w:tcPr>
          <w:p w14:paraId="653F2C12" w14:textId="77777777" w:rsidR="00F12A56" w:rsidRPr="00E42816" w:rsidRDefault="00F12A56" w:rsidP="00F12A56">
            <w:pPr>
              <w:pStyle w:val="CETBodytext"/>
              <w:ind w:right="-1"/>
            </w:pPr>
            <w:r w:rsidRPr="00E42816">
              <w:t xml:space="preserve">Total inlet flow rate </w:t>
            </w:r>
          </w:p>
          <w:p w14:paraId="39E0D6E0" w14:textId="3EDC7E5A" w:rsidR="00F12A56" w:rsidRPr="00E42816" w:rsidRDefault="00F12A56" w:rsidP="00F12A56">
            <w:pPr>
              <w:pStyle w:val="CETBodytext"/>
              <w:ind w:right="-1"/>
              <w:rPr>
                <w:rFonts w:cs="Arial"/>
                <w:szCs w:val="18"/>
              </w:rPr>
            </w:pPr>
            <w:r w:rsidRPr="00E42816">
              <w:t>[</w:t>
            </w:r>
            <w:proofErr w:type="spellStart"/>
            <w:r w:rsidR="00C14C63" w:rsidRPr="00E42816">
              <w:t>N</w:t>
            </w:r>
            <w:r w:rsidRPr="00E42816">
              <w:t>cc</w:t>
            </w:r>
            <w:proofErr w:type="spellEnd"/>
            <w:r w:rsidRPr="00E42816">
              <w:t>/min]</w:t>
            </w:r>
          </w:p>
        </w:tc>
        <w:tc>
          <w:tcPr>
            <w:tcW w:w="1842" w:type="dxa"/>
            <w:tcBorders>
              <w:top w:val="single" w:sz="12" w:space="0" w:color="008000"/>
              <w:bottom w:val="single" w:sz="6" w:space="0" w:color="008000"/>
            </w:tcBorders>
            <w:shd w:val="clear" w:color="auto" w:fill="FFFFFF"/>
          </w:tcPr>
          <w:p w14:paraId="5B0FCD79" w14:textId="77777777" w:rsidR="00F12A56" w:rsidRPr="00E42816" w:rsidRDefault="00F12A56" w:rsidP="00F12A56">
            <w:pPr>
              <w:pStyle w:val="CETBodytext"/>
              <w:ind w:right="-1"/>
            </w:pPr>
            <w:r w:rsidRPr="00E42816">
              <w:t xml:space="preserve">Inlet composition </w:t>
            </w:r>
          </w:p>
          <w:p w14:paraId="01A01A28" w14:textId="178ABF8F" w:rsidR="00F12A56" w:rsidRPr="00E42816" w:rsidRDefault="00F12A56" w:rsidP="00F12A56">
            <w:pPr>
              <w:pStyle w:val="CETBodytext"/>
              <w:ind w:right="-1"/>
              <w:rPr>
                <w:rFonts w:cs="Arial"/>
                <w:szCs w:val="18"/>
              </w:rPr>
            </w:pPr>
            <w:r w:rsidRPr="00E42816">
              <w:t>[mol fraction] H</w:t>
            </w:r>
            <w:r w:rsidRPr="00E42816">
              <w:rPr>
                <w:vertAlign w:val="subscript"/>
              </w:rPr>
              <w:t>2</w:t>
            </w:r>
            <w:r w:rsidRPr="00E42816">
              <w:t>/N</w:t>
            </w:r>
            <w:r w:rsidRPr="00E42816">
              <w:rPr>
                <w:vertAlign w:val="subscript"/>
              </w:rPr>
              <w:t>2</w:t>
            </w:r>
          </w:p>
        </w:tc>
        <w:tc>
          <w:tcPr>
            <w:tcW w:w="2602" w:type="dxa"/>
            <w:tcBorders>
              <w:top w:val="single" w:sz="12" w:space="0" w:color="008000"/>
              <w:bottom w:val="single" w:sz="6" w:space="0" w:color="008000"/>
            </w:tcBorders>
            <w:shd w:val="clear" w:color="auto" w:fill="FFFFFF"/>
          </w:tcPr>
          <w:p w14:paraId="351D3D39" w14:textId="77777777" w:rsidR="00F12A56" w:rsidRPr="00E42816" w:rsidRDefault="00F12A56" w:rsidP="00F12A56">
            <w:pPr>
              <w:pStyle w:val="CETBodytext"/>
              <w:ind w:right="-1"/>
            </w:pPr>
            <w:r w:rsidRPr="00E42816">
              <w:t>H</w:t>
            </w:r>
            <w:r w:rsidRPr="00E42816">
              <w:rPr>
                <w:vertAlign w:val="subscript"/>
              </w:rPr>
              <w:t>2</w:t>
            </w:r>
            <w:r w:rsidRPr="00E42816">
              <w:t xml:space="preserve"> permeate outlet flow rate </w:t>
            </w:r>
          </w:p>
          <w:p w14:paraId="76182EA5" w14:textId="2BE80F93" w:rsidR="00F12A56" w:rsidRPr="00E42816" w:rsidRDefault="00F12A56" w:rsidP="00F12A56">
            <w:pPr>
              <w:pStyle w:val="CETBodytext"/>
              <w:ind w:right="-1"/>
              <w:rPr>
                <w:rFonts w:cs="Arial"/>
                <w:szCs w:val="18"/>
              </w:rPr>
            </w:pPr>
            <w:r w:rsidRPr="00E42816">
              <w:t>[</w:t>
            </w:r>
            <w:proofErr w:type="spellStart"/>
            <w:r w:rsidR="00C14C63" w:rsidRPr="00E42816">
              <w:t>N</w:t>
            </w:r>
            <w:r w:rsidRPr="00E42816">
              <w:t>cc</w:t>
            </w:r>
            <w:proofErr w:type="spellEnd"/>
            <w:r w:rsidRPr="00E42816">
              <w:t>/min]</w:t>
            </w:r>
          </w:p>
        </w:tc>
      </w:tr>
      <w:tr w:rsidR="00E42816" w:rsidRPr="00E42816" w14:paraId="3EDCFC8B" w14:textId="77777777" w:rsidTr="00F12A56">
        <w:trPr>
          <w:trHeight w:val="265"/>
        </w:trPr>
        <w:tc>
          <w:tcPr>
            <w:tcW w:w="567" w:type="dxa"/>
            <w:shd w:val="clear" w:color="auto" w:fill="FFFFFF"/>
          </w:tcPr>
          <w:p w14:paraId="73EB1474" w14:textId="47B8F2EB" w:rsidR="00F12A56" w:rsidRPr="00E42816" w:rsidRDefault="00F12A56" w:rsidP="00F12A56">
            <w:pPr>
              <w:pStyle w:val="CETBodytext"/>
            </w:pPr>
            <w:r w:rsidRPr="00E42816">
              <w:t>~450</w:t>
            </w:r>
          </w:p>
        </w:tc>
        <w:tc>
          <w:tcPr>
            <w:tcW w:w="993" w:type="dxa"/>
            <w:shd w:val="clear" w:color="auto" w:fill="FFFFFF"/>
          </w:tcPr>
          <w:p w14:paraId="1C7CA885" w14:textId="0586FF97" w:rsidR="00F12A56" w:rsidRPr="00E42816" w:rsidRDefault="00F12A56" w:rsidP="00F12A56">
            <w:pPr>
              <w:pStyle w:val="CETBodytext"/>
            </w:pPr>
            <w:r w:rsidRPr="00E42816">
              <w:t>4-9</w:t>
            </w:r>
          </w:p>
        </w:tc>
        <w:tc>
          <w:tcPr>
            <w:tcW w:w="1134" w:type="dxa"/>
            <w:shd w:val="clear" w:color="auto" w:fill="FFFFFF"/>
          </w:tcPr>
          <w:p w14:paraId="7559ABE3" w14:textId="794ED689" w:rsidR="00F12A56" w:rsidRPr="00E42816" w:rsidRDefault="00F12A56" w:rsidP="00F12A56">
            <w:pPr>
              <w:pStyle w:val="CETBodytext"/>
            </w:pPr>
            <w:r w:rsidRPr="00E42816">
              <w:t>1.5</w:t>
            </w:r>
          </w:p>
        </w:tc>
        <w:tc>
          <w:tcPr>
            <w:tcW w:w="1701" w:type="dxa"/>
            <w:shd w:val="clear" w:color="auto" w:fill="FFFFFF"/>
          </w:tcPr>
          <w:p w14:paraId="0C241ECD" w14:textId="0E708612" w:rsidR="00F12A56" w:rsidRPr="00E42816" w:rsidRDefault="00F12A56" w:rsidP="00F12A56">
            <w:pPr>
              <w:pStyle w:val="CETBodytext"/>
              <w:ind w:right="-1"/>
              <w:rPr>
                <w:rFonts w:cs="Arial"/>
                <w:szCs w:val="18"/>
              </w:rPr>
            </w:pPr>
            <w:r w:rsidRPr="00E42816">
              <w:t>3000-7500</w:t>
            </w:r>
          </w:p>
        </w:tc>
        <w:tc>
          <w:tcPr>
            <w:tcW w:w="1842" w:type="dxa"/>
            <w:shd w:val="clear" w:color="auto" w:fill="FFFFFF"/>
          </w:tcPr>
          <w:p w14:paraId="60BE5159" w14:textId="1CDCC5F2" w:rsidR="00F12A56" w:rsidRPr="00E42816" w:rsidRDefault="00F12A56" w:rsidP="00F12A56">
            <w:pPr>
              <w:pStyle w:val="CETBodytext"/>
              <w:ind w:right="-1"/>
              <w:rPr>
                <w:rFonts w:cs="Arial"/>
                <w:szCs w:val="18"/>
              </w:rPr>
            </w:pPr>
            <w:r w:rsidRPr="00E42816">
              <w:t>0.34/0.66-0.86/0.14</w:t>
            </w:r>
          </w:p>
        </w:tc>
        <w:tc>
          <w:tcPr>
            <w:tcW w:w="2602" w:type="dxa"/>
            <w:shd w:val="clear" w:color="auto" w:fill="FFFFFF"/>
          </w:tcPr>
          <w:p w14:paraId="0043A9FD" w14:textId="646AFE13" w:rsidR="00F12A56" w:rsidRPr="00E42816" w:rsidRDefault="00F12A56" w:rsidP="00F12A56">
            <w:pPr>
              <w:pStyle w:val="CETBodytext"/>
              <w:ind w:right="-1"/>
              <w:rPr>
                <w:rFonts w:cs="Arial"/>
                <w:szCs w:val="18"/>
              </w:rPr>
            </w:pPr>
            <w:r w:rsidRPr="00E42816">
              <w:t>230-5200</w:t>
            </w:r>
          </w:p>
        </w:tc>
      </w:tr>
    </w:tbl>
    <w:p w14:paraId="6FF87696" w14:textId="54A9AC4A" w:rsidR="004C2700" w:rsidRPr="00E42816" w:rsidRDefault="004C2700" w:rsidP="004C2700">
      <w:pPr>
        <w:pStyle w:val="Paragrafoelenco"/>
        <w:snapToGrid w:val="0"/>
        <w:spacing w:after="120"/>
        <w:ind w:left="0"/>
        <w:rPr>
          <w:rFonts w:eastAsia="MS PGothic"/>
          <w:szCs w:val="18"/>
          <w:lang w:val="en-US"/>
        </w:rPr>
      </w:pPr>
    </w:p>
    <w:p w14:paraId="2943F13C" w14:textId="24397CB1" w:rsidR="00CE2A99" w:rsidRPr="00E42816" w:rsidRDefault="00CE2A99" w:rsidP="00CE2A99">
      <w:pPr>
        <w:pStyle w:val="CETHeading1"/>
      </w:pPr>
      <w:r w:rsidRPr="00E42816">
        <w:t>Model development</w:t>
      </w:r>
    </w:p>
    <w:p w14:paraId="072E7234" w14:textId="1E802890" w:rsidR="00DC53F8" w:rsidRPr="00E42816" w:rsidRDefault="00CE2A99" w:rsidP="00CE2A99">
      <w:pPr>
        <w:pStyle w:val="CETBodytext"/>
      </w:pPr>
      <w:r w:rsidRPr="00E42816">
        <w:t xml:space="preserve">The model </w:t>
      </w:r>
      <w:r w:rsidR="0087149C" w:rsidRPr="00E42816">
        <w:t>was</w:t>
      </w:r>
      <w:r w:rsidRPr="00E42816">
        <w:t xml:space="preserve"> developed under the assumptions of uniform temperature and axial symmetry, </w:t>
      </w:r>
      <w:r w:rsidR="0087149C" w:rsidRPr="00E42816">
        <w:t>based on</w:t>
      </w:r>
      <w:r w:rsidRPr="00E42816">
        <w:t xml:space="preserve"> previous works carried out by some of the same authors on a packed membrane separator (Murmura et al., 2016)</w:t>
      </w:r>
      <w:r w:rsidR="00CE35E9" w:rsidRPr="00E42816">
        <w:t xml:space="preserve"> and a membrane reactor (Murmura et al., </w:t>
      </w:r>
      <w:r w:rsidR="00067D8E" w:rsidRPr="00E42816">
        <w:t xml:space="preserve">2017 and </w:t>
      </w:r>
      <w:r w:rsidR="00CE35E9" w:rsidRPr="00E42816">
        <w:t>2017</w:t>
      </w:r>
      <w:r w:rsidR="00067D8E" w:rsidRPr="00E42816">
        <w:t>a</w:t>
      </w:r>
      <w:r w:rsidR="00CE35E9" w:rsidRPr="00E42816">
        <w:t>)</w:t>
      </w:r>
      <w:r w:rsidR="007A1A55" w:rsidRPr="00E42816">
        <w:t xml:space="preserve">, in which the results had been validated against </w:t>
      </w:r>
      <w:r w:rsidR="005B1AFB" w:rsidRPr="00E42816">
        <w:t xml:space="preserve">the </w:t>
      </w:r>
      <w:r w:rsidR="007A1A55" w:rsidRPr="00E42816">
        <w:t xml:space="preserve">experimental data </w:t>
      </w:r>
      <w:r w:rsidR="005B1AFB" w:rsidRPr="00E42816">
        <w:t>of</w:t>
      </w:r>
      <w:r w:rsidR="007A1A55" w:rsidRPr="00E42816">
        <w:t xml:space="preserve"> </w:t>
      </w:r>
      <w:r w:rsidR="001D39F4" w:rsidRPr="00E42816">
        <w:t>Mori et al. (2007)</w:t>
      </w:r>
      <w:r w:rsidRPr="00E42816">
        <w:t xml:space="preserve">. </w:t>
      </w:r>
      <w:r w:rsidR="005B1AFB" w:rsidRPr="00E42816">
        <w:t>T</w:t>
      </w:r>
      <w:r w:rsidRPr="00E42816">
        <w:t>he model</w:t>
      </w:r>
      <w:r w:rsidR="005B1AFB" w:rsidRPr="00E42816">
        <w:t xml:space="preserve"> presented here</w:t>
      </w:r>
      <w:r w:rsidRPr="00E42816">
        <w:t xml:space="preserve"> </w:t>
      </w:r>
      <w:r w:rsidR="0087149C" w:rsidRPr="00E42816">
        <w:t>was</w:t>
      </w:r>
      <w:r w:rsidRPr="00E42816">
        <w:t xml:space="preserve"> </w:t>
      </w:r>
      <w:r w:rsidR="0086592C" w:rsidRPr="00E42816">
        <w:t xml:space="preserve">extended </w:t>
      </w:r>
      <w:r w:rsidRPr="00E42816">
        <w:t xml:space="preserve">to account for mass transport in the permeate side. </w:t>
      </w:r>
      <w:r w:rsidR="0087149C" w:rsidRPr="00E42816">
        <w:t>In</w:t>
      </w:r>
      <w:r w:rsidRPr="00E42816">
        <w:t xml:space="preserve"> the retentate side, momentum transport </w:t>
      </w:r>
      <w:r w:rsidR="0087149C" w:rsidRPr="00E42816">
        <w:t>w</w:t>
      </w:r>
      <w:r w:rsidRPr="00E42816">
        <w:t xml:space="preserve">as described through Darcy's law for flow in porous media, accounting for pressure gradients in both the axial and radial directions. Mass transport </w:t>
      </w:r>
      <w:r w:rsidR="0087149C" w:rsidRPr="00E42816">
        <w:t>equations accounted for</w:t>
      </w:r>
      <w:r w:rsidRPr="00E42816">
        <w:t xml:space="preserve"> dispersive and convective t</w:t>
      </w:r>
      <w:r w:rsidR="0087149C" w:rsidRPr="00E42816">
        <w:t>ransport</w:t>
      </w:r>
      <w:r w:rsidRPr="00E42816">
        <w:t xml:space="preserve"> in both the radial and axial directions. Density variations </w:t>
      </w:r>
      <w:r w:rsidR="001D39F4" w:rsidRPr="00E42816">
        <w:t>due to</w:t>
      </w:r>
      <w:r w:rsidRPr="00E42816">
        <w:t xml:space="preserve"> changes in composition and in pressure </w:t>
      </w:r>
      <w:r w:rsidR="0087149C" w:rsidRPr="00E42816">
        <w:t>were</w:t>
      </w:r>
      <w:r w:rsidRPr="00E42816">
        <w:t xml:space="preserve"> accounted for. In this way the momentum and mass balance equations are fully coupled. </w:t>
      </w:r>
      <w:r w:rsidR="00DC53F8" w:rsidRPr="00E42816">
        <w:t xml:space="preserve">With regards to hydrogen permeation, Sieverts’ law </w:t>
      </w:r>
      <w:r w:rsidR="0087149C" w:rsidRPr="00E42816">
        <w:t>was</w:t>
      </w:r>
      <w:r w:rsidR="00DC53F8" w:rsidRPr="00E42816">
        <w:t xml:space="preserve"> applied, according to which the permeating flux is proportional to the difference between the square roots of the partial pressure of hydrogen in the retentate and permeate sides (Ward and Dao, 1999).</w:t>
      </w:r>
      <w:r w:rsidR="0087149C" w:rsidRPr="00E42816">
        <w:t xml:space="preserve"> The model was solved using COMSOL Multiphysics.</w:t>
      </w:r>
    </w:p>
    <w:p w14:paraId="4C714986" w14:textId="7A152CCC" w:rsidR="00CE2A99" w:rsidRPr="00E42816" w:rsidRDefault="00CE2A99" w:rsidP="00CE2A99">
      <w:pPr>
        <w:pStyle w:val="CETBodytext"/>
      </w:pPr>
      <w:r w:rsidRPr="00E42816">
        <w:t xml:space="preserve">The problem </w:t>
      </w:r>
      <w:r w:rsidR="0087149C" w:rsidRPr="00E42816">
        <w:t>was also</w:t>
      </w:r>
      <w:r w:rsidRPr="00E42816">
        <w:t xml:space="preserve"> studied in its dimensionless formulation using the inlet velocity in the retentate side, </w:t>
      </w:r>
      <w:r w:rsidRPr="00E42816">
        <w:rPr>
          <w:i/>
        </w:rPr>
        <w:t>U</w:t>
      </w:r>
      <w:r w:rsidRPr="00E42816">
        <w:t xml:space="preserve">, as reference velocity; the inner radius of the separator, </w:t>
      </w:r>
      <w:r w:rsidRPr="00E42816">
        <w:rPr>
          <w:i/>
        </w:rPr>
        <w:t>R</w:t>
      </w:r>
      <w:r w:rsidRPr="00E42816">
        <w:rPr>
          <w:i/>
          <w:vertAlign w:val="subscript"/>
        </w:rPr>
        <w:t>1</w:t>
      </w:r>
      <w:r w:rsidRPr="00E42816">
        <w:t xml:space="preserve">, as characteristic dimension; the atmospheric pressure, </w:t>
      </w:r>
      <w:proofErr w:type="spellStart"/>
      <w:r w:rsidRPr="00E42816">
        <w:rPr>
          <w:i/>
        </w:rPr>
        <w:t>P</w:t>
      </w:r>
      <w:r w:rsidRPr="00E42816">
        <w:rPr>
          <w:i/>
          <w:vertAlign w:val="subscript"/>
        </w:rPr>
        <w:t>atm</w:t>
      </w:r>
      <w:proofErr w:type="spellEnd"/>
      <w:r w:rsidRPr="00E42816">
        <w:t xml:space="preserve">, as reference pressure; and the molecular weight of hydrogen, </w:t>
      </w:r>
      <w:r w:rsidRPr="00E42816">
        <w:rPr>
          <w:i/>
        </w:rPr>
        <w:t>W</w:t>
      </w:r>
      <w:r w:rsidRPr="00E42816">
        <w:rPr>
          <w:i/>
          <w:vertAlign w:val="subscript"/>
        </w:rPr>
        <w:t>h</w:t>
      </w:r>
      <w:r w:rsidRPr="00E42816">
        <w:t xml:space="preserve">, as reference mass. In this context, the gradient operator, </w:t>
      </w:r>
      <w:r w:rsidRPr="00E42816">
        <w:sym w:font="Symbol" w:char="F0D1"/>
      </w:r>
      <w:r w:rsidRPr="00E42816">
        <w:t xml:space="preserve">, is also expressed in its dimensionless form </w:t>
      </w:r>
      <m:oMath>
        <m:acc>
          <m:accPr>
            <m:chr m:val="̃"/>
            <m:ctrlPr>
              <w:rPr>
                <w:rFonts w:ascii="Cambria Math" w:hAnsi="Cambria Math"/>
                <w:i/>
              </w:rPr>
            </m:ctrlPr>
          </m:accPr>
          <m:e>
            <m:r>
              <m:rPr>
                <m:sty m:val="p"/>
              </m:rPr>
              <w:rPr>
                <w:rFonts w:ascii="Cambria Math" w:hAnsi="Cambria Math"/>
              </w:rPr>
              <m:t>∇</m:t>
            </m:r>
          </m:e>
        </m:acc>
        <m:r>
          <w:rPr>
            <w:rFonts w:ascii="Cambria Math" w:hAnsi="Cambria Math"/>
          </w:rPr>
          <m:t>=</m:t>
        </m:r>
        <m:r>
          <m:rPr>
            <m:sty m:val="p"/>
          </m:rPr>
          <w:rPr>
            <w:rFonts w:ascii="Cambria Math" w:hAnsi="Cambria Math"/>
          </w:rPr>
          <m:t>∇</m:t>
        </m:r>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oMath>
      <w:r w:rsidRPr="00E42816">
        <w:t>.</w:t>
      </w:r>
      <w:r w:rsidR="00C14C63" w:rsidRPr="00E42816">
        <w:t xml:space="preserve"> </w:t>
      </w:r>
      <w:r w:rsidRPr="00E42816">
        <w:t xml:space="preserve">A detailed description of the model development is reported in the past work and the main equations relative to the retentate side are reported again here in </w:t>
      </w:r>
      <w:r w:rsidR="00D458F6" w:rsidRPr="00E42816">
        <w:t>th</w:t>
      </w:r>
      <w:r w:rsidR="0029190E" w:rsidRPr="00E42816">
        <w:t>ei</w:t>
      </w:r>
      <w:r w:rsidR="00D458F6" w:rsidRPr="00E42816">
        <w:t>r</w:t>
      </w:r>
      <w:r w:rsidRPr="00E42816">
        <w:t xml:space="preserve"> dimensionless form</w:t>
      </w:r>
      <w:r w:rsidR="00E5713C" w:rsidRPr="00E42816">
        <w:t>.</w:t>
      </w:r>
      <w:r w:rsidR="00492F15" w:rsidRPr="00E42816">
        <w:t xml:space="preserve"> The continuity, momentum, and mass balance equations are given by Eqs</w:t>
      </w:r>
      <w:r w:rsidR="003D7C44" w:rsidRPr="00E42816">
        <w:t xml:space="preserve">. </w:t>
      </w:r>
      <w:r w:rsidR="00492F15" w:rsidRPr="00E42816">
        <w:t>(1)-(3)</w:t>
      </w:r>
      <w:r w:rsidR="005B1AFB" w:rsidRPr="00E42816">
        <w:t xml:space="preserve"> and the boundary conditions are given by Eqs. (4)-(6)</w:t>
      </w:r>
    </w:p>
    <w:tbl>
      <w:tblPr>
        <w:tblW w:w="5000" w:type="pct"/>
        <w:tblLook w:val="04A0" w:firstRow="1" w:lastRow="0" w:firstColumn="1" w:lastColumn="0" w:noHBand="0" w:noVBand="1"/>
      </w:tblPr>
      <w:tblGrid>
        <w:gridCol w:w="7983"/>
        <w:gridCol w:w="804"/>
      </w:tblGrid>
      <w:tr w:rsidR="00E42816" w:rsidRPr="00E42816" w14:paraId="1804460B" w14:textId="77777777" w:rsidTr="0087149C">
        <w:tc>
          <w:tcPr>
            <w:tcW w:w="7983" w:type="dxa"/>
            <w:shd w:val="clear" w:color="auto" w:fill="auto"/>
            <w:vAlign w:val="center"/>
          </w:tcPr>
          <w:p w14:paraId="4467BF6D" w14:textId="2CD0539F" w:rsidR="00E5713C" w:rsidRPr="00E42816" w:rsidRDefault="00C57B06" w:rsidP="00F639C2">
            <w:pPr>
              <w:pStyle w:val="CETEquation"/>
              <w:rPr>
                <w:lang w:val="en-US"/>
              </w:rPr>
            </w:pPr>
            <m:oMathPara>
              <m:oMathParaPr>
                <m:jc m:val="left"/>
              </m:oMathParaPr>
              <m:oMath>
                <m:acc>
                  <m:accPr>
                    <m:chr m:val="̃"/>
                    <m:ctrlPr>
                      <w:rPr>
                        <w:rFonts w:ascii="Cambria Math" w:hAnsi="Cambria Math"/>
                        <w:lang w:val="en-US"/>
                      </w:rPr>
                    </m:ctrlPr>
                  </m:accPr>
                  <m:e>
                    <m:r>
                      <m:rPr>
                        <m:sty m:val="p"/>
                      </m:rPr>
                      <w:rPr>
                        <w:rFonts w:ascii="Cambria Math" w:hAnsi="Cambria Math"/>
                        <w:lang w:val="en-US"/>
                      </w:rPr>
                      <m:t>∇</m:t>
                    </m:r>
                  </m:e>
                </m:acc>
                <m:r>
                  <w:rPr>
                    <w:rFonts w:ascii="Cambria Math" w:hAnsi="Cambria Math"/>
                    <w:lang w:val="en-US"/>
                  </w:rPr>
                  <m:t>∙</m:t>
                </m:r>
                <m:d>
                  <m:dPr>
                    <m:ctrlPr>
                      <w:rPr>
                        <w:rFonts w:ascii="Cambria Math" w:hAnsi="Cambria Math"/>
                        <w:i/>
                        <w:lang w:val="en-US"/>
                      </w:rPr>
                    </m:ctrlPr>
                  </m:dPr>
                  <m:e>
                    <m:acc>
                      <m:accPr>
                        <m:chr m:val="̃"/>
                        <m:ctrlPr>
                          <w:rPr>
                            <w:rFonts w:ascii="Cambria Math" w:hAnsi="Cambria Math"/>
                            <w:i/>
                            <w:lang w:val="en-US"/>
                          </w:rPr>
                        </m:ctrlPr>
                      </m:accPr>
                      <m:e>
                        <m:r>
                          <w:rPr>
                            <w:rFonts w:ascii="Cambria Math" w:hAnsi="Cambria Math"/>
                            <w:lang w:val="en-US"/>
                          </w:rPr>
                          <m:t>f</m:t>
                        </m:r>
                      </m:e>
                    </m:acc>
                    <m:acc>
                      <m:accPr>
                        <m:chr m:val="̃"/>
                        <m:ctrlPr>
                          <w:rPr>
                            <w:rFonts w:ascii="Cambria Math" w:hAnsi="Cambria Math"/>
                            <w:i/>
                            <w:lang w:val="en-US"/>
                          </w:rPr>
                        </m:ctrlPr>
                      </m:accPr>
                      <m:e>
                        <m:r>
                          <w:rPr>
                            <w:rFonts w:ascii="Cambria Math" w:hAnsi="Cambria Math"/>
                            <w:lang w:val="en-US"/>
                          </w:rPr>
                          <m:t>P</m:t>
                        </m:r>
                      </m:e>
                    </m:acc>
                    <m:acc>
                      <m:accPr>
                        <m:chr m:val="̃"/>
                        <m:ctrlPr>
                          <w:rPr>
                            <w:rFonts w:ascii="Cambria Math" w:hAnsi="Cambria Math"/>
                            <w:i/>
                            <w:lang w:val="en-US"/>
                          </w:rPr>
                        </m:ctrlPr>
                      </m:accPr>
                      <m:e>
                        <m:r>
                          <m:rPr>
                            <m:sty m:val="p"/>
                          </m:rPr>
                          <w:rPr>
                            <w:rFonts w:ascii="Cambria Math" w:hAnsi="Cambria Math"/>
                            <w:lang w:val="en-US"/>
                          </w:rPr>
                          <m:t>∇</m:t>
                        </m:r>
                      </m:e>
                    </m:acc>
                    <m:acc>
                      <m:accPr>
                        <m:chr m:val="̃"/>
                        <m:ctrlPr>
                          <w:rPr>
                            <w:rFonts w:ascii="Cambria Math" w:hAnsi="Cambria Math"/>
                            <w:i/>
                            <w:lang w:val="en-US"/>
                          </w:rPr>
                        </m:ctrlPr>
                      </m:accPr>
                      <m:e>
                        <m:r>
                          <w:rPr>
                            <w:rFonts w:ascii="Cambria Math" w:hAnsi="Cambria Math"/>
                            <w:lang w:val="en-US"/>
                          </w:rPr>
                          <m:t>P</m:t>
                        </m:r>
                      </m:e>
                    </m:acc>
                  </m:e>
                </m:d>
                <m:r>
                  <w:rPr>
                    <w:rFonts w:ascii="Cambria Math" w:hAnsi="Cambria Math"/>
                    <w:lang w:val="en-US"/>
                  </w:rPr>
                  <m:t>=0</m:t>
                </m:r>
              </m:oMath>
            </m:oMathPara>
          </w:p>
        </w:tc>
        <w:tc>
          <w:tcPr>
            <w:tcW w:w="804" w:type="dxa"/>
            <w:shd w:val="clear" w:color="auto" w:fill="auto"/>
            <w:vAlign w:val="center"/>
          </w:tcPr>
          <w:p w14:paraId="5B279176" w14:textId="77777777" w:rsidR="00E5713C" w:rsidRPr="00E42816" w:rsidRDefault="00E5713C" w:rsidP="00F639C2">
            <w:pPr>
              <w:pStyle w:val="CETEquation"/>
              <w:jc w:val="right"/>
              <w:rPr>
                <w:lang w:val="en-US"/>
              </w:rPr>
            </w:pPr>
            <w:r w:rsidRPr="00E42816">
              <w:rPr>
                <w:lang w:val="en-US"/>
              </w:rPr>
              <w:t>(1)</w:t>
            </w:r>
          </w:p>
        </w:tc>
      </w:tr>
      <w:tr w:rsidR="00E42816" w:rsidRPr="00E42816" w14:paraId="685588DB" w14:textId="77777777" w:rsidTr="0087149C">
        <w:tc>
          <w:tcPr>
            <w:tcW w:w="7983" w:type="dxa"/>
            <w:shd w:val="clear" w:color="auto" w:fill="auto"/>
            <w:vAlign w:val="center"/>
          </w:tcPr>
          <w:p w14:paraId="3C13FD11" w14:textId="29CA1E64" w:rsidR="00E5713C" w:rsidRPr="00E42816" w:rsidRDefault="00C57B06" w:rsidP="00F639C2">
            <w:pPr>
              <w:pStyle w:val="CETEquation"/>
              <w:rPr>
                <w:lang w:val="en-US"/>
              </w:rPr>
            </w:pPr>
            <m:oMathPara>
              <m:oMathParaPr>
                <m:jc m:val="left"/>
              </m:oMathParaPr>
              <m:oMath>
                <m:acc>
                  <m:accPr>
                    <m:chr m:val="̃"/>
                    <m:ctrlPr>
                      <w:rPr>
                        <w:rFonts w:ascii="Cambria Math" w:hAnsi="Cambria Math"/>
                        <w:b/>
                        <w:lang w:val="en-US"/>
                      </w:rPr>
                    </m:ctrlPr>
                  </m:accPr>
                  <m:e>
                    <m:r>
                      <m:rPr>
                        <m:sty m:val="b"/>
                      </m:rPr>
                      <w:rPr>
                        <w:rFonts w:ascii="Cambria Math" w:hAnsi="Cambria Math"/>
                        <w:lang w:val="en-US"/>
                      </w:rPr>
                      <m:t>v</m:t>
                    </m:r>
                  </m:e>
                </m:acc>
                <m:r>
                  <w:rPr>
                    <w:rFonts w:ascii="Cambria Math" w:hAnsi="Cambria Math"/>
                    <w:lang w:val="en-US"/>
                  </w:rPr>
                  <m:t>=-</m:t>
                </m:r>
                <m:sSub>
                  <m:sSubPr>
                    <m:ctrlPr>
                      <w:rPr>
                        <w:rFonts w:ascii="Cambria Math" w:hAnsi="Cambria Math"/>
                        <w:i/>
                        <w:lang w:val="en-US"/>
                      </w:rPr>
                    </m:ctrlPr>
                  </m:sSubPr>
                  <m:e>
                    <m:r>
                      <w:rPr>
                        <w:rFonts w:ascii="Cambria Math" w:hAnsi="Cambria Math"/>
                        <w:lang w:val="en-US"/>
                      </w:rPr>
                      <m:t>U</m:t>
                    </m:r>
                  </m:e>
                  <m:sub>
                    <m:r>
                      <w:rPr>
                        <w:rFonts w:ascii="Cambria Math" w:hAnsi="Cambria Math"/>
                        <w:lang w:val="en-US"/>
                      </w:rPr>
                      <m:t>C</m:t>
                    </m:r>
                  </m:sub>
                </m:sSub>
                <m:acc>
                  <m:accPr>
                    <m:chr m:val="̃"/>
                    <m:ctrlPr>
                      <w:rPr>
                        <w:rFonts w:ascii="Cambria Math" w:hAnsi="Cambria Math"/>
                        <w:lang w:val="en-US"/>
                      </w:rPr>
                    </m:ctrlPr>
                  </m:accPr>
                  <m:e>
                    <m:r>
                      <m:rPr>
                        <m:sty m:val="p"/>
                      </m:rPr>
                      <w:rPr>
                        <w:rFonts w:ascii="Cambria Math" w:hAnsi="Cambria Math"/>
                        <w:lang w:val="en-US"/>
                      </w:rPr>
                      <m:t>∇</m:t>
                    </m:r>
                  </m:e>
                </m:acc>
                <m:acc>
                  <m:accPr>
                    <m:chr m:val="̃"/>
                    <m:ctrlPr>
                      <w:rPr>
                        <w:rFonts w:ascii="Cambria Math" w:hAnsi="Cambria Math"/>
                        <w:i/>
                        <w:lang w:val="en-US"/>
                      </w:rPr>
                    </m:ctrlPr>
                  </m:accPr>
                  <m:e>
                    <m:r>
                      <w:rPr>
                        <w:rFonts w:ascii="Cambria Math" w:hAnsi="Cambria Math"/>
                        <w:lang w:val="en-US"/>
                      </w:rPr>
                      <m:t>P</m:t>
                    </m:r>
                  </m:e>
                </m:acc>
              </m:oMath>
            </m:oMathPara>
          </w:p>
        </w:tc>
        <w:tc>
          <w:tcPr>
            <w:tcW w:w="804" w:type="dxa"/>
            <w:shd w:val="clear" w:color="auto" w:fill="auto"/>
            <w:vAlign w:val="center"/>
          </w:tcPr>
          <w:p w14:paraId="65E048CB" w14:textId="6982C8DB" w:rsidR="00E5713C" w:rsidRPr="00E42816" w:rsidRDefault="00E5713C" w:rsidP="00F639C2">
            <w:pPr>
              <w:pStyle w:val="CETEquation"/>
              <w:jc w:val="right"/>
              <w:rPr>
                <w:lang w:val="en-US"/>
              </w:rPr>
            </w:pPr>
            <w:r w:rsidRPr="00E42816">
              <w:rPr>
                <w:lang w:val="en-US"/>
              </w:rPr>
              <w:t>(2)</w:t>
            </w:r>
          </w:p>
        </w:tc>
      </w:tr>
      <w:tr w:rsidR="00E42816" w:rsidRPr="00E42816" w14:paraId="510D54B8" w14:textId="77777777" w:rsidTr="0087149C">
        <w:tc>
          <w:tcPr>
            <w:tcW w:w="7983" w:type="dxa"/>
            <w:shd w:val="clear" w:color="auto" w:fill="auto"/>
            <w:vAlign w:val="center"/>
          </w:tcPr>
          <w:p w14:paraId="3447B2D1" w14:textId="6FCA05EE" w:rsidR="00E5713C" w:rsidRPr="00E42816" w:rsidRDefault="00C57B06" w:rsidP="00F639C2">
            <w:pPr>
              <w:pStyle w:val="CETEquation"/>
              <w:rPr>
                <w:lang w:val="en-US"/>
              </w:rPr>
            </w:pPr>
            <m:oMathPara>
              <m:oMathParaPr>
                <m:jc m:val="left"/>
              </m:oMathParaPr>
              <m:oMath>
                <m:acc>
                  <m:accPr>
                    <m:chr m:val="̃"/>
                    <m:ctrlPr>
                      <w:rPr>
                        <w:rFonts w:ascii="Cambria Math" w:hAnsi="Cambria Math"/>
                        <w:lang w:val="en-US"/>
                      </w:rPr>
                    </m:ctrlPr>
                  </m:accPr>
                  <m:e>
                    <m:r>
                      <m:rPr>
                        <m:sty m:val="p"/>
                      </m:rPr>
                      <w:rPr>
                        <w:rFonts w:ascii="Cambria Math" w:hAnsi="Cambria Math"/>
                        <w:lang w:val="en-US"/>
                      </w:rPr>
                      <m:t>∇</m:t>
                    </m:r>
                  </m:e>
                </m:acc>
                <m:r>
                  <w:rPr>
                    <w:rFonts w:ascii="Cambria Math" w:hAnsi="Cambria Math"/>
                    <w:lang w:val="en-US"/>
                  </w:rPr>
                  <m:t>∙</m:t>
                </m:r>
                <m:d>
                  <m:dPr>
                    <m:ctrlPr>
                      <w:rPr>
                        <w:rFonts w:ascii="Cambria Math" w:hAnsi="Cambria Math"/>
                        <w:i/>
                        <w:lang w:val="en-US"/>
                      </w:rPr>
                    </m:ctrlPr>
                  </m:dPr>
                  <m:e>
                    <m:r>
                      <w:rPr>
                        <w:rFonts w:ascii="Cambria Math" w:hAnsi="Cambria Math"/>
                        <w:lang w:val="en-US"/>
                      </w:rPr>
                      <m:t>-</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β</m:t>
                        </m:r>
                      </m:den>
                    </m:f>
                    <m:acc>
                      <m:accPr>
                        <m:chr m:val="̃"/>
                        <m:ctrlPr>
                          <w:rPr>
                            <w:rFonts w:ascii="Cambria Math" w:hAnsi="Cambria Math"/>
                            <w:i/>
                            <w:lang w:val="en-US"/>
                          </w:rPr>
                        </m:ctrlPr>
                      </m:accPr>
                      <m:e>
                        <m:r>
                          <w:rPr>
                            <w:rFonts w:ascii="Cambria Math" w:hAnsi="Cambria Math"/>
                            <w:lang w:val="en-US"/>
                          </w:rPr>
                          <m:t>f</m:t>
                        </m:r>
                      </m:e>
                    </m:acc>
                    <m:acc>
                      <m:accPr>
                        <m:chr m:val="̃"/>
                        <m:ctrlPr>
                          <w:rPr>
                            <w:rFonts w:ascii="Cambria Math" w:hAnsi="Cambria Math"/>
                            <w:i/>
                            <w:lang w:val="en-US"/>
                          </w:rPr>
                        </m:ctrlPr>
                      </m:accPr>
                      <m:e>
                        <m:r>
                          <w:rPr>
                            <w:rFonts w:ascii="Cambria Math" w:hAnsi="Cambria Math"/>
                            <w:lang w:val="en-US"/>
                          </w:rPr>
                          <m:t>P</m:t>
                        </m:r>
                      </m:e>
                    </m:acc>
                    <m:sSub>
                      <m:sSubPr>
                        <m:ctrlPr>
                          <w:rPr>
                            <w:rFonts w:ascii="Cambria Math" w:hAnsi="Cambria Math"/>
                            <w:i/>
                            <w:lang w:val="en-US"/>
                          </w:rPr>
                        </m:ctrlPr>
                      </m:sSubPr>
                      <m:e>
                        <m:r>
                          <w:rPr>
                            <w:rFonts w:ascii="Cambria Math" w:hAnsi="Cambria Math"/>
                            <w:lang w:val="en-US"/>
                          </w:rPr>
                          <m:t>ω</m:t>
                        </m:r>
                      </m:e>
                      <m:sub>
                        <m:r>
                          <w:rPr>
                            <w:rFonts w:ascii="Cambria Math" w:hAnsi="Cambria Math"/>
                            <w:lang w:val="en-US"/>
                          </w:rPr>
                          <m:t>h</m:t>
                        </m:r>
                      </m:sub>
                    </m:sSub>
                    <m:acc>
                      <m:accPr>
                        <m:chr m:val="̃"/>
                        <m:ctrlPr>
                          <w:rPr>
                            <w:rFonts w:ascii="Cambria Math" w:hAnsi="Cambria Math"/>
                            <w:lang w:val="en-US"/>
                          </w:rPr>
                        </m:ctrlPr>
                      </m:accPr>
                      <m:e>
                        <m:r>
                          <m:rPr>
                            <m:sty m:val="p"/>
                          </m:rPr>
                          <w:rPr>
                            <w:rFonts w:ascii="Cambria Math" w:hAnsi="Cambria Math"/>
                            <w:lang w:val="en-US"/>
                          </w:rPr>
                          <m:t>∇</m:t>
                        </m:r>
                      </m:e>
                    </m:acc>
                    <m:acc>
                      <m:accPr>
                        <m:chr m:val="̃"/>
                        <m:ctrlPr>
                          <w:rPr>
                            <w:rFonts w:ascii="Cambria Math" w:hAnsi="Cambria Math"/>
                            <w:i/>
                            <w:lang w:val="en-US"/>
                          </w:rPr>
                        </m:ctrlPr>
                      </m:accPr>
                      <m:e>
                        <m:r>
                          <w:rPr>
                            <w:rFonts w:ascii="Cambria Math" w:hAnsi="Cambria Math"/>
                            <w:lang w:val="en-US"/>
                          </w:rPr>
                          <m:t>P</m:t>
                        </m:r>
                      </m:e>
                    </m:acc>
                    <m:r>
                      <w:rPr>
                        <w:rFonts w:ascii="Cambria Math" w:hAnsi="Cambria Math"/>
                        <w:lang w:val="en-US"/>
                      </w:rPr>
                      <m:t>-</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Pe</m:t>
                        </m:r>
                      </m:den>
                    </m:f>
                    <m:acc>
                      <m:accPr>
                        <m:chr m:val="̃"/>
                        <m:ctrlPr>
                          <w:rPr>
                            <w:rFonts w:ascii="Cambria Math" w:hAnsi="Cambria Math"/>
                            <w:i/>
                            <w:lang w:val="en-US"/>
                          </w:rPr>
                        </m:ctrlPr>
                      </m:accPr>
                      <m:e>
                        <m:r>
                          <w:rPr>
                            <w:rFonts w:ascii="Cambria Math" w:hAnsi="Cambria Math"/>
                            <w:lang w:val="en-US"/>
                          </w:rPr>
                          <m:t>f</m:t>
                        </m:r>
                      </m:e>
                    </m:acc>
                    <m:acc>
                      <m:accPr>
                        <m:chr m:val="̃"/>
                        <m:ctrlPr>
                          <w:rPr>
                            <w:rFonts w:ascii="Cambria Math" w:hAnsi="Cambria Math"/>
                            <w:i/>
                            <w:lang w:val="en-US"/>
                          </w:rPr>
                        </m:ctrlPr>
                      </m:accPr>
                      <m:e>
                        <m:r>
                          <w:rPr>
                            <w:rFonts w:ascii="Cambria Math" w:hAnsi="Cambria Math"/>
                            <w:lang w:val="en-US"/>
                          </w:rPr>
                          <m:t>P</m:t>
                        </m:r>
                      </m:e>
                    </m:acc>
                    <m:acc>
                      <m:accPr>
                        <m:chr m:val="̃"/>
                        <m:ctrlPr>
                          <w:rPr>
                            <w:rFonts w:ascii="Cambria Math" w:hAnsi="Cambria Math"/>
                            <w:i/>
                            <w:lang w:val="en-US"/>
                          </w:rPr>
                        </m:ctrlPr>
                      </m:accPr>
                      <m:e>
                        <m:r>
                          <m:rPr>
                            <m:scr m:val="double-struck"/>
                          </m:rPr>
                          <w:rPr>
                            <w:rFonts w:ascii="Cambria Math" w:hAnsi="Cambria Math"/>
                            <w:lang w:val="en-US"/>
                          </w:rPr>
                          <m:t>D</m:t>
                        </m:r>
                      </m:e>
                    </m:acc>
                    <m:r>
                      <w:rPr>
                        <w:rFonts w:ascii="Cambria Math" w:hAnsi="Cambria Math"/>
                        <w:lang w:val="en-US"/>
                      </w:rPr>
                      <m:t>∙</m:t>
                    </m:r>
                    <m:acc>
                      <m:accPr>
                        <m:chr m:val="̃"/>
                        <m:ctrlPr>
                          <w:rPr>
                            <w:rFonts w:ascii="Cambria Math" w:hAnsi="Cambria Math"/>
                            <w:lang w:val="en-US"/>
                          </w:rPr>
                        </m:ctrlPr>
                      </m:accPr>
                      <m:e>
                        <m:r>
                          <m:rPr>
                            <m:sty m:val="p"/>
                          </m:rPr>
                          <w:rPr>
                            <w:rFonts w:ascii="Cambria Math" w:hAnsi="Cambria Math"/>
                            <w:lang w:val="en-US"/>
                          </w:rPr>
                          <m:t>∇</m:t>
                        </m:r>
                      </m:e>
                    </m:acc>
                    <m:sSub>
                      <m:sSubPr>
                        <m:ctrlPr>
                          <w:rPr>
                            <w:rFonts w:ascii="Cambria Math" w:hAnsi="Cambria Math"/>
                            <w:i/>
                            <w:lang w:val="en-US"/>
                          </w:rPr>
                        </m:ctrlPr>
                      </m:sSubPr>
                      <m:e>
                        <m:r>
                          <w:rPr>
                            <w:rFonts w:ascii="Cambria Math" w:hAnsi="Cambria Math"/>
                            <w:lang w:val="en-US"/>
                          </w:rPr>
                          <m:t>ω</m:t>
                        </m:r>
                      </m:e>
                      <m:sub>
                        <m:r>
                          <w:rPr>
                            <w:rFonts w:ascii="Cambria Math" w:hAnsi="Cambria Math"/>
                            <w:lang w:val="en-US"/>
                          </w:rPr>
                          <m:t>h</m:t>
                        </m:r>
                      </m:sub>
                    </m:sSub>
                  </m:e>
                </m:d>
                <m:r>
                  <w:rPr>
                    <w:rFonts w:ascii="Cambria Math" w:hAnsi="Cambria Math"/>
                    <w:lang w:val="en-US"/>
                  </w:rPr>
                  <m:t>=0</m:t>
                </m:r>
              </m:oMath>
            </m:oMathPara>
          </w:p>
        </w:tc>
        <w:tc>
          <w:tcPr>
            <w:tcW w:w="804" w:type="dxa"/>
            <w:shd w:val="clear" w:color="auto" w:fill="auto"/>
            <w:vAlign w:val="center"/>
          </w:tcPr>
          <w:p w14:paraId="3DA3D41E" w14:textId="1096093E" w:rsidR="00E5713C" w:rsidRPr="00E42816" w:rsidRDefault="00E5713C" w:rsidP="00F639C2">
            <w:pPr>
              <w:pStyle w:val="CETEquation"/>
              <w:jc w:val="right"/>
              <w:rPr>
                <w:lang w:val="en-US"/>
              </w:rPr>
            </w:pPr>
            <w:r w:rsidRPr="00E42816">
              <w:rPr>
                <w:lang w:val="en-US"/>
              </w:rPr>
              <w:t>(3)</w:t>
            </w:r>
          </w:p>
        </w:tc>
      </w:tr>
    </w:tbl>
    <w:p w14:paraId="421F0FDE" w14:textId="35C9E506" w:rsidR="00D458F6" w:rsidRPr="00E42816" w:rsidRDefault="00104196" w:rsidP="00CE2A99">
      <w:pPr>
        <w:pStyle w:val="CETBodytext"/>
      </w:pPr>
      <w:r w:rsidRPr="00E42816">
        <w:t xml:space="preserve">where </w:t>
      </w:r>
      <w:r w:rsidR="0029190E" w:rsidRPr="00E42816">
        <w:rPr>
          <w:i/>
        </w:rPr>
        <w:t>f</w:t>
      </w:r>
      <w:r w:rsidR="0029190E" w:rsidRPr="00E42816">
        <w:t xml:space="preserve"> is the average molecular weight, </w:t>
      </w:r>
      <w:r w:rsidR="0029190E" w:rsidRPr="00E42816">
        <w:rPr>
          <w:i/>
        </w:rPr>
        <w:t>P</w:t>
      </w:r>
      <w:r w:rsidR="0029190E" w:rsidRPr="00E42816">
        <w:t xml:space="preserve"> is the pressure, and</w:t>
      </w:r>
      <w:r w:rsidR="0029190E" w:rsidRPr="00E42816">
        <w:rPr>
          <w:i/>
        </w:rPr>
        <w:t xml:space="preserve"> </w:t>
      </w:r>
      <w:proofErr w:type="spellStart"/>
      <w:r w:rsidR="0029190E" w:rsidRPr="00E42816">
        <w:rPr>
          <w:i/>
        </w:rPr>
        <w:t>U</w:t>
      </w:r>
      <w:r w:rsidR="0029190E" w:rsidRPr="00E42816">
        <w:rPr>
          <w:i/>
          <w:vertAlign w:val="subscript"/>
        </w:rPr>
        <w:t>c</w:t>
      </w:r>
      <w:proofErr w:type="spellEnd"/>
      <w:r w:rsidR="0029190E" w:rsidRPr="00E42816">
        <w:rPr>
          <w:i/>
        </w:rPr>
        <w:t xml:space="preserve"> </w:t>
      </w:r>
      <w:r w:rsidR="0029190E" w:rsidRPr="00E42816">
        <w:t xml:space="preserve">is the characteristic velocity, defined as </w:t>
      </w:r>
      <m:oMath>
        <m:sSub>
          <m:sSubPr>
            <m:ctrlPr>
              <w:rPr>
                <w:rFonts w:ascii="Cambria Math" w:hAnsi="Cambria Math"/>
                <w:i/>
              </w:rPr>
            </m:ctrlPr>
          </m:sSubPr>
          <m:e>
            <m:r>
              <w:rPr>
                <w:rFonts w:ascii="Cambria Math" w:hAnsi="Cambria Math"/>
              </w:rPr>
              <m:t>U</m:t>
            </m:r>
          </m:e>
          <m:sub>
            <m:r>
              <w:rPr>
                <w:rFonts w:ascii="Cambria Math" w:hAnsi="Cambria Math"/>
              </w:rPr>
              <m:t>c</m:t>
            </m:r>
          </m:sub>
        </m:sSub>
        <m:r>
          <w:rPr>
            <w:rFonts w:ascii="Cambria Math" w:hAnsi="Cambria Math"/>
          </w:rPr>
          <m:t>=-</m:t>
        </m:r>
        <m:f>
          <m:fPr>
            <m:type m:val="lin"/>
            <m:ctrlPr>
              <w:rPr>
                <w:rFonts w:ascii="Cambria Math" w:hAnsi="Cambria Math"/>
                <w:i/>
              </w:rPr>
            </m:ctrlPr>
          </m:fPr>
          <m:num>
            <m:r>
              <m:rPr>
                <m:sty m:val="p"/>
              </m:rPr>
              <w:rPr>
                <w:rFonts w:ascii="Cambria Math" w:hAnsi="Cambria Math"/>
              </w:rPr>
              <w:sym w:font="Symbol" w:char="F06B"/>
            </m:r>
          </m:num>
          <m:den>
            <m:r>
              <m:rPr>
                <m:sty m:val="p"/>
              </m:rPr>
              <w:rPr>
                <w:rFonts w:ascii="Cambria Math" w:hAnsi="Cambria Math"/>
              </w:rPr>
              <w:sym w:font="Symbol" w:char="F06D"/>
            </m:r>
          </m:den>
        </m:f>
        <m:r>
          <w:rPr>
            <w:rFonts w:ascii="Cambria Math" w:hAnsi="Cambria Math"/>
          </w:rPr>
          <m:t>∙</m:t>
        </m:r>
        <m:f>
          <m:fPr>
            <m:type m:val="lin"/>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atm</m:t>
                </m:r>
              </m:sub>
            </m:sSub>
          </m:num>
          <m:den>
            <m:sSub>
              <m:sSubPr>
                <m:ctrlPr>
                  <w:rPr>
                    <w:rFonts w:ascii="Cambria Math" w:hAnsi="Cambria Math"/>
                    <w:i/>
                  </w:rPr>
                </m:ctrlPr>
              </m:sSubPr>
              <m:e>
                <m:r>
                  <w:rPr>
                    <w:rFonts w:ascii="Cambria Math" w:hAnsi="Cambria Math"/>
                  </w:rPr>
                  <m:t>R</m:t>
                </m:r>
              </m:e>
              <m:sub>
                <m:r>
                  <w:rPr>
                    <w:rFonts w:ascii="Cambria Math" w:hAnsi="Cambria Math"/>
                  </w:rPr>
                  <m:t>1</m:t>
                </m:r>
              </m:sub>
            </m:sSub>
          </m:den>
        </m:f>
      </m:oMath>
      <w:r w:rsidR="0029190E" w:rsidRPr="00E42816">
        <w:t xml:space="preserve">, in which </w:t>
      </w:r>
      <w:r w:rsidRPr="00E42816">
        <w:sym w:font="Symbol" w:char="F06B"/>
      </w:r>
      <w:r w:rsidRPr="00E42816">
        <w:t xml:space="preserve"> is the bed permeability</w:t>
      </w:r>
      <w:r w:rsidR="0029190E" w:rsidRPr="00E42816">
        <w:t xml:space="preserve"> and</w:t>
      </w:r>
      <w:r w:rsidRPr="00E42816">
        <w:t xml:space="preserve"> </w:t>
      </w:r>
      <w:r w:rsidRPr="00E42816">
        <w:sym w:font="Symbol" w:char="F06D"/>
      </w:r>
      <w:r w:rsidRPr="00E42816">
        <w:t xml:space="preserve"> is the viscosity of the gaseous mixture</w:t>
      </w:r>
      <w:r w:rsidR="0029190E" w:rsidRPr="00E42816">
        <w:t>.</w:t>
      </w:r>
      <w:r w:rsidR="00C14C63" w:rsidRPr="00E42816">
        <w:t xml:space="preserve"> </w:t>
      </w:r>
    </w:p>
    <w:p w14:paraId="7862EB8E" w14:textId="13B11928" w:rsidR="00104196" w:rsidRPr="00E42816" w:rsidRDefault="00104196" w:rsidP="00CE2A99">
      <w:pPr>
        <w:pStyle w:val="CETBodytext"/>
      </w:pPr>
      <w:r w:rsidRPr="00E42816">
        <w:t xml:space="preserve">in </w:t>
      </w:r>
      <m:oMath>
        <m:acc>
          <m:accPr>
            <m:chr m:val="̃"/>
            <m:ctrlPr>
              <w:rPr>
                <w:rFonts w:ascii="Cambria Math" w:hAnsi="Cambria Math"/>
                <w:i/>
              </w:rPr>
            </m:ctrlPr>
          </m:accPr>
          <m:e>
            <m:r>
              <w:rPr>
                <w:rFonts w:ascii="Cambria Math" w:hAnsi="Cambria Math"/>
              </w:rPr>
              <m:t>z</m:t>
            </m:r>
          </m:e>
        </m:acc>
        <m:r>
          <w:rPr>
            <w:rFonts w:ascii="Cambria Math" w:hAnsi="Cambria Math"/>
          </w:rPr>
          <m:t>=0</m:t>
        </m:r>
      </m:oMath>
    </w:p>
    <w:tbl>
      <w:tblPr>
        <w:tblW w:w="5000" w:type="pct"/>
        <w:tblLook w:val="04A0" w:firstRow="1" w:lastRow="0" w:firstColumn="1" w:lastColumn="0" w:noHBand="0" w:noVBand="1"/>
      </w:tblPr>
      <w:tblGrid>
        <w:gridCol w:w="7983"/>
        <w:gridCol w:w="804"/>
      </w:tblGrid>
      <w:tr w:rsidR="00E42816" w:rsidRPr="00E42816" w14:paraId="1943B2AD" w14:textId="77777777" w:rsidTr="00F639C2">
        <w:tc>
          <w:tcPr>
            <w:tcW w:w="8188" w:type="dxa"/>
            <w:shd w:val="clear" w:color="auto" w:fill="auto"/>
            <w:vAlign w:val="center"/>
          </w:tcPr>
          <w:p w14:paraId="7AEE65EF" w14:textId="5295A295" w:rsidR="00E5713C" w:rsidRPr="00E42816" w:rsidRDefault="00C57B06" w:rsidP="00F639C2">
            <w:pPr>
              <w:pStyle w:val="CETEquation"/>
              <w:rPr>
                <w:lang w:val="en-US"/>
              </w:rPr>
            </w:pPr>
            <m:oMathPara>
              <m:oMathParaPr>
                <m:jc m:val="left"/>
              </m:oMathParaPr>
              <m:oMath>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v</m:t>
                        </m:r>
                      </m:e>
                    </m:acc>
                  </m:e>
                  <m:sub>
                    <m:r>
                      <w:rPr>
                        <w:rFonts w:ascii="Cambria Math" w:hAnsi="Cambria Math"/>
                        <w:lang w:val="en-US"/>
                      </w:rPr>
                      <m:t>z</m:t>
                    </m:r>
                  </m:sub>
                </m:sSub>
                <m:r>
                  <w:rPr>
                    <w:rFonts w:ascii="Cambria Math" w:hAnsi="Cambria Math"/>
                    <w:lang w:val="en-US"/>
                  </w:rPr>
                  <m:t xml:space="preserve">=1     ;     </m:t>
                </m:r>
                <m:sSub>
                  <m:sSubPr>
                    <m:ctrlPr>
                      <w:rPr>
                        <w:rFonts w:ascii="Cambria Math" w:hAnsi="Cambria Math"/>
                        <w:i/>
                        <w:lang w:val="en-US"/>
                      </w:rPr>
                    </m:ctrlPr>
                  </m:sSubPr>
                  <m:e>
                    <m:r>
                      <w:rPr>
                        <w:rFonts w:ascii="Cambria Math" w:hAnsi="Cambria Math"/>
                        <w:lang w:val="en-US"/>
                      </w:rPr>
                      <m:t>ω</m:t>
                    </m:r>
                  </m:e>
                  <m:sub>
                    <m:r>
                      <w:rPr>
                        <w:rFonts w:ascii="Cambria Math" w:hAnsi="Cambria Math"/>
                        <w:lang w:val="en-US"/>
                      </w:rPr>
                      <m:t>h</m:t>
                    </m:r>
                  </m:sub>
                </m:sSub>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ω</m:t>
                    </m:r>
                  </m:e>
                  <m:sub>
                    <m:r>
                      <w:rPr>
                        <w:rFonts w:ascii="Cambria Math" w:hAnsi="Cambria Math"/>
                        <w:lang w:val="en-US"/>
                      </w:rPr>
                      <m:t>h</m:t>
                    </m:r>
                  </m:sub>
                  <m:sup>
                    <m:r>
                      <w:rPr>
                        <w:rFonts w:ascii="Cambria Math" w:hAnsi="Cambria Math"/>
                        <w:lang w:val="en-US"/>
                      </w:rPr>
                      <m:t>0</m:t>
                    </m:r>
                  </m:sup>
                </m:sSubSup>
              </m:oMath>
            </m:oMathPara>
          </w:p>
        </w:tc>
        <w:tc>
          <w:tcPr>
            <w:tcW w:w="815" w:type="dxa"/>
            <w:shd w:val="clear" w:color="auto" w:fill="auto"/>
            <w:vAlign w:val="center"/>
          </w:tcPr>
          <w:p w14:paraId="26C972BE" w14:textId="3A1B870C" w:rsidR="00E5713C" w:rsidRPr="00E42816" w:rsidRDefault="00E5713C" w:rsidP="00F639C2">
            <w:pPr>
              <w:pStyle w:val="CETEquation"/>
              <w:jc w:val="right"/>
              <w:rPr>
                <w:lang w:val="en-US"/>
              </w:rPr>
            </w:pPr>
            <w:r w:rsidRPr="00E42816">
              <w:rPr>
                <w:lang w:val="en-US"/>
              </w:rPr>
              <w:t>(4)</w:t>
            </w:r>
          </w:p>
        </w:tc>
      </w:tr>
    </w:tbl>
    <w:p w14:paraId="2935403E" w14:textId="4B9B67E7" w:rsidR="00E5713C" w:rsidRPr="00E42816" w:rsidRDefault="00104196" w:rsidP="00CE2A99">
      <w:pPr>
        <w:pStyle w:val="CETBodytext"/>
      </w:pPr>
      <w:r w:rsidRPr="00E42816">
        <w:t xml:space="preserve">in </w:t>
      </w:r>
      <m:oMath>
        <m:acc>
          <m:accPr>
            <m:chr m:val="̃"/>
            <m:ctrlPr>
              <w:rPr>
                <w:rFonts w:ascii="Cambria Math" w:hAnsi="Cambria Math"/>
                <w:i/>
              </w:rPr>
            </m:ctrlPr>
          </m:accPr>
          <m:e>
            <m:r>
              <w:rPr>
                <w:rFonts w:ascii="Cambria Math" w:hAnsi="Cambria Math"/>
              </w:rPr>
              <m:t>z</m:t>
            </m:r>
          </m:e>
        </m:acc>
        <m:r>
          <w:rPr>
            <w:rFonts w:ascii="Cambria Math" w:hAnsi="Cambria Math"/>
          </w:rPr>
          <m:t>=L/</m:t>
        </m:r>
        <m:sSub>
          <m:sSubPr>
            <m:ctrlPr>
              <w:rPr>
                <w:rFonts w:ascii="Cambria Math" w:hAnsi="Cambria Math"/>
                <w:i/>
              </w:rPr>
            </m:ctrlPr>
          </m:sSubPr>
          <m:e>
            <m:r>
              <w:rPr>
                <w:rFonts w:ascii="Cambria Math" w:hAnsi="Cambria Math"/>
              </w:rPr>
              <m:t>R</m:t>
            </m:r>
          </m:e>
          <m:sub>
            <m:r>
              <w:rPr>
                <w:rFonts w:ascii="Cambria Math" w:hAnsi="Cambria Math"/>
              </w:rPr>
              <m:t>1</m:t>
            </m:r>
          </m:sub>
        </m:sSub>
      </m:oMath>
    </w:p>
    <w:tbl>
      <w:tblPr>
        <w:tblW w:w="5000" w:type="pct"/>
        <w:tblLook w:val="04A0" w:firstRow="1" w:lastRow="0" w:firstColumn="1" w:lastColumn="0" w:noHBand="0" w:noVBand="1"/>
      </w:tblPr>
      <w:tblGrid>
        <w:gridCol w:w="7983"/>
        <w:gridCol w:w="804"/>
      </w:tblGrid>
      <w:tr w:rsidR="00E42816" w:rsidRPr="00E42816" w14:paraId="46F300FE" w14:textId="77777777" w:rsidTr="00F639C2">
        <w:tc>
          <w:tcPr>
            <w:tcW w:w="8188" w:type="dxa"/>
            <w:shd w:val="clear" w:color="auto" w:fill="auto"/>
            <w:vAlign w:val="center"/>
          </w:tcPr>
          <w:p w14:paraId="04A68E55" w14:textId="3635CFC9" w:rsidR="00E5713C" w:rsidRPr="00E42816" w:rsidRDefault="00C57B06" w:rsidP="00F639C2">
            <w:pPr>
              <w:pStyle w:val="CETEquation"/>
              <w:rPr>
                <w:lang w:val="en-US"/>
              </w:rPr>
            </w:pPr>
            <m:oMathPara>
              <m:oMathParaPr>
                <m:jc m:val="left"/>
              </m:oMathParaPr>
              <m:oMath>
                <m:acc>
                  <m:accPr>
                    <m:chr m:val="̃"/>
                    <m:ctrlPr>
                      <w:rPr>
                        <w:rFonts w:ascii="Cambria Math" w:hAnsi="Cambria Math"/>
                        <w:i/>
                        <w:lang w:val="en-US"/>
                      </w:rPr>
                    </m:ctrlPr>
                  </m:accPr>
                  <m:e>
                    <m:r>
                      <w:rPr>
                        <w:rFonts w:ascii="Cambria Math" w:hAnsi="Cambria Math"/>
                        <w:lang w:val="en-US"/>
                      </w:rPr>
                      <m:t>P</m:t>
                    </m:r>
                  </m:e>
                </m:acc>
                <m:r>
                  <w:rPr>
                    <w:rFonts w:ascii="Cambria Math" w:hAnsi="Cambria Math"/>
                    <w:lang w:val="en-US"/>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L</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atm</m:t>
                    </m:r>
                  </m:sub>
                </m:sSub>
                <m:r>
                  <w:rPr>
                    <w:rFonts w:ascii="Cambria Math" w:hAnsi="Cambria Math"/>
                    <w:lang w:val="en-US"/>
                  </w:rPr>
                  <m:t xml:space="preserve">   ;   </m:t>
                </m:r>
                <m:f>
                  <m:fPr>
                    <m:ctrlPr>
                      <w:rPr>
                        <w:rFonts w:ascii="Cambria Math" w:hAnsi="Cambria Math"/>
                        <w:i/>
                        <w:lang w:val="en-US"/>
                      </w:rPr>
                    </m:ctrlPr>
                  </m:fPr>
                  <m:num>
                    <m:r>
                      <w:rPr>
                        <w:rFonts w:ascii="Cambria Math" w:hAnsi="Cambria Math"/>
                        <w:lang w:val="en-US"/>
                      </w:rPr>
                      <m:t>∂</m:t>
                    </m:r>
                    <m:sSub>
                      <m:sSubPr>
                        <m:ctrlPr>
                          <w:rPr>
                            <w:rFonts w:ascii="Cambria Math" w:hAnsi="Cambria Math"/>
                            <w:i/>
                            <w:lang w:val="en-US"/>
                          </w:rPr>
                        </m:ctrlPr>
                      </m:sSubPr>
                      <m:e>
                        <m:r>
                          <w:rPr>
                            <w:rFonts w:ascii="Cambria Math" w:hAnsi="Cambria Math"/>
                            <w:lang w:val="en-US"/>
                          </w:rPr>
                          <m:t>ω</m:t>
                        </m:r>
                      </m:e>
                      <m:sub>
                        <m:r>
                          <w:rPr>
                            <w:rFonts w:ascii="Cambria Math" w:hAnsi="Cambria Math"/>
                            <w:lang w:val="en-US"/>
                          </w:rPr>
                          <m:t>h</m:t>
                        </m:r>
                      </m:sub>
                    </m:sSub>
                  </m:num>
                  <m:den>
                    <m:r>
                      <w:rPr>
                        <w:rFonts w:ascii="Cambria Math" w:hAnsi="Cambria Math"/>
                        <w:lang w:val="en-US"/>
                      </w:rPr>
                      <m:t>∂</m:t>
                    </m:r>
                    <m:acc>
                      <m:accPr>
                        <m:chr m:val="̃"/>
                        <m:ctrlPr>
                          <w:rPr>
                            <w:rFonts w:ascii="Cambria Math" w:hAnsi="Cambria Math"/>
                            <w:i/>
                            <w:lang w:val="en-US"/>
                          </w:rPr>
                        </m:ctrlPr>
                      </m:accPr>
                      <m:e>
                        <m:r>
                          <w:rPr>
                            <w:rFonts w:ascii="Cambria Math" w:hAnsi="Cambria Math"/>
                            <w:lang w:val="en-US"/>
                          </w:rPr>
                          <m:t>z</m:t>
                        </m:r>
                      </m:e>
                    </m:acc>
                  </m:den>
                </m:f>
                <m:r>
                  <w:rPr>
                    <w:rFonts w:ascii="Cambria Math" w:hAnsi="Cambria Math"/>
                    <w:lang w:val="en-US"/>
                  </w:rPr>
                  <m:t>=0</m:t>
                </m:r>
              </m:oMath>
            </m:oMathPara>
          </w:p>
        </w:tc>
        <w:tc>
          <w:tcPr>
            <w:tcW w:w="815" w:type="dxa"/>
            <w:shd w:val="clear" w:color="auto" w:fill="auto"/>
            <w:vAlign w:val="center"/>
          </w:tcPr>
          <w:p w14:paraId="04AEF4D3" w14:textId="47A8FF52" w:rsidR="00E5713C" w:rsidRPr="00E42816" w:rsidRDefault="00E5713C" w:rsidP="00F639C2">
            <w:pPr>
              <w:pStyle w:val="CETEquation"/>
              <w:jc w:val="right"/>
              <w:rPr>
                <w:lang w:val="en-US"/>
              </w:rPr>
            </w:pPr>
            <w:r w:rsidRPr="00E42816">
              <w:rPr>
                <w:lang w:val="en-US"/>
              </w:rPr>
              <w:t>(5)</w:t>
            </w:r>
          </w:p>
        </w:tc>
      </w:tr>
    </w:tbl>
    <w:p w14:paraId="3E4BFFF1" w14:textId="7A5464CC" w:rsidR="00E5713C" w:rsidRPr="00E42816" w:rsidRDefault="00104196" w:rsidP="00CE2A99">
      <w:pPr>
        <w:pStyle w:val="CETBodytext"/>
      </w:pPr>
      <w:r w:rsidRPr="00E42816">
        <w:t xml:space="preserve">in </w:t>
      </w:r>
      <m:oMath>
        <m:acc>
          <m:accPr>
            <m:chr m:val="̃"/>
            <m:ctrlPr>
              <w:rPr>
                <w:rFonts w:ascii="Cambria Math" w:hAnsi="Cambria Math"/>
                <w:i/>
              </w:rPr>
            </m:ctrlPr>
          </m:accPr>
          <m:e>
            <m:r>
              <w:rPr>
                <w:rFonts w:ascii="Cambria Math" w:hAnsi="Cambria Math"/>
              </w:rPr>
              <m:t>r</m:t>
            </m:r>
          </m:e>
        </m:acc>
        <m:r>
          <w:rPr>
            <w:rFonts w:ascii="Cambria Math" w:hAnsi="Cambria Math"/>
          </w:rPr>
          <m:t>=1</m:t>
        </m:r>
      </m:oMath>
    </w:p>
    <w:tbl>
      <w:tblPr>
        <w:tblW w:w="5000" w:type="pct"/>
        <w:tblLook w:val="04A0" w:firstRow="1" w:lastRow="0" w:firstColumn="1" w:lastColumn="0" w:noHBand="0" w:noVBand="1"/>
      </w:tblPr>
      <w:tblGrid>
        <w:gridCol w:w="7983"/>
        <w:gridCol w:w="804"/>
      </w:tblGrid>
      <w:tr w:rsidR="00E5713C" w:rsidRPr="00E42816" w14:paraId="10780D94" w14:textId="77777777" w:rsidTr="00F639C2">
        <w:tc>
          <w:tcPr>
            <w:tcW w:w="8188" w:type="dxa"/>
            <w:shd w:val="clear" w:color="auto" w:fill="auto"/>
            <w:vAlign w:val="center"/>
          </w:tcPr>
          <w:p w14:paraId="02F0C6C6" w14:textId="1302DC6A" w:rsidR="00E5713C" w:rsidRPr="00E42816" w:rsidRDefault="00C57B06" w:rsidP="00F639C2">
            <w:pPr>
              <w:pStyle w:val="CETEquation"/>
              <w:rPr>
                <w:lang w:val="en-US"/>
              </w:rPr>
            </w:pPr>
            <m:oMath>
              <m:d>
                <m:dPr>
                  <m:ctrlPr>
                    <w:rPr>
                      <w:rFonts w:ascii="Cambria Math" w:hAnsi="Cambria Math"/>
                      <w:i/>
                      <w:lang w:val="en-US"/>
                    </w:rPr>
                  </m:ctrlPr>
                </m:dPr>
                <m:e>
                  <m:r>
                    <w:rPr>
                      <w:rFonts w:ascii="Cambria Math" w:hAnsi="Cambria Math"/>
                      <w:lang w:val="en-US"/>
                    </w:rPr>
                    <m:t>-</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β</m:t>
                      </m:r>
                    </m:den>
                  </m:f>
                  <m:sSub>
                    <m:sSubPr>
                      <m:ctrlPr>
                        <w:rPr>
                          <w:rFonts w:ascii="Cambria Math" w:hAnsi="Cambria Math"/>
                          <w:i/>
                          <w:lang w:val="en-US"/>
                        </w:rPr>
                      </m:ctrlPr>
                    </m:sSubPr>
                    <m:e>
                      <m:r>
                        <w:rPr>
                          <w:rFonts w:ascii="Cambria Math" w:hAnsi="Cambria Math"/>
                          <w:lang w:val="en-US"/>
                        </w:rPr>
                        <m:t>ω</m:t>
                      </m:r>
                    </m:e>
                    <m:sub>
                      <m:r>
                        <w:rPr>
                          <w:rFonts w:ascii="Cambria Math" w:hAnsi="Cambria Math"/>
                          <w:lang w:val="en-US"/>
                        </w:rPr>
                        <m:t>h</m:t>
                      </m:r>
                    </m:sub>
                  </m:sSub>
                  <m:acc>
                    <m:accPr>
                      <m:chr m:val="̃"/>
                      <m:ctrlPr>
                        <w:rPr>
                          <w:rFonts w:ascii="Cambria Math" w:hAnsi="Cambria Math"/>
                          <w:lang w:val="en-US"/>
                        </w:rPr>
                      </m:ctrlPr>
                    </m:accPr>
                    <m:e>
                      <m:r>
                        <m:rPr>
                          <m:sty m:val="p"/>
                        </m:rPr>
                        <w:rPr>
                          <w:rFonts w:ascii="Cambria Math" w:hAnsi="Cambria Math"/>
                          <w:lang w:val="en-US"/>
                        </w:rPr>
                        <m:t>∇</m:t>
                      </m:r>
                    </m:e>
                  </m:acc>
                  <m:acc>
                    <m:accPr>
                      <m:chr m:val="̃"/>
                      <m:ctrlPr>
                        <w:rPr>
                          <w:rFonts w:ascii="Cambria Math" w:hAnsi="Cambria Math"/>
                          <w:i/>
                          <w:lang w:val="en-US"/>
                        </w:rPr>
                      </m:ctrlPr>
                    </m:accPr>
                    <m:e>
                      <m:r>
                        <w:rPr>
                          <w:rFonts w:ascii="Cambria Math" w:hAnsi="Cambria Math"/>
                          <w:lang w:val="en-US"/>
                        </w:rPr>
                        <m:t>P</m:t>
                      </m:r>
                    </m:e>
                  </m:acc>
                  <m:r>
                    <w:rPr>
                      <w:rFonts w:ascii="Cambria Math" w:hAnsi="Cambria Math"/>
                      <w:lang w:val="en-US"/>
                    </w:rPr>
                    <m:t>-</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Pe</m:t>
                      </m:r>
                    </m:den>
                  </m:f>
                  <m:acc>
                    <m:accPr>
                      <m:chr m:val="̃"/>
                      <m:ctrlPr>
                        <w:rPr>
                          <w:rFonts w:ascii="Cambria Math" w:hAnsi="Cambria Math"/>
                          <w:i/>
                          <w:lang w:val="en-US"/>
                        </w:rPr>
                      </m:ctrlPr>
                    </m:accPr>
                    <m:e>
                      <m:r>
                        <m:rPr>
                          <m:scr m:val="double-struck"/>
                        </m:rPr>
                        <w:rPr>
                          <w:rFonts w:ascii="Cambria Math" w:hAnsi="Cambria Math"/>
                          <w:lang w:val="en-US"/>
                        </w:rPr>
                        <m:t>D</m:t>
                      </m:r>
                    </m:e>
                  </m:acc>
                  <m:r>
                    <w:rPr>
                      <w:rFonts w:ascii="Cambria Math" w:hAnsi="Cambria Math"/>
                      <w:lang w:val="en-US"/>
                    </w:rPr>
                    <m:t>∙</m:t>
                  </m:r>
                  <m:acc>
                    <m:accPr>
                      <m:chr m:val="̃"/>
                      <m:ctrlPr>
                        <w:rPr>
                          <w:rFonts w:ascii="Cambria Math" w:hAnsi="Cambria Math"/>
                          <w:lang w:val="en-US"/>
                        </w:rPr>
                      </m:ctrlPr>
                    </m:accPr>
                    <m:e>
                      <m:r>
                        <m:rPr>
                          <m:sty m:val="p"/>
                        </m:rPr>
                        <w:rPr>
                          <w:rFonts w:ascii="Cambria Math" w:hAnsi="Cambria Math"/>
                          <w:lang w:val="en-US"/>
                        </w:rPr>
                        <m:t>∇</m:t>
                      </m:r>
                    </m:e>
                  </m:acc>
                  <m:sSub>
                    <m:sSubPr>
                      <m:ctrlPr>
                        <w:rPr>
                          <w:rFonts w:ascii="Cambria Math" w:hAnsi="Cambria Math"/>
                          <w:i/>
                          <w:lang w:val="en-US"/>
                        </w:rPr>
                      </m:ctrlPr>
                    </m:sSubPr>
                    <m:e>
                      <m:r>
                        <w:rPr>
                          <w:rFonts w:ascii="Cambria Math" w:hAnsi="Cambria Math"/>
                          <w:lang w:val="en-US"/>
                        </w:rPr>
                        <m:t>ω</m:t>
                      </m:r>
                    </m:e>
                    <m:sub>
                      <m:r>
                        <w:rPr>
                          <w:rFonts w:ascii="Cambria Math" w:hAnsi="Cambria Math"/>
                          <w:lang w:val="en-US"/>
                        </w:rPr>
                        <m:t>h</m:t>
                      </m:r>
                    </m:sub>
                  </m:sSub>
                </m:e>
              </m:d>
              <m:r>
                <w:rPr>
                  <w:rFonts w:ascii="Cambria Math" w:hAnsi="Cambria Math"/>
                  <w:lang w:val="en-US"/>
                </w:rPr>
                <m:t>∙</m:t>
              </m:r>
              <m:sSub>
                <m:sSubPr>
                  <m:ctrlPr>
                    <w:rPr>
                      <w:rFonts w:ascii="Cambria Math" w:hAnsi="Cambria Math"/>
                      <w:i/>
                      <w:lang w:val="en-US"/>
                    </w:rPr>
                  </m:ctrlPr>
                </m:sSubPr>
                <m:e>
                  <m:r>
                    <m:rPr>
                      <m:sty m:val="b"/>
                    </m:rPr>
                    <w:rPr>
                      <w:rFonts w:ascii="Cambria Math" w:hAnsi="Cambria Math"/>
                      <w:lang w:val="en-US"/>
                    </w:rPr>
                    <m:t>n</m:t>
                  </m:r>
                </m:e>
                <m:sub>
                  <m:r>
                    <w:rPr>
                      <w:rFonts w:ascii="Cambria Math" w:hAnsi="Cambria Math"/>
                      <w:lang w:val="en-US"/>
                    </w:rPr>
                    <m:t>1</m:t>
                  </m:r>
                </m:sub>
              </m:sSub>
              <m:r>
                <w:rPr>
                  <w:rFonts w:ascii="Cambria Math" w:hAnsi="Cambria Math"/>
                  <w:lang w:val="en-US"/>
                </w:rPr>
                <m:t>=γ</m:t>
              </m:r>
              <m:d>
                <m:dPr>
                  <m:ctrlPr>
                    <w:rPr>
                      <w:rFonts w:ascii="Cambria Math" w:hAnsi="Cambria Math"/>
                      <w:i/>
                      <w:lang w:val="en-US"/>
                    </w:rPr>
                  </m:ctrlPr>
                </m:dPr>
                <m:e>
                  <m:rad>
                    <m:radPr>
                      <m:degHide m:val="1"/>
                      <m:ctrlPr>
                        <w:rPr>
                          <w:rFonts w:ascii="Cambria Math" w:hAnsi="Cambria Math"/>
                          <w:i/>
                          <w:lang w:val="en-US"/>
                        </w:rPr>
                      </m:ctrlPr>
                    </m:radPr>
                    <m:deg/>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ω</m:t>
                              </m:r>
                            </m:e>
                            <m:sub>
                              <m:r>
                                <w:rPr>
                                  <w:rFonts w:ascii="Cambria Math" w:hAnsi="Cambria Math"/>
                                  <w:lang w:val="en-US"/>
                                </w:rPr>
                                <m:t>h</m:t>
                              </m:r>
                            </m:sub>
                          </m:sSub>
                        </m:num>
                        <m:den>
                          <m:acc>
                            <m:accPr>
                              <m:chr m:val="̃"/>
                              <m:ctrlPr>
                                <w:rPr>
                                  <w:rFonts w:ascii="Cambria Math" w:hAnsi="Cambria Math"/>
                                  <w:i/>
                                  <w:lang w:val="en-US"/>
                                </w:rPr>
                              </m:ctrlPr>
                            </m:accPr>
                            <m:e>
                              <m:r>
                                <w:rPr>
                                  <w:rFonts w:ascii="Cambria Math" w:hAnsi="Cambria Math"/>
                                  <w:lang w:val="en-US"/>
                                </w:rPr>
                                <m:t>f</m:t>
                              </m:r>
                            </m:e>
                          </m:acc>
                          <m:acc>
                            <m:accPr>
                              <m:chr m:val="̃"/>
                              <m:ctrlPr>
                                <w:rPr>
                                  <w:rFonts w:ascii="Cambria Math" w:hAnsi="Cambria Math"/>
                                  <w:i/>
                                  <w:lang w:val="en-US"/>
                                </w:rPr>
                              </m:ctrlPr>
                            </m:accPr>
                            <m:e>
                              <m:r>
                                <w:rPr>
                                  <w:rFonts w:ascii="Cambria Math" w:hAnsi="Cambria Math"/>
                                  <w:lang w:val="en-US"/>
                                </w:rPr>
                                <m:t>P</m:t>
                              </m:r>
                            </m:e>
                          </m:acc>
                        </m:den>
                      </m:f>
                    </m:e>
                  </m:rad>
                  <m:r>
                    <w:rPr>
                      <w:rFonts w:ascii="Cambria Math" w:hAnsi="Cambria Math"/>
                      <w:lang w:val="en-US"/>
                    </w:rPr>
                    <m:t>-</m:t>
                  </m:r>
                  <m:f>
                    <m:fPr>
                      <m:ctrlPr>
                        <w:rPr>
                          <w:rFonts w:ascii="Cambria Math" w:hAnsi="Cambria Math"/>
                          <w:i/>
                          <w:lang w:val="en-US"/>
                        </w:rPr>
                      </m:ctrlPr>
                    </m:fPr>
                    <m:num>
                      <m:r>
                        <w:rPr>
                          <w:rFonts w:ascii="Cambria Math" w:hAnsi="Cambria Math"/>
                          <w:lang w:val="en-US"/>
                        </w:rPr>
                        <m:t>1</m:t>
                      </m:r>
                    </m:num>
                    <m:den>
                      <m:acc>
                        <m:accPr>
                          <m:chr m:val="̃"/>
                          <m:ctrlPr>
                            <w:rPr>
                              <w:rFonts w:ascii="Cambria Math" w:hAnsi="Cambria Math"/>
                              <w:i/>
                              <w:lang w:val="en-US"/>
                            </w:rPr>
                          </m:ctrlPr>
                        </m:accPr>
                        <m:e>
                          <m:r>
                            <w:rPr>
                              <w:rFonts w:ascii="Cambria Math" w:hAnsi="Cambria Math"/>
                              <w:lang w:val="en-US"/>
                            </w:rPr>
                            <m:t>f</m:t>
                          </m:r>
                        </m:e>
                      </m:acc>
                      <m:acc>
                        <m:accPr>
                          <m:chr m:val="̃"/>
                          <m:ctrlPr>
                            <w:rPr>
                              <w:rFonts w:ascii="Cambria Math" w:hAnsi="Cambria Math"/>
                              <w:i/>
                              <w:lang w:val="en-US"/>
                            </w:rPr>
                          </m:ctrlPr>
                        </m:accPr>
                        <m:e>
                          <m:r>
                            <w:rPr>
                              <w:rFonts w:ascii="Cambria Math" w:hAnsi="Cambria Math"/>
                              <w:lang w:val="en-US"/>
                            </w:rPr>
                            <m:t>P</m:t>
                          </m:r>
                        </m:e>
                      </m:acc>
                    </m:den>
                  </m:f>
                  <m:rad>
                    <m:radPr>
                      <m:degHide m:val="1"/>
                      <m:ctrlPr>
                        <w:rPr>
                          <w:rFonts w:ascii="Cambria Math" w:hAnsi="Cambria Math"/>
                          <w:i/>
                          <w:lang w:val="en-US"/>
                        </w:rPr>
                      </m:ctrlPr>
                    </m:radPr>
                    <m:deg/>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ω</m:t>
                              </m:r>
                            </m:e>
                            <m:sub>
                              <m:r>
                                <w:rPr>
                                  <w:rFonts w:ascii="Cambria Math" w:hAnsi="Cambria Math"/>
                                  <w:lang w:val="en-US"/>
                                </w:rPr>
                                <m:t>p,h</m:t>
                              </m:r>
                            </m:sub>
                          </m:sSub>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f</m:t>
                                  </m:r>
                                </m:e>
                              </m:acc>
                            </m:e>
                            <m:sub>
                              <m:r>
                                <w:rPr>
                                  <w:rFonts w:ascii="Cambria Math" w:hAnsi="Cambria Math"/>
                                  <w:lang w:val="en-US"/>
                                </w:rPr>
                                <m:t>p</m:t>
                              </m:r>
                            </m:sub>
                          </m:sSub>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P</m:t>
                                  </m:r>
                                </m:e>
                              </m:acc>
                            </m:e>
                            <m:sub>
                              <m:r>
                                <w:rPr>
                                  <w:rFonts w:ascii="Cambria Math" w:hAnsi="Cambria Math"/>
                                  <w:lang w:val="en-US"/>
                                </w:rPr>
                                <m:t>p</m:t>
                              </m:r>
                            </m:sub>
                          </m:sSub>
                        </m:num>
                        <m:den>
                          <m:sSub>
                            <m:sSubPr>
                              <m:ctrlPr>
                                <w:rPr>
                                  <w:rFonts w:ascii="Cambria Math" w:hAnsi="Cambria Math"/>
                                  <w:i/>
                                  <w:lang w:val="en-US"/>
                                </w:rPr>
                              </m:ctrlPr>
                            </m:sSubPr>
                            <m:e>
                              <m:r>
                                <w:rPr>
                                  <w:rFonts w:ascii="Cambria Math" w:hAnsi="Cambria Math"/>
                                  <w:lang w:val="en-US"/>
                                </w:rPr>
                                <m:t>W</m:t>
                              </m:r>
                            </m:e>
                            <m:sub>
                              <m:r>
                                <w:rPr>
                                  <w:rFonts w:ascii="Cambria Math" w:hAnsi="Cambria Math"/>
                                  <w:lang w:val="en-US"/>
                                </w:rPr>
                                <m:t>h</m:t>
                              </m:r>
                            </m:sub>
                          </m:sSub>
                        </m:den>
                      </m:f>
                    </m:e>
                  </m:rad>
                </m:e>
              </m:d>
            </m:oMath>
            <w:r w:rsidR="002327F3" w:rsidRPr="00E42816">
              <w:rPr>
                <w:lang w:val="en-US"/>
              </w:rPr>
              <w:t xml:space="preserve"> </w:t>
            </w:r>
            <w:r w:rsidR="00C14C63" w:rsidRPr="00E42816">
              <w:rPr>
                <w:lang w:val="en-US"/>
              </w:rPr>
              <w:t xml:space="preserve">  ; </w:t>
            </w:r>
            <m:oMath>
              <m:d>
                <m:dPr>
                  <m:ctrlPr>
                    <w:rPr>
                      <w:rFonts w:ascii="Cambria Math" w:hAnsi="Cambria Math"/>
                      <w:i/>
                      <w:lang w:val="en-US"/>
                    </w:rPr>
                  </m:ctrlPr>
                </m:dPr>
                <m:e>
                  <m:r>
                    <w:rPr>
                      <w:rFonts w:ascii="Cambria Math" w:hAnsi="Cambria Math"/>
                      <w:lang w:val="en-US"/>
                    </w:rPr>
                    <m:t>-</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β</m:t>
                      </m:r>
                    </m:den>
                  </m:f>
                  <m:sSub>
                    <m:sSubPr>
                      <m:ctrlPr>
                        <w:rPr>
                          <w:rFonts w:ascii="Cambria Math" w:hAnsi="Cambria Math"/>
                          <w:i/>
                          <w:lang w:val="en-US"/>
                        </w:rPr>
                      </m:ctrlPr>
                    </m:sSubPr>
                    <m:e>
                      <m:r>
                        <w:rPr>
                          <w:rFonts w:ascii="Cambria Math" w:hAnsi="Cambria Math"/>
                          <w:lang w:val="en-US"/>
                        </w:rPr>
                        <m:t>ω</m:t>
                      </m:r>
                    </m:e>
                    <m:sub>
                      <m:r>
                        <w:rPr>
                          <w:rFonts w:ascii="Cambria Math" w:hAnsi="Cambria Math"/>
                          <w:lang w:val="en-US"/>
                        </w:rPr>
                        <m:t>h</m:t>
                      </m:r>
                    </m:sub>
                  </m:sSub>
                  <m:acc>
                    <m:accPr>
                      <m:chr m:val="̃"/>
                      <m:ctrlPr>
                        <w:rPr>
                          <w:rFonts w:ascii="Cambria Math" w:hAnsi="Cambria Math"/>
                          <w:lang w:val="en-US"/>
                        </w:rPr>
                      </m:ctrlPr>
                    </m:accPr>
                    <m:e>
                      <m:r>
                        <m:rPr>
                          <m:sty m:val="p"/>
                        </m:rPr>
                        <w:rPr>
                          <w:rFonts w:ascii="Cambria Math" w:hAnsi="Cambria Math"/>
                          <w:lang w:val="en-US"/>
                        </w:rPr>
                        <m:t>∇</m:t>
                      </m:r>
                    </m:e>
                  </m:acc>
                  <m:acc>
                    <m:accPr>
                      <m:chr m:val="̃"/>
                      <m:ctrlPr>
                        <w:rPr>
                          <w:rFonts w:ascii="Cambria Math" w:hAnsi="Cambria Math"/>
                          <w:i/>
                          <w:lang w:val="en-US"/>
                        </w:rPr>
                      </m:ctrlPr>
                    </m:accPr>
                    <m:e>
                      <m:r>
                        <w:rPr>
                          <w:rFonts w:ascii="Cambria Math" w:hAnsi="Cambria Math"/>
                          <w:lang w:val="en-US"/>
                        </w:rPr>
                        <m:t>P</m:t>
                      </m:r>
                    </m:e>
                  </m:acc>
                </m:e>
              </m:d>
              <m:r>
                <w:rPr>
                  <w:rFonts w:ascii="Cambria Math" w:hAnsi="Cambria Math"/>
                  <w:lang w:val="en-US"/>
                </w:rPr>
                <m:t>∙</m:t>
              </m:r>
              <m:sSub>
                <m:sSubPr>
                  <m:ctrlPr>
                    <w:rPr>
                      <w:rFonts w:ascii="Cambria Math" w:hAnsi="Cambria Math"/>
                      <w:i/>
                      <w:lang w:val="en-US"/>
                    </w:rPr>
                  </m:ctrlPr>
                </m:sSubPr>
                <m:e>
                  <m:r>
                    <m:rPr>
                      <m:sty m:val="b"/>
                    </m:rPr>
                    <w:rPr>
                      <w:rFonts w:ascii="Cambria Math" w:hAnsi="Cambria Math"/>
                      <w:lang w:val="en-US"/>
                    </w:rPr>
                    <m:t>n</m:t>
                  </m:r>
                </m:e>
                <m:sub>
                  <m:r>
                    <w:rPr>
                      <w:rFonts w:ascii="Cambria Math" w:hAnsi="Cambria Math"/>
                      <w:lang w:val="en-US"/>
                    </w:rPr>
                    <m:t>1</m:t>
                  </m:r>
                </m:sub>
              </m:sSub>
              <m:r>
                <w:rPr>
                  <w:rFonts w:ascii="Cambria Math" w:hAnsi="Cambria Math"/>
                  <w:lang w:val="en-US"/>
                </w:rPr>
                <m:t>=γ</m:t>
              </m:r>
              <m:d>
                <m:dPr>
                  <m:ctrlPr>
                    <w:rPr>
                      <w:rFonts w:ascii="Cambria Math" w:hAnsi="Cambria Math"/>
                      <w:i/>
                      <w:lang w:val="en-US"/>
                    </w:rPr>
                  </m:ctrlPr>
                </m:dPr>
                <m:e>
                  <m:rad>
                    <m:radPr>
                      <m:degHide m:val="1"/>
                      <m:ctrlPr>
                        <w:rPr>
                          <w:rFonts w:ascii="Cambria Math" w:hAnsi="Cambria Math"/>
                          <w:i/>
                          <w:lang w:val="en-US"/>
                        </w:rPr>
                      </m:ctrlPr>
                    </m:radPr>
                    <m:deg/>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ω</m:t>
                              </m:r>
                            </m:e>
                            <m:sub>
                              <m:r>
                                <w:rPr>
                                  <w:rFonts w:ascii="Cambria Math" w:hAnsi="Cambria Math"/>
                                  <w:lang w:val="en-US"/>
                                </w:rPr>
                                <m:t>h</m:t>
                              </m:r>
                            </m:sub>
                          </m:sSub>
                        </m:num>
                        <m:den>
                          <m:acc>
                            <m:accPr>
                              <m:chr m:val="̃"/>
                              <m:ctrlPr>
                                <w:rPr>
                                  <w:rFonts w:ascii="Cambria Math" w:hAnsi="Cambria Math"/>
                                  <w:i/>
                                  <w:lang w:val="en-US"/>
                                </w:rPr>
                              </m:ctrlPr>
                            </m:accPr>
                            <m:e>
                              <m:r>
                                <w:rPr>
                                  <w:rFonts w:ascii="Cambria Math" w:hAnsi="Cambria Math"/>
                                  <w:lang w:val="en-US"/>
                                </w:rPr>
                                <m:t>f</m:t>
                              </m:r>
                            </m:e>
                          </m:acc>
                          <m:acc>
                            <m:accPr>
                              <m:chr m:val="̃"/>
                              <m:ctrlPr>
                                <w:rPr>
                                  <w:rFonts w:ascii="Cambria Math" w:hAnsi="Cambria Math"/>
                                  <w:i/>
                                  <w:lang w:val="en-US"/>
                                </w:rPr>
                              </m:ctrlPr>
                            </m:accPr>
                            <m:e>
                              <m:r>
                                <w:rPr>
                                  <w:rFonts w:ascii="Cambria Math" w:hAnsi="Cambria Math"/>
                                  <w:lang w:val="en-US"/>
                                </w:rPr>
                                <m:t>P</m:t>
                              </m:r>
                            </m:e>
                          </m:acc>
                        </m:den>
                      </m:f>
                    </m:e>
                  </m:rad>
                  <m:r>
                    <w:rPr>
                      <w:rFonts w:ascii="Cambria Math" w:hAnsi="Cambria Math"/>
                      <w:lang w:val="en-US"/>
                    </w:rPr>
                    <m:t>-</m:t>
                  </m:r>
                  <m:f>
                    <m:fPr>
                      <m:ctrlPr>
                        <w:rPr>
                          <w:rFonts w:ascii="Cambria Math" w:hAnsi="Cambria Math"/>
                          <w:i/>
                          <w:lang w:val="en-US"/>
                        </w:rPr>
                      </m:ctrlPr>
                    </m:fPr>
                    <m:num>
                      <m:r>
                        <w:rPr>
                          <w:rFonts w:ascii="Cambria Math" w:hAnsi="Cambria Math"/>
                          <w:lang w:val="en-US"/>
                        </w:rPr>
                        <m:t>1</m:t>
                      </m:r>
                    </m:num>
                    <m:den>
                      <m:acc>
                        <m:accPr>
                          <m:chr m:val="̃"/>
                          <m:ctrlPr>
                            <w:rPr>
                              <w:rFonts w:ascii="Cambria Math" w:hAnsi="Cambria Math"/>
                              <w:i/>
                              <w:lang w:val="en-US"/>
                            </w:rPr>
                          </m:ctrlPr>
                        </m:accPr>
                        <m:e>
                          <m:r>
                            <w:rPr>
                              <w:rFonts w:ascii="Cambria Math" w:hAnsi="Cambria Math"/>
                              <w:lang w:val="en-US"/>
                            </w:rPr>
                            <m:t>f</m:t>
                          </m:r>
                        </m:e>
                      </m:acc>
                      <m:acc>
                        <m:accPr>
                          <m:chr m:val="̃"/>
                          <m:ctrlPr>
                            <w:rPr>
                              <w:rFonts w:ascii="Cambria Math" w:hAnsi="Cambria Math"/>
                              <w:i/>
                              <w:lang w:val="en-US"/>
                            </w:rPr>
                          </m:ctrlPr>
                        </m:accPr>
                        <m:e>
                          <m:r>
                            <w:rPr>
                              <w:rFonts w:ascii="Cambria Math" w:hAnsi="Cambria Math"/>
                              <w:lang w:val="en-US"/>
                            </w:rPr>
                            <m:t>P</m:t>
                          </m:r>
                        </m:e>
                      </m:acc>
                    </m:den>
                  </m:f>
                  <m:rad>
                    <m:radPr>
                      <m:degHide m:val="1"/>
                      <m:ctrlPr>
                        <w:rPr>
                          <w:rFonts w:ascii="Cambria Math" w:hAnsi="Cambria Math"/>
                          <w:i/>
                          <w:lang w:val="en-US"/>
                        </w:rPr>
                      </m:ctrlPr>
                    </m:radPr>
                    <m:deg/>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ω</m:t>
                              </m:r>
                            </m:e>
                            <m:sub>
                              <m:r>
                                <w:rPr>
                                  <w:rFonts w:ascii="Cambria Math" w:hAnsi="Cambria Math"/>
                                  <w:lang w:val="en-US"/>
                                </w:rPr>
                                <m:t>p,h</m:t>
                              </m:r>
                            </m:sub>
                          </m:sSub>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f</m:t>
                                  </m:r>
                                </m:e>
                              </m:acc>
                            </m:e>
                            <m:sub>
                              <m:r>
                                <w:rPr>
                                  <w:rFonts w:ascii="Cambria Math" w:hAnsi="Cambria Math"/>
                                  <w:lang w:val="en-US"/>
                                </w:rPr>
                                <m:t>p</m:t>
                              </m:r>
                            </m:sub>
                          </m:sSub>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P</m:t>
                                  </m:r>
                                </m:e>
                              </m:acc>
                            </m:e>
                            <m:sub>
                              <m:r>
                                <w:rPr>
                                  <w:rFonts w:ascii="Cambria Math" w:hAnsi="Cambria Math"/>
                                  <w:lang w:val="en-US"/>
                                </w:rPr>
                                <m:t>p</m:t>
                              </m:r>
                            </m:sub>
                          </m:sSub>
                        </m:num>
                        <m:den>
                          <m:sSub>
                            <m:sSubPr>
                              <m:ctrlPr>
                                <w:rPr>
                                  <w:rFonts w:ascii="Cambria Math" w:hAnsi="Cambria Math"/>
                                  <w:i/>
                                  <w:lang w:val="en-US"/>
                                </w:rPr>
                              </m:ctrlPr>
                            </m:sSubPr>
                            <m:e>
                              <m:r>
                                <w:rPr>
                                  <w:rFonts w:ascii="Cambria Math" w:hAnsi="Cambria Math"/>
                                  <w:lang w:val="en-US"/>
                                </w:rPr>
                                <m:t>W</m:t>
                              </m:r>
                            </m:e>
                            <m:sub>
                              <m:r>
                                <w:rPr>
                                  <w:rFonts w:ascii="Cambria Math" w:hAnsi="Cambria Math"/>
                                  <w:lang w:val="en-US"/>
                                </w:rPr>
                                <m:t>h</m:t>
                              </m:r>
                            </m:sub>
                          </m:sSub>
                        </m:den>
                      </m:f>
                    </m:e>
                  </m:rad>
                </m:e>
              </m:d>
            </m:oMath>
          </w:p>
        </w:tc>
        <w:tc>
          <w:tcPr>
            <w:tcW w:w="815" w:type="dxa"/>
            <w:shd w:val="clear" w:color="auto" w:fill="auto"/>
            <w:vAlign w:val="center"/>
          </w:tcPr>
          <w:p w14:paraId="6A065858" w14:textId="7612EFAD" w:rsidR="00E5713C" w:rsidRPr="00E42816" w:rsidRDefault="00E5713C" w:rsidP="00F639C2">
            <w:pPr>
              <w:pStyle w:val="CETEquation"/>
              <w:jc w:val="right"/>
              <w:rPr>
                <w:lang w:val="en-US"/>
              </w:rPr>
            </w:pPr>
            <w:r w:rsidRPr="00E42816">
              <w:rPr>
                <w:lang w:val="en-US"/>
              </w:rPr>
              <w:t>(6)</w:t>
            </w:r>
          </w:p>
        </w:tc>
      </w:tr>
    </w:tbl>
    <w:p w14:paraId="282E4147" w14:textId="77777777" w:rsidR="006B2FC4" w:rsidRPr="00E42816" w:rsidRDefault="006B2FC4" w:rsidP="00CE2A99">
      <w:pPr>
        <w:pStyle w:val="CETBodytext"/>
        <w:rPr>
          <w:sz w:val="16"/>
          <w:szCs w:val="16"/>
        </w:rPr>
      </w:pPr>
    </w:p>
    <w:p w14:paraId="699054E0" w14:textId="674DA134" w:rsidR="00E5713C" w:rsidRPr="00E42816" w:rsidRDefault="00D458F6" w:rsidP="00CE2A99">
      <w:pPr>
        <w:pStyle w:val="CETBodytext"/>
      </w:pPr>
      <w:r w:rsidRPr="00E42816">
        <w:t xml:space="preserve">in </w:t>
      </w:r>
      <m:oMath>
        <m:acc>
          <m:accPr>
            <m:chr m:val="̃"/>
            <m:ctrlPr>
              <w:rPr>
                <w:rFonts w:ascii="Cambria Math" w:hAnsi="Cambria Math"/>
                <w:i/>
              </w:rPr>
            </m:ctrlPr>
          </m:accPr>
          <m:e>
            <m:r>
              <w:rPr>
                <w:rFonts w:ascii="Cambria Math" w:hAnsi="Cambria Math"/>
              </w:rPr>
              <m:t>r</m:t>
            </m:r>
          </m:e>
        </m:acc>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oMath>
    </w:p>
    <w:tbl>
      <w:tblPr>
        <w:tblW w:w="5000" w:type="pct"/>
        <w:tblLook w:val="04A0" w:firstRow="1" w:lastRow="0" w:firstColumn="1" w:lastColumn="0" w:noHBand="0" w:noVBand="1"/>
      </w:tblPr>
      <w:tblGrid>
        <w:gridCol w:w="7983"/>
        <w:gridCol w:w="804"/>
      </w:tblGrid>
      <w:tr w:rsidR="00E5713C" w:rsidRPr="00E42816" w14:paraId="3E2D91E8" w14:textId="77777777" w:rsidTr="00F639C2">
        <w:tc>
          <w:tcPr>
            <w:tcW w:w="8188" w:type="dxa"/>
            <w:shd w:val="clear" w:color="auto" w:fill="auto"/>
            <w:vAlign w:val="center"/>
          </w:tcPr>
          <w:p w14:paraId="665C33C4" w14:textId="7053577A" w:rsidR="00E5713C" w:rsidRPr="00E42816" w:rsidRDefault="00C57B06" w:rsidP="00F639C2">
            <w:pPr>
              <w:pStyle w:val="CETEquation"/>
              <w:rPr>
                <w:lang w:val="en-US"/>
              </w:rPr>
            </w:pPr>
            <m:oMath>
              <m:d>
                <m:dPr>
                  <m:ctrlPr>
                    <w:rPr>
                      <w:rFonts w:ascii="Cambria Math" w:hAnsi="Cambria Math"/>
                      <w:i/>
                      <w:lang w:val="en-US"/>
                    </w:rPr>
                  </m:ctrlPr>
                </m:dPr>
                <m:e>
                  <m:r>
                    <w:rPr>
                      <w:rFonts w:ascii="Cambria Math" w:hAnsi="Cambria Math"/>
                      <w:lang w:val="en-US"/>
                    </w:rPr>
                    <m:t>-</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β</m:t>
                      </m:r>
                    </m:den>
                  </m:f>
                  <m:sSub>
                    <m:sSubPr>
                      <m:ctrlPr>
                        <w:rPr>
                          <w:rFonts w:ascii="Cambria Math" w:hAnsi="Cambria Math"/>
                          <w:i/>
                          <w:lang w:val="en-US"/>
                        </w:rPr>
                      </m:ctrlPr>
                    </m:sSubPr>
                    <m:e>
                      <m:r>
                        <w:rPr>
                          <w:rFonts w:ascii="Cambria Math" w:hAnsi="Cambria Math"/>
                          <w:lang w:val="en-US"/>
                        </w:rPr>
                        <m:t>ω</m:t>
                      </m:r>
                    </m:e>
                    <m:sub>
                      <m:r>
                        <w:rPr>
                          <w:rFonts w:ascii="Cambria Math" w:hAnsi="Cambria Math"/>
                          <w:lang w:val="en-US"/>
                        </w:rPr>
                        <m:t>h</m:t>
                      </m:r>
                    </m:sub>
                  </m:sSub>
                  <m:acc>
                    <m:accPr>
                      <m:chr m:val="̃"/>
                      <m:ctrlPr>
                        <w:rPr>
                          <w:rFonts w:ascii="Cambria Math" w:hAnsi="Cambria Math"/>
                          <w:lang w:val="en-US"/>
                        </w:rPr>
                      </m:ctrlPr>
                    </m:accPr>
                    <m:e>
                      <m:r>
                        <m:rPr>
                          <m:sty m:val="p"/>
                        </m:rPr>
                        <w:rPr>
                          <w:rFonts w:ascii="Cambria Math" w:hAnsi="Cambria Math"/>
                          <w:lang w:val="en-US"/>
                        </w:rPr>
                        <m:t>∇</m:t>
                      </m:r>
                    </m:e>
                  </m:acc>
                  <m:acc>
                    <m:accPr>
                      <m:chr m:val="̃"/>
                      <m:ctrlPr>
                        <w:rPr>
                          <w:rFonts w:ascii="Cambria Math" w:hAnsi="Cambria Math"/>
                          <w:i/>
                          <w:lang w:val="en-US"/>
                        </w:rPr>
                      </m:ctrlPr>
                    </m:accPr>
                    <m:e>
                      <m:r>
                        <w:rPr>
                          <w:rFonts w:ascii="Cambria Math" w:hAnsi="Cambria Math"/>
                          <w:lang w:val="en-US"/>
                        </w:rPr>
                        <m:t>P</m:t>
                      </m:r>
                    </m:e>
                  </m:acc>
                  <m:r>
                    <w:rPr>
                      <w:rFonts w:ascii="Cambria Math" w:hAnsi="Cambria Math"/>
                      <w:lang w:val="en-US"/>
                    </w:rPr>
                    <m:t>-</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Pe</m:t>
                      </m:r>
                    </m:den>
                  </m:f>
                  <m:acc>
                    <m:accPr>
                      <m:chr m:val="̃"/>
                      <m:ctrlPr>
                        <w:rPr>
                          <w:rFonts w:ascii="Cambria Math" w:hAnsi="Cambria Math"/>
                          <w:i/>
                          <w:lang w:val="en-US"/>
                        </w:rPr>
                      </m:ctrlPr>
                    </m:accPr>
                    <m:e>
                      <m:r>
                        <m:rPr>
                          <m:scr m:val="double-struck"/>
                        </m:rPr>
                        <w:rPr>
                          <w:rFonts w:ascii="Cambria Math" w:hAnsi="Cambria Math"/>
                          <w:lang w:val="en-US"/>
                        </w:rPr>
                        <m:t>D</m:t>
                      </m:r>
                    </m:e>
                  </m:acc>
                  <m:r>
                    <w:rPr>
                      <w:rFonts w:ascii="Cambria Math" w:hAnsi="Cambria Math"/>
                      <w:lang w:val="en-US"/>
                    </w:rPr>
                    <m:t>∙</m:t>
                  </m:r>
                  <m:acc>
                    <m:accPr>
                      <m:chr m:val="̃"/>
                      <m:ctrlPr>
                        <w:rPr>
                          <w:rFonts w:ascii="Cambria Math" w:hAnsi="Cambria Math"/>
                          <w:lang w:val="en-US"/>
                        </w:rPr>
                      </m:ctrlPr>
                    </m:accPr>
                    <m:e>
                      <m:r>
                        <m:rPr>
                          <m:sty m:val="p"/>
                        </m:rPr>
                        <w:rPr>
                          <w:rFonts w:ascii="Cambria Math" w:hAnsi="Cambria Math"/>
                          <w:lang w:val="en-US"/>
                        </w:rPr>
                        <m:t>∇</m:t>
                      </m:r>
                    </m:e>
                  </m:acc>
                  <m:sSub>
                    <m:sSubPr>
                      <m:ctrlPr>
                        <w:rPr>
                          <w:rFonts w:ascii="Cambria Math" w:hAnsi="Cambria Math"/>
                          <w:i/>
                          <w:lang w:val="en-US"/>
                        </w:rPr>
                      </m:ctrlPr>
                    </m:sSubPr>
                    <m:e>
                      <m:r>
                        <w:rPr>
                          <w:rFonts w:ascii="Cambria Math" w:hAnsi="Cambria Math"/>
                          <w:lang w:val="en-US"/>
                        </w:rPr>
                        <m:t>ω</m:t>
                      </m:r>
                    </m:e>
                    <m:sub>
                      <m:r>
                        <w:rPr>
                          <w:rFonts w:ascii="Cambria Math" w:hAnsi="Cambria Math"/>
                          <w:lang w:val="en-US"/>
                        </w:rPr>
                        <m:t>h</m:t>
                      </m:r>
                    </m:sub>
                  </m:sSub>
                </m:e>
              </m:d>
              <m:r>
                <w:rPr>
                  <w:rFonts w:ascii="Cambria Math" w:hAnsi="Cambria Math"/>
                  <w:lang w:val="en-US"/>
                </w:rPr>
                <m:t>∙</m:t>
              </m:r>
              <m:sSub>
                <m:sSubPr>
                  <m:ctrlPr>
                    <w:rPr>
                      <w:rFonts w:ascii="Cambria Math" w:hAnsi="Cambria Math"/>
                      <w:i/>
                      <w:lang w:val="en-US"/>
                    </w:rPr>
                  </m:ctrlPr>
                </m:sSubPr>
                <m:e>
                  <m:r>
                    <m:rPr>
                      <m:sty m:val="b"/>
                    </m:rPr>
                    <w:rPr>
                      <w:rFonts w:ascii="Cambria Math" w:hAnsi="Cambria Math"/>
                      <w:lang w:val="en-US"/>
                    </w:rPr>
                    <m:t>n</m:t>
                  </m:r>
                </m:e>
                <m:sub>
                  <m:r>
                    <w:rPr>
                      <w:rFonts w:ascii="Cambria Math" w:hAnsi="Cambria Math"/>
                      <w:lang w:val="en-US"/>
                    </w:rPr>
                    <m:t>2</m:t>
                  </m:r>
                </m:sub>
              </m:sSub>
              <m:r>
                <w:rPr>
                  <w:rFonts w:ascii="Cambria Math" w:hAnsi="Cambria Math"/>
                  <w:lang w:val="en-US"/>
                </w:rPr>
                <m:t>=0</m:t>
              </m:r>
            </m:oMath>
            <w:r w:rsidR="00C14C63" w:rsidRPr="00E42816">
              <w:rPr>
                <w:lang w:val="en-US"/>
              </w:rPr>
              <w:t xml:space="preserve">    ;    </w:t>
            </w:r>
            <m:oMath>
              <m:acc>
                <m:accPr>
                  <m:chr m:val="̃"/>
                  <m:ctrlPr>
                    <w:rPr>
                      <w:rFonts w:ascii="Cambria Math" w:hAnsi="Cambria Math"/>
                      <w:lang w:val="en-US"/>
                    </w:rPr>
                  </m:ctrlPr>
                </m:accPr>
                <m:e>
                  <m:r>
                    <m:rPr>
                      <m:sty m:val="p"/>
                    </m:rPr>
                    <w:rPr>
                      <w:rFonts w:ascii="Cambria Math" w:hAnsi="Cambria Math"/>
                      <w:lang w:val="en-US"/>
                    </w:rPr>
                    <m:t>∇</m:t>
                  </m:r>
                </m:e>
              </m:acc>
              <m:acc>
                <m:accPr>
                  <m:chr m:val="̃"/>
                  <m:ctrlPr>
                    <w:rPr>
                      <w:rFonts w:ascii="Cambria Math" w:hAnsi="Cambria Math"/>
                      <w:i/>
                      <w:lang w:val="en-US"/>
                    </w:rPr>
                  </m:ctrlPr>
                </m:accPr>
                <m:e>
                  <m:r>
                    <w:rPr>
                      <w:rFonts w:ascii="Cambria Math" w:hAnsi="Cambria Math"/>
                      <w:lang w:val="en-US"/>
                    </w:rPr>
                    <m:t>P</m:t>
                  </m:r>
                </m:e>
              </m:acc>
              <m:r>
                <w:rPr>
                  <w:rFonts w:ascii="Cambria Math" w:hAnsi="Cambria Math"/>
                  <w:lang w:val="en-US"/>
                </w:rPr>
                <m:t>∙</m:t>
              </m:r>
              <m:sSub>
                <m:sSubPr>
                  <m:ctrlPr>
                    <w:rPr>
                      <w:rFonts w:ascii="Cambria Math" w:hAnsi="Cambria Math"/>
                      <w:i/>
                      <w:lang w:val="en-US"/>
                    </w:rPr>
                  </m:ctrlPr>
                </m:sSubPr>
                <m:e>
                  <m:r>
                    <m:rPr>
                      <m:sty m:val="b"/>
                    </m:rPr>
                    <w:rPr>
                      <w:rFonts w:ascii="Cambria Math" w:hAnsi="Cambria Math"/>
                      <w:lang w:val="en-US"/>
                    </w:rPr>
                    <m:t>n</m:t>
                  </m:r>
                </m:e>
                <m:sub>
                  <m:r>
                    <w:rPr>
                      <w:rFonts w:ascii="Cambria Math" w:hAnsi="Cambria Math"/>
                      <w:lang w:val="en-US"/>
                    </w:rPr>
                    <m:t>2</m:t>
                  </m:r>
                </m:sub>
              </m:sSub>
              <m:r>
                <w:rPr>
                  <w:rFonts w:ascii="Cambria Math" w:hAnsi="Cambria Math"/>
                  <w:lang w:val="en-US"/>
                </w:rPr>
                <m:t>=0</m:t>
              </m:r>
            </m:oMath>
          </w:p>
        </w:tc>
        <w:tc>
          <w:tcPr>
            <w:tcW w:w="815" w:type="dxa"/>
            <w:shd w:val="clear" w:color="auto" w:fill="auto"/>
            <w:vAlign w:val="center"/>
          </w:tcPr>
          <w:p w14:paraId="7A3AD5EB" w14:textId="6417C748" w:rsidR="00E5713C" w:rsidRPr="00E42816" w:rsidRDefault="00E5713C" w:rsidP="00F639C2">
            <w:pPr>
              <w:pStyle w:val="CETEquation"/>
              <w:jc w:val="right"/>
              <w:rPr>
                <w:lang w:val="en-US"/>
              </w:rPr>
            </w:pPr>
            <w:r w:rsidRPr="00E42816">
              <w:rPr>
                <w:lang w:val="en-US"/>
              </w:rPr>
              <w:t>(</w:t>
            </w:r>
            <w:r w:rsidR="00C14C63" w:rsidRPr="00E42816">
              <w:rPr>
                <w:lang w:val="en-US"/>
              </w:rPr>
              <w:t>7</w:t>
            </w:r>
            <w:r w:rsidRPr="00E42816">
              <w:rPr>
                <w:lang w:val="en-US"/>
              </w:rPr>
              <w:t>)</w:t>
            </w:r>
          </w:p>
        </w:tc>
      </w:tr>
    </w:tbl>
    <w:p w14:paraId="18848405" w14:textId="7CB5D344" w:rsidR="00E5713C" w:rsidRPr="00E42816" w:rsidRDefault="00E5713C" w:rsidP="00CE2A99">
      <w:pPr>
        <w:pStyle w:val="CETBodytext"/>
        <w:rPr>
          <w:sz w:val="16"/>
          <w:szCs w:val="16"/>
        </w:rPr>
      </w:pPr>
    </w:p>
    <w:p w14:paraId="6676E22B" w14:textId="4252B370" w:rsidR="00E5713C" w:rsidRPr="00E42816" w:rsidRDefault="0029190E" w:rsidP="00CE2A99">
      <w:pPr>
        <w:pStyle w:val="CETBodytext"/>
      </w:pPr>
      <w:r w:rsidRPr="00E42816">
        <w:t xml:space="preserve">In the above equations, </w:t>
      </w:r>
      <w:r w:rsidRPr="00E42816">
        <w:rPr>
          <w:b/>
        </w:rPr>
        <w:t>n</w:t>
      </w:r>
      <w:r w:rsidRPr="00E42816">
        <w:rPr>
          <w:b/>
          <w:vertAlign w:val="subscript"/>
        </w:rPr>
        <w:t>1</w:t>
      </w:r>
      <w:r w:rsidRPr="00E42816">
        <w:t xml:space="preserve"> and </w:t>
      </w:r>
      <w:r w:rsidRPr="00E42816">
        <w:rPr>
          <w:b/>
        </w:rPr>
        <w:t>n</w:t>
      </w:r>
      <w:r w:rsidRPr="00E42816">
        <w:rPr>
          <w:b/>
          <w:vertAlign w:val="subscript"/>
        </w:rPr>
        <w:t>2</w:t>
      </w:r>
      <w:r w:rsidRPr="00E42816">
        <w:t xml:space="preserve"> are local unit vectors normal to the surface and oriented outward the reaction volume, and the following dimensionless groups appear</w:t>
      </w:r>
    </w:p>
    <w:tbl>
      <w:tblPr>
        <w:tblW w:w="5000" w:type="pct"/>
        <w:tblLook w:val="04A0" w:firstRow="1" w:lastRow="0" w:firstColumn="1" w:lastColumn="0" w:noHBand="0" w:noVBand="1"/>
      </w:tblPr>
      <w:tblGrid>
        <w:gridCol w:w="7979"/>
        <w:gridCol w:w="808"/>
      </w:tblGrid>
      <w:tr w:rsidR="00E42816" w:rsidRPr="00E42816" w14:paraId="6F8AE7D6" w14:textId="77777777" w:rsidTr="006B2FC4">
        <w:tc>
          <w:tcPr>
            <w:tcW w:w="7970" w:type="dxa"/>
            <w:shd w:val="clear" w:color="auto" w:fill="auto"/>
            <w:vAlign w:val="center"/>
          </w:tcPr>
          <w:p w14:paraId="67BF8516" w14:textId="020F2C75" w:rsidR="0029190E" w:rsidRPr="00E42816" w:rsidRDefault="0029190E" w:rsidP="0029190E">
            <w:pPr>
              <w:pStyle w:val="CETEquation"/>
              <w:jc w:val="both"/>
              <w:rPr>
                <w:lang w:val="en-US"/>
              </w:rPr>
            </w:pPr>
            <m:oMathPara>
              <m:oMathParaPr>
                <m:jc m:val="left"/>
              </m:oMathParaPr>
              <m:oMath>
                <m:r>
                  <w:rPr>
                    <w:rFonts w:ascii="Cambria Math" w:hAnsi="Cambria Math"/>
                    <w:lang w:val="en-US"/>
                  </w:rPr>
                  <m:t>β=</m:t>
                </m:r>
                <m:f>
                  <m:fPr>
                    <m:ctrlPr>
                      <w:rPr>
                        <w:rFonts w:ascii="Cambria Math" w:hAnsi="Cambria Math"/>
                        <w:i/>
                        <w:lang w:val="en-US"/>
                      </w:rPr>
                    </m:ctrlPr>
                  </m:fPr>
                  <m:num>
                    <m:r>
                      <w:rPr>
                        <w:rFonts w:ascii="Cambria Math" w:hAnsi="Cambria Math"/>
                        <w:lang w:val="en-US"/>
                      </w:rPr>
                      <m:t>κ</m:t>
                    </m:r>
                  </m:num>
                  <m:den>
                    <m:r>
                      <w:rPr>
                        <w:rFonts w:ascii="Cambria Math" w:hAnsi="Cambria Math"/>
                        <w:lang w:val="en-US"/>
                      </w:rPr>
                      <m:t>μ</m:t>
                    </m:r>
                  </m:den>
                </m:f>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atm</m:t>
                        </m:r>
                      </m:sub>
                    </m:sSub>
                  </m:num>
                  <m:den>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1</m:t>
                        </m:r>
                      </m:sub>
                    </m:sSub>
                    <m:r>
                      <w:rPr>
                        <w:rFonts w:ascii="Cambria Math" w:hAnsi="Cambria Math"/>
                        <w:lang w:val="en-US"/>
                      </w:rPr>
                      <m:t>U</m:t>
                    </m:r>
                  </m:den>
                </m:f>
              </m:oMath>
            </m:oMathPara>
          </w:p>
        </w:tc>
        <w:tc>
          <w:tcPr>
            <w:tcW w:w="807" w:type="dxa"/>
            <w:shd w:val="clear" w:color="auto" w:fill="auto"/>
            <w:vAlign w:val="center"/>
          </w:tcPr>
          <w:p w14:paraId="39619481" w14:textId="47848063" w:rsidR="0029190E" w:rsidRPr="00E42816" w:rsidRDefault="0029190E" w:rsidP="00F639C2">
            <w:pPr>
              <w:pStyle w:val="CETEquation"/>
              <w:jc w:val="right"/>
              <w:rPr>
                <w:lang w:val="en-US"/>
              </w:rPr>
            </w:pPr>
            <w:r w:rsidRPr="00E42816">
              <w:rPr>
                <w:lang w:val="en-US"/>
              </w:rPr>
              <w:t>(</w:t>
            </w:r>
            <w:r w:rsidR="00C14C63" w:rsidRPr="00E42816">
              <w:rPr>
                <w:lang w:val="en-US"/>
              </w:rPr>
              <w:t>8</w:t>
            </w:r>
            <w:r w:rsidRPr="00E42816">
              <w:rPr>
                <w:lang w:val="en-US"/>
              </w:rPr>
              <w:t>)</w:t>
            </w:r>
          </w:p>
        </w:tc>
      </w:tr>
    </w:tbl>
    <w:p w14:paraId="71EE8DB6" w14:textId="26C6BAC3" w:rsidR="0029190E" w:rsidRPr="00E42816" w:rsidRDefault="006B2FC4" w:rsidP="00CE2A99">
      <w:pPr>
        <w:pStyle w:val="CETBodytext"/>
      </w:pPr>
      <w:r w:rsidRPr="00E42816">
        <w:t xml:space="preserve">which represents the ratio between the characteristic and inlet </w:t>
      </w:r>
      <w:proofErr w:type="gramStart"/>
      <w:r w:rsidRPr="00E42816">
        <w:t>velocities</w:t>
      </w:r>
      <w:proofErr w:type="gramEnd"/>
    </w:p>
    <w:p w14:paraId="30F788CF" w14:textId="77777777" w:rsidR="006B2FC4" w:rsidRPr="00E42816" w:rsidRDefault="006B2FC4" w:rsidP="00CE2A99">
      <w:pPr>
        <w:pStyle w:val="CETBodytext"/>
        <w:rPr>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gridCol w:w="4389"/>
      </w:tblGrid>
      <w:tr w:rsidR="00E42816" w:rsidRPr="00E42816" w14:paraId="48810FE7" w14:textId="77777777" w:rsidTr="006B2FC4">
        <w:tc>
          <w:tcPr>
            <w:tcW w:w="4388" w:type="dxa"/>
            <w:vAlign w:val="center"/>
          </w:tcPr>
          <w:p w14:paraId="35099503" w14:textId="357FF264" w:rsidR="006B2FC4" w:rsidRPr="00E42816" w:rsidRDefault="006B2FC4" w:rsidP="006B2FC4">
            <w:pPr>
              <w:pStyle w:val="CETBodytext"/>
            </w:pPr>
            <m:oMathPara>
              <m:oMathParaPr>
                <m:jc m:val="left"/>
              </m:oMathParaPr>
              <m:oMath>
                <m:r>
                  <w:rPr>
                    <w:rFonts w:ascii="Cambria Math" w:hAnsi="Cambria Math"/>
                  </w:rPr>
                  <m:t>γ=</m:t>
                </m:r>
                <m:f>
                  <m:fPr>
                    <m:ctrlPr>
                      <w:rPr>
                        <w:rFonts w:ascii="Cambria Math" w:hAnsi="Cambria Math"/>
                        <w:i/>
                      </w:rPr>
                    </m:ctrlPr>
                  </m:fPr>
                  <m:num>
                    <m:sSub>
                      <m:sSubPr>
                        <m:ctrlPr>
                          <w:rPr>
                            <w:rFonts w:ascii="Cambria Math" w:hAnsi="Cambria Math"/>
                            <w:i/>
                          </w:rPr>
                        </m:ctrlPr>
                      </m:sSubPr>
                      <m:e>
                        <m:r>
                          <m:rPr>
                            <m:scr m:val="double-struck"/>
                          </m:rPr>
                          <w:rPr>
                            <w:rFonts w:ascii="Cambria Math" w:hAnsi="Cambria Math"/>
                          </w:rPr>
                          <m:t>P</m:t>
                        </m:r>
                      </m:e>
                      <m:sub>
                        <m:r>
                          <w:rPr>
                            <w:rFonts w:ascii="Cambria Math" w:hAnsi="Cambria Math"/>
                          </w:rPr>
                          <m:t>m</m:t>
                        </m:r>
                      </m:sub>
                    </m:sSub>
                    <m:r>
                      <m:rPr>
                        <m:scr m:val="script"/>
                      </m:rPr>
                      <w:rPr>
                        <w:rFonts w:ascii="Cambria Math" w:hAnsi="Cambria Math"/>
                      </w:rPr>
                      <m:t>R</m:t>
                    </m:r>
                    <m:r>
                      <w:rPr>
                        <w:rFonts w:ascii="Cambria Math" w:hAnsi="Cambria Math"/>
                      </w:rPr>
                      <m:t>T</m:t>
                    </m:r>
                    <m:sSubSup>
                      <m:sSubSupPr>
                        <m:ctrlPr>
                          <w:rPr>
                            <w:rFonts w:ascii="Cambria Math" w:hAnsi="Cambria Math"/>
                            <w:i/>
                          </w:rPr>
                        </m:ctrlPr>
                      </m:sSubSupPr>
                      <m:e>
                        <m:r>
                          <w:rPr>
                            <w:rFonts w:ascii="Cambria Math" w:hAnsi="Cambria Math"/>
                          </w:rPr>
                          <m:t>P</m:t>
                        </m:r>
                      </m:e>
                      <m:sub>
                        <m:r>
                          <w:rPr>
                            <w:rFonts w:ascii="Cambria Math" w:hAnsi="Cambria Math"/>
                          </w:rPr>
                          <m:t>atm</m:t>
                        </m:r>
                      </m:sub>
                      <m:sup>
                        <m:r>
                          <w:rPr>
                            <w:rFonts w:ascii="Cambria Math" w:hAnsi="Cambria Math"/>
                          </w:rPr>
                          <m:t>-1/2</m:t>
                        </m:r>
                      </m:sup>
                    </m:sSubSup>
                  </m:num>
                  <m:den>
                    <m:sSub>
                      <m:sSubPr>
                        <m:ctrlPr>
                          <w:rPr>
                            <w:rFonts w:ascii="Cambria Math" w:hAnsi="Cambria Math"/>
                            <w:i/>
                          </w:rPr>
                        </m:ctrlPr>
                      </m:sSubPr>
                      <m:e>
                        <m:r>
                          <w:rPr>
                            <w:rFonts w:ascii="Cambria Math" w:hAnsi="Cambria Math"/>
                          </w:rPr>
                          <m:t>W</m:t>
                        </m:r>
                      </m:e>
                      <m:sub>
                        <m:r>
                          <w:rPr>
                            <w:rFonts w:ascii="Cambria Math" w:hAnsi="Cambria Math"/>
                          </w:rPr>
                          <m:t>h</m:t>
                        </m:r>
                      </m:sub>
                    </m:sSub>
                    <m:r>
                      <w:rPr>
                        <w:rFonts w:ascii="Cambria Math" w:hAnsi="Cambria Math"/>
                      </w:rPr>
                      <m:t>U</m:t>
                    </m:r>
                  </m:den>
                </m:f>
              </m:oMath>
            </m:oMathPara>
          </w:p>
        </w:tc>
        <w:tc>
          <w:tcPr>
            <w:tcW w:w="4389" w:type="dxa"/>
          </w:tcPr>
          <w:p w14:paraId="4BA65E6B" w14:textId="09B703C5" w:rsidR="006B2FC4" w:rsidRPr="00E42816" w:rsidRDefault="006B2FC4" w:rsidP="006B2FC4">
            <w:pPr>
              <w:pStyle w:val="CETBodytext"/>
              <w:jc w:val="right"/>
            </w:pPr>
            <w:r w:rsidRPr="00E42816">
              <w:t>(</w:t>
            </w:r>
            <w:r w:rsidR="00C14C63" w:rsidRPr="00E42816">
              <w:t>9</w:t>
            </w:r>
            <w:r w:rsidRPr="00E42816">
              <w:t>)</w:t>
            </w:r>
          </w:p>
        </w:tc>
      </w:tr>
    </w:tbl>
    <w:p w14:paraId="0281E77E" w14:textId="45A8F025" w:rsidR="006B2FC4" w:rsidRPr="00E42816" w:rsidRDefault="006B2FC4" w:rsidP="00CE2A99">
      <w:pPr>
        <w:pStyle w:val="CETBodytext"/>
      </w:pPr>
      <w:r w:rsidRPr="00E42816">
        <w:t xml:space="preserve">the dimensionless permeability parameter, where </w:t>
      </w:r>
      <m:oMath>
        <m:sSub>
          <m:sSubPr>
            <m:ctrlPr>
              <w:rPr>
                <w:rFonts w:ascii="Cambria Math" w:hAnsi="Cambria Math"/>
                <w:i/>
              </w:rPr>
            </m:ctrlPr>
          </m:sSubPr>
          <m:e>
            <m:r>
              <m:rPr>
                <m:scr m:val="double-struck"/>
              </m:rPr>
              <w:rPr>
                <w:rFonts w:ascii="Cambria Math" w:hAnsi="Cambria Math"/>
              </w:rPr>
              <m:t>P</m:t>
            </m:r>
          </m:e>
          <m:sub>
            <m:r>
              <w:rPr>
                <w:rFonts w:ascii="Cambria Math" w:hAnsi="Cambria Math"/>
              </w:rPr>
              <m:t>m</m:t>
            </m:r>
          </m:sub>
        </m:sSub>
      </m:oMath>
      <w:r w:rsidRPr="00E42816">
        <w:t xml:space="preserve"> is the membrane permeability and </w:t>
      </w:r>
      <m:oMath>
        <m:r>
          <m:rPr>
            <m:scr m:val="script"/>
          </m:rPr>
          <w:rPr>
            <w:rFonts w:ascii="Cambria Math" w:hAnsi="Cambria Math"/>
          </w:rPr>
          <m:t>R</m:t>
        </m:r>
      </m:oMath>
      <w:r w:rsidRPr="00E42816">
        <w:t xml:space="preserve"> is the gas constant</w:t>
      </w:r>
    </w:p>
    <w:p w14:paraId="7D11967A" w14:textId="77777777" w:rsidR="006B2FC4" w:rsidRPr="00E42816" w:rsidRDefault="006B2FC4" w:rsidP="00CE2A99">
      <w:pPr>
        <w:pStyle w:val="CETBodytext"/>
        <w:rPr>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gridCol w:w="4389"/>
      </w:tblGrid>
      <w:tr w:rsidR="00E42816" w:rsidRPr="00E42816" w14:paraId="555A827E" w14:textId="77777777" w:rsidTr="006B2FC4">
        <w:tc>
          <w:tcPr>
            <w:tcW w:w="4388" w:type="dxa"/>
            <w:vAlign w:val="center"/>
          </w:tcPr>
          <w:p w14:paraId="419F57AF" w14:textId="26707D1A" w:rsidR="006B2FC4" w:rsidRPr="00E42816" w:rsidRDefault="006B2FC4" w:rsidP="006B2FC4">
            <w:pPr>
              <w:pStyle w:val="CETBodytext"/>
            </w:pPr>
            <m:oMathPara>
              <m:oMathParaPr>
                <m:jc m:val="left"/>
              </m:oMathParaPr>
              <m:oMath>
                <m:r>
                  <w:rPr>
                    <w:rFonts w:ascii="Cambria Math" w:hAnsi="Cambria Math"/>
                  </w:rPr>
                  <m:t>Pe=</m:t>
                </m:r>
                <m:f>
                  <m:fPr>
                    <m:ctrlPr>
                      <w:rPr>
                        <w:rFonts w:ascii="Cambria Math" w:hAnsi="Cambria Math"/>
                        <w:i/>
                      </w:rPr>
                    </m:ctrlPr>
                  </m:fPr>
                  <m:num>
                    <m:r>
                      <w:rPr>
                        <w:rFonts w:ascii="Cambria Math" w:hAnsi="Cambria Math"/>
                      </w:rPr>
                      <m:t>UR</m:t>
                    </m:r>
                  </m:num>
                  <m:den>
                    <m:r>
                      <m:rPr>
                        <m:scr m:val="script"/>
                      </m:rPr>
                      <w:rPr>
                        <w:rFonts w:ascii="Cambria Math" w:hAnsi="Cambria Math"/>
                      </w:rPr>
                      <m:t>D</m:t>
                    </m:r>
                  </m:den>
                </m:f>
              </m:oMath>
            </m:oMathPara>
          </w:p>
        </w:tc>
        <w:tc>
          <w:tcPr>
            <w:tcW w:w="4389" w:type="dxa"/>
          </w:tcPr>
          <w:p w14:paraId="18F3A054" w14:textId="39EE7A38" w:rsidR="006B2FC4" w:rsidRPr="00E42816" w:rsidRDefault="006B2FC4" w:rsidP="006B2FC4">
            <w:pPr>
              <w:pStyle w:val="CETBodytext"/>
              <w:jc w:val="right"/>
            </w:pPr>
            <w:r w:rsidRPr="00E42816">
              <w:t>(1</w:t>
            </w:r>
            <w:r w:rsidR="00C14C63" w:rsidRPr="00E42816">
              <w:t>0</w:t>
            </w:r>
            <w:r w:rsidRPr="00E42816">
              <w:t>)</w:t>
            </w:r>
          </w:p>
        </w:tc>
      </w:tr>
    </w:tbl>
    <w:p w14:paraId="720B9FE1" w14:textId="25C5EEB6" w:rsidR="006B2FC4" w:rsidRPr="00E42816" w:rsidRDefault="006B2FC4" w:rsidP="005B1AFB">
      <w:pPr>
        <w:pStyle w:val="CETEquation"/>
        <w:jc w:val="both"/>
        <w:rPr>
          <w:lang w:val="en-US"/>
        </w:rPr>
      </w:pPr>
      <w:r w:rsidRPr="00E42816">
        <w:rPr>
          <w:lang w:val="en-US"/>
        </w:rPr>
        <w:t xml:space="preserve">the molecular </w:t>
      </w:r>
      <w:proofErr w:type="spellStart"/>
      <w:r w:rsidRPr="00E42816">
        <w:rPr>
          <w:lang w:val="en-US"/>
        </w:rPr>
        <w:t>Péclet</w:t>
      </w:r>
      <w:proofErr w:type="spellEnd"/>
      <w:r w:rsidRPr="00E42816">
        <w:rPr>
          <w:lang w:val="en-US"/>
        </w:rPr>
        <w:t xml:space="preserve"> number, </w:t>
      </w:r>
      <w:r w:rsidR="001118ED" w:rsidRPr="00E42816">
        <w:rPr>
          <w:lang w:val="en-US"/>
        </w:rPr>
        <w:t xml:space="preserve">where </w:t>
      </w:r>
      <m:oMath>
        <m:r>
          <m:rPr>
            <m:scr m:val="script"/>
            <m:sty m:val="p"/>
          </m:rPr>
          <w:rPr>
            <w:rFonts w:ascii="Cambria Math" w:hAnsi="Cambria Math"/>
            <w:lang w:val="en-US"/>
          </w:rPr>
          <m:t>D</m:t>
        </m:r>
      </m:oMath>
      <w:r w:rsidRPr="00E42816">
        <w:rPr>
          <w:lang w:val="en-US"/>
        </w:rPr>
        <w:t xml:space="preserve"> is the molecular diffusivity. </w:t>
      </w:r>
      <w:r w:rsidRPr="00E42816">
        <w:t xml:space="preserve">The effective </w:t>
      </w:r>
      <w:proofErr w:type="spellStart"/>
      <w:r w:rsidRPr="00E42816">
        <w:t>Péclet</w:t>
      </w:r>
      <w:proofErr w:type="spellEnd"/>
      <w:r w:rsidRPr="00E42816">
        <w:t xml:space="preserve"> number is defined</w:t>
      </w:r>
      <w:r w:rsidR="005B1AFB" w:rsidRPr="00E42816">
        <w:t xml:space="preserve"> as</w:t>
      </w:r>
      <w:r w:rsidRPr="00E42816">
        <w:t xml:space="preserve"> </w:t>
      </w:r>
    </w:p>
    <w:p w14:paraId="73816267" w14:textId="77777777" w:rsidR="006B2FC4" w:rsidRPr="00E42816" w:rsidRDefault="006B2FC4" w:rsidP="006B2FC4">
      <w:pPr>
        <w:pStyle w:val="CETBodytext"/>
        <w:rPr>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702"/>
      </w:tblGrid>
      <w:tr w:rsidR="006B2FC4" w:rsidRPr="00E42816" w14:paraId="50A49302" w14:textId="77777777" w:rsidTr="006B2FC4">
        <w:tc>
          <w:tcPr>
            <w:tcW w:w="8075" w:type="dxa"/>
            <w:vAlign w:val="center"/>
          </w:tcPr>
          <w:p w14:paraId="4E432831" w14:textId="62FB141F" w:rsidR="006B2FC4" w:rsidRPr="00E42816" w:rsidRDefault="00C57B06" w:rsidP="006B2FC4">
            <w:pPr>
              <w:pStyle w:val="CETBodytext"/>
              <w:jc w:val="left"/>
            </w:pPr>
            <m:oMath>
              <m:sSub>
                <m:sSubPr>
                  <m:ctrlPr>
                    <w:rPr>
                      <w:rFonts w:ascii="Cambria Math" w:hAnsi="Cambria Math"/>
                      <w:i/>
                    </w:rPr>
                  </m:ctrlPr>
                </m:sSubPr>
                <m:e>
                  <m:r>
                    <w:rPr>
                      <w:rFonts w:ascii="Cambria Math" w:hAnsi="Cambria Math"/>
                    </w:rPr>
                    <m:t>Pe</m:t>
                  </m:r>
                </m:e>
                <m:sub>
                  <m:r>
                    <w:rPr>
                      <w:rFonts w:ascii="Cambria Math" w:hAnsi="Cambria Math"/>
                    </w:rPr>
                    <m:t>eff</m:t>
                  </m:r>
                </m:sub>
              </m:sSub>
              <m:r>
                <w:rPr>
                  <w:rFonts w:ascii="Cambria Math" w:hAnsi="Cambria Math"/>
                </w:rPr>
                <m:t>,z=</m:t>
              </m:r>
              <m:f>
                <m:fPr>
                  <m:ctrlPr>
                    <w:rPr>
                      <w:rFonts w:ascii="Cambria Math" w:hAnsi="Cambria Math"/>
                      <w:i/>
                    </w:rPr>
                  </m:ctrlPr>
                </m:fPr>
                <m:num>
                  <m:r>
                    <w:rPr>
                      <w:rFonts w:ascii="Cambria Math" w:hAnsi="Cambria Math"/>
                    </w:rPr>
                    <m:t>UR</m:t>
                  </m:r>
                </m:num>
                <m:den>
                  <m:sSub>
                    <m:sSubPr>
                      <m:ctrlPr>
                        <w:rPr>
                          <w:rFonts w:ascii="Cambria Math" w:hAnsi="Cambria Math"/>
                          <w:i/>
                        </w:rPr>
                      </m:ctrlPr>
                    </m:sSubPr>
                    <m:e>
                      <m:r>
                        <m:rPr>
                          <m:scr m:val="double-struck"/>
                        </m:rPr>
                        <w:rPr>
                          <w:rFonts w:ascii="Cambria Math" w:hAnsi="Cambria Math"/>
                        </w:rPr>
                        <m:t>D</m:t>
                      </m:r>
                    </m:e>
                    <m:sub>
                      <m:r>
                        <w:rPr>
                          <w:rFonts w:ascii="Cambria Math" w:hAnsi="Cambria Math"/>
                        </w:rPr>
                        <m:t>zz</m:t>
                      </m:r>
                    </m:sub>
                  </m:sSub>
                </m:den>
              </m:f>
            </m:oMath>
            <w:r w:rsidR="006B2FC4" w:rsidRPr="00E42816">
              <w:t xml:space="preserve">    ;    </w:t>
            </w:r>
            <m:oMath>
              <m:sSub>
                <m:sSubPr>
                  <m:ctrlPr>
                    <w:rPr>
                      <w:rFonts w:ascii="Cambria Math" w:hAnsi="Cambria Math"/>
                      <w:i/>
                    </w:rPr>
                  </m:ctrlPr>
                </m:sSubPr>
                <m:e>
                  <m:r>
                    <w:rPr>
                      <w:rFonts w:ascii="Cambria Math" w:hAnsi="Cambria Math"/>
                    </w:rPr>
                    <m:t>Pe</m:t>
                  </m:r>
                </m:e>
                <m:sub>
                  <m:r>
                    <w:rPr>
                      <w:rFonts w:ascii="Cambria Math" w:hAnsi="Cambria Math"/>
                    </w:rPr>
                    <m:t>eff</m:t>
                  </m:r>
                </m:sub>
              </m:sSub>
              <m:r>
                <w:rPr>
                  <w:rFonts w:ascii="Cambria Math" w:hAnsi="Cambria Math"/>
                </w:rPr>
                <m:t>,r=</m:t>
              </m:r>
              <m:f>
                <m:fPr>
                  <m:ctrlPr>
                    <w:rPr>
                      <w:rFonts w:ascii="Cambria Math" w:hAnsi="Cambria Math"/>
                      <w:i/>
                    </w:rPr>
                  </m:ctrlPr>
                </m:fPr>
                <m:num>
                  <m:r>
                    <w:rPr>
                      <w:rFonts w:ascii="Cambria Math" w:hAnsi="Cambria Math"/>
                    </w:rPr>
                    <m:t>UR</m:t>
                  </m:r>
                </m:num>
                <m:den>
                  <m:sSub>
                    <m:sSubPr>
                      <m:ctrlPr>
                        <w:rPr>
                          <w:rFonts w:ascii="Cambria Math" w:hAnsi="Cambria Math"/>
                          <w:i/>
                        </w:rPr>
                      </m:ctrlPr>
                    </m:sSubPr>
                    <m:e>
                      <m:r>
                        <m:rPr>
                          <m:scr m:val="double-struck"/>
                        </m:rPr>
                        <w:rPr>
                          <w:rFonts w:ascii="Cambria Math" w:hAnsi="Cambria Math"/>
                        </w:rPr>
                        <m:t>D</m:t>
                      </m:r>
                    </m:e>
                    <m:sub>
                      <m:r>
                        <w:rPr>
                          <w:rFonts w:ascii="Cambria Math" w:hAnsi="Cambria Math"/>
                        </w:rPr>
                        <m:t>rr</m:t>
                      </m:r>
                    </m:sub>
                  </m:sSub>
                </m:den>
              </m:f>
            </m:oMath>
          </w:p>
        </w:tc>
        <w:tc>
          <w:tcPr>
            <w:tcW w:w="702" w:type="dxa"/>
          </w:tcPr>
          <w:p w14:paraId="0169BDD7" w14:textId="2A40F8E8" w:rsidR="006B2FC4" w:rsidRPr="00E42816" w:rsidRDefault="006B2FC4" w:rsidP="00F639C2">
            <w:pPr>
              <w:pStyle w:val="CETBodytext"/>
              <w:jc w:val="right"/>
            </w:pPr>
            <w:r w:rsidRPr="00E42816">
              <w:t>(1</w:t>
            </w:r>
            <w:r w:rsidR="00C14C63" w:rsidRPr="00E42816">
              <w:t>1</w:t>
            </w:r>
            <w:r w:rsidRPr="00E42816">
              <w:t>)</w:t>
            </w:r>
          </w:p>
        </w:tc>
      </w:tr>
    </w:tbl>
    <w:p w14:paraId="7695073A" w14:textId="234828FE" w:rsidR="006B2FC4" w:rsidRPr="00E42816" w:rsidRDefault="006B2FC4" w:rsidP="006B2FC4">
      <w:pPr>
        <w:pStyle w:val="CETBodytext"/>
        <w:rPr>
          <w:sz w:val="16"/>
          <w:szCs w:val="16"/>
        </w:rPr>
      </w:pPr>
    </w:p>
    <w:p w14:paraId="2259702B" w14:textId="5E0A5A7B" w:rsidR="006B2FC4" w:rsidRPr="00E42816" w:rsidRDefault="00C14C63" w:rsidP="006B2FC4">
      <w:pPr>
        <w:pStyle w:val="CETBodytext"/>
      </w:pPr>
      <w:r w:rsidRPr="00E42816">
        <w:t>Since</w:t>
      </w:r>
      <w:r w:rsidR="006B2FC4" w:rsidRPr="00E42816">
        <w:t xml:space="preserve"> the foam </w:t>
      </w:r>
      <w:proofErr w:type="gramStart"/>
      <w:r w:rsidR="00067D8E" w:rsidRPr="00E42816">
        <w:t>was</w:t>
      </w:r>
      <w:r w:rsidR="006B2FC4" w:rsidRPr="00E42816">
        <w:t xml:space="preserve"> considered to be</w:t>
      </w:r>
      <w:proofErr w:type="gramEnd"/>
      <w:r w:rsidR="006B2FC4" w:rsidRPr="00E42816">
        <w:t xml:space="preserve"> isotropic</w:t>
      </w:r>
      <w:r w:rsidRPr="00E42816">
        <w:t>,</w:t>
      </w:r>
      <w:r w:rsidR="003E189A" w:rsidRPr="00E42816">
        <w:t xml:space="preserve"> </w:t>
      </w:r>
      <m:oMath>
        <m:sSub>
          <m:sSubPr>
            <m:ctrlPr>
              <w:rPr>
                <w:rFonts w:ascii="Cambria Math" w:hAnsi="Cambria Math"/>
                <w:i/>
              </w:rPr>
            </m:ctrlPr>
          </m:sSubPr>
          <m:e>
            <m:r>
              <m:rPr>
                <m:scr m:val="double-struck"/>
              </m:rPr>
              <w:rPr>
                <w:rFonts w:ascii="Cambria Math" w:hAnsi="Cambria Math"/>
              </w:rPr>
              <m:t>D</m:t>
            </m:r>
          </m:e>
          <m:sub>
            <m:r>
              <w:rPr>
                <w:rFonts w:ascii="Cambria Math" w:hAnsi="Cambria Math"/>
              </w:rPr>
              <m:t>zz</m:t>
            </m:r>
          </m:sub>
        </m:sSub>
      </m:oMath>
      <w:r w:rsidR="003E189A" w:rsidRPr="00E42816">
        <w:t>=</w:t>
      </w:r>
      <m:oMath>
        <m:sSub>
          <m:sSubPr>
            <m:ctrlPr>
              <w:rPr>
                <w:rFonts w:ascii="Cambria Math" w:hAnsi="Cambria Math"/>
                <w:i/>
              </w:rPr>
            </m:ctrlPr>
          </m:sSubPr>
          <m:e>
            <m:r>
              <m:rPr>
                <m:scr m:val="double-struck"/>
              </m:rPr>
              <w:rPr>
                <w:rFonts w:ascii="Cambria Math" w:hAnsi="Cambria Math"/>
              </w:rPr>
              <m:t>D</m:t>
            </m:r>
          </m:e>
          <m:sub>
            <m:r>
              <w:rPr>
                <w:rFonts w:ascii="Cambria Math" w:hAnsi="Cambria Math"/>
              </w:rPr>
              <m:t>rr</m:t>
            </m:r>
          </m:sub>
        </m:sSub>
      </m:oMath>
      <w:r w:rsidR="003E189A" w:rsidRPr="00E42816">
        <w:t xml:space="preserve"> and </w:t>
      </w:r>
      <m:oMath>
        <m:sSub>
          <m:sSubPr>
            <m:ctrlPr>
              <w:rPr>
                <w:rFonts w:ascii="Cambria Math" w:hAnsi="Cambria Math"/>
                <w:i/>
              </w:rPr>
            </m:ctrlPr>
          </m:sSubPr>
          <m:e>
            <m:r>
              <w:rPr>
                <w:rFonts w:ascii="Cambria Math" w:hAnsi="Cambria Math"/>
              </w:rPr>
              <m:t>Pe</m:t>
            </m:r>
          </m:e>
          <m:sub>
            <m:r>
              <w:rPr>
                <w:rFonts w:ascii="Cambria Math" w:hAnsi="Cambria Math"/>
              </w:rPr>
              <m:t>eff,z</m:t>
            </m:r>
          </m:sub>
        </m:sSub>
        <m:r>
          <w:rPr>
            <w:rFonts w:ascii="Cambria Math" w:hAnsi="Cambria Math"/>
          </w:rPr>
          <m:t>=</m:t>
        </m:r>
        <m:sSub>
          <m:sSubPr>
            <m:ctrlPr>
              <w:rPr>
                <w:rFonts w:ascii="Cambria Math" w:hAnsi="Cambria Math"/>
                <w:i/>
              </w:rPr>
            </m:ctrlPr>
          </m:sSubPr>
          <m:e>
            <m:r>
              <w:rPr>
                <w:rFonts w:ascii="Cambria Math" w:hAnsi="Cambria Math"/>
              </w:rPr>
              <m:t>Pe</m:t>
            </m:r>
          </m:e>
          <m:sub>
            <m:r>
              <w:rPr>
                <w:rFonts w:ascii="Cambria Math" w:hAnsi="Cambria Math"/>
              </w:rPr>
              <m:t>eff,r</m:t>
            </m:r>
          </m:sub>
        </m:sSub>
      </m:oMath>
      <w:r w:rsidR="002327F3" w:rsidRPr="00E42816">
        <w:t>.</w:t>
      </w:r>
    </w:p>
    <w:p w14:paraId="3CBF9C04" w14:textId="5CDBBDB1" w:rsidR="00E26BD4" w:rsidRPr="00E42816" w:rsidRDefault="00E26BD4" w:rsidP="00E26BD4">
      <w:pPr>
        <w:pStyle w:val="CETHeading1"/>
      </w:pPr>
      <w:r w:rsidRPr="00E42816">
        <w:t>Results and discussion</w:t>
      </w:r>
    </w:p>
    <w:p w14:paraId="750917E6" w14:textId="360A43A1" w:rsidR="00A26848" w:rsidRPr="00E42816" w:rsidRDefault="00A26848" w:rsidP="00A26848">
      <w:pPr>
        <w:pStyle w:val="CETBodytext"/>
      </w:pPr>
      <w:r w:rsidRPr="00E42816">
        <w:t xml:space="preserve">The results of the fitting procedure are summarized in Table 3. As shown in Figure </w:t>
      </w:r>
      <w:r w:rsidR="005B1AFB" w:rsidRPr="00E42816">
        <w:t>2</w:t>
      </w:r>
      <w:r w:rsidRPr="00E42816">
        <w:t xml:space="preserve">, a linear correlation was found between the molecular and effective </w:t>
      </w:r>
      <w:proofErr w:type="spellStart"/>
      <w:r w:rsidRPr="00E42816">
        <w:t>Péclet</w:t>
      </w:r>
      <w:proofErr w:type="spellEnd"/>
      <w:r w:rsidRPr="00E42816">
        <w:t xml:space="preserve"> numbers, which for the foams tested, could be described by </w:t>
      </w:r>
    </w:p>
    <w:p w14:paraId="6AEE87B3" w14:textId="77777777" w:rsidR="00A26848" w:rsidRPr="00E42816" w:rsidRDefault="00A26848" w:rsidP="00A26848">
      <w:pPr>
        <w:pStyle w:val="CETBodytext"/>
        <w:rPr>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702"/>
      </w:tblGrid>
      <w:tr w:rsidR="00A26848" w:rsidRPr="00E42816" w14:paraId="418EA62C" w14:textId="77777777" w:rsidTr="00A26848">
        <w:tc>
          <w:tcPr>
            <w:tcW w:w="8075" w:type="dxa"/>
          </w:tcPr>
          <w:p w14:paraId="761C2C2E" w14:textId="40F8E4FF" w:rsidR="00A26848" w:rsidRPr="00E42816" w:rsidRDefault="00C57B06" w:rsidP="00A26848">
            <w:pPr>
              <w:pStyle w:val="CETBodytext"/>
            </w:pPr>
            <m:oMathPara>
              <m:oMathParaPr>
                <m:jc m:val="left"/>
              </m:oMathParaPr>
              <m:oMath>
                <m:sSub>
                  <m:sSubPr>
                    <m:ctrlPr>
                      <w:rPr>
                        <w:rFonts w:ascii="Cambria Math" w:hAnsi="Cambria Math"/>
                        <w:i/>
                      </w:rPr>
                    </m:ctrlPr>
                  </m:sSubPr>
                  <m:e>
                    <m:r>
                      <w:rPr>
                        <w:rFonts w:ascii="Cambria Math" w:hAnsi="Cambria Math"/>
                      </w:rPr>
                      <m:t>Pe</m:t>
                    </m:r>
                  </m:e>
                  <m:sub>
                    <m:r>
                      <w:rPr>
                        <w:rFonts w:ascii="Cambria Math" w:hAnsi="Cambria Math"/>
                      </w:rPr>
                      <m:t>eff</m:t>
                    </m:r>
                  </m:sub>
                </m:sSub>
                <m:r>
                  <w:rPr>
                    <w:rFonts w:ascii="Cambria Math" w:hAnsi="Cambria Math"/>
                  </w:rPr>
                  <m:t>=0.24Pe+1.53</m:t>
                </m:r>
              </m:oMath>
            </m:oMathPara>
          </w:p>
        </w:tc>
        <w:tc>
          <w:tcPr>
            <w:tcW w:w="702" w:type="dxa"/>
          </w:tcPr>
          <w:p w14:paraId="31D7DEE4" w14:textId="6218B696" w:rsidR="00A26848" w:rsidRPr="00E42816" w:rsidRDefault="00A26848" w:rsidP="00A26848">
            <w:pPr>
              <w:pStyle w:val="CETBodytext"/>
              <w:jc w:val="right"/>
            </w:pPr>
            <w:r w:rsidRPr="00E42816">
              <w:t>(1</w:t>
            </w:r>
            <w:r w:rsidR="00C14C63" w:rsidRPr="00E42816">
              <w:t>2</w:t>
            </w:r>
            <w:r w:rsidRPr="00E42816">
              <w:t>)</w:t>
            </w:r>
          </w:p>
        </w:tc>
      </w:tr>
    </w:tbl>
    <w:p w14:paraId="572069B3" w14:textId="1045D220" w:rsidR="00A26848" w:rsidRPr="00E42816" w:rsidRDefault="00A26848" w:rsidP="00A26848">
      <w:pPr>
        <w:pStyle w:val="CETBodytext"/>
        <w:rPr>
          <w:sz w:val="16"/>
          <w:szCs w:val="16"/>
        </w:rPr>
      </w:pPr>
    </w:p>
    <w:p w14:paraId="619AC760" w14:textId="3B03F6A7" w:rsidR="00A26848" w:rsidRPr="00E42816" w:rsidRDefault="00A26848" w:rsidP="00A26848">
      <w:pPr>
        <w:pStyle w:val="CETBodytext"/>
      </w:pPr>
      <w:r w:rsidRPr="00E42816">
        <w:t xml:space="preserve">Figure </w:t>
      </w:r>
      <w:r w:rsidR="005B1AFB" w:rsidRPr="00E42816">
        <w:t>3</w:t>
      </w:r>
      <w:r w:rsidRPr="00E42816">
        <w:t xml:space="preserve"> shows, for the range of </w:t>
      </w:r>
      <w:r w:rsidRPr="00E42816">
        <w:rPr>
          <w:i/>
        </w:rPr>
        <w:t xml:space="preserve">Pe </w:t>
      </w:r>
      <w:r w:rsidRPr="00E42816">
        <w:t xml:space="preserve">investigated, a comparison between the </w:t>
      </w:r>
      <w:proofErr w:type="spellStart"/>
      <w:r w:rsidRPr="00E42816">
        <w:rPr>
          <w:i/>
        </w:rPr>
        <w:t>Pe</w:t>
      </w:r>
      <w:r w:rsidRPr="00E42816">
        <w:rPr>
          <w:i/>
          <w:vertAlign w:val="subscript"/>
        </w:rPr>
        <w:t>eff</w:t>
      </w:r>
      <w:proofErr w:type="spellEnd"/>
      <w:r w:rsidRPr="00E42816">
        <w:t xml:space="preserve"> obtained in the present work for solid foams and the corresponding values, in the axial and radial directions, evaluated for a packed bed</w:t>
      </w:r>
      <w:r w:rsidR="00F20877" w:rsidRPr="00E42816">
        <w:t xml:space="preserve"> through the correlation proposed by Delgado (2006)</w:t>
      </w:r>
      <w:r w:rsidR="0023120B" w:rsidRPr="00E42816">
        <w:t>, as described by Eqs (13):</w:t>
      </w:r>
    </w:p>
    <w:p w14:paraId="72AEE369" w14:textId="77777777" w:rsidR="00F20877" w:rsidRPr="00E42816" w:rsidRDefault="00F20877" w:rsidP="00A26848">
      <w:pPr>
        <w:pStyle w:val="CETBodytext"/>
        <w:rPr>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702"/>
      </w:tblGrid>
      <w:tr w:rsidR="00F20877" w:rsidRPr="00E42816" w14:paraId="78C8B080" w14:textId="77777777" w:rsidTr="008543F4">
        <w:tc>
          <w:tcPr>
            <w:tcW w:w="8075" w:type="dxa"/>
          </w:tcPr>
          <w:p w14:paraId="42097ABE" w14:textId="75650A5F" w:rsidR="00F20877" w:rsidRPr="00E42816" w:rsidRDefault="00C57B06" w:rsidP="008543F4">
            <w:pPr>
              <w:pStyle w:val="CETBodytext"/>
            </w:pPr>
            <m:oMath>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Pe</m:t>
                      </m:r>
                    </m:e>
                    <m:sub>
                      <m:r>
                        <w:rPr>
                          <w:rFonts w:ascii="Cambria Math" w:hAnsi="Cambria Math"/>
                        </w:rPr>
                        <m:t>eff,z</m:t>
                      </m:r>
                    </m:sub>
                  </m:sSub>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τ</m:t>
                  </m:r>
                </m:den>
              </m:f>
              <m:f>
                <m:fPr>
                  <m:ctrlPr>
                    <w:rPr>
                      <w:rFonts w:ascii="Cambria Math" w:hAnsi="Cambria Math"/>
                      <w:i/>
                    </w:rPr>
                  </m:ctrlPr>
                </m:fPr>
                <m:num>
                  <m:r>
                    <w:rPr>
                      <w:rFonts w:ascii="Cambria Math" w:hAnsi="Cambria Math"/>
                    </w:rPr>
                    <m:t>1</m:t>
                  </m:r>
                </m:num>
                <m:den>
                  <m:r>
                    <w:rPr>
                      <w:rFonts w:ascii="Cambria Math" w:hAnsi="Cambria Math"/>
                    </w:rPr>
                    <m:t>Pe</m:t>
                  </m:r>
                </m:den>
              </m:f>
              <m:r>
                <w:rPr>
                  <w:rFonts w:ascii="Cambria Math" w:hAnsi="Cambria Math"/>
                </w:rPr>
                <m:t>+</m:t>
              </m:r>
              <m:f>
                <m:fPr>
                  <m:ctrlPr>
                    <w:rPr>
                      <w:rFonts w:ascii="Cambria Math" w:hAnsi="Cambria Math"/>
                      <w:i/>
                    </w:rPr>
                  </m:ctrlPr>
                </m:fPr>
                <m:num>
                  <m:r>
                    <w:rPr>
                      <w:rFonts w:ascii="Cambria Math" w:hAnsi="Cambria Math"/>
                    </w:rPr>
                    <m:t>δ</m:t>
                  </m:r>
                </m:num>
                <m:den>
                  <m:r>
                    <w:rPr>
                      <w:rFonts w:ascii="Cambria Math" w:hAnsi="Cambria Math"/>
                    </w:rPr>
                    <m:t>2</m:t>
                  </m:r>
                </m:den>
              </m:f>
            </m:oMath>
            <w:r w:rsidR="00F20877" w:rsidRPr="00E42816">
              <w:t xml:space="preserve">   ;   </w:t>
            </w:r>
            <m:oMath>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Pe</m:t>
                      </m:r>
                    </m:e>
                    <m:sub>
                      <m:r>
                        <w:rPr>
                          <w:rFonts w:ascii="Cambria Math" w:hAnsi="Cambria Math"/>
                        </w:rPr>
                        <m:t>eff,r</m:t>
                      </m:r>
                    </m:sub>
                  </m:sSub>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τ</m:t>
                  </m:r>
                </m:den>
              </m:f>
              <m:f>
                <m:fPr>
                  <m:ctrlPr>
                    <w:rPr>
                      <w:rFonts w:ascii="Cambria Math" w:hAnsi="Cambria Math"/>
                      <w:i/>
                    </w:rPr>
                  </m:ctrlPr>
                </m:fPr>
                <m:num>
                  <m:r>
                    <w:rPr>
                      <w:rFonts w:ascii="Cambria Math" w:hAnsi="Cambria Math"/>
                    </w:rPr>
                    <m:t>1</m:t>
                  </m:r>
                </m:num>
                <m:den>
                  <m:r>
                    <w:rPr>
                      <w:rFonts w:ascii="Cambria Math" w:hAnsi="Cambria Math"/>
                    </w:rPr>
                    <m:t>Pe</m:t>
                  </m:r>
                </m:den>
              </m:f>
              <m:r>
                <w:rPr>
                  <w:rFonts w:ascii="Cambria Math" w:hAnsi="Cambria Math"/>
                </w:rPr>
                <m:t>+</m:t>
              </m:r>
              <m:f>
                <m:fPr>
                  <m:ctrlPr>
                    <w:rPr>
                      <w:rFonts w:ascii="Cambria Math" w:hAnsi="Cambria Math"/>
                      <w:i/>
                    </w:rPr>
                  </m:ctrlPr>
                </m:fPr>
                <m:num>
                  <m:r>
                    <w:rPr>
                      <w:rFonts w:ascii="Cambria Math" w:hAnsi="Cambria Math"/>
                    </w:rPr>
                    <m:t>δ</m:t>
                  </m:r>
                </m:num>
                <m:den>
                  <m:r>
                    <w:rPr>
                      <w:rFonts w:ascii="Cambria Math" w:hAnsi="Cambria Math"/>
                    </w:rPr>
                    <m:t>12</m:t>
                  </m:r>
                </m:den>
              </m:f>
            </m:oMath>
          </w:p>
        </w:tc>
        <w:tc>
          <w:tcPr>
            <w:tcW w:w="702" w:type="dxa"/>
          </w:tcPr>
          <w:p w14:paraId="00B69D99" w14:textId="77777777" w:rsidR="00F20877" w:rsidRPr="00E42816" w:rsidRDefault="00F20877" w:rsidP="008543F4">
            <w:pPr>
              <w:pStyle w:val="CETBodytext"/>
              <w:jc w:val="right"/>
            </w:pPr>
            <w:r w:rsidRPr="00E42816">
              <w:t>(13)</w:t>
            </w:r>
          </w:p>
        </w:tc>
      </w:tr>
    </w:tbl>
    <w:p w14:paraId="5CABB346" w14:textId="740A1991" w:rsidR="00F20877" w:rsidRPr="00E42816" w:rsidRDefault="00F20877" w:rsidP="00A26848">
      <w:pPr>
        <w:pStyle w:val="CETBodytext"/>
        <w:rPr>
          <w:sz w:val="16"/>
          <w:szCs w:val="16"/>
        </w:rPr>
      </w:pPr>
    </w:p>
    <w:p w14:paraId="4283BF18" w14:textId="192A1B72" w:rsidR="00F20877" w:rsidRPr="00E42816" w:rsidRDefault="00F20877" w:rsidP="00A26848">
      <w:pPr>
        <w:pStyle w:val="CETBodytext"/>
      </w:pPr>
      <w:r w:rsidRPr="00E42816">
        <w:t xml:space="preserve">where </w:t>
      </w:r>
      <w:r w:rsidRPr="00E42816">
        <w:sym w:font="Symbol" w:char="F074"/>
      </w:r>
      <w:r w:rsidRPr="00E42816">
        <w:t xml:space="preserve"> is a tortuosity factor, usually considered to be equal to </w:t>
      </w:r>
      <m:oMath>
        <m:rad>
          <m:radPr>
            <m:degHide m:val="1"/>
            <m:ctrlPr>
              <w:rPr>
                <w:rFonts w:ascii="Cambria Math" w:hAnsi="Cambria Math"/>
                <w:i/>
              </w:rPr>
            </m:ctrlPr>
          </m:radPr>
          <m:deg/>
          <m:e>
            <m:r>
              <w:rPr>
                <w:rFonts w:ascii="Cambria Math" w:hAnsi="Cambria Math"/>
              </w:rPr>
              <m:t>2</m:t>
            </m:r>
          </m:e>
        </m:rad>
        <m:r>
          <w:rPr>
            <w:rFonts w:ascii="Cambria Math" w:hAnsi="Cambria Math"/>
          </w:rPr>
          <m:t xml:space="preserve"> </m:t>
        </m:r>
      </m:oMath>
      <w:r w:rsidR="008823BF" w:rsidRPr="00E42816">
        <w:t xml:space="preserve">and </w:t>
      </w:r>
      <m:oMath>
        <m:r>
          <w:rPr>
            <w:rFonts w:ascii="Cambria Math" w:hAnsi="Cambria Math"/>
          </w:rPr>
          <m:t>δ</m:t>
        </m:r>
      </m:oMath>
      <w:r w:rsidR="008823BF" w:rsidRPr="00E42816">
        <w:t xml:space="preserve"> is the ratio between the characteristic dimension of the packing material and the characteristic dimension of the reactor</w:t>
      </w:r>
      <w:r w:rsidRPr="00E42816">
        <w:t xml:space="preserve">. The results show that that </w:t>
      </w:r>
      <w:proofErr w:type="spellStart"/>
      <w:r w:rsidR="00C14C63" w:rsidRPr="00E42816">
        <w:rPr>
          <w:i/>
        </w:rPr>
        <w:t>Pe</w:t>
      </w:r>
      <w:r w:rsidR="00C14C63" w:rsidRPr="00E42816">
        <w:rPr>
          <w:i/>
          <w:vertAlign w:val="subscript"/>
        </w:rPr>
        <w:t>eff</w:t>
      </w:r>
      <w:proofErr w:type="spellEnd"/>
      <w:r w:rsidR="00C14C63" w:rsidRPr="00E42816">
        <w:t xml:space="preserve"> </w:t>
      </w:r>
      <w:r w:rsidRPr="00E42816">
        <w:t xml:space="preserve">in solid foams is higher than both the axial and radial </w:t>
      </w:r>
      <w:proofErr w:type="spellStart"/>
      <w:r w:rsidR="00C14C63" w:rsidRPr="00E42816">
        <w:rPr>
          <w:i/>
        </w:rPr>
        <w:t>Pe</w:t>
      </w:r>
      <w:r w:rsidR="00C14C63" w:rsidRPr="00E42816">
        <w:rPr>
          <w:i/>
          <w:vertAlign w:val="subscript"/>
        </w:rPr>
        <w:t>eff</w:t>
      </w:r>
      <w:proofErr w:type="spellEnd"/>
      <w:r w:rsidRPr="00E42816">
        <w:t xml:space="preserve"> in packed beds</w:t>
      </w:r>
      <w:r w:rsidR="0091492F" w:rsidRPr="00E42816">
        <w:t>.</w:t>
      </w:r>
    </w:p>
    <w:p w14:paraId="3B398C6B" w14:textId="3702C353" w:rsidR="00F639C2" w:rsidRPr="00E42816" w:rsidRDefault="00F639C2" w:rsidP="00F639C2">
      <w:pPr>
        <w:pStyle w:val="CETTabletitle"/>
        <w:rPr>
          <w:lang w:val="en-US"/>
        </w:rPr>
      </w:pPr>
      <w:r w:rsidRPr="00E42816">
        <w:rPr>
          <w:lang w:val="en-US"/>
        </w:rPr>
        <w:t xml:space="preserve">Table </w:t>
      </w:r>
      <w:r w:rsidR="001D39F4" w:rsidRPr="00E42816">
        <w:rPr>
          <w:lang w:val="en-US"/>
        </w:rPr>
        <w:t>2</w:t>
      </w:r>
      <w:r w:rsidRPr="00E42816">
        <w:rPr>
          <w:lang w:val="en-US"/>
        </w:rPr>
        <w:t xml:space="preserve">: Fitted values of </w:t>
      </w:r>
      <w:proofErr w:type="spellStart"/>
      <w:r w:rsidRPr="00E42816">
        <w:rPr>
          <w:lang w:val="en-US"/>
        </w:rPr>
        <w:t>Pe</w:t>
      </w:r>
      <w:r w:rsidRPr="00E42816">
        <w:rPr>
          <w:vertAlign w:val="subscript"/>
          <w:lang w:val="en-US"/>
        </w:rPr>
        <w:t>eff</w:t>
      </w:r>
      <w:proofErr w:type="spellEnd"/>
      <w:r w:rsidR="0023120B" w:rsidRPr="00E42816">
        <w:rPr>
          <w:i w:val="0"/>
          <w:lang w:val="en-US"/>
        </w:rPr>
        <w:t>.</w:t>
      </w:r>
    </w:p>
    <w:tbl>
      <w:tblPr>
        <w:tblW w:w="8787"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993"/>
        <w:gridCol w:w="1559"/>
        <w:gridCol w:w="1112"/>
        <w:gridCol w:w="1919"/>
        <w:gridCol w:w="2214"/>
        <w:gridCol w:w="990"/>
      </w:tblGrid>
      <w:tr w:rsidR="00E42816" w:rsidRPr="00E42816" w14:paraId="67DB15C6" w14:textId="4F59FEDF" w:rsidTr="00A26848">
        <w:trPr>
          <w:trHeight w:val="497"/>
        </w:trPr>
        <w:tc>
          <w:tcPr>
            <w:tcW w:w="993" w:type="dxa"/>
            <w:tcBorders>
              <w:top w:val="single" w:sz="12" w:space="0" w:color="008000"/>
              <w:bottom w:val="single" w:sz="6" w:space="0" w:color="008000"/>
            </w:tcBorders>
            <w:shd w:val="clear" w:color="auto" w:fill="FFFFFF"/>
          </w:tcPr>
          <w:p w14:paraId="12C466A5" w14:textId="77777777" w:rsidR="00A26848" w:rsidRPr="00E42816" w:rsidRDefault="00A26848" w:rsidP="00F639C2">
            <w:pPr>
              <w:pStyle w:val="CETBodytext"/>
            </w:pPr>
            <w:r w:rsidRPr="00E42816">
              <w:t xml:space="preserve">P retentate </w:t>
            </w:r>
          </w:p>
          <w:p w14:paraId="13A28995" w14:textId="77777777" w:rsidR="00A26848" w:rsidRPr="00E42816" w:rsidRDefault="00A26848" w:rsidP="00F639C2">
            <w:pPr>
              <w:pStyle w:val="CETBodytext"/>
            </w:pPr>
            <w:r w:rsidRPr="00E42816">
              <w:t>[bar]</w:t>
            </w:r>
          </w:p>
        </w:tc>
        <w:tc>
          <w:tcPr>
            <w:tcW w:w="1559" w:type="dxa"/>
            <w:tcBorders>
              <w:top w:val="single" w:sz="12" w:space="0" w:color="008000"/>
              <w:bottom w:val="single" w:sz="6" w:space="0" w:color="008000"/>
            </w:tcBorders>
            <w:shd w:val="clear" w:color="auto" w:fill="FFFFFF"/>
          </w:tcPr>
          <w:p w14:paraId="554D7303" w14:textId="31F2A533" w:rsidR="00A26848" w:rsidRPr="00E42816" w:rsidRDefault="00A26848" w:rsidP="00F639C2">
            <w:pPr>
              <w:pStyle w:val="CETBodytext"/>
              <w:ind w:right="-1"/>
            </w:pPr>
            <w:r w:rsidRPr="00E42816">
              <w:t>H</w:t>
            </w:r>
            <w:r w:rsidRPr="00E42816">
              <w:rPr>
                <w:vertAlign w:val="subscript"/>
              </w:rPr>
              <w:t>2</w:t>
            </w:r>
            <w:r w:rsidRPr="00E42816">
              <w:t xml:space="preserve"> inlet</w:t>
            </w:r>
          </w:p>
          <w:p w14:paraId="17421ECC" w14:textId="14CA6EDB" w:rsidR="00A26848" w:rsidRPr="00E42816" w:rsidRDefault="00A26848" w:rsidP="00F639C2">
            <w:pPr>
              <w:pStyle w:val="CETBodytext"/>
              <w:ind w:right="-1"/>
              <w:rPr>
                <w:rFonts w:cs="Arial"/>
                <w:szCs w:val="18"/>
              </w:rPr>
            </w:pPr>
            <w:r w:rsidRPr="00E42816">
              <w:t>[</w:t>
            </w:r>
            <w:proofErr w:type="spellStart"/>
            <w:r w:rsidRPr="00E42816">
              <w:t>Ncc</w:t>
            </w:r>
            <w:proofErr w:type="spellEnd"/>
            <w:r w:rsidRPr="00E42816">
              <w:t>/min]</w:t>
            </w:r>
          </w:p>
        </w:tc>
        <w:tc>
          <w:tcPr>
            <w:tcW w:w="1112" w:type="dxa"/>
            <w:tcBorders>
              <w:top w:val="single" w:sz="12" w:space="0" w:color="008000"/>
              <w:bottom w:val="single" w:sz="6" w:space="0" w:color="008000"/>
            </w:tcBorders>
            <w:shd w:val="clear" w:color="auto" w:fill="FFFFFF"/>
          </w:tcPr>
          <w:p w14:paraId="2921A603" w14:textId="44B8639A" w:rsidR="00A26848" w:rsidRPr="00E42816" w:rsidRDefault="00A26848" w:rsidP="00F639C2">
            <w:pPr>
              <w:pStyle w:val="CETBodytext"/>
              <w:ind w:right="-1"/>
            </w:pPr>
            <w:r w:rsidRPr="00E42816">
              <w:t>N</w:t>
            </w:r>
            <w:r w:rsidRPr="00E42816">
              <w:rPr>
                <w:vertAlign w:val="subscript"/>
              </w:rPr>
              <w:t>2</w:t>
            </w:r>
            <w:r w:rsidRPr="00E42816">
              <w:t xml:space="preserve"> inlet </w:t>
            </w:r>
          </w:p>
          <w:p w14:paraId="5BE0E2E3" w14:textId="0AEA7DB6" w:rsidR="00A26848" w:rsidRPr="00E42816" w:rsidRDefault="00A26848" w:rsidP="00F639C2">
            <w:pPr>
              <w:pStyle w:val="CETBodytext"/>
              <w:ind w:right="-1"/>
              <w:rPr>
                <w:rFonts w:cs="Arial"/>
                <w:szCs w:val="18"/>
              </w:rPr>
            </w:pPr>
            <w:r w:rsidRPr="00E42816">
              <w:t>[</w:t>
            </w:r>
            <w:proofErr w:type="spellStart"/>
            <w:r w:rsidRPr="00E42816">
              <w:t>Ncc</w:t>
            </w:r>
            <w:proofErr w:type="spellEnd"/>
            <w:r w:rsidRPr="00E42816">
              <w:t>/min]</w:t>
            </w:r>
          </w:p>
        </w:tc>
        <w:tc>
          <w:tcPr>
            <w:tcW w:w="1919" w:type="dxa"/>
            <w:tcBorders>
              <w:top w:val="single" w:sz="12" w:space="0" w:color="008000"/>
              <w:bottom w:val="single" w:sz="6" w:space="0" w:color="008000"/>
            </w:tcBorders>
            <w:shd w:val="clear" w:color="auto" w:fill="FFFFFF"/>
          </w:tcPr>
          <w:p w14:paraId="63004FB8" w14:textId="70D1EF1F" w:rsidR="00A26848" w:rsidRPr="00E42816" w:rsidRDefault="00A26848" w:rsidP="00F639C2">
            <w:pPr>
              <w:pStyle w:val="CETBodytext"/>
              <w:ind w:right="-1"/>
            </w:pPr>
            <w:r w:rsidRPr="00E42816">
              <w:t>H</w:t>
            </w:r>
            <w:r w:rsidRPr="00E42816">
              <w:rPr>
                <w:vertAlign w:val="subscript"/>
              </w:rPr>
              <w:t>2</w:t>
            </w:r>
            <w:r w:rsidRPr="00E42816">
              <w:t xml:space="preserve"> outlet (retentate)</w:t>
            </w:r>
          </w:p>
          <w:p w14:paraId="39255282" w14:textId="1DFF3EC8" w:rsidR="00A26848" w:rsidRPr="00E42816" w:rsidRDefault="00A26848" w:rsidP="00F639C2">
            <w:pPr>
              <w:pStyle w:val="CETBodytext"/>
              <w:ind w:right="-1"/>
              <w:rPr>
                <w:rFonts w:cs="Arial"/>
                <w:szCs w:val="18"/>
              </w:rPr>
            </w:pPr>
            <w:r w:rsidRPr="00E42816">
              <w:t>[</w:t>
            </w:r>
            <w:proofErr w:type="spellStart"/>
            <w:r w:rsidRPr="00E42816">
              <w:t>Ncc</w:t>
            </w:r>
            <w:proofErr w:type="spellEnd"/>
            <w:r w:rsidRPr="00E42816">
              <w:t>/min]</w:t>
            </w:r>
          </w:p>
        </w:tc>
        <w:tc>
          <w:tcPr>
            <w:tcW w:w="2214" w:type="dxa"/>
            <w:tcBorders>
              <w:top w:val="single" w:sz="12" w:space="0" w:color="008000"/>
              <w:bottom w:val="single" w:sz="6" w:space="0" w:color="008000"/>
            </w:tcBorders>
            <w:shd w:val="clear" w:color="auto" w:fill="FFFFFF"/>
          </w:tcPr>
          <w:p w14:paraId="69B5A151" w14:textId="40CF72D8" w:rsidR="00A26848" w:rsidRPr="00E42816" w:rsidRDefault="00A26848" w:rsidP="00A26848">
            <w:pPr>
              <w:pStyle w:val="CETBodytext"/>
              <w:ind w:right="-1"/>
            </w:pPr>
            <w:r w:rsidRPr="00E42816">
              <w:t>H</w:t>
            </w:r>
            <w:r w:rsidRPr="00E42816">
              <w:rPr>
                <w:vertAlign w:val="subscript"/>
              </w:rPr>
              <w:t>2</w:t>
            </w:r>
            <w:r w:rsidRPr="00E42816">
              <w:t xml:space="preserve"> outlet (permeate)</w:t>
            </w:r>
          </w:p>
          <w:p w14:paraId="70D1FDF9" w14:textId="77FA8294" w:rsidR="00A26848" w:rsidRPr="00E42816" w:rsidRDefault="00A26848" w:rsidP="00A26848">
            <w:pPr>
              <w:pStyle w:val="CETBodytext"/>
              <w:ind w:right="-1"/>
            </w:pPr>
            <w:r w:rsidRPr="00E42816">
              <w:t>[</w:t>
            </w:r>
            <w:proofErr w:type="spellStart"/>
            <w:r w:rsidRPr="00E42816">
              <w:t>Ncc</w:t>
            </w:r>
            <w:proofErr w:type="spellEnd"/>
            <w:r w:rsidRPr="00E42816">
              <w:t>/min]</w:t>
            </w:r>
          </w:p>
        </w:tc>
        <w:tc>
          <w:tcPr>
            <w:tcW w:w="990" w:type="dxa"/>
            <w:tcBorders>
              <w:top w:val="single" w:sz="12" w:space="0" w:color="008000"/>
              <w:bottom w:val="single" w:sz="6" w:space="0" w:color="008000"/>
            </w:tcBorders>
            <w:shd w:val="clear" w:color="auto" w:fill="FFFFFF"/>
          </w:tcPr>
          <w:p w14:paraId="4A939E2F" w14:textId="5EE0EEC8" w:rsidR="00A26848" w:rsidRPr="00E42816" w:rsidRDefault="00A26848" w:rsidP="00F639C2">
            <w:pPr>
              <w:pStyle w:val="CETBodytext"/>
              <w:ind w:right="-1"/>
            </w:pPr>
            <w:r w:rsidRPr="00E42816">
              <w:t xml:space="preserve">Fitted </w:t>
            </w:r>
            <w:proofErr w:type="spellStart"/>
            <w:r w:rsidRPr="00E42816">
              <w:rPr>
                <w:i/>
              </w:rPr>
              <w:t>Pe</w:t>
            </w:r>
            <w:r w:rsidRPr="00E42816">
              <w:rPr>
                <w:i/>
                <w:vertAlign w:val="subscript"/>
              </w:rPr>
              <w:t>ef</w:t>
            </w:r>
            <w:r w:rsidRPr="00E42816">
              <w:rPr>
                <w:vertAlign w:val="subscript"/>
              </w:rPr>
              <w:t>f</w:t>
            </w:r>
            <w:proofErr w:type="spellEnd"/>
          </w:p>
        </w:tc>
      </w:tr>
      <w:tr w:rsidR="00E42816" w:rsidRPr="00E42816" w14:paraId="63683655" w14:textId="1C283D81" w:rsidTr="00A26848">
        <w:trPr>
          <w:trHeight w:val="265"/>
        </w:trPr>
        <w:tc>
          <w:tcPr>
            <w:tcW w:w="993" w:type="dxa"/>
            <w:shd w:val="clear" w:color="auto" w:fill="FFFFFF"/>
          </w:tcPr>
          <w:p w14:paraId="3F6333C8" w14:textId="188AB3E2" w:rsidR="00A26848" w:rsidRPr="00E42816" w:rsidRDefault="00A26848" w:rsidP="00F639C2">
            <w:pPr>
              <w:pStyle w:val="CETBodytext"/>
            </w:pPr>
            <w:r w:rsidRPr="00E42816">
              <w:t>9</w:t>
            </w:r>
          </w:p>
        </w:tc>
        <w:tc>
          <w:tcPr>
            <w:tcW w:w="1559" w:type="dxa"/>
            <w:shd w:val="clear" w:color="auto" w:fill="FFFFFF"/>
          </w:tcPr>
          <w:p w14:paraId="607030D2" w14:textId="1CA4F561" w:rsidR="00A26848" w:rsidRPr="00E42816" w:rsidRDefault="00A26848" w:rsidP="00F639C2">
            <w:pPr>
              <w:pStyle w:val="CETBodytext"/>
              <w:ind w:right="-1"/>
              <w:rPr>
                <w:rFonts w:cs="Arial"/>
                <w:szCs w:val="18"/>
              </w:rPr>
            </w:pPr>
            <w:r w:rsidRPr="00E42816">
              <w:t>1500</w:t>
            </w:r>
          </w:p>
        </w:tc>
        <w:tc>
          <w:tcPr>
            <w:tcW w:w="1112" w:type="dxa"/>
            <w:shd w:val="clear" w:color="auto" w:fill="FFFFFF"/>
          </w:tcPr>
          <w:p w14:paraId="4B0DCB58" w14:textId="4B2C6F51" w:rsidR="00A26848" w:rsidRPr="00E42816" w:rsidRDefault="00A26848" w:rsidP="00F639C2">
            <w:pPr>
              <w:pStyle w:val="CETBodytext"/>
              <w:ind w:right="-1"/>
              <w:rPr>
                <w:rFonts w:cs="Arial"/>
                <w:szCs w:val="18"/>
              </w:rPr>
            </w:pPr>
            <w:r w:rsidRPr="00E42816">
              <w:t>1500</w:t>
            </w:r>
          </w:p>
        </w:tc>
        <w:tc>
          <w:tcPr>
            <w:tcW w:w="1919" w:type="dxa"/>
            <w:shd w:val="clear" w:color="auto" w:fill="FFFFFF"/>
          </w:tcPr>
          <w:p w14:paraId="6B3ECDC0" w14:textId="5F849349" w:rsidR="00A26848" w:rsidRPr="00E42816" w:rsidRDefault="00A26848" w:rsidP="00F639C2">
            <w:pPr>
              <w:pStyle w:val="CETBodytext"/>
              <w:ind w:right="-1"/>
              <w:rPr>
                <w:rFonts w:cs="Arial"/>
                <w:szCs w:val="18"/>
              </w:rPr>
            </w:pPr>
            <w:r w:rsidRPr="00E42816">
              <w:t>360</w:t>
            </w:r>
          </w:p>
        </w:tc>
        <w:tc>
          <w:tcPr>
            <w:tcW w:w="2214" w:type="dxa"/>
            <w:shd w:val="clear" w:color="auto" w:fill="FFFFFF"/>
          </w:tcPr>
          <w:p w14:paraId="4F780DDF" w14:textId="68C544A5" w:rsidR="00A26848" w:rsidRPr="00E42816" w:rsidRDefault="00A26848" w:rsidP="00F639C2">
            <w:pPr>
              <w:pStyle w:val="CETBodytext"/>
              <w:ind w:right="-1"/>
            </w:pPr>
            <w:r w:rsidRPr="00E42816">
              <w:t>1140</w:t>
            </w:r>
          </w:p>
        </w:tc>
        <w:tc>
          <w:tcPr>
            <w:tcW w:w="990" w:type="dxa"/>
            <w:shd w:val="clear" w:color="auto" w:fill="FFFFFF"/>
          </w:tcPr>
          <w:p w14:paraId="4ECC3BD4" w14:textId="2FDBBCC2" w:rsidR="00A26848" w:rsidRPr="00E42816" w:rsidRDefault="00A26848" w:rsidP="00F639C2">
            <w:pPr>
              <w:pStyle w:val="CETBodytext"/>
              <w:ind w:right="-1"/>
            </w:pPr>
            <w:r w:rsidRPr="00E42816">
              <w:t>15</w:t>
            </w:r>
          </w:p>
        </w:tc>
      </w:tr>
      <w:tr w:rsidR="00E42816" w:rsidRPr="00E42816" w14:paraId="000ACD75" w14:textId="77777777" w:rsidTr="00A26848">
        <w:trPr>
          <w:trHeight w:val="265"/>
        </w:trPr>
        <w:tc>
          <w:tcPr>
            <w:tcW w:w="993" w:type="dxa"/>
            <w:shd w:val="clear" w:color="auto" w:fill="FFFFFF"/>
          </w:tcPr>
          <w:p w14:paraId="0B4BCDAD" w14:textId="1BE52822" w:rsidR="00A26848" w:rsidRPr="00E42816" w:rsidRDefault="00A26848" w:rsidP="00F639C2">
            <w:pPr>
              <w:pStyle w:val="CETBodytext"/>
            </w:pPr>
            <w:r w:rsidRPr="00E42816">
              <w:t>9</w:t>
            </w:r>
          </w:p>
        </w:tc>
        <w:tc>
          <w:tcPr>
            <w:tcW w:w="1559" w:type="dxa"/>
            <w:shd w:val="clear" w:color="auto" w:fill="FFFFFF"/>
          </w:tcPr>
          <w:p w14:paraId="761E2250" w14:textId="5137BB4E" w:rsidR="00A26848" w:rsidRPr="00E42816" w:rsidRDefault="00A26848" w:rsidP="00F639C2">
            <w:pPr>
              <w:pStyle w:val="CETBodytext"/>
              <w:ind w:right="-1"/>
            </w:pPr>
            <w:r w:rsidRPr="00E42816">
              <w:t>1500</w:t>
            </w:r>
          </w:p>
        </w:tc>
        <w:tc>
          <w:tcPr>
            <w:tcW w:w="1112" w:type="dxa"/>
            <w:shd w:val="clear" w:color="auto" w:fill="FFFFFF"/>
          </w:tcPr>
          <w:p w14:paraId="7D17474D" w14:textId="04C9466C" w:rsidR="00A26848" w:rsidRPr="00E42816" w:rsidRDefault="00A26848" w:rsidP="00F639C2">
            <w:pPr>
              <w:pStyle w:val="CETBodytext"/>
              <w:ind w:right="-1"/>
            </w:pPr>
            <w:r w:rsidRPr="00E42816">
              <w:t>2000</w:t>
            </w:r>
          </w:p>
        </w:tc>
        <w:tc>
          <w:tcPr>
            <w:tcW w:w="1919" w:type="dxa"/>
            <w:shd w:val="clear" w:color="auto" w:fill="FFFFFF"/>
          </w:tcPr>
          <w:p w14:paraId="01175913" w14:textId="3AB4A228" w:rsidR="00A26848" w:rsidRPr="00E42816" w:rsidRDefault="00A26848" w:rsidP="00F639C2">
            <w:pPr>
              <w:pStyle w:val="CETBodytext"/>
              <w:ind w:right="-1"/>
            </w:pPr>
            <w:r w:rsidRPr="00E42816">
              <w:t>470</w:t>
            </w:r>
          </w:p>
        </w:tc>
        <w:tc>
          <w:tcPr>
            <w:tcW w:w="2214" w:type="dxa"/>
            <w:shd w:val="clear" w:color="auto" w:fill="FFFFFF"/>
          </w:tcPr>
          <w:p w14:paraId="77C0EA5E" w14:textId="7505EB61" w:rsidR="00A26848" w:rsidRPr="00E42816" w:rsidRDefault="00A26848" w:rsidP="00F639C2">
            <w:pPr>
              <w:pStyle w:val="CETBodytext"/>
              <w:ind w:right="-1"/>
            </w:pPr>
            <w:r w:rsidRPr="00E42816">
              <w:t>1030</w:t>
            </w:r>
          </w:p>
        </w:tc>
        <w:tc>
          <w:tcPr>
            <w:tcW w:w="990" w:type="dxa"/>
            <w:shd w:val="clear" w:color="auto" w:fill="FFFFFF"/>
          </w:tcPr>
          <w:p w14:paraId="3EEC0865" w14:textId="1E00DB2A" w:rsidR="00A26848" w:rsidRPr="00E42816" w:rsidRDefault="00A26848" w:rsidP="00F639C2">
            <w:pPr>
              <w:pStyle w:val="CETBodytext"/>
              <w:ind w:right="-1"/>
            </w:pPr>
            <w:r w:rsidRPr="00E42816">
              <w:t>15</w:t>
            </w:r>
          </w:p>
        </w:tc>
      </w:tr>
      <w:tr w:rsidR="00E42816" w:rsidRPr="00E42816" w14:paraId="02AD5473" w14:textId="77777777" w:rsidTr="00A26848">
        <w:trPr>
          <w:trHeight w:val="265"/>
        </w:trPr>
        <w:tc>
          <w:tcPr>
            <w:tcW w:w="993" w:type="dxa"/>
            <w:shd w:val="clear" w:color="auto" w:fill="FFFFFF"/>
          </w:tcPr>
          <w:p w14:paraId="2AD7F568" w14:textId="41416908" w:rsidR="00A26848" w:rsidRPr="00E42816" w:rsidRDefault="00A26848" w:rsidP="00F639C2">
            <w:pPr>
              <w:pStyle w:val="CETBodytext"/>
            </w:pPr>
            <w:r w:rsidRPr="00E42816">
              <w:t>9</w:t>
            </w:r>
          </w:p>
        </w:tc>
        <w:tc>
          <w:tcPr>
            <w:tcW w:w="1559" w:type="dxa"/>
            <w:shd w:val="clear" w:color="auto" w:fill="FFFFFF"/>
          </w:tcPr>
          <w:p w14:paraId="39EE5532" w14:textId="7F4F2C79" w:rsidR="00A26848" w:rsidRPr="00E42816" w:rsidRDefault="00A26848" w:rsidP="00F639C2">
            <w:pPr>
              <w:pStyle w:val="CETBodytext"/>
              <w:ind w:right="-1"/>
            </w:pPr>
            <w:r w:rsidRPr="00E42816">
              <w:t>1500</w:t>
            </w:r>
          </w:p>
        </w:tc>
        <w:tc>
          <w:tcPr>
            <w:tcW w:w="1112" w:type="dxa"/>
            <w:shd w:val="clear" w:color="auto" w:fill="FFFFFF"/>
          </w:tcPr>
          <w:p w14:paraId="074744C5" w14:textId="5D27A134" w:rsidR="00A26848" w:rsidRPr="00E42816" w:rsidRDefault="00A26848" w:rsidP="00F639C2">
            <w:pPr>
              <w:pStyle w:val="CETBodytext"/>
              <w:ind w:right="-1"/>
            </w:pPr>
            <w:r w:rsidRPr="00E42816">
              <w:t>2450</w:t>
            </w:r>
          </w:p>
        </w:tc>
        <w:tc>
          <w:tcPr>
            <w:tcW w:w="1919" w:type="dxa"/>
            <w:shd w:val="clear" w:color="auto" w:fill="FFFFFF"/>
          </w:tcPr>
          <w:p w14:paraId="5425F8BB" w14:textId="78CB0B01" w:rsidR="00A26848" w:rsidRPr="00E42816" w:rsidRDefault="00A26848" w:rsidP="00F639C2">
            <w:pPr>
              <w:pStyle w:val="CETBodytext"/>
              <w:ind w:right="-1"/>
            </w:pPr>
            <w:r w:rsidRPr="00E42816">
              <w:t>620</w:t>
            </w:r>
          </w:p>
        </w:tc>
        <w:tc>
          <w:tcPr>
            <w:tcW w:w="2214" w:type="dxa"/>
            <w:shd w:val="clear" w:color="auto" w:fill="FFFFFF"/>
          </w:tcPr>
          <w:p w14:paraId="4FC3FC7E" w14:textId="2AC95A2E" w:rsidR="00A26848" w:rsidRPr="00E42816" w:rsidRDefault="00A26848" w:rsidP="00F639C2">
            <w:pPr>
              <w:pStyle w:val="CETBodytext"/>
              <w:ind w:right="-1"/>
            </w:pPr>
            <w:r w:rsidRPr="00E42816">
              <w:t>880</w:t>
            </w:r>
          </w:p>
        </w:tc>
        <w:tc>
          <w:tcPr>
            <w:tcW w:w="990" w:type="dxa"/>
            <w:shd w:val="clear" w:color="auto" w:fill="FFFFFF"/>
          </w:tcPr>
          <w:p w14:paraId="2CBA5075" w14:textId="13791D74" w:rsidR="00A26848" w:rsidRPr="00E42816" w:rsidRDefault="00A26848" w:rsidP="00F639C2">
            <w:pPr>
              <w:pStyle w:val="CETBodytext"/>
              <w:ind w:right="-1"/>
            </w:pPr>
            <w:r w:rsidRPr="00E42816">
              <w:t>20</w:t>
            </w:r>
          </w:p>
        </w:tc>
      </w:tr>
      <w:tr w:rsidR="00E42816" w:rsidRPr="00E42816" w14:paraId="1115B629" w14:textId="77777777" w:rsidTr="00A26848">
        <w:trPr>
          <w:trHeight w:val="265"/>
        </w:trPr>
        <w:tc>
          <w:tcPr>
            <w:tcW w:w="993" w:type="dxa"/>
            <w:shd w:val="clear" w:color="auto" w:fill="FFFFFF"/>
          </w:tcPr>
          <w:p w14:paraId="51ED3854" w14:textId="05673918" w:rsidR="00A26848" w:rsidRPr="00E42816" w:rsidRDefault="00A26848" w:rsidP="00F639C2">
            <w:pPr>
              <w:pStyle w:val="CETBodytext"/>
            </w:pPr>
            <w:r w:rsidRPr="00E42816">
              <w:t>9</w:t>
            </w:r>
          </w:p>
        </w:tc>
        <w:tc>
          <w:tcPr>
            <w:tcW w:w="1559" w:type="dxa"/>
            <w:shd w:val="clear" w:color="auto" w:fill="FFFFFF"/>
          </w:tcPr>
          <w:p w14:paraId="1496D480" w14:textId="4D370F7F" w:rsidR="00A26848" w:rsidRPr="00E42816" w:rsidRDefault="00A26848" w:rsidP="00F639C2">
            <w:pPr>
              <w:pStyle w:val="CETBodytext"/>
              <w:ind w:right="-1"/>
            </w:pPr>
            <w:r w:rsidRPr="00E42816">
              <w:t>1500</w:t>
            </w:r>
          </w:p>
        </w:tc>
        <w:tc>
          <w:tcPr>
            <w:tcW w:w="1112" w:type="dxa"/>
            <w:shd w:val="clear" w:color="auto" w:fill="FFFFFF"/>
          </w:tcPr>
          <w:p w14:paraId="7962DEC8" w14:textId="052231C0" w:rsidR="00A26848" w:rsidRPr="00E42816" w:rsidRDefault="00A26848" w:rsidP="00F639C2">
            <w:pPr>
              <w:pStyle w:val="CETBodytext"/>
              <w:ind w:right="-1"/>
            </w:pPr>
            <w:r w:rsidRPr="00E42816">
              <w:t>3000</w:t>
            </w:r>
          </w:p>
        </w:tc>
        <w:tc>
          <w:tcPr>
            <w:tcW w:w="1919" w:type="dxa"/>
            <w:shd w:val="clear" w:color="auto" w:fill="FFFFFF"/>
          </w:tcPr>
          <w:p w14:paraId="610985E8" w14:textId="4A5F3E76" w:rsidR="00A26848" w:rsidRPr="00E42816" w:rsidRDefault="00A26848" w:rsidP="00F639C2">
            <w:pPr>
              <w:pStyle w:val="CETBodytext"/>
              <w:ind w:right="-1"/>
            </w:pPr>
            <w:r w:rsidRPr="00E42816">
              <w:t>750</w:t>
            </w:r>
          </w:p>
        </w:tc>
        <w:tc>
          <w:tcPr>
            <w:tcW w:w="2214" w:type="dxa"/>
            <w:shd w:val="clear" w:color="auto" w:fill="FFFFFF"/>
          </w:tcPr>
          <w:p w14:paraId="4562FACF" w14:textId="5AA25289" w:rsidR="00A26848" w:rsidRPr="00E42816" w:rsidRDefault="00A26848" w:rsidP="00F639C2">
            <w:pPr>
              <w:pStyle w:val="CETBodytext"/>
              <w:ind w:right="-1"/>
            </w:pPr>
            <w:r w:rsidRPr="00E42816">
              <w:t>750</w:t>
            </w:r>
          </w:p>
        </w:tc>
        <w:tc>
          <w:tcPr>
            <w:tcW w:w="990" w:type="dxa"/>
            <w:shd w:val="clear" w:color="auto" w:fill="FFFFFF"/>
          </w:tcPr>
          <w:p w14:paraId="013CB5C3" w14:textId="477C795C" w:rsidR="00A26848" w:rsidRPr="00E42816" w:rsidRDefault="00A26848" w:rsidP="00F639C2">
            <w:pPr>
              <w:pStyle w:val="CETBodytext"/>
              <w:ind w:right="-1"/>
            </w:pPr>
            <w:r w:rsidRPr="00E42816">
              <w:t>21</w:t>
            </w:r>
          </w:p>
        </w:tc>
      </w:tr>
      <w:tr w:rsidR="00E42816" w:rsidRPr="00E42816" w14:paraId="4FAE1829" w14:textId="77777777" w:rsidTr="00A26848">
        <w:trPr>
          <w:trHeight w:val="265"/>
        </w:trPr>
        <w:tc>
          <w:tcPr>
            <w:tcW w:w="993" w:type="dxa"/>
            <w:shd w:val="clear" w:color="auto" w:fill="FFFFFF"/>
          </w:tcPr>
          <w:p w14:paraId="56E45F37" w14:textId="6405F162" w:rsidR="00A26848" w:rsidRPr="00E42816" w:rsidRDefault="00A26848" w:rsidP="00F639C2">
            <w:pPr>
              <w:pStyle w:val="CETBodytext"/>
            </w:pPr>
            <w:r w:rsidRPr="00E42816">
              <w:t>4</w:t>
            </w:r>
          </w:p>
        </w:tc>
        <w:tc>
          <w:tcPr>
            <w:tcW w:w="1559" w:type="dxa"/>
            <w:shd w:val="clear" w:color="auto" w:fill="FFFFFF"/>
          </w:tcPr>
          <w:p w14:paraId="1225ABE8" w14:textId="39C1024F" w:rsidR="00A26848" w:rsidRPr="00E42816" w:rsidRDefault="00A26848" w:rsidP="00F639C2">
            <w:pPr>
              <w:pStyle w:val="CETBodytext"/>
              <w:ind w:right="-1"/>
            </w:pPr>
            <w:r w:rsidRPr="00E42816">
              <w:t>6000</w:t>
            </w:r>
          </w:p>
        </w:tc>
        <w:tc>
          <w:tcPr>
            <w:tcW w:w="1112" w:type="dxa"/>
            <w:shd w:val="clear" w:color="auto" w:fill="FFFFFF"/>
          </w:tcPr>
          <w:p w14:paraId="4A409E79" w14:textId="553940AB" w:rsidR="00A26848" w:rsidRPr="00E42816" w:rsidRDefault="00A26848" w:rsidP="00F639C2">
            <w:pPr>
              <w:pStyle w:val="CETBodytext"/>
              <w:ind w:right="-1"/>
            </w:pPr>
            <w:r w:rsidRPr="00E42816">
              <w:t>1500</w:t>
            </w:r>
          </w:p>
        </w:tc>
        <w:tc>
          <w:tcPr>
            <w:tcW w:w="1919" w:type="dxa"/>
            <w:shd w:val="clear" w:color="auto" w:fill="FFFFFF"/>
          </w:tcPr>
          <w:p w14:paraId="2C0C74D4" w14:textId="4603A77F" w:rsidR="00A26848" w:rsidRPr="00E42816" w:rsidRDefault="00A26848" w:rsidP="00F639C2">
            <w:pPr>
              <w:pStyle w:val="CETBodytext"/>
              <w:ind w:right="-1"/>
            </w:pPr>
            <w:r w:rsidRPr="00E42816">
              <w:t>1800</w:t>
            </w:r>
          </w:p>
        </w:tc>
        <w:tc>
          <w:tcPr>
            <w:tcW w:w="2214" w:type="dxa"/>
            <w:shd w:val="clear" w:color="auto" w:fill="FFFFFF"/>
          </w:tcPr>
          <w:p w14:paraId="74EABFEE" w14:textId="261E5BBB" w:rsidR="00A26848" w:rsidRPr="00E42816" w:rsidRDefault="00A26848" w:rsidP="00F639C2">
            <w:pPr>
              <w:pStyle w:val="CETBodytext"/>
              <w:ind w:right="-1"/>
            </w:pPr>
            <w:r w:rsidRPr="00E42816">
              <w:t>4200</w:t>
            </w:r>
          </w:p>
        </w:tc>
        <w:tc>
          <w:tcPr>
            <w:tcW w:w="990" w:type="dxa"/>
            <w:shd w:val="clear" w:color="auto" w:fill="FFFFFF"/>
          </w:tcPr>
          <w:p w14:paraId="6CD20246" w14:textId="332EA939" w:rsidR="00A26848" w:rsidRPr="00E42816" w:rsidRDefault="00A26848" w:rsidP="00F639C2">
            <w:pPr>
              <w:pStyle w:val="CETBodytext"/>
              <w:ind w:right="-1"/>
            </w:pPr>
            <w:r w:rsidRPr="00E42816">
              <w:t>35</w:t>
            </w:r>
          </w:p>
        </w:tc>
      </w:tr>
      <w:tr w:rsidR="00E42816" w:rsidRPr="00E42816" w14:paraId="44505165" w14:textId="77777777" w:rsidTr="00A26848">
        <w:trPr>
          <w:trHeight w:val="265"/>
        </w:trPr>
        <w:tc>
          <w:tcPr>
            <w:tcW w:w="993" w:type="dxa"/>
            <w:shd w:val="clear" w:color="auto" w:fill="FFFFFF"/>
          </w:tcPr>
          <w:p w14:paraId="25E12DBC" w14:textId="5648C6A4" w:rsidR="00A26848" w:rsidRPr="00E42816" w:rsidRDefault="00A26848" w:rsidP="00F639C2">
            <w:pPr>
              <w:pStyle w:val="CETBodytext"/>
            </w:pPr>
            <w:r w:rsidRPr="00E42816">
              <w:t>4</w:t>
            </w:r>
          </w:p>
        </w:tc>
        <w:tc>
          <w:tcPr>
            <w:tcW w:w="1559" w:type="dxa"/>
            <w:shd w:val="clear" w:color="auto" w:fill="FFFFFF"/>
          </w:tcPr>
          <w:p w14:paraId="4AA44D87" w14:textId="7068F49B" w:rsidR="00A26848" w:rsidRPr="00E42816" w:rsidRDefault="00A26848" w:rsidP="00F639C2">
            <w:pPr>
              <w:pStyle w:val="CETBodytext"/>
              <w:ind w:right="-1"/>
            </w:pPr>
            <w:r w:rsidRPr="00E42816">
              <w:t>4500</w:t>
            </w:r>
          </w:p>
        </w:tc>
        <w:tc>
          <w:tcPr>
            <w:tcW w:w="1112" w:type="dxa"/>
            <w:shd w:val="clear" w:color="auto" w:fill="FFFFFF"/>
          </w:tcPr>
          <w:p w14:paraId="1C3F11C8" w14:textId="4229E761" w:rsidR="00A26848" w:rsidRPr="00E42816" w:rsidRDefault="00A26848" w:rsidP="00F639C2">
            <w:pPr>
              <w:pStyle w:val="CETBodytext"/>
              <w:ind w:right="-1"/>
            </w:pPr>
            <w:r w:rsidRPr="00E42816">
              <w:t>1500</w:t>
            </w:r>
          </w:p>
        </w:tc>
        <w:tc>
          <w:tcPr>
            <w:tcW w:w="1919" w:type="dxa"/>
            <w:shd w:val="clear" w:color="auto" w:fill="FFFFFF"/>
          </w:tcPr>
          <w:p w14:paraId="3A99E20D" w14:textId="049470EE" w:rsidR="00A26848" w:rsidRPr="00E42816" w:rsidRDefault="00A26848" w:rsidP="00F639C2">
            <w:pPr>
              <w:pStyle w:val="CETBodytext"/>
              <w:ind w:right="-1"/>
            </w:pPr>
            <w:r w:rsidRPr="00E42816">
              <w:t>1450</w:t>
            </w:r>
          </w:p>
        </w:tc>
        <w:tc>
          <w:tcPr>
            <w:tcW w:w="2214" w:type="dxa"/>
            <w:shd w:val="clear" w:color="auto" w:fill="FFFFFF"/>
          </w:tcPr>
          <w:p w14:paraId="3C81CFA2" w14:textId="6DE828E5" w:rsidR="00A26848" w:rsidRPr="00E42816" w:rsidRDefault="00A26848" w:rsidP="00F639C2">
            <w:pPr>
              <w:pStyle w:val="CETBodytext"/>
              <w:ind w:right="-1"/>
            </w:pPr>
            <w:r w:rsidRPr="00E42816">
              <w:t>3050</w:t>
            </w:r>
          </w:p>
        </w:tc>
        <w:tc>
          <w:tcPr>
            <w:tcW w:w="990" w:type="dxa"/>
            <w:shd w:val="clear" w:color="auto" w:fill="FFFFFF"/>
          </w:tcPr>
          <w:p w14:paraId="5B075B8F" w14:textId="55E22BA7" w:rsidR="00A26848" w:rsidRPr="00E42816" w:rsidRDefault="00A26848" w:rsidP="00F639C2">
            <w:pPr>
              <w:pStyle w:val="CETBodytext"/>
              <w:ind w:right="-1"/>
            </w:pPr>
            <w:r w:rsidRPr="00E42816">
              <w:t>30</w:t>
            </w:r>
          </w:p>
        </w:tc>
      </w:tr>
      <w:tr w:rsidR="00E42816" w:rsidRPr="00E42816" w14:paraId="08AD4E23" w14:textId="77777777" w:rsidTr="00A26848">
        <w:trPr>
          <w:trHeight w:val="265"/>
        </w:trPr>
        <w:tc>
          <w:tcPr>
            <w:tcW w:w="993" w:type="dxa"/>
            <w:shd w:val="clear" w:color="auto" w:fill="FFFFFF"/>
          </w:tcPr>
          <w:p w14:paraId="3EC2C825" w14:textId="40F96CBA" w:rsidR="00A26848" w:rsidRPr="00E42816" w:rsidRDefault="00A26848" w:rsidP="00F639C2">
            <w:pPr>
              <w:pStyle w:val="CETBodytext"/>
            </w:pPr>
            <w:r w:rsidRPr="00E42816">
              <w:t>4</w:t>
            </w:r>
          </w:p>
        </w:tc>
        <w:tc>
          <w:tcPr>
            <w:tcW w:w="1559" w:type="dxa"/>
            <w:shd w:val="clear" w:color="auto" w:fill="FFFFFF"/>
          </w:tcPr>
          <w:p w14:paraId="51851B24" w14:textId="5023FE56" w:rsidR="00A26848" w:rsidRPr="00E42816" w:rsidRDefault="00A26848" w:rsidP="00F639C2">
            <w:pPr>
              <w:pStyle w:val="CETBodytext"/>
              <w:ind w:right="-1"/>
            </w:pPr>
            <w:r w:rsidRPr="00E42816">
              <w:t>3000</w:t>
            </w:r>
          </w:p>
        </w:tc>
        <w:tc>
          <w:tcPr>
            <w:tcW w:w="1112" w:type="dxa"/>
            <w:shd w:val="clear" w:color="auto" w:fill="FFFFFF"/>
          </w:tcPr>
          <w:p w14:paraId="7A6F1CE6" w14:textId="2D692BAB" w:rsidR="00A26848" w:rsidRPr="00E42816" w:rsidRDefault="00A26848" w:rsidP="00F639C2">
            <w:pPr>
              <w:pStyle w:val="CETBodytext"/>
              <w:ind w:right="-1"/>
            </w:pPr>
            <w:r w:rsidRPr="00E42816">
              <w:t>1500</w:t>
            </w:r>
          </w:p>
        </w:tc>
        <w:tc>
          <w:tcPr>
            <w:tcW w:w="1919" w:type="dxa"/>
            <w:shd w:val="clear" w:color="auto" w:fill="FFFFFF"/>
          </w:tcPr>
          <w:p w14:paraId="13B4A82E" w14:textId="6A4CB37F" w:rsidR="00A26848" w:rsidRPr="00E42816" w:rsidRDefault="00A26848" w:rsidP="00F639C2">
            <w:pPr>
              <w:pStyle w:val="CETBodytext"/>
              <w:ind w:right="-1"/>
            </w:pPr>
            <w:r w:rsidRPr="00E42816">
              <w:t>1340</w:t>
            </w:r>
          </w:p>
        </w:tc>
        <w:tc>
          <w:tcPr>
            <w:tcW w:w="2214" w:type="dxa"/>
            <w:shd w:val="clear" w:color="auto" w:fill="FFFFFF"/>
          </w:tcPr>
          <w:p w14:paraId="14A4B3AC" w14:textId="43B5462D" w:rsidR="00A26848" w:rsidRPr="00E42816" w:rsidRDefault="00A26848" w:rsidP="00F639C2">
            <w:pPr>
              <w:pStyle w:val="CETBodytext"/>
              <w:ind w:right="-1"/>
            </w:pPr>
            <w:r w:rsidRPr="00E42816">
              <w:t>1660</w:t>
            </w:r>
          </w:p>
        </w:tc>
        <w:tc>
          <w:tcPr>
            <w:tcW w:w="990" w:type="dxa"/>
            <w:shd w:val="clear" w:color="auto" w:fill="FFFFFF"/>
          </w:tcPr>
          <w:p w14:paraId="0D8D817D" w14:textId="18694261" w:rsidR="00A26848" w:rsidRPr="00E42816" w:rsidRDefault="00A26848" w:rsidP="00F639C2">
            <w:pPr>
              <w:pStyle w:val="CETBodytext"/>
              <w:ind w:right="-1"/>
            </w:pPr>
            <w:r w:rsidRPr="00E42816">
              <w:t>28</w:t>
            </w:r>
          </w:p>
        </w:tc>
      </w:tr>
    </w:tbl>
    <w:p w14:paraId="786E5180" w14:textId="77777777" w:rsidR="00F639C2" w:rsidRPr="00E42816" w:rsidRDefault="00F639C2" w:rsidP="00F639C2">
      <w:pPr>
        <w:pStyle w:val="CETBodytext"/>
      </w:pPr>
    </w:p>
    <w:p w14:paraId="0C47F6A2" w14:textId="77777777" w:rsidR="00600535" w:rsidRPr="00E42816" w:rsidRDefault="00600535" w:rsidP="00600535">
      <w:pPr>
        <w:pStyle w:val="CETBodytext"/>
      </w:pPr>
    </w:p>
    <w:p w14:paraId="3FCD6105" w14:textId="3080F557" w:rsidR="00600535" w:rsidRPr="00E42816" w:rsidRDefault="00A26848" w:rsidP="00FA5F5F">
      <w:pPr>
        <w:pStyle w:val="CETBodytext"/>
        <w:jc w:val="left"/>
      </w:pPr>
      <w:r w:rsidRPr="00E42816">
        <w:rPr>
          <w:noProof/>
        </w:rPr>
        <w:drawing>
          <wp:inline distT="0" distB="0" distL="0" distR="0" wp14:anchorId="5E50CA11" wp14:editId="4C90C45D">
            <wp:extent cx="2688400" cy="169200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rrelation.jpg"/>
                    <pic:cNvPicPr/>
                  </pic:nvPicPr>
                  <pic:blipFill>
                    <a:blip r:embed="rId11">
                      <a:extLst>
                        <a:ext uri="{28A0092B-C50C-407E-A947-70E740481C1C}">
                          <a14:useLocalDpi xmlns:a14="http://schemas.microsoft.com/office/drawing/2010/main" val="0"/>
                        </a:ext>
                      </a:extLst>
                    </a:blip>
                    <a:stretch>
                      <a:fillRect/>
                    </a:stretch>
                  </pic:blipFill>
                  <pic:spPr>
                    <a:xfrm>
                      <a:off x="0" y="0"/>
                      <a:ext cx="2688400" cy="1692000"/>
                    </a:xfrm>
                    <a:prstGeom prst="rect">
                      <a:avLst/>
                    </a:prstGeom>
                  </pic:spPr>
                </pic:pic>
              </a:graphicData>
            </a:graphic>
          </wp:inline>
        </w:drawing>
      </w:r>
    </w:p>
    <w:p w14:paraId="1BD15E56" w14:textId="5BB8E5A1" w:rsidR="00A26848" w:rsidRPr="00E42816" w:rsidRDefault="00600535" w:rsidP="00A26848">
      <w:pPr>
        <w:pStyle w:val="CETCaption"/>
        <w:rPr>
          <w:lang w:val="en-US"/>
        </w:rPr>
      </w:pPr>
      <w:r w:rsidRPr="00E42816">
        <w:rPr>
          <w:lang w:val="en-US"/>
        </w:rPr>
        <w:t xml:space="preserve">Figure </w:t>
      </w:r>
      <w:r w:rsidR="001D39F4" w:rsidRPr="00E42816">
        <w:rPr>
          <w:lang w:val="en-US"/>
        </w:rPr>
        <w:t>2</w:t>
      </w:r>
      <w:r w:rsidRPr="00E42816">
        <w:rPr>
          <w:lang w:val="en-US"/>
        </w:rPr>
        <w:t xml:space="preserve">: </w:t>
      </w:r>
      <w:r w:rsidR="00A26848" w:rsidRPr="00E42816">
        <w:rPr>
          <w:lang w:val="en-US"/>
        </w:rPr>
        <w:t xml:space="preserve">Correlation between the molecular and effective </w:t>
      </w:r>
      <w:proofErr w:type="spellStart"/>
      <w:r w:rsidR="00A26848" w:rsidRPr="00E42816">
        <w:rPr>
          <w:lang w:val="en-US"/>
        </w:rPr>
        <w:t>Péclet</w:t>
      </w:r>
      <w:proofErr w:type="spellEnd"/>
      <w:r w:rsidR="00A26848" w:rsidRPr="00E42816">
        <w:rPr>
          <w:lang w:val="en-US"/>
        </w:rPr>
        <w:t xml:space="preserve"> numbers</w:t>
      </w:r>
      <w:r w:rsidR="0023120B" w:rsidRPr="00E42816">
        <w:rPr>
          <w:lang w:val="en-US"/>
        </w:rPr>
        <w:t>.</w:t>
      </w:r>
    </w:p>
    <w:p w14:paraId="4A1CD3DF" w14:textId="21F575E1" w:rsidR="00A26848" w:rsidRPr="00E42816" w:rsidRDefault="002D44F3" w:rsidP="00A26848">
      <w:pPr>
        <w:pStyle w:val="CETBodytext"/>
        <w:jc w:val="left"/>
      </w:pPr>
      <w:r w:rsidRPr="00E42816">
        <w:rPr>
          <w:noProof/>
        </w:rPr>
        <w:drawing>
          <wp:inline distT="0" distB="0" distL="0" distR="0" wp14:anchorId="60B7F175" wp14:editId="2027A554">
            <wp:extent cx="3005220" cy="1656000"/>
            <wp:effectExtent l="0" t="0" r="508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omparison.jpg"/>
                    <pic:cNvPicPr/>
                  </pic:nvPicPr>
                  <pic:blipFill>
                    <a:blip r:embed="rId12">
                      <a:extLst>
                        <a:ext uri="{28A0092B-C50C-407E-A947-70E740481C1C}">
                          <a14:useLocalDpi xmlns:a14="http://schemas.microsoft.com/office/drawing/2010/main" val="0"/>
                        </a:ext>
                      </a:extLst>
                    </a:blip>
                    <a:stretch>
                      <a:fillRect/>
                    </a:stretch>
                  </pic:blipFill>
                  <pic:spPr>
                    <a:xfrm>
                      <a:off x="0" y="0"/>
                      <a:ext cx="3005220" cy="1656000"/>
                    </a:xfrm>
                    <a:prstGeom prst="rect">
                      <a:avLst/>
                    </a:prstGeom>
                  </pic:spPr>
                </pic:pic>
              </a:graphicData>
            </a:graphic>
          </wp:inline>
        </w:drawing>
      </w:r>
    </w:p>
    <w:p w14:paraId="4EF8E88E" w14:textId="54E3E70F" w:rsidR="00A26848" w:rsidRPr="00E42816" w:rsidRDefault="00A26848" w:rsidP="00A26848">
      <w:pPr>
        <w:pStyle w:val="CETCaption"/>
        <w:rPr>
          <w:lang w:val="en-US"/>
        </w:rPr>
      </w:pPr>
      <w:r w:rsidRPr="00E42816">
        <w:rPr>
          <w:lang w:val="en-US"/>
        </w:rPr>
        <w:t xml:space="preserve">Figure </w:t>
      </w:r>
      <w:r w:rsidR="001D39F4" w:rsidRPr="00E42816">
        <w:rPr>
          <w:lang w:val="en-US"/>
        </w:rPr>
        <w:t>3</w:t>
      </w:r>
      <w:r w:rsidRPr="00E42816">
        <w:rPr>
          <w:lang w:val="en-US"/>
        </w:rPr>
        <w:t xml:space="preserve">: Comparison between the </w:t>
      </w:r>
      <w:proofErr w:type="spellStart"/>
      <w:r w:rsidRPr="00E42816">
        <w:rPr>
          <w:lang w:val="en-US"/>
        </w:rPr>
        <w:t>Pe</w:t>
      </w:r>
      <w:r w:rsidRPr="00E42816">
        <w:rPr>
          <w:vertAlign w:val="subscript"/>
          <w:lang w:val="en-US"/>
        </w:rPr>
        <w:t>eff</w:t>
      </w:r>
      <w:proofErr w:type="spellEnd"/>
      <w:r w:rsidRPr="00E42816">
        <w:rPr>
          <w:lang w:val="en-US"/>
        </w:rPr>
        <w:t xml:space="preserve"> correlations in solid foams</w:t>
      </w:r>
      <w:r w:rsidR="002D44F3" w:rsidRPr="00E42816">
        <w:rPr>
          <w:lang w:val="en-US"/>
        </w:rPr>
        <w:t xml:space="preserve"> (solid line)</w:t>
      </w:r>
      <w:r w:rsidRPr="00E42816">
        <w:rPr>
          <w:lang w:val="en-US"/>
        </w:rPr>
        <w:t xml:space="preserve"> </w:t>
      </w:r>
      <w:r w:rsidRPr="00E42816">
        <w:rPr>
          <w:u w:val="single"/>
          <w:lang w:val="en-US"/>
        </w:rPr>
        <w:t>and</w:t>
      </w:r>
      <w:r w:rsidRPr="00E42816">
        <w:rPr>
          <w:lang w:val="en-US"/>
        </w:rPr>
        <w:t xml:space="preserve"> packed beds</w:t>
      </w:r>
      <w:r w:rsidR="002D44F3" w:rsidRPr="00E42816">
        <w:rPr>
          <w:lang w:val="en-US"/>
        </w:rPr>
        <w:t xml:space="preserve"> (dashed lines)</w:t>
      </w:r>
      <w:r w:rsidR="0023120B" w:rsidRPr="00E42816">
        <w:rPr>
          <w:lang w:val="en-US"/>
        </w:rPr>
        <w:t>.</w:t>
      </w:r>
    </w:p>
    <w:p w14:paraId="3A7429E4" w14:textId="77777777" w:rsidR="00A26848" w:rsidRPr="00E42816" w:rsidRDefault="00A26848" w:rsidP="00A26848">
      <w:pPr>
        <w:pStyle w:val="CETBodytext"/>
      </w:pPr>
    </w:p>
    <w:p w14:paraId="1577D37E" w14:textId="4D253F31" w:rsidR="00A26848" w:rsidRPr="00E42816" w:rsidRDefault="00A26848" w:rsidP="00A26848">
      <w:pPr>
        <w:pStyle w:val="CETBodytext"/>
        <w:jc w:val="left"/>
      </w:pPr>
      <w:r w:rsidRPr="00E42816">
        <w:rPr>
          <w:noProof/>
        </w:rPr>
        <w:drawing>
          <wp:inline distT="0" distB="0" distL="0" distR="0" wp14:anchorId="28F62B0C" wp14:editId="4EA21237">
            <wp:extent cx="2939887" cy="1620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eparator_performance.jpg"/>
                    <pic:cNvPicPr/>
                  </pic:nvPicPr>
                  <pic:blipFill>
                    <a:blip r:embed="rId13">
                      <a:extLst>
                        <a:ext uri="{28A0092B-C50C-407E-A947-70E740481C1C}">
                          <a14:useLocalDpi xmlns:a14="http://schemas.microsoft.com/office/drawing/2010/main" val="0"/>
                        </a:ext>
                      </a:extLst>
                    </a:blip>
                    <a:stretch>
                      <a:fillRect/>
                    </a:stretch>
                  </pic:blipFill>
                  <pic:spPr>
                    <a:xfrm>
                      <a:off x="0" y="0"/>
                      <a:ext cx="2939887" cy="1620000"/>
                    </a:xfrm>
                    <a:prstGeom prst="rect">
                      <a:avLst/>
                    </a:prstGeom>
                  </pic:spPr>
                </pic:pic>
              </a:graphicData>
            </a:graphic>
          </wp:inline>
        </w:drawing>
      </w:r>
    </w:p>
    <w:p w14:paraId="30F93D13" w14:textId="6E160471" w:rsidR="00A26848" w:rsidRPr="00E42816" w:rsidRDefault="00A26848" w:rsidP="00A26848">
      <w:pPr>
        <w:pStyle w:val="CETCaption"/>
        <w:rPr>
          <w:lang w:val="en-US"/>
        </w:rPr>
      </w:pPr>
      <w:r w:rsidRPr="00E42816">
        <w:rPr>
          <w:lang w:val="en-US"/>
        </w:rPr>
        <w:t xml:space="preserve">Figure </w:t>
      </w:r>
      <w:r w:rsidR="001D39F4" w:rsidRPr="00E42816">
        <w:rPr>
          <w:lang w:val="en-US"/>
        </w:rPr>
        <w:t>4</w:t>
      </w:r>
      <w:r w:rsidRPr="00E42816">
        <w:rPr>
          <w:lang w:val="en-US"/>
        </w:rPr>
        <w:t>: Comparison between separator performances with solid foams and packed beds</w:t>
      </w:r>
      <w:r w:rsidR="00E0548E" w:rsidRPr="00E42816">
        <w:rPr>
          <w:lang w:val="en-US"/>
        </w:rPr>
        <w:t>.</w:t>
      </w:r>
    </w:p>
    <w:p w14:paraId="7D5E4AF0" w14:textId="77777777" w:rsidR="00067D8E" w:rsidRPr="00E42816" w:rsidRDefault="00067D8E" w:rsidP="00067D8E">
      <w:pPr>
        <w:pStyle w:val="CETCaption"/>
        <w:spacing w:before="120" w:after="120"/>
        <w:rPr>
          <w:i w:val="0"/>
          <w:lang w:val="en-US"/>
        </w:rPr>
      </w:pPr>
      <w:r w:rsidRPr="00E42816">
        <w:rPr>
          <w:i w:val="0"/>
          <w:lang w:val="en-US"/>
        </w:rPr>
        <w:t xml:space="preserve">The higher value of the axial </w:t>
      </w:r>
      <w:proofErr w:type="spellStart"/>
      <w:r w:rsidRPr="00E42816">
        <w:rPr>
          <w:i w:val="0"/>
          <w:lang w:val="en-US"/>
        </w:rPr>
        <w:t>Peeff</w:t>
      </w:r>
      <w:proofErr w:type="spellEnd"/>
      <w:r w:rsidRPr="00E42816">
        <w:rPr>
          <w:i w:val="0"/>
          <w:lang w:val="en-US"/>
        </w:rPr>
        <w:t xml:space="preserve"> in solid foams indicates a lower axial dispersion, which enhances the separation efficiency, as shown in Figure 4, where hydrogen permeate flow rates of separation modules packed with either pellets or a solid foam </w:t>
      </w:r>
      <w:proofErr w:type="gramStart"/>
      <w:r w:rsidRPr="00E42816">
        <w:rPr>
          <w:i w:val="0"/>
          <w:lang w:val="en-US"/>
        </w:rPr>
        <w:t>are</w:t>
      </w:r>
      <w:proofErr w:type="gramEnd"/>
      <w:r w:rsidRPr="00E42816">
        <w:rPr>
          <w:i w:val="0"/>
          <w:lang w:val="en-US"/>
        </w:rPr>
        <w:t xml:space="preserve"> compared. The results refer to a separation module having the same geometric characteristics as those used in the experiments described in the present work, without using sweep gas, at a temperature of 450°C and total pressure in the permeate side of 1.5 bar. Figure 5 shows the hydrogen mass fraction profiles obtained in the two membrane modules when working with a pressure in the retentate side of 10 bar. The lower dispersion in the module packed with solid foams favors the formation of steep concentration gradients and consequently improves the performance of the separator.</w:t>
      </w:r>
    </w:p>
    <w:p w14:paraId="2E31A3B2" w14:textId="729D7427" w:rsidR="0091492F" w:rsidRPr="00E42816" w:rsidRDefault="0091492F" w:rsidP="0091492F">
      <w:pPr>
        <w:pStyle w:val="CETBodytext"/>
      </w:pPr>
    </w:p>
    <w:p w14:paraId="0C3C9C3B" w14:textId="6CDE051D" w:rsidR="00A26848" w:rsidRPr="00E42816" w:rsidRDefault="00A26848" w:rsidP="00A26848">
      <w:pPr>
        <w:pStyle w:val="CETBodytext"/>
        <w:jc w:val="left"/>
      </w:pPr>
      <w:r w:rsidRPr="00E42816">
        <w:rPr>
          <w:noProof/>
        </w:rPr>
        <w:lastRenderedPageBreak/>
        <w:drawing>
          <wp:inline distT="0" distB="0" distL="0" distR="0" wp14:anchorId="1C771A74" wp14:editId="5CB2B607">
            <wp:extent cx="4243311" cy="2232000"/>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rofiles.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243311" cy="2232000"/>
                    </a:xfrm>
                    <a:prstGeom prst="rect">
                      <a:avLst/>
                    </a:prstGeom>
                  </pic:spPr>
                </pic:pic>
              </a:graphicData>
            </a:graphic>
          </wp:inline>
        </w:drawing>
      </w:r>
    </w:p>
    <w:p w14:paraId="7D9AE5F0" w14:textId="1D7DE2D2" w:rsidR="00A26848" w:rsidRPr="00E42816" w:rsidRDefault="00A26848" w:rsidP="00067D8E">
      <w:pPr>
        <w:pStyle w:val="CETCaption"/>
        <w:spacing w:before="120" w:after="120"/>
        <w:rPr>
          <w:lang w:val="en-US"/>
        </w:rPr>
      </w:pPr>
      <w:r w:rsidRPr="00E42816">
        <w:rPr>
          <w:lang w:val="en-US"/>
        </w:rPr>
        <w:t xml:space="preserve">Figure </w:t>
      </w:r>
      <w:r w:rsidR="001D39F4" w:rsidRPr="00E42816">
        <w:rPr>
          <w:lang w:val="en-US"/>
        </w:rPr>
        <w:t>5</w:t>
      </w:r>
      <w:r w:rsidRPr="00E42816">
        <w:rPr>
          <w:lang w:val="en-US"/>
        </w:rPr>
        <w:t xml:space="preserve">: Hydrogen </w:t>
      </w:r>
      <w:r w:rsidR="0091492F" w:rsidRPr="00E42816">
        <w:rPr>
          <w:lang w:val="en-US"/>
        </w:rPr>
        <w:t>mass fraction</w:t>
      </w:r>
      <w:r w:rsidRPr="00E42816">
        <w:rPr>
          <w:lang w:val="en-US"/>
        </w:rPr>
        <w:t xml:space="preserve"> profiles in membrane separators packed with pellets (left) and solid foams (right) at 10 bar and 450°C</w:t>
      </w:r>
      <w:r w:rsidR="00CE35E9" w:rsidRPr="00E42816">
        <w:rPr>
          <w:lang w:val="en-US"/>
        </w:rPr>
        <w:t>. The z and r axes are not in scale for visualization purposes</w:t>
      </w:r>
      <w:r w:rsidR="00E0548E" w:rsidRPr="00E42816">
        <w:rPr>
          <w:lang w:val="en-US"/>
        </w:rPr>
        <w:t>.</w:t>
      </w:r>
    </w:p>
    <w:p w14:paraId="1D488A43" w14:textId="77777777" w:rsidR="00600535" w:rsidRPr="00E42816" w:rsidRDefault="00600535" w:rsidP="00600535">
      <w:pPr>
        <w:pStyle w:val="CETHeading1"/>
      </w:pPr>
      <w:r w:rsidRPr="00E42816">
        <w:t>Conclusions</w:t>
      </w:r>
    </w:p>
    <w:p w14:paraId="02ECF4F3" w14:textId="25D462C6" w:rsidR="00600535" w:rsidRPr="00E42816" w:rsidRDefault="006238D0" w:rsidP="00600535">
      <w:pPr>
        <w:pStyle w:val="CETBodytext"/>
      </w:pPr>
      <w:r w:rsidRPr="00E42816">
        <w:t>In the present work experiments have been carried out on a membrane separation module packed with solid foams with the aim of evaluating</w:t>
      </w:r>
      <w:r w:rsidR="0091492F" w:rsidRPr="00E42816">
        <w:rPr>
          <w:i/>
        </w:rPr>
        <w:t xml:space="preserve"> </w:t>
      </w:r>
      <w:proofErr w:type="spellStart"/>
      <w:r w:rsidR="0091492F" w:rsidRPr="00E42816">
        <w:rPr>
          <w:i/>
        </w:rPr>
        <w:t>Pe</w:t>
      </w:r>
      <w:r w:rsidR="0091492F" w:rsidRPr="00E42816">
        <w:rPr>
          <w:i/>
          <w:vertAlign w:val="subscript"/>
        </w:rPr>
        <w:t>eff</w:t>
      </w:r>
      <w:proofErr w:type="spellEnd"/>
      <w:r w:rsidRPr="00E42816">
        <w:t>. The results have shown that, under the conditions investigate</w:t>
      </w:r>
      <w:r w:rsidR="00CE35E9" w:rsidRPr="00E42816">
        <w:t>d</w:t>
      </w:r>
      <w:r w:rsidRPr="00E42816">
        <w:t xml:space="preserve">, a linear relationship exists between the molecular and effective </w:t>
      </w:r>
      <w:proofErr w:type="spellStart"/>
      <w:r w:rsidRPr="00E42816">
        <w:t>Péclet</w:t>
      </w:r>
      <w:proofErr w:type="spellEnd"/>
      <w:r w:rsidRPr="00E42816">
        <w:t xml:space="preserve"> numbers</w:t>
      </w:r>
      <w:r w:rsidR="00CE35E9" w:rsidRPr="00E42816">
        <w:t xml:space="preserve">, whereas a saturation limit for the </w:t>
      </w:r>
      <w:proofErr w:type="spellStart"/>
      <w:proofErr w:type="gramStart"/>
      <w:r w:rsidR="0091492F" w:rsidRPr="00E42816">
        <w:rPr>
          <w:i/>
        </w:rPr>
        <w:t>Pe</w:t>
      </w:r>
      <w:r w:rsidR="0091492F" w:rsidRPr="00E42816">
        <w:rPr>
          <w:i/>
          <w:vertAlign w:val="subscript"/>
        </w:rPr>
        <w:t>eff,r</w:t>
      </w:r>
      <w:proofErr w:type="spellEnd"/>
      <w:proofErr w:type="gramEnd"/>
      <w:r w:rsidR="0091492F" w:rsidRPr="00E42816">
        <w:t xml:space="preserve"> and </w:t>
      </w:r>
      <w:proofErr w:type="spellStart"/>
      <w:r w:rsidR="0091492F" w:rsidRPr="00E42816">
        <w:rPr>
          <w:i/>
        </w:rPr>
        <w:t>Pe</w:t>
      </w:r>
      <w:r w:rsidR="0091492F" w:rsidRPr="00E42816">
        <w:rPr>
          <w:i/>
          <w:vertAlign w:val="subscript"/>
        </w:rPr>
        <w:t>eff,z</w:t>
      </w:r>
      <w:proofErr w:type="spellEnd"/>
      <w:r w:rsidR="0091492F" w:rsidRPr="00E42816">
        <w:t xml:space="preserve"> </w:t>
      </w:r>
      <w:r w:rsidR="00CE35E9" w:rsidRPr="00E42816">
        <w:t>is found in packed beds under the same conditions</w:t>
      </w:r>
      <w:r w:rsidRPr="00E42816">
        <w:t xml:space="preserve">. </w:t>
      </w:r>
      <w:r w:rsidR="00B12EA0" w:rsidRPr="00E42816">
        <w:t>The solid foams were found to convey a lower dispersion than packed beds</w:t>
      </w:r>
      <w:r w:rsidR="0091492F" w:rsidRPr="00E42816">
        <w:t>, which</w:t>
      </w:r>
      <w:r w:rsidR="00B12EA0" w:rsidRPr="00E42816">
        <w:t xml:space="preserve"> increased the overall separation efficiency. Future work should be carried out using foams with different geometric characteristics, in order to define the relationship between the coefficients of the linear correlation with the geometric parameters describing the foam.</w:t>
      </w:r>
    </w:p>
    <w:p w14:paraId="5AFC52DD" w14:textId="77777777" w:rsidR="00600535" w:rsidRPr="00E42816" w:rsidRDefault="00600535" w:rsidP="00067D8E">
      <w:pPr>
        <w:pStyle w:val="CETReference"/>
        <w:spacing w:before="120"/>
        <w:rPr>
          <w:lang w:val="en-US"/>
        </w:rPr>
      </w:pPr>
      <w:r w:rsidRPr="00E42816">
        <w:rPr>
          <w:lang w:val="en-US"/>
        </w:rPr>
        <w:t>References</w:t>
      </w:r>
    </w:p>
    <w:p w14:paraId="32AE9662" w14:textId="77777777" w:rsidR="00E65B91" w:rsidRPr="00E42816" w:rsidRDefault="00E65B91" w:rsidP="00600535">
      <w:pPr>
        <w:pStyle w:val="CETReferencetext"/>
        <w:rPr>
          <w:sz w:val="8"/>
          <w:szCs w:val="16"/>
          <w:lang w:val="en-US"/>
        </w:rPr>
      </w:pPr>
    </w:p>
    <w:p w14:paraId="220F0D5B" w14:textId="10570AFD" w:rsidR="00A84567" w:rsidRPr="00E42816" w:rsidRDefault="00A84567" w:rsidP="006B4888">
      <w:pPr>
        <w:pStyle w:val="CETReferencetext"/>
        <w:rPr>
          <w:lang w:val="en-US"/>
        </w:rPr>
      </w:pPr>
      <w:proofErr w:type="spellStart"/>
      <w:r w:rsidRPr="00E42816">
        <w:rPr>
          <w:lang w:val="en-US"/>
        </w:rPr>
        <w:t>Abir</w:t>
      </w:r>
      <w:proofErr w:type="spellEnd"/>
      <w:r w:rsidRPr="00E42816">
        <w:rPr>
          <w:lang w:val="en-US"/>
        </w:rPr>
        <w:t xml:space="preserve">, H., Sheintuch, M., 2016, </w:t>
      </w:r>
      <w:r w:rsidR="004F6CD3" w:rsidRPr="00E42816">
        <w:rPr>
          <w:lang w:val="en-US"/>
        </w:rPr>
        <w:t>Modeling H</w:t>
      </w:r>
      <w:r w:rsidR="004F6CD3" w:rsidRPr="00E42816">
        <w:rPr>
          <w:vertAlign w:val="subscript"/>
          <w:lang w:val="en-US"/>
        </w:rPr>
        <w:t>2</w:t>
      </w:r>
      <w:r w:rsidR="004F6CD3" w:rsidRPr="00E42816">
        <w:rPr>
          <w:lang w:val="en-US"/>
        </w:rPr>
        <w:t xml:space="preserve"> transport through a Pd or Pd/Ag membrane, and its inhibition by co-adsorbates, from first principles, </w:t>
      </w:r>
      <w:r w:rsidRPr="00E42816">
        <w:rPr>
          <w:lang w:val="en-US"/>
        </w:rPr>
        <w:t>AIChE Journal, 62, 2112-2125.</w:t>
      </w:r>
    </w:p>
    <w:p w14:paraId="0F655E34" w14:textId="15B97931" w:rsidR="00A84567" w:rsidRPr="00E42816" w:rsidRDefault="00A26848" w:rsidP="00457565">
      <w:pPr>
        <w:pStyle w:val="CETReferencetext"/>
        <w:rPr>
          <w:lang w:val="en-US"/>
        </w:rPr>
      </w:pPr>
      <w:r w:rsidRPr="00E42816">
        <w:rPr>
          <w:lang w:val="en-US"/>
        </w:rPr>
        <w:t>Delgado, A., 2006, A critical review of dispersion in packed beds, Heat and Mass Transfer, 42, 279-310.</w:t>
      </w:r>
    </w:p>
    <w:p w14:paraId="522743ED" w14:textId="0FAE0553" w:rsidR="005D1E8E" w:rsidRPr="00E42816" w:rsidRDefault="005D1E8E" w:rsidP="006B4888">
      <w:pPr>
        <w:pStyle w:val="CETReferencetext"/>
        <w:rPr>
          <w:lang w:val="en-US"/>
        </w:rPr>
      </w:pPr>
      <w:proofErr w:type="spellStart"/>
      <w:r w:rsidRPr="00E42816">
        <w:rPr>
          <w:lang w:val="en-US"/>
        </w:rPr>
        <w:t>Giani</w:t>
      </w:r>
      <w:proofErr w:type="spellEnd"/>
      <w:r w:rsidRPr="00E42816">
        <w:rPr>
          <w:lang w:val="en-US"/>
        </w:rPr>
        <w:t xml:space="preserve">, L., </w:t>
      </w:r>
      <w:proofErr w:type="spellStart"/>
      <w:r w:rsidRPr="00E42816">
        <w:rPr>
          <w:lang w:val="en-US"/>
        </w:rPr>
        <w:t>Groppi</w:t>
      </w:r>
      <w:proofErr w:type="spellEnd"/>
      <w:r w:rsidRPr="00E42816">
        <w:rPr>
          <w:lang w:val="en-US"/>
        </w:rPr>
        <w:t xml:space="preserve">, G., </w:t>
      </w:r>
      <w:proofErr w:type="spellStart"/>
      <w:r w:rsidRPr="00E42816">
        <w:rPr>
          <w:lang w:val="en-US"/>
        </w:rPr>
        <w:t>Tronconi</w:t>
      </w:r>
      <w:proofErr w:type="spellEnd"/>
      <w:r w:rsidRPr="00E42816">
        <w:rPr>
          <w:lang w:val="en-US"/>
        </w:rPr>
        <w:t>, E, 2005, Mass-transfer characterization of metallic foams as supports for structured catalysts, Industrial &amp; Engineering Chemistry Research, 44, 4993-5002.</w:t>
      </w:r>
    </w:p>
    <w:p w14:paraId="247169C9" w14:textId="7A4B5249" w:rsidR="00600535" w:rsidRPr="00E42816" w:rsidRDefault="005D1E8E" w:rsidP="005D1E8E">
      <w:pPr>
        <w:pStyle w:val="CETReferencetext"/>
        <w:rPr>
          <w:lang w:val="en-US"/>
        </w:rPr>
      </w:pPr>
      <w:proofErr w:type="spellStart"/>
      <w:r w:rsidRPr="00E42816">
        <w:rPr>
          <w:lang w:val="en-US"/>
        </w:rPr>
        <w:t>Habisreuther</w:t>
      </w:r>
      <w:proofErr w:type="spellEnd"/>
      <w:r w:rsidRPr="00E42816">
        <w:rPr>
          <w:lang w:val="en-US"/>
        </w:rPr>
        <w:t xml:space="preserve">, P., Djordjevic, N., </w:t>
      </w:r>
      <w:proofErr w:type="spellStart"/>
      <w:r w:rsidRPr="00E42816">
        <w:rPr>
          <w:lang w:val="en-US"/>
        </w:rPr>
        <w:t>Zarzalis</w:t>
      </w:r>
      <w:proofErr w:type="spellEnd"/>
      <w:r w:rsidRPr="00E42816">
        <w:rPr>
          <w:lang w:val="en-US"/>
        </w:rPr>
        <w:t>, N., 2009, Statistical distribution of residence time and tortuosity flow through open-cell foams, Chemical Engineering Science, 64, 4943-4954.</w:t>
      </w:r>
    </w:p>
    <w:p w14:paraId="0924B379" w14:textId="1999F587" w:rsidR="00A84567" w:rsidRPr="00E42816" w:rsidRDefault="00A84567" w:rsidP="005D1E8E">
      <w:pPr>
        <w:pStyle w:val="CETReferencetext"/>
        <w:rPr>
          <w:lang w:val="en-US"/>
        </w:rPr>
      </w:pPr>
      <w:proofErr w:type="spellStart"/>
      <w:r w:rsidRPr="00E42816">
        <w:rPr>
          <w:lang w:val="en-US"/>
        </w:rPr>
        <w:t>Kyriakides</w:t>
      </w:r>
      <w:proofErr w:type="spellEnd"/>
      <w:r w:rsidRPr="00E42816">
        <w:rPr>
          <w:lang w:val="en-US"/>
        </w:rPr>
        <w:t xml:space="preserve">, A.S., Rodríguez-García, L., Voutetakis, S., </w:t>
      </w:r>
      <w:proofErr w:type="spellStart"/>
      <w:r w:rsidRPr="00E42816">
        <w:rPr>
          <w:lang w:val="en-US"/>
        </w:rPr>
        <w:t>Ipsakis</w:t>
      </w:r>
      <w:proofErr w:type="spellEnd"/>
      <w:r w:rsidRPr="00E42816">
        <w:rPr>
          <w:lang w:val="en-US"/>
        </w:rPr>
        <w:t xml:space="preserve">, D., </w:t>
      </w:r>
      <w:proofErr w:type="spellStart"/>
      <w:r w:rsidRPr="00E42816">
        <w:rPr>
          <w:lang w:val="en-US"/>
        </w:rPr>
        <w:t>Seferlis</w:t>
      </w:r>
      <w:proofErr w:type="spellEnd"/>
      <w:r w:rsidRPr="00E42816">
        <w:rPr>
          <w:lang w:val="en-US"/>
        </w:rPr>
        <w:t xml:space="preserve">, P., </w:t>
      </w:r>
      <w:proofErr w:type="spellStart"/>
      <w:r w:rsidRPr="00E42816">
        <w:rPr>
          <w:lang w:val="en-US"/>
        </w:rPr>
        <w:t>Papadopoulou</w:t>
      </w:r>
      <w:proofErr w:type="spellEnd"/>
      <w:r w:rsidRPr="00E42816">
        <w:rPr>
          <w:lang w:val="en-US"/>
        </w:rPr>
        <w:t xml:space="preserve">, S., </w:t>
      </w:r>
      <w:r w:rsidR="004F6CD3" w:rsidRPr="00E42816">
        <w:rPr>
          <w:lang w:val="en-US"/>
        </w:rPr>
        <w:t xml:space="preserve">Enhancement of pure hydrogen production </w:t>
      </w:r>
      <w:proofErr w:type="gramStart"/>
      <w:r w:rsidR="004F6CD3" w:rsidRPr="00E42816">
        <w:rPr>
          <w:lang w:val="en-US"/>
        </w:rPr>
        <w:t>through the use of</w:t>
      </w:r>
      <w:proofErr w:type="gramEnd"/>
      <w:r w:rsidR="004F6CD3" w:rsidRPr="00E42816">
        <w:rPr>
          <w:lang w:val="en-US"/>
        </w:rPr>
        <w:t xml:space="preserve"> a membrane reactor, </w:t>
      </w:r>
      <w:r w:rsidRPr="00E42816">
        <w:rPr>
          <w:lang w:val="en-US"/>
        </w:rPr>
        <w:t>2014, International Journal of Hydrogen Energy, 39, 4749-4760.</w:t>
      </w:r>
    </w:p>
    <w:p w14:paraId="2431DB3A" w14:textId="6DBA63E7" w:rsidR="005D1E8E" w:rsidRPr="00E42816" w:rsidRDefault="005D1E8E" w:rsidP="005D1E8E">
      <w:pPr>
        <w:pStyle w:val="CETReferencetext"/>
        <w:rPr>
          <w:lang w:val="en-US"/>
        </w:rPr>
      </w:pPr>
      <w:proofErr w:type="spellStart"/>
      <w:r w:rsidRPr="00E42816">
        <w:rPr>
          <w:lang w:val="en-US"/>
        </w:rPr>
        <w:t>Lucci</w:t>
      </w:r>
      <w:proofErr w:type="spellEnd"/>
      <w:r w:rsidRPr="00E42816">
        <w:rPr>
          <w:lang w:val="en-US"/>
        </w:rPr>
        <w:t>, F., Della Torre, A., Montenegro, G., Eggenschwiler, P.D., 2015, On the catalytic performance of open cell structures versus honeycombs, Chemical Engineering Journal, 264, 514-521.</w:t>
      </w:r>
    </w:p>
    <w:p w14:paraId="229786F6" w14:textId="287336D2" w:rsidR="007A1A55" w:rsidRPr="00E42816" w:rsidRDefault="007A1A55" w:rsidP="007A1A55">
      <w:pPr>
        <w:pStyle w:val="CETReferencetext"/>
        <w:rPr>
          <w:lang w:val="en-US"/>
        </w:rPr>
      </w:pPr>
      <w:r w:rsidRPr="00E42816">
        <w:rPr>
          <w:lang w:val="it-IT"/>
        </w:rPr>
        <w:t xml:space="preserve">Mori, N., Nakamura, T., </w:t>
      </w:r>
      <w:proofErr w:type="spellStart"/>
      <w:r w:rsidRPr="00E42816">
        <w:rPr>
          <w:lang w:val="it-IT"/>
        </w:rPr>
        <w:t>Noda</w:t>
      </w:r>
      <w:proofErr w:type="spellEnd"/>
      <w:r w:rsidRPr="00E42816">
        <w:rPr>
          <w:lang w:val="it-IT"/>
        </w:rPr>
        <w:t xml:space="preserve">, K., Sakai, O., Takahashi, A., </w:t>
      </w:r>
      <w:proofErr w:type="spellStart"/>
      <w:r w:rsidRPr="00E42816">
        <w:rPr>
          <w:lang w:val="it-IT"/>
        </w:rPr>
        <w:t>Ogawa</w:t>
      </w:r>
      <w:proofErr w:type="spellEnd"/>
      <w:r w:rsidRPr="00E42816">
        <w:rPr>
          <w:lang w:val="it-IT"/>
        </w:rPr>
        <w:t xml:space="preserve">, N., Sakai, H., </w:t>
      </w:r>
      <w:proofErr w:type="spellStart"/>
      <w:r w:rsidRPr="00E42816">
        <w:rPr>
          <w:lang w:val="it-IT"/>
        </w:rPr>
        <w:t>Iwamoto</w:t>
      </w:r>
      <w:proofErr w:type="spellEnd"/>
      <w:r w:rsidRPr="00E42816">
        <w:rPr>
          <w:lang w:val="it-IT"/>
        </w:rPr>
        <w:t xml:space="preserve">, Y., </w:t>
      </w:r>
      <w:proofErr w:type="spellStart"/>
      <w:r w:rsidRPr="00E42816">
        <w:rPr>
          <w:lang w:val="it-IT"/>
        </w:rPr>
        <w:t>Hattori</w:t>
      </w:r>
      <w:proofErr w:type="spellEnd"/>
      <w:r w:rsidRPr="00E42816">
        <w:rPr>
          <w:lang w:val="it-IT"/>
        </w:rPr>
        <w:t xml:space="preserve">, T., 2007. </w:t>
      </w:r>
      <w:r w:rsidRPr="00E42816">
        <w:rPr>
          <w:lang w:val="en-US"/>
        </w:rPr>
        <w:t>Reactor conﬁguration and concentration polarization in methane steam reforming by a membrane reactor with a highly hydrogen-permeable membrane. Industrial &amp; Engineering Chemistry Research, 46,1952–1958.</w:t>
      </w:r>
    </w:p>
    <w:p w14:paraId="01056DA1" w14:textId="121A903D" w:rsidR="005D1E8E" w:rsidRPr="00E42816" w:rsidRDefault="005D1E8E" w:rsidP="00067D8E">
      <w:pPr>
        <w:pStyle w:val="CETReferencetext"/>
        <w:rPr>
          <w:lang w:val="en-US"/>
        </w:rPr>
      </w:pPr>
      <w:r w:rsidRPr="00E42816">
        <w:rPr>
          <w:lang w:val="en-US"/>
        </w:rPr>
        <w:t>Murmura, M.A., Cerbelli, S., Turc</w:t>
      </w:r>
      <w:r w:rsidR="00CE2A99" w:rsidRPr="00E42816">
        <w:rPr>
          <w:lang w:val="en-US"/>
        </w:rPr>
        <w:t>h</w:t>
      </w:r>
      <w:r w:rsidRPr="00E42816">
        <w:rPr>
          <w:lang w:val="en-US"/>
        </w:rPr>
        <w:t>etti, L., Annesini, M.C., 2016, Transport-permeation regimes in an annular membrane separator for hydrogen purification, Journal of Membrane Science, 503, 199-211.</w:t>
      </w:r>
    </w:p>
    <w:p w14:paraId="201C3640" w14:textId="50BEE817" w:rsidR="00067D8E" w:rsidRPr="00E42816" w:rsidRDefault="00067D8E" w:rsidP="00067D8E">
      <w:pPr>
        <w:pStyle w:val="CETReferencetext"/>
        <w:rPr>
          <w:lang w:val="en-US"/>
        </w:rPr>
      </w:pPr>
      <w:r w:rsidRPr="00E42816">
        <w:rPr>
          <w:lang w:val="en-US"/>
        </w:rPr>
        <w:t>Murmura, M.A., Cerbelli, S., Annesini, M.C., 2017, Modelling and optimization of hydrogen yield in membrane steam reforming reactors, Canadian Journal of Chemical Engineering, 95, 1676-1682</w:t>
      </w:r>
    </w:p>
    <w:p w14:paraId="4AAAF0A8" w14:textId="4968DDD1" w:rsidR="00CE35E9" w:rsidRPr="00E42816" w:rsidRDefault="00CE35E9" w:rsidP="005D1E8E">
      <w:pPr>
        <w:pStyle w:val="CETReferencetext"/>
        <w:rPr>
          <w:lang w:val="en-US"/>
        </w:rPr>
      </w:pPr>
      <w:r w:rsidRPr="00E42816">
        <w:rPr>
          <w:lang w:val="en-US"/>
        </w:rPr>
        <w:t>Murmura, M.A., Cerbelli, S., Annesini, M.C., 2017</w:t>
      </w:r>
      <w:r w:rsidR="00067D8E" w:rsidRPr="00E42816">
        <w:rPr>
          <w:lang w:val="en-US"/>
        </w:rPr>
        <w:t>a</w:t>
      </w:r>
      <w:r w:rsidRPr="00E42816">
        <w:rPr>
          <w:lang w:val="en-US"/>
        </w:rPr>
        <w:t>, Transport-reaction-permeation regimes in an annular membrane separator for hydrogen purification, Chemical Engineering Science, 162, 88-103.</w:t>
      </w:r>
    </w:p>
    <w:p w14:paraId="3E951C75" w14:textId="491261B7" w:rsidR="003A4740" w:rsidRPr="00E42816" w:rsidRDefault="003A4740" w:rsidP="00457565">
      <w:pPr>
        <w:pStyle w:val="CETReferencetext"/>
        <w:jc w:val="left"/>
        <w:rPr>
          <w:lang w:val="en-US"/>
        </w:rPr>
      </w:pPr>
      <w:r w:rsidRPr="00E42816">
        <w:rPr>
          <w:lang w:val="en-US"/>
        </w:rPr>
        <w:t>Murmura, M.A., Sheintuch, M., 2018, Permeance inhibition of Pd-based membranes by competitive adsorption of CO: membrane size effects and first principles predictions, Chemical Engineering Journal, 347, 301-312.</w:t>
      </w:r>
    </w:p>
    <w:p w14:paraId="6A750CA3" w14:textId="64597082" w:rsidR="005D1E8E" w:rsidRPr="00E42816" w:rsidRDefault="005D1E8E" w:rsidP="005D1E8E">
      <w:pPr>
        <w:pStyle w:val="CETReferencetext"/>
        <w:rPr>
          <w:lang w:val="en-US"/>
        </w:rPr>
      </w:pPr>
      <w:proofErr w:type="spellStart"/>
      <w:r w:rsidRPr="00E42816">
        <w:rPr>
          <w:lang w:val="en-US"/>
        </w:rPr>
        <w:t>Patcas</w:t>
      </w:r>
      <w:proofErr w:type="spellEnd"/>
      <w:r w:rsidRPr="00E42816">
        <w:rPr>
          <w:lang w:val="en-US"/>
        </w:rPr>
        <w:t xml:space="preserve">, F.C., Garrido, G.I., </w:t>
      </w:r>
      <w:proofErr w:type="spellStart"/>
      <w:r w:rsidRPr="00E42816">
        <w:rPr>
          <w:lang w:val="en-US"/>
        </w:rPr>
        <w:t>Kraushaar-Czarnetzki</w:t>
      </w:r>
      <w:proofErr w:type="spellEnd"/>
      <w:r w:rsidRPr="00E42816">
        <w:rPr>
          <w:lang w:val="en-US"/>
        </w:rPr>
        <w:t>, B., 2007, CO oxidation over structured carriers: a comparison of ceramic foams, honeycombs and beads, Chemical Engineering Science, 62, 3984-3990.</w:t>
      </w:r>
    </w:p>
    <w:p w14:paraId="66CA0D6D" w14:textId="08E4CA4A" w:rsidR="004628D2" w:rsidRPr="00E42816" w:rsidRDefault="00A84567" w:rsidP="0091492F">
      <w:pPr>
        <w:pStyle w:val="CETReferencetext"/>
        <w:rPr>
          <w:lang w:val="en-US"/>
        </w:rPr>
      </w:pPr>
      <w:r w:rsidRPr="00E42816">
        <w:rPr>
          <w:lang w:val="en-US"/>
        </w:rPr>
        <w:t xml:space="preserve">Turchetti, L., Murmura, M.A., Monteleone, G., Giaconia, A., Lemonidou, A.A., </w:t>
      </w:r>
      <w:proofErr w:type="spellStart"/>
      <w:r w:rsidRPr="00E42816">
        <w:rPr>
          <w:lang w:val="en-US"/>
        </w:rPr>
        <w:t>Angeli</w:t>
      </w:r>
      <w:proofErr w:type="spellEnd"/>
      <w:r w:rsidRPr="00E42816">
        <w:rPr>
          <w:lang w:val="en-US"/>
        </w:rPr>
        <w:t>, S.D., Palma, V., Ruocco, C., Annesini, M.C., 2016,</w:t>
      </w:r>
      <w:r w:rsidR="004F6CD3" w:rsidRPr="00E42816">
        <w:rPr>
          <w:lang w:val="en-US"/>
        </w:rPr>
        <w:t xml:space="preserve"> Kinetic assessment of Ni-based catalysts in low-temperature methane/biogas steam reforming,</w:t>
      </w:r>
      <w:r w:rsidRPr="00E42816">
        <w:rPr>
          <w:lang w:val="en-US"/>
        </w:rPr>
        <w:t xml:space="preserve"> International Journal of Hydrogen Energy, 41, 16856-16877.</w:t>
      </w:r>
    </w:p>
    <w:sectPr w:rsidR="004628D2" w:rsidRPr="00E42816"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E5FB31" w14:textId="77777777" w:rsidR="00C57B06" w:rsidRDefault="00C57B06" w:rsidP="004F5E36">
      <w:r>
        <w:separator/>
      </w:r>
    </w:p>
  </w:endnote>
  <w:endnote w:type="continuationSeparator" w:id="0">
    <w:p w14:paraId="05130E40" w14:textId="77777777" w:rsidR="00C57B06" w:rsidRDefault="00C57B06"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7" w:csb1="00000000"/>
  </w:font>
  <w:font w:name="AdvP6960">
    <w:altName w:val="Cambria"/>
    <w:panose1 w:val="00000000000000000000"/>
    <w:charset w:val="00"/>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83163F" w14:textId="77777777" w:rsidR="00C57B06" w:rsidRDefault="00C57B06" w:rsidP="004F5E36">
      <w:r>
        <w:separator/>
      </w:r>
    </w:p>
  </w:footnote>
  <w:footnote w:type="continuationSeparator" w:id="0">
    <w:p w14:paraId="3D2A4B77" w14:textId="77777777" w:rsidR="00C57B06" w:rsidRDefault="00C57B06"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3"/>
  </w:num>
  <w:num w:numId="14">
    <w:abstractNumId w:val="18"/>
  </w:num>
  <w:num w:numId="15">
    <w:abstractNumId w:val="20"/>
  </w:num>
  <w:num w:numId="16">
    <w:abstractNumId w:val="19"/>
  </w:num>
  <w:num w:numId="17">
    <w:abstractNumId w:val="12"/>
  </w:num>
  <w:num w:numId="18">
    <w:abstractNumId w:val="13"/>
    <w:lvlOverride w:ilvl="0">
      <w:startOverride w:val="1"/>
    </w:lvlOverride>
  </w:num>
  <w:num w:numId="19">
    <w:abstractNumId w:val="16"/>
  </w:num>
  <w:num w:numId="20">
    <w:abstractNumId w:val="15"/>
  </w:num>
  <w:num w:numId="21">
    <w:abstractNumId w:val="14"/>
  </w:num>
  <w:num w:numId="22">
    <w:abstractNumId w:val="21"/>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0F40"/>
    <w:rsid w:val="000117CB"/>
    <w:rsid w:val="0003148D"/>
    <w:rsid w:val="00047D7F"/>
    <w:rsid w:val="00051566"/>
    <w:rsid w:val="00062A9A"/>
    <w:rsid w:val="00065058"/>
    <w:rsid w:val="00067D8E"/>
    <w:rsid w:val="00074F73"/>
    <w:rsid w:val="00086C39"/>
    <w:rsid w:val="000A03B2"/>
    <w:rsid w:val="000A3B79"/>
    <w:rsid w:val="000D319F"/>
    <w:rsid w:val="000D34BE"/>
    <w:rsid w:val="000E102F"/>
    <w:rsid w:val="000E36F1"/>
    <w:rsid w:val="000E3A73"/>
    <w:rsid w:val="000E414A"/>
    <w:rsid w:val="000F093C"/>
    <w:rsid w:val="000F16BD"/>
    <w:rsid w:val="000F278D"/>
    <w:rsid w:val="000F787B"/>
    <w:rsid w:val="00104196"/>
    <w:rsid w:val="001118ED"/>
    <w:rsid w:val="0012091F"/>
    <w:rsid w:val="00126BC2"/>
    <w:rsid w:val="001308B6"/>
    <w:rsid w:val="0013121F"/>
    <w:rsid w:val="00131FAB"/>
    <w:rsid w:val="00131FE6"/>
    <w:rsid w:val="0013263F"/>
    <w:rsid w:val="00134DE4"/>
    <w:rsid w:val="0014034D"/>
    <w:rsid w:val="00150E59"/>
    <w:rsid w:val="00152DE3"/>
    <w:rsid w:val="00164CF9"/>
    <w:rsid w:val="00184AD6"/>
    <w:rsid w:val="001A6F51"/>
    <w:rsid w:val="001B0349"/>
    <w:rsid w:val="001B5C14"/>
    <w:rsid w:val="001B65C1"/>
    <w:rsid w:val="001C684B"/>
    <w:rsid w:val="001D39F4"/>
    <w:rsid w:val="001D53FC"/>
    <w:rsid w:val="001F42A5"/>
    <w:rsid w:val="001F7B9D"/>
    <w:rsid w:val="002224B4"/>
    <w:rsid w:val="0023120B"/>
    <w:rsid w:val="002327F3"/>
    <w:rsid w:val="002447EF"/>
    <w:rsid w:val="00251550"/>
    <w:rsid w:val="00252C1A"/>
    <w:rsid w:val="00263B05"/>
    <w:rsid w:val="0027221A"/>
    <w:rsid w:val="00275B61"/>
    <w:rsid w:val="00282656"/>
    <w:rsid w:val="0029190E"/>
    <w:rsid w:val="00296B83"/>
    <w:rsid w:val="002B78CE"/>
    <w:rsid w:val="002C2FB6"/>
    <w:rsid w:val="002D44F3"/>
    <w:rsid w:val="002D5BCD"/>
    <w:rsid w:val="002E6F1E"/>
    <w:rsid w:val="003009B7"/>
    <w:rsid w:val="00300E56"/>
    <w:rsid w:val="0030469C"/>
    <w:rsid w:val="00321CA6"/>
    <w:rsid w:val="00334C09"/>
    <w:rsid w:val="003365E3"/>
    <w:rsid w:val="00367A65"/>
    <w:rsid w:val="003723D4"/>
    <w:rsid w:val="00384CC8"/>
    <w:rsid w:val="003871FD"/>
    <w:rsid w:val="003A1E30"/>
    <w:rsid w:val="003A4740"/>
    <w:rsid w:val="003A7D1C"/>
    <w:rsid w:val="003B304B"/>
    <w:rsid w:val="003B3146"/>
    <w:rsid w:val="003B60F3"/>
    <w:rsid w:val="003C1015"/>
    <w:rsid w:val="003D7C44"/>
    <w:rsid w:val="003E189A"/>
    <w:rsid w:val="003F015E"/>
    <w:rsid w:val="00400414"/>
    <w:rsid w:val="00411BB9"/>
    <w:rsid w:val="004128CA"/>
    <w:rsid w:val="0041446B"/>
    <w:rsid w:val="004250FF"/>
    <w:rsid w:val="00432F6C"/>
    <w:rsid w:val="0044329C"/>
    <w:rsid w:val="00457565"/>
    <w:rsid w:val="004577FE"/>
    <w:rsid w:val="00457B9C"/>
    <w:rsid w:val="0046164A"/>
    <w:rsid w:val="004628D2"/>
    <w:rsid w:val="00462DCD"/>
    <w:rsid w:val="004648AD"/>
    <w:rsid w:val="004703A9"/>
    <w:rsid w:val="004760DE"/>
    <w:rsid w:val="00492F15"/>
    <w:rsid w:val="004A004E"/>
    <w:rsid w:val="004A24CF"/>
    <w:rsid w:val="004A6EE2"/>
    <w:rsid w:val="004B6721"/>
    <w:rsid w:val="004C2700"/>
    <w:rsid w:val="004C3D1D"/>
    <w:rsid w:val="004C7913"/>
    <w:rsid w:val="004D2D2F"/>
    <w:rsid w:val="004E4DD6"/>
    <w:rsid w:val="004F5E36"/>
    <w:rsid w:val="004F6CD3"/>
    <w:rsid w:val="00507B47"/>
    <w:rsid w:val="00507CC9"/>
    <w:rsid w:val="005119A5"/>
    <w:rsid w:val="005278B7"/>
    <w:rsid w:val="00532016"/>
    <w:rsid w:val="005346C8"/>
    <w:rsid w:val="005421B5"/>
    <w:rsid w:val="00543E7D"/>
    <w:rsid w:val="00546B05"/>
    <w:rsid w:val="00547A68"/>
    <w:rsid w:val="005531C9"/>
    <w:rsid w:val="0057243B"/>
    <w:rsid w:val="005B1AFB"/>
    <w:rsid w:val="005B2110"/>
    <w:rsid w:val="005B61E6"/>
    <w:rsid w:val="005C77E1"/>
    <w:rsid w:val="005D1E8E"/>
    <w:rsid w:val="005D6A2F"/>
    <w:rsid w:val="005E1A82"/>
    <w:rsid w:val="005E794C"/>
    <w:rsid w:val="005F0A28"/>
    <w:rsid w:val="005F0E5E"/>
    <w:rsid w:val="005F22D9"/>
    <w:rsid w:val="00600535"/>
    <w:rsid w:val="00610CD6"/>
    <w:rsid w:val="00620DEE"/>
    <w:rsid w:val="00621F92"/>
    <w:rsid w:val="006238D0"/>
    <w:rsid w:val="00625639"/>
    <w:rsid w:val="00626997"/>
    <w:rsid w:val="00631B33"/>
    <w:rsid w:val="00632A17"/>
    <w:rsid w:val="0064184D"/>
    <w:rsid w:val="006422CC"/>
    <w:rsid w:val="00660E3E"/>
    <w:rsid w:val="00662E74"/>
    <w:rsid w:val="00680C23"/>
    <w:rsid w:val="00693766"/>
    <w:rsid w:val="006A3281"/>
    <w:rsid w:val="006B2FC4"/>
    <w:rsid w:val="006B4888"/>
    <w:rsid w:val="006C2E45"/>
    <w:rsid w:val="006C359C"/>
    <w:rsid w:val="006C5579"/>
    <w:rsid w:val="006E737D"/>
    <w:rsid w:val="0070195D"/>
    <w:rsid w:val="00720A24"/>
    <w:rsid w:val="00732386"/>
    <w:rsid w:val="007447F3"/>
    <w:rsid w:val="0075499F"/>
    <w:rsid w:val="007661C8"/>
    <w:rsid w:val="0077098D"/>
    <w:rsid w:val="00790A97"/>
    <w:rsid w:val="007931FA"/>
    <w:rsid w:val="007A1A55"/>
    <w:rsid w:val="007A7BBA"/>
    <w:rsid w:val="007B0C50"/>
    <w:rsid w:val="007C1A43"/>
    <w:rsid w:val="007E1DC6"/>
    <w:rsid w:val="007F4B7C"/>
    <w:rsid w:val="00813288"/>
    <w:rsid w:val="008168FC"/>
    <w:rsid w:val="00830996"/>
    <w:rsid w:val="008345F1"/>
    <w:rsid w:val="008543F4"/>
    <w:rsid w:val="0086592C"/>
    <w:rsid w:val="00865B07"/>
    <w:rsid w:val="008667EA"/>
    <w:rsid w:val="0087149C"/>
    <w:rsid w:val="0087637F"/>
    <w:rsid w:val="008823BF"/>
    <w:rsid w:val="008904B9"/>
    <w:rsid w:val="00892AD5"/>
    <w:rsid w:val="008A1512"/>
    <w:rsid w:val="008C78C1"/>
    <w:rsid w:val="008D32B9"/>
    <w:rsid w:val="008D433B"/>
    <w:rsid w:val="008E566E"/>
    <w:rsid w:val="0090161A"/>
    <w:rsid w:val="00901EB6"/>
    <w:rsid w:val="00904C62"/>
    <w:rsid w:val="00906B05"/>
    <w:rsid w:val="0091492F"/>
    <w:rsid w:val="00924DAC"/>
    <w:rsid w:val="00927058"/>
    <w:rsid w:val="009401A2"/>
    <w:rsid w:val="009450CE"/>
    <w:rsid w:val="00947179"/>
    <w:rsid w:val="0095164B"/>
    <w:rsid w:val="00954090"/>
    <w:rsid w:val="009573E7"/>
    <w:rsid w:val="009635B9"/>
    <w:rsid w:val="00963E05"/>
    <w:rsid w:val="00967D54"/>
    <w:rsid w:val="00996483"/>
    <w:rsid w:val="00996F5A"/>
    <w:rsid w:val="009A0A3E"/>
    <w:rsid w:val="009A55EA"/>
    <w:rsid w:val="009B041A"/>
    <w:rsid w:val="009C7C86"/>
    <w:rsid w:val="009D2FF7"/>
    <w:rsid w:val="009E7884"/>
    <w:rsid w:val="009E788A"/>
    <w:rsid w:val="009F0E08"/>
    <w:rsid w:val="00A1763D"/>
    <w:rsid w:val="00A17CEC"/>
    <w:rsid w:val="00A26848"/>
    <w:rsid w:val="00A27EF0"/>
    <w:rsid w:val="00A50B20"/>
    <w:rsid w:val="00A51390"/>
    <w:rsid w:val="00A60D13"/>
    <w:rsid w:val="00A72745"/>
    <w:rsid w:val="00A76EFC"/>
    <w:rsid w:val="00A84567"/>
    <w:rsid w:val="00A91010"/>
    <w:rsid w:val="00A97F29"/>
    <w:rsid w:val="00AA69EA"/>
    <w:rsid w:val="00AA702E"/>
    <w:rsid w:val="00AB0964"/>
    <w:rsid w:val="00AB5011"/>
    <w:rsid w:val="00AC7368"/>
    <w:rsid w:val="00AD16B9"/>
    <w:rsid w:val="00AE377D"/>
    <w:rsid w:val="00B12EA0"/>
    <w:rsid w:val="00B13438"/>
    <w:rsid w:val="00B17FBD"/>
    <w:rsid w:val="00B315A6"/>
    <w:rsid w:val="00B31813"/>
    <w:rsid w:val="00B33365"/>
    <w:rsid w:val="00B57B36"/>
    <w:rsid w:val="00B8686D"/>
    <w:rsid w:val="00B93448"/>
    <w:rsid w:val="00B96ACC"/>
    <w:rsid w:val="00BC30C9"/>
    <w:rsid w:val="00BE3E58"/>
    <w:rsid w:val="00C01616"/>
    <w:rsid w:val="00C0162B"/>
    <w:rsid w:val="00C14C63"/>
    <w:rsid w:val="00C345B1"/>
    <w:rsid w:val="00C40142"/>
    <w:rsid w:val="00C57182"/>
    <w:rsid w:val="00C57863"/>
    <w:rsid w:val="00C57B06"/>
    <w:rsid w:val="00C655FD"/>
    <w:rsid w:val="00C870A8"/>
    <w:rsid w:val="00C91751"/>
    <w:rsid w:val="00C94434"/>
    <w:rsid w:val="00C94CE1"/>
    <w:rsid w:val="00CA07EE"/>
    <w:rsid w:val="00CA0D75"/>
    <w:rsid w:val="00CA1C95"/>
    <w:rsid w:val="00CA5A9C"/>
    <w:rsid w:val="00CD3517"/>
    <w:rsid w:val="00CD5A00"/>
    <w:rsid w:val="00CD5FE2"/>
    <w:rsid w:val="00CE2A99"/>
    <w:rsid w:val="00CE35E9"/>
    <w:rsid w:val="00CE7C68"/>
    <w:rsid w:val="00D02B4C"/>
    <w:rsid w:val="00D040C4"/>
    <w:rsid w:val="00D458F6"/>
    <w:rsid w:val="00D57C84"/>
    <w:rsid w:val="00D6057D"/>
    <w:rsid w:val="00D84576"/>
    <w:rsid w:val="00DA1399"/>
    <w:rsid w:val="00DA24C6"/>
    <w:rsid w:val="00DA4D7B"/>
    <w:rsid w:val="00DC53F8"/>
    <w:rsid w:val="00DE264A"/>
    <w:rsid w:val="00E02D18"/>
    <w:rsid w:val="00E041E7"/>
    <w:rsid w:val="00E0548E"/>
    <w:rsid w:val="00E23CA1"/>
    <w:rsid w:val="00E26BD4"/>
    <w:rsid w:val="00E409A8"/>
    <w:rsid w:val="00E42816"/>
    <w:rsid w:val="00E50C12"/>
    <w:rsid w:val="00E5713C"/>
    <w:rsid w:val="00E65B91"/>
    <w:rsid w:val="00E7209D"/>
    <w:rsid w:val="00E77223"/>
    <w:rsid w:val="00E8528B"/>
    <w:rsid w:val="00E85B94"/>
    <w:rsid w:val="00E978D0"/>
    <w:rsid w:val="00EA266E"/>
    <w:rsid w:val="00EA4613"/>
    <w:rsid w:val="00EA7F91"/>
    <w:rsid w:val="00EB1523"/>
    <w:rsid w:val="00EC0E49"/>
    <w:rsid w:val="00EE0131"/>
    <w:rsid w:val="00F12A56"/>
    <w:rsid w:val="00F155B2"/>
    <w:rsid w:val="00F20877"/>
    <w:rsid w:val="00F30C64"/>
    <w:rsid w:val="00F32CDB"/>
    <w:rsid w:val="00F409E5"/>
    <w:rsid w:val="00F639C2"/>
    <w:rsid w:val="00F63A70"/>
    <w:rsid w:val="00F6603C"/>
    <w:rsid w:val="00FA21D0"/>
    <w:rsid w:val="00FA2C0C"/>
    <w:rsid w:val="00FA5F5F"/>
    <w:rsid w:val="00FB730C"/>
    <w:rsid w:val="00FC2695"/>
    <w:rsid w:val="00FC3E03"/>
    <w:rsid w:val="00FC3FC1"/>
    <w:rsid w:val="00FE62D5"/>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BAF887"/>
  <w15:docId w15:val="{D8833855-4738-4A7F-A6F2-7DBDE782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character" w:styleId="Testosegnaposto">
    <w:name w:val="Placeholder Text"/>
    <w:basedOn w:val="Carpredefinitoparagrafo"/>
    <w:uiPriority w:val="99"/>
    <w:semiHidden/>
    <w:rsid w:val="001B5C14"/>
    <w:rPr>
      <w:color w:val="808080"/>
    </w:rPr>
  </w:style>
  <w:style w:type="table" w:styleId="Elencotabella3">
    <w:name w:val="Table List 3"/>
    <w:basedOn w:val="Tabellanormale"/>
    <w:rsid w:val="004C2700"/>
    <w:pPr>
      <w:spacing w:after="0" w:line="240" w:lineRule="auto"/>
    </w:pPr>
    <w:rPr>
      <w:rFonts w:ascii="Times New Roman" w:eastAsia="MS Mincho" w:hAnsi="Times New Roman" w:cs="Times New Roman"/>
      <w:sz w:val="20"/>
      <w:szCs w:val="20"/>
      <w:lang w:val="en-US" w:eastAsia="it-IT"/>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Paragrafoelenco">
    <w:name w:val="List Paragraph"/>
    <w:basedOn w:val="Normale"/>
    <w:uiPriority w:val="34"/>
    <w:rsid w:val="004C2700"/>
    <w:pPr>
      <w:ind w:left="720"/>
      <w:contextualSpacing/>
    </w:pPr>
  </w:style>
  <w:style w:type="paragraph" w:customStyle="1" w:styleId="FirstParagraph">
    <w:name w:val="First Paragraph"/>
    <w:basedOn w:val="Normale"/>
    <w:rsid w:val="00A84567"/>
    <w:pPr>
      <w:tabs>
        <w:tab w:val="clear" w:pos="7100"/>
      </w:tabs>
      <w:spacing w:line="240" w:lineRule="atLeast"/>
    </w:pPr>
    <w:rPr>
      <w:rFonts w:ascii="Times" w:hAnsi="Time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109363">
      <w:bodyDiv w:val="1"/>
      <w:marLeft w:val="0"/>
      <w:marRight w:val="0"/>
      <w:marTop w:val="0"/>
      <w:marBottom w:val="0"/>
      <w:divBdr>
        <w:top w:val="none" w:sz="0" w:space="0" w:color="auto"/>
        <w:left w:val="none" w:sz="0" w:space="0" w:color="auto"/>
        <w:bottom w:val="none" w:sz="0" w:space="0" w:color="auto"/>
        <w:right w:val="none" w:sz="0" w:space="0" w:color="auto"/>
      </w:divBdr>
    </w:div>
    <w:div w:id="1783526349">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4072B-C8D3-44A0-A570-F9D4C82BE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2896</Words>
  <Characters>16511</Characters>
  <Application>Microsoft Office Word</Application>
  <DocSecurity>0</DocSecurity>
  <Lines>137</Lines>
  <Paragraphs>38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19369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cp:lastModifiedBy>
  <cp:revision>2</cp:revision>
  <cp:lastPrinted>2018-12-08T12:56:00Z</cp:lastPrinted>
  <dcterms:created xsi:type="dcterms:W3CDTF">2019-04-11T10:21:00Z</dcterms:created>
  <dcterms:modified xsi:type="dcterms:W3CDTF">2019-04-11T10:21:00Z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