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1F56844" w14:textId="77777777">
        <w:trPr>
          <w:trHeight w:val="852"/>
          <w:jc w:val="center"/>
        </w:trPr>
        <w:tc>
          <w:tcPr>
            <w:tcW w:w="6946" w:type="dxa"/>
            <w:vMerge w:val="restart"/>
            <w:tcBorders>
              <w:right w:val="single" w:sz="4" w:space="0" w:color="auto"/>
            </w:tcBorders>
          </w:tcPr>
          <w:p w14:paraId="266C4033"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79452FED" wp14:editId="6E4C9F8B">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21E7B454"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50FDBF26"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319AFD55" w14:textId="77777777" w:rsidR="000A03B2" w:rsidRPr="00B57B36" w:rsidRDefault="000A03B2" w:rsidP="00CD5FE2">
            <w:pPr>
              <w:jc w:val="right"/>
            </w:pPr>
            <w:r w:rsidRPr="00B57B36">
              <w:rPr>
                <w:noProof/>
                <w:lang w:val="it-IT" w:eastAsia="it-IT"/>
              </w:rPr>
              <w:drawing>
                <wp:inline distT="0" distB="0" distL="0" distR="0" wp14:anchorId="0C917F6D" wp14:editId="44D229AD">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197684A3" w14:textId="77777777">
        <w:trPr>
          <w:trHeight w:val="567"/>
          <w:jc w:val="center"/>
        </w:trPr>
        <w:tc>
          <w:tcPr>
            <w:tcW w:w="6946" w:type="dxa"/>
            <w:vMerge/>
            <w:tcBorders>
              <w:right w:val="single" w:sz="4" w:space="0" w:color="auto"/>
            </w:tcBorders>
          </w:tcPr>
          <w:p w14:paraId="5EADCFFE"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D113491"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281A6ABB"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187D496C"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5296607F" w14:textId="77777777">
        <w:trPr>
          <w:trHeight w:val="68"/>
          <w:jc w:val="center"/>
        </w:trPr>
        <w:tc>
          <w:tcPr>
            <w:tcW w:w="8789" w:type="dxa"/>
            <w:gridSpan w:val="2"/>
          </w:tcPr>
          <w:p w14:paraId="72CB10DE"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proofErr w:type="spellStart"/>
            <w:r w:rsidR="00047D7F" w:rsidRPr="00252C1A">
              <w:rPr>
                <w:rFonts w:ascii="Tahoma" w:hAnsi="Tahoma" w:cs="Tahoma"/>
                <w:sz w:val="14"/>
                <w:szCs w:val="14"/>
                <w:shd w:val="clear" w:color="auto" w:fill="FFFFFF"/>
                <w:lang w:val="it-IT"/>
              </w:rPr>
              <w:t>Jiří</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Jaromír</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Klemeš</w:t>
            </w:r>
            <w:proofErr w:type="spellEnd"/>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73530291"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6E00D0A9"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3051CC25" w14:textId="77777777" w:rsidR="00E978D0" w:rsidRPr="00B57B36" w:rsidRDefault="00C77B83" w:rsidP="00E978D0">
      <w:pPr>
        <w:pStyle w:val="CETTitle"/>
      </w:pPr>
      <w:r w:rsidRPr="00C77B83">
        <w:t>Microalgae growth in winery wastewater under dark conditions</w:t>
      </w:r>
      <w:r w:rsidR="00600535" w:rsidRPr="00B57B36">
        <w:t xml:space="preserve"> </w:t>
      </w:r>
    </w:p>
    <w:p w14:paraId="4D117EE2" w14:textId="62BFE899" w:rsidR="00E978D0" w:rsidRPr="00C77B83" w:rsidRDefault="00C77B83" w:rsidP="00AB5011">
      <w:pPr>
        <w:pStyle w:val="CETAuthors"/>
        <w:rPr>
          <w:lang w:val="it-IT"/>
        </w:rPr>
      </w:pPr>
      <w:r w:rsidRPr="00C77B83">
        <w:rPr>
          <w:lang w:val="it-IT"/>
        </w:rPr>
        <w:t>Elena Spennati</w:t>
      </w:r>
      <w:r w:rsidR="00600535" w:rsidRPr="00C77B83">
        <w:rPr>
          <w:vertAlign w:val="superscript"/>
          <w:lang w:val="it-IT"/>
        </w:rPr>
        <w:t>a</w:t>
      </w:r>
      <w:r w:rsidRPr="00C77B83">
        <w:rPr>
          <w:vertAlign w:val="superscript"/>
          <w:lang w:val="it-IT"/>
        </w:rPr>
        <w:t>,</w:t>
      </w:r>
      <w:r w:rsidRPr="00C77B83">
        <w:rPr>
          <w:lang w:val="it-IT"/>
        </w:rPr>
        <w:t>*</w:t>
      </w:r>
      <w:r w:rsidR="00600535" w:rsidRPr="00C77B83">
        <w:rPr>
          <w:lang w:val="it-IT"/>
        </w:rPr>
        <w:t xml:space="preserve">, </w:t>
      </w:r>
      <w:r w:rsidRPr="00C77B83">
        <w:rPr>
          <w:lang w:val="it-IT"/>
        </w:rPr>
        <w:t>Alessandro A. Casazza</w:t>
      </w:r>
      <w:r w:rsidRPr="00C77B83">
        <w:rPr>
          <w:vertAlign w:val="superscript"/>
          <w:lang w:val="it-IT"/>
        </w:rPr>
        <w:t>a</w:t>
      </w:r>
      <w:r w:rsidR="00600535" w:rsidRPr="00C77B83">
        <w:rPr>
          <w:vertAlign w:val="superscript"/>
          <w:lang w:val="it-IT"/>
        </w:rPr>
        <w:t>,</w:t>
      </w:r>
      <w:r w:rsidRPr="00C77B83">
        <w:rPr>
          <w:vertAlign w:val="superscript"/>
          <w:lang w:val="it-IT"/>
        </w:rPr>
        <w:t>b</w:t>
      </w:r>
      <w:r w:rsidRPr="00C77B83">
        <w:rPr>
          <w:lang w:val="it-IT"/>
        </w:rPr>
        <w:t xml:space="preserve"> </w:t>
      </w:r>
      <w:r w:rsidR="00600535" w:rsidRPr="00C77B83">
        <w:rPr>
          <w:lang w:val="it-IT"/>
        </w:rPr>
        <w:t xml:space="preserve">, </w:t>
      </w:r>
      <w:r>
        <w:rPr>
          <w:lang w:val="it-IT"/>
        </w:rPr>
        <w:t>Patrizia Perego</w:t>
      </w:r>
      <w:r w:rsidRPr="00C77B83">
        <w:rPr>
          <w:vertAlign w:val="superscript"/>
          <w:lang w:val="it-IT"/>
        </w:rPr>
        <w:t xml:space="preserve"> a,b</w:t>
      </w:r>
      <w:r>
        <w:rPr>
          <w:vertAlign w:val="superscript"/>
          <w:lang w:val="it-IT"/>
        </w:rPr>
        <w:t xml:space="preserve"> </w:t>
      </w:r>
      <w:r w:rsidRPr="00C77B83">
        <w:rPr>
          <w:lang w:val="it-IT"/>
        </w:rPr>
        <w:t>,</w:t>
      </w:r>
      <w:r>
        <w:rPr>
          <w:lang w:val="it-IT"/>
        </w:rPr>
        <w:t xml:space="preserve"> Carlo Solisio</w:t>
      </w:r>
      <w:r w:rsidRPr="00C77B83">
        <w:rPr>
          <w:vertAlign w:val="superscript"/>
          <w:lang w:val="it-IT"/>
        </w:rPr>
        <w:t>a</w:t>
      </w:r>
      <w:r w:rsidRPr="00C77B83">
        <w:rPr>
          <w:lang w:val="it-IT"/>
        </w:rPr>
        <w:t xml:space="preserve"> ,</w:t>
      </w:r>
      <w:r>
        <w:rPr>
          <w:lang w:val="it-IT"/>
        </w:rPr>
        <w:t xml:space="preserve"> Guido Busca</w:t>
      </w:r>
      <w:r w:rsidRPr="00C77B83">
        <w:rPr>
          <w:vertAlign w:val="superscript"/>
          <w:lang w:val="it-IT"/>
        </w:rPr>
        <w:t xml:space="preserve"> a</w:t>
      </w:r>
      <w:r w:rsidR="002D0A87">
        <w:rPr>
          <w:lang w:val="it-IT"/>
        </w:rPr>
        <w:t xml:space="preserve"> </w:t>
      </w:r>
      <w:r w:rsidRPr="00C77B83">
        <w:rPr>
          <w:lang w:val="it-IT"/>
        </w:rPr>
        <w:t>,</w:t>
      </w:r>
      <w:r>
        <w:rPr>
          <w:lang w:val="it-IT"/>
        </w:rPr>
        <w:t xml:space="preserve"> Attilio Converti</w:t>
      </w:r>
      <w:r w:rsidRPr="00C77B83">
        <w:rPr>
          <w:vertAlign w:val="superscript"/>
          <w:lang w:val="it-IT"/>
        </w:rPr>
        <w:t xml:space="preserve"> a</w:t>
      </w:r>
      <w:r w:rsidRPr="00C77B83">
        <w:rPr>
          <w:lang w:val="it-IT"/>
        </w:rPr>
        <w:t xml:space="preserve"> </w:t>
      </w:r>
    </w:p>
    <w:p w14:paraId="333D7CF8" w14:textId="77777777" w:rsidR="00E978D0" w:rsidRPr="00C77B83" w:rsidRDefault="00E978D0" w:rsidP="00E978D0">
      <w:pPr>
        <w:pStyle w:val="CETAddress"/>
        <w:rPr>
          <w:lang w:val="en-US"/>
        </w:rPr>
      </w:pPr>
      <w:r w:rsidRPr="00B57B36">
        <w:rPr>
          <w:vertAlign w:val="superscript"/>
        </w:rPr>
        <w:t>a</w:t>
      </w:r>
      <w:r w:rsidR="00C77B83" w:rsidRPr="00C77B83">
        <w:t xml:space="preserve"> Department of Civil, Chemical and Environmental Engineering (DICCA), University of Genoa, via Opera Pia 15,16145 Genoa, Italy</w:t>
      </w:r>
    </w:p>
    <w:p w14:paraId="58EFF9E7" w14:textId="70E503BB" w:rsidR="00E978D0" w:rsidRPr="00C77B83" w:rsidRDefault="00E978D0" w:rsidP="00E978D0">
      <w:pPr>
        <w:pStyle w:val="CETAddress"/>
        <w:rPr>
          <w:lang w:val="en-US"/>
        </w:rPr>
      </w:pPr>
      <w:r w:rsidRPr="00B57B36">
        <w:rPr>
          <w:vertAlign w:val="superscript"/>
        </w:rPr>
        <w:t>b</w:t>
      </w:r>
      <w:r w:rsidRPr="00B57B36">
        <w:t xml:space="preserve"> </w:t>
      </w:r>
      <w:r w:rsidR="00C77B83" w:rsidRPr="00C77B83">
        <w:t xml:space="preserve">Research Center of Biologically Inspired Engineering in Vascular Medicine and Longevity (BELONG), </w:t>
      </w:r>
      <w:r w:rsidR="0032696F">
        <w:t>v</w:t>
      </w:r>
      <w:r w:rsidR="00C77B83" w:rsidRPr="00C77B83">
        <w:t>ia Montallegro 1, 16145 Genoa, Italy</w:t>
      </w:r>
    </w:p>
    <w:p w14:paraId="0952FB86" w14:textId="77777777" w:rsidR="00E978D0" w:rsidRDefault="00AB5011" w:rsidP="00E978D0">
      <w:pPr>
        <w:pStyle w:val="CETemail"/>
      </w:pPr>
      <w:r>
        <w:t xml:space="preserve"> </w:t>
      </w:r>
      <w:r w:rsidR="00C77B83" w:rsidRPr="00C77B83">
        <w:t xml:space="preserve">elena.spennati@edu.unige.it </w:t>
      </w:r>
    </w:p>
    <w:p w14:paraId="4F87E6AC" w14:textId="4513D8EF" w:rsidR="00C77B83" w:rsidRPr="00B35F21" w:rsidRDefault="001D2C79" w:rsidP="00C77B83">
      <w:pPr>
        <w:pStyle w:val="CETBodytext"/>
        <w:rPr>
          <w:lang w:val="en-GB"/>
        </w:rPr>
      </w:pPr>
      <w:r w:rsidRPr="00B35F21">
        <w:rPr>
          <w:lang w:val="en-GB"/>
        </w:rPr>
        <w:t>W</w:t>
      </w:r>
      <w:r w:rsidR="00C77B83" w:rsidRPr="00B35F21">
        <w:rPr>
          <w:lang w:val="en-GB"/>
        </w:rPr>
        <w:t>ine</w:t>
      </w:r>
      <w:r w:rsidRPr="00B35F21">
        <w:rPr>
          <w:lang w:val="en-GB"/>
        </w:rPr>
        <w:t>-</w:t>
      </w:r>
      <w:r w:rsidR="00C77B83" w:rsidRPr="00B35F21">
        <w:rPr>
          <w:lang w:val="en-GB"/>
        </w:rPr>
        <w:t xml:space="preserve">making process </w:t>
      </w:r>
      <w:r w:rsidRPr="00B35F21">
        <w:rPr>
          <w:lang w:val="en-GB"/>
        </w:rPr>
        <w:t>lead</w:t>
      </w:r>
      <w:r w:rsidR="00C77B83" w:rsidRPr="00B35F21">
        <w:rPr>
          <w:lang w:val="en-GB"/>
        </w:rPr>
        <w:t xml:space="preserve">s </w:t>
      </w:r>
      <w:r w:rsidRPr="00B35F21">
        <w:rPr>
          <w:lang w:val="en-GB"/>
        </w:rPr>
        <w:t>to</w:t>
      </w:r>
      <w:r w:rsidR="00C77B83" w:rsidRPr="00B35F21">
        <w:rPr>
          <w:lang w:val="en-GB"/>
        </w:rPr>
        <w:t xml:space="preserve"> large amount</w:t>
      </w:r>
      <w:r w:rsidRPr="00B35F21">
        <w:rPr>
          <w:lang w:val="en-GB"/>
        </w:rPr>
        <w:t>s</w:t>
      </w:r>
      <w:r w:rsidR="00C77B83" w:rsidRPr="00B35F21">
        <w:rPr>
          <w:lang w:val="en-GB"/>
        </w:rPr>
        <w:t xml:space="preserve"> of wastewater. Winery wastewaters (WWW) are produced from different activities of </w:t>
      </w:r>
      <w:r w:rsidR="0032696F">
        <w:rPr>
          <w:lang w:val="en-GB"/>
        </w:rPr>
        <w:t>wine</w:t>
      </w:r>
      <w:r w:rsidR="00C77B83" w:rsidRPr="00B35F21">
        <w:rPr>
          <w:lang w:val="en-GB"/>
        </w:rPr>
        <w:t xml:space="preserve"> production: washing, transferring and storage operations. Tank cleaning and filtration equipment </w:t>
      </w:r>
      <w:r w:rsidR="00EF253F">
        <w:rPr>
          <w:lang w:val="en-GB"/>
        </w:rPr>
        <w:t xml:space="preserve">are </w:t>
      </w:r>
      <w:r w:rsidRPr="00B35F21">
        <w:rPr>
          <w:lang w:val="en-GB"/>
        </w:rPr>
        <w:t>responsible for</w:t>
      </w:r>
      <w:r w:rsidR="00C77B83" w:rsidRPr="00B35F21">
        <w:rPr>
          <w:lang w:val="en-GB"/>
        </w:rPr>
        <w:t xml:space="preserve"> the</w:t>
      </w:r>
      <w:r w:rsidRPr="00B35F21">
        <w:rPr>
          <w:lang w:val="en-GB"/>
        </w:rPr>
        <w:t xml:space="preserve"> release of the</w:t>
      </w:r>
      <w:r w:rsidR="00C77B83" w:rsidRPr="00B35F21">
        <w:rPr>
          <w:lang w:val="en-GB"/>
        </w:rPr>
        <w:t xml:space="preserve"> </w:t>
      </w:r>
      <w:r w:rsidRPr="00B35F21">
        <w:rPr>
          <w:lang w:val="en-GB"/>
        </w:rPr>
        <w:t>large</w:t>
      </w:r>
      <w:r w:rsidR="00C77B83" w:rsidRPr="00B35F21">
        <w:rPr>
          <w:lang w:val="en-GB"/>
        </w:rPr>
        <w:t xml:space="preserve">st amount of wastewater, whose polluting </w:t>
      </w:r>
      <w:r w:rsidR="006D010F" w:rsidRPr="00B35F21">
        <w:rPr>
          <w:lang w:val="en-GB"/>
        </w:rPr>
        <w:t>power</w:t>
      </w:r>
      <w:r w:rsidR="00C77B83" w:rsidRPr="00B35F21">
        <w:rPr>
          <w:lang w:val="en-GB"/>
        </w:rPr>
        <w:t xml:space="preserve"> is mainly due to</w:t>
      </w:r>
      <w:r w:rsidR="006D010F" w:rsidRPr="00B35F21">
        <w:rPr>
          <w:lang w:val="en-GB"/>
        </w:rPr>
        <w:t xml:space="preserve"> both</w:t>
      </w:r>
      <w:r w:rsidR="00C77B83" w:rsidRPr="00B35F21">
        <w:rPr>
          <w:lang w:val="en-GB"/>
        </w:rPr>
        <w:t xml:space="preserve"> the large volumes produced and the high organic load. Because of the latter problem, biological WWW treatments are particularly appropriate. Microalgae, often used to treat civil and different industrial wastewaters, are unicellular organisms that can be grown </w:t>
      </w:r>
      <w:r w:rsidR="006D010F" w:rsidRPr="00B35F21">
        <w:rPr>
          <w:lang w:val="en-GB"/>
        </w:rPr>
        <w:t xml:space="preserve">either </w:t>
      </w:r>
      <w:r w:rsidR="00C77B83" w:rsidRPr="00B35F21">
        <w:rPr>
          <w:lang w:val="en-GB"/>
        </w:rPr>
        <w:t xml:space="preserve">in autotrophic or heterotrophic mode using various organic and inorganic carbon sources. Their importance is related to their high growth rate, use </w:t>
      </w:r>
      <w:r w:rsidR="006D010F" w:rsidRPr="00B35F21">
        <w:rPr>
          <w:lang w:val="en-GB"/>
        </w:rPr>
        <w:t>to</w:t>
      </w:r>
      <w:r w:rsidR="00C77B83" w:rsidRPr="00B35F21">
        <w:rPr>
          <w:lang w:val="en-GB"/>
        </w:rPr>
        <w:t xml:space="preserve"> produc</w:t>
      </w:r>
      <w:r w:rsidR="006D010F" w:rsidRPr="00B35F21">
        <w:rPr>
          <w:lang w:val="en-GB"/>
        </w:rPr>
        <w:t>e</w:t>
      </w:r>
      <w:r w:rsidR="00C77B83" w:rsidRPr="00B35F21">
        <w:rPr>
          <w:lang w:val="en-GB"/>
        </w:rPr>
        <w:t xml:space="preserve"> different biofuels, </w:t>
      </w:r>
      <w:r w:rsidR="006D010F" w:rsidRPr="00B35F21">
        <w:rPr>
          <w:lang w:val="en-GB"/>
        </w:rPr>
        <w:t xml:space="preserve">use </w:t>
      </w:r>
      <w:r w:rsidR="00C77B83" w:rsidRPr="00B35F21">
        <w:rPr>
          <w:lang w:val="en-GB"/>
        </w:rPr>
        <w:t xml:space="preserve">in human or animal nutrition, and extraction of chemicals and pharmaceuticals. </w:t>
      </w:r>
      <w:r w:rsidR="006D010F" w:rsidRPr="00B35F21">
        <w:rPr>
          <w:lang w:val="en-GB"/>
        </w:rPr>
        <w:t>P</w:t>
      </w:r>
      <w:r w:rsidR="00C77B83" w:rsidRPr="00B35F21">
        <w:rPr>
          <w:lang w:val="en-GB"/>
        </w:rPr>
        <w:t xml:space="preserve">urposes of this work were to reduce </w:t>
      </w:r>
      <w:r w:rsidR="006D010F" w:rsidRPr="00B35F21">
        <w:rPr>
          <w:lang w:val="en-GB"/>
        </w:rPr>
        <w:t xml:space="preserve">WWW </w:t>
      </w:r>
      <w:r w:rsidR="00C77B83" w:rsidRPr="00B35F21">
        <w:rPr>
          <w:lang w:val="en-GB"/>
        </w:rPr>
        <w:t xml:space="preserve">environmental impact and to find </w:t>
      </w:r>
      <w:r w:rsidR="00516C2B" w:rsidRPr="00B35F21">
        <w:rPr>
          <w:lang w:val="en-GB"/>
        </w:rPr>
        <w:t>a cheap</w:t>
      </w:r>
      <w:r w:rsidR="00C77B83" w:rsidRPr="00B35F21">
        <w:rPr>
          <w:lang w:val="en-GB"/>
        </w:rPr>
        <w:t xml:space="preserve"> growth medium</w:t>
      </w:r>
      <w:r w:rsidR="00516C2B" w:rsidRPr="00B35F21">
        <w:rPr>
          <w:lang w:val="en-GB"/>
        </w:rPr>
        <w:t xml:space="preserve"> able</w:t>
      </w:r>
      <w:r w:rsidR="00C77B83" w:rsidRPr="00B35F21">
        <w:rPr>
          <w:lang w:val="en-GB"/>
        </w:rPr>
        <w:t xml:space="preserve"> to </w:t>
      </w:r>
      <w:r w:rsidR="00516C2B" w:rsidRPr="00B35F21">
        <w:rPr>
          <w:lang w:val="en-GB"/>
        </w:rPr>
        <w:t>reduc</w:t>
      </w:r>
      <w:r w:rsidR="00C77B83" w:rsidRPr="00B35F21">
        <w:rPr>
          <w:lang w:val="en-GB"/>
        </w:rPr>
        <w:t>e the microalgae production costs. In this study, three different wastewaters were used</w:t>
      </w:r>
      <w:r w:rsidR="00516C2B" w:rsidRPr="00B35F21">
        <w:rPr>
          <w:lang w:val="en-GB"/>
        </w:rPr>
        <w:t>, namely</w:t>
      </w:r>
      <w:r w:rsidR="00C77B83" w:rsidRPr="00B35F21">
        <w:rPr>
          <w:lang w:val="en-GB"/>
        </w:rPr>
        <w:t xml:space="preserve"> WWW from first (1W) and second (2W) washing</w:t>
      </w:r>
      <w:r w:rsidR="00516C2B" w:rsidRPr="00B35F21">
        <w:rPr>
          <w:lang w:val="en-GB"/>
        </w:rPr>
        <w:t xml:space="preserve"> tanks</w:t>
      </w:r>
      <w:r w:rsidR="00C77B83" w:rsidRPr="00B35F21">
        <w:rPr>
          <w:lang w:val="en-GB"/>
        </w:rPr>
        <w:t xml:space="preserve">, and WWW from filtration apparatus (3W). </w:t>
      </w:r>
      <w:r w:rsidR="005B2386" w:rsidRPr="00B35F21">
        <w:rPr>
          <w:lang w:val="en-GB"/>
        </w:rPr>
        <w:t>They</w:t>
      </w:r>
      <w:r w:rsidR="00C77B83" w:rsidRPr="00B35F21">
        <w:rPr>
          <w:lang w:val="en-GB"/>
        </w:rPr>
        <w:t xml:space="preserve"> were </w:t>
      </w:r>
      <w:r w:rsidR="00516C2B" w:rsidRPr="00B35F21">
        <w:rPr>
          <w:lang w:val="en-GB"/>
        </w:rPr>
        <w:t xml:space="preserve">20:80 (v/v) </w:t>
      </w:r>
      <w:r w:rsidR="00C77B83" w:rsidRPr="00B35F21">
        <w:rPr>
          <w:lang w:val="en-GB"/>
        </w:rPr>
        <w:t xml:space="preserve">diluted with Bold Basal medium and treated </w:t>
      </w:r>
      <w:r w:rsidR="005B2386" w:rsidRPr="00B35F21">
        <w:rPr>
          <w:lang w:val="en-GB"/>
        </w:rPr>
        <w:t xml:space="preserve">batchwise </w:t>
      </w:r>
      <w:r w:rsidR="00C77B83" w:rsidRPr="00B35F21">
        <w:rPr>
          <w:lang w:val="en-GB"/>
        </w:rPr>
        <w:t xml:space="preserve">with a co-culture of </w:t>
      </w:r>
      <w:proofErr w:type="spellStart"/>
      <w:r w:rsidR="00C77B83" w:rsidRPr="00B35F21">
        <w:rPr>
          <w:i/>
          <w:lang w:val="en-GB"/>
        </w:rPr>
        <w:t>A</w:t>
      </w:r>
      <w:r w:rsidR="00516C2B" w:rsidRPr="00B35F21">
        <w:rPr>
          <w:i/>
          <w:lang w:val="en-GB"/>
        </w:rPr>
        <w:t>rthrospira</w:t>
      </w:r>
      <w:proofErr w:type="spellEnd"/>
      <w:r w:rsidR="00C77B83" w:rsidRPr="00B35F21">
        <w:rPr>
          <w:i/>
          <w:lang w:val="en-GB"/>
        </w:rPr>
        <w:t xml:space="preserve"> platensis</w:t>
      </w:r>
      <w:r w:rsidR="00C77B83" w:rsidRPr="00B35F21">
        <w:rPr>
          <w:lang w:val="en-GB"/>
        </w:rPr>
        <w:t xml:space="preserve"> and </w:t>
      </w:r>
      <w:r w:rsidR="00C77B83" w:rsidRPr="00B35F21">
        <w:rPr>
          <w:i/>
          <w:lang w:val="en-GB"/>
        </w:rPr>
        <w:t>C</w:t>
      </w:r>
      <w:r w:rsidR="00516C2B" w:rsidRPr="00B35F21">
        <w:rPr>
          <w:i/>
          <w:lang w:val="en-GB"/>
        </w:rPr>
        <w:t>hlorella</w:t>
      </w:r>
      <w:r w:rsidR="00C77B83" w:rsidRPr="00B35F21">
        <w:rPr>
          <w:i/>
          <w:lang w:val="en-GB"/>
        </w:rPr>
        <w:t xml:space="preserve"> vulgaris</w:t>
      </w:r>
      <w:r w:rsidR="00C77B83" w:rsidRPr="00B35F21">
        <w:rPr>
          <w:lang w:val="en-GB"/>
        </w:rPr>
        <w:t xml:space="preserve">. Microalgae were grown </w:t>
      </w:r>
      <w:r w:rsidR="00516C2B" w:rsidRPr="00B35F21">
        <w:rPr>
          <w:lang w:val="en-GB"/>
        </w:rPr>
        <w:t>under</w:t>
      </w:r>
      <w:r w:rsidR="00C77B83" w:rsidRPr="00B35F21">
        <w:rPr>
          <w:lang w:val="en-GB"/>
        </w:rPr>
        <w:t xml:space="preserve"> dark conditions in 0.5</w:t>
      </w:r>
      <w:r w:rsidR="00516C2B" w:rsidRPr="00B35F21">
        <w:rPr>
          <w:lang w:val="en-GB"/>
        </w:rPr>
        <w:t>-</w:t>
      </w:r>
      <w:r w:rsidR="00C77B83" w:rsidRPr="00B35F21">
        <w:rPr>
          <w:lang w:val="en-GB"/>
        </w:rPr>
        <w:t xml:space="preserve">L flasks with continuous air </w:t>
      </w:r>
      <w:r w:rsidR="00516C2B" w:rsidRPr="00B35F21">
        <w:rPr>
          <w:lang w:val="en-GB"/>
        </w:rPr>
        <w:t>supply</w:t>
      </w:r>
      <w:r w:rsidR="00C77B83" w:rsidRPr="00B35F21">
        <w:rPr>
          <w:lang w:val="en-GB"/>
        </w:rPr>
        <w:t xml:space="preserve"> for 15 days. Biomass concentration was quantified daily by measur</w:t>
      </w:r>
      <w:r w:rsidR="003962F8" w:rsidRPr="00B35F21">
        <w:rPr>
          <w:lang w:val="en-GB"/>
        </w:rPr>
        <w:t>ements of cell</w:t>
      </w:r>
      <w:r w:rsidR="00C77B83" w:rsidRPr="00B35F21">
        <w:rPr>
          <w:lang w:val="en-GB"/>
        </w:rPr>
        <w:t xml:space="preserve"> dry weight </w:t>
      </w:r>
      <w:r w:rsidR="003962F8" w:rsidRPr="00B35F21">
        <w:rPr>
          <w:lang w:val="en-GB"/>
        </w:rPr>
        <w:t>and</w:t>
      </w:r>
      <w:r w:rsidR="00C77B83" w:rsidRPr="00B35F21">
        <w:rPr>
          <w:lang w:val="en-GB"/>
        </w:rPr>
        <w:t xml:space="preserve"> optical density at 625 nm and expressed </w:t>
      </w:r>
      <w:r w:rsidR="003962F8" w:rsidRPr="00B35F21">
        <w:rPr>
          <w:lang w:val="en-GB"/>
        </w:rPr>
        <w:t>in</w:t>
      </w:r>
      <w:r w:rsidR="00C77B83" w:rsidRPr="00B35F21">
        <w:rPr>
          <w:lang w:val="en-GB"/>
        </w:rPr>
        <w:t xml:space="preserve"> grams of microalgae per </w:t>
      </w:r>
      <w:proofErr w:type="spellStart"/>
      <w:r w:rsidR="0032696F">
        <w:rPr>
          <w:lang w:val="en-GB"/>
        </w:rPr>
        <w:t>liter</w:t>
      </w:r>
      <w:proofErr w:type="spellEnd"/>
      <w:r w:rsidR="00C77B83" w:rsidRPr="00B35F21">
        <w:rPr>
          <w:lang w:val="en-GB"/>
        </w:rPr>
        <w:t xml:space="preserve"> (g/</w:t>
      </w:r>
      <w:r w:rsidR="0032696F">
        <w:rPr>
          <w:lang w:val="en-GB"/>
        </w:rPr>
        <w:t>L</w:t>
      </w:r>
      <w:r w:rsidR="00C77B83" w:rsidRPr="00B35F21">
        <w:rPr>
          <w:lang w:val="en-GB"/>
        </w:rPr>
        <w:t xml:space="preserve">). Chemical </w:t>
      </w:r>
      <w:r w:rsidR="0032696F">
        <w:rPr>
          <w:lang w:val="en-GB"/>
        </w:rPr>
        <w:t>O</w:t>
      </w:r>
      <w:r w:rsidR="00C77B83" w:rsidRPr="00B35F21">
        <w:rPr>
          <w:lang w:val="en-GB"/>
        </w:rPr>
        <w:t xml:space="preserve">xygen </w:t>
      </w:r>
      <w:r w:rsidR="0032696F">
        <w:rPr>
          <w:lang w:val="en-GB"/>
        </w:rPr>
        <w:t>D</w:t>
      </w:r>
      <w:r w:rsidR="00C77B83" w:rsidRPr="00B35F21">
        <w:rPr>
          <w:lang w:val="en-GB"/>
        </w:rPr>
        <w:t>emand (COD) and total polyphenol</w:t>
      </w:r>
      <w:r w:rsidR="00CE79CE" w:rsidRPr="00B35F21">
        <w:rPr>
          <w:lang w:val="en-GB"/>
        </w:rPr>
        <w:t>s</w:t>
      </w:r>
      <w:r w:rsidR="00C77B83" w:rsidRPr="00B35F21">
        <w:rPr>
          <w:lang w:val="en-GB"/>
        </w:rPr>
        <w:t xml:space="preserve"> content (by the </w:t>
      </w:r>
      <w:proofErr w:type="spellStart"/>
      <w:r w:rsidR="00C77B83" w:rsidRPr="00B35F21">
        <w:rPr>
          <w:lang w:val="en-GB"/>
        </w:rPr>
        <w:t>Folin-Ciocalteu</w:t>
      </w:r>
      <w:proofErr w:type="spellEnd"/>
      <w:r w:rsidR="00C77B83" w:rsidRPr="00B35F21">
        <w:rPr>
          <w:lang w:val="en-GB"/>
        </w:rPr>
        <w:t xml:space="preserve"> method) of WWWs were quantified daily, in order to evaluate the degradation </w:t>
      </w:r>
      <w:r w:rsidR="00CE79CE" w:rsidRPr="00B35F21">
        <w:rPr>
          <w:lang w:val="en-GB"/>
        </w:rPr>
        <w:t>capability</w:t>
      </w:r>
      <w:r w:rsidR="00C77B83" w:rsidRPr="00B35F21">
        <w:rPr>
          <w:lang w:val="en-GB"/>
        </w:rPr>
        <w:t xml:space="preserve"> of </w:t>
      </w:r>
      <w:r w:rsidR="00CE79CE" w:rsidRPr="00B35F21">
        <w:rPr>
          <w:lang w:val="en-GB"/>
        </w:rPr>
        <w:t>the co-culture</w:t>
      </w:r>
      <w:r w:rsidR="00C77B83" w:rsidRPr="00B35F21">
        <w:rPr>
          <w:lang w:val="en-GB"/>
        </w:rPr>
        <w:t xml:space="preserve">. At the end of cultures, the lipid content of microalgal biomass was </w:t>
      </w:r>
      <w:r w:rsidR="005B2386" w:rsidRPr="00B35F21">
        <w:rPr>
          <w:lang w:val="en-GB"/>
        </w:rPr>
        <w:t xml:space="preserve">also </w:t>
      </w:r>
      <w:r w:rsidR="00C77B83" w:rsidRPr="00B35F21">
        <w:rPr>
          <w:lang w:val="en-GB"/>
        </w:rPr>
        <w:t xml:space="preserve">quantified. </w:t>
      </w:r>
      <w:r w:rsidR="005B2386" w:rsidRPr="00B35F21">
        <w:rPr>
          <w:lang w:val="en-GB"/>
        </w:rPr>
        <w:t>B</w:t>
      </w:r>
      <w:r w:rsidR="00C77B83" w:rsidRPr="00B35F21">
        <w:rPr>
          <w:lang w:val="en-GB"/>
        </w:rPr>
        <w:t xml:space="preserve">iomass grown in the presence of WWW reached </w:t>
      </w:r>
      <w:r w:rsidR="005B2386" w:rsidRPr="00B35F21">
        <w:rPr>
          <w:lang w:val="en-GB"/>
        </w:rPr>
        <w:t xml:space="preserve">final </w:t>
      </w:r>
      <w:r w:rsidR="00C77B83" w:rsidRPr="00B35F21">
        <w:rPr>
          <w:lang w:val="en-GB"/>
        </w:rPr>
        <w:t>concentrations three times higher than the control. In general, COD was reduced by more than 90 % after 15 days, polyphenols concentration was reduced by 40, 90 and 100 % in 1W, 2W and 3W, respectively</w:t>
      </w:r>
      <w:r w:rsidR="00CE79CE" w:rsidRPr="00B35F21">
        <w:rPr>
          <w:lang w:val="en-GB"/>
        </w:rPr>
        <w:t>,</w:t>
      </w:r>
      <w:r w:rsidR="00C77B83" w:rsidRPr="00B35F21">
        <w:rPr>
          <w:lang w:val="en-GB"/>
        </w:rPr>
        <w:t xml:space="preserve"> </w:t>
      </w:r>
      <w:r w:rsidR="00CE79CE" w:rsidRPr="00B35F21">
        <w:rPr>
          <w:lang w:val="en-GB"/>
        </w:rPr>
        <w:t>while</w:t>
      </w:r>
      <w:r w:rsidR="00C77B83" w:rsidRPr="00B35F21">
        <w:rPr>
          <w:lang w:val="en-GB"/>
        </w:rPr>
        <w:t xml:space="preserve"> lipid content of biomass </w:t>
      </w:r>
      <w:r w:rsidR="00CE79CE" w:rsidRPr="00B35F21">
        <w:rPr>
          <w:lang w:val="en-GB"/>
        </w:rPr>
        <w:t xml:space="preserve">grown in 1W and 3W </w:t>
      </w:r>
      <w:r w:rsidR="00C77B83" w:rsidRPr="00B35F21">
        <w:rPr>
          <w:lang w:val="en-GB"/>
        </w:rPr>
        <w:t>increased from 7 to 11 and 15</w:t>
      </w:r>
      <w:r w:rsidR="002D0A87">
        <w:rPr>
          <w:lang w:val="en-GB"/>
        </w:rPr>
        <w:t xml:space="preserve"> </w:t>
      </w:r>
      <w:r w:rsidR="00C77B83" w:rsidRPr="00B35F21">
        <w:rPr>
          <w:lang w:val="en-GB"/>
        </w:rPr>
        <w:t xml:space="preserve">%, respectively. In conclusion, </w:t>
      </w:r>
      <w:r w:rsidR="00CE79CE" w:rsidRPr="00B35F21">
        <w:rPr>
          <w:lang w:val="en-GB"/>
        </w:rPr>
        <w:t xml:space="preserve">the </w:t>
      </w:r>
      <w:r w:rsidR="00C77B83" w:rsidRPr="00B35F21">
        <w:rPr>
          <w:lang w:val="en-GB"/>
        </w:rPr>
        <w:t>results</w:t>
      </w:r>
      <w:r w:rsidR="00CE79CE" w:rsidRPr="00B35F21">
        <w:rPr>
          <w:lang w:val="en-GB"/>
        </w:rPr>
        <w:t xml:space="preserve"> of this study</w:t>
      </w:r>
      <w:r w:rsidR="00C77B83" w:rsidRPr="00B35F21">
        <w:rPr>
          <w:lang w:val="en-GB"/>
        </w:rPr>
        <w:t xml:space="preserve"> </w:t>
      </w:r>
      <w:r w:rsidR="00CE79CE" w:rsidRPr="00B35F21">
        <w:rPr>
          <w:lang w:val="en-GB"/>
        </w:rPr>
        <w:t>demonstrate</w:t>
      </w:r>
      <w:r w:rsidR="00C77B83" w:rsidRPr="00B35F21">
        <w:rPr>
          <w:lang w:val="en-GB"/>
        </w:rPr>
        <w:t xml:space="preserve"> that microalgae can grow efficiently under dark conditions in medi</w:t>
      </w:r>
      <w:r w:rsidR="005B2386" w:rsidRPr="00B35F21">
        <w:rPr>
          <w:lang w:val="en-GB"/>
        </w:rPr>
        <w:t>a</w:t>
      </w:r>
      <w:r w:rsidR="00C77B83" w:rsidRPr="00B35F21">
        <w:rPr>
          <w:lang w:val="en-GB"/>
        </w:rPr>
        <w:t xml:space="preserve"> enriched with WWW, </w:t>
      </w:r>
      <w:r w:rsidR="00CE79CE" w:rsidRPr="00B35F21">
        <w:rPr>
          <w:lang w:val="en-GB"/>
        </w:rPr>
        <w:t xml:space="preserve">hence </w:t>
      </w:r>
      <w:r w:rsidR="00C77B83" w:rsidRPr="00B35F21">
        <w:rPr>
          <w:lang w:val="en-GB"/>
        </w:rPr>
        <w:t xml:space="preserve">reducing </w:t>
      </w:r>
      <w:r w:rsidR="00CE79CE" w:rsidRPr="00B35F21">
        <w:rPr>
          <w:lang w:val="en-GB"/>
        </w:rPr>
        <w:t>its</w:t>
      </w:r>
      <w:r w:rsidR="00C77B83" w:rsidRPr="00B35F21">
        <w:rPr>
          <w:lang w:val="en-GB"/>
        </w:rPr>
        <w:t xml:space="preserve"> environmental impact.</w:t>
      </w:r>
    </w:p>
    <w:p w14:paraId="2BA927A8" w14:textId="77777777" w:rsidR="00600535" w:rsidRPr="00B35F21" w:rsidRDefault="00600535" w:rsidP="00600535">
      <w:pPr>
        <w:pStyle w:val="CETHeading1"/>
        <w:rPr>
          <w:lang w:val="en-GB"/>
        </w:rPr>
      </w:pPr>
      <w:r w:rsidRPr="00B35F21">
        <w:rPr>
          <w:lang w:val="en-GB"/>
        </w:rPr>
        <w:t>Introduction</w:t>
      </w:r>
    </w:p>
    <w:p w14:paraId="13632356" w14:textId="4B38A431" w:rsidR="00455F95" w:rsidRPr="00B35F21" w:rsidRDefault="001821B1" w:rsidP="001821B1">
      <w:pPr>
        <w:pStyle w:val="CETBodytext"/>
      </w:pPr>
      <w:bookmarkStart w:id="0" w:name="_Hlk535851683"/>
      <w:r w:rsidRPr="00B35F21">
        <w:t>Wine is produced in many countr</w:t>
      </w:r>
      <w:r w:rsidR="00394FDE" w:rsidRPr="00B35F21">
        <w:t>ies</w:t>
      </w:r>
      <w:r w:rsidRPr="00B35F21">
        <w:t xml:space="preserve">, </w:t>
      </w:r>
      <w:r w:rsidR="005B2386" w:rsidRPr="00B35F21">
        <w:t xml:space="preserve">and </w:t>
      </w:r>
      <w:r w:rsidRPr="00B35F21">
        <w:t>in 201</w:t>
      </w:r>
      <w:r w:rsidR="005F2026">
        <w:t>8</w:t>
      </w:r>
      <w:r w:rsidRPr="00B35F21">
        <w:t xml:space="preserve"> the world wine production was 2</w:t>
      </w:r>
      <w:r w:rsidR="005F2026">
        <w:t>79</w:t>
      </w:r>
      <w:r w:rsidRPr="00B35F21">
        <w:t xml:space="preserve"> million of </w:t>
      </w:r>
      <w:proofErr w:type="spellStart"/>
      <w:r w:rsidRPr="00B35F21">
        <w:t>hL</w:t>
      </w:r>
      <w:proofErr w:type="spellEnd"/>
      <w:r w:rsidRPr="00B35F21">
        <w:t xml:space="preserve"> </w:t>
      </w:r>
      <w:r w:rsidRPr="00B35F21">
        <w:fldChar w:fldCharType="begin" w:fldLock="1"/>
      </w:r>
      <w:r w:rsidR="005F2026">
        <w:instrText>ADDIN CSL_CITATION {"citationItems":[{"id":"ITEM-1","itemData":{"id":"ITEM-1","issued":{"date-parts":[["2017"]]},"title":"OIV S tatistical R eport on W orld V itiviniculture","type":"article-journal"},"uris":["http://www.mendeley.com/documents/?uuid=78ef5c10-9409-4744-9afc-661532bc4c85"]}],"mendeley":{"formattedCitation":"(“OIV S Tatistical R Eport on W Orld V Itiviniculture” 2017)","manualFormatting":"(OIV, 2018)","plainTextFormattedCitation":"(“OIV S Tatistical R Eport on W Orld V Itiviniculture” 2017)","previouslyFormattedCitation":"(“OIV S Tatistical R Eport on W Orld V Itiviniculture” 2017)"},"properties":{"noteIndex":0},"schema":"https://github.com/citation-style-language/schema/raw/master/csl-citation.json"}</w:instrText>
      </w:r>
      <w:r w:rsidRPr="00B35F21">
        <w:fldChar w:fldCharType="separate"/>
      </w:r>
      <w:r w:rsidRPr="00B35F21">
        <w:rPr>
          <w:noProof/>
        </w:rPr>
        <w:t>(OIV</w:t>
      </w:r>
      <w:r w:rsidR="005B2386" w:rsidRPr="00B35F21">
        <w:rPr>
          <w:noProof/>
        </w:rPr>
        <w:t>,</w:t>
      </w:r>
      <w:r w:rsidRPr="00B35F21">
        <w:rPr>
          <w:noProof/>
        </w:rPr>
        <w:t xml:space="preserve"> 201</w:t>
      </w:r>
      <w:r w:rsidR="005F2026">
        <w:rPr>
          <w:noProof/>
        </w:rPr>
        <w:t>8</w:t>
      </w:r>
      <w:r w:rsidRPr="00B35F21">
        <w:rPr>
          <w:noProof/>
        </w:rPr>
        <w:t>)</w:t>
      </w:r>
      <w:r w:rsidRPr="00B35F21">
        <w:fldChar w:fldCharType="end"/>
      </w:r>
      <w:r w:rsidRPr="00B35F21">
        <w:t xml:space="preserve">. Wine production requires a large amount of resources (water, fertilizers and energy) and </w:t>
      </w:r>
      <w:r w:rsidR="00391B6E" w:rsidRPr="00B35F21">
        <w:t>releas</w:t>
      </w:r>
      <w:r w:rsidRPr="00B35F21">
        <w:t xml:space="preserve">es </w:t>
      </w:r>
      <w:r w:rsidR="00394FDE" w:rsidRPr="00B35F21">
        <w:t>huge</w:t>
      </w:r>
      <w:r w:rsidR="00391B6E" w:rsidRPr="00B35F21">
        <w:t xml:space="preserve"> volumes</w:t>
      </w:r>
      <w:r w:rsidRPr="00B35F21">
        <w:t xml:space="preserve"> of wastewater (0.5-14 L per liter of wine produced). Winery wastewaters (WWW) </w:t>
      </w:r>
      <w:r w:rsidR="00391B6E" w:rsidRPr="00B35F21">
        <w:t>result</w:t>
      </w:r>
      <w:r w:rsidRPr="00B35F21">
        <w:t xml:space="preserve"> from different activities of</w:t>
      </w:r>
      <w:r w:rsidR="00394FDE" w:rsidRPr="00B35F21">
        <w:t xml:space="preserve"> grape treatment</w:t>
      </w:r>
      <w:r w:rsidRPr="00B35F21">
        <w:t xml:space="preserve">: washing, transferring and storage operations </w:t>
      </w:r>
      <w:r w:rsidRPr="00B35F21">
        <w:fldChar w:fldCharType="begin" w:fldLock="1"/>
      </w:r>
      <w:r w:rsidR="00883130" w:rsidRPr="00B35F21">
        <w:instrText>ADDIN CSL_CITATION {"citationItems":[{"id":"ITEM-1","itemData":{"DOI":"10.1016/j.jhazmat.2014.12.043","ISBN":"0304-3894","ISSN":"18733336","PMID":"25636058","abstract":"Winery wastewater is a major waste stream resulting from numerous cleaning operations that occur during the production stages of wine. The resulting effluent contains various organic and inorganic contaminants and its environmental impact is notable, mainly due to its high organic/inorganic load, the large volumes produced and its seasonal variability. Several processes for the treatment of winery wastewater are currently available, but the development of alternative treatment methods is necessary in order to (i) maximize the efficiency and flexibility of the treatment process to meet the discharge requirements for winery effluents, and (ii) decrease both the environmental footprint, as well as the investment/operational costs of the process. This review, presents the state-of-the-art of the processes currently applied and/or tested for the treatment of winery wastewater, which were divided into five categories: i.e., physicochemical, biological, membrane filtration and separation, advanced oxidation processes, and combined biological and advanced oxidation processes. The advantages and disadvantages, as well as the main parameters/factors affecting the efficiency of winery wastewater treatment are discussed. Both bench- and pilot/industrial-scale processes have been considered for this review.","author":[{"dropping-particle":"","family":"Ioannou","given":"L. A.","non-dropping-particle":"","parse-names":false,"suffix":""},{"dropping-particle":"","family":"Puma","given":"G. Li","non-dropping-particle":"","parse-names":false,"suffix":""},{"dropping-particle":"","family":"Fatta-Kassinos","given":"D.","non-dropping-particle":"","parse-names":false,"suffix":""}],"container-title":"Journal of Hazardous Materials","id":"ITEM-1","issued":{"date-parts":[["2015"]]},"page":"343-368","publisher":"Elsevier B.V.","title":"Treatment of winery wastewater by physicochemical, biological and advanced processes: A review","type":"article-journal","volume":"286"},"uris":["http://www.mendeley.com/documents/?uuid=9004782f-8829-4cc9-8856-5d915e441b2d"]}],"mendeley":{"formattedCitation":"(Ioannou, Puma, and Fatta-Kassinos 2015)","manualFormatting":"(Ioannou et al., 2015)","plainTextFormattedCitation":"(Ioannou, Puma, and Fatta-Kassinos 2015)","previouslyFormattedCitation":"(Ioannou, Puma, and Fatta-Kassinos 2015)"},"properties":{"noteIndex":0},"schema":"https://github.com/citation-style-language/schema/raw/master/csl-citation.json"}</w:instrText>
      </w:r>
      <w:r w:rsidRPr="00B35F21">
        <w:fldChar w:fldCharType="separate"/>
      </w:r>
      <w:r w:rsidRPr="00B35F21">
        <w:rPr>
          <w:noProof/>
        </w:rPr>
        <w:t>(Ioannou</w:t>
      </w:r>
      <w:r w:rsidR="00B2767A" w:rsidRPr="00B35F21">
        <w:rPr>
          <w:noProof/>
        </w:rPr>
        <w:t xml:space="preserve"> et al.</w:t>
      </w:r>
      <w:r w:rsidR="00B1785E" w:rsidRPr="00B35F21">
        <w:rPr>
          <w:noProof/>
        </w:rPr>
        <w:t>,</w:t>
      </w:r>
      <w:r w:rsidRPr="00B35F21">
        <w:rPr>
          <w:noProof/>
        </w:rPr>
        <w:t xml:space="preserve"> 2015)</w:t>
      </w:r>
      <w:r w:rsidRPr="00B35F21">
        <w:fldChar w:fldCharType="end"/>
      </w:r>
      <w:r w:rsidRPr="00B35F21">
        <w:t xml:space="preserve">. Tank cleaning and filtration equipment </w:t>
      </w:r>
      <w:r w:rsidR="007D4C1D" w:rsidRPr="00B35F21">
        <w:t>are responsible for</w:t>
      </w:r>
      <w:r w:rsidRPr="00B35F21">
        <w:t xml:space="preserve"> the</w:t>
      </w:r>
      <w:r w:rsidR="007D4C1D" w:rsidRPr="00B35F21">
        <w:t xml:space="preserve"> release of</w:t>
      </w:r>
      <w:r w:rsidRPr="00B35F21">
        <w:t xml:space="preserve"> </w:t>
      </w:r>
      <w:r w:rsidR="007D4C1D" w:rsidRPr="00B35F21">
        <w:t>the largest</w:t>
      </w:r>
      <w:r w:rsidRPr="00B35F21">
        <w:t xml:space="preserve"> amount</w:t>
      </w:r>
      <w:r w:rsidR="002A6770" w:rsidRPr="00B35F21">
        <w:t>s</w:t>
      </w:r>
      <w:r w:rsidRPr="00B35F21">
        <w:t xml:space="preserve"> of wastewaters, whose polluting </w:t>
      </w:r>
      <w:r w:rsidR="007D4C1D" w:rsidRPr="00B35F21">
        <w:t>power</w:t>
      </w:r>
      <w:r w:rsidRPr="00B35F21">
        <w:t xml:space="preserve"> is mainly due to the large volumes produced</w:t>
      </w:r>
      <w:r w:rsidR="002A6770" w:rsidRPr="00B35F21">
        <w:t xml:space="preserve"> as well as</w:t>
      </w:r>
      <w:r w:rsidRPr="00B35F21">
        <w:t xml:space="preserve"> the high organic load </w:t>
      </w:r>
      <w:r w:rsidR="002A6770" w:rsidRPr="00B35F21">
        <w:t>resulting from</w:t>
      </w:r>
      <w:r w:rsidRPr="00B35F21">
        <w:t xml:space="preserve"> the presence of ethanol, sugars, organic acids, phenolic compounds </w:t>
      </w:r>
      <w:r w:rsidRPr="00B35F21">
        <w:fldChar w:fldCharType="begin" w:fldLock="1"/>
      </w:r>
      <w:r w:rsidR="00883130" w:rsidRPr="00B35F21">
        <w:instrText>ADDIN CSL_CITATION {"citationItems":[{"id":"ITEM-1","itemData":{"DOI":"10.1016/S0043-1354(03)00339-7","ISBN":"0043-1354 (Print)","ISSN":"00431354","PMID":"12946894","abstract":"Winery wastewaters are characterised by large seasonal fluctuations in volume and composition and are often discarded with little or no treatment. A rotating biological contactor (RBC) was used to investigate microorganisms associated with the biological treatment of winery wastewater. Extensive biofilms developed on the RBC discs and contained a number of yeast and bacterial species that displayed a dynamic population shift during the evaluation period. This suggested that the naturally occurring microorganisms were able to form a stable biofilm and also reduce the chemical oxygen demand (COD) of winery wastewater (on average 43% with a retention time of 1h). One of the yeast isolates, MEA5, was able to reduce the COD of synthetic wastewater by 95% and 46% within 24h under aerated and non-aerated conditions, respectively. The yeast isolates could therefore play an important role in the degradation of organic compounds under aerobic conditions, such as those associated with an RBC. © 2003 Elsevier Ltd. All rights reserved.","author":[{"dropping-particle":"","family":"Malandra","given":"Lida","non-dropping-particle":"","parse-names":false,"suffix":""},{"dropping-particle":"","family":"Wolfaardt","given":"Gideon","non-dropping-particle":"","parse-names":false,"suffix":""},{"dropping-particle":"","family":"Zietsman","given":"Ancha","non-dropping-particle":"","parse-names":false,"suffix":""},{"dropping-particle":"","family":"Viljoen-Bloom","given":"Marinda","non-dropping-particle":"","parse-names":false,"suffix":""}],"container-title":"Water Research","id":"ITEM-1","issue":"17","issued":{"date-parts":[["2003"]]},"page":"4125-4134","title":"Microbiology of a biological contactor for winery wastewater treatment","type":"article-journal","volume":"37"},"uris":["http://www.mendeley.com/documents/?uuid=a535c4c5-4851-412c-a255-93800000fffd"]}],"mendeley":{"formattedCitation":"(Malandra et al. 2003)","manualFormatting":"(Malandra et al., 2003)","plainTextFormattedCitation":"(Malandra et al. 2003)","previouslyFormattedCitation":"(Malandra et al. 2003)"},"properties":{"noteIndex":0},"schema":"https://github.com/citation-style-language/schema/raw/master/csl-citation.json"}</w:instrText>
      </w:r>
      <w:r w:rsidRPr="00B35F21">
        <w:fldChar w:fldCharType="separate"/>
      </w:r>
      <w:r w:rsidRPr="00B35F21">
        <w:rPr>
          <w:noProof/>
        </w:rPr>
        <w:t>(Malandra et al.</w:t>
      </w:r>
      <w:r w:rsidR="00B1785E" w:rsidRPr="00B35F21">
        <w:rPr>
          <w:noProof/>
        </w:rPr>
        <w:t>,</w:t>
      </w:r>
      <w:r w:rsidRPr="00B35F21">
        <w:rPr>
          <w:noProof/>
        </w:rPr>
        <w:t xml:space="preserve"> 2003)</w:t>
      </w:r>
      <w:r w:rsidRPr="00B35F21">
        <w:fldChar w:fldCharType="end"/>
      </w:r>
      <w:r w:rsidRPr="00B35F21">
        <w:t xml:space="preserve">. Because of the latter problem, biological WWW treatments are particularly appropriate </w:t>
      </w:r>
      <w:r w:rsidRPr="00B35F21">
        <w:fldChar w:fldCharType="begin" w:fldLock="1"/>
      </w:r>
      <w:r w:rsidR="00883130" w:rsidRPr="00B35F21">
        <w:instrText>ADDIN CSL_CITATION {"citationItems":[{"id":"ITEM-1","itemData":{"DOI":"10.1016/j.jhazmat.2014.12.043","ISBN":"0304-3894","ISSN":"18733336","PMID":"25636058","abstract":"Winery wastewater is a major waste stream resulting from numerous cleaning operations that occur during the production stages of wine. The resulting effluent contains various organic and inorganic contaminants and its environmental impact is notable, mainly due to its high organic/inorganic load, the large volumes produced and its seasonal variability. Several processes for the treatment of winery wastewater are currently available, but the development of alternative treatment methods is necessary in order to (i) maximize the efficiency and flexibility of the treatment process to meet the discharge requirements for winery effluents, and (ii) decrease both the environmental footprint, as well as the investment/operational costs of the process. This review, presents the state-of-the-art of the processes currently applied and/or tested for the treatment of winery wastewater, which were divided into five categories: i.e., physicochemical, biological, membrane filtration and separation, advanced oxidation processes, and combined biological and advanced oxidation processes. The advantages and disadvantages, as well as the main parameters/factors affecting the efficiency of winery wastewater treatment are discussed. Both bench- and pilot/industrial-scale processes have been considered for this review.","author":[{"dropping-particle":"","family":"Ioannou","given":"L. A.","non-dropping-particle":"","parse-names":false,"suffix":""},{"dropping-particle":"","family":"Puma","given":"G. Li","non-dropping-particle":"","parse-names":false,"suffix":""},{"dropping-particle":"","family":"Fatta-Kassinos","given":"D.","non-dropping-particle":"","parse-names":false,"suffix":""}],"container-title":"Journal of Hazardous Materials","id":"ITEM-1","issued":{"date-parts":[["2015"]]},"page":"343-368","publisher":"Elsevier B.V.","title":"Treatment of winery wastewater by physicochemical, biological and advanced processes: A review","type":"article-journal","volume":"286"},"uris":["http://www.mendeley.com/documents/?uuid=9004782f-8829-4cc9-8856-5d915e441b2d"]}],"mendeley":{"formattedCitation":"(Ioannou, Puma, and Fatta-Kassinos 2015)","manualFormatting":"(Ioannou et al., 2015)","plainTextFormattedCitation":"(Ioannou, Puma, and Fatta-Kassinos 2015)","previouslyFormattedCitation":"(Ioannou, Puma, and Fatta-Kassinos 2015)"},"properties":{"noteIndex":0},"schema":"https://github.com/citation-style-language/schema/raw/master/csl-citation.json"}</w:instrText>
      </w:r>
      <w:r w:rsidRPr="00B35F21">
        <w:fldChar w:fldCharType="separate"/>
      </w:r>
      <w:r w:rsidRPr="00B35F21">
        <w:rPr>
          <w:noProof/>
        </w:rPr>
        <w:t>(Ioannou</w:t>
      </w:r>
      <w:r w:rsidR="00B2767A" w:rsidRPr="00B35F21">
        <w:rPr>
          <w:noProof/>
        </w:rPr>
        <w:t xml:space="preserve"> et al.</w:t>
      </w:r>
      <w:r w:rsidR="00B1785E" w:rsidRPr="00B35F21">
        <w:rPr>
          <w:noProof/>
        </w:rPr>
        <w:t>,</w:t>
      </w:r>
      <w:r w:rsidR="00B2767A" w:rsidRPr="00B35F21">
        <w:rPr>
          <w:noProof/>
        </w:rPr>
        <w:t xml:space="preserve"> </w:t>
      </w:r>
      <w:r w:rsidRPr="00B35F21">
        <w:rPr>
          <w:noProof/>
        </w:rPr>
        <w:t>2015)</w:t>
      </w:r>
      <w:r w:rsidRPr="00B35F21">
        <w:fldChar w:fldCharType="end"/>
      </w:r>
      <w:r w:rsidRPr="00B35F21">
        <w:t xml:space="preserve">. There are several studies in </w:t>
      </w:r>
      <w:r w:rsidRPr="00B35F21">
        <w:lastRenderedPageBreak/>
        <w:t xml:space="preserve">literature on treatment of civil </w:t>
      </w:r>
      <w:r w:rsidRPr="00B35F21">
        <w:fldChar w:fldCharType="begin" w:fldLock="1"/>
      </w:r>
      <w:r w:rsidR="00883130" w:rsidRPr="00B35F21">
        <w:instrText>ADDIN CSL_CITATION {"citationItems":[{"id":"ITEM-1","itemData":{"DOI":"10.1016/j.apenergy.2016.07.015","ISSN":"03062619","abstract":"The use of microalgae for wastewater treatment has recently attracted increased interest due to the effective nutrient removal abilities of such microorganism, and additional benefits of biofuel production. Microalgae also have the advantages of high growth rates, high cellular lipid productivities, capability to bio-sequester carbon dioxide, capability to remove pollutants from wastewater and their abilities to produce biofuels and bio-based chemicals. However, large scale, cost-effective and sustainable microalgae biofuel production remains still uncertain. In this review, the pathway of integrating wastewaters (including palm oil mill effluent (POME), sewage and landfill leachate) as the medium for microalgal cultivation is comprehensively discussed. The technology/potential of using microalgae to remove pollutants from wastewaters as well as converting the resulting microalgal biomass for biofuel production, are critically reviewed.","author":[{"dropping-particle":"","family":"Cheah","given":"Wai Yan","non-dropping-particle":"","parse-names":false,"suffix":""},{"dropping-particle":"","family":"Ling","given":"Tau Chuan","non-dropping-particle":"","parse-names":false,"suffix":""},{"dropping-particle":"","family":"Show","given":"Pau Loke","non-dropping-particle":"","parse-names":false,"suffix":""},{"dropping-particle":"","family":"Juan","given":"Joon Ching","non-dropping-particle":"","parse-names":false,"suffix":""},{"dropping-particle":"","family":"Chang","given":"Jo Shu","non-dropping-particle":"","parse-names":false,"suffix":""},{"dropping-particle":"","family":"Lee","given":"Duu Jong","non-dropping-particle":"","parse-names":false,"suffix":""}],"container-title":"Applied Energy","id":"ITEM-1","issued":{"date-parts":[["2016"]]},"page":"609-625","publisher":"Elsevier Ltd","title":"Cultivation in wastewaters for energy: A microalgae platform","type":"article-journal","volume":"179"},"uris":["http://www.mendeley.com/documents/?uuid=e5712e70-3bda-4234-98fa-c8a4a22d5406"]}],"mendeley":{"formattedCitation":"(Cheah et al. 2016)","manualFormatting":"(Cheah et al., 2016)","plainTextFormattedCitation":"(Cheah et al. 2016)","previouslyFormattedCitation":"(Cheah et al. 2016)"},"properties":{"noteIndex":0},"schema":"https://github.com/citation-style-language/schema/raw/master/csl-citation.json"}</w:instrText>
      </w:r>
      <w:r w:rsidRPr="00B35F21">
        <w:fldChar w:fldCharType="separate"/>
      </w:r>
      <w:r w:rsidRPr="00B35F21">
        <w:rPr>
          <w:noProof/>
        </w:rPr>
        <w:t>(Cheah et al.</w:t>
      </w:r>
      <w:r w:rsidR="00B1785E" w:rsidRPr="00B35F21">
        <w:rPr>
          <w:noProof/>
        </w:rPr>
        <w:t>,</w:t>
      </w:r>
      <w:r w:rsidRPr="00B35F21">
        <w:rPr>
          <w:noProof/>
        </w:rPr>
        <w:t xml:space="preserve"> 2016)</w:t>
      </w:r>
      <w:r w:rsidRPr="00B35F21">
        <w:fldChar w:fldCharType="end"/>
      </w:r>
      <w:r w:rsidRPr="00B35F21">
        <w:t xml:space="preserve"> and industrial </w:t>
      </w:r>
      <w:r w:rsidRPr="00B35F21">
        <w:fldChar w:fldCharType="begin" w:fldLock="1"/>
      </w:r>
      <w:r w:rsidR="00883130" w:rsidRPr="00B35F21">
        <w:instrText>ADDIN CSL_CITATION {"citationItems":[{"id":"ITEM-1","itemData":{"DOI":"10.3303/CET1649095","ISBN":"9788895608402","ISSN":"22839216","abstract":"© 2016, AIDIC Servizi S.r.l. Winery wastewater (WWW), produced by winemaking activities (cleaning, transferring and storage operations), is an aqueous solution containing ethanol, organic acids, sugars, aldehydes, other microbial metabolites, soaps and detergents. Nowadays, innovative wastewater treatment processes are based on bacterial and yeast species while the role of microalgae is still unclear. Arthrospira (Spirulina) platensis and Chlorella vulgaris are unicellular prokaryotic and eukaryotic microorganisms, respectively, which can be easily grown even in non-optimal conditions. Several studies reported that the amount and quality of lipids contained in microalgal cells can differ as an outcome of changes in growth conditions or growth medium characteristics (concentration of carbon, nitrogen, phosphate, iron, etc.). In this study, we investigated the influence of different concentrations of WWW (20, 40 and 60 % v/v of the medium) on the growth and chemical composition of those photosynthetic microorganisms. Microalgae were grown into vertical glass bubblers (250 mL). The biomass concentration was quantified daily by measuring the optical density at 560 and 625 nm for A. platensis and C. vulgaris, respectively. Total Carbon and total Nitrogen concentrations, both in the media (mg/L) and in microalga biomass (g/100g), were monitored by a CHNS-O analyser. In order to quantify the influence of WWW-enrich media on the lipid concentration and composition, biomass was collected at the beginning of the stationary phase and the lipid fraction was extracted. Results suggested that the two tested microalgae can growth in media enriched with WWW and the total Nitrogen concentrations decreased up to 90 and 100 % for A. platensis and C. vulgaris, respectively. In conclusion, WWW could be successfully used for the growth of the tested microalgae, leading to a reduction of the environmental impact of this wastewater.","author":[{"dropping-particle":"","family":"Casazza","given":"Alessandro A","non-dropping-particle":"","parse-names":false,"suffix":""},{"dropping-particle":"","family":"Ferrari","given":"Pier F","non-dropping-particle":"","parse-names":false,"suffix":""},{"dropping-particle":"","family":"Aliakbarian","given":"Bahar","non-dropping-particle":"","parse-names":false,"suffix":""}],"container-title":"Chemical Engineering Transactions","id":"ITEM-1","issued":{"date-parts":[["2016"]]},"page":"565-570","title":"Microalgae Growth using Winery Wastewater for Energetic and Environmental Purposes","type":"article-journal","volume":"49"},"uris":["http://www.mendeley.com/documents/?uuid=a2c324ea-1169-446c-8ae9-f4f0e8596d6a"]}],"mendeley":{"formattedCitation":"(Casazza, Ferrari, and Aliakbarian 2016)","manualFormatting":"(Casazza et al., 2016)","plainTextFormattedCitation":"(Casazza, Ferrari, and Aliakbarian 2016)","previouslyFormattedCitation":"(Casazza, Ferrari, and Aliakbarian 2016)"},"properties":{"noteIndex":0},"schema":"https://github.com/citation-style-language/schema/raw/master/csl-citation.json"}</w:instrText>
      </w:r>
      <w:r w:rsidRPr="00B35F21">
        <w:fldChar w:fldCharType="separate"/>
      </w:r>
      <w:r w:rsidRPr="00B35F21">
        <w:rPr>
          <w:noProof/>
        </w:rPr>
        <w:t>(Casazza</w:t>
      </w:r>
      <w:r w:rsidR="00B1785E" w:rsidRPr="00B35F21">
        <w:rPr>
          <w:noProof/>
        </w:rPr>
        <w:t xml:space="preserve"> et al.</w:t>
      </w:r>
      <w:r w:rsidRPr="00B35F21">
        <w:rPr>
          <w:noProof/>
        </w:rPr>
        <w:t xml:space="preserve">, </w:t>
      </w:r>
      <w:r w:rsidR="00B1785E" w:rsidRPr="00B35F21">
        <w:rPr>
          <w:noProof/>
        </w:rPr>
        <w:t>20</w:t>
      </w:r>
      <w:r w:rsidRPr="00B35F21">
        <w:rPr>
          <w:noProof/>
        </w:rPr>
        <w:t>16)</w:t>
      </w:r>
      <w:r w:rsidRPr="00B35F21">
        <w:fldChar w:fldCharType="end"/>
      </w:r>
      <w:r w:rsidRPr="00B35F21">
        <w:t xml:space="preserve"> </w:t>
      </w:r>
      <w:r w:rsidR="00744165" w:rsidRPr="00B35F21">
        <w:t>wastewaters using</w:t>
      </w:r>
      <w:r w:rsidRPr="00B35F21">
        <w:t xml:space="preserve"> microalgae</w:t>
      </w:r>
      <w:r w:rsidR="004149C5">
        <w:t xml:space="preserve">, among them </w:t>
      </w:r>
      <w:proofErr w:type="spellStart"/>
      <w:r w:rsidR="004149C5" w:rsidRPr="004149C5">
        <w:rPr>
          <w:i/>
        </w:rPr>
        <w:t>Arthrospira</w:t>
      </w:r>
      <w:proofErr w:type="spellEnd"/>
      <w:r w:rsidR="004149C5" w:rsidRPr="004149C5">
        <w:rPr>
          <w:i/>
        </w:rPr>
        <w:t xml:space="preserve"> platensis</w:t>
      </w:r>
      <w:r w:rsidR="004149C5">
        <w:t xml:space="preserve"> and </w:t>
      </w:r>
      <w:r w:rsidR="004149C5" w:rsidRPr="004149C5">
        <w:rPr>
          <w:i/>
        </w:rPr>
        <w:t>Chlorella vulgaris</w:t>
      </w:r>
      <w:r w:rsidR="004149C5">
        <w:t xml:space="preserve"> are the commonly used.</w:t>
      </w:r>
    </w:p>
    <w:p w14:paraId="5D4F62C5" w14:textId="640B811E" w:rsidR="001821B1" w:rsidRPr="00B35F21" w:rsidRDefault="001821B1" w:rsidP="001821B1">
      <w:pPr>
        <w:pStyle w:val="CETBodytext"/>
        <w:rPr>
          <w:sz w:val="22"/>
        </w:rPr>
      </w:pPr>
      <w:r w:rsidRPr="00B35F21">
        <w:t xml:space="preserve">Microalgae are unicellular organisms, whose lipid, protein and carbohydrate contents depend on the species and growth conditions </w:t>
      </w:r>
      <w:r w:rsidRPr="00B35F21">
        <w:fldChar w:fldCharType="begin" w:fldLock="1"/>
      </w:r>
      <w:r w:rsidR="00883130" w:rsidRPr="00B35F21">
        <w:instrText>ADDIN CSL_CITATION {"citationItems":[{"id":"ITEM-1","itemData":{"DOI":"10.1016/j.rser.2018.06.006","ISSN":"18790690","abstract":"Attached microalgae cultivation could simplify the microalgae harvest process and reduce its associated cost, which has attracted much attention recently. In this paper, the reactor patterns, advantages, microalgae biomass productivity, influencing factors and the microalgae physicochemical properties in the attached microalgae cultivation was summarized to show the sketch of this novel microalgae cultivation. It was concluded that the attached microalgae cultivation is advantageous in achieving less water and space consumption, higher water treatment potential and higher biomass productivity compared with the traditional suspended microalgae cultivation. The accumulation of the attached microalgae biomass showed a linear increase with culture time with the largest productivity up to 20.7 g m−2d−1. Chlorella and Scenedesmus were the top two species that have been studied in attached culture system. Cellulose acetate/nitrate membrane, polycarbonate membrane and cotton were the most popular materials used owing to their high hydrophilicity and wide availability. Flow rate, nutrients, light, CO2and other factors could affect the attached microalgae productivity and the physicochemical property in a way different from the suspended microalgae, which were described in detail in this review. At last, some technical bottlenecks and the corresponding solvents in the attached microalgae were suggested.","author":[{"dropping-particle":"","family":"Zhuang","given":"Lin Lan","non-dropping-particle":"","parse-names":false,"suffix":""},{"dropping-particle":"","family":"Yu","given":"Dawei","non-dropping-particle":"","parse-names":false,"suffix":""},{"dropping-particle":"","family":"Zhang","given":"Jian","non-dropping-particle":"","parse-names":false,"suffix":""},{"dropping-particle":"","family":"Liu","given":"Fei fei","non-dropping-particle":"","parse-names":false,"suffix":""},{"dropping-particle":"","family":"Wu","given":"Yin Hu","non-dropping-particle":"","parse-names":false,"suffix":""},{"dropping-particle":"","family":"Zhang","given":"Tian Yuan","non-dropping-particle":"","parse-names":false,"suffix":""},{"dropping-particle":"","family":"Dao","given":"Guo Hua","non-dropping-particle":"","parse-names":false,"suffix":""},{"dropping-particle":"","family":"Hu","given":"Hong Ying","non-dropping-particle":"","parse-names":false,"suffix":""}],"container-title":"Renewable and Sustainable Energy Reviews","id":"ITEM-1","issue":"May","issued":{"date-parts":[["2018"]]},"page":"1110-1119","title":"The characteristics and influencing factors of the attached microalgae cultivation: A review","type":"article-journal","volume":"94"},"uris":["http://www.mendeley.com/documents/?uuid=4ad39eac-21d7-43fc-9c11-aece4f7bb6c4"]}],"mendeley":{"formattedCitation":"(Zhuang et al. 2018)","manualFormatting":"(Zhuang et al., 2018)","plainTextFormattedCitation":"(Zhuang et al. 2018)","previouslyFormattedCitation":"(Zhuang et al. 2018)"},"properties":{"noteIndex":0},"schema":"https://github.com/citation-style-language/schema/raw/master/csl-citation.json"}</w:instrText>
      </w:r>
      <w:r w:rsidRPr="00B35F21">
        <w:fldChar w:fldCharType="separate"/>
      </w:r>
      <w:r w:rsidRPr="00B35F21">
        <w:rPr>
          <w:noProof/>
        </w:rPr>
        <w:t>(Zhuang et al.</w:t>
      </w:r>
      <w:r w:rsidR="00B1785E" w:rsidRPr="00B35F21">
        <w:rPr>
          <w:noProof/>
        </w:rPr>
        <w:t>,</w:t>
      </w:r>
      <w:r w:rsidRPr="00B35F21">
        <w:rPr>
          <w:noProof/>
        </w:rPr>
        <w:t xml:space="preserve"> 2018)</w:t>
      </w:r>
      <w:r w:rsidRPr="00B35F21">
        <w:fldChar w:fldCharType="end"/>
      </w:r>
      <w:r w:rsidRPr="00B35F21">
        <w:t>. Microalgae</w:t>
      </w:r>
      <w:r w:rsidR="003875D5" w:rsidRPr="00B35F21">
        <w:t>,</w:t>
      </w:r>
      <w:r w:rsidRPr="00B35F21">
        <w:t xml:space="preserve"> which are attractive because of their high growth rate, find several applications in biofuels production </w:t>
      </w:r>
      <w:r w:rsidRPr="00B35F21">
        <w:fldChar w:fldCharType="begin" w:fldLock="1"/>
      </w:r>
      <w:r w:rsidR="00883130" w:rsidRPr="00B35F21">
        <w:instrText>ADDIN CSL_CITATION {"citationItems":[{"id":"ITEM-1","itemData":{"DOI":"10.1016/j.rser.2009.10.009","ISBN":"1364-0321","ISSN":"13640321","PMID":"15193802","abstract":"Sustainability is a key principle in natural resource management, and it involves operational efficiency, minimisation of environmental impact and socio-economic considerations; all of which are interdependent. It has become increasingly obvious that continued reliance on fossil fuel energy resources is unsustainable, owing to both depleting world reserves and the green house gas emissions associated with their use. Therefore, there are vigorous research initiatives aimed at developing alternative renewable and potentially carbon neutral solid, liquid and gaseous biofuels as alternative energy resources. However, alternate energy resources akin to first generation biofuels derived from terrestrial crops such as sugarcane, sugar beet, maize and rapeseed place an enormous strain on world food markets, contribute to water shortages and precipitate the destruction of the world's forests. Second generation biofuels derived from lignocellulosic agriculture and forest residues and from non-food crop feedstocks address some of the above problems; however there is concern over competing land use or required land use changes. Therefore, based on current knowledge and technology projections, third generation biofuels specifically derived from microalgae are considered to be a technically viable alternative energy resource that is devoid of the major drawbacks associated with first and second generation biofuels. Microalgae are photosynthetic microorganisms with simple growing requirements (light, sugars, CO2, N, P, and K) that can produce lipids, proteins and carbohydrates in large amounts over short periods of time. These products can be processed into both biofuels and valuable co-products. This study reviewed the technologies underpinning microalgae-to-biofuels systems, focusing on the biomass production, harvesting, conversion technologies, and the extraction of useful co-products. It also reviewed the synergistic coupling of microalgae propagation with carbon sequestration and wastewater treatment potential for mitigation of environmental impacts associated with energy conversion and utilisation. It was found that, whereas there are outstanding issues related to photosynthetic efficiencies and biomass output, microalgae-derived biofuels could progressively substitute a significant proportion of the fossil fuels required to meet the growing energy demand. © 2009 Elsevier Ltd. All rights reserved.","author":[{"dropping-particle":"","family":"Brennan","given":"Liam","non-dropping-particle":"","parse-names":false,"suffix":""},{"dropping-particle":"","family":"Owende","given":"Philip","non-dropping-particle":"","parse-names":false,"suffix":""}],"container-title":"Renewable and Sustainable Energy Reviews","id":"ITEM-1","issue":"2","issued":{"date-parts":[["2010"]]},"page":"557-577","title":"Biofuels from microalgae-A review of technologies for production, processing, and extractions of biofuels and co-products","type":"article-journal","volume":"14"},"uris":["http://www.mendeley.com/documents/?uuid=df0676e3-31df-41ff-b296-96266728e0dd"]}],"mendeley":{"formattedCitation":"(Brennan and Owende 2010)","plainTextFormattedCitation":"(Brennan and Owende 2010)","previouslyFormattedCitation":"(Brennan and Owende 2010)"},"properties":{"noteIndex":0},"schema":"https://github.com/citation-style-language/schema/raw/master/csl-citation.json"}</w:instrText>
      </w:r>
      <w:r w:rsidRPr="00B35F21">
        <w:fldChar w:fldCharType="separate"/>
      </w:r>
      <w:r w:rsidRPr="00B35F21">
        <w:rPr>
          <w:noProof/>
        </w:rPr>
        <w:t>(Brennan and Owende 2010)</w:t>
      </w:r>
      <w:r w:rsidRPr="00B35F21">
        <w:fldChar w:fldCharType="end"/>
      </w:r>
      <w:r w:rsidRPr="00B35F21">
        <w:t xml:space="preserve">, human or animal nutrition and </w:t>
      </w:r>
      <w:r w:rsidR="001E15A2" w:rsidRPr="00B35F21">
        <w:t xml:space="preserve">production of </w:t>
      </w:r>
      <w:r w:rsidRPr="00B35F21">
        <w:t>chemical</w:t>
      </w:r>
      <w:r w:rsidR="001E15A2" w:rsidRPr="00B35F21">
        <w:t>s</w:t>
      </w:r>
      <w:r w:rsidRPr="00B35F21">
        <w:t xml:space="preserve"> and pharmaceuticals</w:t>
      </w:r>
      <w:r w:rsidR="003875D5" w:rsidRPr="00B35F21">
        <w:t xml:space="preserve"> </w:t>
      </w:r>
      <w:r w:rsidRPr="00B35F21">
        <w:fldChar w:fldCharType="begin" w:fldLock="1"/>
      </w:r>
      <w:r w:rsidR="00883130" w:rsidRPr="00B35F21">
        <w:instrText>ADDIN CSL_CITATION {"citationItems":[{"id":"ITEM-1","itemData":{"DOI":"10.1016/j.sjbs.2017.11.003","ISSN":"1319562X","author":[{"dropping-particle":"","family":"Sathasivam","given":"Ramaraj","non-dropping-particle":"","parse-names":false,"suffix":""},{"dropping-particle":"","family":"Radhakrishnan","given":"Ramalingam","non-dropping-particle":"","parse-names":false,"suffix":""},{"dropping-particle":"","family":"Hashem","given":"Abeer","non-dropping-particle":"","parse-names":false,"suffix":""},{"dropping-particle":"","family":"Fathi Abd_Allah","given":"Elsayed","non-dropping-particle":"","parse-names":false,"suffix":""}],"container-title":"Saudi Journal of Biological Sciences","id":"ITEM-1","issued":{"date-parts":[["2017"]]},"publisher":"King Saud University","title":"Microalgae metabolites: A rich source for food and medicine","type":"article-journal"},"uris":["http://www.mendeley.com/documents/?uuid=f7948c86-1461-44b3-8be1-ee2127955763"]}],"mendeley":{"formattedCitation":"(Sathasivam et al. 2017)","manualFormatting":"(Sathasivam et al., 2017)","plainTextFormattedCitation":"(Sathasivam et al. 2017)","previouslyFormattedCitation":"(Sathasivam et al. 2017)"},"properties":{"noteIndex":0},"schema":"https://github.com/citation-style-language/schema/raw/master/csl-citation.json"}</w:instrText>
      </w:r>
      <w:r w:rsidRPr="00B35F21">
        <w:fldChar w:fldCharType="separate"/>
      </w:r>
      <w:r w:rsidRPr="00B35F21">
        <w:rPr>
          <w:noProof/>
        </w:rPr>
        <w:t>(Sathasivam et al.</w:t>
      </w:r>
      <w:r w:rsidR="00B1785E" w:rsidRPr="00B35F21">
        <w:rPr>
          <w:noProof/>
        </w:rPr>
        <w:t>,</w:t>
      </w:r>
      <w:r w:rsidRPr="00B35F21">
        <w:rPr>
          <w:noProof/>
        </w:rPr>
        <w:t xml:space="preserve"> 2017)</w:t>
      </w:r>
      <w:r w:rsidRPr="00B35F21">
        <w:fldChar w:fldCharType="end"/>
      </w:r>
      <w:r w:rsidRPr="00B35F21">
        <w:t>. Microalgae</w:t>
      </w:r>
      <w:r w:rsidR="00563AF5" w:rsidRPr="00B35F21">
        <w:t xml:space="preserve"> </w:t>
      </w:r>
      <w:r w:rsidRPr="00B35F21">
        <w:t>are</w:t>
      </w:r>
      <w:r w:rsidR="00563AF5" w:rsidRPr="00B35F21">
        <w:t xml:space="preserve"> usually</w:t>
      </w:r>
      <w:r w:rsidRPr="00B35F21">
        <w:t xml:space="preserve"> grown in phototropic cultivation fixing the atmospheric</w:t>
      </w:r>
      <w:r w:rsidR="00455F95" w:rsidRPr="00B35F21">
        <w:t xml:space="preserve"> carbon dioxide</w:t>
      </w:r>
      <w:r w:rsidRPr="00B35F21">
        <w:t xml:space="preserve"> into renewable biomass by photosynthesis process </w:t>
      </w:r>
      <w:r w:rsidRPr="00B35F21">
        <w:fldChar w:fldCharType="begin" w:fldLock="1"/>
      </w:r>
      <w:r w:rsidR="00883130" w:rsidRPr="00B35F21">
        <w:instrText>ADDIN CSL_CITATION {"citationItems":[{"id":"ITEM-1","itemData":{"DOI":"10.1016/j.rser.2011.04.014","ISBN":"1364-0321","ISSN":"13640321","abstract":"The recognised deficiencies in sustainable development and the extensive environmental deterioration and global warming concerns caused by anthropological CO2 emissions are major issues facing the world today. Massive reduction in atmospheric CO2 concentration, through the development of processes that utilize CO2 or minimise CO 2 emissions, is critical to ensure environmental sustainability. One of the major contributors to anthropological CO2 emission is the combustion of petroleum fuels in vehicular engines for transportation. Biofuel, as an alternative to petroleum transport fuels, has become a partial substitute for fossil fuel. The use of microalgae for biofuel production has gained enormous research interests in recent years, primarily due to the ability to photosynthetically convert CO2 (a biology-inspired process engineering route) into potential biofuel biomass, as well as food, feed stocks, and high value biochemicals. In this review, the CO2 fixation ability of microalgae in comparison to other plant species and genetic engineering methods of improving microalgae photosynthetic rate, have been discussed. Advances in bioprocess technologies for microalgal biomass creation and biodiesel production are also described and other important matters are discussed. © 2011 Elsevier Ltd. All rights reserved.","author":[{"dropping-particle":"","family":"Zeng","given":"Xianhai","non-dropping-particle":"","parse-names":false,"suffix":""},{"dropping-particle":"","family":"Danquah","given":"Michael K.","non-dropping-particle":"","parse-names":false,"suffix":""},{"dropping-particle":"","family":"Chen","given":"Xiao Dong","non-dropping-particle":"","parse-names":false,"suffix":""},{"dropping-particle":"","family":"Lu","given":"Yinghua","non-dropping-particle":"","parse-names":false,"suffix":""}],"container-title":"Renewable and Sustainable Energy Reviews","id":"ITEM-1","issue":"6","issued":{"date-parts":[["2011"]]},"page":"3252-3260","publisher":"Elsevier Ltd","title":"Microalgae bioengineering: From CO2 fixation to biofuel production","type":"article-journal","volume":"15"},"uris":["http://www.mendeley.com/documents/?uuid=965b419d-37b3-404c-b2f6-4bbeb5395a38"]}],"mendeley":{"formattedCitation":"(Zeng et al. 2011)","manualFormatting":"(Zeng et al., 2011)","plainTextFormattedCitation":"(Zeng et al. 2011)","previouslyFormattedCitation":"(Zeng et al. 2011)"},"properties":{"noteIndex":0},"schema":"https://github.com/citation-style-language/schema/raw/master/csl-citation.json"}</w:instrText>
      </w:r>
      <w:r w:rsidRPr="00B35F21">
        <w:fldChar w:fldCharType="separate"/>
      </w:r>
      <w:r w:rsidRPr="00B35F21">
        <w:rPr>
          <w:noProof/>
        </w:rPr>
        <w:t>(Zeng et al.</w:t>
      </w:r>
      <w:r w:rsidR="00B1785E" w:rsidRPr="00B35F21">
        <w:rPr>
          <w:noProof/>
        </w:rPr>
        <w:t>,</w:t>
      </w:r>
      <w:r w:rsidRPr="00B35F21">
        <w:rPr>
          <w:noProof/>
        </w:rPr>
        <w:t xml:space="preserve"> 2011)</w:t>
      </w:r>
      <w:r w:rsidRPr="00B35F21">
        <w:fldChar w:fldCharType="end"/>
      </w:r>
      <w:r w:rsidRPr="00B35F21">
        <w:t xml:space="preserve">. </w:t>
      </w:r>
      <w:r w:rsidR="00563AF5" w:rsidRPr="00B35F21">
        <w:t>However,</w:t>
      </w:r>
      <w:r w:rsidRPr="00B35F21">
        <w:t xml:space="preserve"> phototrophic cultivation </w:t>
      </w:r>
      <w:r w:rsidR="00F67707" w:rsidRPr="00B35F21">
        <w:t>i</w:t>
      </w:r>
      <w:r w:rsidR="00563AF5" w:rsidRPr="00B35F21">
        <w:t>s</w:t>
      </w:r>
      <w:r w:rsidRPr="00B35F21">
        <w:t xml:space="preserve"> light </w:t>
      </w:r>
      <w:r w:rsidR="00563AF5" w:rsidRPr="00B35F21">
        <w:t>limit</w:t>
      </w:r>
      <w:r w:rsidR="00F67707" w:rsidRPr="00B35F21">
        <w:t>ed</w:t>
      </w:r>
      <w:r w:rsidRPr="00B35F21">
        <w:t xml:space="preserve">, </w:t>
      </w:r>
      <w:r w:rsidR="00563AF5" w:rsidRPr="00B35F21">
        <w:t>which</w:t>
      </w:r>
      <w:r w:rsidRPr="00B35F21">
        <w:t xml:space="preserve"> </w:t>
      </w:r>
      <w:r w:rsidR="00F67707" w:rsidRPr="00B35F21">
        <w:t xml:space="preserve">leads to low microalgae density and </w:t>
      </w:r>
      <w:r w:rsidRPr="00B35F21">
        <w:t>increase</w:t>
      </w:r>
      <w:r w:rsidR="00563AF5" w:rsidRPr="00B35F21">
        <w:t>s</w:t>
      </w:r>
      <w:r w:rsidRPr="00B35F21">
        <w:t xml:space="preserve"> the cultivation cost</w:t>
      </w:r>
      <w:r w:rsidR="00563AF5" w:rsidRPr="00B35F21">
        <w:t>s</w:t>
      </w:r>
      <w:r w:rsidRPr="00B35F21">
        <w:t xml:space="preserve"> </w:t>
      </w:r>
      <w:r w:rsidRPr="00B35F21">
        <w:fldChar w:fldCharType="begin" w:fldLock="1"/>
      </w:r>
      <w:r w:rsidR="00883130" w:rsidRPr="00B35F21">
        <w:instrText>ADDIN CSL_CITATION {"citationItems":[{"id":"ITEM-1","itemData":{"DOI":"10.1016/j.biortech.2018.05.020","ISSN":"18732976","abstract":"To overcome the bottlenecks of high cost and low production yields that restrict the commercial production of microalgae biodiesel, the use of xylose was evaluate by Scenedesmus quadricauda FACHB-1297, which was shown to be capable of mixotrophic and heterotrophic growth and lipid production on xylose, rich in the waste streams from pulp and paper industry, with increases in lipid productivities of 35.8-fold (mixotrophic) and 9.2-fold (heterotrophic) in comparison to photoautotrophic lipid yields. Five doses of xylose were tested to determine the effects and mechanisms of the carbon source on microalgae in mixotrophic mode. At the optimal xylose dosage of 4 g/L, the highest lipid content (38.61%) and productivity (139.55 mg/L/d) were achieved besides maximum biomass productivity (361.4 mg/L/d), nutrient removal efficiency of 68.4% (nitrogen), 97.2% (phosphorus) and 35.2% (xylose). Those indicated that S. quadricauda FACHB-1297 was suitable for further development of using xylose from certain waste streams for biofuel production.","author":[{"dropping-particle":"","family":"Song","given":"Mingming","non-dropping-particle":"","parse-names":false,"suffix":""},{"dropping-particle":"","family":"Pei","given":"Haiyan","non-dropping-particle":"","parse-names":false,"suffix":""}],"container-title":"Bioresource Technology","id":"ITEM-1","issue":"May","issued":{"date-parts":[["2018"]]},"page":"525-531","publisher":"Elsevier","title":"The growth and lipid accumulation of Scenedesmus quadricauda during batch mixotrophic/heterotrophic cultivation using xylose as a carbon source","type":"article-journal","volume":"263"},"uris":["http://www.mendeley.com/documents/?uuid=31f9d2fc-2392-4ed8-83a3-53e64755abb2"]}],"mendeley":{"formattedCitation":"(Song and Pei 2018)","manualFormatting":"(Song and Pei, 2018)","plainTextFormattedCitation":"(Song and Pei 2018)","previouslyFormattedCitation":"(Song and Pei 2018)"},"properties":{"noteIndex":0},"schema":"https://github.com/citation-style-language/schema/raw/master/csl-citation.json"}</w:instrText>
      </w:r>
      <w:r w:rsidRPr="00B35F21">
        <w:fldChar w:fldCharType="separate"/>
      </w:r>
      <w:r w:rsidRPr="00B35F21">
        <w:rPr>
          <w:noProof/>
        </w:rPr>
        <w:t>(Song and Pei</w:t>
      </w:r>
      <w:r w:rsidR="00116E0A" w:rsidRPr="00B35F21">
        <w:rPr>
          <w:noProof/>
        </w:rPr>
        <w:t>,</w:t>
      </w:r>
      <w:r w:rsidRPr="00B35F21">
        <w:rPr>
          <w:noProof/>
        </w:rPr>
        <w:t xml:space="preserve"> 2018)</w:t>
      </w:r>
      <w:r w:rsidRPr="00B35F21">
        <w:fldChar w:fldCharType="end"/>
      </w:r>
      <w:r w:rsidRPr="00B35F21">
        <w:t>. To reduce</w:t>
      </w:r>
      <w:r w:rsidR="00F67707" w:rsidRPr="00B35F21">
        <w:t xml:space="preserve"> them</w:t>
      </w:r>
      <w:r w:rsidRPr="00B35F21">
        <w:t xml:space="preserve">, </w:t>
      </w:r>
      <w:r w:rsidR="00F67707" w:rsidRPr="00B35F21">
        <w:t xml:space="preserve">microalgae </w:t>
      </w:r>
      <w:r w:rsidRPr="00B35F21">
        <w:t xml:space="preserve">can be grown </w:t>
      </w:r>
      <w:r w:rsidR="00F67707" w:rsidRPr="00B35F21">
        <w:t>under</w:t>
      </w:r>
      <w:r w:rsidRPr="00B35F21">
        <w:t xml:space="preserve"> heterotrophic </w:t>
      </w:r>
      <w:r w:rsidR="00F67707" w:rsidRPr="00B35F21">
        <w:t>conditions</w:t>
      </w:r>
      <w:r w:rsidRPr="00B35F21">
        <w:t xml:space="preserve"> in absence of light using organic carbon source in conventional photobioreactor</w:t>
      </w:r>
      <w:r w:rsidR="00F67707" w:rsidRPr="00B35F21">
        <w:t>s</w:t>
      </w:r>
      <w:r w:rsidRPr="00B35F21">
        <w:t xml:space="preserve"> </w:t>
      </w:r>
      <w:r w:rsidRPr="00B35F21">
        <w:fldChar w:fldCharType="begin" w:fldLock="1"/>
      </w:r>
      <w:r w:rsidR="00883130" w:rsidRPr="00B35F21">
        <w:instrText>ADDIN CSL_CITATION {"citationItems":[{"id":"ITEM-1","itemData":{"DOI":"10.1016/j.wasman.2017.11.020","ISSN":"18792456","PMID":"29150257","abstract":"Various organic residues occur globally in the form of straw, wood, green biomass, food waste, feces, manure etc. Other utilization strategies apart from anaerobic digestion, composting and incineration are needed to make use of the whole potential of organic residues as sources of various value added compounds. This review compares the cultivation of heterotrophic microalgae and insects using organic residues as nutrient sources and illuminates their potential with regard to biomass production, productivity and yield, and utilization strategies of produced biomasses. Furthermore, cultivation processes as well as advantages and disadvantages of utilization processes are identified and discussed. It was shown that both heterotrophic algae and insects are able to reduce a sufficient amount of organic residues by converting it into biomass. The biomass composition of both organisms is similar which allows similar utilization strategies in food and feed, chemicals and materials productions. Even though insect is the more complex organism, biomass production can be carried out using simple equipment without sterilization and hydrolysis of organic residues. Contrarily, heterotrophic microalgae require a pretreatment of organic residues in form of sterilization and in most cases hydrolysis. Interestingly, the volumetric productivity of insect biomass exceeds the productivity of algal biomass. Despite legal restrictions, it is expected that microalgae and insects will find application as alternative food and feed sources in the future.","author":[{"dropping-particle":"","family":"Pleissner","given":"Daniel","non-dropping-particle":"","parse-names":false,"suffix":""},{"dropping-particle":"","family":"Rumpold","given":"Birgit A.","non-dropping-particle":"","parse-names":false,"suffix":""}],"container-title":"Waste Management","id":"ITEM-1","issued":{"date-parts":[["2018"]]},"page":"227-239","publisher":"Elsevier Ltd","title":"Utilization of organic residues using heterotrophic microalgae and insects","type":"article-journal","volume":"72"},"uris":["http://www.mendeley.com/documents/?uuid=a785d1e0-b760-4cd5-ac7b-3edd2100f4d9"]}],"mendeley":{"formattedCitation":"(Pleissner and Rumpold 2018)","plainTextFormattedCitation":"(Pleissner and Rumpold 2018)","previouslyFormattedCitation":"(Pleissner and Rumpold 2018)"},"properties":{"noteIndex":0},"schema":"https://github.com/citation-style-language/schema/raw/master/csl-citation.json"}</w:instrText>
      </w:r>
      <w:r w:rsidRPr="00B35F21">
        <w:fldChar w:fldCharType="separate"/>
      </w:r>
      <w:r w:rsidRPr="00B35F21">
        <w:rPr>
          <w:noProof/>
        </w:rPr>
        <w:t>(Pleissner and Rumpold 2018)</w:t>
      </w:r>
      <w:r w:rsidRPr="00B35F21">
        <w:fldChar w:fldCharType="end"/>
      </w:r>
      <w:r w:rsidRPr="00B35F21">
        <w:t>. There are several other advantage</w:t>
      </w:r>
      <w:r w:rsidR="00F67707" w:rsidRPr="00B35F21">
        <w:t>s</w:t>
      </w:r>
      <w:r w:rsidRPr="00B35F21">
        <w:t xml:space="preserve"> </w:t>
      </w:r>
      <w:r w:rsidR="00F67707" w:rsidRPr="00B35F21">
        <w:t xml:space="preserve">to </w:t>
      </w:r>
      <w:r w:rsidRPr="00B35F21">
        <w:t xml:space="preserve">growing microalgae </w:t>
      </w:r>
      <w:r w:rsidR="00F67707" w:rsidRPr="00B35F21">
        <w:t>under</w:t>
      </w:r>
      <w:r w:rsidRPr="00B35F21">
        <w:t xml:space="preserve"> heterotrophic condition</w:t>
      </w:r>
      <w:r w:rsidR="00F67707" w:rsidRPr="00B35F21">
        <w:t>s</w:t>
      </w:r>
      <w:r w:rsidRPr="00B35F21">
        <w:t xml:space="preserve"> such as: </w:t>
      </w:r>
      <w:r w:rsidR="00D7241C" w:rsidRPr="00B35F21">
        <w:t xml:space="preserve">a) </w:t>
      </w:r>
      <w:r w:rsidRPr="00B35F21">
        <w:t xml:space="preserve">optimal light supply is </w:t>
      </w:r>
      <w:r w:rsidR="00D7241C" w:rsidRPr="00B35F21">
        <w:t>no longer required</w:t>
      </w:r>
      <w:r w:rsidRPr="00B35F21">
        <w:t xml:space="preserve">, </w:t>
      </w:r>
      <w:r w:rsidR="00D7241C" w:rsidRPr="00B35F21">
        <w:t xml:space="preserve">b) </w:t>
      </w:r>
      <w:r w:rsidRPr="00B35F21">
        <w:t xml:space="preserve">cell density </w:t>
      </w:r>
      <w:r w:rsidR="00D7241C" w:rsidRPr="00B35F21">
        <w:t xml:space="preserve">is </w:t>
      </w:r>
      <w:r w:rsidRPr="00B35F21">
        <w:t>increased</w:t>
      </w:r>
      <w:r w:rsidR="00F67707" w:rsidRPr="00B35F21">
        <w:t xml:space="preserve"> remarkably</w:t>
      </w:r>
      <w:r w:rsidRPr="00B35F21">
        <w:t xml:space="preserve"> (from </w:t>
      </w:r>
      <w:r w:rsidR="00F67707" w:rsidRPr="00B35F21">
        <w:t>around 2</w:t>
      </w:r>
      <w:r w:rsidRPr="00B35F21">
        <w:t xml:space="preserve"> g/L </w:t>
      </w:r>
      <w:r w:rsidR="00F67707" w:rsidRPr="00B35F21">
        <w:t>in</w:t>
      </w:r>
      <w:r w:rsidRPr="00B35F21">
        <w:t xml:space="preserve"> open pond</w:t>
      </w:r>
      <w:r w:rsidR="00F67707" w:rsidRPr="00B35F21">
        <w:t>s</w:t>
      </w:r>
      <w:r w:rsidRPr="00B35F21">
        <w:t xml:space="preserve"> to 10 g/L) and</w:t>
      </w:r>
      <w:r w:rsidR="00D7241C" w:rsidRPr="00B35F21">
        <w:t>,</w:t>
      </w:r>
      <w:r w:rsidRPr="00B35F21">
        <w:t xml:space="preserve"> </w:t>
      </w:r>
      <w:r w:rsidR="00D7241C" w:rsidRPr="00B35F21">
        <w:t xml:space="preserve">c) </w:t>
      </w:r>
      <w:r w:rsidRPr="00B35F21">
        <w:t xml:space="preserve">conventional industrial scale </w:t>
      </w:r>
      <w:r w:rsidR="00D7241C" w:rsidRPr="00B35F21">
        <w:t xml:space="preserve">equipment can be used, ensuring a better control of pH, temperature, oxygen level and carbon source availability </w:t>
      </w:r>
      <w:r w:rsidR="00D7241C" w:rsidRPr="00B35F21">
        <w:fldChar w:fldCharType="begin" w:fldLock="1"/>
      </w:r>
      <w:r w:rsidR="00883130" w:rsidRPr="00B35F21">
        <w:instrText>ADDIN CSL_CITATION {"citationItems":[{"id":"ITEM-1","itemData":{"DOI":"10.1016/j.biotechadv.2017.09.009","ISBN":"0734-9750","ISSN":"07349750","abstract":"Pigments (mainly carotenoids) are important nutraceuticals known for their potent anti-oxidant activities and have been used extensively as high end health supplements. Microalgae are the most promising sources of natural carotenoids and are devoid of the toxic effects associated with synthetic derivatives. Compared to photoautotrophic cultivation, heterotrophic cultivation of microalgae in well-controlled bioreactors for pigments production has attracted much attention for commercial applications due to overcoming the difficulties associated with the supply of CO2and light, as well as avoiding the contamination problems and land requirements in open autotrophic culture systems. In this review, the heterotrophic metabolic potential of microalgae and their uses in pigment production are comprehensively described. Strategies to enhance pigment production under heterotrophic conditions are critically discussed and the challenges faced in heterotrophic pigment production with possible alternative solutions are presented.","author":[{"dropping-particle":"","family":"Hu","given":"Jianjun","non-dropping-particle":"","parse-names":false,"suffix":""},{"dropping-particle":"","family":"Nagarajan","given":"Dillirani","non-dropping-particle":"","parse-names":false,"suffix":""},{"dropping-particle":"","family":"Zhang","given":"Quanguo","non-dropping-particle":"","parse-names":false,"suffix":""},{"dropping-particle":"","family":"Chang","given":"Jo Shu","non-dropping-particle":"","parse-names":false,"suffix":""},{"dropping-particle":"","family":"Lee","given":"Duu Jong","non-dropping-particle":"","parse-names":false,"suffix":""}],"container-title":"Biotechnology Advances","id":"ITEM-1","issue":"1","issued":{"date-parts":[["2018"]]},"page":"54-67","publisher":"Elsevier","title":"Heterotrophic cultivation of microalgae for pigment production: A review","type":"article-journal","volume":"36"},"uris":["http://www.mendeley.com/documents/?uuid=b1de6fab-5a4a-463d-93ae-1eafc05930ba"]}],"mendeley":{"formattedCitation":"(Hu et al. 2018)","manualFormatting":"(Hu et al., 2018)","plainTextFormattedCitation":"(Hu et al. 2018)","previouslyFormattedCitation":"(Hu et al. 2018)"},"properties":{"noteIndex":0},"schema":"https://github.com/citation-style-language/schema/raw/master/csl-citation.json"}</w:instrText>
      </w:r>
      <w:r w:rsidR="00D7241C" w:rsidRPr="00B35F21">
        <w:fldChar w:fldCharType="separate"/>
      </w:r>
      <w:r w:rsidR="00D7241C" w:rsidRPr="00B35F21">
        <w:rPr>
          <w:noProof/>
        </w:rPr>
        <w:t>(Hu et al., 2018)</w:t>
      </w:r>
      <w:r w:rsidR="00D7241C" w:rsidRPr="00B35F21">
        <w:fldChar w:fldCharType="end"/>
      </w:r>
      <w:r w:rsidRPr="00B35F21">
        <w:t xml:space="preserve">. </w:t>
      </w:r>
    </w:p>
    <w:p w14:paraId="498D192D" w14:textId="63E0B7D3" w:rsidR="001821B1" w:rsidRPr="00B35F21" w:rsidRDefault="001821B1" w:rsidP="001821B1">
      <w:pPr>
        <w:pStyle w:val="CETBodytext"/>
      </w:pPr>
      <w:r w:rsidRPr="00B35F21">
        <w:t xml:space="preserve">The purposes of this work were to grow a co-culture of </w:t>
      </w:r>
      <w:proofErr w:type="spellStart"/>
      <w:r w:rsidRPr="00B35F21">
        <w:rPr>
          <w:i/>
        </w:rPr>
        <w:t>Arthrospira</w:t>
      </w:r>
      <w:proofErr w:type="spellEnd"/>
      <w:r w:rsidRPr="00B35F21">
        <w:rPr>
          <w:i/>
        </w:rPr>
        <w:t xml:space="preserve"> platensis</w:t>
      </w:r>
      <w:r w:rsidRPr="00B35F21">
        <w:t xml:space="preserve"> and </w:t>
      </w:r>
      <w:r w:rsidRPr="00B35F21">
        <w:rPr>
          <w:i/>
        </w:rPr>
        <w:t>Chlorella vulgar</w:t>
      </w:r>
      <w:r w:rsidRPr="00B35F21">
        <w:t xml:space="preserve">is </w:t>
      </w:r>
      <w:r w:rsidR="00D7241C" w:rsidRPr="00B35F21">
        <w:t>under</w:t>
      </w:r>
      <w:r w:rsidRPr="00B35F21">
        <w:t xml:space="preserve"> heterotrophic condition</w:t>
      </w:r>
      <w:r w:rsidR="00455F95" w:rsidRPr="00B35F21">
        <w:t>s in order</w:t>
      </w:r>
      <w:r w:rsidRPr="00B35F21">
        <w:t xml:space="preserve"> to reduce the environmental impact of WWW and to find</w:t>
      </w:r>
      <w:r w:rsidR="000C3FED" w:rsidRPr="00B35F21">
        <w:t>, at the same time,</w:t>
      </w:r>
      <w:r w:rsidRPr="00B35F21">
        <w:t xml:space="preserve"> </w:t>
      </w:r>
      <w:r w:rsidR="00CE373E" w:rsidRPr="00B35F21">
        <w:t>a</w:t>
      </w:r>
      <w:r w:rsidRPr="00B35F21">
        <w:t xml:space="preserve"> </w:t>
      </w:r>
      <w:r w:rsidR="000C3FED" w:rsidRPr="00B35F21">
        <w:t>cheap</w:t>
      </w:r>
      <w:r w:rsidRPr="00B35F21">
        <w:t xml:space="preserve"> microalgae growth medium</w:t>
      </w:r>
      <w:r w:rsidR="00D7241C" w:rsidRPr="00B35F21">
        <w:t xml:space="preserve"> able</w:t>
      </w:r>
      <w:r w:rsidRPr="00B35F21">
        <w:t xml:space="preserve"> to </w:t>
      </w:r>
      <w:r w:rsidR="00D7241C" w:rsidRPr="00B35F21">
        <w:t>reduc</w:t>
      </w:r>
      <w:r w:rsidRPr="00B35F21">
        <w:t xml:space="preserve">e the microalgae production costs. In this study, three different wastewaters were used: WWW from first (1W) and second (2W) </w:t>
      </w:r>
      <w:r w:rsidR="000C3FED" w:rsidRPr="00B35F21">
        <w:t xml:space="preserve">washing </w:t>
      </w:r>
      <w:r w:rsidRPr="00B35F21">
        <w:t>tank</w:t>
      </w:r>
      <w:r w:rsidR="000C3FED" w:rsidRPr="00B35F21">
        <w:t>s</w:t>
      </w:r>
      <w:r w:rsidRPr="00B35F21">
        <w:t>, and WWW from filtration apparatus (3W).</w:t>
      </w:r>
      <w:bookmarkEnd w:id="0"/>
    </w:p>
    <w:p w14:paraId="450BA59E" w14:textId="77777777" w:rsidR="001821B1" w:rsidRPr="00B35F21" w:rsidRDefault="00C77B83" w:rsidP="001821B1">
      <w:pPr>
        <w:pStyle w:val="CETHeading1"/>
      </w:pPr>
      <w:r w:rsidRPr="00B35F21">
        <w:t>Materials and methods</w:t>
      </w:r>
    </w:p>
    <w:p w14:paraId="6ADD892B" w14:textId="77777777" w:rsidR="00C77B83" w:rsidRPr="00B35F21" w:rsidRDefault="000C3FED" w:rsidP="001821B1">
      <w:pPr>
        <w:pStyle w:val="CETheadingx"/>
      </w:pPr>
      <w:r w:rsidRPr="00B35F21">
        <w:t>Microa</w:t>
      </w:r>
      <w:r w:rsidR="001821B1" w:rsidRPr="00B35F21">
        <w:t>lga</w:t>
      </w:r>
      <w:r w:rsidRPr="00B35F21">
        <w:t>e</w:t>
      </w:r>
      <w:r w:rsidR="001821B1" w:rsidRPr="00B35F21">
        <w:t xml:space="preserve"> strain</w:t>
      </w:r>
      <w:r w:rsidRPr="00B35F21">
        <w:t>s</w:t>
      </w:r>
      <w:r w:rsidR="001821B1" w:rsidRPr="00B35F21">
        <w:t xml:space="preserve"> and culture condition</w:t>
      </w:r>
    </w:p>
    <w:p w14:paraId="4FE4309B" w14:textId="72C4B551" w:rsidR="001821B1" w:rsidRPr="00B35F21" w:rsidRDefault="001821B1" w:rsidP="001821B1">
      <w:pPr>
        <w:pStyle w:val="CETBodytext"/>
        <w:rPr>
          <w:sz w:val="22"/>
        </w:rPr>
      </w:pPr>
      <w:r w:rsidRPr="00B35F21">
        <w:t xml:space="preserve">The co-culture of </w:t>
      </w:r>
      <w:proofErr w:type="spellStart"/>
      <w:r w:rsidRPr="00B35F21">
        <w:rPr>
          <w:i/>
        </w:rPr>
        <w:t>Arthrospira</w:t>
      </w:r>
      <w:proofErr w:type="spellEnd"/>
      <w:r w:rsidRPr="00B35F21">
        <w:rPr>
          <w:i/>
        </w:rPr>
        <w:t xml:space="preserve"> platensis</w:t>
      </w:r>
      <w:r w:rsidRPr="00B35F21">
        <w:t xml:space="preserve"> UTEX 1926 (University of Texas C</w:t>
      </w:r>
      <w:r w:rsidR="000C3FED" w:rsidRPr="00B35F21">
        <w:t>u</w:t>
      </w:r>
      <w:r w:rsidRPr="00B35F21">
        <w:t xml:space="preserve">lture Collection, TX, USA) and </w:t>
      </w:r>
      <w:r w:rsidRPr="00B35F21">
        <w:rPr>
          <w:i/>
        </w:rPr>
        <w:t xml:space="preserve">Chlorella vulgaris </w:t>
      </w:r>
      <w:r w:rsidRPr="00B35F21">
        <w:t>CCAP 211 (Culture Collection of Algae and Protozoa, Argyll, UK) w</w:t>
      </w:r>
      <w:r w:rsidR="000C3FED" w:rsidRPr="00B35F21">
        <w:t>as</w:t>
      </w:r>
      <w:r w:rsidRPr="00B35F21">
        <w:t xml:space="preserve"> cultivated in Bold’s Basal Medium </w:t>
      </w:r>
      <w:r w:rsidR="0040472F" w:rsidRPr="00B35F21">
        <w:t xml:space="preserve">(BBM) </w:t>
      </w:r>
      <w:r w:rsidRPr="00B35F21">
        <w:t xml:space="preserve">(Bischoff and Bold, 1963) with </w:t>
      </w:r>
      <w:r w:rsidR="00BD12FD" w:rsidRPr="00B35F21">
        <w:t xml:space="preserve">continuous </w:t>
      </w:r>
      <w:r w:rsidRPr="00B35F21">
        <w:t xml:space="preserve">air </w:t>
      </w:r>
      <w:r w:rsidR="000C3FED" w:rsidRPr="00B35F21">
        <w:t>supply</w:t>
      </w:r>
      <w:r w:rsidRPr="00B35F21">
        <w:t xml:space="preserve"> at room temperature (25 °C) </w:t>
      </w:r>
      <w:r w:rsidR="000C3FED" w:rsidRPr="00B35F21">
        <w:t>under</w:t>
      </w:r>
      <w:r w:rsidRPr="00B35F21">
        <w:t xml:space="preserve"> dark condition</w:t>
      </w:r>
      <w:r w:rsidR="000C3FED" w:rsidRPr="00B35F21">
        <w:t>s</w:t>
      </w:r>
      <w:r w:rsidRPr="00B35F21">
        <w:t>. All the chemicals were purchased from Sigma-Aldrich (St. Louis, MO, USA). The three WWWs were provided from a winery cell</w:t>
      </w:r>
      <w:r w:rsidR="006130DF" w:rsidRPr="00B35F21">
        <w:t>ar</w:t>
      </w:r>
      <w:r w:rsidRPr="00B35F21">
        <w:t xml:space="preserve"> located in Piemonte region, Italy.</w:t>
      </w:r>
    </w:p>
    <w:p w14:paraId="00297910" w14:textId="77777777" w:rsidR="001821B1" w:rsidRPr="00B35F21" w:rsidRDefault="001821B1" w:rsidP="001821B1">
      <w:pPr>
        <w:pStyle w:val="CETheadingx"/>
      </w:pPr>
      <w:r w:rsidRPr="00B35F21">
        <w:t>Experimental design</w:t>
      </w:r>
    </w:p>
    <w:p w14:paraId="52160A9E" w14:textId="4C1A6BCE" w:rsidR="00785D44" w:rsidRPr="00B35F21" w:rsidRDefault="001821B1" w:rsidP="00785D44">
      <w:pPr>
        <w:pStyle w:val="CETBodytext"/>
      </w:pPr>
      <w:r w:rsidRPr="00B35F21">
        <w:t xml:space="preserve">The </w:t>
      </w:r>
      <w:r w:rsidR="006130DF" w:rsidRPr="00B35F21">
        <w:t>c</w:t>
      </w:r>
      <w:r w:rsidRPr="00B35F21">
        <w:t>o-culture (inoculum</w:t>
      </w:r>
      <w:r w:rsidR="006130DF" w:rsidRPr="00B35F21">
        <w:t xml:space="preserve"> of</w:t>
      </w:r>
      <w:r w:rsidRPr="00B35F21">
        <w:t xml:space="preserve"> 0.5 </w:t>
      </w:r>
      <w:proofErr w:type="spellStart"/>
      <w:r w:rsidRPr="00B35F21">
        <w:t>g</w:t>
      </w:r>
      <w:r w:rsidR="006130DF" w:rsidRPr="00B35F21">
        <w:rPr>
          <w:vertAlign w:val="subscript"/>
        </w:rPr>
        <w:t>DW</w:t>
      </w:r>
      <w:proofErr w:type="spellEnd"/>
      <w:r w:rsidRPr="00B35F21">
        <w:t>/L) was grown in 500</w:t>
      </w:r>
      <w:r w:rsidR="006130DF" w:rsidRPr="00B35F21">
        <w:t>-</w:t>
      </w:r>
      <w:r w:rsidRPr="00B35F21">
        <w:t>mL</w:t>
      </w:r>
      <w:r w:rsidR="006130DF" w:rsidRPr="00B35F21">
        <w:t xml:space="preserve"> Erlenmeyer</w:t>
      </w:r>
      <w:r w:rsidRPr="00B35F21">
        <w:t xml:space="preserve"> flask, </w:t>
      </w:r>
      <w:r w:rsidR="006130DF" w:rsidRPr="00B35F21">
        <w:t>under</w:t>
      </w:r>
      <w:r w:rsidRPr="00B35F21">
        <w:t xml:space="preserve"> dark condition</w:t>
      </w:r>
      <w:r w:rsidR="006130DF" w:rsidRPr="00B35F21">
        <w:t>s</w:t>
      </w:r>
      <w:r w:rsidRPr="00B35F21">
        <w:t xml:space="preserve">, in </w:t>
      </w:r>
      <w:r w:rsidR="006130DF" w:rsidRPr="00B35F21">
        <w:t xml:space="preserve">the </w:t>
      </w:r>
      <w:r w:rsidRPr="00B35F21">
        <w:t>presence of 20</w:t>
      </w:r>
      <w:r w:rsidR="00EB6522" w:rsidRPr="00B35F21">
        <w:t>:80</w:t>
      </w:r>
      <w:r w:rsidR="00B04E7C" w:rsidRPr="00B35F21">
        <w:t xml:space="preserve"> </w:t>
      </w:r>
      <w:r w:rsidR="006130DF" w:rsidRPr="00B35F21">
        <w:t>(</w:t>
      </w:r>
      <w:r w:rsidRPr="00B35F21">
        <w:t>v/v</w:t>
      </w:r>
      <w:r w:rsidR="006130DF" w:rsidRPr="00B35F21">
        <w:t>)</w:t>
      </w:r>
      <w:r w:rsidRPr="00B35F21">
        <w:t xml:space="preserve"> </w:t>
      </w:r>
      <w:r w:rsidR="006130DF" w:rsidRPr="00B35F21">
        <w:t>WWWs</w:t>
      </w:r>
      <w:r w:rsidR="00EB6522" w:rsidRPr="00B35F21">
        <w:t>/</w:t>
      </w:r>
      <w:r w:rsidR="0040472F" w:rsidRPr="00B35F21">
        <w:t>BBM</w:t>
      </w:r>
      <w:r w:rsidR="006130DF" w:rsidRPr="00B35F21">
        <w:t xml:space="preserve"> </w:t>
      </w:r>
      <w:r w:rsidRPr="00B35F21">
        <w:t xml:space="preserve">for 15 days. WWWs were used without any preliminary treatment. Microalgae concentration was daily </w:t>
      </w:r>
      <w:r w:rsidR="006130DF" w:rsidRPr="00B35F21">
        <w:t>determin</w:t>
      </w:r>
      <w:r w:rsidRPr="00B35F21">
        <w:t>ed by dry weight</w:t>
      </w:r>
      <w:r w:rsidR="006130DF" w:rsidRPr="00B35F21">
        <w:t xml:space="preserve"> (DW) measurements</w:t>
      </w:r>
      <w:r w:rsidRPr="00B35F21">
        <w:t xml:space="preserve"> </w:t>
      </w:r>
      <w:proofErr w:type="gramStart"/>
      <w:r w:rsidR="00BD12FD" w:rsidRPr="00B35F21">
        <w:t>taking into account</w:t>
      </w:r>
      <w:proofErr w:type="gramEnd"/>
      <w:r w:rsidRPr="00B35F21">
        <w:t xml:space="preserve"> the suspended solid</w:t>
      </w:r>
      <w:r w:rsidR="006130DF" w:rsidRPr="00B35F21">
        <w:t xml:space="preserve"> content</w:t>
      </w:r>
      <w:r w:rsidRPr="00B35F21">
        <w:t xml:space="preserve"> of WWWs (g/100g</w:t>
      </w:r>
      <w:r w:rsidRPr="00B35F21">
        <w:rPr>
          <w:vertAlign w:val="subscript"/>
        </w:rPr>
        <w:t>DW</w:t>
      </w:r>
      <w:r w:rsidRPr="00B35F21">
        <w:t xml:space="preserve">) and by optical </w:t>
      </w:r>
      <w:r w:rsidR="006130DF" w:rsidRPr="00B35F21">
        <w:t xml:space="preserve">density (OD) </w:t>
      </w:r>
      <w:r w:rsidRPr="00B35F21">
        <w:t>measurements at 625 nm using an UV-</w:t>
      </w:r>
      <w:r w:rsidR="006130DF" w:rsidRPr="00B35F21">
        <w:t>Vis</w:t>
      </w:r>
      <w:r w:rsidRPr="00B35F21">
        <w:t xml:space="preserve"> spectrophotometer </w:t>
      </w:r>
      <w:r w:rsidR="00BD12FD" w:rsidRPr="00B35F21">
        <w:t>(Geno</w:t>
      </w:r>
      <w:r w:rsidR="00FB72D6">
        <w:t>v</w:t>
      </w:r>
      <w:r w:rsidR="00BD12FD" w:rsidRPr="00B35F21">
        <w:t xml:space="preserve">a, </w:t>
      </w:r>
      <w:proofErr w:type="spellStart"/>
      <w:r w:rsidR="00BD12FD" w:rsidRPr="00B35F21">
        <w:t>Jenway</w:t>
      </w:r>
      <w:proofErr w:type="spellEnd"/>
      <w:r w:rsidR="00BA1396" w:rsidRPr="00B35F21">
        <w:t>, Stone, UK</w:t>
      </w:r>
      <w:r w:rsidR="00BD12FD" w:rsidRPr="00B35F21">
        <w:t>).</w:t>
      </w:r>
      <w:r w:rsidRPr="00B35F21">
        <w:t xml:space="preserve"> All the measurements were carried out in triplicate, and </w:t>
      </w:r>
      <w:r w:rsidR="006130DF" w:rsidRPr="00B35F21">
        <w:t>cell</w:t>
      </w:r>
      <w:r w:rsidRPr="00B35F21">
        <w:t xml:space="preserve"> concentration (X) </w:t>
      </w:r>
      <w:r w:rsidR="006130DF" w:rsidRPr="00B35F21">
        <w:t xml:space="preserve">was </w:t>
      </w:r>
      <w:r w:rsidRPr="00B35F21">
        <w:t>expressed in grams of dried biomass per liter of medium (</w:t>
      </w:r>
      <w:proofErr w:type="spellStart"/>
      <w:r w:rsidRPr="00B35F21">
        <w:t>g</w:t>
      </w:r>
      <w:r w:rsidR="006130DF" w:rsidRPr="00B35F21">
        <w:rPr>
          <w:vertAlign w:val="subscript"/>
        </w:rPr>
        <w:t>DW</w:t>
      </w:r>
      <w:proofErr w:type="spellEnd"/>
      <w:r w:rsidRPr="00B35F21">
        <w:t xml:space="preserve">/L). </w:t>
      </w:r>
      <w:r w:rsidR="006130DF" w:rsidRPr="00B35F21">
        <w:t>The following equation was used to</w:t>
      </w:r>
      <w:r w:rsidRPr="00B35F21">
        <w:t xml:space="preserve"> relate</w:t>
      </w:r>
      <w:r w:rsidR="006130DF" w:rsidRPr="00B35F21">
        <w:t xml:space="preserve"> dry mass measurements and OD readings</w:t>
      </w:r>
      <w:r w:rsidRPr="00B35F21">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4725"/>
        <w:gridCol w:w="1127"/>
      </w:tblGrid>
      <w:tr w:rsidR="00B35F21" w:rsidRPr="00B35F21" w14:paraId="525BF10A" w14:textId="77777777" w:rsidTr="001F7848">
        <w:tc>
          <w:tcPr>
            <w:tcW w:w="2925" w:type="dxa"/>
          </w:tcPr>
          <w:p w14:paraId="32A224E5" w14:textId="77777777" w:rsidR="00785D44" w:rsidRPr="00B35F21" w:rsidRDefault="00785D44" w:rsidP="00785D44">
            <w:pPr>
              <w:pStyle w:val="CETEquation"/>
            </w:pPr>
            <m:oMathPara>
              <m:oMathParaPr>
                <m:jc m:val="left"/>
              </m:oMathParaPr>
              <m:oMath>
                <m:r>
                  <m:rPr>
                    <m:sty m:val="p"/>
                  </m:rPr>
                  <w:rPr>
                    <w:rFonts w:ascii="Cambria Math" w:hAnsi="Cambria Math" w:cs="Arial"/>
                    <w:szCs w:val="18"/>
                  </w:rPr>
                  <m:t>OD=2.9703 X+0.0839</m:t>
                </m:r>
              </m:oMath>
            </m:oMathPara>
          </w:p>
        </w:tc>
        <w:tc>
          <w:tcPr>
            <w:tcW w:w="4725" w:type="dxa"/>
          </w:tcPr>
          <w:p w14:paraId="116E30B9" w14:textId="77777777" w:rsidR="00785D44" w:rsidRPr="00B35F21" w:rsidRDefault="00785D44" w:rsidP="00785D44">
            <w:pPr>
              <w:pStyle w:val="CETEquation"/>
              <w:jc w:val="right"/>
            </w:pPr>
            <w:r w:rsidRPr="00B35F21">
              <w:t>(R</w:t>
            </w:r>
            <w:r w:rsidRPr="00B35F21">
              <w:rPr>
                <w:vertAlign w:val="superscript"/>
              </w:rPr>
              <w:t>2</w:t>
            </w:r>
            <w:r w:rsidRPr="00B35F21">
              <w:t>=0.9952)</w:t>
            </w:r>
          </w:p>
        </w:tc>
        <w:tc>
          <w:tcPr>
            <w:tcW w:w="1127" w:type="dxa"/>
          </w:tcPr>
          <w:p w14:paraId="4B4FE047" w14:textId="77777777" w:rsidR="00785D44" w:rsidRPr="00B35F21" w:rsidRDefault="00785D44" w:rsidP="00785D44">
            <w:pPr>
              <w:pStyle w:val="CETEquation"/>
              <w:jc w:val="right"/>
            </w:pPr>
            <w:r w:rsidRPr="00B35F21">
              <w:t>(1)</w:t>
            </w:r>
          </w:p>
        </w:tc>
      </w:tr>
    </w:tbl>
    <w:p w14:paraId="66F6A5A2" w14:textId="14E5216F" w:rsidR="00883130" w:rsidRPr="00B35F21" w:rsidRDefault="00EC53F5" w:rsidP="00785D44">
      <w:pPr>
        <w:pStyle w:val="CETBodytext"/>
      </w:pPr>
      <w:r w:rsidRPr="00B35F21">
        <w:t>M</w:t>
      </w:r>
      <w:r w:rsidR="00883130" w:rsidRPr="00B35F21">
        <w:t xml:space="preserve">icroalgae growth (C) in absence of WWW, </w:t>
      </w:r>
      <w:r w:rsidRPr="00B35F21">
        <w:t xml:space="preserve">using </w:t>
      </w:r>
      <w:r w:rsidR="00883130" w:rsidRPr="00B35F21">
        <w:t xml:space="preserve">BBM as culture media, was </w:t>
      </w:r>
      <w:r w:rsidRPr="00B35F21">
        <w:t>performed</w:t>
      </w:r>
      <w:r w:rsidR="00883130" w:rsidRPr="00B35F21">
        <w:t xml:space="preserve"> at the same conditions to comp</w:t>
      </w:r>
      <w:r w:rsidRPr="00B35F21">
        <w:t>a</w:t>
      </w:r>
      <w:r w:rsidR="00883130" w:rsidRPr="00B35F21">
        <w:t>re</w:t>
      </w:r>
      <w:r w:rsidRPr="00B35F21">
        <w:t xml:space="preserve"> it </w:t>
      </w:r>
      <w:r w:rsidR="00883130" w:rsidRPr="00B35F21">
        <w:t xml:space="preserve">with those in presence of WWWs. </w:t>
      </w:r>
    </w:p>
    <w:p w14:paraId="2C3AE008" w14:textId="2CA69A60" w:rsidR="001821B1" w:rsidRPr="00B35F21" w:rsidRDefault="00785D44" w:rsidP="00785D44">
      <w:pPr>
        <w:pStyle w:val="CETBodytext"/>
      </w:pPr>
      <w:r w:rsidRPr="00B35F21">
        <w:t xml:space="preserve">WWWs </w:t>
      </w:r>
      <w:r w:rsidR="00621D64" w:rsidRPr="00B35F21">
        <w:t>under</w:t>
      </w:r>
      <w:r w:rsidRPr="00B35F21">
        <w:t xml:space="preserve"> the same </w:t>
      </w:r>
      <w:r w:rsidR="00B54448" w:rsidRPr="00B35F21">
        <w:t xml:space="preserve">above-described </w:t>
      </w:r>
      <w:r w:rsidRPr="00B35F21">
        <w:t>condition</w:t>
      </w:r>
      <w:r w:rsidR="00B54448" w:rsidRPr="00B35F21">
        <w:t>s,</w:t>
      </w:r>
      <w:r w:rsidRPr="00B35F21">
        <w:t xml:space="preserve"> </w:t>
      </w:r>
      <w:r w:rsidR="00B54448" w:rsidRPr="00B35F21">
        <w:t xml:space="preserve">but </w:t>
      </w:r>
      <w:r w:rsidRPr="00B35F21">
        <w:t>without any inoculum</w:t>
      </w:r>
      <w:r w:rsidR="00B54448" w:rsidRPr="00B35F21">
        <w:t>,</w:t>
      </w:r>
      <w:r w:rsidRPr="00B35F21">
        <w:t xml:space="preserve"> </w:t>
      </w:r>
      <w:r w:rsidR="00B54448" w:rsidRPr="00B35F21">
        <w:t>were</w:t>
      </w:r>
      <w:r w:rsidRPr="00B35F21">
        <w:t xml:space="preserve"> use</w:t>
      </w:r>
      <w:r w:rsidR="00B54448" w:rsidRPr="00B35F21">
        <w:t>d</w:t>
      </w:r>
      <w:r w:rsidRPr="00B35F21">
        <w:t xml:space="preserve"> as growth control</w:t>
      </w:r>
      <w:r w:rsidR="00B54448" w:rsidRPr="00B35F21">
        <w:t>s</w:t>
      </w:r>
      <w:r w:rsidRPr="00B35F21">
        <w:t xml:space="preserve"> (C1W, C2W and C3W for 1W, 2W and 3W, respectively)</w:t>
      </w:r>
      <w:r w:rsidR="00B54448" w:rsidRPr="00B35F21">
        <w:t>, whose</w:t>
      </w:r>
      <w:r w:rsidRPr="00B35F21">
        <w:t xml:space="preserve"> </w:t>
      </w:r>
      <w:r w:rsidR="00B54448" w:rsidRPr="00B35F21">
        <w:t>OD</w:t>
      </w:r>
      <w:r w:rsidRPr="00B35F21">
        <w:t xml:space="preserve"> </w:t>
      </w:r>
      <w:r w:rsidR="00B54448" w:rsidRPr="00B35F21">
        <w:t>values were</w:t>
      </w:r>
      <w:r w:rsidRPr="00B35F21">
        <w:t xml:space="preserve"> subtracted </w:t>
      </w:r>
      <w:r w:rsidR="00B54448" w:rsidRPr="00B35F21">
        <w:t>from</w:t>
      </w:r>
      <w:r w:rsidRPr="00B35F21">
        <w:t xml:space="preserve"> the final </w:t>
      </w:r>
      <w:r w:rsidR="00B54448" w:rsidRPr="00B35F21">
        <w:t>ones of cultivations</w:t>
      </w:r>
      <w:r w:rsidRPr="00B35F21">
        <w:t xml:space="preserve">. After growing, </w:t>
      </w:r>
      <w:r w:rsidR="00B54448" w:rsidRPr="00B35F21">
        <w:t>biomass</w:t>
      </w:r>
      <w:r w:rsidR="008A1348" w:rsidRPr="00B35F21">
        <w:t xml:space="preserve"> was recovered</w:t>
      </w:r>
      <w:r w:rsidRPr="00B35F21">
        <w:t xml:space="preserve"> </w:t>
      </w:r>
      <w:r w:rsidR="008A1348" w:rsidRPr="00B35F21">
        <w:t>by</w:t>
      </w:r>
      <w:r w:rsidRPr="00B35F21">
        <w:t xml:space="preserve"> centrifug</w:t>
      </w:r>
      <w:r w:rsidR="008A1348" w:rsidRPr="00B35F21">
        <w:t>ation</w:t>
      </w:r>
      <w:r w:rsidRPr="00B35F21">
        <w:t xml:space="preserve"> at 7500 rpm for 15 min</w:t>
      </w:r>
      <w:r w:rsidR="004A661D" w:rsidRPr="00B35F21">
        <w:t xml:space="preserve"> (MF20-R, Alliance </w:t>
      </w:r>
      <w:r w:rsidR="00B54448" w:rsidRPr="00B35F21">
        <w:t>B</w:t>
      </w:r>
      <w:r w:rsidR="004A661D" w:rsidRPr="00B35F21">
        <w:t xml:space="preserve">io </w:t>
      </w:r>
      <w:r w:rsidR="00B54448" w:rsidRPr="00B35F21">
        <w:t>E</w:t>
      </w:r>
      <w:r w:rsidR="004A661D" w:rsidRPr="00B35F21">
        <w:t>xpertise</w:t>
      </w:r>
      <w:r w:rsidR="00B54448" w:rsidRPr="00B35F21">
        <w:t xml:space="preserve">, </w:t>
      </w:r>
      <w:proofErr w:type="spellStart"/>
      <w:r w:rsidR="00B54448" w:rsidRPr="00B35F21">
        <w:t>Guipry</w:t>
      </w:r>
      <w:proofErr w:type="spellEnd"/>
      <w:r w:rsidR="00B54448" w:rsidRPr="00B35F21">
        <w:t>, France</w:t>
      </w:r>
      <w:r w:rsidR="004A661D" w:rsidRPr="00B35F21">
        <w:t>)</w:t>
      </w:r>
      <w:r w:rsidR="008A1348" w:rsidRPr="00B35F21">
        <w:t xml:space="preserve"> and</w:t>
      </w:r>
      <w:r w:rsidRPr="00B35F21">
        <w:t xml:space="preserve"> freeze d</w:t>
      </w:r>
      <w:r w:rsidR="00BD12FD" w:rsidRPr="00B35F21">
        <w:t>ried</w:t>
      </w:r>
      <w:r w:rsidRPr="00B35F21">
        <w:t xml:space="preserve"> (Alpha 1-2 </w:t>
      </w:r>
      <w:proofErr w:type="spellStart"/>
      <w:r w:rsidRPr="00B35F21">
        <w:t>LDplus</w:t>
      </w:r>
      <w:proofErr w:type="spellEnd"/>
      <w:r w:rsidRPr="00B35F21">
        <w:t xml:space="preserve">, </w:t>
      </w:r>
      <w:r w:rsidR="008A1348" w:rsidRPr="00B35F21">
        <w:t>Martin Christ</w:t>
      </w:r>
      <w:r w:rsidRPr="00B35F21">
        <w:t>, Germany)</w:t>
      </w:r>
      <w:r w:rsidR="00BD12FD" w:rsidRPr="00B35F21">
        <w:t>,</w:t>
      </w:r>
      <w:r w:rsidRPr="00B35F21">
        <w:t xml:space="preserve"> while the exhausted WWWs were collected and frozen at -20°C for </w:t>
      </w:r>
      <w:r w:rsidR="008A1348" w:rsidRPr="00B35F21">
        <w:t>subsequent</w:t>
      </w:r>
      <w:r w:rsidRPr="00B35F21">
        <w:t xml:space="preserve"> analys</w:t>
      </w:r>
      <w:r w:rsidR="008A1348" w:rsidRPr="00B35F21">
        <w:t>e</w:t>
      </w:r>
      <w:r w:rsidRPr="00B35F21">
        <w:t>s.</w:t>
      </w:r>
    </w:p>
    <w:p w14:paraId="69B14CC0" w14:textId="6924DFD7" w:rsidR="00785D44" w:rsidRPr="00B35F21" w:rsidRDefault="00785D44" w:rsidP="00785D44">
      <w:pPr>
        <w:pStyle w:val="CETheadingx"/>
      </w:pPr>
      <w:r w:rsidRPr="00B35F21">
        <w:t>Biomass</w:t>
      </w:r>
      <w:r w:rsidR="0032696F">
        <w:t xml:space="preserve"> and winery wastewater</w:t>
      </w:r>
      <w:r w:rsidRPr="00B35F21">
        <w:t xml:space="preserve"> characterization</w:t>
      </w:r>
    </w:p>
    <w:p w14:paraId="51DA4448" w14:textId="411F59CA" w:rsidR="00785D44" w:rsidRPr="00B35F21" w:rsidRDefault="00785D44" w:rsidP="00785D44">
      <w:pPr>
        <w:pStyle w:val="CETBodytext"/>
      </w:pPr>
      <w:r w:rsidRPr="00B35F21">
        <w:t xml:space="preserve">The lipid fraction </w:t>
      </w:r>
      <w:r w:rsidR="00B1785E" w:rsidRPr="00B35F21">
        <w:t>(C</w:t>
      </w:r>
      <w:r w:rsidR="00B1785E" w:rsidRPr="00B35F21">
        <w:rPr>
          <w:vertAlign w:val="subscript"/>
        </w:rPr>
        <w:t>L</w:t>
      </w:r>
      <w:r w:rsidR="00B1785E" w:rsidRPr="00B35F21">
        <w:t xml:space="preserve">) </w:t>
      </w:r>
      <w:r w:rsidRPr="00B35F21">
        <w:t xml:space="preserve">was extracted with a </w:t>
      </w:r>
      <w:r w:rsidR="00B04E7C" w:rsidRPr="00B35F21">
        <w:t xml:space="preserve">2:1 (v/v) </w:t>
      </w:r>
      <w:r w:rsidRPr="00B35F21">
        <w:t xml:space="preserve">chloroform/methanol </w:t>
      </w:r>
      <w:r w:rsidR="00B04E7C" w:rsidRPr="00B35F21">
        <w:t xml:space="preserve">solution </w:t>
      </w:r>
      <w:r w:rsidRPr="00B35F21">
        <w:t xml:space="preserve">as solvent, following a modified version of the </w:t>
      </w:r>
      <w:proofErr w:type="spellStart"/>
      <w:r w:rsidRPr="00B35F21">
        <w:t>Folch</w:t>
      </w:r>
      <w:proofErr w:type="spellEnd"/>
      <w:r w:rsidRPr="00B35F21">
        <w:t xml:space="preserve"> method</w:t>
      </w:r>
      <w:r w:rsidR="00B1785E" w:rsidRPr="00B35F21">
        <w:t xml:space="preserve"> </w:t>
      </w:r>
      <w:r w:rsidR="00B1785E" w:rsidRPr="00B35F21">
        <w:fldChar w:fldCharType="begin" w:fldLock="1"/>
      </w:r>
      <w:r w:rsidR="00883130" w:rsidRPr="00B35F21">
        <w:instrText>ADDIN CSL_CITATION {"citationItems":[{"id":"ITEM-1","itemData":{"DOI":"10.1016/j.algal.2015.09.012","ISSN":"2211-9264","author":[{"dropping-particle":"","family":"Alberto","given":"Alessandro","non-dropping-particle":"","parse-names":false,"suffix":""},{"dropping-particle":"","family":"Francesco","given":"Pier","non-dropping-particle":"","parse-names":false,"suffix":""},{"dropping-particle":"","family":"Aliakbarian","given":"Bahar","non-dropping-particle":"","parse-names":false,"suffix":""},{"dropping-particle":"","family":"Converti","given":"Attilio","non-dropping-particle":"","parse-names":false,"suffix":""},{"dropping-particle":"","family":"Perego","given":"Patrizia","non-dropping-particle":"","parse-names":false,"suffix":""}],"container-title":"ALGAL","id":"ITEM-1","issued":{"date-parts":[["2015"]]},"page":"308-315","publisher":"Elsevier B.V.","title":"Effect of UV radiation or titanium dioxide on polyphenol and lipid contents of Arthrospira ( Spirulina ) platensis","type":"article-journal","volume":"12"},"uris":["http://www.mendeley.com/documents/?uuid=2f728e93-e014-49be-b845-e85f60adc2f5"]}],"mendeley":{"formattedCitation":"(Alberto et al. 2015)","manualFormatting":"(Casazza et al., 2015)","plainTextFormattedCitation":"(Alberto et al. 2015)","previouslyFormattedCitation":"(Alberto et al. 2015)"},"properties":{"noteIndex":0},"schema":"https://github.com/citation-style-language/schema/raw/master/csl-citation.json"}</w:instrText>
      </w:r>
      <w:r w:rsidR="00B1785E" w:rsidRPr="00B35F21">
        <w:fldChar w:fldCharType="separate"/>
      </w:r>
      <w:r w:rsidR="00B1785E" w:rsidRPr="00B35F21">
        <w:rPr>
          <w:noProof/>
        </w:rPr>
        <w:t>(Casazza et al., 2015)</w:t>
      </w:r>
      <w:r w:rsidR="00B1785E" w:rsidRPr="00B35F21">
        <w:fldChar w:fldCharType="end"/>
      </w:r>
      <w:r w:rsidRPr="00B35F21">
        <w:t xml:space="preserve">. </w:t>
      </w:r>
    </w:p>
    <w:p w14:paraId="06D7BF75" w14:textId="77777777" w:rsidR="002667E2" w:rsidRDefault="008418E5" w:rsidP="008418E5">
      <w:pPr>
        <w:pStyle w:val="CETBodytext"/>
      </w:pPr>
      <w:r w:rsidRPr="00B35F21">
        <w:t xml:space="preserve">Chemical oxygen demand (COD) and total polyphenol content (by the </w:t>
      </w:r>
      <w:proofErr w:type="spellStart"/>
      <w:r w:rsidRPr="00B35F21">
        <w:t>Folin-Ciocalteu</w:t>
      </w:r>
      <w:proofErr w:type="spellEnd"/>
      <w:r w:rsidRPr="00B35F21">
        <w:t xml:space="preserve"> method)</w:t>
      </w:r>
      <w:r w:rsidR="00883130" w:rsidRPr="00B35F21">
        <w:t xml:space="preserve"> </w:t>
      </w:r>
      <w:r w:rsidR="00883130" w:rsidRPr="00B35F21">
        <w:fldChar w:fldCharType="begin" w:fldLock="1"/>
      </w:r>
      <w:r w:rsidR="00883130" w:rsidRPr="00B35F21">
        <w:instrText>ADDIN CSL_CITATION {"citationItems":[{"id":"ITEM-1","itemData":{"DOI":"10.3303/CET1757204","ISBN":"978-88-95608-48-8","ISSN":"2283-9216","abstract":"Spent coffee grounds (SCG) represent a good raw material for the recovery of bioactive compounds. Indeed, SCG extracts are rich in antioxidants, particularly in chlorogenic acid (5-caffeoylquinic acid) (CGA) and melanoidins, which are able to prevent serious neurodegenerative and cardiovascular diseases. In order to preserve the activity of these compounds, encapsulation by spray drying can be used. In this study, an extract rich in phenolic compounds from spent coffee grounds was obtained by microwave-assisted extraction, using a mixture of ethanol:water 54:46 (v/v) as solvent, operative temperature of 150 °C, and extraction time of 90 min. Encapsulation process, using inulin and maltodextrin as coating agents, was studied by means of an experimental design and the response surface methodology was used for data treatments. Inulin:maltodextrin ratio and sample flow rate effects on encapsulation yield, efficiency and product features was evaluated. Results demonstrated that high encapsulation efficiency (63%) can be reached using inulin as the carrier, leading to the production of microencapsulated dried powders rich in polyphenols that can have potential industrial applications in food and cosmetic areas. © Copyright 2017, AIDIC Servizi S.r.l.","author":[{"dropping-particle":"","family":"Pettinato","given":"M","non-dropping-particle":"","parse-names":false,"suffix":""},{"dropping-particle":"","family":"Aliakbarian","given":"B","non-dropping-particle":"","parse-names":false,"suffix":""},{"dropping-particle":"","family":"Casazza","given":"A A","non-dropping-particle":"","parse-names":false,"suffix":""},{"dropping-particle":"","family":"Perego","given":"P","non-dropping-particle":"","parse-names":false,"suffix":""}],"container-title":"Chemical Engineering Transactions","id":"ITEM-1","issue":"2015","issued":{"date-parts":[["2017"]]},"page":"1219-1224","title":"Encapsulation of antioxidants from Spent coffee ground extracts by spray drying","type":"article-journal","volume":"57"},"uris":["http://www.mendeley.com/documents/?uuid=b766eba1-2c56-4a9b-8b39-2df01e6fff13"]}],"mendeley":{"formattedCitation":"(Pettinato et al. 2017)","plainTextFormattedCitation":"(Pettinato et al. 2017)","previouslyFormattedCitation":"(Pettinato et al. 2017)"},"properties":{"noteIndex":0},"schema":"https://github.com/citation-style-language/schema/raw/master/csl-citation.json"}</w:instrText>
      </w:r>
      <w:r w:rsidR="00883130" w:rsidRPr="00B35F21">
        <w:fldChar w:fldCharType="separate"/>
      </w:r>
      <w:r w:rsidR="00883130" w:rsidRPr="00B35F21">
        <w:rPr>
          <w:noProof/>
        </w:rPr>
        <w:t>(Pettinato et al. 2017)</w:t>
      </w:r>
      <w:r w:rsidR="00883130" w:rsidRPr="00B35F21">
        <w:fldChar w:fldCharType="end"/>
      </w:r>
      <w:r w:rsidRPr="00B35F21">
        <w:t xml:space="preserve"> of WWWs were quantified daily, in order to evaluate the degradation efficiency of microalgae</w:t>
      </w:r>
      <w:r w:rsidR="00B1785E" w:rsidRPr="00B35F21">
        <w:t xml:space="preserve"> following the methodolog</w:t>
      </w:r>
      <w:r w:rsidR="009C256C" w:rsidRPr="00B35F21">
        <w:t>ies</w:t>
      </w:r>
      <w:r w:rsidR="00B1785E" w:rsidRPr="00B35F21">
        <w:t xml:space="preserve"> reported by Casazza et al. </w:t>
      </w:r>
      <w:r w:rsidR="00B1785E" w:rsidRPr="00B35F21">
        <w:fldChar w:fldCharType="begin" w:fldLock="1"/>
      </w:r>
      <w:r w:rsidR="00883130" w:rsidRPr="00B35F21">
        <w:instrText>ADDIN CSL_CITATION {"citationItems":[{"id":"ITEM-1","itemData":{"DOI":"10.1016/j.algal.2015.09.012","ISSN":"2211-9264","author":[{"dropping-particle":"","family":"Alberto","given":"Alessandro","non-dropping-particle":"","parse-names":false,"suffix":""},{"dropping-particle":"","family":"Francesco","given":"Pier","non-dropping-particle":"","parse-names":false,"suffix":""},{"dropping-particle":"","family":"Aliakbarian","given":"Bahar","non-dropping-particle":"","parse-names":false,"suffix":""},{"dropping-particle":"","family":"Converti","given":"Attilio","non-dropping-particle":"","parse-names":false,"suffix":""},{"dropping-particle":"","family":"Perego","given":"Patrizia","non-dropping-particle":"","parse-names":false,"suffix":""}],"container-title":"ALGAL","id":"ITEM-1","issued":{"date-parts":[["2015"]]},"page":"308-315","publisher":"Elsevier B.V.","title":"Effect of UV radiation or titanium dioxide on polyphenol and lipid contents of Arthrospira ( Spirulina ) platensis","type":"article-journal","volume":"12"},"uris":["http://www.mendeley.com/documents/?uuid=2f728e93-e014-49be-b845-e85f60adc2f5"]}],"mendeley":{"formattedCitation":"(Alberto et al. 2015)","manualFormatting":"(2015)","plainTextFormattedCitation":"(Alberto et al. 2015)","previouslyFormattedCitation":"(Alberto et al. 2015)"},"properties":{"noteIndex":0},"schema":"https://github.com/citation-style-language/schema/raw/master/csl-citation.json"}</w:instrText>
      </w:r>
      <w:r w:rsidR="00B1785E" w:rsidRPr="00B35F21">
        <w:fldChar w:fldCharType="separate"/>
      </w:r>
      <w:r w:rsidR="00B1785E" w:rsidRPr="00B35F21">
        <w:rPr>
          <w:noProof/>
        </w:rPr>
        <w:t>(2015)</w:t>
      </w:r>
      <w:r w:rsidR="00B1785E" w:rsidRPr="00B35F21">
        <w:fldChar w:fldCharType="end"/>
      </w:r>
      <w:r w:rsidRPr="00B35F21">
        <w:t>.</w:t>
      </w:r>
    </w:p>
    <w:p w14:paraId="1D547275" w14:textId="77777777" w:rsidR="002667E2" w:rsidRDefault="002667E2" w:rsidP="008418E5">
      <w:pPr>
        <w:pStyle w:val="CETBodytext"/>
      </w:pPr>
    </w:p>
    <w:p w14:paraId="61C8C470" w14:textId="77777777" w:rsidR="002667E2" w:rsidRDefault="002667E2" w:rsidP="008418E5">
      <w:pPr>
        <w:pStyle w:val="CETBodytext"/>
      </w:pPr>
    </w:p>
    <w:p w14:paraId="1782FC7E" w14:textId="77777777" w:rsidR="002667E2" w:rsidRDefault="002667E2" w:rsidP="008418E5">
      <w:pPr>
        <w:pStyle w:val="CETBodytext"/>
      </w:pPr>
    </w:p>
    <w:p w14:paraId="18BCCCC1" w14:textId="6E24DEC4" w:rsidR="008418E5" w:rsidRPr="00B35F21" w:rsidRDefault="008418E5" w:rsidP="008418E5">
      <w:pPr>
        <w:pStyle w:val="CETBodytext"/>
      </w:pPr>
      <w:r w:rsidRPr="00B35F21">
        <w:t xml:space="preserve"> </w:t>
      </w:r>
    </w:p>
    <w:p w14:paraId="1E07B513" w14:textId="2F265B2D" w:rsidR="008418E5" w:rsidRPr="00B35F21" w:rsidRDefault="00EA156D" w:rsidP="008418E5">
      <w:pPr>
        <w:pStyle w:val="CETheadingx"/>
      </w:pPr>
      <w:r w:rsidRPr="00B35F21">
        <w:lastRenderedPageBreak/>
        <w:t>Kinetic</w:t>
      </w:r>
      <w:r w:rsidR="008418E5" w:rsidRPr="00B35F21">
        <w:t xml:space="preserve"> parameters</w:t>
      </w:r>
      <w:r w:rsidRPr="00B35F21">
        <w:t xml:space="preserve"> of cultures</w:t>
      </w:r>
    </w:p>
    <w:p w14:paraId="28BA4CC8" w14:textId="176AD801" w:rsidR="00785D44" w:rsidRPr="00B35F21" w:rsidRDefault="00901C9E" w:rsidP="00785D44">
      <w:pPr>
        <w:pStyle w:val="CETBodytext"/>
        <w:rPr>
          <w:sz w:val="22"/>
        </w:rPr>
      </w:pPr>
      <w:r w:rsidRPr="00B35F21">
        <w:t>Kinetic</w:t>
      </w:r>
      <w:r w:rsidR="00785D44" w:rsidRPr="00B35F21">
        <w:t xml:space="preserve"> parameter</w:t>
      </w:r>
      <w:r w:rsidRPr="00B35F21">
        <w:t>s</w:t>
      </w:r>
      <w:r w:rsidR="00785D44" w:rsidRPr="00B35F21">
        <w:t xml:space="preserve"> were evaluated </w:t>
      </w:r>
      <w:r w:rsidRPr="00B35F21">
        <w:t>for</w:t>
      </w:r>
      <w:r w:rsidR="00EA156D" w:rsidRPr="00B35F21">
        <w:t xml:space="preserve"> </w:t>
      </w:r>
      <w:r w:rsidR="00785D44" w:rsidRPr="00B35F21">
        <w:t>e</w:t>
      </w:r>
      <w:r w:rsidR="00EA156D" w:rsidRPr="00B35F21">
        <w:t>ach</w:t>
      </w:r>
      <w:r w:rsidR="00785D44" w:rsidRPr="00B35F21">
        <w:t xml:space="preserve"> </w:t>
      </w:r>
      <w:r w:rsidRPr="00B35F21">
        <w:t>culture</w:t>
      </w:r>
      <w:r w:rsidR="00785D44" w:rsidRPr="00B35F21">
        <w:t>.</w:t>
      </w:r>
    </w:p>
    <w:p w14:paraId="0E2054F3" w14:textId="0B88ADBC" w:rsidR="00785D44" w:rsidRPr="00B35F21" w:rsidRDefault="00785D44" w:rsidP="00785D44">
      <w:pPr>
        <w:pStyle w:val="CETBodytext"/>
      </w:pPr>
      <w:r w:rsidRPr="00B35F21">
        <w:t>The specific grow rate (</w:t>
      </w:r>
      <w:r w:rsidRPr="00B35F21">
        <w:rPr>
          <w:i/>
        </w:rPr>
        <w:t>µ</w:t>
      </w:r>
      <w:r w:rsidRPr="00B35F21">
        <w:t>)</w:t>
      </w:r>
      <w:r w:rsidR="00901C9E" w:rsidRPr="00B35F21">
        <w:t>, expressed in d</w:t>
      </w:r>
      <w:r w:rsidR="00901C9E" w:rsidRPr="00B35F21">
        <w:rPr>
          <w:vertAlign w:val="superscript"/>
        </w:rPr>
        <w:t>-1</w:t>
      </w:r>
      <w:r w:rsidR="00901C9E" w:rsidRPr="00B35F21">
        <w:t>,</w:t>
      </w:r>
      <w:r w:rsidRPr="00B35F21">
        <w:t xml:space="preserve"> </w:t>
      </w:r>
      <w:r w:rsidR="00805C56" w:rsidRPr="00B35F21">
        <w:t>w</w:t>
      </w:r>
      <w:r w:rsidR="00E23A85" w:rsidRPr="00B35F21">
        <w:t>as</w:t>
      </w:r>
      <w:r w:rsidRPr="00B35F21">
        <w:t xml:space="preserve"> calculated </w:t>
      </w:r>
      <w:r w:rsidR="00901C9E" w:rsidRPr="00B35F21">
        <w:t>by the equation:</w:t>
      </w:r>
      <w:r w:rsidRPr="00B35F21">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B35F21" w:rsidRPr="00B35F21" w14:paraId="1528C6F1" w14:textId="77777777" w:rsidTr="001F7848">
        <w:tc>
          <w:tcPr>
            <w:tcW w:w="4388" w:type="dxa"/>
            <w:vAlign w:val="center"/>
          </w:tcPr>
          <w:p w14:paraId="09679BEA" w14:textId="35D8A1F8" w:rsidR="001F7848" w:rsidRPr="00B35F21" w:rsidRDefault="001F7848" w:rsidP="001F7848">
            <w:pPr>
              <w:pStyle w:val="CETEquation"/>
            </w:pPr>
            <m:oMathPara>
              <m:oMathParaPr>
                <m:jc m:val="left"/>
              </m:oMathParaPr>
              <m:oMath>
                <m:r>
                  <w:rPr>
                    <w:rFonts w:ascii="Cambria Math" w:hAnsi="Cambria Math"/>
                  </w:rPr>
                  <m:t>μ</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t</m:t>
                    </m:r>
                  </m:den>
                </m:f>
                <m:r>
                  <m:rPr>
                    <m:sty m:val="p"/>
                  </m:rPr>
                  <w:rPr>
                    <w:rFonts w:ascii="Cambria Math" w:hAnsi="Cambria Math"/>
                  </w:rPr>
                  <m:t xml:space="preserve"> ln</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f</m:t>
                            </m:r>
                          </m:sub>
                        </m:sSub>
                      </m:num>
                      <m:den>
                        <m:sSub>
                          <m:sSubPr>
                            <m:ctrlPr>
                              <w:rPr>
                                <w:rFonts w:ascii="Cambria Math" w:hAnsi="Cambria Math"/>
                              </w:rPr>
                            </m:ctrlPr>
                          </m:sSubPr>
                          <m:e>
                            <m:r>
                              <w:rPr>
                                <w:rFonts w:ascii="Cambria Math" w:hAnsi="Cambria Math"/>
                              </w:rPr>
                              <m:t>X</m:t>
                            </m:r>
                          </m:e>
                          <m:sub>
                            <m:r>
                              <m:rPr>
                                <m:sty m:val="p"/>
                              </m:rPr>
                              <w:rPr>
                                <w:rFonts w:ascii="Cambria Math" w:hAnsi="Cambria Math"/>
                              </w:rPr>
                              <m:t>0</m:t>
                            </m:r>
                          </m:sub>
                        </m:sSub>
                      </m:den>
                    </m:f>
                  </m:e>
                </m:d>
              </m:oMath>
            </m:oMathPara>
          </w:p>
        </w:tc>
        <w:tc>
          <w:tcPr>
            <w:tcW w:w="4389" w:type="dxa"/>
            <w:vAlign w:val="center"/>
          </w:tcPr>
          <w:p w14:paraId="66D504DF" w14:textId="77777777" w:rsidR="001F7848" w:rsidRPr="00B35F21" w:rsidRDefault="001F7848" w:rsidP="001F7848">
            <w:pPr>
              <w:pStyle w:val="CETBodytext"/>
              <w:jc w:val="right"/>
            </w:pPr>
            <w:r w:rsidRPr="00B35F21">
              <w:t>(2)</w:t>
            </w:r>
          </w:p>
        </w:tc>
      </w:tr>
    </w:tbl>
    <w:p w14:paraId="4B4AD57F" w14:textId="157DC07E" w:rsidR="00E23A85" w:rsidRPr="00B35F21" w:rsidRDefault="00E23A85" w:rsidP="00B260A4">
      <w:pPr>
        <w:pStyle w:val="CETBodytext"/>
      </w:pPr>
      <w:r w:rsidRPr="00B35F21">
        <w:t xml:space="preserve">where </w:t>
      </w:r>
      <w:proofErr w:type="spellStart"/>
      <w:r w:rsidRPr="00B35F21">
        <w:rPr>
          <w:i/>
        </w:rPr>
        <w:t>t</w:t>
      </w:r>
      <w:proofErr w:type="spellEnd"/>
      <w:r w:rsidRPr="00B35F21">
        <w:t xml:space="preserve"> is the overall cultivation time (d), while </w:t>
      </w:r>
      <w:r w:rsidRPr="00B35F21">
        <w:rPr>
          <w:i/>
        </w:rPr>
        <w:t>X</w:t>
      </w:r>
      <w:r w:rsidRPr="00B35F21">
        <w:rPr>
          <w:vertAlign w:val="subscript"/>
        </w:rPr>
        <w:t>0</w:t>
      </w:r>
      <w:r w:rsidRPr="00B35F21">
        <w:t xml:space="preserve"> and </w:t>
      </w:r>
      <w:proofErr w:type="spellStart"/>
      <w:r w:rsidRPr="00B35F21">
        <w:rPr>
          <w:i/>
        </w:rPr>
        <w:t>X</w:t>
      </w:r>
      <w:r w:rsidRPr="00B35F21">
        <w:rPr>
          <w:vertAlign w:val="subscript"/>
        </w:rPr>
        <w:t>f</w:t>
      </w:r>
      <w:proofErr w:type="spellEnd"/>
      <w:r w:rsidRPr="00B35F21">
        <w:rPr>
          <w:vertAlign w:val="subscript"/>
        </w:rPr>
        <w:t xml:space="preserve"> </w:t>
      </w:r>
      <w:r w:rsidRPr="00B35F21">
        <w:t>are the starting and final biomass concentrations (</w:t>
      </w:r>
      <w:proofErr w:type="spellStart"/>
      <w:r w:rsidRPr="00B35F21">
        <w:t>g</w:t>
      </w:r>
      <w:r w:rsidRPr="00B35F21">
        <w:rPr>
          <w:vertAlign w:val="subscript"/>
        </w:rPr>
        <w:t>DW</w:t>
      </w:r>
      <w:proofErr w:type="spellEnd"/>
      <w:r w:rsidRPr="00B35F21">
        <w:t>/L), respectively.</w:t>
      </w:r>
    </w:p>
    <w:p w14:paraId="2E49DC24" w14:textId="74D60BBC" w:rsidR="00E23A85" w:rsidRPr="00B35F21" w:rsidRDefault="00E23A85" w:rsidP="00B260A4">
      <w:pPr>
        <w:pStyle w:val="CETBodytext"/>
      </w:pPr>
      <w:r w:rsidRPr="00B35F21">
        <w:t xml:space="preserve">The value of </w:t>
      </w:r>
      <w:r w:rsidRPr="00B35F21">
        <w:rPr>
          <w:i/>
        </w:rPr>
        <w:t xml:space="preserve">µ </w:t>
      </w:r>
      <w:r w:rsidRPr="00B35F21">
        <w:t>at maximum biomass concentration (</w:t>
      </w:r>
      <w:r w:rsidRPr="00B35F21">
        <w:rPr>
          <w:i/>
        </w:rPr>
        <w:t>µ</w:t>
      </w:r>
      <w:r w:rsidRPr="00B35F21">
        <w:rPr>
          <w:vertAlign w:val="subscript"/>
        </w:rPr>
        <w:t>max</w:t>
      </w:r>
      <w:r w:rsidRPr="00B35F21">
        <w:t>), also expressed in d</w:t>
      </w:r>
      <w:r w:rsidRPr="00B35F21">
        <w:rPr>
          <w:vertAlign w:val="superscript"/>
        </w:rPr>
        <w:t>-1</w:t>
      </w:r>
      <w:r w:rsidRPr="00B35F21">
        <w:t>, was calculated by the equation:</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B35F21" w:rsidRPr="00B35F21" w14:paraId="557E7F5A" w14:textId="77777777" w:rsidTr="003D5B0D">
        <w:tc>
          <w:tcPr>
            <w:tcW w:w="4388" w:type="dxa"/>
            <w:vAlign w:val="center"/>
          </w:tcPr>
          <w:p w14:paraId="3194DB92" w14:textId="1439A78D" w:rsidR="00E23A85" w:rsidRPr="00B35F21" w:rsidRDefault="002E7F12" w:rsidP="003D5B0D">
            <w:pPr>
              <w:pStyle w:val="CETEquation"/>
            </w:pPr>
            <m:oMathPara>
              <m:oMathParaPr>
                <m:jc m:val="left"/>
              </m:oMathParaPr>
              <m:oMath>
                <m:sSub>
                  <m:sSubPr>
                    <m:ctrlPr>
                      <w:rPr>
                        <w:rFonts w:ascii="Cambria Math" w:hAnsi="Cambria Math"/>
                      </w:rPr>
                    </m:ctrlPr>
                  </m:sSubPr>
                  <m:e>
                    <m:r>
                      <w:rPr>
                        <w:rFonts w:ascii="Cambria Math" w:hAnsi="Cambria Math"/>
                      </w:rPr>
                      <m:t>μ</m:t>
                    </m:r>
                  </m:e>
                  <m:sub>
                    <m:r>
                      <m:rPr>
                        <m:sty m:val="p"/>
                      </m:rPr>
                      <w:rPr>
                        <w:rFonts w:ascii="Cambria Math" w:hAnsi="Cambria Math"/>
                      </w:rPr>
                      <m:t>max</m:t>
                    </m:r>
                  </m:sub>
                </m:sSub>
                <m:r>
                  <m:rPr>
                    <m:sty m:val="p"/>
                  </m:rPr>
                  <w:rPr>
                    <w:rFonts w:ascii="Cambria Math" w:hAnsi="Cambria Math"/>
                  </w:rPr>
                  <m:t>=</m:t>
                </m:r>
                <m:f>
                  <m:fPr>
                    <m:ctrlPr>
                      <w:rPr>
                        <w:rFonts w:ascii="Cambria Math" w:hAnsi="Cambria Math"/>
                        <w:sz w:val="24"/>
                        <w:szCs w:val="24"/>
                      </w:rPr>
                    </m:ctrlPr>
                  </m:fPr>
                  <m:num>
                    <m:r>
                      <m:rPr>
                        <m:sty m:val="p"/>
                      </m:rPr>
                      <w:rPr>
                        <w:rFonts w:ascii="Cambria Math" w:hAnsi="Cambria Math"/>
                      </w:rPr>
                      <m:t>1</m:t>
                    </m:r>
                  </m:num>
                  <m:den>
                    <m:sSub>
                      <m:sSubPr>
                        <m:ctrlPr>
                          <w:rPr>
                            <w:rFonts w:ascii="Cambria Math" w:hAnsi="Cambria Math"/>
                            <w:sz w:val="24"/>
                            <w:szCs w:val="24"/>
                          </w:rPr>
                        </m:ctrlPr>
                      </m:sSubPr>
                      <m:e>
                        <m:r>
                          <w:rPr>
                            <w:rFonts w:ascii="Cambria Math" w:hAnsi="Cambria Math"/>
                          </w:rPr>
                          <m:t>t</m:t>
                        </m:r>
                      </m:e>
                      <m:sub>
                        <m:r>
                          <m:rPr>
                            <m:sty m:val="p"/>
                          </m:rPr>
                          <w:rPr>
                            <w:rFonts w:ascii="Cambria Math" w:hAnsi="Cambria Math"/>
                          </w:rPr>
                          <m:t>max</m:t>
                        </m:r>
                      </m:sub>
                    </m:sSub>
                  </m:den>
                </m:f>
                <m:r>
                  <m:rPr>
                    <m:sty m:val="p"/>
                  </m:rPr>
                  <w:rPr>
                    <w:rFonts w:ascii="Cambria Math" w:hAnsi="Cambria Math"/>
                  </w:rPr>
                  <m:t xml:space="preserve"> ln</m:t>
                </m:r>
                <m:d>
                  <m:dPr>
                    <m:ctrlPr>
                      <w:rPr>
                        <w:rFonts w:ascii="Cambria Math" w:hAnsi="Cambria Math"/>
                        <w:sz w:val="24"/>
                        <w:szCs w:val="24"/>
                      </w:rPr>
                    </m:ctrlPr>
                  </m:dPr>
                  <m:e>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rPr>
                              <m:t>X</m:t>
                            </m:r>
                          </m:e>
                          <m:sub>
                            <m:r>
                              <m:rPr>
                                <m:sty m:val="p"/>
                              </m:rPr>
                              <w:rPr>
                                <w:rFonts w:ascii="Cambria Math" w:hAnsi="Cambria Math"/>
                              </w:rPr>
                              <m:t>max</m:t>
                            </m:r>
                          </m:sub>
                        </m:sSub>
                      </m:num>
                      <m:den>
                        <m:sSub>
                          <m:sSubPr>
                            <m:ctrlPr>
                              <w:rPr>
                                <w:rFonts w:ascii="Cambria Math" w:hAnsi="Cambria Math"/>
                                <w:sz w:val="24"/>
                                <w:szCs w:val="24"/>
                              </w:rPr>
                            </m:ctrlPr>
                          </m:sSubPr>
                          <m:e>
                            <m:r>
                              <w:rPr>
                                <w:rFonts w:ascii="Cambria Math" w:hAnsi="Cambria Math"/>
                              </w:rPr>
                              <m:t>X</m:t>
                            </m:r>
                          </m:e>
                          <m:sub>
                            <m:r>
                              <m:rPr>
                                <m:sty m:val="p"/>
                              </m:rPr>
                              <w:rPr>
                                <w:rFonts w:ascii="Cambria Math" w:hAnsi="Cambria Math"/>
                              </w:rPr>
                              <m:t>0</m:t>
                            </m:r>
                          </m:sub>
                        </m:sSub>
                      </m:den>
                    </m:f>
                  </m:e>
                </m:d>
              </m:oMath>
            </m:oMathPara>
          </w:p>
        </w:tc>
        <w:tc>
          <w:tcPr>
            <w:tcW w:w="4389" w:type="dxa"/>
            <w:vAlign w:val="center"/>
          </w:tcPr>
          <w:p w14:paraId="36B84010" w14:textId="77777777" w:rsidR="00E23A85" w:rsidRPr="00B35F21" w:rsidRDefault="00E23A85" w:rsidP="003D5B0D">
            <w:pPr>
              <w:pStyle w:val="CETBodytext"/>
              <w:jc w:val="right"/>
            </w:pPr>
            <w:r w:rsidRPr="00B35F21">
              <w:t>(3)</w:t>
            </w:r>
          </w:p>
        </w:tc>
      </w:tr>
    </w:tbl>
    <w:p w14:paraId="1F51180C" w14:textId="4ED37551" w:rsidR="00B260A4" w:rsidRPr="00B35F21" w:rsidRDefault="00E23A85" w:rsidP="00B260A4">
      <w:pPr>
        <w:pStyle w:val="CETBodytext"/>
        <w:rPr>
          <w:sz w:val="22"/>
        </w:rPr>
      </w:pPr>
      <w:r w:rsidRPr="00B35F21">
        <w:t>where</w:t>
      </w:r>
      <w:r w:rsidR="00B260A4" w:rsidRPr="00B35F21">
        <w:t xml:space="preserve"> </w:t>
      </w:r>
      <w:proofErr w:type="spellStart"/>
      <w:r w:rsidRPr="00B35F21">
        <w:rPr>
          <w:rFonts w:eastAsiaTheme="minorEastAsia"/>
          <w:i/>
        </w:rPr>
        <w:t>X</w:t>
      </w:r>
      <w:r w:rsidRPr="00B35F21">
        <w:rPr>
          <w:rFonts w:eastAsiaTheme="minorEastAsia"/>
          <w:vertAlign w:val="subscript"/>
        </w:rPr>
        <w:t>max</w:t>
      </w:r>
      <w:proofErr w:type="spellEnd"/>
      <w:r w:rsidRPr="00B35F21">
        <w:rPr>
          <w:rFonts w:eastAsiaTheme="minorEastAsia"/>
          <w:vertAlign w:val="subscript"/>
        </w:rPr>
        <w:t xml:space="preserve"> </w:t>
      </w:r>
      <w:r w:rsidRPr="00B35F21">
        <w:rPr>
          <w:rFonts w:eastAsiaTheme="minorEastAsia"/>
        </w:rPr>
        <w:t xml:space="preserve">is the maximum biomass concentration </w:t>
      </w:r>
      <w:r w:rsidRPr="00B35F21">
        <w:t>(</w:t>
      </w:r>
      <w:proofErr w:type="spellStart"/>
      <w:r w:rsidRPr="00B35F21">
        <w:t>g</w:t>
      </w:r>
      <w:r w:rsidRPr="00B35F21">
        <w:rPr>
          <w:vertAlign w:val="subscript"/>
        </w:rPr>
        <w:t>DW</w:t>
      </w:r>
      <w:proofErr w:type="spellEnd"/>
      <w:r w:rsidRPr="00B35F21">
        <w:t xml:space="preserve">/L) and </w:t>
      </w:r>
      <w:proofErr w:type="spellStart"/>
      <w:r w:rsidR="00B260A4" w:rsidRPr="00B35F21">
        <w:rPr>
          <w:rFonts w:eastAsiaTheme="minorEastAsia"/>
          <w:i/>
        </w:rPr>
        <w:t>t</w:t>
      </w:r>
      <w:r w:rsidR="00B260A4" w:rsidRPr="00B35F21">
        <w:rPr>
          <w:rFonts w:eastAsiaTheme="minorEastAsia"/>
          <w:vertAlign w:val="subscript"/>
        </w:rPr>
        <w:t>max</w:t>
      </w:r>
      <w:proofErr w:type="spellEnd"/>
      <w:r w:rsidR="00B260A4" w:rsidRPr="00B35F21">
        <w:rPr>
          <w:rFonts w:eastAsiaTheme="minorEastAsia"/>
          <w:vertAlign w:val="subscript"/>
        </w:rPr>
        <w:t xml:space="preserve"> </w:t>
      </w:r>
      <w:r w:rsidR="00B260A4" w:rsidRPr="00B35F21">
        <w:rPr>
          <w:rFonts w:eastAsiaTheme="minorEastAsia"/>
        </w:rPr>
        <w:t>the time (d) needed to reach</w:t>
      </w:r>
      <w:r w:rsidRPr="00B35F21">
        <w:rPr>
          <w:rFonts w:eastAsiaTheme="minorEastAsia"/>
        </w:rPr>
        <w:t xml:space="preserve"> </w:t>
      </w:r>
      <w:proofErr w:type="spellStart"/>
      <w:r w:rsidRPr="00B35F21">
        <w:rPr>
          <w:rFonts w:eastAsiaTheme="minorEastAsia"/>
          <w:i/>
        </w:rPr>
        <w:t>X</w:t>
      </w:r>
      <w:r w:rsidRPr="00B35F21">
        <w:rPr>
          <w:rFonts w:eastAsiaTheme="minorEastAsia"/>
          <w:vertAlign w:val="subscript"/>
        </w:rPr>
        <w:t>max</w:t>
      </w:r>
      <w:proofErr w:type="spellEnd"/>
      <w:r w:rsidRPr="00B35F21">
        <w:rPr>
          <w:rFonts w:eastAsiaTheme="minorEastAsia"/>
        </w:rPr>
        <w:t>.</w:t>
      </w:r>
      <w:r w:rsidR="00B260A4" w:rsidRPr="00B35F21">
        <w:rPr>
          <w:rFonts w:eastAsiaTheme="minorEastAsia"/>
        </w:rPr>
        <w:t xml:space="preserve"> </w:t>
      </w:r>
    </w:p>
    <w:p w14:paraId="0514513D" w14:textId="77B8B53E" w:rsidR="00B260A4" w:rsidRPr="00B35F21" w:rsidRDefault="001B2AA2" w:rsidP="00B260A4">
      <w:pPr>
        <w:pStyle w:val="CETBodytext"/>
      </w:pPr>
      <w:r w:rsidRPr="00B35F21">
        <w:t>B</w:t>
      </w:r>
      <w:r w:rsidR="00B260A4" w:rsidRPr="00B35F21">
        <w:t xml:space="preserve">iomass productivity at the end of </w:t>
      </w:r>
      <w:r w:rsidR="00A8724C" w:rsidRPr="00B35F21">
        <w:t>cultivation</w:t>
      </w:r>
      <w:r w:rsidR="00B260A4" w:rsidRPr="00B35F21">
        <w:t xml:space="preserve"> </w:t>
      </w:r>
      <w:r w:rsidR="00A8724C" w:rsidRPr="00B35F21">
        <w:t>(</w:t>
      </w:r>
      <w:r w:rsidR="00A8724C" w:rsidRPr="00B35F21">
        <w:rPr>
          <w:i/>
        </w:rPr>
        <w:t>ν</w:t>
      </w:r>
      <w:r w:rsidR="00A8724C" w:rsidRPr="00B35F21">
        <w:t xml:space="preserve">) </w:t>
      </w:r>
      <w:r w:rsidR="00B260A4" w:rsidRPr="00B35F21">
        <w:t xml:space="preserve">and </w:t>
      </w:r>
      <w:r w:rsidR="00A8724C" w:rsidRPr="00B35F21">
        <w:t xml:space="preserve">its value </w:t>
      </w:r>
      <w:r w:rsidR="00B260A4" w:rsidRPr="00B35F21">
        <w:t xml:space="preserve">at </w:t>
      </w:r>
      <w:proofErr w:type="spellStart"/>
      <w:r w:rsidRPr="00B35F21">
        <w:rPr>
          <w:rFonts w:eastAsiaTheme="minorEastAsia"/>
          <w:i/>
        </w:rPr>
        <w:t>X</w:t>
      </w:r>
      <w:r w:rsidRPr="00B35F21">
        <w:rPr>
          <w:rFonts w:eastAsiaTheme="minorEastAsia"/>
          <w:vertAlign w:val="subscript"/>
        </w:rPr>
        <w:t>max</w:t>
      </w:r>
      <w:proofErr w:type="spellEnd"/>
      <w:r w:rsidRPr="00B35F21">
        <w:t xml:space="preserve"> </w:t>
      </w:r>
      <w:r w:rsidR="00A8724C" w:rsidRPr="00B35F21">
        <w:t>(</w:t>
      </w:r>
      <w:proofErr w:type="spellStart"/>
      <w:r w:rsidR="00A8724C" w:rsidRPr="00B35F21">
        <w:rPr>
          <w:i/>
        </w:rPr>
        <w:t>ν</w:t>
      </w:r>
      <w:r w:rsidR="00A8724C" w:rsidRPr="00B35F21">
        <w:rPr>
          <w:vertAlign w:val="subscript"/>
        </w:rPr>
        <w:t>max</w:t>
      </w:r>
      <w:proofErr w:type="spellEnd"/>
      <w:r w:rsidR="00A8724C" w:rsidRPr="00B35F21">
        <w:t xml:space="preserve">), both </w:t>
      </w:r>
      <w:r w:rsidR="00B260A4" w:rsidRPr="00B35F21">
        <w:t>expressed in (</w:t>
      </w:r>
      <w:proofErr w:type="spellStart"/>
      <w:r w:rsidR="00B260A4" w:rsidRPr="00B35F21">
        <w:t>g</w:t>
      </w:r>
      <w:r w:rsidR="00B260A4" w:rsidRPr="00B35F21">
        <w:rPr>
          <w:vertAlign w:val="subscript"/>
        </w:rPr>
        <w:t>D</w:t>
      </w:r>
      <w:r w:rsidR="00A8724C" w:rsidRPr="00B35F21">
        <w:rPr>
          <w:vertAlign w:val="subscript"/>
        </w:rPr>
        <w:t>W</w:t>
      </w:r>
      <w:proofErr w:type="spellEnd"/>
      <w:r w:rsidR="00CE373E" w:rsidRPr="00CE373E">
        <w:t>/</w:t>
      </w:r>
      <w:r w:rsidR="00A8724C" w:rsidRPr="00B35F21">
        <w:t xml:space="preserve"> </w:t>
      </w:r>
      <w:proofErr w:type="spellStart"/>
      <w:r w:rsidR="00B260A4" w:rsidRPr="00B35F21">
        <w:t>Ld</w:t>
      </w:r>
      <w:proofErr w:type="spellEnd"/>
      <w:r w:rsidR="00B260A4" w:rsidRPr="00B35F21">
        <w:t>)</w:t>
      </w:r>
      <w:r w:rsidR="00A8724C" w:rsidRPr="00B35F21">
        <w:t>,</w:t>
      </w:r>
      <w:r w:rsidR="00B260A4" w:rsidRPr="00B35F21">
        <w:t xml:space="preserve"> w</w:t>
      </w:r>
      <w:r w:rsidR="00A8724C" w:rsidRPr="00B35F21">
        <w:t>ere</w:t>
      </w:r>
      <w:r w:rsidR="00B260A4" w:rsidRPr="00B35F21">
        <w:t xml:space="preserve"> calculated as </w:t>
      </w:r>
      <w:r w:rsidR="00805C56" w:rsidRPr="00B35F21">
        <w:t>follow</w:t>
      </w:r>
      <w:r w:rsidR="00A8724C" w:rsidRPr="00B35F21">
        <w:t>s</w:t>
      </w:r>
      <w:r w:rsidR="00B260A4" w:rsidRPr="00B35F21">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B35F21" w:rsidRPr="00B35F21" w14:paraId="26A1B785" w14:textId="77777777" w:rsidTr="00B260A4">
        <w:tc>
          <w:tcPr>
            <w:tcW w:w="4388" w:type="dxa"/>
            <w:vAlign w:val="center"/>
          </w:tcPr>
          <w:p w14:paraId="777D5292" w14:textId="77777777" w:rsidR="00B260A4" w:rsidRPr="00B35F21" w:rsidRDefault="00B260A4" w:rsidP="00B260A4">
            <w:pPr>
              <w:pStyle w:val="CETEquation"/>
            </w:pPr>
            <m:oMathPara>
              <m:oMathParaPr>
                <m:jc m:val="left"/>
              </m:oMathParaPr>
              <m:oMath>
                <m:r>
                  <m:rPr>
                    <m:sty m:val="p"/>
                  </m:rPr>
                  <w:rPr>
                    <w:rFonts w:ascii="Cambria Math" w:hAnsi="Cambria Math"/>
                  </w:rPr>
                  <m:t xml:space="preserve">ν= </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f</m:t>
                        </m:r>
                      </m:sub>
                    </m:sSub>
                  </m:num>
                  <m:den>
                    <m:r>
                      <w:rPr>
                        <w:rFonts w:ascii="Cambria Math" w:hAnsi="Cambria Math"/>
                      </w:rPr>
                      <m:t>t</m:t>
                    </m:r>
                  </m:den>
                </m:f>
              </m:oMath>
            </m:oMathPara>
          </w:p>
        </w:tc>
        <w:tc>
          <w:tcPr>
            <w:tcW w:w="4389" w:type="dxa"/>
            <w:vAlign w:val="center"/>
          </w:tcPr>
          <w:p w14:paraId="1DD59AD6" w14:textId="77777777" w:rsidR="00B260A4" w:rsidRPr="00B35F21" w:rsidRDefault="00B260A4" w:rsidP="003B1527">
            <w:pPr>
              <w:pStyle w:val="CETBodytext"/>
              <w:jc w:val="right"/>
            </w:pPr>
            <w:r w:rsidRPr="00B35F21">
              <w:t>(4)</w:t>
            </w:r>
          </w:p>
        </w:tc>
      </w:tr>
      <w:tr w:rsidR="00B35F21" w:rsidRPr="00B35F21" w14:paraId="1ED2D082" w14:textId="77777777" w:rsidTr="00B260A4">
        <w:tc>
          <w:tcPr>
            <w:tcW w:w="4388" w:type="dxa"/>
            <w:vAlign w:val="center"/>
          </w:tcPr>
          <w:p w14:paraId="250A3080" w14:textId="74DA81A2" w:rsidR="00B260A4" w:rsidRPr="00B35F21" w:rsidRDefault="002E7F12" w:rsidP="00B260A4">
            <w:pPr>
              <w:spacing w:line="240" w:lineRule="auto"/>
              <w:rPr>
                <w:rFonts w:asciiTheme="majorHAnsi" w:eastAsiaTheme="minorEastAsia" w:hAnsiTheme="majorHAnsi" w:cstheme="majorHAnsi"/>
                <w:sz w:val="22"/>
                <w:lang w:val="en-US"/>
              </w:rPr>
            </w:pPr>
            <m:oMathPara>
              <m:oMathParaPr>
                <m:jc m:val="left"/>
              </m:oMathParaPr>
              <m:oMath>
                <m:sSub>
                  <m:sSubPr>
                    <m:ctrlPr>
                      <w:rPr>
                        <w:rFonts w:ascii="Cambria Math" w:hAnsi="Cambria Math" w:cstheme="majorHAnsi"/>
                        <w:sz w:val="22"/>
                        <w:szCs w:val="22"/>
                        <w:lang w:val="en-US"/>
                      </w:rPr>
                    </m:ctrlPr>
                  </m:sSubPr>
                  <m:e>
                    <m:r>
                      <m:rPr>
                        <m:sty m:val="p"/>
                      </m:rPr>
                      <w:rPr>
                        <w:rFonts w:ascii="Cambria Math" w:hAnsi="Cambria Math" w:cstheme="majorHAnsi"/>
                        <w:lang w:val="en-US"/>
                      </w:rPr>
                      <m:t>ν</m:t>
                    </m:r>
                  </m:e>
                  <m:sub>
                    <m:r>
                      <m:rPr>
                        <m:sty m:val="p"/>
                      </m:rPr>
                      <w:rPr>
                        <w:rFonts w:ascii="Cambria Math" w:hAnsi="Cambria Math" w:cstheme="majorHAnsi"/>
                        <w:lang w:val="en-US"/>
                      </w:rPr>
                      <m:t>max</m:t>
                    </m:r>
                  </m:sub>
                </m:sSub>
                <m:r>
                  <m:rPr>
                    <m:sty m:val="p"/>
                  </m:rPr>
                  <w:rPr>
                    <w:rFonts w:ascii="Cambria Math" w:hAnsiTheme="majorHAnsi" w:cstheme="majorHAnsi"/>
                    <w:lang w:val="en-US"/>
                  </w:rPr>
                  <m:t xml:space="preserve">= </m:t>
                </m:r>
                <m:f>
                  <m:fPr>
                    <m:ctrlPr>
                      <w:rPr>
                        <w:rFonts w:ascii="Cambria Math" w:hAnsiTheme="majorHAnsi" w:cstheme="majorHAnsi"/>
                        <w:sz w:val="22"/>
                        <w:szCs w:val="22"/>
                        <w:lang w:val="en-US"/>
                      </w:rPr>
                    </m:ctrlPr>
                  </m:fPr>
                  <m:num>
                    <m:sSub>
                      <m:sSubPr>
                        <m:ctrlPr>
                          <w:rPr>
                            <w:rFonts w:ascii="Cambria Math" w:hAnsiTheme="majorHAnsi" w:cstheme="majorHAnsi"/>
                            <w:i/>
                            <w:sz w:val="22"/>
                            <w:szCs w:val="22"/>
                            <w:lang w:val="en-US"/>
                          </w:rPr>
                        </m:ctrlPr>
                      </m:sSubPr>
                      <m:e>
                        <m:r>
                          <w:rPr>
                            <w:rFonts w:ascii="Cambria Math" w:hAnsiTheme="majorHAnsi" w:cstheme="majorHAnsi"/>
                            <w:lang w:val="en-US"/>
                          </w:rPr>
                          <m:t>X</m:t>
                        </m:r>
                      </m:e>
                      <m:sub>
                        <m:r>
                          <m:rPr>
                            <m:sty m:val="p"/>
                          </m:rPr>
                          <w:rPr>
                            <w:rFonts w:ascii="Cambria Math" w:hAnsiTheme="majorHAnsi" w:cstheme="majorHAnsi"/>
                            <w:lang w:val="en-US"/>
                          </w:rPr>
                          <m:t>max</m:t>
                        </m:r>
                      </m:sub>
                    </m:sSub>
                  </m:num>
                  <m:den>
                    <m:r>
                      <w:rPr>
                        <w:rFonts w:ascii="Cambria Math" w:hAnsiTheme="majorHAnsi" w:cstheme="majorHAnsi"/>
                        <w:lang w:val="en-US"/>
                      </w:rPr>
                      <m:t>t</m:t>
                    </m:r>
                  </m:den>
                </m:f>
              </m:oMath>
            </m:oMathPara>
          </w:p>
        </w:tc>
        <w:tc>
          <w:tcPr>
            <w:tcW w:w="4389" w:type="dxa"/>
            <w:vAlign w:val="center"/>
          </w:tcPr>
          <w:p w14:paraId="12F36769" w14:textId="77777777" w:rsidR="00B260A4" w:rsidRPr="00B35F21" w:rsidRDefault="00B260A4" w:rsidP="003B1527">
            <w:pPr>
              <w:pStyle w:val="CETBodytext"/>
              <w:jc w:val="right"/>
            </w:pPr>
            <w:r w:rsidRPr="00B35F21">
              <w:t>(5)</w:t>
            </w:r>
          </w:p>
        </w:tc>
      </w:tr>
    </w:tbl>
    <w:p w14:paraId="1895C8E5" w14:textId="108C80F6" w:rsidR="00B260A4" w:rsidRPr="00B35F21" w:rsidRDefault="00C55321" w:rsidP="00B260A4">
      <w:pPr>
        <w:pStyle w:val="CETBodytext"/>
        <w:rPr>
          <w:rFonts w:eastAsiaTheme="minorEastAsia"/>
        </w:rPr>
      </w:pPr>
      <w:r w:rsidRPr="00B35F21">
        <w:rPr>
          <w:rFonts w:eastAsiaTheme="minorEastAsia"/>
        </w:rPr>
        <w:t>Defining the lipid content of biomass (</w:t>
      </w:r>
      <w:r w:rsidRPr="00B35F21">
        <w:rPr>
          <w:rFonts w:eastAsiaTheme="minorEastAsia"/>
          <w:i/>
        </w:rPr>
        <w:t>C</w:t>
      </w:r>
      <w:r w:rsidRPr="00B35F21">
        <w:rPr>
          <w:rFonts w:eastAsiaTheme="minorEastAsia"/>
          <w:vertAlign w:val="subscript"/>
        </w:rPr>
        <w:t>L</w:t>
      </w:r>
      <w:r w:rsidRPr="00B35F21">
        <w:rPr>
          <w:rFonts w:eastAsiaTheme="minorEastAsia"/>
        </w:rPr>
        <w:t xml:space="preserve">, </w:t>
      </w:r>
      <w:proofErr w:type="spellStart"/>
      <w:r w:rsidRPr="00B35F21">
        <w:rPr>
          <w:rFonts w:eastAsiaTheme="minorEastAsia"/>
        </w:rPr>
        <w:t>g</w:t>
      </w:r>
      <w:r w:rsidRPr="00B35F21">
        <w:rPr>
          <w:rFonts w:eastAsiaTheme="minorEastAsia"/>
          <w:vertAlign w:val="subscript"/>
        </w:rPr>
        <w:t>L</w:t>
      </w:r>
      <w:proofErr w:type="spellEnd"/>
      <w:r w:rsidRPr="00B35F21">
        <w:rPr>
          <w:rFonts w:eastAsiaTheme="minorEastAsia"/>
        </w:rPr>
        <w:t>/100g</w:t>
      </w:r>
      <w:r w:rsidRPr="00B35F21">
        <w:rPr>
          <w:rFonts w:eastAsiaTheme="minorEastAsia"/>
          <w:vertAlign w:val="subscript"/>
        </w:rPr>
        <w:t>DW</w:t>
      </w:r>
      <w:r w:rsidRPr="00B35F21">
        <w:rPr>
          <w:rFonts w:eastAsiaTheme="minorEastAsia"/>
        </w:rPr>
        <w:t xml:space="preserve">) as the </w:t>
      </w:r>
      <w:r w:rsidR="004009B1" w:rsidRPr="00B35F21">
        <w:rPr>
          <w:rFonts w:eastAsiaTheme="minorEastAsia"/>
        </w:rPr>
        <w:t>fraction</w:t>
      </w:r>
      <w:r w:rsidRPr="00B35F21">
        <w:rPr>
          <w:rFonts w:eastAsiaTheme="minorEastAsia"/>
        </w:rPr>
        <w:t xml:space="preserve"> of lipid mass referred to 100 g of dry biomass, the l</w:t>
      </w:r>
      <w:r w:rsidR="00B260A4" w:rsidRPr="00B35F21">
        <w:rPr>
          <w:rFonts w:eastAsiaTheme="minorEastAsia"/>
        </w:rPr>
        <w:t xml:space="preserve">ipid productivity </w:t>
      </w:r>
      <w:r w:rsidR="00B260A4" w:rsidRPr="00B35F21">
        <w:t>(</w:t>
      </w:r>
      <w:proofErr w:type="spellStart"/>
      <w:r w:rsidR="00B260A4" w:rsidRPr="00B35F21">
        <w:rPr>
          <w:i/>
        </w:rPr>
        <w:t>ν</w:t>
      </w:r>
      <w:r w:rsidR="00B260A4" w:rsidRPr="00B35F21">
        <w:rPr>
          <w:vertAlign w:val="subscript"/>
        </w:rPr>
        <w:t>L</w:t>
      </w:r>
      <w:proofErr w:type="spellEnd"/>
      <w:r w:rsidR="00B260A4" w:rsidRPr="00B35F21">
        <w:t>)</w:t>
      </w:r>
      <w:r w:rsidR="00A8724C" w:rsidRPr="00B35F21">
        <w:t xml:space="preserve">, expressed in </w:t>
      </w:r>
      <w:proofErr w:type="spellStart"/>
      <w:r w:rsidR="00F41045" w:rsidRPr="00B35F21">
        <w:t>g</w:t>
      </w:r>
      <w:r w:rsidR="00F41045" w:rsidRPr="00B35F21">
        <w:rPr>
          <w:vertAlign w:val="subscript"/>
        </w:rPr>
        <w:t>L</w:t>
      </w:r>
      <w:proofErr w:type="spellEnd"/>
      <w:r w:rsidR="00F41045" w:rsidRPr="00B35F21">
        <w:t>/100g</w:t>
      </w:r>
      <w:r w:rsidR="00F41045" w:rsidRPr="00B35F21">
        <w:rPr>
          <w:vertAlign w:val="subscript"/>
        </w:rPr>
        <w:t>DW</w:t>
      </w:r>
      <w:r w:rsidR="00F41045" w:rsidRPr="00B35F21">
        <w:t>d</w:t>
      </w:r>
      <w:r w:rsidR="00A8724C" w:rsidRPr="00B35F21">
        <w:t>,</w:t>
      </w:r>
      <w:r w:rsidR="00B260A4" w:rsidRPr="00B35F21">
        <w:t xml:space="preserve"> </w:t>
      </w:r>
      <w:r w:rsidR="00B260A4" w:rsidRPr="00B35F21">
        <w:rPr>
          <w:rFonts w:eastAsiaTheme="minorEastAsia"/>
        </w:rPr>
        <w:t xml:space="preserve">was </w:t>
      </w:r>
      <w:r w:rsidRPr="00B35F21">
        <w:rPr>
          <w:rFonts w:eastAsiaTheme="minorEastAsia"/>
        </w:rPr>
        <w:t>calculat</w:t>
      </w:r>
      <w:r w:rsidR="00A8724C" w:rsidRPr="00B35F21">
        <w:rPr>
          <w:rFonts w:eastAsiaTheme="minorEastAsia"/>
        </w:rPr>
        <w:t>ed</w:t>
      </w:r>
      <w:r w:rsidR="00B260A4" w:rsidRPr="00B35F21">
        <w:rPr>
          <w:rFonts w:eastAsiaTheme="minorEastAsia"/>
        </w:rPr>
        <w:t xml:space="preserve"> a</w:t>
      </w:r>
      <w:r w:rsidR="00805C56" w:rsidRPr="00B35F21">
        <w:rPr>
          <w:rFonts w:eastAsiaTheme="minorEastAsia"/>
        </w:rPr>
        <w:t>s</w:t>
      </w:r>
      <w:r w:rsidRPr="00B35F21">
        <w:rPr>
          <w:rFonts w:eastAsiaTheme="minorEastAsia"/>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B260A4" w:rsidRPr="00B35F21" w14:paraId="2CFD30B2" w14:textId="77777777" w:rsidTr="00B260A4">
        <w:tc>
          <w:tcPr>
            <w:tcW w:w="4388" w:type="dxa"/>
            <w:vAlign w:val="center"/>
          </w:tcPr>
          <w:p w14:paraId="4548BF79" w14:textId="77168BDB" w:rsidR="00B260A4" w:rsidRPr="00B35F21" w:rsidRDefault="002E7F12" w:rsidP="003B1527">
            <w:pPr>
              <w:pStyle w:val="CETEquation"/>
              <w:rPr>
                <w:rFonts w:asciiTheme="majorHAnsi" w:eastAsiaTheme="minorEastAsia"/>
                <w:sz w:val="22"/>
                <w:lang w:val="en-US"/>
              </w:rPr>
            </w:pPr>
            <m:oMathPara>
              <m:oMathParaPr>
                <m:jc m:val="left"/>
              </m:oMathParaPr>
              <m:oMath>
                <m:sSub>
                  <m:sSubPr>
                    <m:ctrlPr>
                      <w:rPr>
                        <w:rFonts w:ascii="Cambria Math" w:hAnsi="Cambria Math"/>
                        <w:sz w:val="22"/>
                        <w:szCs w:val="22"/>
                        <w:lang w:val="en-US"/>
                      </w:rPr>
                    </m:ctrlPr>
                  </m:sSubPr>
                  <m:e>
                    <m:r>
                      <m:rPr>
                        <m:sty m:val="p"/>
                      </m:rPr>
                      <w:rPr>
                        <w:rFonts w:ascii="Cambria Math" w:hAnsi="Cambria Math"/>
                        <w:lang w:val="en-US"/>
                      </w:rPr>
                      <m:t>ν</m:t>
                    </m:r>
                  </m:e>
                  <m:sub>
                    <m:r>
                      <w:rPr>
                        <w:rFonts w:ascii="Cambria Math" w:hAnsi="Cambria Math"/>
                        <w:lang w:val="en-US"/>
                      </w:rPr>
                      <m:t>L</m:t>
                    </m:r>
                  </m:sub>
                </m:sSub>
                <m:r>
                  <m:rPr>
                    <m:sty m:val="p"/>
                  </m:rPr>
                  <w:rPr>
                    <w:rFonts w:ascii="Cambria Math" w:hAnsi="Cambria Math"/>
                    <w:lang w:val="en-US"/>
                  </w:rPr>
                  <m:t xml:space="preserve">= </m:t>
                </m:r>
                <m:f>
                  <m:fPr>
                    <m:ctrlPr>
                      <w:rPr>
                        <w:rFonts w:ascii="Cambria Math" w:hAnsi="Cambria Math"/>
                        <w:sz w:val="22"/>
                        <w:szCs w:val="22"/>
                        <w:lang w:val="en-US"/>
                      </w:rPr>
                    </m:ctrlPr>
                  </m:fPr>
                  <m:num>
                    <m:r>
                      <m:rPr>
                        <m:sty m:val="p"/>
                      </m:rPr>
                      <w:rPr>
                        <w:rFonts w:ascii="Cambria Math" w:hAnsi="Cambria Math"/>
                        <w:lang w:val="en-US"/>
                      </w:rPr>
                      <m:t xml:space="preserve"> </m:t>
                    </m:r>
                    <m:sSub>
                      <m:sSubPr>
                        <m:ctrlPr>
                          <w:rPr>
                            <w:rFonts w:ascii="Cambria Math" w:hAnsi="Cambria Math"/>
                            <w:sz w:val="22"/>
                            <w:szCs w:val="22"/>
                            <w:lang w:val="en-US"/>
                          </w:rPr>
                        </m:ctrlPr>
                      </m:sSubPr>
                      <m:e>
                        <m:r>
                          <w:rPr>
                            <w:rFonts w:ascii="Cambria Math" w:hAnsi="Cambria Math"/>
                            <w:lang w:val="en-US"/>
                          </w:rPr>
                          <m:t>C</m:t>
                        </m:r>
                      </m:e>
                      <m:sub>
                        <m:r>
                          <m:rPr>
                            <m:sty m:val="p"/>
                          </m:rPr>
                          <w:rPr>
                            <w:rFonts w:ascii="Cambria Math" w:hAnsi="Cambria Math"/>
                            <w:lang w:val="en-US"/>
                          </w:rPr>
                          <m:t>L</m:t>
                        </m:r>
                      </m:sub>
                    </m:sSub>
                  </m:num>
                  <m:den>
                    <m:r>
                      <w:rPr>
                        <w:rFonts w:ascii="Cambria Math" w:hAnsi="Cambria Math"/>
                        <w:lang w:val="en-US"/>
                      </w:rPr>
                      <m:t>t</m:t>
                    </m:r>
                  </m:den>
                </m:f>
              </m:oMath>
            </m:oMathPara>
          </w:p>
        </w:tc>
        <w:tc>
          <w:tcPr>
            <w:tcW w:w="4389" w:type="dxa"/>
            <w:vAlign w:val="center"/>
          </w:tcPr>
          <w:p w14:paraId="12E66D56" w14:textId="77777777" w:rsidR="00B260A4" w:rsidRPr="00B35F21" w:rsidRDefault="00B260A4" w:rsidP="003B1527">
            <w:pPr>
              <w:pStyle w:val="CETBodytext"/>
              <w:jc w:val="right"/>
            </w:pPr>
            <w:r w:rsidRPr="00B35F21">
              <w:t>(6)</w:t>
            </w:r>
          </w:p>
        </w:tc>
      </w:tr>
    </w:tbl>
    <w:p w14:paraId="0841D5D7" w14:textId="77777777" w:rsidR="00B260A4" w:rsidRPr="00B35F21" w:rsidRDefault="0036073C" w:rsidP="0036073C">
      <w:pPr>
        <w:pStyle w:val="CETHeading1"/>
      </w:pPr>
      <w:r w:rsidRPr="00B35F21">
        <w:t>Results a</w:t>
      </w:r>
      <w:r w:rsidR="001E2726" w:rsidRPr="00B35F21">
        <w:t>nd Discussion</w:t>
      </w:r>
    </w:p>
    <w:p w14:paraId="60B53CEB" w14:textId="5FE786F4" w:rsidR="001E2726" w:rsidRPr="00B35F21" w:rsidRDefault="001E2726" w:rsidP="001E2726">
      <w:pPr>
        <w:pStyle w:val="CETheadingx"/>
      </w:pPr>
      <w:r w:rsidRPr="00B35F21">
        <w:t xml:space="preserve">Effect of </w:t>
      </w:r>
      <w:r w:rsidR="003D5B0D" w:rsidRPr="00B35F21">
        <w:t xml:space="preserve">the type of </w:t>
      </w:r>
      <w:r w:rsidRPr="00B35F21">
        <w:t xml:space="preserve">WWW </w:t>
      </w:r>
      <w:r w:rsidR="003D5B0D" w:rsidRPr="00B35F21">
        <w:t>o</w:t>
      </w:r>
      <w:r w:rsidRPr="00B35F21">
        <w:t>n</w:t>
      </w:r>
      <w:r w:rsidR="003D5B0D" w:rsidRPr="00B35F21">
        <w:t xml:space="preserve"> the</w:t>
      </w:r>
      <w:r w:rsidRPr="00B35F21">
        <w:t xml:space="preserve"> co-culture growth</w:t>
      </w:r>
    </w:p>
    <w:p w14:paraId="23EEFCD5" w14:textId="6229A15B" w:rsidR="009A32C4" w:rsidRPr="00B35F21" w:rsidRDefault="001E2726" w:rsidP="001E2726">
      <w:pPr>
        <w:pStyle w:val="CETBodytext"/>
      </w:pPr>
      <w:r w:rsidRPr="00B35F21">
        <w:t>The growth curves</w:t>
      </w:r>
      <w:r w:rsidR="009A32C4" w:rsidRPr="00B35F21">
        <w:t xml:space="preserve"> of co-cultures</w:t>
      </w:r>
      <w:r w:rsidR="005862BA" w:rsidRPr="00B35F21">
        <w:t xml:space="preserve"> </w:t>
      </w:r>
      <w:r w:rsidR="00D9229B" w:rsidRPr="00B35F21">
        <w:t>on</w:t>
      </w:r>
      <w:r w:rsidRPr="00B35F21">
        <w:t xml:space="preserve"> the different WWWs</w:t>
      </w:r>
      <w:r w:rsidR="00D9229B" w:rsidRPr="00B35F21">
        <w:t>,</w:t>
      </w:r>
      <w:r w:rsidRPr="00B35F21">
        <w:t xml:space="preserve"> </w:t>
      </w:r>
      <w:r w:rsidR="00D9229B" w:rsidRPr="00B35F21">
        <w:t xml:space="preserve">determined by dry weight and optical density, </w:t>
      </w:r>
      <w:r w:rsidRPr="00B35F21">
        <w:t>are shown in Figure</w:t>
      </w:r>
      <w:r w:rsidR="003D5B0D" w:rsidRPr="00B35F21">
        <w:t>s</w:t>
      </w:r>
      <w:r w:rsidRPr="00B35F21">
        <w:t xml:space="preserve"> 1</w:t>
      </w:r>
      <w:r w:rsidR="00805C56" w:rsidRPr="00B35F21">
        <w:t>a and 1b, respectively</w:t>
      </w:r>
      <w:r w:rsidRPr="00B35F21">
        <w:t xml:space="preserve">. </w:t>
      </w:r>
      <w:r w:rsidR="00D9229B" w:rsidRPr="00B35F21">
        <w:t>T</w:t>
      </w:r>
      <w:r w:rsidR="009A32C4" w:rsidRPr="00B35F21">
        <w:t xml:space="preserve">he growth curves </w:t>
      </w:r>
      <w:r w:rsidR="00F970DE" w:rsidRPr="00B35F21">
        <w:t xml:space="preserve">obtained with </w:t>
      </w:r>
      <w:r w:rsidR="009A32C4" w:rsidRPr="00B35F21">
        <w:t>both</w:t>
      </w:r>
      <w:r w:rsidR="00805C56" w:rsidRPr="00B35F21">
        <w:t xml:space="preserve"> analytical</w:t>
      </w:r>
      <w:r w:rsidR="009A32C4" w:rsidRPr="00B35F21">
        <w:t xml:space="preserve"> methods</w:t>
      </w:r>
      <w:r w:rsidR="00F970DE" w:rsidRPr="00B35F21">
        <w:t xml:space="preserve"> exhibited almost the same trend</w:t>
      </w:r>
      <w:r w:rsidR="00D9229B" w:rsidRPr="00B35F21">
        <w:t xml:space="preserve"> for WWWs from the first washing tank (1W), the filtration apparatus (3W) and the control (C),</w:t>
      </w:r>
      <w:r w:rsidR="009A32C4" w:rsidRPr="00B35F21">
        <w:t xml:space="preserve"> while for </w:t>
      </w:r>
      <w:r w:rsidR="00F970DE" w:rsidRPr="00B35F21">
        <w:t>that from the second washing tank (</w:t>
      </w:r>
      <w:r w:rsidR="009A32C4" w:rsidRPr="00B35F21">
        <w:t>2W</w:t>
      </w:r>
      <w:r w:rsidR="00F970DE" w:rsidRPr="00B35F21">
        <w:t>)</w:t>
      </w:r>
      <w:r w:rsidR="009A32C4" w:rsidRPr="00B35F21">
        <w:t xml:space="preserve"> the concentration</w:t>
      </w:r>
      <w:r w:rsidR="001B2921" w:rsidRPr="00B35F21">
        <w:t xml:space="preserve"> determined with the former</w:t>
      </w:r>
      <w:r w:rsidR="009A32C4" w:rsidRPr="00B35F21">
        <w:t xml:space="preserve"> </w:t>
      </w:r>
      <w:r w:rsidR="00805C56" w:rsidRPr="00B35F21">
        <w:t>were</w:t>
      </w:r>
      <w:r w:rsidR="001B2921" w:rsidRPr="00B35F21">
        <w:t xml:space="preserve"> always</w:t>
      </w:r>
      <w:r w:rsidR="009A32C4" w:rsidRPr="00B35F21">
        <w:t xml:space="preserve"> higher.</w:t>
      </w:r>
      <w:r w:rsidR="00306626" w:rsidRPr="00B35F21">
        <w:t xml:space="preserve"> </w:t>
      </w:r>
    </w:p>
    <w:p w14:paraId="22663BB7" w14:textId="3DDEFF49" w:rsidR="00306626" w:rsidRPr="00B35F21" w:rsidRDefault="001E2726" w:rsidP="001E2726">
      <w:pPr>
        <w:pStyle w:val="CETBodytext"/>
      </w:pPr>
      <w:r w:rsidRPr="00B35F21">
        <w:t xml:space="preserve">During the </w:t>
      </w:r>
      <w:r w:rsidR="00D9229B" w:rsidRPr="00B35F21">
        <w:t>whole</w:t>
      </w:r>
      <w:r w:rsidRPr="00B35F21">
        <w:t xml:space="preserve"> experiment</w:t>
      </w:r>
      <w:r w:rsidR="00D9229B" w:rsidRPr="00B35F21">
        <w:t>s,</w:t>
      </w:r>
      <w:r w:rsidRPr="00B35F21">
        <w:t xml:space="preserve"> no significant changes </w:t>
      </w:r>
      <w:r w:rsidR="00D9229B" w:rsidRPr="00B35F21">
        <w:t>in both</w:t>
      </w:r>
      <w:r w:rsidRPr="00B35F21">
        <w:t xml:space="preserve"> dry weight and absorbance </w:t>
      </w:r>
      <w:r w:rsidR="00D9229B" w:rsidRPr="00B35F21">
        <w:t>were observed for the three controls</w:t>
      </w:r>
      <w:r w:rsidRPr="00B35F21">
        <w:t xml:space="preserve"> </w:t>
      </w:r>
      <w:r w:rsidR="00D9229B" w:rsidRPr="00B35F21">
        <w:t>(</w:t>
      </w:r>
      <w:r w:rsidRPr="00B35F21">
        <w:t>C1W, C2W and C3W</w:t>
      </w:r>
      <w:r w:rsidR="00D9229B" w:rsidRPr="00B35F21">
        <w:t>),</w:t>
      </w:r>
      <w:r w:rsidRPr="00B35F21">
        <w:t xml:space="preserve"> suggesting no proliferation of autochthonous microorganism</w:t>
      </w:r>
      <w:r w:rsidR="00D9229B" w:rsidRPr="00B35F21">
        <w:t>s</w:t>
      </w:r>
      <w:r w:rsidRPr="00B35F21">
        <w:t xml:space="preserve">. The co-culture </w:t>
      </w:r>
      <w:r w:rsidR="00D9229B" w:rsidRPr="00B35F21">
        <w:t>grown on</w:t>
      </w:r>
      <w:r w:rsidRPr="00B35F21">
        <w:t xml:space="preserve"> 1W and 2W quickly </w:t>
      </w:r>
      <w:r w:rsidR="00DD27CB" w:rsidRPr="00B35F21">
        <w:t>enter</w:t>
      </w:r>
      <w:r w:rsidR="00805C56" w:rsidRPr="00B35F21">
        <w:t>ed</w:t>
      </w:r>
      <w:r w:rsidRPr="00B35F21">
        <w:t xml:space="preserve"> the </w:t>
      </w:r>
      <w:r w:rsidR="00DD27CB" w:rsidRPr="00B35F21">
        <w:t>exponential</w:t>
      </w:r>
      <w:r w:rsidRPr="00B35F21">
        <w:t xml:space="preserve"> phase</w:t>
      </w:r>
      <w:r w:rsidR="00DD27CB" w:rsidRPr="00B35F21">
        <w:t xml:space="preserve"> of growth</w:t>
      </w:r>
      <w:r w:rsidRPr="00B35F21">
        <w:t xml:space="preserve"> </w:t>
      </w:r>
      <w:r w:rsidR="00DD27CB" w:rsidRPr="00B35F21">
        <w:t>(with</w:t>
      </w:r>
      <w:r w:rsidRPr="00B35F21">
        <w:t xml:space="preserve">in </w:t>
      </w:r>
      <w:r w:rsidR="00DD27CB" w:rsidRPr="00B35F21">
        <w:t>only</w:t>
      </w:r>
      <w:r w:rsidRPr="00B35F21">
        <w:t xml:space="preserve"> 2 days</w:t>
      </w:r>
      <w:r w:rsidR="00DD27CB" w:rsidRPr="00B35F21">
        <w:t>)</w:t>
      </w:r>
      <w:r w:rsidRPr="00B35F21">
        <w:t xml:space="preserve"> and reach</w:t>
      </w:r>
      <w:r w:rsidR="00DD27CB" w:rsidRPr="00B35F21">
        <w:t>ed,</w:t>
      </w:r>
      <w:r w:rsidRPr="00B35F21">
        <w:t xml:space="preserve"> at the end of the </w:t>
      </w:r>
      <w:r w:rsidR="00DD27CB" w:rsidRPr="00B35F21">
        <w:t xml:space="preserve">runs, biomass </w:t>
      </w:r>
      <w:r w:rsidRPr="00B35F21">
        <w:t>concentration</w:t>
      </w:r>
      <w:r w:rsidR="00DD27CB" w:rsidRPr="00B35F21">
        <w:t>s</w:t>
      </w:r>
      <w:r w:rsidRPr="00B35F21">
        <w:t xml:space="preserve"> </w:t>
      </w:r>
      <w:r w:rsidR="00DD27CB" w:rsidRPr="00B35F21">
        <w:t xml:space="preserve">about </w:t>
      </w:r>
      <w:r w:rsidRPr="00B35F21">
        <w:t>2 time</w:t>
      </w:r>
      <w:r w:rsidR="00DD27CB" w:rsidRPr="00B35F21">
        <w:t>s</w:t>
      </w:r>
      <w:r w:rsidRPr="00B35F21">
        <w:t xml:space="preserve"> higher </w:t>
      </w:r>
      <w:r w:rsidR="00805C56" w:rsidRPr="00B35F21">
        <w:t>than</w:t>
      </w:r>
      <w:r w:rsidRPr="00B35F21">
        <w:t xml:space="preserve"> </w:t>
      </w:r>
      <w:r w:rsidR="00805C56" w:rsidRPr="00B35F21">
        <w:t xml:space="preserve">the </w:t>
      </w:r>
      <w:r w:rsidRPr="00B35F21">
        <w:t>control. Instead, 3W present</w:t>
      </w:r>
      <w:r w:rsidR="00805C56" w:rsidRPr="00B35F21">
        <w:t>ed</w:t>
      </w:r>
      <w:r w:rsidRPr="00B35F21">
        <w:t xml:space="preserve"> the same trend </w:t>
      </w:r>
      <w:r w:rsidR="00DD27CB" w:rsidRPr="00B35F21">
        <w:t>as the</w:t>
      </w:r>
      <w:r w:rsidRPr="00B35F21">
        <w:t xml:space="preserve"> control, probably because of the low content of organic carbon source. </w:t>
      </w:r>
    </w:p>
    <w:p w14:paraId="470DA822" w14:textId="77777777" w:rsidR="0072040E" w:rsidRPr="00B35F21" w:rsidRDefault="00805C56" w:rsidP="001E2726">
      <w:pPr>
        <w:pStyle w:val="CETBodytext"/>
      </w:pPr>
      <w:r w:rsidRPr="00B35F21">
        <w:rPr>
          <w:noProof/>
        </w:rPr>
        <mc:AlternateContent>
          <mc:Choice Requires="wps">
            <w:drawing>
              <wp:anchor distT="0" distB="0" distL="114300" distR="114300" simplePos="0" relativeHeight="251661312" behindDoc="0" locked="0" layoutInCell="1" allowOverlap="1" wp14:anchorId="4D95AAB6" wp14:editId="01C2F24B">
                <wp:simplePos x="0" y="0"/>
                <wp:positionH relativeFrom="margin">
                  <wp:align>left</wp:align>
                </wp:positionH>
                <wp:positionV relativeFrom="paragraph">
                  <wp:posOffset>191145</wp:posOffset>
                </wp:positionV>
                <wp:extent cx="354842" cy="361666"/>
                <wp:effectExtent l="0" t="0" r="0" b="635"/>
                <wp:wrapNone/>
                <wp:docPr id="2" name="Casella di testo 2"/>
                <wp:cNvGraphicFramePr/>
                <a:graphic xmlns:a="http://schemas.openxmlformats.org/drawingml/2006/main">
                  <a:graphicData uri="http://schemas.microsoft.com/office/word/2010/wordprocessingShape">
                    <wps:wsp>
                      <wps:cNvSpPr txBox="1"/>
                      <wps:spPr>
                        <a:xfrm>
                          <a:off x="0" y="0"/>
                          <a:ext cx="354842" cy="361666"/>
                        </a:xfrm>
                        <a:prstGeom prst="rect">
                          <a:avLst/>
                        </a:prstGeom>
                        <a:noFill/>
                        <a:ln w="6350">
                          <a:noFill/>
                        </a:ln>
                      </wps:spPr>
                      <wps:txbx>
                        <w:txbxContent>
                          <w:p w14:paraId="213570D6" w14:textId="77777777" w:rsidR="00A80E78" w:rsidRPr="00805C56" w:rsidRDefault="00A80E78">
                            <w:pPr>
                              <w:rPr>
                                <w:b/>
                                <w:lang w:val="it-IT"/>
                              </w:rPr>
                            </w:pPr>
                            <w:r w:rsidRPr="00805C56">
                              <w:rPr>
                                <w:b/>
                                <w:lang w:val="it-I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5AAB6" id="_x0000_t202" coordsize="21600,21600" o:spt="202" path="m,l,21600r21600,l21600,xe">
                <v:stroke joinstyle="miter"/>
                <v:path gradientshapeok="t" o:connecttype="rect"/>
              </v:shapetype>
              <v:shape id="Casella di testo 2" o:spid="_x0000_s1026" type="#_x0000_t202" style="position:absolute;left:0;text-align:left;margin-left:0;margin-top:15.05pt;width:27.95pt;height:2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" filled="f" stroked="f" strokeweight=".5pt">
                <v:textbox>
                  <w:txbxContent>
                    <w:p w14:paraId="213570D6" w14:textId="77777777" w:rsidR="00A80E78" w:rsidRPr="00805C56" w:rsidRDefault="00A80E78">
                      <w:pPr>
                        <w:rPr>
                          <w:b/>
                          <w:lang w:val="it-IT"/>
                        </w:rPr>
                      </w:pPr>
                      <w:r w:rsidRPr="00805C56">
                        <w:rPr>
                          <w:b/>
                          <w:lang w:val="it-IT"/>
                        </w:rPr>
                        <w:t>a)</w:t>
                      </w:r>
                    </w:p>
                  </w:txbxContent>
                </v:textbox>
                <w10:wrap anchorx="margin"/>
              </v:shape>
            </w:pict>
          </mc:Fallback>
        </mc:AlternateContent>
      </w:r>
      <w:r w:rsidR="007B3CA3" w:rsidRPr="00B35F21">
        <w:rPr>
          <w:noProof/>
        </w:rPr>
        <w:drawing>
          <wp:anchor distT="0" distB="0" distL="114300" distR="114300" simplePos="0" relativeHeight="251660288" behindDoc="0" locked="0" layoutInCell="1" allowOverlap="1" wp14:anchorId="2ED5E97C" wp14:editId="5DB34173">
            <wp:simplePos x="0" y="0"/>
            <wp:positionH relativeFrom="margin">
              <wp:align>left</wp:align>
            </wp:positionH>
            <wp:positionV relativeFrom="paragraph">
              <wp:posOffset>172200</wp:posOffset>
            </wp:positionV>
            <wp:extent cx="2703195" cy="1885950"/>
            <wp:effectExtent l="0" t="0" r="1905" b="0"/>
            <wp:wrapTopAndBottom/>
            <wp:docPr id="1" name="Grafico 1">
              <a:extLst xmlns:a="http://schemas.openxmlformats.org/drawingml/2006/main">
                <a:ext uri="{FF2B5EF4-FFF2-40B4-BE49-F238E27FC236}">
                  <a16:creationId xmlns:a16="http://schemas.microsoft.com/office/drawing/2014/main" id="{A6FC3419-B90E-4D60-822E-4F419FC11C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7B3CA3" w:rsidRPr="00B35F21">
        <w:rPr>
          <w:noProof/>
        </w:rPr>
        <w:t xml:space="preserve"> </w:t>
      </w:r>
      <w:r w:rsidR="00B574BB" w:rsidRPr="00B35F21">
        <w:rPr>
          <w:noProof/>
        </w:rPr>
        <w:drawing>
          <wp:anchor distT="0" distB="0" distL="114300" distR="114300" simplePos="0" relativeHeight="251659264" behindDoc="0" locked="0" layoutInCell="1" allowOverlap="1" wp14:anchorId="276E7098" wp14:editId="40E2B790">
            <wp:simplePos x="0" y="0"/>
            <wp:positionH relativeFrom="margin">
              <wp:align>right</wp:align>
            </wp:positionH>
            <wp:positionV relativeFrom="paragraph">
              <wp:posOffset>174682</wp:posOffset>
            </wp:positionV>
            <wp:extent cx="2705100" cy="1885950"/>
            <wp:effectExtent l="0" t="0" r="0" b="0"/>
            <wp:wrapTopAndBottom/>
            <wp:docPr id="3" name="Grafico 3">
              <a:extLst xmlns:a="http://schemas.openxmlformats.org/drawingml/2006/main">
                <a:ext uri="{FF2B5EF4-FFF2-40B4-BE49-F238E27FC236}">
                  <a16:creationId xmlns:a16="http://schemas.microsoft.com/office/drawing/2014/main" id="{30F4C201-717D-4A0D-BD94-A96FC204D9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5B88A0A2" w14:textId="77777777" w:rsidR="0032696F" w:rsidRDefault="001E2726" w:rsidP="0032696F">
      <w:pPr>
        <w:pStyle w:val="CETBodytext"/>
      </w:pPr>
      <w:r w:rsidRPr="00B35F21">
        <w:t xml:space="preserve">        </w:t>
      </w:r>
      <w:r w:rsidR="0072040E" w:rsidRPr="00B35F21">
        <w:t xml:space="preserve">  </w:t>
      </w:r>
    </w:p>
    <w:p w14:paraId="1B47643F" w14:textId="25B3C625" w:rsidR="0032696F" w:rsidRPr="002667E2" w:rsidRDefault="0072040E" w:rsidP="0032696F">
      <w:pPr>
        <w:pStyle w:val="CETCaption"/>
        <w:rPr>
          <w:rFonts w:cs="Arial"/>
        </w:rPr>
      </w:pPr>
      <w:r w:rsidRPr="002667E2">
        <w:rPr>
          <w:rFonts w:cs="Arial"/>
        </w:rPr>
        <w:t>Figure 1: Microalgae growth curves</w:t>
      </w:r>
      <w:r w:rsidR="001B2921" w:rsidRPr="002667E2">
        <w:rPr>
          <w:rFonts w:cs="Arial"/>
        </w:rPr>
        <w:t xml:space="preserve"> </w:t>
      </w:r>
      <w:r w:rsidRPr="002667E2">
        <w:rPr>
          <w:rFonts w:cs="Arial"/>
        </w:rPr>
        <w:t>obtained</w:t>
      </w:r>
      <w:r w:rsidR="001B2921" w:rsidRPr="002667E2">
        <w:rPr>
          <w:rFonts w:cs="Arial"/>
        </w:rPr>
        <w:t xml:space="preserve"> </w:t>
      </w:r>
      <w:r w:rsidRPr="002667E2">
        <w:rPr>
          <w:rFonts w:cs="Arial"/>
        </w:rPr>
        <w:t xml:space="preserve">by </w:t>
      </w:r>
      <w:r w:rsidR="001B2921" w:rsidRPr="002667E2">
        <w:rPr>
          <w:rFonts w:cs="Arial"/>
        </w:rPr>
        <w:t xml:space="preserve">a) </w:t>
      </w:r>
      <w:r w:rsidRPr="002667E2">
        <w:rPr>
          <w:rFonts w:cs="Arial"/>
        </w:rPr>
        <w:t>dry weight, b) optical density</w:t>
      </w:r>
      <w:r w:rsidR="00B22F20" w:rsidRPr="002667E2">
        <w:rPr>
          <w:rFonts w:cs="Arial"/>
        </w:rPr>
        <w:t>.</w:t>
      </w:r>
    </w:p>
    <w:p w14:paraId="1B282393" w14:textId="0F9FA36D" w:rsidR="005F522D" w:rsidRPr="00B35F21" w:rsidRDefault="0072040E" w:rsidP="0072040E">
      <w:pPr>
        <w:pStyle w:val="CETBodytext"/>
      </w:pPr>
      <w:r w:rsidRPr="00B35F21">
        <w:lastRenderedPageBreak/>
        <w:t xml:space="preserve">Because of the lower standard deviation values shown in </w:t>
      </w:r>
      <w:r w:rsidR="00DD27CB" w:rsidRPr="00B35F21">
        <w:t>T</w:t>
      </w:r>
      <w:r w:rsidRPr="00B35F21">
        <w:t xml:space="preserve">able 1, </w:t>
      </w:r>
      <w:r w:rsidR="00DC39A0" w:rsidRPr="00B35F21">
        <w:t xml:space="preserve">only </w:t>
      </w:r>
      <w:r w:rsidRPr="00B35F21">
        <w:t>the main parameters of microalgae growth obtained by dry weight</w:t>
      </w:r>
      <w:r w:rsidR="00DC39A0" w:rsidRPr="00B35F21">
        <w:t xml:space="preserve"> will discussed herein</w:t>
      </w:r>
      <w:r w:rsidRPr="00B35F21">
        <w:t xml:space="preserve">. </w:t>
      </w:r>
      <w:r w:rsidR="00DC39A0" w:rsidRPr="00B35F21">
        <w:t>A m</w:t>
      </w:r>
      <w:r w:rsidRPr="00B35F21">
        <w:t xml:space="preserve">aximum </w:t>
      </w:r>
      <w:r w:rsidR="00805C56" w:rsidRPr="00B35F21">
        <w:t xml:space="preserve">biomass </w:t>
      </w:r>
      <w:r w:rsidRPr="00B35F21">
        <w:t xml:space="preserve">concentration </w:t>
      </w:r>
      <w:r w:rsidR="00DC39A0" w:rsidRPr="00B35F21">
        <w:t xml:space="preserve">of </w:t>
      </w:r>
      <w:r w:rsidRPr="00B35F21">
        <w:rPr>
          <w:rFonts w:cs="Arial"/>
          <w:szCs w:val="18"/>
          <w:lang w:eastAsia="it-IT"/>
        </w:rPr>
        <w:t>2.22±0.0</w:t>
      </w:r>
      <w:r w:rsidR="00805C56" w:rsidRPr="00B35F21">
        <w:rPr>
          <w:rFonts w:cs="Arial"/>
          <w:szCs w:val="18"/>
          <w:lang w:eastAsia="it-IT"/>
        </w:rPr>
        <w:t>1</w:t>
      </w:r>
      <w:r w:rsidRPr="00B35F21">
        <w:rPr>
          <w:rFonts w:cs="Arial"/>
          <w:szCs w:val="18"/>
          <w:lang w:eastAsia="it-IT"/>
        </w:rPr>
        <w:t xml:space="preserve"> </w:t>
      </w:r>
      <w:proofErr w:type="spellStart"/>
      <w:r w:rsidRPr="00B35F21">
        <w:rPr>
          <w:rFonts w:cs="Arial"/>
          <w:szCs w:val="18"/>
          <w:lang w:eastAsia="it-IT"/>
        </w:rPr>
        <w:t>g</w:t>
      </w:r>
      <w:r w:rsidR="00DC39A0" w:rsidRPr="00B35F21">
        <w:rPr>
          <w:rFonts w:cs="Arial"/>
          <w:szCs w:val="18"/>
          <w:vertAlign w:val="subscript"/>
          <w:lang w:eastAsia="it-IT"/>
        </w:rPr>
        <w:t>DW</w:t>
      </w:r>
      <w:proofErr w:type="spellEnd"/>
      <w:r w:rsidRPr="00B35F21">
        <w:rPr>
          <w:rFonts w:cs="Arial"/>
          <w:szCs w:val="18"/>
          <w:lang w:eastAsia="it-IT"/>
        </w:rPr>
        <w:t>/L</w:t>
      </w:r>
      <w:r w:rsidRPr="00B35F21">
        <w:t xml:space="preserve"> </w:t>
      </w:r>
      <w:r w:rsidR="0077637B" w:rsidRPr="00B35F21">
        <w:t>was reached</w:t>
      </w:r>
      <w:r w:rsidRPr="00B35F21">
        <w:t xml:space="preserve"> after 5 days </w:t>
      </w:r>
      <w:r w:rsidR="00DC39A0" w:rsidRPr="00B35F21">
        <w:t>o</w:t>
      </w:r>
      <w:r w:rsidRPr="00B35F21">
        <w:t xml:space="preserve">n 1W, </w:t>
      </w:r>
      <w:r w:rsidR="00DC39A0" w:rsidRPr="00B35F21">
        <w:t>while</w:t>
      </w:r>
      <w:r w:rsidRPr="00B35F21">
        <w:t xml:space="preserve"> </w:t>
      </w:r>
      <w:r w:rsidR="00DC39A0" w:rsidRPr="00B35F21">
        <w:t xml:space="preserve">a </w:t>
      </w:r>
      <w:r w:rsidRPr="00B35F21">
        <w:t>comparable value (</w:t>
      </w:r>
      <w:proofErr w:type="spellStart"/>
      <w:r w:rsidR="00DC39A0" w:rsidRPr="00B35F21">
        <w:rPr>
          <w:i/>
        </w:rPr>
        <w:t>X</w:t>
      </w:r>
      <w:r w:rsidR="00DC39A0" w:rsidRPr="00B35F21">
        <w:rPr>
          <w:vertAlign w:val="subscript"/>
        </w:rPr>
        <w:t>max</w:t>
      </w:r>
      <w:proofErr w:type="spellEnd"/>
      <w:r w:rsidR="00DC39A0" w:rsidRPr="00B35F21">
        <w:t xml:space="preserve"> = </w:t>
      </w:r>
      <w:r w:rsidRPr="00B35F21">
        <w:rPr>
          <w:rFonts w:cs="Arial"/>
          <w:szCs w:val="18"/>
          <w:lang w:eastAsia="it-IT"/>
        </w:rPr>
        <w:t xml:space="preserve">2.01±0.12 </w:t>
      </w:r>
      <w:proofErr w:type="spellStart"/>
      <w:r w:rsidRPr="00B35F21">
        <w:rPr>
          <w:rFonts w:cs="Arial"/>
          <w:szCs w:val="18"/>
          <w:lang w:eastAsia="it-IT"/>
        </w:rPr>
        <w:t>g</w:t>
      </w:r>
      <w:r w:rsidR="00DC39A0" w:rsidRPr="00B35F21">
        <w:rPr>
          <w:rFonts w:cs="Arial"/>
          <w:szCs w:val="18"/>
          <w:vertAlign w:val="subscript"/>
          <w:lang w:eastAsia="it-IT"/>
        </w:rPr>
        <w:t>DW</w:t>
      </w:r>
      <w:proofErr w:type="spellEnd"/>
      <w:r w:rsidRPr="00B35F21">
        <w:rPr>
          <w:rFonts w:cs="Arial"/>
          <w:szCs w:val="18"/>
          <w:lang w:eastAsia="it-IT"/>
        </w:rPr>
        <w:t>/L)</w:t>
      </w:r>
      <w:r w:rsidR="00DC39A0" w:rsidRPr="00B35F21">
        <w:rPr>
          <w:rFonts w:cs="Arial"/>
          <w:szCs w:val="18"/>
          <w:lang w:eastAsia="it-IT"/>
        </w:rPr>
        <w:t xml:space="preserve"> required no less than 9 days on </w:t>
      </w:r>
      <w:r w:rsidR="00DC39A0" w:rsidRPr="00B35F21">
        <w:t>2W</w:t>
      </w:r>
      <w:r w:rsidR="00DC39A0" w:rsidRPr="00B35F21">
        <w:rPr>
          <w:rFonts w:cs="Arial"/>
          <w:szCs w:val="18"/>
          <w:lang w:eastAsia="it-IT"/>
        </w:rPr>
        <w:t>. On the other hand,</w:t>
      </w:r>
      <w:r w:rsidRPr="00B35F21">
        <w:rPr>
          <w:rFonts w:cs="Arial"/>
          <w:szCs w:val="18"/>
          <w:lang w:eastAsia="it-IT"/>
        </w:rPr>
        <w:t xml:space="preserve"> </w:t>
      </w:r>
      <w:r w:rsidR="00DC39A0" w:rsidRPr="00B35F21">
        <w:rPr>
          <w:rFonts w:cs="Arial"/>
          <w:szCs w:val="18"/>
          <w:lang w:eastAsia="it-IT"/>
        </w:rPr>
        <w:t>it</w:t>
      </w:r>
      <w:r w:rsidRPr="00B35F21">
        <w:rPr>
          <w:rFonts w:cs="Arial"/>
          <w:szCs w:val="18"/>
          <w:lang w:eastAsia="it-IT"/>
        </w:rPr>
        <w:t xml:space="preserve"> </w:t>
      </w:r>
      <w:r w:rsidR="00DC39A0" w:rsidRPr="00B35F21">
        <w:rPr>
          <w:rFonts w:cs="Arial"/>
          <w:szCs w:val="18"/>
          <w:lang w:eastAsia="it-IT"/>
        </w:rPr>
        <w:t>achiev</w:t>
      </w:r>
      <w:r w:rsidRPr="00B35F21">
        <w:rPr>
          <w:rFonts w:cs="Arial"/>
          <w:szCs w:val="18"/>
          <w:lang w:eastAsia="it-IT"/>
        </w:rPr>
        <w:t xml:space="preserve">ed </w:t>
      </w:r>
      <w:r w:rsidR="00DC39A0" w:rsidRPr="00B35F21">
        <w:rPr>
          <w:rFonts w:cs="Arial"/>
          <w:szCs w:val="18"/>
          <w:lang w:eastAsia="it-IT"/>
        </w:rPr>
        <w:t xml:space="preserve">only </w:t>
      </w:r>
      <w:r w:rsidRPr="00B35F21">
        <w:rPr>
          <w:rFonts w:cs="Arial"/>
          <w:szCs w:val="18"/>
          <w:lang w:eastAsia="it-IT"/>
        </w:rPr>
        <w:t xml:space="preserve">twice </w:t>
      </w:r>
      <w:r w:rsidR="00805C56" w:rsidRPr="00B35F21">
        <w:rPr>
          <w:rFonts w:cs="Arial"/>
          <w:szCs w:val="18"/>
          <w:lang w:eastAsia="it-IT"/>
        </w:rPr>
        <w:t xml:space="preserve">the </w:t>
      </w:r>
      <w:r w:rsidR="00DC39A0" w:rsidRPr="00B35F21">
        <w:rPr>
          <w:rFonts w:cs="Arial"/>
          <w:szCs w:val="18"/>
          <w:lang w:eastAsia="it-IT"/>
        </w:rPr>
        <w:t>starting</w:t>
      </w:r>
      <w:r w:rsidRPr="00B35F21">
        <w:rPr>
          <w:rFonts w:cs="Arial"/>
          <w:szCs w:val="18"/>
          <w:lang w:eastAsia="it-IT"/>
        </w:rPr>
        <w:t xml:space="preserve"> </w:t>
      </w:r>
      <w:r w:rsidR="00DC39A0" w:rsidRPr="00B35F21">
        <w:rPr>
          <w:rFonts w:cs="Arial"/>
          <w:szCs w:val="18"/>
          <w:lang w:eastAsia="it-IT"/>
        </w:rPr>
        <w:t xml:space="preserve">biomass </w:t>
      </w:r>
      <w:r w:rsidRPr="00B35F21">
        <w:rPr>
          <w:rFonts w:cs="Arial"/>
          <w:szCs w:val="18"/>
          <w:lang w:eastAsia="it-IT"/>
        </w:rPr>
        <w:t>concentration</w:t>
      </w:r>
      <w:r w:rsidR="00DC39A0" w:rsidRPr="00B35F21">
        <w:rPr>
          <w:rFonts w:cs="Arial"/>
          <w:szCs w:val="18"/>
          <w:lang w:eastAsia="it-IT"/>
        </w:rPr>
        <w:t xml:space="preserve"> either on 3W or C</w:t>
      </w:r>
      <w:r w:rsidRPr="00B35F21">
        <w:rPr>
          <w:rFonts w:cs="Arial"/>
          <w:szCs w:val="18"/>
          <w:lang w:eastAsia="it-IT"/>
        </w:rPr>
        <w:t xml:space="preserve">. </w:t>
      </w:r>
      <w:r w:rsidR="00310148" w:rsidRPr="00B35F21">
        <w:rPr>
          <w:rFonts w:cs="Arial"/>
          <w:szCs w:val="18"/>
          <w:lang w:eastAsia="it-IT"/>
        </w:rPr>
        <w:t>Since t</w:t>
      </w:r>
      <w:r w:rsidRPr="00B35F21">
        <w:rPr>
          <w:rFonts w:cs="Arial"/>
          <w:szCs w:val="18"/>
          <w:lang w:eastAsia="it-IT"/>
        </w:rPr>
        <w:t>he specific grow rate at the end of culture</w:t>
      </w:r>
      <w:r w:rsidR="00805C56" w:rsidRPr="00B35F21">
        <w:rPr>
          <w:rFonts w:cs="Arial"/>
          <w:szCs w:val="18"/>
          <w:lang w:eastAsia="it-IT"/>
        </w:rPr>
        <w:t>s</w:t>
      </w:r>
      <w:r w:rsidR="00310148" w:rsidRPr="00B35F21">
        <w:rPr>
          <w:rFonts w:cs="Arial"/>
          <w:szCs w:val="18"/>
          <w:lang w:eastAsia="it-IT"/>
        </w:rPr>
        <w:t xml:space="preserve"> </w:t>
      </w:r>
      <w:r w:rsidR="00310148" w:rsidRPr="00B35F21">
        <w:rPr>
          <w:rFonts w:cs="Arial"/>
          <w:i/>
          <w:szCs w:val="18"/>
          <w:lang w:eastAsia="it-IT"/>
        </w:rPr>
        <w:t>(µ)</w:t>
      </w:r>
      <w:r w:rsidRPr="00B35F21">
        <w:rPr>
          <w:rFonts w:cs="Arial"/>
          <w:szCs w:val="18"/>
          <w:lang w:eastAsia="it-IT"/>
        </w:rPr>
        <w:t xml:space="preserve"> </w:t>
      </w:r>
      <w:r w:rsidR="00805C56" w:rsidRPr="00B35F21">
        <w:rPr>
          <w:rFonts w:cs="Arial"/>
          <w:szCs w:val="18"/>
          <w:lang w:eastAsia="it-IT"/>
        </w:rPr>
        <w:t>w</w:t>
      </w:r>
      <w:r w:rsidR="00310148" w:rsidRPr="00B35F21">
        <w:rPr>
          <w:rFonts w:cs="Arial"/>
          <w:szCs w:val="18"/>
          <w:lang w:eastAsia="it-IT"/>
        </w:rPr>
        <w:t>as</w:t>
      </w:r>
      <w:r w:rsidRPr="00B35F21">
        <w:rPr>
          <w:rFonts w:cs="Arial"/>
          <w:szCs w:val="18"/>
          <w:lang w:eastAsia="it-IT"/>
        </w:rPr>
        <w:t xml:space="preserve"> </w:t>
      </w:r>
      <w:r w:rsidR="00310148" w:rsidRPr="00B35F21">
        <w:rPr>
          <w:rFonts w:cs="Arial"/>
          <w:szCs w:val="18"/>
          <w:lang w:eastAsia="it-IT"/>
        </w:rPr>
        <w:t>quite low on all WWWs (0.24±0.10 and 0.22±0.03 d</w:t>
      </w:r>
      <w:r w:rsidR="00310148" w:rsidRPr="00B35F21">
        <w:rPr>
          <w:rFonts w:cs="Arial"/>
          <w:szCs w:val="18"/>
          <w:vertAlign w:val="superscript"/>
          <w:lang w:eastAsia="it-IT"/>
        </w:rPr>
        <w:t>-1</w:t>
      </w:r>
      <w:r w:rsidR="00310148" w:rsidRPr="00B35F21">
        <w:t xml:space="preserve"> on 1W and 2W, respectively) </w:t>
      </w:r>
      <w:r w:rsidRPr="00B35F21">
        <w:rPr>
          <w:rFonts w:cs="Arial"/>
          <w:szCs w:val="18"/>
          <w:lang w:eastAsia="it-IT"/>
        </w:rPr>
        <w:t>because of the decreas</w:t>
      </w:r>
      <w:r w:rsidR="00310148" w:rsidRPr="00B35F21">
        <w:rPr>
          <w:rFonts w:cs="Arial"/>
          <w:szCs w:val="18"/>
          <w:lang w:eastAsia="it-IT"/>
        </w:rPr>
        <w:t>e</w:t>
      </w:r>
      <w:r w:rsidRPr="00B35F21">
        <w:rPr>
          <w:rFonts w:cs="Arial"/>
          <w:szCs w:val="18"/>
          <w:lang w:eastAsia="it-IT"/>
        </w:rPr>
        <w:t xml:space="preserve"> </w:t>
      </w:r>
      <w:r w:rsidR="00310148" w:rsidRPr="00B35F21">
        <w:rPr>
          <w:rFonts w:cs="Arial"/>
          <w:szCs w:val="18"/>
          <w:lang w:eastAsia="it-IT"/>
        </w:rPr>
        <w:t>in</w:t>
      </w:r>
      <w:r w:rsidRPr="00B35F21">
        <w:rPr>
          <w:rFonts w:cs="Arial"/>
          <w:szCs w:val="18"/>
          <w:lang w:eastAsia="it-IT"/>
        </w:rPr>
        <w:t xml:space="preserve"> concentration </w:t>
      </w:r>
      <w:r w:rsidR="00310148" w:rsidRPr="00B35F21">
        <w:rPr>
          <w:rFonts w:cs="Arial"/>
          <w:szCs w:val="18"/>
          <w:lang w:eastAsia="it-IT"/>
        </w:rPr>
        <w:t xml:space="preserve">occurred </w:t>
      </w:r>
      <w:r w:rsidRPr="00B35F21">
        <w:rPr>
          <w:rFonts w:cs="Arial"/>
          <w:szCs w:val="18"/>
          <w:lang w:eastAsia="it-IT"/>
        </w:rPr>
        <w:t xml:space="preserve">after the stationary phase, </w:t>
      </w:r>
      <w:r w:rsidR="0077637B" w:rsidRPr="00B35F21">
        <w:rPr>
          <w:rFonts w:cs="Arial"/>
          <w:i/>
          <w:szCs w:val="18"/>
          <w:lang w:eastAsia="it-IT"/>
        </w:rPr>
        <w:t>µ</w:t>
      </w:r>
      <w:r w:rsidR="0077637B" w:rsidRPr="00B35F21">
        <w:rPr>
          <w:rFonts w:cs="Arial"/>
          <w:szCs w:val="18"/>
          <w:vertAlign w:val="subscript"/>
          <w:lang w:eastAsia="it-IT"/>
        </w:rPr>
        <w:t xml:space="preserve">max </w:t>
      </w:r>
      <w:r w:rsidR="0077637B" w:rsidRPr="00B35F21">
        <w:rPr>
          <w:rFonts w:cs="Arial"/>
          <w:szCs w:val="18"/>
          <w:lang w:eastAsia="it-IT"/>
        </w:rPr>
        <w:t>values were</w:t>
      </w:r>
      <w:r w:rsidRPr="00B35F21">
        <w:rPr>
          <w:rFonts w:cs="Arial"/>
          <w:szCs w:val="18"/>
          <w:lang w:eastAsia="it-IT"/>
        </w:rPr>
        <w:t xml:space="preserve"> more than twice</w:t>
      </w:r>
      <w:r w:rsidR="00310148" w:rsidRPr="00B35F21">
        <w:rPr>
          <w:rFonts w:cs="Arial"/>
          <w:szCs w:val="18"/>
          <w:lang w:eastAsia="it-IT"/>
        </w:rPr>
        <w:t xml:space="preserve"> those</w:t>
      </w:r>
      <w:r w:rsidR="0077637B" w:rsidRPr="00B35F21">
        <w:rPr>
          <w:rFonts w:cs="Arial"/>
          <w:szCs w:val="18"/>
          <w:lang w:eastAsia="it-IT"/>
        </w:rPr>
        <w:t xml:space="preserve"> </w:t>
      </w:r>
      <w:r w:rsidR="00310148" w:rsidRPr="00B35F21">
        <w:rPr>
          <w:rFonts w:cs="Arial"/>
          <w:szCs w:val="18"/>
          <w:lang w:eastAsia="it-IT"/>
        </w:rPr>
        <w:t>of</w:t>
      </w:r>
      <w:r w:rsidR="0077637B" w:rsidRPr="00B35F21">
        <w:rPr>
          <w:rFonts w:cs="Arial"/>
          <w:szCs w:val="18"/>
          <w:lang w:eastAsia="it-IT"/>
        </w:rPr>
        <w:t xml:space="preserve"> </w:t>
      </w:r>
      <w:r w:rsidR="0077637B" w:rsidRPr="00B35F21">
        <w:rPr>
          <w:rFonts w:cs="Arial"/>
          <w:i/>
          <w:szCs w:val="18"/>
          <w:lang w:eastAsia="it-IT"/>
        </w:rPr>
        <w:t>µ</w:t>
      </w:r>
      <w:r w:rsidRPr="00B35F21">
        <w:rPr>
          <w:rFonts w:cs="Arial"/>
          <w:szCs w:val="18"/>
          <w:lang w:eastAsia="it-IT"/>
        </w:rPr>
        <w:t xml:space="preserve">. </w:t>
      </w:r>
      <w:r w:rsidR="00310148" w:rsidRPr="00B35F21">
        <w:t xml:space="preserve">A </w:t>
      </w:r>
      <w:r w:rsidR="004310FB" w:rsidRPr="00B35F21">
        <w:t>different</w:t>
      </w:r>
      <w:r w:rsidRPr="00B35F21">
        <w:t xml:space="preserve"> trend could be observed for </w:t>
      </w:r>
      <w:r w:rsidR="00310148" w:rsidRPr="00B35F21">
        <w:t>biomass</w:t>
      </w:r>
      <w:r w:rsidRPr="00B35F21">
        <w:t xml:space="preserve"> productivity, in</w:t>
      </w:r>
      <w:r w:rsidR="00310148" w:rsidRPr="00B35F21">
        <w:t xml:space="preserve"> that</w:t>
      </w:r>
      <w:r w:rsidRPr="00B35F21">
        <w:t xml:space="preserve"> </w:t>
      </w:r>
      <w:r w:rsidR="00B862C9" w:rsidRPr="00B35F21">
        <w:t>it was on</w:t>
      </w:r>
      <w:r w:rsidRPr="00B35F21">
        <w:t xml:space="preserve"> 1W</w:t>
      </w:r>
      <w:r w:rsidR="0077637B" w:rsidRPr="00B35F21">
        <w:t xml:space="preserve"> </w:t>
      </w:r>
      <w:r w:rsidR="00B862C9" w:rsidRPr="00B35F21">
        <w:t>(</w:t>
      </w:r>
      <w:r w:rsidRPr="00B35F21">
        <w:rPr>
          <w:rFonts w:cs="Arial"/>
          <w:szCs w:val="18"/>
          <w:lang w:eastAsia="it-IT"/>
        </w:rPr>
        <w:t>0.41±0.05</w:t>
      </w:r>
      <w:r w:rsidR="00B862C9" w:rsidRPr="00B35F21">
        <w:rPr>
          <w:rFonts w:cs="Arial"/>
          <w:szCs w:val="18"/>
          <w:lang w:eastAsia="it-IT"/>
        </w:rPr>
        <w:t xml:space="preserve"> </w:t>
      </w:r>
      <w:proofErr w:type="spellStart"/>
      <w:r w:rsidR="00B862C9" w:rsidRPr="00B35F21">
        <w:rPr>
          <w:rFonts w:cs="Arial"/>
          <w:szCs w:val="18"/>
          <w:lang w:eastAsia="it-IT"/>
        </w:rPr>
        <w:t>g</w:t>
      </w:r>
      <w:r w:rsidR="00B862C9" w:rsidRPr="00B35F21">
        <w:rPr>
          <w:rFonts w:cs="Arial"/>
          <w:szCs w:val="18"/>
          <w:vertAlign w:val="subscript"/>
          <w:lang w:eastAsia="it-IT"/>
        </w:rPr>
        <w:t>DW</w:t>
      </w:r>
      <w:proofErr w:type="spellEnd"/>
      <w:r w:rsidR="00B862C9" w:rsidRPr="00B35F21">
        <w:rPr>
          <w:rFonts w:cs="Arial"/>
          <w:szCs w:val="18"/>
          <w:lang w:eastAsia="it-IT"/>
        </w:rPr>
        <w:t>/</w:t>
      </w:r>
      <w:proofErr w:type="spellStart"/>
      <w:r w:rsidR="00B862C9" w:rsidRPr="00B35F21">
        <w:rPr>
          <w:rFonts w:cs="Arial"/>
          <w:szCs w:val="18"/>
          <w:lang w:eastAsia="it-IT"/>
        </w:rPr>
        <w:t>Ld</w:t>
      </w:r>
      <w:proofErr w:type="spellEnd"/>
      <w:r w:rsidR="00B862C9" w:rsidRPr="00B35F21">
        <w:rPr>
          <w:rFonts w:cs="Arial"/>
          <w:szCs w:val="18"/>
          <w:lang w:eastAsia="it-IT"/>
        </w:rPr>
        <w:t>)</w:t>
      </w:r>
      <w:r w:rsidRPr="00B35F21">
        <w:rPr>
          <w:rFonts w:cs="Arial"/>
          <w:szCs w:val="18"/>
          <w:lang w:eastAsia="it-IT"/>
        </w:rPr>
        <w:t xml:space="preserve"> </w:t>
      </w:r>
      <w:r w:rsidR="00B862C9" w:rsidRPr="00B35F21">
        <w:t>about 41% higher than on 2W, while</w:t>
      </w:r>
      <w:r w:rsidRPr="00B35F21">
        <w:t xml:space="preserve"> </w:t>
      </w:r>
      <w:r w:rsidR="00B862C9" w:rsidRPr="00B35F21">
        <w:t>t</w:t>
      </w:r>
      <w:r w:rsidRPr="00B35F21">
        <w:t xml:space="preserve">he lipid content of </w:t>
      </w:r>
      <w:r w:rsidR="00B862C9" w:rsidRPr="00B35F21">
        <w:t>biomass</w:t>
      </w:r>
      <w:r w:rsidRPr="00B35F21">
        <w:t xml:space="preserve"> increased in presence of WWWs from 7.55±0.00</w:t>
      </w:r>
      <w:r w:rsidRPr="00B35F21">
        <w:rPr>
          <w:rFonts w:cs="Arial"/>
          <w:szCs w:val="18"/>
          <w:lang w:eastAsia="it-IT"/>
        </w:rPr>
        <w:t xml:space="preserve"> to 11.71±0.59, 10.15±0.00 and 15.38±5.89 </w:t>
      </w:r>
      <w:proofErr w:type="spellStart"/>
      <w:r w:rsidRPr="00B35F21">
        <w:rPr>
          <w:rFonts w:cs="Arial"/>
          <w:szCs w:val="18"/>
          <w:lang w:eastAsia="it-IT"/>
        </w:rPr>
        <w:t>g</w:t>
      </w:r>
      <w:r w:rsidRPr="00B35F21">
        <w:rPr>
          <w:rFonts w:cs="Arial"/>
          <w:szCs w:val="18"/>
          <w:vertAlign w:val="subscript"/>
          <w:lang w:eastAsia="it-IT"/>
        </w:rPr>
        <w:t>D</w:t>
      </w:r>
      <w:r w:rsidR="00B862C9" w:rsidRPr="00B35F21">
        <w:rPr>
          <w:rFonts w:cs="Arial"/>
          <w:szCs w:val="18"/>
          <w:vertAlign w:val="subscript"/>
          <w:lang w:eastAsia="it-IT"/>
        </w:rPr>
        <w:t>W</w:t>
      </w:r>
      <w:proofErr w:type="spellEnd"/>
      <w:r w:rsidRPr="00B35F21">
        <w:rPr>
          <w:rFonts w:cs="Arial"/>
          <w:szCs w:val="18"/>
          <w:lang w:eastAsia="it-IT"/>
        </w:rPr>
        <w:t>/100g</w:t>
      </w:r>
      <w:r w:rsidRPr="00B35F21">
        <w:rPr>
          <w:rFonts w:cs="Arial"/>
          <w:szCs w:val="18"/>
          <w:vertAlign w:val="subscript"/>
          <w:lang w:eastAsia="it-IT"/>
        </w:rPr>
        <w:t>DB</w:t>
      </w:r>
      <w:r w:rsidRPr="00B35F21">
        <w:rPr>
          <w:rFonts w:cs="Arial"/>
          <w:szCs w:val="18"/>
          <w:lang w:eastAsia="it-IT"/>
        </w:rPr>
        <w:t xml:space="preserve">d </w:t>
      </w:r>
      <w:r w:rsidR="00B862C9" w:rsidRPr="00B35F21">
        <w:rPr>
          <w:rFonts w:cs="Arial"/>
          <w:szCs w:val="18"/>
          <w:lang w:eastAsia="it-IT"/>
        </w:rPr>
        <w:t>on</w:t>
      </w:r>
      <w:r w:rsidRPr="00B35F21">
        <w:rPr>
          <w:rFonts w:cs="Arial"/>
          <w:szCs w:val="18"/>
          <w:lang w:eastAsia="it-IT"/>
        </w:rPr>
        <w:t xml:space="preserve"> 1W, 2W and 3W, respectively. </w:t>
      </w:r>
    </w:p>
    <w:p w14:paraId="6DE97446" w14:textId="5630111B" w:rsidR="00B260A4" w:rsidRPr="00B35F21" w:rsidRDefault="005F2026" w:rsidP="00A411CD">
      <w:pPr>
        <w:pStyle w:val="CETTabletitle"/>
      </w:pPr>
      <w:r>
        <w:t>T</w:t>
      </w:r>
      <w:r w:rsidR="005F522D" w:rsidRPr="00B35F21">
        <w:t>able 1:</w:t>
      </w:r>
      <w:r w:rsidR="00672E42" w:rsidRPr="00B35F21">
        <w:t xml:space="preserve"> </w:t>
      </w:r>
      <w:r w:rsidR="00FA0867" w:rsidRPr="00B35F21">
        <w:t>G</w:t>
      </w:r>
      <w:r w:rsidR="0077637B" w:rsidRPr="00B35F21">
        <w:t xml:space="preserve">rowth </w:t>
      </w:r>
      <w:r w:rsidR="00672E42" w:rsidRPr="00B35F21">
        <w:t>parameters</w:t>
      </w:r>
      <w:r w:rsidR="00174A85" w:rsidRPr="00B35F21">
        <w:t xml:space="preserve"> and </w:t>
      </w:r>
      <w:r w:rsidR="0077637B" w:rsidRPr="00B35F21">
        <w:t>lipid</w:t>
      </w:r>
      <w:r w:rsidR="00174A85" w:rsidRPr="00B35F21">
        <w:t xml:space="preserve"> and biomass</w:t>
      </w:r>
      <w:r w:rsidR="00672E42" w:rsidRPr="00B35F21">
        <w:t xml:space="preserve"> </w:t>
      </w:r>
      <w:r w:rsidR="0077637B" w:rsidRPr="00B35F21">
        <w:t>productivit</w:t>
      </w:r>
      <w:r w:rsidR="00174A85" w:rsidRPr="00B35F21">
        <w:t>ies</w:t>
      </w:r>
      <w:r w:rsidR="00FA0867" w:rsidRPr="00B35F21">
        <w:t>,</w:t>
      </w:r>
      <w:r w:rsidR="00672E42" w:rsidRPr="00B35F21">
        <w:t xml:space="preserve"> </w:t>
      </w:r>
      <w:r w:rsidR="00FA0867" w:rsidRPr="00B35F21">
        <w:t>determin</w:t>
      </w:r>
      <w:r w:rsidR="00672E42" w:rsidRPr="00B35F21">
        <w:t xml:space="preserve">ed by dry weight </w:t>
      </w:r>
      <w:r w:rsidR="00FA0867" w:rsidRPr="00B35F21">
        <w:t>or</w:t>
      </w:r>
      <w:r w:rsidR="00672E42" w:rsidRPr="00B35F21">
        <w:t xml:space="preserve"> optical density</w:t>
      </w:r>
      <w:r w:rsidR="00FA0867" w:rsidRPr="00B35F21">
        <w:t>,</w:t>
      </w:r>
      <w:r w:rsidR="00672E42" w:rsidRPr="00B35F21">
        <w:t xml:space="preserve"> in </w:t>
      </w:r>
      <w:r w:rsidR="00FA0867" w:rsidRPr="00B35F21">
        <w:t xml:space="preserve">the </w:t>
      </w:r>
      <w:r w:rsidR="00672E42" w:rsidRPr="00B35F21">
        <w:t xml:space="preserve">presence of </w:t>
      </w:r>
      <w:r w:rsidR="00FA0867" w:rsidRPr="00B35F21">
        <w:t>wine</w:t>
      </w:r>
      <w:r w:rsidR="0032696F">
        <w:t>ry</w:t>
      </w:r>
      <w:r w:rsidR="00FA0867" w:rsidRPr="00B35F21">
        <w:t xml:space="preserve"> wastewaters from the first (</w:t>
      </w:r>
      <w:r w:rsidR="00672E42" w:rsidRPr="00B35F21">
        <w:t>1W</w:t>
      </w:r>
      <w:r w:rsidR="00FA0867" w:rsidRPr="00B35F21">
        <w:t>) and second (</w:t>
      </w:r>
      <w:r w:rsidR="00672E42" w:rsidRPr="00B35F21">
        <w:t>2W</w:t>
      </w:r>
      <w:r w:rsidR="00FA0867" w:rsidRPr="00B35F21">
        <w:t>) washing tanks</w:t>
      </w:r>
      <w:r w:rsidR="00672E42" w:rsidRPr="00B35F21">
        <w:t xml:space="preserve"> and </w:t>
      </w:r>
      <w:r w:rsidR="00FA0867" w:rsidRPr="00B35F21">
        <w:t>from the filtration apparatus (</w:t>
      </w:r>
      <w:r w:rsidR="00672E42" w:rsidRPr="00B35F21">
        <w:t>3W</w:t>
      </w:r>
      <w:r w:rsidR="00FA0867" w:rsidRPr="00B35F21">
        <w:t>)</w:t>
      </w:r>
      <w:r w:rsidR="00672E42" w:rsidRPr="00B35F21">
        <w:t>.</w:t>
      </w:r>
    </w:p>
    <w:tbl>
      <w:tblPr>
        <w:tblW w:w="878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709"/>
        <w:gridCol w:w="992"/>
        <w:gridCol w:w="993"/>
        <w:gridCol w:w="992"/>
        <w:gridCol w:w="992"/>
        <w:gridCol w:w="992"/>
        <w:gridCol w:w="993"/>
        <w:gridCol w:w="992"/>
        <w:gridCol w:w="1134"/>
      </w:tblGrid>
      <w:tr w:rsidR="00B35F21" w:rsidRPr="00B35F21" w14:paraId="4EBE7596" w14:textId="77777777" w:rsidTr="00672E42">
        <w:trPr>
          <w:trHeight w:val="263"/>
        </w:trPr>
        <w:tc>
          <w:tcPr>
            <w:tcW w:w="709" w:type="dxa"/>
            <w:tcBorders>
              <w:top w:val="single" w:sz="12" w:space="0" w:color="009A46"/>
              <w:bottom w:val="nil"/>
            </w:tcBorders>
            <w:shd w:val="clear" w:color="auto" w:fill="FFFFFF"/>
          </w:tcPr>
          <w:p w14:paraId="301E9246" w14:textId="77777777" w:rsidR="003B1527" w:rsidRPr="00B35F21" w:rsidRDefault="003B1527" w:rsidP="003B1527">
            <w:pPr>
              <w:pStyle w:val="CETBodytext"/>
              <w:rPr>
                <w:lang w:val="en-GB"/>
              </w:rPr>
            </w:pPr>
          </w:p>
        </w:tc>
        <w:tc>
          <w:tcPr>
            <w:tcW w:w="992" w:type="dxa"/>
            <w:vMerge w:val="restart"/>
            <w:tcBorders>
              <w:top w:val="single" w:sz="12" w:space="0" w:color="009A46"/>
              <w:bottom w:val="nil"/>
            </w:tcBorders>
            <w:shd w:val="clear" w:color="auto" w:fill="FFFFFF"/>
            <w:vAlign w:val="center"/>
          </w:tcPr>
          <w:p w14:paraId="1FDE5030" w14:textId="036197AF" w:rsidR="003B1527" w:rsidRPr="00B35F21" w:rsidRDefault="00A8724C" w:rsidP="00A8724C">
            <w:pPr>
              <w:pStyle w:val="CETBodytext"/>
              <w:jc w:val="center"/>
              <w:rPr>
                <w:rFonts w:cs="Arial"/>
                <w:szCs w:val="18"/>
                <w:vertAlign w:val="subscript"/>
              </w:rPr>
            </w:pPr>
            <w:proofErr w:type="spellStart"/>
            <w:r w:rsidRPr="00B35F21">
              <w:rPr>
                <w:rFonts w:cs="Arial"/>
                <w:i/>
                <w:szCs w:val="18"/>
              </w:rPr>
              <w:t>X</w:t>
            </w:r>
            <w:r w:rsidR="003B1527" w:rsidRPr="00B35F21">
              <w:rPr>
                <w:rFonts w:cs="Arial"/>
                <w:szCs w:val="18"/>
                <w:vertAlign w:val="subscript"/>
              </w:rPr>
              <w:t>f</w:t>
            </w:r>
            <w:r w:rsidR="00B2767A" w:rsidRPr="00B35F21">
              <w:rPr>
                <w:rFonts w:cs="Arial"/>
                <w:szCs w:val="18"/>
                <w:vertAlign w:val="superscript"/>
              </w:rPr>
              <w:t>a</w:t>
            </w:r>
            <w:proofErr w:type="spellEnd"/>
          </w:p>
          <w:p w14:paraId="2EB7033A" w14:textId="2ED1276D" w:rsidR="003B1527" w:rsidRPr="00B35F21" w:rsidRDefault="003B1527" w:rsidP="00A8724C">
            <w:pPr>
              <w:pStyle w:val="CETBodytext"/>
              <w:jc w:val="center"/>
              <w:rPr>
                <w:rFonts w:cs="Arial"/>
                <w:szCs w:val="18"/>
                <w:lang w:val="en-GB"/>
              </w:rPr>
            </w:pPr>
            <w:r w:rsidRPr="00B35F21">
              <w:rPr>
                <w:rFonts w:cs="Arial"/>
                <w:szCs w:val="18"/>
              </w:rPr>
              <w:t>(</w:t>
            </w:r>
            <w:proofErr w:type="spellStart"/>
            <w:r w:rsidRPr="00B35F21">
              <w:rPr>
                <w:rFonts w:cs="Arial"/>
                <w:szCs w:val="18"/>
              </w:rPr>
              <w:t>g</w:t>
            </w:r>
            <w:r w:rsidR="00A8724C" w:rsidRPr="00B35F21">
              <w:rPr>
                <w:rFonts w:cs="Arial"/>
                <w:szCs w:val="18"/>
                <w:vertAlign w:val="subscript"/>
              </w:rPr>
              <w:t>DW</w:t>
            </w:r>
            <w:proofErr w:type="spellEnd"/>
            <w:r w:rsidRPr="00B35F21">
              <w:rPr>
                <w:rFonts w:cs="Arial"/>
                <w:szCs w:val="18"/>
              </w:rPr>
              <w:t>/L)</w:t>
            </w:r>
          </w:p>
        </w:tc>
        <w:tc>
          <w:tcPr>
            <w:tcW w:w="993" w:type="dxa"/>
            <w:vMerge w:val="restart"/>
            <w:tcBorders>
              <w:top w:val="single" w:sz="12" w:space="0" w:color="009A46"/>
              <w:bottom w:val="nil"/>
            </w:tcBorders>
            <w:shd w:val="clear" w:color="auto" w:fill="FFFFFF"/>
            <w:vAlign w:val="center"/>
          </w:tcPr>
          <w:p w14:paraId="3E038DFB" w14:textId="1C9B0AF9" w:rsidR="003B1527" w:rsidRPr="00B35F21" w:rsidRDefault="00A8724C" w:rsidP="00A8724C">
            <w:pPr>
              <w:pStyle w:val="CETBodytext"/>
              <w:jc w:val="center"/>
              <w:rPr>
                <w:rFonts w:cs="Arial"/>
                <w:szCs w:val="18"/>
                <w:vertAlign w:val="subscript"/>
                <w:lang w:eastAsia="it-IT"/>
              </w:rPr>
            </w:pPr>
            <w:proofErr w:type="spellStart"/>
            <w:r w:rsidRPr="00B35F21">
              <w:rPr>
                <w:rFonts w:cs="Arial"/>
                <w:i/>
                <w:szCs w:val="18"/>
                <w:lang w:eastAsia="it-IT"/>
              </w:rPr>
              <w:t>X</w:t>
            </w:r>
            <w:r w:rsidR="003B1527" w:rsidRPr="00B35F21">
              <w:rPr>
                <w:rFonts w:cs="Arial"/>
                <w:szCs w:val="18"/>
                <w:vertAlign w:val="subscript"/>
                <w:lang w:eastAsia="it-IT"/>
              </w:rPr>
              <w:t>max</w:t>
            </w:r>
            <w:proofErr w:type="spellEnd"/>
            <w:r w:rsidR="003B1527" w:rsidRPr="00B35F21">
              <w:rPr>
                <w:rFonts w:cs="Arial"/>
                <w:szCs w:val="18"/>
                <w:vertAlign w:val="subscript"/>
                <w:lang w:eastAsia="it-IT"/>
              </w:rPr>
              <w:t xml:space="preserve"> </w:t>
            </w:r>
            <w:r w:rsidR="00B2767A" w:rsidRPr="00B35F21">
              <w:rPr>
                <w:rFonts w:cs="Arial"/>
                <w:szCs w:val="18"/>
                <w:vertAlign w:val="superscript"/>
                <w:lang w:eastAsia="it-IT"/>
              </w:rPr>
              <w:t>b</w:t>
            </w:r>
          </w:p>
          <w:p w14:paraId="296A9BB8" w14:textId="0BF9CBCA" w:rsidR="003B1527" w:rsidRPr="00B35F21" w:rsidRDefault="003B1527" w:rsidP="00A8724C">
            <w:pPr>
              <w:pStyle w:val="CETBodytext"/>
              <w:jc w:val="center"/>
              <w:rPr>
                <w:rFonts w:cs="Arial"/>
                <w:szCs w:val="18"/>
                <w:lang w:val="en-GB"/>
              </w:rPr>
            </w:pPr>
            <w:r w:rsidRPr="00B35F21">
              <w:rPr>
                <w:rFonts w:cs="Arial"/>
                <w:szCs w:val="18"/>
                <w:lang w:eastAsia="it-IT"/>
              </w:rPr>
              <w:t>(</w:t>
            </w:r>
            <w:proofErr w:type="spellStart"/>
            <w:r w:rsidRPr="00B35F21">
              <w:rPr>
                <w:rFonts w:cs="Arial"/>
                <w:szCs w:val="18"/>
                <w:lang w:eastAsia="it-IT"/>
              </w:rPr>
              <w:t>g</w:t>
            </w:r>
            <w:r w:rsidR="00A8724C" w:rsidRPr="00B35F21">
              <w:rPr>
                <w:rFonts w:cs="Arial"/>
                <w:szCs w:val="18"/>
                <w:vertAlign w:val="subscript"/>
                <w:lang w:eastAsia="it-IT"/>
              </w:rPr>
              <w:t>DW</w:t>
            </w:r>
            <w:proofErr w:type="spellEnd"/>
            <w:r w:rsidRPr="00B35F21">
              <w:rPr>
                <w:rFonts w:cs="Arial"/>
                <w:szCs w:val="18"/>
                <w:lang w:eastAsia="it-IT"/>
              </w:rPr>
              <w:t>/L)</w:t>
            </w:r>
          </w:p>
        </w:tc>
        <w:tc>
          <w:tcPr>
            <w:tcW w:w="992" w:type="dxa"/>
            <w:vMerge w:val="restart"/>
            <w:tcBorders>
              <w:top w:val="single" w:sz="12" w:space="0" w:color="009A46"/>
              <w:bottom w:val="nil"/>
            </w:tcBorders>
            <w:shd w:val="clear" w:color="auto" w:fill="FFFFFF"/>
            <w:vAlign w:val="center"/>
          </w:tcPr>
          <w:p w14:paraId="4ED6C578" w14:textId="77777777" w:rsidR="00A8724C" w:rsidRPr="00B35F21" w:rsidRDefault="003B1527" w:rsidP="00A8724C">
            <w:pPr>
              <w:pStyle w:val="CETBodytext"/>
              <w:ind w:right="-1"/>
              <w:jc w:val="center"/>
              <w:rPr>
                <w:rFonts w:cs="Arial"/>
                <w:szCs w:val="18"/>
                <w:lang w:eastAsia="it-IT"/>
              </w:rPr>
            </w:pPr>
            <w:r w:rsidRPr="00B35F21">
              <w:rPr>
                <w:rFonts w:cs="Arial"/>
                <w:i/>
                <w:szCs w:val="18"/>
                <w:lang w:eastAsia="it-IT"/>
              </w:rPr>
              <w:t>µ</w:t>
            </w:r>
            <w:r w:rsidR="00B2767A" w:rsidRPr="00B35F21">
              <w:rPr>
                <w:rFonts w:cs="Arial"/>
                <w:szCs w:val="18"/>
                <w:vertAlign w:val="superscript"/>
                <w:lang w:eastAsia="it-IT"/>
              </w:rPr>
              <w:t>c</w:t>
            </w:r>
          </w:p>
          <w:p w14:paraId="547D1737" w14:textId="22205E84" w:rsidR="003B1527" w:rsidRPr="00B35F21" w:rsidRDefault="003B1527" w:rsidP="00A8724C">
            <w:pPr>
              <w:pStyle w:val="CETBodytext"/>
              <w:ind w:right="-1"/>
              <w:jc w:val="center"/>
              <w:rPr>
                <w:rFonts w:cs="Arial"/>
                <w:szCs w:val="18"/>
                <w:lang w:eastAsia="it-IT"/>
              </w:rPr>
            </w:pPr>
            <w:r w:rsidRPr="00B35F21">
              <w:rPr>
                <w:rFonts w:cs="Arial"/>
                <w:szCs w:val="18"/>
                <w:lang w:eastAsia="it-IT"/>
              </w:rPr>
              <w:t>(d</w:t>
            </w:r>
            <w:r w:rsidR="00A8724C" w:rsidRPr="00B35F21">
              <w:rPr>
                <w:rFonts w:cs="Arial"/>
                <w:szCs w:val="18"/>
                <w:lang w:eastAsia="it-IT"/>
              </w:rPr>
              <w:t>ay</w:t>
            </w:r>
            <w:r w:rsidRPr="00B35F21">
              <w:rPr>
                <w:rFonts w:cs="Arial"/>
                <w:szCs w:val="18"/>
                <w:vertAlign w:val="superscript"/>
                <w:lang w:eastAsia="it-IT"/>
              </w:rPr>
              <w:t>-1</w:t>
            </w:r>
            <w:r w:rsidRPr="00B35F21">
              <w:rPr>
                <w:rFonts w:cs="Arial"/>
                <w:szCs w:val="18"/>
                <w:lang w:eastAsia="it-IT"/>
              </w:rPr>
              <w:t>)</w:t>
            </w:r>
          </w:p>
        </w:tc>
        <w:tc>
          <w:tcPr>
            <w:tcW w:w="992" w:type="dxa"/>
            <w:vMerge w:val="restart"/>
            <w:tcBorders>
              <w:top w:val="single" w:sz="12" w:space="0" w:color="009A46"/>
              <w:bottom w:val="nil"/>
            </w:tcBorders>
            <w:shd w:val="clear" w:color="auto" w:fill="FFFFFF"/>
            <w:vAlign w:val="center"/>
          </w:tcPr>
          <w:p w14:paraId="5DF074EA" w14:textId="20626C6E" w:rsidR="003B1527" w:rsidRPr="00B35F21" w:rsidRDefault="003B1527" w:rsidP="00A8724C">
            <w:pPr>
              <w:pStyle w:val="CETBodytext"/>
              <w:ind w:right="-1"/>
              <w:jc w:val="center"/>
              <w:rPr>
                <w:rFonts w:cs="Arial"/>
                <w:szCs w:val="18"/>
                <w:lang w:eastAsia="it-IT"/>
              </w:rPr>
            </w:pPr>
            <w:r w:rsidRPr="00B35F21">
              <w:rPr>
                <w:rFonts w:cs="Arial"/>
                <w:i/>
                <w:szCs w:val="18"/>
                <w:lang w:eastAsia="it-IT"/>
              </w:rPr>
              <w:t>µ</w:t>
            </w:r>
            <w:proofErr w:type="spellStart"/>
            <w:r w:rsidRPr="00B35F21">
              <w:rPr>
                <w:rFonts w:cs="Arial"/>
                <w:szCs w:val="18"/>
                <w:vertAlign w:val="subscript"/>
                <w:lang w:eastAsia="it-IT"/>
              </w:rPr>
              <w:t>max</w:t>
            </w:r>
            <w:r w:rsidR="00B2767A" w:rsidRPr="00B35F21">
              <w:rPr>
                <w:rFonts w:cs="Arial"/>
                <w:szCs w:val="18"/>
                <w:vertAlign w:val="superscript"/>
                <w:lang w:eastAsia="it-IT"/>
              </w:rPr>
              <w:t>d</w:t>
            </w:r>
            <w:proofErr w:type="spellEnd"/>
          </w:p>
          <w:p w14:paraId="6CC23056" w14:textId="223B5353" w:rsidR="003B1527" w:rsidRPr="00B35F21" w:rsidRDefault="003B1527" w:rsidP="00A8724C">
            <w:pPr>
              <w:pStyle w:val="CETBodytext"/>
              <w:ind w:right="-1"/>
              <w:jc w:val="center"/>
              <w:rPr>
                <w:rFonts w:cs="Arial"/>
                <w:szCs w:val="18"/>
                <w:lang w:val="en-GB"/>
              </w:rPr>
            </w:pPr>
            <w:r w:rsidRPr="00B35F21">
              <w:rPr>
                <w:rFonts w:cs="Arial"/>
                <w:szCs w:val="18"/>
                <w:lang w:eastAsia="it-IT"/>
              </w:rPr>
              <w:t>(d</w:t>
            </w:r>
            <w:r w:rsidR="00A8724C" w:rsidRPr="00B35F21">
              <w:rPr>
                <w:rFonts w:cs="Arial"/>
                <w:szCs w:val="18"/>
                <w:lang w:eastAsia="it-IT"/>
              </w:rPr>
              <w:t>ay</w:t>
            </w:r>
            <w:r w:rsidRPr="00B35F21">
              <w:rPr>
                <w:rFonts w:cs="Arial"/>
                <w:szCs w:val="18"/>
                <w:vertAlign w:val="superscript"/>
                <w:lang w:eastAsia="it-IT"/>
              </w:rPr>
              <w:t>-1</w:t>
            </w:r>
            <w:r w:rsidRPr="00B35F21">
              <w:rPr>
                <w:rFonts w:cs="Arial"/>
                <w:szCs w:val="18"/>
                <w:lang w:eastAsia="it-IT"/>
              </w:rPr>
              <w:t>)</w:t>
            </w:r>
          </w:p>
        </w:tc>
        <w:tc>
          <w:tcPr>
            <w:tcW w:w="992" w:type="dxa"/>
            <w:vMerge w:val="restart"/>
            <w:tcBorders>
              <w:top w:val="single" w:sz="12" w:space="0" w:color="009A46"/>
              <w:bottom w:val="nil"/>
            </w:tcBorders>
            <w:shd w:val="clear" w:color="auto" w:fill="FFFFFF"/>
            <w:vAlign w:val="center"/>
          </w:tcPr>
          <w:p w14:paraId="70C552B1" w14:textId="77777777" w:rsidR="003B1527" w:rsidRPr="00B35F21" w:rsidRDefault="003B1527" w:rsidP="00A8724C">
            <w:pPr>
              <w:pStyle w:val="CETBodytext"/>
              <w:ind w:right="-1"/>
              <w:jc w:val="center"/>
              <w:rPr>
                <w:rFonts w:cs="Arial"/>
                <w:szCs w:val="18"/>
                <w:lang w:eastAsia="it-IT"/>
              </w:rPr>
            </w:pPr>
            <w:proofErr w:type="spellStart"/>
            <w:r w:rsidRPr="00B35F21">
              <w:rPr>
                <w:rFonts w:cs="Arial"/>
                <w:i/>
                <w:szCs w:val="18"/>
                <w:lang w:eastAsia="it-IT"/>
              </w:rPr>
              <w:t>ν</w:t>
            </w:r>
            <w:r w:rsidR="00B2767A" w:rsidRPr="00B35F21">
              <w:rPr>
                <w:rFonts w:cs="Arial"/>
                <w:szCs w:val="18"/>
                <w:vertAlign w:val="superscript"/>
                <w:lang w:eastAsia="it-IT"/>
              </w:rPr>
              <w:t>e</w:t>
            </w:r>
            <w:proofErr w:type="spellEnd"/>
          </w:p>
          <w:p w14:paraId="5D024F74" w14:textId="170E544C" w:rsidR="003B1527" w:rsidRPr="00B35F21" w:rsidRDefault="003B1527" w:rsidP="00A8724C">
            <w:pPr>
              <w:pStyle w:val="CETBodytext"/>
              <w:ind w:right="-1"/>
              <w:jc w:val="center"/>
              <w:rPr>
                <w:rFonts w:cs="Arial"/>
                <w:szCs w:val="18"/>
                <w:lang w:val="en-GB"/>
              </w:rPr>
            </w:pPr>
            <w:r w:rsidRPr="00B35F21">
              <w:rPr>
                <w:rFonts w:cs="Arial"/>
                <w:szCs w:val="18"/>
                <w:lang w:eastAsia="it-IT"/>
              </w:rPr>
              <w:t>(</w:t>
            </w:r>
            <w:proofErr w:type="spellStart"/>
            <w:r w:rsidRPr="00B35F21">
              <w:rPr>
                <w:rFonts w:cs="Arial"/>
                <w:szCs w:val="18"/>
                <w:lang w:eastAsia="it-IT"/>
              </w:rPr>
              <w:t>g</w:t>
            </w:r>
            <w:r w:rsidRPr="00B35F21">
              <w:rPr>
                <w:rFonts w:cs="Arial"/>
                <w:szCs w:val="18"/>
                <w:vertAlign w:val="subscript"/>
                <w:lang w:eastAsia="it-IT"/>
              </w:rPr>
              <w:t>D</w:t>
            </w:r>
            <w:r w:rsidR="001B2AA2" w:rsidRPr="00B35F21">
              <w:rPr>
                <w:rFonts w:cs="Arial"/>
                <w:szCs w:val="18"/>
                <w:vertAlign w:val="subscript"/>
                <w:lang w:eastAsia="it-IT"/>
              </w:rPr>
              <w:t>W</w:t>
            </w:r>
            <w:proofErr w:type="spellEnd"/>
            <w:r w:rsidR="001B2AA2" w:rsidRPr="00B35F21">
              <w:rPr>
                <w:rFonts w:cs="Arial"/>
                <w:szCs w:val="18"/>
                <w:lang w:eastAsia="it-IT"/>
              </w:rPr>
              <w:t>/</w:t>
            </w:r>
            <w:proofErr w:type="spellStart"/>
            <w:r w:rsidRPr="00B35F21">
              <w:rPr>
                <w:rFonts w:cs="Arial"/>
                <w:szCs w:val="18"/>
                <w:lang w:eastAsia="it-IT"/>
              </w:rPr>
              <w:t>Ld</w:t>
            </w:r>
            <w:proofErr w:type="spellEnd"/>
            <w:r w:rsidRPr="00B35F21">
              <w:rPr>
                <w:rFonts w:cs="Arial"/>
                <w:szCs w:val="18"/>
                <w:lang w:eastAsia="it-IT"/>
              </w:rPr>
              <w:t>)</w:t>
            </w:r>
          </w:p>
        </w:tc>
        <w:tc>
          <w:tcPr>
            <w:tcW w:w="993" w:type="dxa"/>
            <w:vMerge w:val="restart"/>
            <w:tcBorders>
              <w:top w:val="single" w:sz="12" w:space="0" w:color="009A46"/>
              <w:bottom w:val="nil"/>
            </w:tcBorders>
            <w:shd w:val="clear" w:color="auto" w:fill="FFFFFF"/>
            <w:vAlign w:val="center"/>
          </w:tcPr>
          <w:p w14:paraId="3CAEF86C" w14:textId="77777777" w:rsidR="002A1442" w:rsidRPr="00B35F21" w:rsidRDefault="002A1442" w:rsidP="00A8724C">
            <w:pPr>
              <w:pStyle w:val="CETBodytext"/>
              <w:ind w:right="-1"/>
              <w:jc w:val="center"/>
              <w:rPr>
                <w:rFonts w:cs="Arial"/>
                <w:szCs w:val="18"/>
                <w:lang w:eastAsia="it-IT"/>
              </w:rPr>
            </w:pPr>
            <w:proofErr w:type="spellStart"/>
            <w:r w:rsidRPr="00B35F21">
              <w:rPr>
                <w:rFonts w:cs="Arial"/>
                <w:i/>
                <w:szCs w:val="18"/>
                <w:lang w:eastAsia="it-IT"/>
              </w:rPr>
              <w:t>ν</w:t>
            </w:r>
            <w:r w:rsidRPr="00B35F21">
              <w:rPr>
                <w:rFonts w:cs="Arial"/>
                <w:szCs w:val="18"/>
                <w:vertAlign w:val="subscript"/>
                <w:lang w:eastAsia="it-IT"/>
              </w:rPr>
              <w:t>max</w:t>
            </w:r>
            <w:r w:rsidR="00B2767A" w:rsidRPr="00B35F21">
              <w:rPr>
                <w:rFonts w:cs="Arial"/>
                <w:szCs w:val="18"/>
                <w:vertAlign w:val="superscript"/>
                <w:lang w:eastAsia="it-IT"/>
              </w:rPr>
              <w:t>f</w:t>
            </w:r>
            <w:proofErr w:type="spellEnd"/>
          </w:p>
          <w:p w14:paraId="1F7D1490" w14:textId="6290A845" w:rsidR="003B1527" w:rsidRPr="00B35F21" w:rsidRDefault="002A1442" w:rsidP="00A8724C">
            <w:pPr>
              <w:pStyle w:val="CETBodytext"/>
              <w:ind w:right="-1"/>
              <w:jc w:val="center"/>
              <w:rPr>
                <w:rFonts w:cs="Arial"/>
                <w:szCs w:val="18"/>
                <w:lang w:val="en-GB"/>
              </w:rPr>
            </w:pPr>
            <w:r w:rsidRPr="00B35F21">
              <w:rPr>
                <w:rFonts w:cs="Arial"/>
                <w:szCs w:val="18"/>
                <w:lang w:eastAsia="it-IT"/>
              </w:rPr>
              <w:t>(</w:t>
            </w:r>
            <w:proofErr w:type="spellStart"/>
            <w:r w:rsidRPr="00B35F21">
              <w:rPr>
                <w:rFonts w:cs="Arial"/>
                <w:szCs w:val="18"/>
                <w:lang w:eastAsia="it-IT"/>
              </w:rPr>
              <w:t>g</w:t>
            </w:r>
            <w:r w:rsidRPr="00B35F21">
              <w:rPr>
                <w:rFonts w:cs="Arial"/>
                <w:szCs w:val="18"/>
                <w:vertAlign w:val="subscript"/>
                <w:lang w:eastAsia="it-IT"/>
              </w:rPr>
              <w:t>D</w:t>
            </w:r>
            <w:r w:rsidR="00A8724C" w:rsidRPr="00B35F21">
              <w:rPr>
                <w:rFonts w:cs="Arial"/>
                <w:szCs w:val="18"/>
                <w:vertAlign w:val="subscript"/>
                <w:lang w:eastAsia="it-IT"/>
              </w:rPr>
              <w:t>W</w:t>
            </w:r>
            <w:proofErr w:type="spellEnd"/>
            <w:r w:rsidR="001B2AA2" w:rsidRPr="00B35F21">
              <w:rPr>
                <w:rFonts w:cs="Arial"/>
                <w:szCs w:val="18"/>
                <w:lang w:eastAsia="it-IT"/>
              </w:rPr>
              <w:t>/</w:t>
            </w:r>
            <w:proofErr w:type="spellStart"/>
            <w:r w:rsidRPr="00B35F21">
              <w:rPr>
                <w:rFonts w:cs="Arial"/>
                <w:szCs w:val="18"/>
                <w:lang w:eastAsia="it-IT"/>
              </w:rPr>
              <w:t>Ld</w:t>
            </w:r>
            <w:proofErr w:type="spellEnd"/>
            <w:r w:rsidRPr="00B35F21">
              <w:rPr>
                <w:rFonts w:cs="Arial"/>
                <w:szCs w:val="18"/>
                <w:lang w:eastAsia="it-IT"/>
              </w:rPr>
              <w:t>)</w:t>
            </w:r>
          </w:p>
        </w:tc>
        <w:tc>
          <w:tcPr>
            <w:tcW w:w="992" w:type="dxa"/>
            <w:vMerge w:val="restart"/>
            <w:tcBorders>
              <w:top w:val="single" w:sz="12" w:space="0" w:color="009A46"/>
              <w:bottom w:val="nil"/>
            </w:tcBorders>
            <w:shd w:val="clear" w:color="auto" w:fill="FFFFFF"/>
            <w:vAlign w:val="center"/>
          </w:tcPr>
          <w:p w14:paraId="1C8A9D2D" w14:textId="77777777" w:rsidR="002A1442" w:rsidRPr="00B35F21" w:rsidRDefault="00174A85" w:rsidP="00A8724C">
            <w:pPr>
              <w:pStyle w:val="CETBodytext"/>
              <w:ind w:right="-1"/>
              <w:jc w:val="center"/>
              <w:rPr>
                <w:rFonts w:cs="Arial"/>
                <w:szCs w:val="18"/>
                <w:lang w:eastAsia="it-IT"/>
              </w:rPr>
            </w:pPr>
            <w:proofErr w:type="spellStart"/>
            <w:r w:rsidRPr="00B35F21">
              <w:rPr>
                <w:rFonts w:cs="Arial"/>
                <w:i/>
                <w:szCs w:val="18"/>
                <w:lang w:eastAsia="it-IT"/>
              </w:rPr>
              <w:t>C</w:t>
            </w:r>
            <w:r w:rsidR="002A1442" w:rsidRPr="00B35F21">
              <w:rPr>
                <w:rFonts w:cs="Arial"/>
                <w:szCs w:val="18"/>
                <w:vertAlign w:val="subscript"/>
                <w:lang w:eastAsia="it-IT"/>
              </w:rPr>
              <w:t>L</w:t>
            </w:r>
            <w:r w:rsidR="00B2767A" w:rsidRPr="00B35F21">
              <w:rPr>
                <w:rFonts w:cs="Arial"/>
                <w:szCs w:val="18"/>
                <w:vertAlign w:val="superscript"/>
                <w:lang w:eastAsia="it-IT"/>
              </w:rPr>
              <w:t>g</w:t>
            </w:r>
            <w:proofErr w:type="spellEnd"/>
          </w:p>
          <w:p w14:paraId="0CBC780E" w14:textId="213BD0D8" w:rsidR="003B1527" w:rsidRPr="00B35F21" w:rsidRDefault="002A1442" w:rsidP="00A8724C">
            <w:pPr>
              <w:pStyle w:val="CETBodytext"/>
              <w:ind w:right="-1"/>
              <w:jc w:val="center"/>
              <w:rPr>
                <w:rFonts w:cs="Arial"/>
                <w:szCs w:val="18"/>
                <w:lang w:val="en-GB"/>
              </w:rPr>
            </w:pPr>
            <w:r w:rsidRPr="00B35F21">
              <w:rPr>
                <w:rFonts w:cs="Arial"/>
                <w:szCs w:val="18"/>
                <w:lang w:eastAsia="it-IT"/>
              </w:rPr>
              <w:t>(</w:t>
            </w:r>
            <w:proofErr w:type="spellStart"/>
            <w:r w:rsidRPr="00B35F21">
              <w:rPr>
                <w:rFonts w:cs="Arial"/>
                <w:szCs w:val="18"/>
                <w:lang w:eastAsia="it-IT"/>
              </w:rPr>
              <w:t>g</w:t>
            </w:r>
            <w:r w:rsidR="00F41045" w:rsidRPr="00B35F21">
              <w:rPr>
                <w:rFonts w:cs="Arial"/>
                <w:szCs w:val="18"/>
                <w:vertAlign w:val="subscript"/>
                <w:lang w:eastAsia="it-IT"/>
              </w:rPr>
              <w:t>L</w:t>
            </w:r>
            <w:proofErr w:type="spellEnd"/>
            <w:r w:rsidRPr="00B35F21">
              <w:rPr>
                <w:rFonts w:cs="Arial"/>
                <w:szCs w:val="18"/>
                <w:lang w:eastAsia="it-IT"/>
              </w:rPr>
              <w:t>/100g</w:t>
            </w:r>
            <w:r w:rsidRPr="00B35F21">
              <w:rPr>
                <w:rFonts w:cs="Arial"/>
                <w:szCs w:val="18"/>
                <w:vertAlign w:val="subscript"/>
                <w:lang w:eastAsia="it-IT"/>
              </w:rPr>
              <w:t>D</w:t>
            </w:r>
            <w:r w:rsidR="001B2AA2" w:rsidRPr="00B35F21">
              <w:rPr>
                <w:rFonts w:cs="Arial"/>
                <w:szCs w:val="18"/>
                <w:vertAlign w:val="subscript"/>
                <w:lang w:eastAsia="it-IT"/>
              </w:rPr>
              <w:t>W</w:t>
            </w:r>
            <w:r w:rsidRPr="00B35F21">
              <w:rPr>
                <w:rFonts w:cs="Arial"/>
                <w:szCs w:val="18"/>
                <w:lang w:eastAsia="it-IT"/>
              </w:rPr>
              <w:t>)</w:t>
            </w:r>
          </w:p>
        </w:tc>
        <w:tc>
          <w:tcPr>
            <w:tcW w:w="1134" w:type="dxa"/>
            <w:vMerge w:val="restart"/>
            <w:tcBorders>
              <w:top w:val="single" w:sz="12" w:space="0" w:color="009A46"/>
              <w:bottom w:val="nil"/>
            </w:tcBorders>
            <w:shd w:val="clear" w:color="auto" w:fill="FFFFFF"/>
            <w:vAlign w:val="center"/>
          </w:tcPr>
          <w:p w14:paraId="3556671C" w14:textId="6B550E15" w:rsidR="003B1527" w:rsidRPr="00B35F21" w:rsidRDefault="002A1442" w:rsidP="00A8724C">
            <w:pPr>
              <w:pStyle w:val="CETBodytext"/>
              <w:ind w:right="-1"/>
              <w:jc w:val="center"/>
              <w:rPr>
                <w:rFonts w:cs="Arial"/>
                <w:szCs w:val="18"/>
                <w:lang w:val="en-GB"/>
              </w:rPr>
            </w:pPr>
            <w:proofErr w:type="spellStart"/>
            <w:r w:rsidRPr="00B35F21">
              <w:rPr>
                <w:rFonts w:cs="Arial"/>
                <w:i/>
                <w:szCs w:val="18"/>
                <w:lang w:eastAsia="it-IT"/>
              </w:rPr>
              <w:t>ν</w:t>
            </w:r>
            <w:r w:rsidRPr="00B35F21">
              <w:rPr>
                <w:rFonts w:cs="Arial"/>
                <w:szCs w:val="18"/>
                <w:vertAlign w:val="subscript"/>
                <w:lang w:eastAsia="it-IT"/>
              </w:rPr>
              <w:t>L</w:t>
            </w:r>
            <w:r w:rsidR="00B2767A" w:rsidRPr="00B35F21">
              <w:rPr>
                <w:rFonts w:cs="Arial"/>
                <w:szCs w:val="18"/>
                <w:vertAlign w:val="superscript"/>
                <w:lang w:eastAsia="it-IT"/>
              </w:rPr>
              <w:t>h</w:t>
            </w:r>
            <w:proofErr w:type="spellEnd"/>
            <w:r w:rsidRPr="00B35F21">
              <w:rPr>
                <w:rFonts w:cs="Arial"/>
                <w:szCs w:val="18"/>
                <w:lang w:eastAsia="it-IT"/>
              </w:rPr>
              <w:t xml:space="preserve"> (</w:t>
            </w:r>
            <w:proofErr w:type="spellStart"/>
            <w:r w:rsidRPr="00B35F21">
              <w:rPr>
                <w:rFonts w:cs="Arial"/>
                <w:szCs w:val="18"/>
                <w:lang w:eastAsia="it-IT"/>
              </w:rPr>
              <w:t>g</w:t>
            </w:r>
            <w:r w:rsidR="001B2AA2" w:rsidRPr="00B35F21">
              <w:rPr>
                <w:rFonts w:cs="Arial"/>
                <w:szCs w:val="18"/>
                <w:vertAlign w:val="subscript"/>
                <w:lang w:eastAsia="it-IT"/>
              </w:rPr>
              <w:t>L</w:t>
            </w:r>
            <w:proofErr w:type="spellEnd"/>
            <w:r w:rsidRPr="00B35F21">
              <w:rPr>
                <w:rFonts w:cs="Arial"/>
                <w:szCs w:val="18"/>
                <w:lang w:eastAsia="it-IT"/>
              </w:rPr>
              <w:t>/100g</w:t>
            </w:r>
            <w:r w:rsidRPr="00B35F21">
              <w:rPr>
                <w:rFonts w:cs="Arial"/>
                <w:szCs w:val="18"/>
                <w:vertAlign w:val="subscript"/>
                <w:lang w:eastAsia="it-IT"/>
              </w:rPr>
              <w:t>D</w:t>
            </w:r>
            <w:r w:rsidR="001B2AA2" w:rsidRPr="00B35F21">
              <w:rPr>
                <w:rFonts w:cs="Arial"/>
                <w:szCs w:val="18"/>
                <w:vertAlign w:val="subscript"/>
                <w:lang w:eastAsia="it-IT"/>
              </w:rPr>
              <w:t>W</w:t>
            </w:r>
            <w:r w:rsidRPr="00B35F21">
              <w:rPr>
                <w:rFonts w:cs="Arial"/>
                <w:szCs w:val="18"/>
                <w:lang w:eastAsia="it-IT"/>
              </w:rPr>
              <w:t>d)</w:t>
            </w:r>
          </w:p>
        </w:tc>
      </w:tr>
      <w:tr w:rsidR="00B35F21" w:rsidRPr="00B35F21" w14:paraId="6AE672F3" w14:textId="77777777" w:rsidTr="00672E42">
        <w:trPr>
          <w:trHeight w:val="281"/>
        </w:trPr>
        <w:tc>
          <w:tcPr>
            <w:tcW w:w="709" w:type="dxa"/>
            <w:tcBorders>
              <w:top w:val="nil"/>
              <w:bottom w:val="single" w:sz="6" w:space="0" w:color="008000"/>
            </w:tcBorders>
            <w:shd w:val="clear" w:color="auto" w:fill="FFFFFF"/>
          </w:tcPr>
          <w:p w14:paraId="7BB1E237" w14:textId="77777777" w:rsidR="003B1527" w:rsidRPr="00B35F21" w:rsidRDefault="003B1527" w:rsidP="003B1527">
            <w:pPr>
              <w:pStyle w:val="CETBodytext"/>
              <w:rPr>
                <w:lang w:val="en-GB"/>
              </w:rPr>
            </w:pPr>
          </w:p>
        </w:tc>
        <w:tc>
          <w:tcPr>
            <w:tcW w:w="992" w:type="dxa"/>
            <w:vMerge/>
            <w:tcBorders>
              <w:top w:val="nil"/>
              <w:bottom w:val="single" w:sz="6" w:space="0" w:color="008000"/>
            </w:tcBorders>
            <w:shd w:val="clear" w:color="auto" w:fill="FFFFFF"/>
          </w:tcPr>
          <w:p w14:paraId="7240594E" w14:textId="77777777" w:rsidR="003B1527" w:rsidRPr="00B35F21" w:rsidRDefault="003B1527" w:rsidP="003B1527">
            <w:pPr>
              <w:pStyle w:val="CETBodytext"/>
              <w:jc w:val="left"/>
              <w:rPr>
                <w:rFonts w:cs="Arial"/>
                <w:szCs w:val="18"/>
                <w:lang w:val="en-GB"/>
              </w:rPr>
            </w:pPr>
          </w:p>
        </w:tc>
        <w:tc>
          <w:tcPr>
            <w:tcW w:w="993" w:type="dxa"/>
            <w:vMerge/>
            <w:tcBorders>
              <w:top w:val="nil"/>
              <w:bottom w:val="single" w:sz="6" w:space="0" w:color="008000"/>
            </w:tcBorders>
            <w:shd w:val="clear" w:color="auto" w:fill="FFFFFF"/>
          </w:tcPr>
          <w:p w14:paraId="29AEF2F5" w14:textId="77777777" w:rsidR="003B1527" w:rsidRPr="00B35F21" w:rsidRDefault="003B1527" w:rsidP="003B1527">
            <w:pPr>
              <w:pStyle w:val="CETBodytext"/>
              <w:jc w:val="left"/>
              <w:rPr>
                <w:rFonts w:cs="Arial"/>
                <w:szCs w:val="18"/>
                <w:lang w:val="en-GB"/>
              </w:rPr>
            </w:pPr>
          </w:p>
        </w:tc>
        <w:tc>
          <w:tcPr>
            <w:tcW w:w="992" w:type="dxa"/>
            <w:vMerge/>
            <w:tcBorders>
              <w:top w:val="nil"/>
              <w:bottom w:val="single" w:sz="6" w:space="0" w:color="008000"/>
            </w:tcBorders>
            <w:shd w:val="clear" w:color="auto" w:fill="FFFFFF"/>
          </w:tcPr>
          <w:p w14:paraId="37AB70F4" w14:textId="77777777" w:rsidR="003B1527" w:rsidRPr="00B35F21" w:rsidRDefault="003B1527" w:rsidP="003B1527">
            <w:pPr>
              <w:pStyle w:val="CETBodytext"/>
              <w:ind w:right="-1"/>
              <w:jc w:val="left"/>
              <w:rPr>
                <w:rFonts w:cs="Arial"/>
                <w:szCs w:val="18"/>
                <w:lang w:val="en-GB"/>
              </w:rPr>
            </w:pPr>
          </w:p>
        </w:tc>
        <w:tc>
          <w:tcPr>
            <w:tcW w:w="992" w:type="dxa"/>
            <w:vMerge/>
            <w:tcBorders>
              <w:top w:val="nil"/>
              <w:bottom w:val="single" w:sz="6" w:space="0" w:color="008000"/>
            </w:tcBorders>
            <w:shd w:val="clear" w:color="auto" w:fill="FFFFFF"/>
            <w:vAlign w:val="center"/>
          </w:tcPr>
          <w:p w14:paraId="47191336" w14:textId="77777777" w:rsidR="003B1527" w:rsidRPr="00B35F21" w:rsidRDefault="003B1527" w:rsidP="003B1527">
            <w:pPr>
              <w:pStyle w:val="CETBodytext"/>
              <w:ind w:right="-1"/>
              <w:jc w:val="left"/>
              <w:rPr>
                <w:rFonts w:cs="Arial"/>
                <w:szCs w:val="18"/>
                <w:lang w:val="en-GB"/>
              </w:rPr>
            </w:pPr>
          </w:p>
        </w:tc>
        <w:tc>
          <w:tcPr>
            <w:tcW w:w="992" w:type="dxa"/>
            <w:vMerge/>
            <w:tcBorders>
              <w:top w:val="nil"/>
              <w:bottom w:val="single" w:sz="6" w:space="0" w:color="008000"/>
            </w:tcBorders>
            <w:shd w:val="clear" w:color="auto" w:fill="FFFFFF"/>
            <w:vAlign w:val="center"/>
          </w:tcPr>
          <w:p w14:paraId="2802DEE7" w14:textId="77777777" w:rsidR="003B1527" w:rsidRPr="00B35F21" w:rsidRDefault="003B1527" w:rsidP="003B1527">
            <w:pPr>
              <w:pStyle w:val="CETBodytext"/>
              <w:ind w:right="-1"/>
              <w:jc w:val="left"/>
              <w:rPr>
                <w:rFonts w:cs="Arial"/>
                <w:szCs w:val="18"/>
                <w:lang w:val="en-GB"/>
              </w:rPr>
            </w:pPr>
          </w:p>
        </w:tc>
        <w:tc>
          <w:tcPr>
            <w:tcW w:w="993" w:type="dxa"/>
            <w:vMerge/>
            <w:tcBorders>
              <w:top w:val="nil"/>
              <w:bottom w:val="single" w:sz="6" w:space="0" w:color="008000"/>
            </w:tcBorders>
            <w:shd w:val="clear" w:color="auto" w:fill="FFFFFF"/>
            <w:vAlign w:val="center"/>
          </w:tcPr>
          <w:p w14:paraId="112E070F" w14:textId="77777777" w:rsidR="003B1527" w:rsidRPr="00B35F21" w:rsidRDefault="003B1527" w:rsidP="003B1527">
            <w:pPr>
              <w:pStyle w:val="CETBodytext"/>
              <w:ind w:right="-1"/>
              <w:jc w:val="left"/>
              <w:rPr>
                <w:rFonts w:cs="Arial"/>
                <w:szCs w:val="18"/>
                <w:lang w:val="en-GB"/>
              </w:rPr>
            </w:pPr>
          </w:p>
        </w:tc>
        <w:tc>
          <w:tcPr>
            <w:tcW w:w="992" w:type="dxa"/>
            <w:vMerge/>
            <w:tcBorders>
              <w:top w:val="nil"/>
              <w:bottom w:val="single" w:sz="6" w:space="0" w:color="008000"/>
            </w:tcBorders>
            <w:shd w:val="clear" w:color="auto" w:fill="FFFFFF"/>
            <w:vAlign w:val="center"/>
          </w:tcPr>
          <w:p w14:paraId="2DD17456" w14:textId="77777777" w:rsidR="003B1527" w:rsidRPr="00B35F21" w:rsidRDefault="003B1527" w:rsidP="003B1527">
            <w:pPr>
              <w:pStyle w:val="CETBodytext"/>
              <w:ind w:right="-1"/>
              <w:jc w:val="left"/>
              <w:rPr>
                <w:rFonts w:cs="Arial"/>
                <w:szCs w:val="18"/>
                <w:lang w:val="en-GB"/>
              </w:rPr>
            </w:pPr>
          </w:p>
        </w:tc>
        <w:tc>
          <w:tcPr>
            <w:tcW w:w="1134" w:type="dxa"/>
            <w:vMerge/>
            <w:tcBorders>
              <w:top w:val="nil"/>
              <w:bottom w:val="single" w:sz="6" w:space="0" w:color="008000"/>
            </w:tcBorders>
            <w:shd w:val="clear" w:color="auto" w:fill="FFFFFF"/>
            <w:vAlign w:val="center"/>
          </w:tcPr>
          <w:p w14:paraId="5768CF52" w14:textId="77777777" w:rsidR="003B1527" w:rsidRPr="00B35F21" w:rsidRDefault="003B1527" w:rsidP="003B1527">
            <w:pPr>
              <w:pStyle w:val="CETBodytext"/>
              <w:ind w:right="-1"/>
              <w:jc w:val="left"/>
              <w:rPr>
                <w:rFonts w:cs="Arial"/>
                <w:szCs w:val="18"/>
                <w:lang w:val="en-GB"/>
              </w:rPr>
            </w:pPr>
          </w:p>
        </w:tc>
      </w:tr>
      <w:tr w:rsidR="00B35F21" w:rsidRPr="00B35F21" w14:paraId="256515FF" w14:textId="77777777" w:rsidTr="0077637B">
        <w:trPr>
          <w:trHeight w:val="298"/>
        </w:trPr>
        <w:tc>
          <w:tcPr>
            <w:tcW w:w="2694" w:type="dxa"/>
            <w:gridSpan w:val="3"/>
            <w:shd w:val="clear" w:color="auto" w:fill="FFFFFF"/>
          </w:tcPr>
          <w:p w14:paraId="25D4BF47" w14:textId="77777777" w:rsidR="0077637B" w:rsidRPr="00B35F21" w:rsidRDefault="0077637B" w:rsidP="002A1442">
            <w:pPr>
              <w:pStyle w:val="Nessunaspaziatura"/>
              <w:spacing w:line="276" w:lineRule="auto"/>
              <w:rPr>
                <w:rFonts w:ascii="Arial" w:eastAsia="Times New Roman" w:hAnsi="Arial" w:cs="Arial"/>
                <w:sz w:val="18"/>
                <w:szCs w:val="18"/>
                <w:lang w:eastAsia="it-IT"/>
              </w:rPr>
            </w:pPr>
            <w:r w:rsidRPr="00B35F21">
              <w:rPr>
                <w:rFonts w:ascii="Arial" w:hAnsi="Arial" w:cs="Arial"/>
                <w:sz w:val="18"/>
                <w:szCs w:val="18"/>
                <w:lang w:val="en-GB"/>
              </w:rPr>
              <w:t>Dry weight methodology</w:t>
            </w:r>
          </w:p>
        </w:tc>
        <w:tc>
          <w:tcPr>
            <w:tcW w:w="992" w:type="dxa"/>
            <w:shd w:val="clear" w:color="auto" w:fill="FFFFFF"/>
          </w:tcPr>
          <w:p w14:paraId="6DBAC8F4" w14:textId="77777777" w:rsidR="0077637B" w:rsidRPr="00B35F21" w:rsidRDefault="0077637B" w:rsidP="002A1442">
            <w:pPr>
              <w:pStyle w:val="Nessunaspaziatura"/>
              <w:spacing w:line="276" w:lineRule="auto"/>
              <w:rPr>
                <w:rFonts w:ascii="Arial" w:eastAsia="Times New Roman" w:hAnsi="Arial" w:cs="Arial"/>
                <w:sz w:val="18"/>
                <w:szCs w:val="18"/>
                <w:lang w:eastAsia="it-IT"/>
              </w:rPr>
            </w:pPr>
          </w:p>
        </w:tc>
        <w:tc>
          <w:tcPr>
            <w:tcW w:w="992" w:type="dxa"/>
            <w:shd w:val="clear" w:color="auto" w:fill="FFFFFF"/>
          </w:tcPr>
          <w:p w14:paraId="31BC2164" w14:textId="77777777" w:rsidR="0077637B" w:rsidRPr="00B35F21" w:rsidRDefault="0077637B" w:rsidP="002A1442">
            <w:pPr>
              <w:pStyle w:val="Nessunaspaziatura"/>
              <w:spacing w:line="276" w:lineRule="auto"/>
              <w:rPr>
                <w:rFonts w:ascii="Arial" w:eastAsia="Times New Roman" w:hAnsi="Arial" w:cs="Arial"/>
                <w:sz w:val="18"/>
                <w:szCs w:val="18"/>
                <w:lang w:eastAsia="it-IT"/>
              </w:rPr>
            </w:pPr>
          </w:p>
        </w:tc>
        <w:tc>
          <w:tcPr>
            <w:tcW w:w="992" w:type="dxa"/>
            <w:shd w:val="clear" w:color="auto" w:fill="FFFFFF"/>
          </w:tcPr>
          <w:p w14:paraId="1959D0C6" w14:textId="77777777" w:rsidR="0077637B" w:rsidRPr="00B35F21" w:rsidRDefault="0077637B" w:rsidP="002A1442">
            <w:pPr>
              <w:pStyle w:val="Nessunaspaziatura"/>
              <w:spacing w:line="276" w:lineRule="auto"/>
              <w:rPr>
                <w:rFonts w:ascii="Arial" w:eastAsia="Times New Roman" w:hAnsi="Arial" w:cs="Arial"/>
                <w:sz w:val="18"/>
                <w:szCs w:val="18"/>
                <w:lang w:eastAsia="it-IT"/>
              </w:rPr>
            </w:pPr>
          </w:p>
        </w:tc>
        <w:tc>
          <w:tcPr>
            <w:tcW w:w="993" w:type="dxa"/>
            <w:shd w:val="clear" w:color="auto" w:fill="FFFFFF"/>
          </w:tcPr>
          <w:p w14:paraId="25AAEE6F" w14:textId="77777777" w:rsidR="0077637B" w:rsidRPr="00B35F21" w:rsidRDefault="0077637B" w:rsidP="002A1442">
            <w:pPr>
              <w:pStyle w:val="Nessunaspaziatura"/>
              <w:spacing w:line="276" w:lineRule="auto"/>
              <w:rPr>
                <w:rFonts w:ascii="Arial" w:eastAsia="Times New Roman" w:hAnsi="Arial" w:cs="Arial"/>
                <w:sz w:val="18"/>
                <w:szCs w:val="18"/>
                <w:lang w:eastAsia="it-IT"/>
              </w:rPr>
            </w:pPr>
          </w:p>
        </w:tc>
        <w:tc>
          <w:tcPr>
            <w:tcW w:w="992" w:type="dxa"/>
            <w:shd w:val="clear" w:color="auto" w:fill="FFFFFF"/>
          </w:tcPr>
          <w:p w14:paraId="2989DC23" w14:textId="77777777" w:rsidR="0077637B" w:rsidRPr="00B35F21" w:rsidRDefault="0077637B" w:rsidP="002A1442">
            <w:pPr>
              <w:pStyle w:val="Nessunaspaziatura"/>
              <w:spacing w:line="276" w:lineRule="auto"/>
              <w:rPr>
                <w:rFonts w:ascii="Arial" w:eastAsia="Times New Roman" w:hAnsi="Arial" w:cs="Arial"/>
                <w:sz w:val="18"/>
                <w:szCs w:val="18"/>
                <w:lang w:eastAsia="it-IT"/>
              </w:rPr>
            </w:pPr>
          </w:p>
        </w:tc>
        <w:tc>
          <w:tcPr>
            <w:tcW w:w="1134" w:type="dxa"/>
            <w:shd w:val="clear" w:color="auto" w:fill="FFFFFF"/>
          </w:tcPr>
          <w:p w14:paraId="28CEECF4" w14:textId="77777777" w:rsidR="0077637B" w:rsidRPr="00B35F21" w:rsidRDefault="0077637B" w:rsidP="002A1442">
            <w:pPr>
              <w:pStyle w:val="Nessunaspaziatura"/>
              <w:spacing w:line="276" w:lineRule="auto"/>
              <w:rPr>
                <w:rFonts w:ascii="Arial" w:eastAsia="Times New Roman" w:hAnsi="Arial" w:cs="Arial"/>
                <w:sz w:val="18"/>
                <w:szCs w:val="18"/>
                <w:lang w:eastAsia="it-IT"/>
              </w:rPr>
            </w:pPr>
          </w:p>
        </w:tc>
      </w:tr>
      <w:tr w:rsidR="00B35F21" w:rsidRPr="00B35F21" w14:paraId="4FDAA723" w14:textId="77777777" w:rsidTr="00672E42">
        <w:trPr>
          <w:trHeight w:val="298"/>
        </w:trPr>
        <w:tc>
          <w:tcPr>
            <w:tcW w:w="709" w:type="dxa"/>
            <w:shd w:val="clear" w:color="auto" w:fill="FFFFFF"/>
          </w:tcPr>
          <w:p w14:paraId="3209AACF" w14:textId="77777777" w:rsidR="002A1442" w:rsidRPr="00B35F21" w:rsidRDefault="00184066" w:rsidP="002A1442">
            <w:pPr>
              <w:pStyle w:val="CETBodytext"/>
              <w:rPr>
                <w:lang w:val="en-GB"/>
              </w:rPr>
            </w:pPr>
            <w:r w:rsidRPr="00B35F21">
              <w:rPr>
                <w:lang w:val="en-GB"/>
              </w:rPr>
              <w:t>1W</w:t>
            </w:r>
          </w:p>
        </w:tc>
        <w:tc>
          <w:tcPr>
            <w:tcW w:w="992" w:type="dxa"/>
            <w:shd w:val="clear" w:color="auto" w:fill="FFFFFF"/>
          </w:tcPr>
          <w:p w14:paraId="37EA9281" w14:textId="77777777" w:rsidR="002A1442" w:rsidRPr="00B35F21" w:rsidRDefault="002A1442" w:rsidP="002A1442">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1.51±0.80</w:t>
            </w:r>
          </w:p>
        </w:tc>
        <w:tc>
          <w:tcPr>
            <w:tcW w:w="993" w:type="dxa"/>
            <w:shd w:val="clear" w:color="auto" w:fill="FFFFFF"/>
          </w:tcPr>
          <w:p w14:paraId="3D032765" w14:textId="77777777" w:rsidR="002A1442" w:rsidRPr="00B35F21" w:rsidRDefault="002A1442" w:rsidP="002A1442">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2.22±0.0</w:t>
            </w:r>
            <w:r w:rsidR="0077637B" w:rsidRPr="00B35F21">
              <w:rPr>
                <w:rFonts w:ascii="Arial" w:eastAsia="Times New Roman" w:hAnsi="Arial" w:cs="Arial"/>
                <w:sz w:val="18"/>
                <w:szCs w:val="18"/>
                <w:lang w:eastAsia="it-IT"/>
              </w:rPr>
              <w:t>1</w:t>
            </w:r>
          </w:p>
        </w:tc>
        <w:tc>
          <w:tcPr>
            <w:tcW w:w="992" w:type="dxa"/>
            <w:shd w:val="clear" w:color="auto" w:fill="FFFFFF"/>
          </w:tcPr>
          <w:p w14:paraId="3D0B20F0" w14:textId="77777777" w:rsidR="002A1442" w:rsidRPr="00B35F21" w:rsidRDefault="002A1442" w:rsidP="002A1442">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0.07±0.04</w:t>
            </w:r>
          </w:p>
        </w:tc>
        <w:tc>
          <w:tcPr>
            <w:tcW w:w="992" w:type="dxa"/>
            <w:shd w:val="clear" w:color="auto" w:fill="FFFFFF"/>
          </w:tcPr>
          <w:p w14:paraId="6EFB6975" w14:textId="77777777" w:rsidR="002A1442" w:rsidRPr="00B35F21" w:rsidRDefault="002A1442" w:rsidP="002A1442">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0.2</w:t>
            </w:r>
            <w:r w:rsidR="00024DE4" w:rsidRPr="00B35F21">
              <w:rPr>
                <w:rFonts w:ascii="Arial" w:eastAsia="Times New Roman" w:hAnsi="Arial" w:cs="Arial"/>
                <w:sz w:val="18"/>
                <w:szCs w:val="18"/>
                <w:lang w:eastAsia="it-IT"/>
              </w:rPr>
              <w:t>4</w:t>
            </w:r>
            <w:r w:rsidRPr="00B35F21">
              <w:rPr>
                <w:rFonts w:ascii="Arial" w:eastAsia="Times New Roman" w:hAnsi="Arial" w:cs="Arial"/>
                <w:sz w:val="18"/>
                <w:szCs w:val="18"/>
                <w:lang w:eastAsia="it-IT"/>
              </w:rPr>
              <w:t>±0.10</w:t>
            </w:r>
          </w:p>
        </w:tc>
        <w:tc>
          <w:tcPr>
            <w:tcW w:w="992" w:type="dxa"/>
            <w:shd w:val="clear" w:color="auto" w:fill="FFFFFF"/>
          </w:tcPr>
          <w:p w14:paraId="3E099847" w14:textId="77777777" w:rsidR="002A1442" w:rsidRPr="00B35F21" w:rsidRDefault="002A1442" w:rsidP="002A1442">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0.10±0.05</w:t>
            </w:r>
          </w:p>
        </w:tc>
        <w:tc>
          <w:tcPr>
            <w:tcW w:w="993" w:type="dxa"/>
            <w:shd w:val="clear" w:color="auto" w:fill="FFFFFF"/>
          </w:tcPr>
          <w:p w14:paraId="1123AF7E" w14:textId="77777777" w:rsidR="002A1442" w:rsidRPr="00B35F21" w:rsidRDefault="002A1442" w:rsidP="002A1442">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0.41±0.05</w:t>
            </w:r>
          </w:p>
        </w:tc>
        <w:tc>
          <w:tcPr>
            <w:tcW w:w="992" w:type="dxa"/>
            <w:shd w:val="clear" w:color="auto" w:fill="FFFFFF"/>
          </w:tcPr>
          <w:p w14:paraId="21102421" w14:textId="77777777" w:rsidR="002A1442" w:rsidRPr="00B35F21" w:rsidRDefault="002A1442" w:rsidP="002A1442">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11.71±0.59</w:t>
            </w:r>
          </w:p>
        </w:tc>
        <w:tc>
          <w:tcPr>
            <w:tcW w:w="1134" w:type="dxa"/>
            <w:shd w:val="clear" w:color="auto" w:fill="FFFFFF"/>
          </w:tcPr>
          <w:p w14:paraId="0346D80A" w14:textId="77777777" w:rsidR="002A1442" w:rsidRPr="00B35F21" w:rsidRDefault="002A1442" w:rsidP="002A1442">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0.01±0.00</w:t>
            </w:r>
          </w:p>
        </w:tc>
      </w:tr>
      <w:tr w:rsidR="00B35F21" w:rsidRPr="00B35F21" w14:paraId="642533ED" w14:textId="77777777" w:rsidTr="00672E42">
        <w:trPr>
          <w:trHeight w:val="298"/>
        </w:trPr>
        <w:tc>
          <w:tcPr>
            <w:tcW w:w="709" w:type="dxa"/>
            <w:shd w:val="clear" w:color="auto" w:fill="FFFFFF"/>
          </w:tcPr>
          <w:p w14:paraId="124AC9B4" w14:textId="77777777" w:rsidR="004779E8" w:rsidRPr="00B35F21" w:rsidRDefault="004779E8" w:rsidP="004779E8">
            <w:pPr>
              <w:pStyle w:val="CETBodytext"/>
              <w:ind w:right="-1"/>
              <w:rPr>
                <w:rFonts w:cs="Arial"/>
                <w:szCs w:val="18"/>
                <w:lang w:val="en-GB"/>
              </w:rPr>
            </w:pPr>
            <w:r w:rsidRPr="00B35F21">
              <w:rPr>
                <w:rFonts w:cs="Arial"/>
                <w:szCs w:val="18"/>
                <w:lang w:val="en-GB"/>
              </w:rPr>
              <w:t>2W</w:t>
            </w:r>
          </w:p>
        </w:tc>
        <w:tc>
          <w:tcPr>
            <w:tcW w:w="992" w:type="dxa"/>
            <w:shd w:val="clear" w:color="auto" w:fill="FFFFFF"/>
          </w:tcPr>
          <w:p w14:paraId="5A28BCA8"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1.16±0.19</w:t>
            </w:r>
          </w:p>
        </w:tc>
        <w:tc>
          <w:tcPr>
            <w:tcW w:w="993" w:type="dxa"/>
            <w:shd w:val="clear" w:color="auto" w:fill="FFFFFF"/>
          </w:tcPr>
          <w:p w14:paraId="67DA50B2"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2.01±0.12</w:t>
            </w:r>
          </w:p>
        </w:tc>
        <w:tc>
          <w:tcPr>
            <w:tcW w:w="992" w:type="dxa"/>
            <w:shd w:val="clear" w:color="auto" w:fill="FFFFFF"/>
          </w:tcPr>
          <w:p w14:paraId="3D56AA6F"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0.06±0.01</w:t>
            </w:r>
          </w:p>
        </w:tc>
        <w:tc>
          <w:tcPr>
            <w:tcW w:w="992" w:type="dxa"/>
            <w:shd w:val="clear" w:color="auto" w:fill="FFFFFF"/>
          </w:tcPr>
          <w:p w14:paraId="40D54222"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0.22±0.03</w:t>
            </w:r>
          </w:p>
        </w:tc>
        <w:tc>
          <w:tcPr>
            <w:tcW w:w="992" w:type="dxa"/>
            <w:shd w:val="clear" w:color="auto" w:fill="FFFFFF"/>
          </w:tcPr>
          <w:p w14:paraId="5056FC13"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0.08±0.01</w:t>
            </w:r>
          </w:p>
        </w:tc>
        <w:tc>
          <w:tcPr>
            <w:tcW w:w="993" w:type="dxa"/>
            <w:shd w:val="clear" w:color="auto" w:fill="FFFFFF"/>
          </w:tcPr>
          <w:p w14:paraId="34114A0E"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0.29±0.11</w:t>
            </w:r>
          </w:p>
        </w:tc>
        <w:tc>
          <w:tcPr>
            <w:tcW w:w="992" w:type="dxa"/>
            <w:shd w:val="clear" w:color="auto" w:fill="FFFFFF"/>
          </w:tcPr>
          <w:p w14:paraId="1652DD2C" w14:textId="77777777" w:rsidR="004779E8" w:rsidRPr="00B35F21" w:rsidRDefault="00E72243"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10.15</w:t>
            </w:r>
            <w:r w:rsidR="004779E8" w:rsidRPr="00B35F21">
              <w:rPr>
                <w:rFonts w:ascii="Arial" w:eastAsia="Times New Roman" w:hAnsi="Arial" w:cs="Arial"/>
                <w:sz w:val="18"/>
                <w:szCs w:val="18"/>
                <w:lang w:eastAsia="it-IT"/>
              </w:rPr>
              <w:t>±</w:t>
            </w:r>
            <w:r w:rsidRPr="00B35F21">
              <w:rPr>
                <w:rFonts w:ascii="Arial" w:eastAsia="Times New Roman" w:hAnsi="Arial" w:cs="Arial"/>
                <w:sz w:val="18"/>
                <w:szCs w:val="18"/>
                <w:lang w:eastAsia="it-IT"/>
              </w:rPr>
              <w:t>0.00</w:t>
            </w:r>
          </w:p>
        </w:tc>
        <w:tc>
          <w:tcPr>
            <w:tcW w:w="1134" w:type="dxa"/>
            <w:shd w:val="clear" w:color="auto" w:fill="FFFFFF"/>
          </w:tcPr>
          <w:p w14:paraId="03FB8B8C"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0.00±0.00</w:t>
            </w:r>
          </w:p>
        </w:tc>
      </w:tr>
      <w:tr w:rsidR="00B35F21" w:rsidRPr="00B35F21" w14:paraId="32848D12" w14:textId="77777777" w:rsidTr="00672E42">
        <w:trPr>
          <w:trHeight w:val="298"/>
        </w:trPr>
        <w:tc>
          <w:tcPr>
            <w:tcW w:w="709" w:type="dxa"/>
            <w:shd w:val="clear" w:color="auto" w:fill="FFFFFF"/>
          </w:tcPr>
          <w:p w14:paraId="0246028A" w14:textId="77777777" w:rsidR="004779E8" w:rsidRPr="00B35F21" w:rsidRDefault="004779E8" w:rsidP="004779E8">
            <w:pPr>
              <w:pStyle w:val="CETBodytext"/>
              <w:ind w:right="-1"/>
              <w:rPr>
                <w:rFonts w:asciiTheme="majorHAnsi" w:hAnsiTheme="majorHAnsi" w:cstheme="majorHAnsi"/>
                <w:sz w:val="20"/>
                <w:lang w:eastAsia="it-IT"/>
              </w:rPr>
            </w:pPr>
            <w:r w:rsidRPr="00B35F21">
              <w:rPr>
                <w:rFonts w:asciiTheme="majorHAnsi" w:hAnsiTheme="majorHAnsi" w:cstheme="majorHAnsi"/>
                <w:sz w:val="20"/>
                <w:lang w:eastAsia="it-IT"/>
              </w:rPr>
              <w:t>3W</w:t>
            </w:r>
          </w:p>
        </w:tc>
        <w:tc>
          <w:tcPr>
            <w:tcW w:w="992" w:type="dxa"/>
            <w:shd w:val="clear" w:color="auto" w:fill="FFFFFF"/>
          </w:tcPr>
          <w:p w14:paraId="52DC09C6"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0.40±0.11</w:t>
            </w:r>
          </w:p>
        </w:tc>
        <w:tc>
          <w:tcPr>
            <w:tcW w:w="993" w:type="dxa"/>
            <w:shd w:val="clear" w:color="auto" w:fill="FFFFFF"/>
          </w:tcPr>
          <w:p w14:paraId="5E6FE020"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0.97±0.07</w:t>
            </w:r>
          </w:p>
        </w:tc>
        <w:tc>
          <w:tcPr>
            <w:tcW w:w="992" w:type="dxa"/>
            <w:shd w:val="clear" w:color="auto" w:fill="FFFFFF"/>
          </w:tcPr>
          <w:p w14:paraId="04F60B63"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-0.02±0.02</w:t>
            </w:r>
          </w:p>
        </w:tc>
        <w:tc>
          <w:tcPr>
            <w:tcW w:w="992" w:type="dxa"/>
            <w:shd w:val="clear" w:color="auto" w:fill="FFFFFF"/>
          </w:tcPr>
          <w:p w14:paraId="6E1F8DAF"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w:t>
            </w:r>
            <w:r w:rsidR="00024DE4" w:rsidRPr="00B35F21">
              <w:rPr>
                <w:rFonts w:ascii="Arial" w:eastAsia="Times New Roman" w:hAnsi="Arial" w:cs="Arial"/>
                <w:sz w:val="18"/>
                <w:szCs w:val="18"/>
                <w:lang w:eastAsia="it-IT"/>
              </w:rPr>
              <w:t>08</w:t>
            </w:r>
            <w:r w:rsidRPr="00B35F21">
              <w:rPr>
                <w:rFonts w:ascii="Arial" w:eastAsia="Times New Roman" w:hAnsi="Arial" w:cs="Arial"/>
                <w:sz w:val="18"/>
                <w:szCs w:val="18"/>
                <w:lang w:eastAsia="it-IT"/>
              </w:rPr>
              <w:t>±0.17</w:t>
            </w:r>
          </w:p>
        </w:tc>
        <w:tc>
          <w:tcPr>
            <w:tcW w:w="992" w:type="dxa"/>
            <w:shd w:val="clear" w:color="auto" w:fill="FFFFFF"/>
          </w:tcPr>
          <w:p w14:paraId="4B8B5FAB"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0.03±0.01</w:t>
            </w:r>
          </w:p>
        </w:tc>
        <w:tc>
          <w:tcPr>
            <w:tcW w:w="993" w:type="dxa"/>
            <w:shd w:val="clear" w:color="auto" w:fill="FFFFFF"/>
          </w:tcPr>
          <w:p w14:paraId="3CE20EF2"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w:t>
            </w:r>
            <w:r w:rsidR="00024DE4" w:rsidRPr="00B35F21">
              <w:rPr>
                <w:rFonts w:ascii="Arial" w:eastAsia="Times New Roman" w:hAnsi="Arial" w:cs="Arial"/>
                <w:sz w:val="18"/>
                <w:szCs w:val="18"/>
                <w:lang w:eastAsia="it-IT"/>
              </w:rPr>
              <w:t>02</w:t>
            </w:r>
            <w:r w:rsidRPr="00B35F21">
              <w:rPr>
                <w:rFonts w:ascii="Arial" w:eastAsia="Times New Roman" w:hAnsi="Arial" w:cs="Arial"/>
                <w:sz w:val="18"/>
                <w:szCs w:val="18"/>
                <w:lang w:eastAsia="it-IT"/>
              </w:rPr>
              <w:t>±0.23</w:t>
            </w:r>
          </w:p>
        </w:tc>
        <w:tc>
          <w:tcPr>
            <w:tcW w:w="992" w:type="dxa"/>
            <w:shd w:val="clear" w:color="auto" w:fill="FFFFFF"/>
          </w:tcPr>
          <w:p w14:paraId="47641C00"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15.38±5.89</w:t>
            </w:r>
          </w:p>
        </w:tc>
        <w:tc>
          <w:tcPr>
            <w:tcW w:w="1134" w:type="dxa"/>
            <w:shd w:val="clear" w:color="auto" w:fill="FFFFFF"/>
          </w:tcPr>
          <w:p w14:paraId="66930DC8"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0.00±0.00</w:t>
            </w:r>
          </w:p>
        </w:tc>
      </w:tr>
      <w:tr w:rsidR="00B35F21" w:rsidRPr="00B35F21" w14:paraId="397494F3" w14:textId="77777777" w:rsidTr="00672E42">
        <w:trPr>
          <w:trHeight w:val="298"/>
        </w:trPr>
        <w:tc>
          <w:tcPr>
            <w:tcW w:w="709" w:type="dxa"/>
            <w:shd w:val="clear" w:color="auto" w:fill="FFFFFF"/>
          </w:tcPr>
          <w:p w14:paraId="2224B618" w14:textId="77777777" w:rsidR="004779E8" w:rsidRPr="00B35F21" w:rsidRDefault="004779E8" w:rsidP="004779E8">
            <w:pPr>
              <w:pStyle w:val="CETBodytext"/>
              <w:ind w:right="-1"/>
              <w:rPr>
                <w:rFonts w:asciiTheme="majorHAnsi" w:hAnsiTheme="majorHAnsi" w:cstheme="majorHAnsi"/>
                <w:sz w:val="20"/>
                <w:lang w:eastAsia="it-IT"/>
              </w:rPr>
            </w:pPr>
            <w:r w:rsidRPr="00B35F21">
              <w:rPr>
                <w:rFonts w:asciiTheme="majorHAnsi" w:hAnsiTheme="majorHAnsi" w:cstheme="majorHAnsi"/>
                <w:sz w:val="20"/>
                <w:lang w:eastAsia="it-IT"/>
              </w:rPr>
              <w:t>C</w:t>
            </w:r>
          </w:p>
        </w:tc>
        <w:tc>
          <w:tcPr>
            <w:tcW w:w="992" w:type="dxa"/>
            <w:shd w:val="clear" w:color="auto" w:fill="FFFFFF"/>
          </w:tcPr>
          <w:p w14:paraId="756A864A"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0.50±0.08</w:t>
            </w:r>
          </w:p>
        </w:tc>
        <w:tc>
          <w:tcPr>
            <w:tcW w:w="993" w:type="dxa"/>
            <w:shd w:val="clear" w:color="auto" w:fill="FFFFFF"/>
          </w:tcPr>
          <w:p w14:paraId="12AEC158"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0.89±0.07</w:t>
            </w:r>
          </w:p>
        </w:tc>
        <w:tc>
          <w:tcPr>
            <w:tcW w:w="992" w:type="dxa"/>
            <w:shd w:val="clear" w:color="auto" w:fill="FFFFFF"/>
          </w:tcPr>
          <w:p w14:paraId="553BF534"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0.00±0.01</w:t>
            </w:r>
          </w:p>
        </w:tc>
        <w:tc>
          <w:tcPr>
            <w:tcW w:w="992" w:type="dxa"/>
            <w:shd w:val="clear" w:color="auto" w:fill="FFFFFF"/>
          </w:tcPr>
          <w:p w14:paraId="783ABA7B"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0.06±0.01</w:t>
            </w:r>
          </w:p>
        </w:tc>
        <w:tc>
          <w:tcPr>
            <w:tcW w:w="992" w:type="dxa"/>
            <w:shd w:val="clear" w:color="auto" w:fill="FFFFFF"/>
          </w:tcPr>
          <w:p w14:paraId="001104C9"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0.03±0.01</w:t>
            </w:r>
          </w:p>
        </w:tc>
        <w:tc>
          <w:tcPr>
            <w:tcW w:w="993" w:type="dxa"/>
            <w:shd w:val="clear" w:color="auto" w:fill="FFFFFF"/>
          </w:tcPr>
          <w:p w14:paraId="27F14F7D"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0.10±0.00</w:t>
            </w:r>
          </w:p>
        </w:tc>
        <w:tc>
          <w:tcPr>
            <w:tcW w:w="992" w:type="dxa"/>
            <w:shd w:val="clear" w:color="auto" w:fill="FFFFFF"/>
          </w:tcPr>
          <w:p w14:paraId="6F83384A"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7.55±0.00</w:t>
            </w:r>
          </w:p>
        </w:tc>
        <w:tc>
          <w:tcPr>
            <w:tcW w:w="1134" w:type="dxa"/>
            <w:shd w:val="clear" w:color="auto" w:fill="FFFFFF"/>
          </w:tcPr>
          <w:p w14:paraId="18135A1C"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0.00±0.00</w:t>
            </w:r>
          </w:p>
        </w:tc>
      </w:tr>
      <w:tr w:rsidR="00B35F21" w:rsidRPr="00B35F21" w14:paraId="55F7E31A" w14:textId="77777777" w:rsidTr="0077637B">
        <w:trPr>
          <w:trHeight w:val="298"/>
        </w:trPr>
        <w:tc>
          <w:tcPr>
            <w:tcW w:w="2694" w:type="dxa"/>
            <w:gridSpan w:val="3"/>
            <w:shd w:val="clear" w:color="auto" w:fill="FFFFFF"/>
          </w:tcPr>
          <w:p w14:paraId="488311A2" w14:textId="77777777" w:rsidR="0077637B" w:rsidRPr="00B35F21" w:rsidRDefault="0077637B" w:rsidP="004779E8">
            <w:pPr>
              <w:pStyle w:val="Nessunaspaziatura"/>
              <w:spacing w:line="276" w:lineRule="auto"/>
              <w:rPr>
                <w:rFonts w:ascii="Arial" w:hAnsi="Arial" w:cs="Arial"/>
                <w:sz w:val="18"/>
                <w:szCs w:val="18"/>
                <w:lang w:val="en-US"/>
              </w:rPr>
            </w:pPr>
            <w:r w:rsidRPr="00B35F21">
              <w:rPr>
                <w:rFonts w:ascii="Arial" w:hAnsi="Arial" w:cs="Arial"/>
                <w:sz w:val="18"/>
                <w:szCs w:val="18"/>
                <w:lang w:eastAsia="it-IT"/>
              </w:rPr>
              <w:t xml:space="preserve">Optical </w:t>
            </w:r>
            <w:proofErr w:type="spellStart"/>
            <w:r w:rsidRPr="00B35F21">
              <w:rPr>
                <w:rFonts w:ascii="Arial" w:hAnsi="Arial" w:cs="Arial"/>
                <w:sz w:val="18"/>
                <w:szCs w:val="18"/>
                <w:lang w:eastAsia="it-IT"/>
              </w:rPr>
              <w:t>density</w:t>
            </w:r>
            <w:proofErr w:type="spellEnd"/>
            <w:r w:rsidRPr="00B35F21">
              <w:rPr>
                <w:rFonts w:ascii="Arial" w:hAnsi="Arial" w:cs="Arial"/>
                <w:sz w:val="18"/>
                <w:szCs w:val="18"/>
                <w:lang w:eastAsia="it-IT"/>
              </w:rPr>
              <w:t xml:space="preserve"> </w:t>
            </w:r>
            <w:proofErr w:type="spellStart"/>
            <w:r w:rsidRPr="00B35F21">
              <w:rPr>
                <w:rFonts w:ascii="Arial" w:hAnsi="Arial" w:cs="Arial"/>
                <w:sz w:val="18"/>
                <w:szCs w:val="18"/>
                <w:lang w:eastAsia="it-IT"/>
              </w:rPr>
              <w:t>methodology</w:t>
            </w:r>
            <w:proofErr w:type="spellEnd"/>
          </w:p>
        </w:tc>
        <w:tc>
          <w:tcPr>
            <w:tcW w:w="992" w:type="dxa"/>
            <w:shd w:val="clear" w:color="auto" w:fill="FFFFFF"/>
          </w:tcPr>
          <w:p w14:paraId="67484825" w14:textId="77777777" w:rsidR="0077637B" w:rsidRPr="00B35F21" w:rsidRDefault="0077637B" w:rsidP="004779E8">
            <w:pPr>
              <w:pStyle w:val="Nessunaspaziatura"/>
              <w:spacing w:line="276" w:lineRule="auto"/>
              <w:rPr>
                <w:rFonts w:ascii="Arial" w:hAnsi="Arial" w:cs="Arial"/>
                <w:sz w:val="18"/>
                <w:szCs w:val="18"/>
                <w:lang w:val="en-US"/>
              </w:rPr>
            </w:pPr>
          </w:p>
        </w:tc>
        <w:tc>
          <w:tcPr>
            <w:tcW w:w="992" w:type="dxa"/>
            <w:shd w:val="clear" w:color="auto" w:fill="FFFFFF"/>
          </w:tcPr>
          <w:p w14:paraId="5B049A8B" w14:textId="77777777" w:rsidR="0077637B" w:rsidRPr="00B35F21" w:rsidRDefault="0077637B" w:rsidP="004779E8">
            <w:pPr>
              <w:pStyle w:val="Nessunaspaziatura"/>
              <w:spacing w:line="276" w:lineRule="auto"/>
              <w:rPr>
                <w:rFonts w:ascii="Arial" w:hAnsi="Arial" w:cs="Arial"/>
                <w:sz w:val="18"/>
                <w:szCs w:val="18"/>
                <w:lang w:val="en-US"/>
              </w:rPr>
            </w:pPr>
          </w:p>
        </w:tc>
        <w:tc>
          <w:tcPr>
            <w:tcW w:w="992" w:type="dxa"/>
            <w:shd w:val="clear" w:color="auto" w:fill="FFFFFF"/>
          </w:tcPr>
          <w:p w14:paraId="5AA99DF0" w14:textId="77777777" w:rsidR="0077637B" w:rsidRPr="00B35F21" w:rsidRDefault="0077637B" w:rsidP="004779E8">
            <w:pPr>
              <w:pStyle w:val="Nessunaspaziatura"/>
              <w:spacing w:line="276" w:lineRule="auto"/>
              <w:rPr>
                <w:rFonts w:ascii="Arial" w:hAnsi="Arial" w:cs="Arial"/>
                <w:sz w:val="18"/>
                <w:szCs w:val="18"/>
                <w:lang w:val="en-US"/>
              </w:rPr>
            </w:pPr>
          </w:p>
        </w:tc>
        <w:tc>
          <w:tcPr>
            <w:tcW w:w="993" w:type="dxa"/>
            <w:shd w:val="clear" w:color="auto" w:fill="FFFFFF"/>
          </w:tcPr>
          <w:p w14:paraId="381CD90E" w14:textId="77777777" w:rsidR="0077637B" w:rsidRPr="00B35F21" w:rsidRDefault="0077637B" w:rsidP="004779E8">
            <w:pPr>
              <w:pStyle w:val="Nessunaspaziatura"/>
              <w:spacing w:line="276" w:lineRule="auto"/>
              <w:rPr>
                <w:rFonts w:ascii="Arial" w:hAnsi="Arial" w:cs="Arial"/>
                <w:sz w:val="18"/>
                <w:szCs w:val="18"/>
                <w:lang w:val="en-US"/>
              </w:rPr>
            </w:pPr>
          </w:p>
        </w:tc>
        <w:tc>
          <w:tcPr>
            <w:tcW w:w="992" w:type="dxa"/>
            <w:shd w:val="clear" w:color="auto" w:fill="FFFFFF"/>
          </w:tcPr>
          <w:p w14:paraId="45BFB1E5" w14:textId="77777777" w:rsidR="0077637B" w:rsidRPr="00B35F21" w:rsidRDefault="0077637B" w:rsidP="004779E8">
            <w:pPr>
              <w:pStyle w:val="Nessunaspaziatura"/>
              <w:spacing w:line="276" w:lineRule="auto"/>
              <w:rPr>
                <w:rFonts w:ascii="Arial" w:eastAsia="Times New Roman" w:hAnsi="Arial" w:cs="Arial"/>
                <w:sz w:val="18"/>
                <w:szCs w:val="18"/>
                <w:lang w:eastAsia="it-IT"/>
              </w:rPr>
            </w:pPr>
          </w:p>
        </w:tc>
        <w:tc>
          <w:tcPr>
            <w:tcW w:w="1134" w:type="dxa"/>
            <w:shd w:val="clear" w:color="auto" w:fill="FFFFFF"/>
          </w:tcPr>
          <w:p w14:paraId="661886CA" w14:textId="77777777" w:rsidR="0077637B" w:rsidRPr="00B35F21" w:rsidRDefault="0077637B" w:rsidP="004779E8">
            <w:pPr>
              <w:pStyle w:val="Nessunaspaziatura"/>
              <w:spacing w:line="276" w:lineRule="auto"/>
              <w:rPr>
                <w:rFonts w:ascii="Arial" w:hAnsi="Arial" w:cs="Arial"/>
                <w:sz w:val="18"/>
                <w:szCs w:val="18"/>
                <w:lang w:val="en-US"/>
              </w:rPr>
            </w:pPr>
          </w:p>
        </w:tc>
      </w:tr>
      <w:tr w:rsidR="00B35F21" w:rsidRPr="00B35F21" w14:paraId="29C96837" w14:textId="77777777" w:rsidTr="00672E42">
        <w:trPr>
          <w:trHeight w:val="316"/>
        </w:trPr>
        <w:tc>
          <w:tcPr>
            <w:tcW w:w="709" w:type="dxa"/>
            <w:shd w:val="clear" w:color="auto" w:fill="FFFFFF"/>
          </w:tcPr>
          <w:p w14:paraId="21D02F9E" w14:textId="77777777" w:rsidR="004779E8" w:rsidRPr="00B35F21" w:rsidRDefault="004779E8" w:rsidP="004779E8">
            <w:pPr>
              <w:pStyle w:val="CETBodytext"/>
              <w:rPr>
                <w:lang w:val="en-GB"/>
              </w:rPr>
            </w:pPr>
            <w:r w:rsidRPr="00B35F21">
              <w:rPr>
                <w:lang w:val="en-GB"/>
              </w:rPr>
              <w:t>1W</w:t>
            </w:r>
          </w:p>
        </w:tc>
        <w:tc>
          <w:tcPr>
            <w:tcW w:w="992" w:type="dxa"/>
            <w:shd w:val="clear" w:color="auto" w:fill="FFFFFF"/>
          </w:tcPr>
          <w:p w14:paraId="4ABF8BB3"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1.42±0.10</w:t>
            </w:r>
          </w:p>
        </w:tc>
        <w:tc>
          <w:tcPr>
            <w:tcW w:w="993" w:type="dxa"/>
            <w:shd w:val="clear" w:color="auto" w:fill="FFFFFF"/>
          </w:tcPr>
          <w:p w14:paraId="315F40EC"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2.42±0.</w:t>
            </w:r>
            <w:r w:rsidR="009A32C4" w:rsidRPr="00B35F21">
              <w:rPr>
                <w:rFonts w:ascii="Arial" w:eastAsia="Times New Roman" w:hAnsi="Arial" w:cs="Arial"/>
                <w:sz w:val="18"/>
                <w:szCs w:val="18"/>
                <w:lang w:eastAsia="it-IT"/>
              </w:rPr>
              <w:t>32</w:t>
            </w:r>
          </w:p>
        </w:tc>
        <w:tc>
          <w:tcPr>
            <w:tcW w:w="992" w:type="dxa"/>
            <w:shd w:val="clear" w:color="auto" w:fill="FFFFFF"/>
          </w:tcPr>
          <w:p w14:paraId="2E4A70FB"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0.07±0.00</w:t>
            </w:r>
          </w:p>
        </w:tc>
        <w:tc>
          <w:tcPr>
            <w:tcW w:w="992" w:type="dxa"/>
            <w:shd w:val="clear" w:color="auto" w:fill="FFFFFF"/>
          </w:tcPr>
          <w:p w14:paraId="78DD1F74"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0.31±0.03</w:t>
            </w:r>
          </w:p>
        </w:tc>
        <w:tc>
          <w:tcPr>
            <w:tcW w:w="992" w:type="dxa"/>
            <w:shd w:val="clear" w:color="auto" w:fill="FFFFFF"/>
          </w:tcPr>
          <w:p w14:paraId="560C8FEA"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0.09±0.01</w:t>
            </w:r>
          </w:p>
        </w:tc>
        <w:tc>
          <w:tcPr>
            <w:tcW w:w="993" w:type="dxa"/>
            <w:shd w:val="clear" w:color="auto" w:fill="FFFFFF"/>
          </w:tcPr>
          <w:p w14:paraId="3AF9D7B4"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0.48±0.07</w:t>
            </w:r>
          </w:p>
        </w:tc>
        <w:tc>
          <w:tcPr>
            <w:tcW w:w="992" w:type="dxa"/>
            <w:shd w:val="clear" w:color="auto" w:fill="FFFFFF"/>
          </w:tcPr>
          <w:p w14:paraId="1DD4EA1C"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11.71±0.59</w:t>
            </w:r>
          </w:p>
        </w:tc>
        <w:tc>
          <w:tcPr>
            <w:tcW w:w="1134" w:type="dxa"/>
            <w:shd w:val="clear" w:color="auto" w:fill="FFFFFF"/>
          </w:tcPr>
          <w:p w14:paraId="0C260639"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0.01±0.00</w:t>
            </w:r>
          </w:p>
        </w:tc>
      </w:tr>
      <w:tr w:rsidR="00B35F21" w:rsidRPr="00B35F21" w14:paraId="7325015B" w14:textId="77777777" w:rsidTr="00672E42">
        <w:trPr>
          <w:trHeight w:val="298"/>
        </w:trPr>
        <w:tc>
          <w:tcPr>
            <w:tcW w:w="709" w:type="dxa"/>
            <w:shd w:val="clear" w:color="auto" w:fill="FFFFFF"/>
          </w:tcPr>
          <w:p w14:paraId="2EAFBF9A" w14:textId="77777777" w:rsidR="004779E8" w:rsidRPr="00B35F21" w:rsidRDefault="004779E8" w:rsidP="004779E8">
            <w:pPr>
              <w:pStyle w:val="CETBodytext"/>
              <w:ind w:right="-1"/>
              <w:rPr>
                <w:rFonts w:cs="Arial"/>
                <w:szCs w:val="18"/>
                <w:lang w:val="en-GB"/>
              </w:rPr>
            </w:pPr>
            <w:r w:rsidRPr="00B35F21">
              <w:rPr>
                <w:rFonts w:cs="Arial"/>
                <w:szCs w:val="18"/>
                <w:lang w:val="en-GB"/>
              </w:rPr>
              <w:t>2W</w:t>
            </w:r>
          </w:p>
        </w:tc>
        <w:tc>
          <w:tcPr>
            <w:tcW w:w="992" w:type="dxa"/>
            <w:shd w:val="clear" w:color="auto" w:fill="FFFFFF"/>
          </w:tcPr>
          <w:p w14:paraId="27564493"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0.85±0.11</w:t>
            </w:r>
          </w:p>
        </w:tc>
        <w:tc>
          <w:tcPr>
            <w:tcW w:w="993" w:type="dxa"/>
            <w:shd w:val="clear" w:color="auto" w:fill="FFFFFF"/>
          </w:tcPr>
          <w:p w14:paraId="339175C6"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1.53±0.27</w:t>
            </w:r>
          </w:p>
        </w:tc>
        <w:tc>
          <w:tcPr>
            <w:tcW w:w="992" w:type="dxa"/>
            <w:shd w:val="clear" w:color="auto" w:fill="FFFFFF"/>
          </w:tcPr>
          <w:p w14:paraId="6E5FF382"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0.04±0.01</w:t>
            </w:r>
          </w:p>
        </w:tc>
        <w:tc>
          <w:tcPr>
            <w:tcW w:w="992" w:type="dxa"/>
            <w:shd w:val="clear" w:color="auto" w:fill="FFFFFF"/>
          </w:tcPr>
          <w:p w14:paraId="720DC679"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0.14±0.00</w:t>
            </w:r>
          </w:p>
        </w:tc>
        <w:tc>
          <w:tcPr>
            <w:tcW w:w="992" w:type="dxa"/>
            <w:shd w:val="clear" w:color="auto" w:fill="FFFFFF"/>
          </w:tcPr>
          <w:p w14:paraId="158400BA"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0.06±0.01</w:t>
            </w:r>
          </w:p>
        </w:tc>
        <w:tc>
          <w:tcPr>
            <w:tcW w:w="993" w:type="dxa"/>
            <w:shd w:val="clear" w:color="auto" w:fill="FFFFFF"/>
          </w:tcPr>
          <w:p w14:paraId="041CA149"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0.27±0.11</w:t>
            </w:r>
          </w:p>
        </w:tc>
        <w:tc>
          <w:tcPr>
            <w:tcW w:w="992" w:type="dxa"/>
            <w:shd w:val="clear" w:color="auto" w:fill="FFFFFF"/>
          </w:tcPr>
          <w:p w14:paraId="59642C75" w14:textId="77777777" w:rsidR="004779E8" w:rsidRPr="00B35F21" w:rsidRDefault="00E72243"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10.15±0.00</w:t>
            </w:r>
          </w:p>
        </w:tc>
        <w:tc>
          <w:tcPr>
            <w:tcW w:w="1134" w:type="dxa"/>
            <w:shd w:val="clear" w:color="auto" w:fill="FFFFFF"/>
          </w:tcPr>
          <w:p w14:paraId="730A7485"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0.00±0.00</w:t>
            </w:r>
          </w:p>
        </w:tc>
      </w:tr>
      <w:tr w:rsidR="00B35F21" w:rsidRPr="00B35F21" w14:paraId="04663578" w14:textId="77777777" w:rsidTr="00672E42">
        <w:trPr>
          <w:trHeight w:val="281"/>
        </w:trPr>
        <w:tc>
          <w:tcPr>
            <w:tcW w:w="709" w:type="dxa"/>
            <w:tcBorders>
              <w:bottom w:val="nil"/>
            </w:tcBorders>
            <w:shd w:val="clear" w:color="auto" w:fill="FFFFFF"/>
          </w:tcPr>
          <w:p w14:paraId="6DB207C0" w14:textId="77777777" w:rsidR="004779E8" w:rsidRPr="00B35F21" w:rsidRDefault="004779E8" w:rsidP="004779E8">
            <w:pPr>
              <w:pStyle w:val="CETBodytext"/>
              <w:ind w:right="-1"/>
              <w:rPr>
                <w:rFonts w:asciiTheme="majorHAnsi" w:hAnsiTheme="majorHAnsi" w:cstheme="majorHAnsi"/>
                <w:sz w:val="20"/>
                <w:lang w:eastAsia="it-IT"/>
              </w:rPr>
            </w:pPr>
            <w:r w:rsidRPr="00B35F21">
              <w:rPr>
                <w:rFonts w:asciiTheme="majorHAnsi" w:hAnsiTheme="majorHAnsi" w:cstheme="majorHAnsi"/>
                <w:sz w:val="20"/>
                <w:lang w:eastAsia="it-IT"/>
              </w:rPr>
              <w:t>3W</w:t>
            </w:r>
          </w:p>
        </w:tc>
        <w:tc>
          <w:tcPr>
            <w:tcW w:w="992" w:type="dxa"/>
            <w:tcBorders>
              <w:bottom w:val="nil"/>
            </w:tcBorders>
            <w:shd w:val="clear" w:color="auto" w:fill="FFFFFF"/>
          </w:tcPr>
          <w:p w14:paraId="61E04F27"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0.39±0.11</w:t>
            </w:r>
          </w:p>
        </w:tc>
        <w:tc>
          <w:tcPr>
            <w:tcW w:w="993" w:type="dxa"/>
            <w:tcBorders>
              <w:bottom w:val="nil"/>
            </w:tcBorders>
            <w:shd w:val="clear" w:color="auto" w:fill="FFFFFF"/>
          </w:tcPr>
          <w:p w14:paraId="7549757D"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1.07±0.37</w:t>
            </w:r>
          </w:p>
        </w:tc>
        <w:tc>
          <w:tcPr>
            <w:tcW w:w="992" w:type="dxa"/>
            <w:tcBorders>
              <w:bottom w:val="nil"/>
            </w:tcBorders>
            <w:shd w:val="clear" w:color="auto" w:fill="FFFFFF"/>
          </w:tcPr>
          <w:p w14:paraId="1E2D32F3"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-0.02±0.02</w:t>
            </w:r>
          </w:p>
        </w:tc>
        <w:tc>
          <w:tcPr>
            <w:tcW w:w="992" w:type="dxa"/>
            <w:tcBorders>
              <w:bottom w:val="nil"/>
            </w:tcBorders>
            <w:shd w:val="clear" w:color="auto" w:fill="FFFFFF"/>
          </w:tcPr>
          <w:p w14:paraId="4708558A"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w:t>
            </w:r>
            <w:r w:rsidR="00024DE4" w:rsidRPr="00B35F21">
              <w:rPr>
                <w:rFonts w:ascii="Arial" w:eastAsia="Times New Roman" w:hAnsi="Arial" w:cs="Arial"/>
                <w:sz w:val="18"/>
                <w:szCs w:val="18"/>
                <w:lang w:eastAsia="it-IT"/>
              </w:rPr>
              <w:t>08</w:t>
            </w:r>
            <w:r w:rsidRPr="00B35F21">
              <w:rPr>
                <w:rFonts w:ascii="Arial" w:eastAsia="Times New Roman" w:hAnsi="Arial" w:cs="Arial"/>
                <w:sz w:val="18"/>
                <w:szCs w:val="18"/>
                <w:lang w:eastAsia="it-IT"/>
              </w:rPr>
              <w:t>±0.16</w:t>
            </w:r>
          </w:p>
        </w:tc>
        <w:tc>
          <w:tcPr>
            <w:tcW w:w="992" w:type="dxa"/>
            <w:tcBorders>
              <w:bottom w:val="nil"/>
            </w:tcBorders>
            <w:shd w:val="clear" w:color="auto" w:fill="FFFFFF"/>
          </w:tcPr>
          <w:p w14:paraId="25C670FE"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0.03±0.01</w:t>
            </w:r>
          </w:p>
        </w:tc>
        <w:tc>
          <w:tcPr>
            <w:tcW w:w="993" w:type="dxa"/>
            <w:tcBorders>
              <w:bottom w:val="nil"/>
            </w:tcBorders>
            <w:shd w:val="clear" w:color="auto" w:fill="FFFFFF"/>
          </w:tcPr>
          <w:p w14:paraId="48E97C4A"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w:t>
            </w:r>
            <w:r w:rsidR="00024DE4" w:rsidRPr="00B35F21">
              <w:rPr>
                <w:rFonts w:ascii="Arial" w:eastAsia="Times New Roman" w:hAnsi="Arial" w:cs="Arial"/>
                <w:sz w:val="18"/>
                <w:szCs w:val="18"/>
                <w:lang w:eastAsia="it-IT"/>
              </w:rPr>
              <w:t>02</w:t>
            </w:r>
            <w:r w:rsidRPr="00B35F21">
              <w:rPr>
                <w:rFonts w:ascii="Arial" w:eastAsia="Times New Roman" w:hAnsi="Arial" w:cs="Arial"/>
                <w:sz w:val="18"/>
                <w:szCs w:val="18"/>
                <w:lang w:eastAsia="it-IT"/>
              </w:rPr>
              <w:t>±0.24</w:t>
            </w:r>
          </w:p>
        </w:tc>
        <w:tc>
          <w:tcPr>
            <w:tcW w:w="992" w:type="dxa"/>
            <w:tcBorders>
              <w:bottom w:val="nil"/>
            </w:tcBorders>
            <w:shd w:val="clear" w:color="auto" w:fill="FFFFFF"/>
          </w:tcPr>
          <w:p w14:paraId="40520FAE"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15.38±5.89</w:t>
            </w:r>
          </w:p>
        </w:tc>
        <w:tc>
          <w:tcPr>
            <w:tcW w:w="1134" w:type="dxa"/>
            <w:tcBorders>
              <w:bottom w:val="nil"/>
            </w:tcBorders>
            <w:shd w:val="clear" w:color="auto" w:fill="FFFFFF"/>
          </w:tcPr>
          <w:p w14:paraId="27305629"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0.00±0.00</w:t>
            </w:r>
          </w:p>
        </w:tc>
      </w:tr>
      <w:tr w:rsidR="00B35F21" w:rsidRPr="00B35F21" w14:paraId="57BA5D3E" w14:textId="77777777" w:rsidTr="00672E42">
        <w:trPr>
          <w:trHeight w:val="263"/>
        </w:trPr>
        <w:tc>
          <w:tcPr>
            <w:tcW w:w="709" w:type="dxa"/>
            <w:tcBorders>
              <w:top w:val="nil"/>
              <w:bottom w:val="single" w:sz="18" w:space="0" w:color="008000"/>
            </w:tcBorders>
            <w:shd w:val="clear" w:color="auto" w:fill="FFFFFF"/>
          </w:tcPr>
          <w:p w14:paraId="601DF683" w14:textId="77777777" w:rsidR="004779E8" w:rsidRPr="00B35F21" w:rsidRDefault="004779E8" w:rsidP="004779E8">
            <w:pPr>
              <w:pStyle w:val="CETBodytext"/>
              <w:ind w:right="-1"/>
              <w:rPr>
                <w:rFonts w:asciiTheme="majorHAnsi" w:hAnsiTheme="majorHAnsi" w:cstheme="majorHAnsi"/>
                <w:sz w:val="20"/>
                <w:lang w:eastAsia="it-IT"/>
              </w:rPr>
            </w:pPr>
            <w:r w:rsidRPr="00B35F21">
              <w:rPr>
                <w:rFonts w:asciiTheme="majorHAnsi" w:hAnsiTheme="majorHAnsi" w:cstheme="majorHAnsi"/>
                <w:sz w:val="20"/>
                <w:lang w:eastAsia="it-IT"/>
              </w:rPr>
              <w:t>C</w:t>
            </w:r>
          </w:p>
        </w:tc>
        <w:tc>
          <w:tcPr>
            <w:tcW w:w="992" w:type="dxa"/>
            <w:tcBorders>
              <w:top w:val="nil"/>
              <w:bottom w:val="single" w:sz="18" w:space="0" w:color="008000"/>
            </w:tcBorders>
            <w:shd w:val="clear" w:color="auto" w:fill="FFFFFF"/>
          </w:tcPr>
          <w:p w14:paraId="7886E916"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0.45±0.12</w:t>
            </w:r>
          </w:p>
        </w:tc>
        <w:tc>
          <w:tcPr>
            <w:tcW w:w="993" w:type="dxa"/>
            <w:tcBorders>
              <w:top w:val="nil"/>
              <w:bottom w:val="single" w:sz="18" w:space="0" w:color="008000"/>
            </w:tcBorders>
            <w:shd w:val="clear" w:color="auto" w:fill="FFFFFF"/>
          </w:tcPr>
          <w:p w14:paraId="6AA8E79A"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0.90±0.04</w:t>
            </w:r>
          </w:p>
        </w:tc>
        <w:tc>
          <w:tcPr>
            <w:tcW w:w="992" w:type="dxa"/>
            <w:tcBorders>
              <w:top w:val="nil"/>
              <w:bottom w:val="single" w:sz="18" w:space="0" w:color="008000"/>
            </w:tcBorders>
            <w:shd w:val="clear" w:color="auto" w:fill="FFFFFF"/>
          </w:tcPr>
          <w:p w14:paraId="6CC9ED76"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-0.01±0.02</w:t>
            </w:r>
          </w:p>
        </w:tc>
        <w:tc>
          <w:tcPr>
            <w:tcW w:w="992" w:type="dxa"/>
            <w:tcBorders>
              <w:top w:val="nil"/>
              <w:bottom w:val="single" w:sz="18" w:space="0" w:color="008000"/>
            </w:tcBorders>
            <w:shd w:val="clear" w:color="auto" w:fill="FFFFFF"/>
          </w:tcPr>
          <w:p w14:paraId="19A7C500"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0.11±0.01</w:t>
            </w:r>
          </w:p>
        </w:tc>
        <w:tc>
          <w:tcPr>
            <w:tcW w:w="992" w:type="dxa"/>
            <w:tcBorders>
              <w:top w:val="nil"/>
              <w:bottom w:val="single" w:sz="18" w:space="0" w:color="008000"/>
            </w:tcBorders>
            <w:shd w:val="clear" w:color="auto" w:fill="FFFFFF"/>
          </w:tcPr>
          <w:p w14:paraId="543D51AA"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0.03±0.01</w:t>
            </w:r>
          </w:p>
        </w:tc>
        <w:tc>
          <w:tcPr>
            <w:tcW w:w="993" w:type="dxa"/>
            <w:tcBorders>
              <w:top w:val="nil"/>
              <w:bottom w:val="single" w:sz="18" w:space="0" w:color="008000"/>
            </w:tcBorders>
            <w:shd w:val="clear" w:color="auto" w:fill="FFFFFF"/>
          </w:tcPr>
          <w:p w14:paraId="4F72B73B"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0.16±0.02</w:t>
            </w:r>
          </w:p>
        </w:tc>
        <w:tc>
          <w:tcPr>
            <w:tcW w:w="992" w:type="dxa"/>
            <w:tcBorders>
              <w:top w:val="nil"/>
              <w:bottom w:val="single" w:sz="18" w:space="0" w:color="008000"/>
            </w:tcBorders>
            <w:shd w:val="clear" w:color="auto" w:fill="FFFFFF"/>
          </w:tcPr>
          <w:p w14:paraId="7EEC2F6B"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7.55±0.00</w:t>
            </w:r>
          </w:p>
        </w:tc>
        <w:tc>
          <w:tcPr>
            <w:tcW w:w="1134" w:type="dxa"/>
            <w:tcBorders>
              <w:top w:val="nil"/>
              <w:bottom w:val="single" w:sz="18" w:space="0" w:color="008000"/>
            </w:tcBorders>
            <w:shd w:val="clear" w:color="auto" w:fill="FFFFFF"/>
          </w:tcPr>
          <w:p w14:paraId="45E405AB" w14:textId="77777777" w:rsidR="004779E8" w:rsidRPr="00B35F21" w:rsidRDefault="004779E8" w:rsidP="004779E8">
            <w:pPr>
              <w:pStyle w:val="Nessunaspaziatura"/>
              <w:spacing w:line="276" w:lineRule="auto"/>
              <w:rPr>
                <w:rFonts w:ascii="Arial" w:hAnsi="Arial" w:cs="Arial"/>
                <w:sz w:val="18"/>
                <w:szCs w:val="18"/>
                <w:lang w:val="en-US"/>
              </w:rPr>
            </w:pPr>
            <w:r w:rsidRPr="00B35F21">
              <w:rPr>
                <w:rFonts w:ascii="Arial" w:eastAsia="Times New Roman" w:hAnsi="Arial" w:cs="Arial"/>
                <w:sz w:val="18"/>
                <w:szCs w:val="18"/>
                <w:lang w:eastAsia="it-IT"/>
              </w:rPr>
              <w:t>0.00±0.00</w:t>
            </w:r>
          </w:p>
        </w:tc>
      </w:tr>
    </w:tbl>
    <w:p w14:paraId="2397F17C" w14:textId="04D84ED5" w:rsidR="002A1442" w:rsidRPr="00B35F21" w:rsidRDefault="00672E42" w:rsidP="00672E42">
      <w:pPr>
        <w:pStyle w:val="CETTabletitle"/>
      </w:pPr>
      <w:r w:rsidRPr="00B35F21">
        <w:rPr>
          <w:vertAlign w:val="superscript"/>
        </w:rPr>
        <w:t>a</w:t>
      </w:r>
      <w:r w:rsidR="00B2767A" w:rsidRPr="00B35F21">
        <w:t xml:space="preserve"> </w:t>
      </w:r>
      <w:r w:rsidR="00B2767A" w:rsidRPr="00B35F21">
        <w:rPr>
          <w:i w:val="0"/>
        </w:rPr>
        <w:t xml:space="preserve">final </w:t>
      </w:r>
      <w:r w:rsidR="00A8724C" w:rsidRPr="00B35F21">
        <w:rPr>
          <w:i w:val="0"/>
        </w:rPr>
        <w:t>biomass</w:t>
      </w:r>
      <w:r w:rsidR="00B2767A" w:rsidRPr="00B35F21">
        <w:rPr>
          <w:i w:val="0"/>
        </w:rPr>
        <w:t xml:space="preserve"> concentration, </w:t>
      </w:r>
      <w:r w:rsidR="00B2767A" w:rsidRPr="00B35F21">
        <w:rPr>
          <w:i w:val="0"/>
          <w:vertAlign w:val="superscript"/>
        </w:rPr>
        <w:t>b</w:t>
      </w:r>
      <w:r w:rsidR="00B2767A" w:rsidRPr="00B35F21">
        <w:rPr>
          <w:i w:val="0"/>
        </w:rPr>
        <w:t xml:space="preserve"> maximum </w:t>
      </w:r>
      <w:r w:rsidR="00A8724C" w:rsidRPr="00B35F21">
        <w:rPr>
          <w:i w:val="0"/>
        </w:rPr>
        <w:t>biomass</w:t>
      </w:r>
      <w:r w:rsidR="00B2767A" w:rsidRPr="00B35F21">
        <w:rPr>
          <w:i w:val="0"/>
        </w:rPr>
        <w:t xml:space="preserve"> concentration, </w:t>
      </w:r>
      <w:r w:rsidR="00B2767A" w:rsidRPr="00B35F21">
        <w:rPr>
          <w:i w:val="0"/>
          <w:vertAlign w:val="superscript"/>
        </w:rPr>
        <w:t>c</w:t>
      </w:r>
      <w:r w:rsidR="00B2767A" w:rsidRPr="00B35F21">
        <w:rPr>
          <w:i w:val="0"/>
        </w:rPr>
        <w:t xml:space="preserve"> specific growth rate, </w:t>
      </w:r>
      <w:r w:rsidR="00B2767A" w:rsidRPr="00B35F21">
        <w:rPr>
          <w:i w:val="0"/>
          <w:vertAlign w:val="superscript"/>
        </w:rPr>
        <w:t>d</w:t>
      </w:r>
      <w:r w:rsidR="00B2767A" w:rsidRPr="00B35F21">
        <w:rPr>
          <w:i w:val="0"/>
        </w:rPr>
        <w:t xml:space="preserve"> </w:t>
      </w:r>
      <w:r w:rsidRPr="00B35F21">
        <w:rPr>
          <w:i w:val="0"/>
        </w:rPr>
        <w:t xml:space="preserve">specific growth rate at </w:t>
      </w:r>
      <w:proofErr w:type="spellStart"/>
      <w:r w:rsidR="00A8724C" w:rsidRPr="00B35F21">
        <w:t>X</w:t>
      </w:r>
      <w:r w:rsidR="00A8724C" w:rsidRPr="00B35F21">
        <w:rPr>
          <w:i w:val="0"/>
          <w:vertAlign w:val="subscript"/>
        </w:rPr>
        <w:t>max</w:t>
      </w:r>
      <w:proofErr w:type="spellEnd"/>
      <w:r w:rsidRPr="00B35F21">
        <w:rPr>
          <w:i w:val="0"/>
        </w:rPr>
        <w:t xml:space="preserve">, </w:t>
      </w:r>
      <w:r w:rsidRPr="00B35F21">
        <w:rPr>
          <w:i w:val="0"/>
          <w:vertAlign w:val="superscript"/>
        </w:rPr>
        <w:t>e</w:t>
      </w:r>
      <w:r w:rsidRPr="00B35F21">
        <w:rPr>
          <w:i w:val="0"/>
        </w:rPr>
        <w:t xml:space="preserve"> </w:t>
      </w:r>
      <w:proofErr w:type="gramStart"/>
      <w:r w:rsidR="00A8724C" w:rsidRPr="00B35F21">
        <w:rPr>
          <w:i w:val="0"/>
        </w:rPr>
        <w:t>mean</w:t>
      </w:r>
      <w:proofErr w:type="gramEnd"/>
      <w:r w:rsidR="00A8724C" w:rsidRPr="00B35F21">
        <w:rPr>
          <w:i w:val="0"/>
        </w:rPr>
        <w:t xml:space="preserve"> biomass </w:t>
      </w:r>
      <w:r w:rsidRPr="00B35F21">
        <w:rPr>
          <w:i w:val="0"/>
        </w:rPr>
        <w:t xml:space="preserve">productivity, </w:t>
      </w:r>
      <w:r w:rsidRPr="00B35F21">
        <w:rPr>
          <w:i w:val="0"/>
          <w:vertAlign w:val="superscript"/>
        </w:rPr>
        <w:t>f</w:t>
      </w:r>
      <w:r w:rsidRPr="00B35F21">
        <w:rPr>
          <w:i w:val="0"/>
        </w:rPr>
        <w:t xml:space="preserve"> </w:t>
      </w:r>
      <w:r w:rsidR="00A8724C" w:rsidRPr="00B35F21">
        <w:rPr>
          <w:i w:val="0"/>
        </w:rPr>
        <w:t xml:space="preserve">biomass </w:t>
      </w:r>
      <w:r w:rsidRPr="00B35F21">
        <w:rPr>
          <w:i w:val="0"/>
        </w:rPr>
        <w:t xml:space="preserve">productivity at </w:t>
      </w:r>
      <w:proofErr w:type="spellStart"/>
      <w:r w:rsidR="00A8724C" w:rsidRPr="00B35F21">
        <w:t>X</w:t>
      </w:r>
      <w:r w:rsidR="00A8724C" w:rsidRPr="00B35F21">
        <w:rPr>
          <w:i w:val="0"/>
          <w:vertAlign w:val="subscript"/>
        </w:rPr>
        <w:t>max</w:t>
      </w:r>
      <w:proofErr w:type="spellEnd"/>
      <w:r w:rsidRPr="00B35F21">
        <w:rPr>
          <w:i w:val="0"/>
        </w:rPr>
        <w:t xml:space="preserve">, </w:t>
      </w:r>
      <w:r w:rsidRPr="00B35F21">
        <w:rPr>
          <w:i w:val="0"/>
          <w:vertAlign w:val="superscript"/>
        </w:rPr>
        <w:t>g</w:t>
      </w:r>
      <w:r w:rsidRPr="00B35F21">
        <w:rPr>
          <w:i w:val="0"/>
        </w:rPr>
        <w:t xml:space="preserve"> lipid</w:t>
      </w:r>
      <w:r w:rsidR="001B2AA2" w:rsidRPr="00B35F21">
        <w:rPr>
          <w:i w:val="0"/>
        </w:rPr>
        <w:t xml:space="preserve"> content</w:t>
      </w:r>
      <w:r w:rsidR="00C55321" w:rsidRPr="00B35F21">
        <w:rPr>
          <w:i w:val="0"/>
        </w:rPr>
        <w:t xml:space="preserve"> of biomass</w:t>
      </w:r>
      <w:r w:rsidRPr="00B35F21">
        <w:rPr>
          <w:i w:val="0"/>
        </w:rPr>
        <w:t xml:space="preserve">, </w:t>
      </w:r>
      <w:r w:rsidRPr="00B35F21">
        <w:rPr>
          <w:i w:val="0"/>
          <w:vertAlign w:val="superscript"/>
        </w:rPr>
        <w:t>h</w:t>
      </w:r>
      <w:r w:rsidRPr="00B35F21">
        <w:rPr>
          <w:i w:val="0"/>
        </w:rPr>
        <w:t xml:space="preserve"> lipid</w:t>
      </w:r>
      <w:r w:rsidR="005F2026">
        <w:rPr>
          <w:i w:val="0"/>
        </w:rPr>
        <w:t xml:space="preserve"> </w:t>
      </w:r>
      <w:r w:rsidRPr="00B35F21">
        <w:rPr>
          <w:i w:val="0"/>
        </w:rPr>
        <w:t>productivity.</w:t>
      </w:r>
    </w:p>
    <w:p w14:paraId="1717F359" w14:textId="5573D4EA" w:rsidR="005F522D" w:rsidRPr="00B35F21" w:rsidRDefault="005F522D" w:rsidP="005F522D">
      <w:pPr>
        <w:pStyle w:val="CETheadingx"/>
      </w:pPr>
      <w:r w:rsidRPr="00B35F21">
        <w:t>COD content in WWW</w:t>
      </w:r>
      <w:r w:rsidR="00CC17F3" w:rsidRPr="00B35F21">
        <w:t>s</w:t>
      </w:r>
    </w:p>
    <w:p w14:paraId="63C3BB4E" w14:textId="72D1BE08" w:rsidR="0032696F" w:rsidRDefault="005F522D" w:rsidP="005F522D">
      <w:pPr>
        <w:pStyle w:val="CETBodytextItalic"/>
        <w:rPr>
          <w:lang w:val="en-US"/>
        </w:rPr>
      </w:pPr>
      <w:r w:rsidRPr="00B35F21">
        <w:rPr>
          <w:i w:val="0"/>
          <w:lang w:val="en-US"/>
        </w:rPr>
        <w:t xml:space="preserve">The reduction of </w:t>
      </w:r>
      <w:r w:rsidR="00B862C9" w:rsidRPr="00B35F21">
        <w:rPr>
          <w:i w:val="0"/>
          <w:lang w:val="en-US"/>
        </w:rPr>
        <w:t>polluting power of</w:t>
      </w:r>
      <w:r w:rsidRPr="00B35F21">
        <w:rPr>
          <w:i w:val="0"/>
          <w:lang w:val="en-US"/>
        </w:rPr>
        <w:t xml:space="preserve"> WWWs was evaluated in terms of </w:t>
      </w:r>
      <w:r w:rsidR="00FB72D6">
        <w:rPr>
          <w:i w:val="0"/>
          <w:lang w:val="en-US"/>
        </w:rPr>
        <w:t>c</w:t>
      </w:r>
      <w:r w:rsidRPr="00B35F21">
        <w:rPr>
          <w:i w:val="0"/>
          <w:lang w:val="en-US"/>
        </w:rPr>
        <w:t xml:space="preserve">hemical </w:t>
      </w:r>
      <w:r w:rsidR="00FB72D6">
        <w:rPr>
          <w:i w:val="0"/>
          <w:lang w:val="en-US"/>
        </w:rPr>
        <w:t>o</w:t>
      </w:r>
      <w:r w:rsidRPr="00B35F21">
        <w:rPr>
          <w:i w:val="0"/>
          <w:lang w:val="en-US"/>
        </w:rPr>
        <w:t xml:space="preserve">xygen </w:t>
      </w:r>
      <w:r w:rsidR="00FB72D6">
        <w:rPr>
          <w:i w:val="0"/>
          <w:lang w:val="en-US"/>
        </w:rPr>
        <w:t>d</w:t>
      </w:r>
      <w:r w:rsidRPr="00B35F21">
        <w:rPr>
          <w:i w:val="0"/>
          <w:lang w:val="en-US"/>
        </w:rPr>
        <w:t>emand (COD)</w:t>
      </w:r>
      <w:r w:rsidR="00E27FBC" w:rsidRPr="00B35F21">
        <w:rPr>
          <w:i w:val="0"/>
          <w:lang w:val="en-US"/>
        </w:rPr>
        <w:t xml:space="preserve"> decrease versus time</w:t>
      </w:r>
      <w:r w:rsidRPr="00B35F21">
        <w:rPr>
          <w:i w:val="0"/>
          <w:lang w:val="en-US"/>
        </w:rPr>
        <w:t xml:space="preserve"> </w:t>
      </w:r>
      <w:r w:rsidR="00E27FBC" w:rsidRPr="00B35F21">
        <w:rPr>
          <w:i w:val="0"/>
          <w:lang w:val="en-US"/>
        </w:rPr>
        <w:t>(</w:t>
      </w:r>
      <w:r w:rsidRPr="00B35F21">
        <w:rPr>
          <w:i w:val="0"/>
          <w:lang w:val="en-US"/>
        </w:rPr>
        <w:t>Figure 2</w:t>
      </w:r>
      <w:r w:rsidR="00E27FBC" w:rsidRPr="00B35F21">
        <w:rPr>
          <w:i w:val="0"/>
          <w:lang w:val="en-US"/>
        </w:rPr>
        <w:t>)</w:t>
      </w:r>
      <w:r w:rsidRPr="00B35F21">
        <w:rPr>
          <w:i w:val="0"/>
          <w:lang w:val="en-US"/>
        </w:rPr>
        <w:t xml:space="preserve">. The COD curves </w:t>
      </w:r>
      <w:r w:rsidR="00E27FBC" w:rsidRPr="00B35F21">
        <w:rPr>
          <w:i w:val="0"/>
          <w:lang w:val="en-US"/>
        </w:rPr>
        <w:t>show</w:t>
      </w:r>
      <w:r w:rsidR="00174A85" w:rsidRPr="00B35F21">
        <w:rPr>
          <w:i w:val="0"/>
          <w:lang w:val="en-US"/>
        </w:rPr>
        <w:t>ed</w:t>
      </w:r>
      <w:r w:rsidRPr="00B35F21">
        <w:rPr>
          <w:i w:val="0"/>
          <w:lang w:val="en-US"/>
        </w:rPr>
        <w:t xml:space="preserve"> the same trend</w:t>
      </w:r>
      <w:r w:rsidR="00174A85" w:rsidRPr="00B35F21">
        <w:rPr>
          <w:i w:val="0"/>
          <w:lang w:val="en-US"/>
        </w:rPr>
        <w:t xml:space="preserve"> </w:t>
      </w:r>
      <w:r w:rsidR="00E27FBC" w:rsidRPr="00B35F21">
        <w:rPr>
          <w:i w:val="0"/>
          <w:lang w:val="en-US"/>
        </w:rPr>
        <w:t>in</w:t>
      </w:r>
      <w:r w:rsidR="00174A85" w:rsidRPr="00B35F21">
        <w:rPr>
          <w:i w:val="0"/>
          <w:lang w:val="en-US"/>
        </w:rPr>
        <w:t xml:space="preserve"> the three different </w:t>
      </w:r>
      <w:r w:rsidRPr="00B35F21">
        <w:rPr>
          <w:i w:val="0"/>
          <w:lang w:val="en-US"/>
        </w:rPr>
        <w:t>WWWs</w:t>
      </w:r>
      <w:r w:rsidR="00E27FBC" w:rsidRPr="00B35F21">
        <w:rPr>
          <w:i w:val="0"/>
          <w:lang w:val="en-US"/>
        </w:rPr>
        <w:t>, in that</w:t>
      </w:r>
      <w:r w:rsidR="00174A85" w:rsidRPr="00B35F21">
        <w:rPr>
          <w:i w:val="0"/>
          <w:lang w:val="en-US"/>
        </w:rPr>
        <w:t xml:space="preserve"> </w:t>
      </w:r>
      <w:r w:rsidR="00E27FBC" w:rsidRPr="00B35F21">
        <w:rPr>
          <w:i w:val="0"/>
          <w:lang w:val="en-US"/>
        </w:rPr>
        <w:t xml:space="preserve">this parameter </w:t>
      </w:r>
      <w:r w:rsidRPr="00B35F21">
        <w:rPr>
          <w:i w:val="0"/>
          <w:lang w:val="en-US"/>
        </w:rPr>
        <w:t>decrease</w:t>
      </w:r>
      <w:r w:rsidR="00174A85" w:rsidRPr="00B35F21">
        <w:rPr>
          <w:i w:val="0"/>
          <w:lang w:val="en-US"/>
        </w:rPr>
        <w:t>d</w:t>
      </w:r>
      <w:r w:rsidRPr="00B35F21">
        <w:rPr>
          <w:i w:val="0"/>
          <w:lang w:val="en-US"/>
        </w:rPr>
        <w:t xml:space="preserve"> </w:t>
      </w:r>
      <w:r w:rsidR="00E27FBC" w:rsidRPr="00B35F21">
        <w:rPr>
          <w:i w:val="0"/>
          <w:lang w:val="en-US"/>
        </w:rPr>
        <w:t xml:space="preserve">quickly </w:t>
      </w:r>
      <w:r w:rsidRPr="00B35F21">
        <w:rPr>
          <w:i w:val="0"/>
          <w:lang w:val="en-US"/>
        </w:rPr>
        <w:t xml:space="preserve">during the first 4 days of </w:t>
      </w:r>
      <w:r w:rsidR="00E27FBC" w:rsidRPr="00B35F21">
        <w:rPr>
          <w:i w:val="0"/>
          <w:lang w:val="en-US"/>
        </w:rPr>
        <w:t>cultivation and then more slowly</w:t>
      </w:r>
      <w:r w:rsidRPr="00B35F21">
        <w:rPr>
          <w:i w:val="0"/>
          <w:lang w:val="en-US"/>
        </w:rPr>
        <w:t xml:space="preserve"> </w:t>
      </w:r>
      <w:r w:rsidR="00E27FBC" w:rsidRPr="00B35F21">
        <w:rPr>
          <w:i w:val="0"/>
          <w:lang w:val="en-US"/>
        </w:rPr>
        <w:t>up to the achievement of</w:t>
      </w:r>
      <w:r w:rsidR="00CC17F3" w:rsidRPr="00B35F21">
        <w:rPr>
          <w:i w:val="0"/>
          <w:lang w:val="en-US"/>
        </w:rPr>
        <w:t xml:space="preserve"> a minimum threshold</w:t>
      </w:r>
      <w:r w:rsidR="00174A85" w:rsidRPr="00B35F21">
        <w:rPr>
          <w:i w:val="0"/>
          <w:lang w:val="en-US"/>
        </w:rPr>
        <w:t xml:space="preserve"> value</w:t>
      </w:r>
      <w:r w:rsidRPr="00B35F21">
        <w:rPr>
          <w:i w:val="0"/>
          <w:lang w:val="en-US"/>
        </w:rPr>
        <w:t xml:space="preserve">. At the end of </w:t>
      </w:r>
      <w:r w:rsidR="00CC17F3" w:rsidRPr="00B35F21">
        <w:rPr>
          <w:i w:val="0"/>
          <w:lang w:val="en-US"/>
        </w:rPr>
        <w:t>runs,</w:t>
      </w:r>
      <w:r w:rsidRPr="00B35F21">
        <w:rPr>
          <w:i w:val="0"/>
          <w:lang w:val="en-US"/>
        </w:rPr>
        <w:t xml:space="preserve"> the COD </w:t>
      </w:r>
      <w:r w:rsidR="00174A85" w:rsidRPr="00B35F21">
        <w:rPr>
          <w:i w:val="0"/>
          <w:lang w:val="en-US"/>
        </w:rPr>
        <w:t>was</w:t>
      </w:r>
      <w:r w:rsidRPr="00B35F21">
        <w:rPr>
          <w:i w:val="0"/>
          <w:lang w:val="en-US"/>
        </w:rPr>
        <w:t xml:space="preserve"> reduced </w:t>
      </w:r>
      <w:r w:rsidR="00CC17F3" w:rsidRPr="00B35F21">
        <w:rPr>
          <w:i w:val="0"/>
          <w:lang w:val="en-US"/>
        </w:rPr>
        <w:t>as much as</w:t>
      </w:r>
      <w:r w:rsidRPr="00B35F21">
        <w:rPr>
          <w:i w:val="0"/>
          <w:lang w:val="en-US"/>
        </w:rPr>
        <w:t xml:space="preserve"> 97% </w:t>
      </w:r>
      <w:r w:rsidR="00CC17F3" w:rsidRPr="00B35F21">
        <w:rPr>
          <w:i w:val="0"/>
          <w:lang w:val="en-US"/>
        </w:rPr>
        <w:t>in all</w:t>
      </w:r>
      <w:r w:rsidRPr="00B35F21">
        <w:rPr>
          <w:i w:val="0"/>
          <w:lang w:val="en-US"/>
        </w:rPr>
        <w:t xml:space="preserve"> WWWs, even if </w:t>
      </w:r>
      <w:r w:rsidR="00CC17F3" w:rsidRPr="00B35F21">
        <w:rPr>
          <w:i w:val="0"/>
          <w:lang w:val="en-US"/>
        </w:rPr>
        <w:t>its</w:t>
      </w:r>
      <w:r w:rsidRPr="00B35F21">
        <w:rPr>
          <w:i w:val="0"/>
          <w:lang w:val="en-US"/>
        </w:rPr>
        <w:t xml:space="preserve"> content </w:t>
      </w:r>
      <w:r w:rsidR="00CC17F3" w:rsidRPr="00B35F21">
        <w:rPr>
          <w:i w:val="0"/>
          <w:lang w:val="en-US"/>
        </w:rPr>
        <w:t>in</w:t>
      </w:r>
      <w:r w:rsidRPr="00B35F21">
        <w:rPr>
          <w:i w:val="0"/>
          <w:lang w:val="en-US"/>
        </w:rPr>
        <w:t xml:space="preserve"> 1W and 2W </w:t>
      </w:r>
      <w:r w:rsidR="00174A85" w:rsidRPr="00B35F21">
        <w:rPr>
          <w:i w:val="0"/>
          <w:lang w:val="en-US"/>
        </w:rPr>
        <w:t>was</w:t>
      </w:r>
      <w:r w:rsidRPr="00B35F21">
        <w:rPr>
          <w:i w:val="0"/>
          <w:lang w:val="en-US"/>
        </w:rPr>
        <w:t xml:space="preserve"> three times higher </w:t>
      </w:r>
      <w:r w:rsidR="00672E42" w:rsidRPr="00B35F21">
        <w:rPr>
          <w:i w:val="0"/>
          <w:lang w:val="en-US"/>
        </w:rPr>
        <w:t>than</w:t>
      </w:r>
      <w:r w:rsidR="00CC17F3" w:rsidRPr="00B35F21">
        <w:rPr>
          <w:i w:val="0"/>
          <w:lang w:val="en-US"/>
        </w:rPr>
        <w:t xml:space="preserve"> in</w:t>
      </w:r>
      <w:r w:rsidRPr="00B35F21">
        <w:rPr>
          <w:i w:val="0"/>
          <w:lang w:val="en-US"/>
        </w:rPr>
        <w:t xml:space="preserve"> </w:t>
      </w:r>
      <w:r w:rsidR="00174A85" w:rsidRPr="00B35F21">
        <w:rPr>
          <w:i w:val="0"/>
          <w:lang w:val="en-US"/>
        </w:rPr>
        <w:t>3</w:t>
      </w:r>
      <w:r w:rsidRPr="00B35F21">
        <w:rPr>
          <w:i w:val="0"/>
          <w:lang w:val="en-US"/>
        </w:rPr>
        <w:t xml:space="preserve">W. </w:t>
      </w:r>
      <w:r w:rsidR="00CE6D42" w:rsidRPr="00B35F21">
        <w:rPr>
          <w:i w:val="0"/>
          <w:lang w:val="en-US"/>
        </w:rPr>
        <w:t>As shown in Table 2, f</w:t>
      </w:r>
      <w:r w:rsidR="00CC17F3" w:rsidRPr="00B35F21">
        <w:rPr>
          <w:i w:val="0"/>
          <w:lang w:val="en-US"/>
        </w:rPr>
        <w:t>inal</w:t>
      </w:r>
      <w:r w:rsidRPr="00B35F21">
        <w:rPr>
          <w:i w:val="0"/>
          <w:lang w:val="en-US"/>
        </w:rPr>
        <w:t xml:space="preserve"> COD values </w:t>
      </w:r>
      <w:r w:rsidR="007C54ED" w:rsidRPr="00B35F21">
        <w:rPr>
          <w:i w:val="0"/>
          <w:lang w:val="en-US"/>
        </w:rPr>
        <w:t>in</w:t>
      </w:r>
      <w:r w:rsidRPr="00B35F21">
        <w:rPr>
          <w:i w:val="0"/>
          <w:lang w:val="en-US"/>
        </w:rPr>
        <w:t xml:space="preserve"> 2W and 3W (0.50 and 0.39 g/L, respectively) </w:t>
      </w:r>
      <w:r w:rsidR="00174A85" w:rsidRPr="00B35F21">
        <w:rPr>
          <w:i w:val="0"/>
          <w:lang w:val="en-US"/>
        </w:rPr>
        <w:t>w</w:t>
      </w:r>
      <w:r w:rsidR="007C54ED" w:rsidRPr="00B35F21">
        <w:rPr>
          <w:i w:val="0"/>
          <w:lang w:val="en-US"/>
        </w:rPr>
        <w:t>ere</w:t>
      </w:r>
      <w:r w:rsidRPr="00B35F21">
        <w:rPr>
          <w:i w:val="0"/>
          <w:lang w:val="en-US"/>
        </w:rPr>
        <w:t xml:space="preserve"> lower than the limit concentration (0.5 g/L) allow</w:t>
      </w:r>
      <w:r w:rsidR="00CE6D42" w:rsidRPr="00B35F21">
        <w:rPr>
          <w:i w:val="0"/>
          <w:lang w:val="en-US"/>
        </w:rPr>
        <w:t>ed</w:t>
      </w:r>
      <w:r w:rsidRPr="00B35F21">
        <w:rPr>
          <w:i w:val="0"/>
          <w:lang w:val="en-US"/>
        </w:rPr>
        <w:t xml:space="preserve"> </w:t>
      </w:r>
      <w:r w:rsidR="00CE6D42" w:rsidRPr="00B35F21">
        <w:rPr>
          <w:i w:val="0"/>
          <w:lang w:val="en-US"/>
        </w:rPr>
        <w:t>for</w:t>
      </w:r>
      <w:r w:rsidRPr="00B35F21">
        <w:rPr>
          <w:i w:val="0"/>
          <w:lang w:val="en-US"/>
        </w:rPr>
        <w:t xml:space="preserve"> discharge of WWWs into</w:t>
      </w:r>
      <w:r w:rsidR="00CE6D42" w:rsidRPr="00B35F21">
        <w:rPr>
          <w:i w:val="0"/>
          <w:lang w:val="en-US"/>
        </w:rPr>
        <w:t xml:space="preserve"> the</w:t>
      </w:r>
      <w:r w:rsidRPr="00B35F21">
        <w:rPr>
          <w:i w:val="0"/>
          <w:lang w:val="en-US"/>
        </w:rPr>
        <w:t xml:space="preserve"> sewer</w:t>
      </w:r>
      <w:r w:rsidR="00CE6D42" w:rsidRPr="00B35F21">
        <w:rPr>
          <w:i w:val="0"/>
          <w:lang w:val="en-US"/>
        </w:rPr>
        <w:t xml:space="preserve"> system</w:t>
      </w:r>
      <w:r w:rsidRPr="00B35F21">
        <w:rPr>
          <w:i w:val="0"/>
          <w:lang w:val="en-US"/>
        </w:rPr>
        <w:t xml:space="preserve">. </w:t>
      </w:r>
      <w:r w:rsidR="00CE6D42" w:rsidRPr="00B35F21">
        <w:rPr>
          <w:i w:val="0"/>
          <w:lang w:val="en-US"/>
        </w:rPr>
        <w:t>Such a</w:t>
      </w:r>
      <w:r w:rsidRPr="00B35F21">
        <w:rPr>
          <w:i w:val="0"/>
          <w:lang w:val="en-US"/>
        </w:rPr>
        <w:t xml:space="preserve"> COD removal </w:t>
      </w:r>
      <w:r w:rsidR="00CE6D42" w:rsidRPr="00B35F21">
        <w:rPr>
          <w:i w:val="0"/>
          <w:lang w:val="en-US"/>
        </w:rPr>
        <w:t>efficiency is</w:t>
      </w:r>
      <w:r w:rsidRPr="00B35F21">
        <w:rPr>
          <w:i w:val="0"/>
          <w:lang w:val="en-US"/>
        </w:rPr>
        <w:t xml:space="preserve"> comparable or</w:t>
      </w:r>
      <w:r w:rsidR="00CE6D42" w:rsidRPr="00B35F21">
        <w:rPr>
          <w:i w:val="0"/>
          <w:lang w:val="en-US"/>
        </w:rPr>
        <w:t xml:space="preserve"> even</w:t>
      </w:r>
      <w:r w:rsidRPr="00B35F21">
        <w:rPr>
          <w:i w:val="0"/>
          <w:lang w:val="en-US"/>
        </w:rPr>
        <w:t xml:space="preserve"> </w:t>
      </w:r>
      <w:r w:rsidR="00174A85" w:rsidRPr="00B35F21">
        <w:rPr>
          <w:i w:val="0"/>
          <w:lang w:val="en-US"/>
        </w:rPr>
        <w:t>better</w:t>
      </w:r>
      <w:r w:rsidRPr="00B35F21">
        <w:rPr>
          <w:i w:val="0"/>
          <w:lang w:val="en-US"/>
        </w:rPr>
        <w:t xml:space="preserve"> than </w:t>
      </w:r>
      <w:r w:rsidR="00CE6D42" w:rsidRPr="00B35F21">
        <w:rPr>
          <w:i w:val="0"/>
          <w:lang w:val="en-US"/>
        </w:rPr>
        <w:t xml:space="preserve">those of </w:t>
      </w:r>
      <w:r w:rsidRPr="00B35F21">
        <w:rPr>
          <w:i w:val="0"/>
          <w:lang w:val="en-US"/>
        </w:rPr>
        <w:t>conventional WWW treatment.</w:t>
      </w:r>
      <w:r w:rsidR="00174A85" w:rsidRPr="00B35F21">
        <w:rPr>
          <w:i w:val="0"/>
          <w:lang w:val="en-US"/>
        </w:rPr>
        <w:t xml:space="preserve"> </w:t>
      </w:r>
      <w:r w:rsidR="00590DCF" w:rsidRPr="00B35F21">
        <w:rPr>
          <w:i w:val="0"/>
          <w:lang w:val="en-US"/>
        </w:rPr>
        <w:t xml:space="preserve">To give only a few examples, </w:t>
      </w:r>
      <w:r w:rsidR="00590DCF" w:rsidRPr="00B35F21">
        <w:rPr>
          <w:i w:val="0"/>
          <w:lang w:val="en-US"/>
        </w:rPr>
        <w:fldChar w:fldCharType="begin" w:fldLock="1"/>
      </w:r>
      <w:r w:rsidR="00883130" w:rsidRPr="00B35F21">
        <w:rPr>
          <w:i w:val="0"/>
          <w:lang w:val="en-US"/>
        </w:rPr>
        <w:instrText>ADDIN CSL_CITATION {"citationItems":[{"id":"ITEM-1","itemData":{"DOI":"10.1016/j.jhazmat.2014.12.043","ISBN":"0304-3894","ISSN":"18733336","PMID":"25636058","abstract":"Winery wastewater is a major waste stream resulting from numerous cleaning operations that occur during the production stages of wine. The resulting effluent contains various organic and inorganic contaminants and its environmental impact is notable, mainly due to its high organic/inorganic load, the large volumes produced and its seasonal variability. Several processes for the treatment of winery wastewater are currently available, but the development of alternative treatment methods is necessary in order to (i) maximize the efficiency and flexibility of the treatment process to meet the discharge requirements for winery effluents, and (ii) decrease both the environmental footprint, as well as the investment/operational costs of the process. This review, presents the state-of-the-art of the processes currently applied and/or tested for the treatment of winery wastewater, which were divided into five categories: i.e., physicochemical, biological, membrane filtration and separation, advanced oxidation processes, and combined biological and advanced oxidation processes. The advantages and disadvantages, as well as the main parameters/factors affecting the efficiency of winery wastewater treatment are discussed. Both bench- and pilot/industrial-scale processes have been considered for this review.","author":[{"dropping-particle":"","family":"Ioannou","given":"L. A.","non-dropping-particle":"","parse-names":false,"suffix":""},{"dropping-particle":"","family":"Puma","given":"G. Li","non-dropping-particle":"","parse-names":false,"suffix":""},{"dropping-particle":"","family":"Fatta-Kassinos","given":"D.","non-dropping-particle":"","parse-names":false,"suffix":""}],"container-title":"Journal of Hazardous Materials","id":"ITEM-1","issued":{"date-parts":[["2015"]]},"page":"343-368","publisher":"Elsevier B.V.","title":"Treatment of winery wastewater by physicochemical, biological and advanced processes: A review","type":"article-journal","volume":"286"},"uris":["http://www.mendeley.com/documents/?uuid=9004782f-8829-4cc9-8856-5d915e441b2d"]}],"mendeley":{"formattedCitation":"(Ioannou, Puma, and Fatta-Kassinos 2015)","manualFormatting":"Ioannou et al. (2015)","plainTextFormattedCitation":"(Ioannou, Puma, and Fatta-Kassinos 2015)","previouslyFormattedCitation":"(Ioannou, Puma, and Fatta-Kassinos 2015)"},"properties":{"noteIndex":0},"schema":"https://github.com/citation-style-language/schema/raw/master/csl-citation.json"}</w:instrText>
      </w:r>
      <w:r w:rsidR="00590DCF" w:rsidRPr="00B35F21">
        <w:rPr>
          <w:i w:val="0"/>
          <w:lang w:val="en-US"/>
        </w:rPr>
        <w:fldChar w:fldCharType="separate"/>
      </w:r>
      <w:r w:rsidR="00590DCF" w:rsidRPr="00B35F21">
        <w:rPr>
          <w:i w:val="0"/>
          <w:noProof/>
          <w:lang w:val="en-US"/>
        </w:rPr>
        <w:t>Ioannou et al. (2015)</w:t>
      </w:r>
      <w:r w:rsidR="00590DCF" w:rsidRPr="00B35F21">
        <w:rPr>
          <w:i w:val="0"/>
          <w:lang w:val="en-US"/>
        </w:rPr>
        <w:fldChar w:fldCharType="end"/>
      </w:r>
      <w:r w:rsidR="00590DCF" w:rsidRPr="00B35F21">
        <w:rPr>
          <w:i w:val="0"/>
          <w:lang w:val="en-US"/>
        </w:rPr>
        <w:t xml:space="preserve"> </w:t>
      </w:r>
      <w:r w:rsidR="00174A85" w:rsidRPr="00B35F21">
        <w:rPr>
          <w:i w:val="0"/>
          <w:lang w:val="en-US"/>
        </w:rPr>
        <w:t xml:space="preserve">reported values </w:t>
      </w:r>
      <w:r w:rsidR="00590DCF" w:rsidRPr="00B35F21">
        <w:rPr>
          <w:i w:val="0"/>
          <w:lang w:val="en-US"/>
        </w:rPr>
        <w:t>of WWW</w:t>
      </w:r>
      <w:r w:rsidRPr="00B35F21">
        <w:rPr>
          <w:i w:val="0"/>
          <w:lang w:val="en-US"/>
        </w:rPr>
        <w:t xml:space="preserve"> COD removal by Advanced Oxidation Processes (AOPs) from 50 to 95%, while the combination of  biological processes and AOPs </w:t>
      </w:r>
      <w:r w:rsidR="009574C6" w:rsidRPr="00B35F21">
        <w:rPr>
          <w:i w:val="0"/>
          <w:lang w:val="en-US"/>
        </w:rPr>
        <w:t>lead</w:t>
      </w:r>
      <w:r w:rsidR="00590DCF" w:rsidRPr="00B35F21">
        <w:rPr>
          <w:i w:val="0"/>
          <w:lang w:val="en-US"/>
        </w:rPr>
        <w:t xml:space="preserve"> to</w:t>
      </w:r>
      <w:r w:rsidR="009574C6" w:rsidRPr="00B35F21">
        <w:rPr>
          <w:i w:val="0"/>
          <w:lang w:val="en-US"/>
        </w:rPr>
        <w:t xml:space="preserve"> removals </w:t>
      </w:r>
      <w:r w:rsidR="00590DCF" w:rsidRPr="00B35F21">
        <w:rPr>
          <w:i w:val="0"/>
          <w:lang w:val="en-US"/>
        </w:rPr>
        <w:t>in the range</w:t>
      </w:r>
      <w:r w:rsidR="009574C6" w:rsidRPr="00B35F21">
        <w:rPr>
          <w:i w:val="0"/>
          <w:lang w:val="en-US"/>
        </w:rPr>
        <w:t xml:space="preserve"> </w:t>
      </w:r>
      <w:r w:rsidRPr="00B35F21">
        <w:rPr>
          <w:i w:val="0"/>
          <w:lang w:val="en-US"/>
        </w:rPr>
        <w:t>30 to 96%</w:t>
      </w:r>
      <w:r w:rsidRPr="00B35F21">
        <w:rPr>
          <w:lang w:val="en-US"/>
        </w:rPr>
        <w:t>.</w:t>
      </w:r>
    </w:p>
    <w:p w14:paraId="7374404D" w14:textId="77777777" w:rsidR="0032696F" w:rsidRPr="00B35F21" w:rsidRDefault="0032696F" w:rsidP="005F522D">
      <w:pPr>
        <w:pStyle w:val="CETBodytextItalic"/>
        <w:rPr>
          <w:lang w:val="en-US"/>
        </w:rPr>
      </w:pPr>
      <w:bookmarkStart w:id="1" w:name="_GoBack"/>
      <w:bookmarkEnd w:id="1"/>
    </w:p>
    <w:p w14:paraId="7672F057" w14:textId="77777777" w:rsidR="0032696F" w:rsidRDefault="005F522D" w:rsidP="0032696F">
      <w:pPr>
        <w:pStyle w:val="CETBodytext"/>
        <w:jc w:val="left"/>
        <w:rPr>
          <w:rFonts w:asciiTheme="majorHAnsi" w:hAnsiTheme="majorHAnsi"/>
        </w:rPr>
      </w:pPr>
      <w:r w:rsidRPr="00B35F21">
        <w:rPr>
          <w:noProof/>
        </w:rPr>
        <w:lastRenderedPageBreak/>
        <w:drawing>
          <wp:inline distT="0" distB="0" distL="0" distR="0" wp14:anchorId="4BC306DC" wp14:editId="7B5096B9">
            <wp:extent cx="3599815" cy="2160000"/>
            <wp:effectExtent l="0" t="0" r="635" b="12065"/>
            <wp:docPr id="4" name="Grafico 4">
              <a:extLst xmlns:a="http://schemas.openxmlformats.org/drawingml/2006/main">
                <a:ext uri="{FF2B5EF4-FFF2-40B4-BE49-F238E27FC236}">
                  <a16:creationId xmlns:a16="http://schemas.microsoft.com/office/drawing/2014/main" id="{EF2DF787-710C-4913-AF92-3557667228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8BC7EB" w14:textId="0BEBF717" w:rsidR="005F522D" w:rsidRPr="002667E2" w:rsidRDefault="005F522D" w:rsidP="0032696F">
      <w:pPr>
        <w:pStyle w:val="CETCaption"/>
        <w:rPr>
          <w:rFonts w:cs="Arial"/>
        </w:rPr>
      </w:pPr>
      <w:r w:rsidRPr="002667E2">
        <w:rPr>
          <w:rFonts w:cs="Arial"/>
        </w:rPr>
        <w:t xml:space="preserve">Figure 2: </w:t>
      </w:r>
      <w:r w:rsidR="007C54ED" w:rsidRPr="002667E2">
        <w:rPr>
          <w:rFonts w:cs="Arial"/>
        </w:rPr>
        <w:t>Efficiency of</w:t>
      </w:r>
      <w:r w:rsidR="00DA39F9" w:rsidRPr="002667E2">
        <w:rPr>
          <w:rFonts w:cs="Arial"/>
        </w:rPr>
        <w:t xml:space="preserve"> WWW</w:t>
      </w:r>
      <w:r w:rsidR="007C54ED" w:rsidRPr="002667E2">
        <w:rPr>
          <w:rFonts w:cs="Arial"/>
        </w:rPr>
        <w:t xml:space="preserve"> </w:t>
      </w:r>
      <w:r w:rsidRPr="002667E2">
        <w:rPr>
          <w:rFonts w:cs="Arial"/>
        </w:rPr>
        <w:t xml:space="preserve">Chemical Oxygen Demand removal by </w:t>
      </w:r>
      <w:r w:rsidR="00DA39F9" w:rsidRPr="002667E2">
        <w:rPr>
          <w:rFonts w:cs="Arial"/>
        </w:rPr>
        <w:t xml:space="preserve">a co-culture of </w:t>
      </w:r>
      <w:proofErr w:type="spellStart"/>
      <w:r w:rsidR="00DA39F9" w:rsidRPr="002667E2">
        <w:rPr>
          <w:rFonts w:cs="Arial"/>
        </w:rPr>
        <w:t>Arthrospira</w:t>
      </w:r>
      <w:proofErr w:type="spellEnd"/>
      <w:r w:rsidR="00DA39F9" w:rsidRPr="002667E2">
        <w:rPr>
          <w:rFonts w:cs="Arial"/>
        </w:rPr>
        <w:t xml:space="preserve"> platensis and Chlorella vulgaris</w:t>
      </w:r>
      <w:r w:rsidR="006265F9" w:rsidRPr="002667E2">
        <w:rPr>
          <w:rFonts w:cs="Arial"/>
        </w:rPr>
        <w:t>.</w:t>
      </w:r>
    </w:p>
    <w:p w14:paraId="6381601B" w14:textId="5E5609DF" w:rsidR="005F522D" w:rsidRPr="00B35F21" w:rsidRDefault="0071038C" w:rsidP="005F522D">
      <w:pPr>
        <w:pStyle w:val="CETBodytextItalic"/>
        <w:rPr>
          <w:i w:val="0"/>
          <w:lang w:val="en-US"/>
        </w:rPr>
      </w:pPr>
      <w:r w:rsidRPr="00B35F21">
        <w:rPr>
          <w:i w:val="0"/>
          <w:lang w:val="en-US"/>
        </w:rPr>
        <w:t>In general, t</w:t>
      </w:r>
      <w:r w:rsidR="005F522D" w:rsidRPr="00B35F21">
        <w:rPr>
          <w:i w:val="0"/>
          <w:lang w:val="en-US"/>
        </w:rPr>
        <w:t>he COD content</w:t>
      </w:r>
      <w:r w:rsidR="009C3712" w:rsidRPr="00B35F21">
        <w:rPr>
          <w:i w:val="0"/>
          <w:lang w:val="en-US"/>
        </w:rPr>
        <w:t xml:space="preserve"> in WWWs,</w:t>
      </w:r>
      <w:r w:rsidR="005F522D" w:rsidRPr="00B35F21">
        <w:rPr>
          <w:i w:val="0"/>
          <w:lang w:val="en-US"/>
        </w:rPr>
        <w:t xml:space="preserve"> after treatment</w:t>
      </w:r>
      <w:r w:rsidR="009C256C" w:rsidRPr="00B35F21">
        <w:rPr>
          <w:i w:val="0"/>
          <w:lang w:val="en-US"/>
        </w:rPr>
        <w:t>s</w:t>
      </w:r>
      <w:r w:rsidR="00A80E78" w:rsidRPr="00B35F21">
        <w:rPr>
          <w:i w:val="0"/>
          <w:lang w:val="en-US"/>
        </w:rPr>
        <w:t xml:space="preserve"> with microalgae co-culture</w:t>
      </w:r>
      <w:r w:rsidR="005F522D" w:rsidRPr="00B35F21">
        <w:rPr>
          <w:i w:val="0"/>
          <w:lang w:val="en-US"/>
        </w:rPr>
        <w:t xml:space="preserve">, </w:t>
      </w:r>
      <w:r w:rsidRPr="00B35F21">
        <w:rPr>
          <w:i w:val="0"/>
          <w:lang w:val="en-US"/>
        </w:rPr>
        <w:t>w</w:t>
      </w:r>
      <w:r w:rsidR="009C3712" w:rsidRPr="00B35F21">
        <w:rPr>
          <w:i w:val="0"/>
          <w:lang w:val="en-US"/>
        </w:rPr>
        <w:t>as</w:t>
      </w:r>
      <w:r w:rsidR="005F522D" w:rsidRPr="00B35F21">
        <w:rPr>
          <w:i w:val="0"/>
          <w:lang w:val="en-US"/>
        </w:rPr>
        <w:t xml:space="preserve"> four times lower than</w:t>
      </w:r>
      <w:r w:rsidR="009C3712" w:rsidRPr="00B35F21">
        <w:rPr>
          <w:i w:val="0"/>
          <w:lang w:val="en-US"/>
        </w:rPr>
        <w:t xml:space="preserve"> in</w:t>
      </w:r>
      <w:r w:rsidR="005F522D" w:rsidRPr="00B35F21">
        <w:rPr>
          <w:i w:val="0"/>
          <w:lang w:val="en-US"/>
        </w:rPr>
        <w:t xml:space="preserve"> controls </w:t>
      </w:r>
      <w:r w:rsidR="009C3712" w:rsidRPr="00B35F21">
        <w:rPr>
          <w:i w:val="0"/>
          <w:lang w:val="en-US"/>
        </w:rPr>
        <w:t>(</w:t>
      </w:r>
      <w:r w:rsidR="005F522D" w:rsidRPr="00B35F21">
        <w:rPr>
          <w:i w:val="0"/>
          <w:lang w:val="en-US"/>
        </w:rPr>
        <w:t>Table 2</w:t>
      </w:r>
      <w:r w:rsidR="009C3712" w:rsidRPr="00B35F21">
        <w:rPr>
          <w:i w:val="0"/>
          <w:lang w:val="en-US"/>
        </w:rPr>
        <w:t>),</w:t>
      </w:r>
      <w:r w:rsidR="005F522D" w:rsidRPr="00B35F21">
        <w:rPr>
          <w:i w:val="0"/>
          <w:lang w:val="en-US"/>
        </w:rPr>
        <w:t xml:space="preserve"> </w:t>
      </w:r>
      <w:r w:rsidR="009C3712" w:rsidRPr="00B35F21">
        <w:rPr>
          <w:i w:val="0"/>
          <w:lang w:val="en-US"/>
        </w:rPr>
        <w:t>which</w:t>
      </w:r>
      <w:r w:rsidR="005F522D" w:rsidRPr="00B35F21">
        <w:rPr>
          <w:i w:val="0"/>
          <w:lang w:val="en-US"/>
        </w:rPr>
        <w:t xml:space="preserve"> confirm</w:t>
      </w:r>
      <w:r w:rsidR="009C3712" w:rsidRPr="00B35F21">
        <w:rPr>
          <w:i w:val="0"/>
          <w:lang w:val="en-US"/>
        </w:rPr>
        <w:t>s</w:t>
      </w:r>
      <w:r w:rsidR="005F522D" w:rsidRPr="00B35F21">
        <w:rPr>
          <w:i w:val="0"/>
          <w:lang w:val="en-US"/>
        </w:rPr>
        <w:t xml:space="preserve"> that microalgae are able to use the organic load of WWW as </w:t>
      </w:r>
      <w:r w:rsidR="009C3712" w:rsidRPr="00B35F21">
        <w:rPr>
          <w:i w:val="0"/>
          <w:lang w:val="en-US"/>
        </w:rPr>
        <w:t>carbon</w:t>
      </w:r>
      <w:r w:rsidR="005F522D" w:rsidRPr="00B35F21">
        <w:rPr>
          <w:i w:val="0"/>
          <w:lang w:val="en-US"/>
        </w:rPr>
        <w:t xml:space="preserve"> source </w:t>
      </w:r>
      <w:r w:rsidR="009C3712" w:rsidRPr="00B35F21">
        <w:rPr>
          <w:i w:val="0"/>
          <w:lang w:val="en-US"/>
        </w:rPr>
        <w:t>for</w:t>
      </w:r>
      <w:r w:rsidR="005F522D" w:rsidRPr="00B35F21">
        <w:rPr>
          <w:i w:val="0"/>
          <w:lang w:val="en-US"/>
        </w:rPr>
        <w:t xml:space="preserve"> their metabolism </w:t>
      </w:r>
      <w:r w:rsidR="005F522D" w:rsidRPr="00B35F21">
        <w:rPr>
          <w:i w:val="0"/>
          <w:lang w:val="en-US"/>
        </w:rPr>
        <w:fldChar w:fldCharType="begin" w:fldLock="1"/>
      </w:r>
      <w:r w:rsidR="00883130" w:rsidRPr="00B35F21">
        <w:rPr>
          <w:i w:val="0"/>
          <w:lang w:val="en-US"/>
        </w:rPr>
        <w:instrText>ADDIN CSL_CITATION {"citationItems":[{"id":"ITEM-1","itemData":{"DOI":"10.1016/j.biortech.2017.09.108","ISSN":"18732976","PMID":"28982087","abstract":"In this study, mixed microalgae consortia was cultivated using digestate (D), animal manure (AM) and textile wastewater (TW) as growth medium providing mainly N (nitrogen) and P (phosphorous) sources without any extra nutrient addition. The corresponding total nitrogen (TN) and total phosphorous (TP, PO3-P) concentrations were noted as 323 and 21 for AM, 481 and 31 for TW and 747 and 55 mg/L for D, respectively. After a cultivation period of 13 days, P were completely removed (100%), however, N was still remain and attained the removal rate of 70.1, 72.3 and 16.7% for TW, AM and D, respectively. The peak growth rate and biomass production of 0.419 d−1and 0.4 g/L (in terms of volatile solids, VS) was achieved using TW as growth medium.","author":[{"dropping-particle":"","family":"Huy","given":"Menghour","non-dropping-particle":"","parse-names":false,"suffix":""},{"dropping-particle":"","family":"Kumar","given":"Gopalakrishnan","non-dropping-particle":"","parse-names":false,"suffix":""},{"dropping-particle":"","family":"Kim","given":"Hyun Woo","non-dropping-particle":"","parse-names":false,"suffix":""},{"dropping-particle":"","family":"Kim","given":"Sang Hyoun","non-dropping-particle":"","parse-names":false,"suffix":""}],"container-title":"Bioresource Technology","id":"ITEM-1","issue":"June 2017","issued":{"date-parts":[["2018"]]},"page":"576-581","publisher":"Elsevier","title":"Photoautotrophic cultivation of mixed microalgae consortia using various organic waste streams towards remediation and resource recovery","type":"article-journal","volume":"247"},"uris":["http://www.mendeley.com/documents/?uuid=c98705d6-06de-4ab3-ad69-dcc1d9c5dbde"]}],"mendeley":{"formattedCitation":"(Huy et al. 2018)","manualFormatting":"(Huy et al., 2018)","plainTextFormattedCitation":"(Huy et al. 2018)","previouslyFormattedCitation":"(Huy et al. 2018)"},"properties":{"noteIndex":0},"schema":"https://github.com/citation-style-language/schema/raw/master/csl-citation.json"}</w:instrText>
      </w:r>
      <w:r w:rsidR="005F522D" w:rsidRPr="00B35F21">
        <w:rPr>
          <w:i w:val="0"/>
          <w:lang w:val="en-US"/>
        </w:rPr>
        <w:fldChar w:fldCharType="separate"/>
      </w:r>
      <w:r w:rsidR="005F522D" w:rsidRPr="00B35F21">
        <w:rPr>
          <w:i w:val="0"/>
          <w:noProof/>
          <w:lang w:val="en-US"/>
        </w:rPr>
        <w:t>(Huy et al.</w:t>
      </w:r>
      <w:r w:rsidRPr="00B35F21">
        <w:rPr>
          <w:i w:val="0"/>
          <w:noProof/>
          <w:lang w:val="en-US"/>
        </w:rPr>
        <w:t>,</w:t>
      </w:r>
      <w:r w:rsidR="005F522D" w:rsidRPr="00B35F21">
        <w:rPr>
          <w:i w:val="0"/>
          <w:noProof/>
          <w:lang w:val="en-US"/>
        </w:rPr>
        <w:t xml:space="preserve"> 2018)</w:t>
      </w:r>
      <w:r w:rsidR="005F522D" w:rsidRPr="00B35F21">
        <w:rPr>
          <w:i w:val="0"/>
          <w:lang w:val="en-US"/>
        </w:rPr>
        <w:fldChar w:fldCharType="end"/>
      </w:r>
      <w:r w:rsidR="005F522D" w:rsidRPr="00B35F21">
        <w:rPr>
          <w:i w:val="0"/>
          <w:lang w:val="en-US"/>
        </w:rPr>
        <w:t xml:space="preserve">. </w:t>
      </w:r>
    </w:p>
    <w:p w14:paraId="7550CE90" w14:textId="6BE80695" w:rsidR="004A43B2" w:rsidRPr="00B35F21" w:rsidRDefault="005F522D" w:rsidP="005F522D">
      <w:pPr>
        <w:pStyle w:val="CETTabletitle"/>
      </w:pPr>
      <w:r w:rsidRPr="00B35F21">
        <w:t xml:space="preserve">Table 2: </w:t>
      </w:r>
      <w:r w:rsidR="00672E42" w:rsidRPr="00B35F21">
        <w:t xml:space="preserve">COD values </w:t>
      </w:r>
      <w:r w:rsidR="007C54ED" w:rsidRPr="00B35F21">
        <w:t>in</w:t>
      </w:r>
      <w:r w:rsidR="00672E42" w:rsidRPr="00B35F21">
        <w:t xml:space="preserve"> WWWs and controls</w:t>
      </w:r>
      <w:r w:rsidR="0071038C" w:rsidRPr="00B35F21">
        <w:t xml:space="preserve"> after 1, 7 and 15 days of </w:t>
      </w:r>
      <w:r w:rsidR="007C54ED" w:rsidRPr="00B35F21">
        <w:t xml:space="preserve">heterotrophic treatment with a co-culture of </w:t>
      </w:r>
      <w:proofErr w:type="spellStart"/>
      <w:r w:rsidR="007C54ED" w:rsidRPr="00B35F21">
        <w:rPr>
          <w:i w:val="0"/>
        </w:rPr>
        <w:t>Arthrospira</w:t>
      </w:r>
      <w:proofErr w:type="spellEnd"/>
      <w:r w:rsidR="007C54ED" w:rsidRPr="00B35F21">
        <w:rPr>
          <w:i w:val="0"/>
        </w:rPr>
        <w:t xml:space="preserve"> platensis</w:t>
      </w:r>
      <w:r w:rsidR="007C54ED" w:rsidRPr="00B35F21">
        <w:t xml:space="preserve"> and </w:t>
      </w:r>
      <w:r w:rsidR="007C54ED" w:rsidRPr="00B35F21">
        <w:rPr>
          <w:i w:val="0"/>
        </w:rPr>
        <w:t>Chlorella vulgaris</w:t>
      </w:r>
      <w:r w:rsidR="00672E42" w:rsidRPr="00B35F21">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gridCol w:w="1134"/>
        <w:gridCol w:w="1134"/>
      </w:tblGrid>
      <w:tr w:rsidR="00B35F21" w:rsidRPr="00B35F21" w14:paraId="287A2047" w14:textId="77777777" w:rsidTr="003B1527">
        <w:tc>
          <w:tcPr>
            <w:tcW w:w="1134" w:type="dxa"/>
            <w:tcBorders>
              <w:top w:val="single" w:sz="12" w:space="0" w:color="008000"/>
              <w:bottom w:val="single" w:sz="6" w:space="0" w:color="008000"/>
            </w:tcBorders>
            <w:shd w:val="clear" w:color="auto" w:fill="FFFFFF"/>
          </w:tcPr>
          <w:p w14:paraId="12C0FF4A" w14:textId="77777777" w:rsidR="00DA39F9" w:rsidRPr="00B35F21" w:rsidRDefault="004A43B2" w:rsidP="003B1527">
            <w:pPr>
              <w:pStyle w:val="CETBodytext"/>
              <w:rPr>
                <w:lang w:val="en-GB"/>
              </w:rPr>
            </w:pPr>
            <w:r w:rsidRPr="00B35F21">
              <w:rPr>
                <w:lang w:val="en-GB"/>
              </w:rPr>
              <w:t xml:space="preserve"> Time </w:t>
            </w:r>
          </w:p>
          <w:p w14:paraId="38115396" w14:textId="71AE7248" w:rsidR="004A43B2" w:rsidRPr="00B35F21" w:rsidRDefault="004A43B2" w:rsidP="003B1527">
            <w:pPr>
              <w:pStyle w:val="CETBodytext"/>
              <w:rPr>
                <w:lang w:val="en-GB"/>
              </w:rPr>
            </w:pPr>
            <w:r w:rsidRPr="00B35F21">
              <w:rPr>
                <w:lang w:val="en-GB"/>
              </w:rPr>
              <w:t>(d)</w:t>
            </w:r>
          </w:p>
        </w:tc>
        <w:tc>
          <w:tcPr>
            <w:tcW w:w="1134" w:type="dxa"/>
            <w:tcBorders>
              <w:top w:val="single" w:sz="12" w:space="0" w:color="008000"/>
              <w:bottom w:val="single" w:sz="6" w:space="0" w:color="008000"/>
            </w:tcBorders>
            <w:shd w:val="clear" w:color="auto" w:fill="FFFFFF"/>
          </w:tcPr>
          <w:p w14:paraId="0BC08347" w14:textId="77777777" w:rsidR="004A43B2" w:rsidRPr="00B35F21" w:rsidRDefault="004A43B2" w:rsidP="003B1527">
            <w:pPr>
              <w:pStyle w:val="CETBodytext"/>
              <w:rPr>
                <w:lang w:val="en-GB"/>
              </w:rPr>
            </w:pPr>
            <w:r w:rsidRPr="00B35F21">
              <w:rPr>
                <w:lang w:val="en-GB"/>
              </w:rPr>
              <w:t>1W</w:t>
            </w:r>
          </w:p>
          <w:p w14:paraId="7378EFD7" w14:textId="77777777" w:rsidR="00672E42" w:rsidRPr="00B35F21" w:rsidRDefault="00672E42" w:rsidP="003B1527">
            <w:pPr>
              <w:pStyle w:val="CETBodytext"/>
              <w:rPr>
                <w:lang w:val="en-GB"/>
              </w:rPr>
            </w:pPr>
            <w:r w:rsidRPr="00B35F21">
              <w:rPr>
                <w:lang w:val="en-GB"/>
              </w:rPr>
              <w:t>(g/L)</w:t>
            </w:r>
          </w:p>
        </w:tc>
        <w:tc>
          <w:tcPr>
            <w:tcW w:w="1134" w:type="dxa"/>
            <w:tcBorders>
              <w:top w:val="single" w:sz="12" w:space="0" w:color="008000"/>
              <w:bottom w:val="single" w:sz="6" w:space="0" w:color="008000"/>
            </w:tcBorders>
            <w:shd w:val="clear" w:color="auto" w:fill="FFFFFF"/>
          </w:tcPr>
          <w:p w14:paraId="0195FC07" w14:textId="77777777" w:rsidR="004A43B2" w:rsidRPr="00B35F21" w:rsidRDefault="004A43B2" w:rsidP="003B1527">
            <w:pPr>
              <w:pStyle w:val="CETBodytext"/>
              <w:rPr>
                <w:lang w:val="en-GB"/>
              </w:rPr>
            </w:pPr>
            <w:r w:rsidRPr="00B35F21">
              <w:rPr>
                <w:lang w:val="en-GB"/>
              </w:rPr>
              <w:t>2W</w:t>
            </w:r>
          </w:p>
          <w:p w14:paraId="71F241D3" w14:textId="77777777" w:rsidR="00672E42" w:rsidRPr="00B35F21" w:rsidRDefault="00672E42" w:rsidP="003B1527">
            <w:pPr>
              <w:pStyle w:val="CETBodytext"/>
              <w:rPr>
                <w:lang w:val="en-GB"/>
              </w:rPr>
            </w:pPr>
            <w:r w:rsidRPr="00B35F21">
              <w:rPr>
                <w:lang w:val="en-GB"/>
              </w:rPr>
              <w:t>(g/L)</w:t>
            </w:r>
          </w:p>
        </w:tc>
        <w:tc>
          <w:tcPr>
            <w:tcW w:w="1134" w:type="dxa"/>
            <w:tcBorders>
              <w:top w:val="single" w:sz="12" w:space="0" w:color="008000"/>
              <w:bottom w:val="single" w:sz="6" w:space="0" w:color="008000"/>
            </w:tcBorders>
            <w:shd w:val="clear" w:color="auto" w:fill="FFFFFF"/>
          </w:tcPr>
          <w:p w14:paraId="75D43F13" w14:textId="77777777" w:rsidR="004A43B2" w:rsidRPr="00B35F21" w:rsidRDefault="004A43B2" w:rsidP="003B1527">
            <w:pPr>
              <w:pStyle w:val="CETBodytext"/>
              <w:ind w:right="-1"/>
              <w:rPr>
                <w:rFonts w:cs="Arial"/>
                <w:szCs w:val="18"/>
                <w:lang w:val="en-GB"/>
              </w:rPr>
            </w:pPr>
            <w:r w:rsidRPr="00B35F21">
              <w:rPr>
                <w:rFonts w:cs="Arial"/>
                <w:szCs w:val="18"/>
                <w:lang w:val="en-GB"/>
              </w:rPr>
              <w:t>3W</w:t>
            </w:r>
          </w:p>
          <w:p w14:paraId="6A84B835" w14:textId="77777777" w:rsidR="00672E42" w:rsidRPr="00B35F21" w:rsidRDefault="00672E42" w:rsidP="003B1527">
            <w:pPr>
              <w:pStyle w:val="CETBodytext"/>
              <w:ind w:right="-1"/>
              <w:rPr>
                <w:rFonts w:cs="Arial"/>
                <w:szCs w:val="18"/>
                <w:lang w:val="en-GB"/>
              </w:rPr>
            </w:pPr>
            <w:r w:rsidRPr="00B35F21">
              <w:rPr>
                <w:lang w:val="en-GB"/>
              </w:rPr>
              <w:t>(g/L)</w:t>
            </w:r>
          </w:p>
        </w:tc>
        <w:tc>
          <w:tcPr>
            <w:tcW w:w="1134" w:type="dxa"/>
            <w:tcBorders>
              <w:top w:val="single" w:sz="12" w:space="0" w:color="008000"/>
              <w:bottom w:val="single" w:sz="6" w:space="0" w:color="008000"/>
            </w:tcBorders>
            <w:shd w:val="clear" w:color="auto" w:fill="FFFFFF"/>
          </w:tcPr>
          <w:p w14:paraId="009BB049" w14:textId="77777777" w:rsidR="004A43B2" w:rsidRPr="00B35F21" w:rsidRDefault="004A43B2" w:rsidP="003B1527">
            <w:pPr>
              <w:pStyle w:val="CETBodytext"/>
              <w:ind w:right="-1"/>
              <w:rPr>
                <w:rFonts w:cs="Arial"/>
                <w:szCs w:val="18"/>
                <w:lang w:val="en-GB"/>
              </w:rPr>
            </w:pPr>
            <w:r w:rsidRPr="00B35F21">
              <w:rPr>
                <w:rFonts w:cs="Arial"/>
                <w:szCs w:val="18"/>
                <w:lang w:val="en-GB"/>
              </w:rPr>
              <w:t>C1W</w:t>
            </w:r>
          </w:p>
          <w:p w14:paraId="6FC68AA0" w14:textId="77777777" w:rsidR="00672E42" w:rsidRPr="00B35F21" w:rsidRDefault="00672E42" w:rsidP="003B1527">
            <w:pPr>
              <w:pStyle w:val="CETBodytext"/>
              <w:ind w:right="-1"/>
              <w:rPr>
                <w:rFonts w:cs="Arial"/>
                <w:szCs w:val="18"/>
                <w:lang w:val="en-GB"/>
              </w:rPr>
            </w:pPr>
            <w:r w:rsidRPr="00B35F21">
              <w:rPr>
                <w:lang w:val="en-GB"/>
              </w:rPr>
              <w:t>(g/L)</w:t>
            </w:r>
          </w:p>
        </w:tc>
        <w:tc>
          <w:tcPr>
            <w:tcW w:w="1134" w:type="dxa"/>
            <w:tcBorders>
              <w:top w:val="single" w:sz="12" w:space="0" w:color="008000"/>
              <w:bottom w:val="single" w:sz="6" w:space="0" w:color="008000"/>
            </w:tcBorders>
            <w:shd w:val="clear" w:color="auto" w:fill="FFFFFF"/>
          </w:tcPr>
          <w:p w14:paraId="2EC11F7A" w14:textId="77777777" w:rsidR="004A43B2" w:rsidRPr="00B35F21" w:rsidRDefault="004A43B2" w:rsidP="003B1527">
            <w:pPr>
              <w:pStyle w:val="CETBodytext"/>
              <w:ind w:right="-1"/>
              <w:rPr>
                <w:rFonts w:cs="Arial"/>
                <w:szCs w:val="18"/>
                <w:lang w:val="en-GB"/>
              </w:rPr>
            </w:pPr>
            <w:r w:rsidRPr="00B35F21">
              <w:rPr>
                <w:rFonts w:cs="Arial"/>
                <w:szCs w:val="18"/>
                <w:lang w:val="en-GB"/>
              </w:rPr>
              <w:t>C2W</w:t>
            </w:r>
          </w:p>
          <w:p w14:paraId="41E15A5F" w14:textId="77777777" w:rsidR="00672E42" w:rsidRPr="00B35F21" w:rsidRDefault="00672E42" w:rsidP="003B1527">
            <w:pPr>
              <w:pStyle w:val="CETBodytext"/>
              <w:ind w:right="-1"/>
              <w:rPr>
                <w:rFonts w:cs="Arial"/>
                <w:szCs w:val="18"/>
                <w:lang w:val="en-GB"/>
              </w:rPr>
            </w:pPr>
            <w:r w:rsidRPr="00B35F21">
              <w:rPr>
                <w:lang w:val="en-GB"/>
              </w:rPr>
              <w:t>(g/L)</w:t>
            </w:r>
          </w:p>
        </w:tc>
        <w:tc>
          <w:tcPr>
            <w:tcW w:w="1134" w:type="dxa"/>
            <w:tcBorders>
              <w:top w:val="single" w:sz="12" w:space="0" w:color="008000"/>
              <w:bottom w:val="single" w:sz="6" w:space="0" w:color="008000"/>
            </w:tcBorders>
            <w:shd w:val="clear" w:color="auto" w:fill="FFFFFF"/>
          </w:tcPr>
          <w:p w14:paraId="7D54BA30" w14:textId="77777777" w:rsidR="004A43B2" w:rsidRPr="00B35F21" w:rsidRDefault="004A43B2" w:rsidP="003B1527">
            <w:pPr>
              <w:pStyle w:val="CETBodytext"/>
              <w:ind w:right="-1"/>
              <w:rPr>
                <w:rFonts w:cs="Arial"/>
                <w:szCs w:val="18"/>
                <w:lang w:val="en-GB"/>
              </w:rPr>
            </w:pPr>
            <w:r w:rsidRPr="00B35F21">
              <w:rPr>
                <w:rFonts w:cs="Arial"/>
                <w:szCs w:val="18"/>
                <w:lang w:val="en-GB"/>
              </w:rPr>
              <w:t>C3W</w:t>
            </w:r>
          </w:p>
          <w:p w14:paraId="3677AED0" w14:textId="77777777" w:rsidR="00672E42" w:rsidRPr="00B35F21" w:rsidRDefault="00672E42" w:rsidP="003B1527">
            <w:pPr>
              <w:pStyle w:val="CETBodytext"/>
              <w:ind w:right="-1"/>
              <w:rPr>
                <w:rFonts w:cs="Arial"/>
                <w:szCs w:val="18"/>
                <w:lang w:val="en-GB"/>
              </w:rPr>
            </w:pPr>
            <w:r w:rsidRPr="00B35F21">
              <w:rPr>
                <w:lang w:val="en-GB"/>
              </w:rPr>
              <w:t>(g/L)</w:t>
            </w:r>
          </w:p>
        </w:tc>
      </w:tr>
      <w:tr w:rsidR="00B35F21" w:rsidRPr="00B35F21" w14:paraId="79E1584A" w14:textId="77777777" w:rsidTr="003B1527">
        <w:tc>
          <w:tcPr>
            <w:tcW w:w="1134" w:type="dxa"/>
            <w:shd w:val="clear" w:color="auto" w:fill="FFFFFF"/>
          </w:tcPr>
          <w:p w14:paraId="70351EE7" w14:textId="77777777" w:rsidR="004A43B2" w:rsidRPr="00B35F21" w:rsidRDefault="004A43B2" w:rsidP="004A43B2">
            <w:pPr>
              <w:pStyle w:val="CETBodytext"/>
              <w:rPr>
                <w:lang w:val="en-GB"/>
              </w:rPr>
            </w:pPr>
            <w:r w:rsidRPr="00B35F21">
              <w:rPr>
                <w:lang w:val="en-GB"/>
              </w:rPr>
              <w:t>1</w:t>
            </w:r>
          </w:p>
        </w:tc>
        <w:tc>
          <w:tcPr>
            <w:tcW w:w="1134" w:type="dxa"/>
            <w:shd w:val="clear" w:color="auto" w:fill="FFFFFF"/>
          </w:tcPr>
          <w:p w14:paraId="40EF7F53" w14:textId="77777777" w:rsidR="004A43B2" w:rsidRPr="00B35F21" w:rsidRDefault="004A43B2" w:rsidP="004A43B2">
            <w:pPr>
              <w:pStyle w:val="CETBodytext"/>
              <w:jc w:val="left"/>
              <w:rPr>
                <w:lang w:val="en-GB"/>
              </w:rPr>
            </w:pPr>
            <w:r w:rsidRPr="00B35F21">
              <w:rPr>
                <w:rFonts w:asciiTheme="majorHAnsi" w:hAnsiTheme="majorHAnsi" w:cstheme="majorHAnsi"/>
                <w:sz w:val="20"/>
              </w:rPr>
              <w:t>23.26±0.00</w:t>
            </w:r>
          </w:p>
        </w:tc>
        <w:tc>
          <w:tcPr>
            <w:tcW w:w="1134" w:type="dxa"/>
            <w:shd w:val="clear" w:color="auto" w:fill="FFFFFF"/>
          </w:tcPr>
          <w:p w14:paraId="3EF47349" w14:textId="77777777" w:rsidR="004A43B2" w:rsidRPr="00B35F21" w:rsidRDefault="004A43B2" w:rsidP="004A43B2">
            <w:pPr>
              <w:pStyle w:val="CETBodytext"/>
              <w:jc w:val="left"/>
              <w:rPr>
                <w:lang w:val="en-GB"/>
              </w:rPr>
            </w:pPr>
            <w:r w:rsidRPr="00B35F21">
              <w:rPr>
                <w:rFonts w:asciiTheme="majorHAnsi" w:hAnsiTheme="majorHAnsi" w:cstheme="majorHAnsi"/>
                <w:sz w:val="20"/>
              </w:rPr>
              <w:t>23.86±0.00</w:t>
            </w:r>
          </w:p>
        </w:tc>
        <w:tc>
          <w:tcPr>
            <w:tcW w:w="1134" w:type="dxa"/>
            <w:shd w:val="clear" w:color="auto" w:fill="FFFFFF"/>
          </w:tcPr>
          <w:p w14:paraId="42F79315" w14:textId="77777777" w:rsidR="004A43B2" w:rsidRPr="00B35F21" w:rsidRDefault="004A43B2" w:rsidP="004A43B2">
            <w:pPr>
              <w:pStyle w:val="CETBodytext"/>
              <w:ind w:right="-1"/>
              <w:jc w:val="left"/>
              <w:rPr>
                <w:rFonts w:cs="Arial"/>
                <w:szCs w:val="18"/>
                <w:lang w:val="en-GB"/>
              </w:rPr>
            </w:pPr>
            <w:r w:rsidRPr="00B35F21">
              <w:rPr>
                <w:rFonts w:asciiTheme="majorHAnsi" w:hAnsiTheme="majorHAnsi" w:cstheme="majorHAnsi"/>
                <w:sz w:val="20"/>
              </w:rPr>
              <w:t>7.38±0.00</w:t>
            </w:r>
          </w:p>
        </w:tc>
        <w:tc>
          <w:tcPr>
            <w:tcW w:w="1134" w:type="dxa"/>
            <w:shd w:val="clear" w:color="auto" w:fill="FFFFFF"/>
          </w:tcPr>
          <w:p w14:paraId="2ED2651F" w14:textId="77777777" w:rsidR="004A43B2" w:rsidRPr="00B35F21" w:rsidRDefault="004A43B2" w:rsidP="004A43B2">
            <w:pPr>
              <w:spacing w:line="240" w:lineRule="auto"/>
              <w:jc w:val="left"/>
              <w:rPr>
                <w:rFonts w:asciiTheme="majorHAnsi" w:hAnsiTheme="majorHAnsi" w:cstheme="majorHAnsi"/>
                <w:sz w:val="20"/>
                <w:lang w:val="en-US"/>
              </w:rPr>
            </w:pPr>
            <w:r w:rsidRPr="00B35F21">
              <w:rPr>
                <w:rFonts w:asciiTheme="majorHAnsi" w:hAnsiTheme="majorHAnsi" w:cstheme="majorHAnsi"/>
                <w:sz w:val="20"/>
                <w:lang w:val="en-US"/>
              </w:rPr>
              <w:t>23.26±0.00</w:t>
            </w:r>
          </w:p>
        </w:tc>
        <w:tc>
          <w:tcPr>
            <w:tcW w:w="1134" w:type="dxa"/>
            <w:shd w:val="clear" w:color="auto" w:fill="FFFFFF"/>
          </w:tcPr>
          <w:p w14:paraId="587E1D98" w14:textId="77777777" w:rsidR="004A43B2" w:rsidRPr="00B35F21" w:rsidRDefault="004A43B2" w:rsidP="004A43B2">
            <w:pPr>
              <w:spacing w:line="240" w:lineRule="auto"/>
              <w:jc w:val="left"/>
              <w:rPr>
                <w:rFonts w:asciiTheme="majorHAnsi" w:hAnsiTheme="majorHAnsi" w:cstheme="majorHAnsi"/>
                <w:sz w:val="20"/>
                <w:lang w:val="en-US"/>
              </w:rPr>
            </w:pPr>
            <w:r w:rsidRPr="00B35F21">
              <w:rPr>
                <w:rFonts w:asciiTheme="majorHAnsi" w:hAnsiTheme="majorHAnsi" w:cstheme="majorHAnsi"/>
                <w:sz w:val="20"/>
                <w:lang w:val="en-US"/>
              </w:rPr>
              <w:t>23.86±0.00</w:t>
            </w:r>
          </w:p>
        </w:tc>
        <w:tc>
          <w:tcPr>
            <w:tcW w:w="1134" w:type="dxa"/>
            <w:shd w:val="clear" w:color="auto" w:fill="FFFFFF"/>
          </w:tcPr>
          <w:p w14:paraId="7942270F" w14:textId="77777777" w:rsidR="004A43B2" w:rsidRPr="00B35F21" w:rsidRDefault="004A43B2" w:rsidP="004A43B2">
            <w:pPr>
              <w:pStyle w:val="CETBodytext"/>
              <w:ind w:right="-1"/>
              <w:jc w:val="left"/>
              <w:rPr>
                <w:rFonts w:cs="Arial"/>
                <w:szCs w:val="18"/>
                <w:lang w:val="en-GB"/>
              </w:rPr>
            </w:pPr>
            <w:r w:rsidRPr="00B35F21">
              <w:rPr>
                <w:rFonts w:asciiTheme="majorHAnsi" w:hAnsiTheme="majorHAnsi" w:cstheme="majorHAnsi"/>
                <w:sz w:val="20"/>
              </w:rPr>
              <w:t>7.38±0.00</w:t>
            </w:r>
          </w:p>
        </w:tc>
      </w:tr>
      <w:tr w:rsidR="00B35F21" w:rsidRPr="00B35F21" w14:paraId="5426ECFC" w14:textId="77777777" w:rsidTr="00FB72D6">
        <w:tc>
          <w:tcPr>
            <w:tcW w:w="1134" w:type="dxa"/>
            <w:tcBorders>
              <w:bottom w:val="nil"/>
            </w:tcBorders>
            <w:shd w:val="clear" w:color="auto" w:fill="FFFFFF"/>
          </w:tcPr>
          <w:p w14:paraId="55051A2C" w14:textId="77777777" w:rsidR="004A43B2" w:rsidRPr="00B35F21" w:rsidRDefault="004A43B2" w:rsidP="004A43B2">
            <w:pPr>
              <w:pStyle w:val="CETBodytext"/>
              <w:ind w:right="-1"/>
              <w:rPr>
                <w:rFonts w:cs="Arial"/>
                <w:szCs w:val="18"/>
                <w:lang w:val="en-GB"/>
              </w:rPr>
            </w:pPr>
            <w:r w:rsidRPr="00B35F21">
              <w:rPr>
                <w:rFonts w:cs="Arial"/>
                <w:szCs w:val="18"/>
                <w:lang w:val="en-GB"/>
              </w:rPr>
              <w:t>7</w:t>
            </w:r>
          </w:p>
        </w:tc>
        <w:tc>
          <w:tcPr>
            <w:tcW w:w="1134" w:type="dxa"/>
            <w:tcBorders>
              <w:bottom w:val="nil"/>
            </w:tcBorders>
            <w:shd w:val="clear" w:color="auto" w:fill="FFFFFF"/>
          </w:tcPr>
          <w:p w14:paraId="3FC9FD99" w14:textId="77777777" w:rsidR="004A43B2" w:rsidRPr="00B35F21" w:rsidRDefault="004A43B2" w:rsidP="004A43B2">
            <w:pPr>
              <w:pStyle w:val="CETBodytext"/>
              <w:ind w:right="-1"/>
              <w:jc w:val="left"/>
              <w:rPr>
                <w:rFonts w:cs="Arial"/>
                <w:szCs w:val="18"/>
                <w:lang w:val="en-GB"/>
              </w:rPr>
            </w:pPr>
            <w:r w:rsidRPr="00B35F21">
              <w:rPr>
                <w:rFonts w:asciiTheme="majorHAnsi" w:hAnsiTheme="majorHAnsi" w:cstheme="majorHAnsi"/>
                <w:sz w:val="20"/>
              </w:rPr>
              <w:t>1.02±0.31</w:t>
            </w:r>
          </w:p>
        </w:tc>
        <w:tc>
          <w:tcPr>
            <w:tcW w:w="1134" w:type="dxa"/>
            <w:tcBorders>
              <w:bottom w:val="nil"/>
            </w:tcBorders>
            <w:shd w:val="clear" w:color="auto" w:fill="FFFFFF"/>
          </w:tcPr>
          <w:p w14:paraId="4312BAD6" w14:textId="77777777" w:rsidR="004A43B2" w:rsidRPr="00B35F21" w:rsidRDefault="004A43B2" w:rsidP="004A43B2">
            <w:pPr>
              <w:pStyle w:val="CETBodytext"/>
              <w:ind w:right="-1"/>
              <w:jc w:val="left"/>
              <w:rPr>
                <w:rFonts w:cs="Arial"/>
                <w:szCs w:val="18"/>
                <w:lang w:val="en-GB"/>
              </w:rPr>
            </w:pPr>
            <w:r w:rsidRPr="00B35F21">
              <w:rPr>
                <w:rFonts w:asciiTheme="majorHAnsi" w:hAnsiTheme="majorHAnsi" w:cstheme="majorHAnsi"/>
                <w:sz w:val="20"/>
              </w:rPr>
              <w:t>0.98±0.08</w:t>
            </w:r>
          </w:p>
        </w:tc>
        <w:tc>
          <w:tcPr>
            <w:tcW w:w="1134" w:type="dxa"/>
            <w:tcBorders>
              <w:bottom w:val="nil"/>
            </w:tcBorders>
            <w:shd w:val="clear" w:color="auto" w:fill="FFFFFF"/>
          </w:tcPr>
          <w:p w14:paraId="40967EEE" w14:textId="77777777" w:rsidR="004A43B2" w:rsidRPr="00B35F21" w:rsidRDefault="004A43B2" w:rsidP="004A43B2">
            <w:pPr>
              <w:spacing w:line="240" w:lineRule="auto"/>
              <w:jc w:val="left"/>
              <w:rPr>
                <w:rFonts w:asciiTheme="majorHAnsi" w:hAnsiTheme="majorHAnsi" w:cstheme="majorHAnsi"/>
                <w:sz w:val="20"/>
                <w:lang w:val="en-US"/>
              </w:rPr>
            </w:pPr>
            <w:r w:rsidRPr="00B35F21">
              <w:rPr>
                <w:rFonts w:asciiTheme="majorHAnsi" w:hAnsiTheme="majorHAnsi" w:cstheme="majorHAnsi"/>
                <w:sz w:val="20"/>
                <w:lang w:val="en-US"/>
              </w:rPr>
              <w:t>0.57±0.08</w:t>
            </w:r>
          </w:p>
        </w:tc>
        <w:tc>
          <w:tcPr>
            <w:tcW w:w="1134" w:type="dxa"/>
            <w:tcBorders>
              <w:bottom w:val="nil"/>
            </w:tcBorders>
            <w:shd w:val="clear" w:color="auto" w:fill="FFFFFF"/>
          </w:tcPr>
          <w:p w14:paraId="68904C79" w14:textId="77777777" w:rsidR="004A43B2" w:rsidRPr="00B35F21" w:rsidRDefault="004A43B2" w:rsidP="004A43B2">
            <w:pPr>
              <w:spacing w:line="240" w:lineRule="auto"/>
              <w:jc w:val="left"/>
              <w:rPr>
                <w:rFonts w:asciiTheme="majorHAnsi" w:hAnsiTheme="majorHAnsi" w:cstheme="majorHAnsi"/>
                <w:sz w:val="20"/>
                <w:lang w:val="en-US"/>
              </w:rPr>
            </w:pPr>
            <w:r w:rsidRPr="00B35F21">
              <w:rPr>
                <w:rFonts w:asciiTheme="majorHAnsi" w:hAnsiTheme="majorHAnsi" w:cstheme="majorHAnsi"/>
                <w:sz w:val="20"/>
                <w:lang w:val="en-US"/>
              </w:rPr>
              <w:t>8.70±0.00</w:t>
            </w:r>
          </w:p>
        </w:tc>
        <w:tc>
          <w:tcPr>
            <w:tcW w:w="1134" w:type="dxa"/>
            <w:tcBorders>
              <w:bottom w:val="nil"/>
            </w:tcBorders>
            <w:shd w:val="clear" w:color="auto" w:fill="FFFFFF"/>
          </w:tcPr>
          <w:p w14:paraId="02D299E6" w14:textId="77777777" w:rsidR="004A43B2" w:rsidRPr="00B35F21" w:rsidRDefault="004A43B2" w:rsidP="004A43B2">
            <w:pPr>
              <w:spacing w:line="240" w:lineRule="auto"/>
              <w:jc w:val="left"/>
              <w:rPr>
                <w:rFonts w:asciiTheme="majorHAnsi" w:hAnsiTheme="majorHAnsi" w:cstheme="majorHAnsi"/>
                <w:sz w:val="20"/>
                <w:lang w:val="en-US"/>
              </w:rPr>
            </w:pPr>
            <w:r w:rsidRPr="00B35F21">
              <w:rPr>
                <w:rFonts w:asciiTheme="majorHAnsi" w:hAnsiTheme="majorHAnsi" w:cstheme="majorHAnsi"/>
                <w:sz w:val="20"/>
                <w:lang w:val="en-US"/>
              </w:rPr>
              <w:t>7.47±0.00</w:t>
            </w:r>
          </w:p>
        </w:tc>
        <w:tc>
          <w:tcPr>
            <w:tcW w:w="1134" w:type="dxa"/>
            <w:tcBorders>
              <w:bottom w:val="nil"/>
            </w:tcBorders>
            <w:shd w:val="clear" w:color="auto" w:fill="FFFFFF"/>
          </w:tcPr>
          <w:p w14:paraId="6466BB28" w14:textId="77777777" w:rsidR="004A43B2" w:rsidRPr="00B35F21" w:rsidRDefault="004A43B2" w:rsidP="004A43B2">
            <w:pPr>
              <w:spacing w:line="240" w:lineRule="auto"/>
              <w:jc w:val="left"/>
              <w:rPr>
                <w:rFonts w:asciiTheme="majorHAnsi" w:hAnsiTheme="majorHAnsi" w:cstheme="majorHAnsi"/>
                <w:sz w:val="20"/>
                <w:lang w:val="en-US"/>
              </w:rPr>
            </w:pPr>
            <w:r w:rsidRPr="00B35F21">
              <w:rPr>
                <w:rFonts w:asciiTheme="majorHAnsi" w:hAnsiTheme="majorHAnsi" w:cstheme="majorHAnsi"/>
                <w:sz w:val="20"/>
                <w:lang w:val="en-US"/>
              </w:rPr>
              <w:t>3.38±0.00</w:t>
            </w:r>
          </w:p>
        </w:tc>
      </w:tr>
      <w:tr w:rsidR="00B35F21" w:rsidRPr="00B35F21" w14:paraId="3E70D2E3" w14:textId="77777777" w:rsidTr="00FB72D6">
        <w:tc>
          <w:tcPr>
            <w:tcW w:w="1134" w:type="dxa"/>
            <w:tcBorders>
              <w:top w:val="nil"/>
              <w:bottom w:val="single" w:sz="12" w:space="0" w:color="008000"/>
            </w:tcBorders>
            <w:shd w:val="clear" w:color="auto" w:fill="FFFFFF"/>
          </w:tcPr>
          <w:p w14:paraId="745E6F43" w14:textId="77777777" w:rsidR="004A43B2" w:rsidRPr="00B35F21" w:rsidRDefault="004A43B2" w:rsidP="004A43B2">
            <w:pPr>
              <w:pStyle w:val="CETBodytext"/>
              <w:ind w:right="-1"/>
              <w:rPr>
                <w:rFonts w:cs="Arial"/>
                <w:szCs w:val="18"/>
                <w:lang w:val="en-GB"/>
              </w:rPr>
            </w:pPr>
            <w:r w:rsidRPr="00B35F21">
              <w:rPr>
                <w:rFonts w:cs="Arial"/>
                <w:szCs w:val="18"/>
                <w:lang w:val="en-GB"/>
              </w:rPr>
              <w:t>15</w:t>
            </w:r>
          </w:p>
        </w:tc>
        <w:tc>
          <w:tcPr>
            <w:tcW w:w="1134" w:type="dxa"/>
            <w:tcBorders>
              <w:top w:val="nil"/>
              <w:bottom w:val="single" w:sz="12" w:space="0" w:color="008000"/>
            </w:tcBorders>
            <w:shd w:val="clear" w:color="auto" w:fill="FFFFFF"/>
          </w:tcPr>
          <w:p w14:paraId="65DF56DF" w14:textId="77777777" w:rsidR="004A43B2" w:rsidRPr="00B35F21" w:rsidRDefault="004A43B2" w:rsidP="004A43B2">
            <w:pPr>
              <w:pStyle w:val="CETBodytext"/>
              <w:ind w:right="-1"/>
              <w:jc w:val="left"/>
              <w:rPr>
                <w:rFonts w:cs="Arial"/>
                <w:szCs w:val="18"/>
                <w:lang w:val="en-GB"/>
              </w:rPr>
            </w:pPr>
            <w:r w:rsidRPr="00B35F21">
              <w:rPr>
                <w:rFonts w:asciiTheme="majorHAnsi" w:hAnsiTheme="majorHAnsi" w:cstheme="majorHAnsi"/>
                <w:sz w:val="20"/>
              </w:rPr>
              <w:t>0.95±0.07</w:t>
            </w:r>
          </w:p>
        </w:tc>
        <w:tc>
          <w:tcPr>
            <w:tcW w:w="1134" w:type="dxa"/>
            <w:tcBorders>
              <w:top w:val="nil"/>
              <w:bottom w:val="single" w:sz="12" w:space="0" w:color="008000"/>
            </w:tcBorders>
            <w:shd w:val="clear" w:color="auto" w:fill="FFFFFF"/>
          </w:tcPr>
          <w:p w14:paraId="44149AD4" w14:textId="77777777" w:rsidR="004A43B2" w:rsidRPr="00B35F21" w:rsidRDefault="004A43B2" w:rsidP="004A43B2">
            <w:pPr>
              <w:spacing w:line="240" w:lineRule="auto"/>
              <w:jc w:val="left"/>
              <w:rPr>
                <w:rFonts w:asciiTheme="majorHAnsi" w:hAnsiTheme="majorHAnsi" w:cstheme="majorHAnsi"/>
                <w:sz w:val="20"/>
                <w:lang w:val="en-US"/>
              </w:rPr>
            </w:pPr>
            <w:r w:rsidRPr="00B35F21">
              <w:rPr>
                <w:rFonts w:asciiTheme="majorHAnsi" w:hAnsiTheme="majorHAnsi" w:cstheme="majorHAnsi"/>
                <w:sz w:val="20"/>
                <w:lang w:val="en-US"/>
              </w:rPr>
              <w:t>0.50±0.00</w:t>
            </w:r>
          </w:p>
        </w:tc>
        <w:tc>
          <w:tcPr>
            <w:tcW w:w="1134" w:type="dxa"/>
            <w:tcBorders>
              <w:top w:val="nil"/>
              <w:bottom w:val="single" w:sz="12" w:space="0" w:color="008000"/>
            </w:tcBorders>
            <w:shd w:val="clear" w:color="auto" w:fill="FFFFFF"/>
          </w:tcPr>
          <w:p w14:paraId="65848D7B" w14:textId="77777777" w:rsidR="004A43B2" w:rsidRPr="00B35F21" w:rsidRDefault="004A43B2" w:rsidP="004A43B2">
            <w:pPr>
              <w:spacing w:line="240" w:lineRule="auto"/>
              <w:jc w:val="left"/>
              <w:rPr>
                <w:rFonts w:asciiTheme="majorHAnsi" w:hAnsiTheme="majorHAnsi" w:cstheme="majorHAnsi"/>
                <w:sz w:val="20"/>
                <w:lang w:val="en-US"/>
              </w:rPr>
            </w:pPr>
            <w:r w:rsidRPr="00B35F21">
              <w:rPr>
                <w:rFonts w:asciiTheme="majorHAnsi" w:hAnsiTheme="majorHAnsi" w:cstheme="majorHAnsi"/>
                <w:sz w:val="20"/>
                <w:lang w:val="en-US"/>
              </w:rPr>
              <w:t>0.39±0.03</w:t>
            </w:r>
          </w:p>
        </w:tc>
        <w:tc>
          <w:tcPr>
            <w:tcW w:w="1134" w:type="dxa"/>
            <w:tcBorders>
              <w:top w:val="nil"/>
              <w:bottom w:val="single" w:sz="12" w:space="0" w:color="008000"/>
            </w:tcBorders>
            <w:shd w:val="clear" w:color="auto" w:fill="FFFFFF"/>
          </w:tcPr>
          <w:p w14:paraId="2934990D" w14:textId="77777777" w:rsidR="004A43B2" w:rsidRPr="00B35F21" w:rsidRDefault="004A43B2" w:rsidP="004A43B2">
            <w:pPr>
              <w:spacing w:line="240" w:lineRule="auto"/>
              <w:jc w:val="left"/>
              <w:rPr>
                <w:rFonts w:asciiTheme="majorHAnsi" w:hAnsiTheme="majorHAnsi" w:cstheme="majorHAnsi"/>
                <w:sz w:val="20"/>
                <w:lang w:val="en-US"/>
              </w:rPr>
            </w:pPr>
            <w:r w:rsidRPr="00B35F21">
              <w:rPr>
                <w:rFonts w:asciiTheme="majorHAnsi" w:hAnsiTheme="majorHAnsi" w:cstheme="majorHAnsi"/>
                <w:sz w:val="20"/>
                <w:lang w:val="en-US"/>
              </w:rPr>
              <w:t>5.55±0.00</w:t>
            </w:r>
          </w:p>
        </w:tc>
        <w:tc>
          <w:tcPr>
            <w:tcW w:w="1134" w:type="dxa"/>
            <w:tcBorders>
              <w:top w:val="nil"/>
              <w:bottom w:val="single" w:sz="12" w:space="0" w:color="008000"/>
            </w:tcBorders>
            <w:shd w:val="clear" w:color="auto" w:fill="FFFFFF"/>
          </w:tcPr>
          <w:p w14:paraId="61E05ABE" w14:textId="77777777" w:rsidR="004A43B2" w:rsidRPr="00B35F21" w:rsidRDefault="004A43B2" w:rsidP="004A43B2">
            <w:pPr>
              <w:spacing w:line="240" w:lineRule="auto"/>
              <w:jc w:val="left"/>
              <w:rPr>
                <w:rFonts w:asciiTheme="majorHAnsi" w:hAnsiTheme="majorHAnsi" w:cstheme="majorHAnsi"/>
                <w:sz w:val="20"/>
                <w:lang w:val="en-US"/>
              </w:rPr>
            </w:pPr>
            <w:r w:rsidRPr="00B35F21">
              <w:rPr>
                <w:rFonts w:asciiTheme="majorHAnsi" w:hAnsiTheme="majorHAnsi" w:cstheme="majorHAnsi"/>
                <w:sz w:val="20"/>
                <w:lang w:val="en-US"/>
              </w:rPr>
              <w:t>4.25±0.00</w:t>
            </w:r>
          </w:p>
        </w:tc>
        <w:tc>
          <w:tcPr>
            <w:tcW w:w="1134" w:type="dxa"/>
            <w:tcBorders>
              <w:top w:val="nil"/>
              <w:bottom w:val="single" w:sz="12" w:space="0" w:color="008000"/>
            </w:tcBorders>
            <w:shd w:val="clear" w:color="auto" w:fill="FFFFFF"/>
          </w:tcPr>
          <w:p w14:paraId="77060EC0" w14:textId="77777777" w:rsidR="004A43B2" w:rsidRPr="00B35F21" w:rsidRDefault="004A43B2" w:rsidP="004A43B2">
            <w:pPr>
              <w:spacing w:line="240" w:lineRule="auto"/>
              <w:jc w:val="left"/>
              <w:rPr>
                <w:rFonts w:asciiTheme="majorHAnsi" w:hAnsiTheme="majorHAnsi" w:cstheme="majorHAnsi"/>
                <w:sz w:val="20"/>
                <w:lang w:val="en-US"/>
              </w:rPr>
            </w:pPr>
            <w:r w:rsidRPr="00B35F21">
              <w:rPr>
                <w:rFonts w:asciiTheme="majorHAnsi" w:hAnsiTheme="majorHAnsi" w:cstheme="majorHAnsi"/>
                <w:sz w:val="20"/>
                <w:lang w:val="en-US"/>
              </w:rPr>
              <w:t>1.85±0.00</w:t>
            </w:r>
          </w:p>
        </w:tc>
      </w:tr>
    </w:tbl>
    <w:p w14:paraId="0957211D" w14:textId="01E0EEF8" w:rsidR="005F522D" w:rsidRPr="00B35F21" w:rsidRDefault="005F522D" w:rsidP="005F522D">
      <w:pPr>
        <w:pStyle w:val="CETheadingx"/>
      </w:pPr>
      <w:r w:rsidRPr="00B35F21">
        <w:t>Polyphenol content in WWW</w:t>
      </w:r>
      <w:r w:rsidR="005E2064" w:rsidRPr="00B35F21">
        <w:t>s</w:t>
      </w:r>
    </w:p>
    <w:p w14:paraId="6E9E166C" w14:textId="3BC75BDE" w:rsidR="00216C54" w:rsidRPr="00B35F21" w:rsidRDefault="005E2064" w:rsidP="00216C54">
      <w:pPr>
        <w:pStyle w:val="CETBodytext"/>
      </w:pPr>
      <w:r w:rsidRPr="00B35F21">
        <w:t>P</w:t>
      </w:r>
      <w:r w:rsidR="008418E5" w:rsidRPr="00B35F21">
        <w:t xml:space="preserve">olyphenol content of WWWs </w:t>
      </w:r>
      <w:r w:rsidR="0071038C" w:rsidRPr="00B35F21">
        <w:t>was</w:t>
      </w:r>
      <w:r w:rsidR="008418E5" w:rsidRPr="00B35F21">
        <w:t xml:space="preserve"> </w:t>
      </w:r>
      <w:r w:rsidR="009C3712" w:rsidRPr="00B35F21">
        <w:t>determin</w:t>
      </w:r>
      <w:r w:rsidR="008418E5" w:rsidRPr="00B35F21">
        <w:t>ed</w:t>
      </w:r>
      <w:r w:rsidRPr="00B35F21">
        <w:t xml:space="preserve"> either</w:t>
      </w:r>
      <w:r w:rsidR="008418E5" w:rsidRPr="00B35F21">
        <w:t xml:space="preserve"> </w:t>
      </w:r>
      <w:r w:rsidR="009C3712" w:rsidRPr="00B35F21">
        <w:t xml:space="preserve">before </w:t>
      </w:r>
      <w:r w:rsidRPr="00B35F21">
        <w:t>or</w:t>
      </w:r>
      <w:r w:rsidR="009C3712" w:rsidRPr="00B35F21">
        <w:t xml:space="preserve"> after treatment with the microalgae co-culture </w:t>
      </w:r>
      <w:r w:rsidR="008418E5" w:rsidRPr="00B35F21">
        <w:t>by</w:t>
      </w:r>
      <w:r w:rsidRPr="00B35F21">
        <w:t xml:space="preserve"> the</w:t>
      </w:r>
      <w:r w:rsidR="008418E5" w:rsidRPr="00B35F21">
        <w:t xml:space="preserve"> </w:t>
      </w:r>
      <w:proofErr w:type="spellStart"/>
      <w:r w:rsidR="008418E5" w:rsidRPr="00B35F21">
        <w:t>Folin-Ciocalteu</w:t>
      </w:r>
      <w:proofErr w:type="spellEnd"/>
      <w:r w:rsidR="008418E5" w:rsidRPr="00B35F21">
        <w:t xml:space="preserve"> method. </w:t>
      </w:r>
      <w:r w:rsidRPr="00B35F21">
        <w:t xml:space="preserve">As illustrated in Figure 3, </w:t>
      </w:r>
      <w:r w:rsidR="00BF1A58" w:rsidRPr="00B35F21">
        <w:t>polyphenol</w:t>
      </w:r>
      <w:r w:rsidRPr="00B35F21">
        <w:t>s were</w:t>
      </w:r>
      <w:r w:rsidR="00BF1A58" w:rsidRPr="00B35F21">
        <w:t xml:space="preserve"> remov</w:t>
      </w:r>
      <w:r w:rsidRPr="00B35F21">
        <w:t>ed</w:t>
      </w:r>
      <w:r w:rsidR="00BF1A58" w:rsidRPr="00B35F21">
        <w:t xml:space="preserve"> follow</w:t>
      </w:r>
      <w:r w:rsidRPr="00B35F21">
        <w:t>ing</w:t>
      </w:r>
      <w:r w:rsidR="00BF1A58" w:rsidRPr="00B35F21">
        <w:t xml:space="preserve"> </w:t>
      </w:r>
      <w:r w:rsidRPr="00B35F21">
        <w:t>a similar</w:t>
      </w:r>
      <w:r w:rsidR="00BF1A58" w:rsidRPr="00B35F21">
        <w:t xml:space="preserve"> trend for </w:t>
      </w:r>
      <w:r w:rsidRPr="00B35F21">
        <w:t>the three</w:t>
      </w:r>
      <w:r w:rsidR="00BF1A58" w:rsidRPr="00B35F21">
        <w:t xml:space="preserve"> WWW</w:t>
      </w:r>
      <w:r w:rsidRPr="00B35F21">
        <w:t>s, in that</w:t>
      </w:r>
      <w:r w:rsidR="0071038C" w:rsidRPr="00B35F21">
        <w:t xml:space="preserve"> </w:t>
      </w:r>
      <w:r w:rsidRPr="00B35F21">
        <w:t>their content</w:t>
      </w:r>
      <w:r w:rsidR="00BF1A58" w:rsidRPr="00B35F21">
        <w:t xml:space="preserve"> decreased </w:t>
      </w:r>
      <w:r w:rsidRPr="00B35F21">
        <w:t>quick</w:t>
      </w:r>
      <w:r w:rsidR="00BF1A58" w:rsidRPr="00B35F21">
        <w:t>ly during the first 5 days of growth</w:t>
      </w:r>
      <w:r w:rsidRPr="00B35F21">
        <w:t xml:space="preserve"> and then slowly</w:t>
      </w:r>
      <w:r w:rsidR="00BF1A58" w:rsidRPr="00B35F21">
        <w:t xml:space="preserve"> </w:t>
      </w:r>
      <w:r w:rsidRPr="00B35F21">
        <w:t>achieved</w:t>
      </w:r>
      <w:r w:rsidR="00BF1A58" w:rsidRPr="00B35F21">
        <w:t xml:space="preserve"> </w:t>
      </w:r>
      <w:r w:rsidRPr="00B35F21">
        <w:t>an almost</w:t>
      </w:r>
      <w:r w:rsidR="00BF1A58" w:rsidRPr="00B35F21">
        <w:t xml:space="preserve"> constant</w:t>
      </w:r>
      <w:r w:rsidRPr="00B35F21">
        <w:t xml:space="preserve"> minimum</w:t>
      </w:r>
      <w:r w:rsidR="00BF1A58" w:rsidRPr="00B35F21">
        <w:t xml:space="preserve"> value. At the end of </w:t>
      </w:r>
      <w:r w:rsidR="009C256C" w:rsidRPr="00B35F21">
        <w:t>treatments,</w:t>
      </w:r>
      <w:r w:rsidR="00BF1A58" w:rsidRPr="00B35F21">
        <w:t xml:space="preserve"> polyphenol</w:t>
      </w:r>
      <w:r w:rsidR="009C256C" w:rsidRPr="00B35F21">
        <w:t xml:space="preserve"> content, expressed as gallic acid equivalents (GAE) per liter,</w:t>
      </w:r>
      <w:r w:rsidR="00BF1A58" w:rsidRPr="00B35F21">
        <w:t xml:space="preserve"> </w:t>
      </w:r>
      <w:r w:rsidR="009C256C" w:rsidRPr="00B35F21">
        <w:t>was</w:t>
      </w:r>
      <w:r w:rsidR="00BF1A58" w:rsidRPr="00B35F21">
        <w:t xml:space="preserve"> reduced from 0.29±0.02 to 0.13±0.01 </w:t>
      </w:r>
      <w:proofErr w:type="spellStart"/>
      <w:r w:rsidR="00BF1A58" w:rsidRPr="00B35F21">
        <w:t>g</w:t>
      </w:r>
      <w:r w:rsidR="009C256C" w:rsidRPr="00B35F21">
        <w:rPr>
          <w:vertAlign w:val="subscript"/>
        </w:rPr>
        <w:t>GAE</w:t>
      </w:r>
      <w:proofErr w:type="spellEnd"/>
      <w:r w:rsidR="00BF1A58" w:rsidRPr="00B35F21">
        <w:t xml:space="preserve">/L </w:t>
      </w:r>
      <w:r w:rsidR="009C256C" w:rsidRPr="00B35F21">
        <w:t>in</w:t>
      </w:r>
      <w:r w:rsidR="00BF1A58" w:rsidRPr="00B35F21">
        <w:t xml:space="preserve"> 1W</w:t>
      </w:r>
      <w:r w:rsidR="009C256C" w:rsidRPr="00B35F21">
        <w:t xml:space="preserve"> and</w:t>
      </w:r>
      <w:r w:rsidR="00BF1A58" w:rsidRPr="00B35F21">
        <w:t xml:space="preserve"> to 0.08±0.00 </w:t>
      </w:r>
      <w:proofErr w:type="spellStart"/>
      <w:r w:rsidR="00BF1A58" w:rsidRPr="00B35F21">
        <w:t>g</w:t>
      </w:r>
      <w:r w:rsidR="009C256C" w:rsidRPr="00B35F21">
        <w:rPr>
          <w:vertAlign w:val="subscript"/>
        </w:rPr>
        <w:t>GAE</w:t>
      </w:r>
      <w:proofErr w:type="spellEnd"/>
      <w:r w:rsidR="00BF1A58" w:rsidRPr="00B35F21">
        <w:t>/L</w:t>
      </w:r>
      <w:r w:rsidR="0071038C" w:rsidRPr="00B35F21">
        <w:t xml:space="preserve"> </w:t>
      </w:r>
      <w:r w:rsidR="009C256C" w:rsidRPr="00B35F21">
        <w:t>in</w:t>
      </w:r>
      <w:r w:rsidR="0071038C" w:rsidRPr="00B35F21">
        <w:t xml:space="preserve"> 2W</w:t>
      </w:r>
      <w:r w:rsidR="009C256C" w:rsidRPr="00B35F21">
        <w:t>, while</w:t>
      </w:r>
      <w:r w:rsidR="0071038C" w:rsidRPr="00B35F21">
        <w:t xml:space="preserve"> total re</w:t>
      </w:r>
      <w:r w:rsidR="009C256C" w:rsidRPr="00B35F21">
        <w:t>moval occurred in 3W</w:t>
      </w:r>
      <w:r w:rsidR="00BF1A58" w:rsidRPr="00B35F21">
        <w:t>.</w:t>
      </w:r>
      <w:r w:rsidR="0071038C" w:rsidRPr="00B35F21">
        <w:t xml:space="preserve"> </w:t>
      </w:r>
    </w:p>
    <w:p w14:paraId="41CF129D" w14:textId="77777777" w:rsidR="008418E5" w:rsidRPr="00B35F21" w:rsidRDefault="008418E5" w:rsidP="00216C54">
      <w:pPr>
        <w:pStyle w:val="CETBodytext"/>
      </w:pPr>
    </w:p>
    <w:p w14:paraId="6329F636" w14:textId="77777777" w:rsidR="0032696F" w:rsidRDefault="005F522D" w:rsidP="0032696F">
      <w:pPr>
        <w:pStyle w:val="CETBodytext"/>
        <w:jc w:val="left"/>
        <w:rPr>
          <w:rFonts w:asciiTheme="majorHAnsi" w:hAnsiTheme="majorHAnsi" w:cstheme="minorHAnsi"/>
        </w:rPr>
      </w:pPr>
      <w:r w:rsidRPr="00B35F21">
        <w:rPr>
          <w:noProof/>
        </w:rPr>
        <w:drawing>
          <wp:inline distT="0" distB="0" distL="0" distR="0" wp14:anchorId="3862D906" wp14:editId="2B3BF869">
            <wp:extent cx="3600000" cy="2160000"/>
            <wp:effectExtent l="0" t="0" r="635" b="12065"/>
            <wp:docPr id="7" name="Grafico 7">
              <a:extLst xmlns:a="http://schemas.openxmlformats.org/drawingml/2006/main">
                <a:ext uri="{FF2B5EF4-FFF2-40B4-BE49-F238E27FC236}">
                  <a16:creationId xmlns:a16="http://schemas.microsoft.com/office/drawing/2014/main" id="{D1A165A3-C20E-4AC3-B5B4-AE7A0FC2FB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25B4D3" w14:textId="5D5363D6" w:rsidR="004A43B2" w:rsidRPr="002667E2" w:rsidRDefault="004A43B2" w:rsidP="0032696F">
      <w:pPr>
        <w:pStyle w:val="CETCaption"/>
        <w:rPr>
          <w:rStyle w:val="CETBodytextCarattere"/>
          <w:rFonts w:cs="Arial"/>
        </w:rPr>
      </w:pPr>
      <w:r w:rsidRPr="002667E2">
        <w:rPr>
          <w:rFonts w:cs="Arial"/>
        </w:rPr>
        <w:t xml:space="preserve">Figure 3: </w:t>
      </w:r>
      <w:r w:rsidR="009C256C" w:rsidRPr="002667E2">
        <w:rPr>
          <w:rFonts w:cs="Arial"/>
        </w:rPr>
        <w:t>Time behaviour of p</w:t>
      </w:r>
      <w:r w:rsidR="00672E42" w:rsidRPr="002667E2">
        <w:rPr>
          <w:rFonts w:cs="Arial"/>
        </w:rPr>
        <w:t>olyphenol</w:t>
      </w:r>
      <w:r w:rsidR="009C256C" w:rsidRPr="002667E2">
        <w:rPr>
          <w:rFonts w:cs="Arial"/>
        </w:rPr>
        <w:t xml:space="preserve"> </w:t>
      </w:r>
      <w:r w:rsidRPr="002667E2">
        <w:rPr>
          <w:rFonts w:cs="Arial"/>
        </w:rPr>
        <w:t xml:space="preserve">removal efficiency </w:t>
      </w:r>
      <w:r w:rsidR="009C256C" w:rsidRPr="002667E2">
        <w:rPr>
          <w:rFonts w:cs="Arial"/>
        </w:rPr>
        <w:t xml:space="preserve">during WWW treatment with a co-culture of </w:t>
      </w:r>
      <w:proofErr w:type="spellStart"/>
      <w:r w:rsidR="009C256C" w:rsidRPr="002667E2">
        <w:rPr>
          <w:rStyle w:val="CETBodytextCarattere"/>
          <w:rFonts w:cs="Arial"/>
        </w:rPr>
        <w:t>Arthrospira</w:t>
      </w:r>
      <w:proofErr w:type="spellEnd"/>
      <w:r w:rsidR="009C256C" w:rsidRPr="002667E2">
        <w:rPr>
          <w:rStyle w:val="CETBodytextCarattere"/>
          <w:rFonts w:cs="Arial"/>
        </w:rPr>
        <w:t xml:space="preserve"> platensis and Chlorella vulgaris </w:t>
      </w:r>
    </w:p>
    <w:p w14:paraId="7F96E016" w14:textId="77777777" w:rsidR="00B260A4" w:rsidRPr="00B35F21" w:rsidRDefault="004A43B2" w:rsidP="004A43B2">
      <w:pPr>
        <w:pStyle w:val="CETHeading1"/>
      </w:pPr>
      <w:r w:rsidRPr="00B35F21">
        <w:lastRenderedPageBreak/>
        <w:t>Conclusion</w:t>
      </w:r>
    </w:p>
    <w:p w14:paraId="5A1F993D" w14:textId="189B030B" w:rsidR="00B260A4" w:rsidRPr="00B35F21" w:rsidRDefault="00216C54" w:rsidP="00785D44">
      <w:pPr>
        <w:pStyle w:val="CETBodytext"/>
      </w:pPr>
      <w:r w:rsidRPr="00B35F21">
        <w:t>The results obtained</w:t>
      </w:r>
      <w:r w:rsidR="009C256C" w:rsidRPr="00B35F21">
        <w:t xml:space="preserve"> in this study</w:t>
      </w:r>
      <w:r w:rsidRPr="00B35F21">
        <w:t xml:space="preserve"> </w:t>
      </w:r>
      <w:r w:rsidR="009C256C" w:rsidRPr="00B35F21">
        <w:t>demonstrated</w:t>
      </w:r>
      <w:r w:rsidRPr="00B35F21">
        <w:t xml:space="preserve"> that winery wastewater</w:t>
      </w:r>
      <w:r w:rsidR="00537E75" w:rsidRPr="00B35F21">
        <w:t xml:space="preserve"> (WWW)</w:t>
      </w:r>
      <w:r w:rsidRPr="00B35F21">
        <w:t xml:space="preserve"> </w:t>
      </w:r>
      <w:r w:rsidR="009C256C" w:rsidRPr="00B35F21">
        <w:t>may</w:t>
      </w:r>
      <w:r w:rsidRPr="00B35F21">
        <w:t xml:space="preserve"> be used </w:t>
      </w:r>
      <w:r w:rsidR="009C256C" w:rsidRPr="00B35F21">
        <w:t>to cultivate</w:t>
      </w:r>
      <w:r w:rsidRPr="00B35F21">
        <w:t xml:space="preserve"> microalgae </w:t>
      </w:r>
      <w:r w:rsidR="0071038C" w:rsidRPr="00B35F21">
        <w:t>under</w:t>
      </w:r>
      <w:r w:rsidRPr="00B35F21">
        <w:t xml:space="preserve"> dark condition</w:t>
      </w:r>
      <w:r w:rsidR="009C256C" w:rsidRPr="00B35F21">
        <w:t>s</w:t>
      </w:r>
      <w:r w:rsidRPr="00B35F21">
        <w:t xml:space="preserve">. </w:t>
      </w:r>
      <w:r w:rsidR="00537E75" w:rsidRPr="00B35F21">
        <w:t xml:space="preserve">A co-culture of </w:t>
      </w:r>
      <w:proofErr w:type="spellStart"/>
      <w:r w:rsidR="00537E75" w:rsidRPr="00B35F21">
        <w:rPr>
          <w:i/>
        </w:rPr>
        <w:t>Arthrospira</w:t>
      </w:r>
      <w:proofErr w:type="spellEnd"/>
      <w:r w:rsidR="00537E75" w:rsidRPr="00B35F21">
        <w:rPr>
          <w:i/>
        </w:rPr>
        <w:t xml:space="preserve"> platensis</w:t>
      </w:r>
      <w:r w:rsidR="00537E75" w:rsidRPr="00B35F21">
        <w:t xml:space="preserve"> and </w:t>
      </w:r>
      <w:r w:rsidR="00537E75" w:rsidRPr="00B35F21">
        <w:rPr>
          <w:i/>
        </w:rPr>
        <w:t>Chlorella vulgaris</w:t>
      </w:r>
      <w:r w:rsidRPr="00B35F21">
        <w:t xml:space="preserve"> </w:t>
      </w:r>
      <w:r w:rsidR="00537E75" w:rsidRPr="00B35F21">
        <w:t>was able to effectively grow on WWWs from the first and second washing tanks as culture media, achieving</w:t>
      </w:r>
      <w:r w:rsidRPr="00B35F21">
        <w:t xml:space="preserve"> </w:t>
      </w:r>
      <w:r w:rsidR="00537E75" w:rsidRPr="00B35F21">
        <w:t>maximum biomass concentrations</w:t>
      </w:r>
      <w:r w:rsidRPr="00B35F21">
        <w:t xml:space="preserve"> after 5 and 9 days, respectively</w:t>
      </w:r>
      <w:r w:rsidR="00537E75" w:rsidRPr="00B35F21">
        <w:t>, a COD reduction</w:t>
      </w:r>
      <w:r w:rsidR="000E022D" w:rsidRPr="00B35F21">
        <w:t xml:space="preserve"> </w:t>
      </w:r>
      <w:r w:rsidR="00537E75" w:rsidRPr="00B35F21">
        <w:t>as high as</w:t>
      </w:r>
      <w:r w:rsidR="000E022D" w:rsidRPr="00B35F21">
        <w:t xml:space="preserve"> 95% and </w:t>
      </w:r>
      <w:r w:rsidR="00537E75" w:rsidRPr="00B35F21">
        <w:t>quite low</w:t>
      </w:r>
      <w:r w:rsidR="000E022D" w:rsidRPr="00B35F21">
        <w:t xml:space="preserve"> polyphenol</w:t>
      </w:r>
      <w:r w:rsidR="000A2FCD" w:rsidRPr="00B35F21">
        <w:t xml:space="preserve"> content</w:t>
      </w:r>
      <w:r w:rsidR="000E022D" w:rsidRPr="00B35F21">
        <w:t>. Therefore, the growth c</w:t>
      </w:r>
      <w:r w:rsidR="000A2FCD" w:rsidRPr="00B35F21">
        <w:t>ould</w:t>
      </w:r>
      <w:r w:rsidR="000E022D" w:rsidRPr="00B35F21">
        <w:t xml:space="preserve"> be stopped when </w:t>
      </w:r>
      <w:r w:rsidR="000A2FCD" w:rsidRPr="00B35F21">
        <w:t>the</w:t>
      </w:r>
      <w:r w:rsidR="000E022D" w:rsidRPr="00B35F21">
        <w:t xml:space="preserve"> maximum concentration</w:t>
      </w:r>
      <w:r w:rsidR="00867F7D" w:rsidRPr="00B35F21">
        <w:t xml:space="preserve"> is reached</w:t>
      </w:r>
      <w:r w:rsidR="000A2FCD" w:rsidRPr="00B35F21">
        <w:t xml:space="preserve">. This could </w:t>
      </w:r>
      <w:r w:rsidR="000E022D" w:rsidRPr="00B35F21">
        <w:t>give a profit in terms of specific growth rate, lipid accumulation and productivity</w:t>
      </w:r>
      <w:r w:rsidR="00D54BB3" w:rsidRPr="00B35F21">
        <w:t>.</w:t>
      </w:r>
    </w:p>
    <w:p w14:paraId="09468CB5" w14:textId="1ED90B7B" w:rsidR="00B260A4" w:rsidRPr="00B35F21" w:rsidRDefault="000E022D" w:rsidP="00785D44">
      <w:pPr>
        <w:pStyle w:val="CETBodytext"/>
      </w:pPr>
      <w:r w:rsidRPr="00B35F21">
        <w:t xml:space="preserve">The use of </w:t>
      </w:r>
      <w:r w:rsidR="000A2FCD" w:rsidRPr="00B35F21">
        <w:t xml:space="preserve">winery </w:t>
      </w:r>
      <w:r w:rsidRPr="00B35F21">
        <w:t>wastewater as</w:t>
      </w:r>
      <w:r w:rsidR="00537E75" w:rsidRPr="00B35F21">
        <w:t xml:space="preserve"> </w:t>
      </w:r>
      <w:r w:rsidR="00116E0A" w:rsidRPr="00B35F21">
        <w:t xml:space="preserve">a </w:t>
      </w:r>
      <w:r w:rsidR="00537E75" w:rsidRPr="00B35F21">
        <w:t>culture medium for</w:t>
      </w:r>
      <w:r w:rsidRPr="00B35F21">
        <w:t xml:space="preserve"> microalgae </w:t>
      </w:r>
      <w:r w:rsidR="00537E75" w:rsidRPr="00B35F21">
        <w:t>growth in</w:t>
      </w:r>
      <w:r w:rsidRPr="00B35F21">
        <w:t xml:space="preserve"> the absence of</w:t>
      </w:r>
      <w:r w:rsidR="000A2FCD" w:rsidRPr="00B35F21">
        <w:t xml:space="preserve"> </w:t>
      </w:r>
      <w:r w:rsidRPr="00B35F21">
        <w:t xml:space="preserve">light </w:t>
      </w:r>
      <w:r w:rsidR="000A2FCD" w:rsidRPr="00B35F21">
        <w:t xml:space="preserve">could </w:t>
      </w:r>
      <w:r w:rsidRPr="00B35F21">
        <w:t>significantly</w:t>
      </w:r>
      <w:r w:rsidR="000A2FCD" w:rsidRPr="00B35F21">
        <w:t xml:space="preserve"> </w:t>
      </w:r>
      <w:r w:rsidR="00116E0A" w:rsidRPr="00B35F21">
        <w:t>reduce</w:t>
      </w:r>
      <w:r w:rsidRPr="00B35F21">
        <w:t xml:space="preserve"> the microalgae production cost</w:t>
      </w:r>
      <w:r w:rsidR="000A2FCD" w:rsidRPr="00B35F21">
        <w:t>s</w:t>
      </w:r>
      <w:r w:rsidRPr="00B35F21">
        <w:t xml:space="preserve">. </w:t>
      </w:r>
      <w:r w:rsidR="00116E0A" w:rsidRPr="00B35F21">
        <w:t>The resulting m</w:t>
      </w:r>
      <w:r w:rsidR="000A2FCD" w:rsidRPr="00B35F21">
        <w:t xml:space="preserve">icroalgae </w:t>
      </w:r>
      <w:r w:rsidR="00116E0A" w:rsidRPr="00B35F21">
        <w:t>biomass may then</w:t>
      </w:r>
      <w:r w:rsidRPr="00B35F21">
        <w:t xml:space="preserve"> </w:t>
      </w:r>
      <w:r w:rsidR="00AD1AED" w:rsidRPr="00B35F21">
        <w:t>be use</w:t>
      </w:r>
      <w:r w:rsidR="00116E0A" w:rsidRPr="00B35F21">
        <w:t>d</w:t>
      </w:r>
      <w:r w:rsidR="00AD1AED" w:rsidRPr="00B35F21">
        <w:t xml:space="preserve"> for bio</w:t>
      </w:r>
      <w:r w:rsidR="00116E0A" w:rsidRPr="00B35F21">
        <w:t>diesel</w:t>
      </w:r>
      <w:r w:rsidR="00AD1AED" w:rsidRPr="00B35F21">
        <w:t xml:space="preserve"> production, </w:t>
      </w:r>
      <w:r w:rsidR="00116E0A" w:rsidRPr="00B35F21">
        <w:t xml:space="preserve">for </w:t>
      </w:r>
      <w:r w:rsidR="00AD1AED" w:rsidRPr="00B35F21">
        <w:t>extraction of value-added compo</w:t>
      </w:r>
      <w:r w:rsidR="00116E0A" w:rsidRPr="00B35F21">
        <w:t>unds</w:t>
      </w:r>
      <w:r w:rsidR="00AD1AED" w:rsidRPr="00B35F21">
        <w:t xml:space="preserve"> and</w:t>
      </w:r>
      <w:r w:rsidR="00116E0A" w:rsidRPr="00B35F21">
        <w:t>/or as</w:t>
      </w:r>
      <w:r w:rsidR="00AD1AED" w:rsidRPr="00B35F21">
        <w:t xml:space="preserve"> protein-rich animal feed.</w:t>
      </w:r>
    </w:p>
    <w:p w14:paraId="7290C388" w14:textId="77777777" w:rsidR="00B260A4" w:rsidRPr="00B35F21" w:rsidRDefault="00B260A4" w:rsidP="00785D44">
      <w:pPr>
        <w:pStyle w:val="CETBodytext"/>
      </w:pPr>
    </w:p>
    <w:p w14:paraId="1732EC2E" w14:textId="47303455" w:rsidR="0067691B" w:rsidRPr="00CE3334" w:rsidRDefault="005F2026" w:rsidP="00571156">
      <w:pPr>
        <w:pStyle w:val="CETReferencetext"/>
        <w:rPr>
          <w:b/>
          <w:lang w:val="en-US"/>
        </w:rPr>
      </w:pPr>
      <w:r>
        <w:rPr>
          <w:b/>
          <w:lang w:val="en-US"/>
        </w:rPr>
        <w:t>R</w:t>
      </w:r>
      <w:r w:rsidR="008418E5" w:rsidRPr="00B35F21">
        <w:rPr>
          <w:b/>
          <w:lang w:val="en-US"/>
        </w:rPr>
        <w:t>eferences</w:t>
      </w:r>
      <w:r w:rsidR="0067691B" w:rsidRPr="00CE3334">
        <w:fldChar w:fldCharType="begin" w:fldLock="1"/>
      </w:r>
      <w:r w:rsidR="0067691B" w:rsidRPr="00CE3334">
        <w:rPr>
          <w:lang w:val="en-US"/>
        </w:rPr>
        <w:instrText xml:space="preserve">ADDIN Mendeley Bibliography CSL_BIBLIOGRAPHY </w:instrText>
      </w:r>
      <w:r w:rsidR="0067691B" w:rsidRPr="00CE3334">
        <w:fldChar w:fldCharType="separate"/>
      </w:r>
    </w:p>
    <w:p w14:paraId="179B63C6" w14:textId="0C1FF56D" w:rsidR="0067691B" w:rsidRPr="00CE3334" w:rsidRDefault="0067691B" w:rsidP="00571156">
      <w:pPr>
        <w:pStyle w:val="CETReferencetext"/>
        <w:rPr>
          <w:rFonts w:cs="Arial"/>
          <w:noProof/>
          <w:szCs w:val="24"/>
        </w:rPr>
      </w:pPr>
      <w:r w:rsidRPr="00CE3334">
        <w:rPr>
          <w:rFonts w:cs="Arial"/>
          <w:noProof/>
          <w:szCs w:val="24"/>
        </w:rPr>
        <w:t>Bischoff H. W., Bold</w:t>
      </w:r>
      <w:r w:rsidR="00E86F64" w:rsidRPr="00CE3334">
        <w:rPr>
          <w:rFonts w:cs="Arial"/>
          <w:noProof/>
          <w:szCs w:val="24"/>
        </w:rPr>
        <w:t xml:space="preserve"> H. C.,</w:t>
      </w:r>
      <w:r w:rsidRPr="00CE3334">
        <w:rPr>
          <w:rFonts w:cs="Arial"/>
          <w:noProof/>
          <w:szCs w:val="24"/>
        </w:rPr>
        <w:t xml:space="preserve"> 1963</w:t>
      </w:r>
      <w:r w:rsidR="00E86F64" w:rsidRPr="00CE3334">
        <w:rPr>
          <w:rFonts w:cs="Arial"/>
          <w:noProof/>
          <w:szCs w:val="24"/>
        </w:rPr>
        <w:t>,</w:t>
      </w:r>
      <w:r w:rsidRPr="00CE3334">
        <w:rPr>
          <w:rFonts w:cs="Arial"/>
          <w:noProof/>
          <w:szCs w:val="24"/>
        </w:rPr>
        <w:t xml:space="preserve"> Phycological </w:t>
      </w:r>
      <w:r w:rsidR="00FB72D6" w:rsidRPr="00CE3334">
        <w:rPr>
          <w:rFonts w:cs="Arial"/>
          <w:noProof/>
          <w:szCs w:val="24"/>
        </w:rPr>
        <w:t>s</w:t>
      </w:r>
      <w:r w:rsidRPr="00CE3334">
        <w:rPr>
          <w:rFonts w:cs="Arial"/>
          <w:noProof/>
          <w:szCs w:val="24"/>
        </w:rPr>
        <w:t xml:space="preserve">tudies IV. </w:t>
      </w:r>
      <w:r w:rsidR="00FB72D6" w:rsidRPr="00CE3334">
        <w:rPr>
          <w:rFonts w:cs="Arial"/>
          <w:noProof/>
          <w:szCs w:val="24"/>
        </w:rPr>
        <w:t>s</w:t>
      </w:r>
      <w:r w:rsidRPr="00CE3334">
        <w:rPr>
          <w:rFonts w:cs="Arial"/>
          <w:noProof/>
          <w:szCs w:val="24"/>
        </w:rPr>
        <w:t xml:space="preserve">ome </w:t>
      </w:r>
      <w:r w:rsidR="00FB72D6" w:rsidRPr="00CE3334">
        <w:rPr>
          <w:rFonts w:cs="Arial"/>
          <w:noProof/>
          <w:szCs w:val="24"/>
        </w:rPr>
        <w:t>s</w:t>
      </w:r>
      <w:r w:rsidRPr="00CE3334">
        <w:rPr>
          <w:rFonts w:cs="Arial"/>
          <w:noProof/>
          <w:szCs w:val="24"/>
        </w:rPr>
        <w:t xml:space="preserve">oil </w:t>
      </w:r>
      <w:r w:rsidR="00FB72D6" w:rsidRPr="00CE3334">
        <w:rPr>
          <w:rFonts w:cs="Arial"/>
          <w:noProof/>
          <w:szCs w:val="24"/>
        </w:rPr>
        <w:t>a</w:t>
      </w:r>
      <w:r w:rsidRPr="00CE3334">
        <w:rPr>
          <w:rFonts w:cs="Arial"/>
          <w:noProof/>
          <w:szCs w:val="24"/>
        </w:rPr>
        <w:t xml:space="preserve">lgae from </w:t>
      </w:r>
      <w:r w:rsidR="00FB72D6" w:rsidRPr="00CE3334">
        <w:rPr>
          <w:rFonts w:cs="Arial"/>
          <w:noProof/>
          <w:szCs w:val="24"/>
        </w:rPr>
        <w:t>e</w:t>
      </w:r>
      <w:r w:rsidRPr="00CE3334">
        <w:rPr>
          <w:rFonts w:cs="Arial"/>
          <w:noProof/>
          <w:szCs w:val="24"/>
        </w:rPr>
        <w:t xml:space="preserve">nchanted </w:t>
      </w:r>
      <w:r w:rsidR="00FB72D6" w:rsidRPr="00CE3334">
        <w:rPr>
          <w:rFonts w:cs="Arial"/>
          <w:noProof/>
          <w:szCs w:val="24"/>
        </w:rPr>
        <w:t>r</w:t>
      </w:r>
      <w:r w:rsidRPr="00CE3334">
        <w:rPr>
          <w:rFonts w:cs="Arial"/>
          <w:noProof/>
          <w:szCs w:val="24"/>
        </w:rPr>
        <w:t xml:space="preserve">ock and </w:t>
      </w:r>
      <w:r w:rsidR="00FB72D6" w:rsidRPr="00CE3334">
        <w:rPr>
          <w:rFonts w:cs="Arial"/>
          <w:noProof/>
          <w:szCs w:val="24"/>
        </w:rPr>
        <w:t>r</w:t>
      </w:r>
      <w:r w:rsidRPr="00CE3334">
        <w:rPr>
          <w:rFonts w:cs="Arial"/>
          <w:noProof/>
          <w:szCs w:val="24"/>
        </w:rPr>
        <w:t xml:space="preserve">elated </w:t>
      </w:r>
      <w:r w:rsidR="00FB72D6" w:rsidRPr="00CE3334">
        <w:rPr>
          <w:rFonts w:cs="Arial"/>
          <w:noProof/>
          <w:szCs w:val="24"/>
        </w:rPr>
        <w:t>a</w:t>
      </w:r>
      <w:r w:rsidRPr="00CE3334">
        <w:rPr>
          <w:rFonts w:cs="Arial"/>
          <w:noProof/>
          <w:szCs w:val="24"/>
        </w:rPr>
        <w:t xml:space="preserve">lgal </w:t>
      </w:r>
      <w:r w:rsidR="00FB72D6" w:rsidRPr="00CE3334">
        <w:rPr>
          <w:rFonts w:cs="Arial"/>
          <w:noProof/>
          <w:szCs w:val="24"/>
        </w:rPr>
        <w:t>s</w:t>
      </w:r>
      <w:r w:rsidRPr="00CE3334">
        <w:rPr>
          <w:rFonts w:cs="Arial"/>
          <w:noProof/>
          <w:szCs w:val="24"/>
        </w:rPr>
        <w:t>pecies</w:t>
      </w:r>
      <w:r w:rsidR="00E86F64" w:rsidRPr="00CE3334">
        <w:rPr>
          <w:rFonts w:cs="Arial"/>
          <w:noProof/>
          <w:szCs w:val="24"/>
        </w:rPr>
        <w:t>,</w:t>
      </w:r>
      <w:r w:rsidRPr="00CE3334">
        <w:rPr>
          <w:rFonts w:cs="Arial"/>
          <w:noProof/>
          <w:szCs w:val="24"/>
        </w:rPr>
        <w:t xml:space="preserve"> University of Texas, Publication No. 6318, pp. 1–95.</w:t>
      </w:r>
    </w:p>
    <w:p w14:paraId="3F4F6C36" w14:textId="04D2C4F6" w:rsidR="0067691B" w:rsidRPr="00CE3334" w:rsidRDefault="0067691B" w:rsidP="00571156">
      <w:pPr>
        <w:pStyle w:val="CETReferencetext"/>
        <w:rPr>
          <w:rFonts w:cs="Arial"/>
          <w:noProof/>
          <w:szCs w:val="24"/>
        </w:rPr>
      </w:pPr>
      <w:r w:rsidRPr="00CE3334">
        <w:rPr>
          <w:rFonts w:cs="Arial"/>
          <w:noProof/>
          <w:szCs w:val="24"/>
        </w:rPr>
        <w:t>Brennan L., Owende</w:t>
      </w:r>
      <w:r w:rsidR="00E86F64" w:rsidRPr="00CE3334">
        <w:rPr>
          <w:rFonts w:cs="Arial"/>
          <w:noProof/>
          <w:szCs w:val="24"/>
        </w:rPr>
        <w:t xml:space="preserve"> P.,</w:t>
      </w:r>
      <w:r w:rsidRPr="00CE3334">
        <w:rPr>
          <w:rFonts w:cs="Arial"/>
          <w:noProof/>
          <w:szCs w:val="24"/>
        </w:rPr>
        <w:t xml:space="preserve"> 2010</w:t>
      </w:r>
      <w:r w:rsidR="00E86F64" w:rsidRPr="00CE3334">
        <w:rPr>
          <w:rFonts w:cs="Arial"/>
          <w:noProof/>
          <w:szCs w:val="24"/>
        </w:rPr>
        <w:t>,</w:t>
      </w:r>
      <w:r w:rsidRPr="00CE3334">
        <w:rPr>
          <w:rFonts w:cs="Arial"/>
          <w:noProof/>
          <w:szCs w:val="24"/>
        </w:rPr>
        <w:t xml:space="preserve"> Biofuels from </w:t>
      </w:r>
      <w:r w:rsidR="00FB72D6" w:rsidRPr="00CE3334">
        <w:rPr>
          <w:rFonts w:cs="Arial"/>
          <w:noProof/>
          <w:szCs w:val="24"/>
        </w:rPr>
        <w:t>m</w:t>
      </w:r>
      <w:r w:rsidRPr="00CE3334">
        <w:rPr>
          <w:rFonts w:cs="Arial"/>
          <w:noProof/>
          <w:szCs w:val="24"/>
        </w:rPr>
        <w:t>icroalgae</w:t>
      </w:r>
      <w:r w:rsidR="00E86F64" w:rsidRPr="00CE3334">
        <w:rPr>
          <w:rFonts w:cs="Arial"/>
          <w:noProof/>
          <w:szCs w:val="24"/>
        </w:rPr>
        <w:t xml:space="preserve"> </w:t>
      </w:r>
      <w:r w:rsidRPr="00CE3334">
        <w:rPr>
          <w:rFonts w:cs="Arial"/>
          <w:noProof/>
          <w:szCs w:val="24"/>
        </w:rPr>
        <w:t>-</w:t>
      </w:r>
      <w:r w:rsidR="00E86F64" w:rsidRPr="00CE3334">
        <w:rPr>
          <w:rFonts w:cs="Arial"/>
          <w:noProof/>
          <w:szCs w:val="24"/>
        </w:rPr>
        <w:t xml:space="preserve"> </w:t>
      </w:r>
      <w:r w:rsidRPr="00CE3334">
        <w:rPr>
          <w:rFonts w:cs="Arial"/>
          <w:noProof/>
          <w:szCs w:val="24"/>
        </w:rPr>
        <w:t xml:space="preserve">A </w:t>
      </w:r>
      <w:r w:rsidR="00FB72D6" w:rsidRPr="00CE3334">
        <w:rPr>
          <w:rFonts w:cs="Arial"/>
          <w:noProof/>
          <w:szCs w:val="24"/>
        </w:rPr>
        <w:t>r</w:t>
      </w:r>
      <w:r w:rsidRPr="00CE3334">
        <w:rPr>
          <w:rFonts w:cs="Arial"/>
          <w:noProof/>
          <w:szCs w:val="24"/>
        </w:rPr>
        <w:t xml:space="preserve">eview of </w:t>
      </w:r>
      <w:r w:rsidR="00FB72D6" w:rsidRPr="00CE3334">
        <w:rPr>
          <w:rFonts w:cs="Arial"/>
          <w:noProof/>
          <w:szCs w:val="24"/>
        </w:rPr>
        <w:t>t</w:t>
      </w:r>
      <w:r w:rsidRPr="00CE3334">
        <w:rPr>
          <w:rFonts w:cs="Arial"/>
          <w:noProof/>
          <w:szCs w:val="24"/>
        </w:rPr>
        <w:t xml:space="preserve">echnologies for </w:t>
      </w:r>
      <w:r w:rsidR="00FB72D6" w:rsidRPr="00CE3334">
        <w:rPr>
          <w:rFonts w:cs="Arial"/>
          <w:noProof/>
          <w:szCs w:val="24"/>
        </w:rPr>
        <w:t>p</w:t>
      </w:r>
      <w:r w:rsidRPr="00CE3334">
        <w:rPr>
          <w:rFonts w:cs="Arial"/>
          <w:noProof/>
          <w:szCs w:val="24"/>
        </w:rPr>
        <w:t xml:space="preserve">roduction, </w:t>
      </w:r>
      <w:r w:rsidR="00FB72D6" w:rsidRPr="00CE3334">
        <w:rPr>
          <w:rFonts w:cs="Arial"/>
          <w:noProof/>
          <w:szCs w:val="24"/>
        </w:rPr>
        <w:t>p</w:t>
      </w:r>
      <w:r w:rsidRPr="00CE3334">
        <w:rPr>
          <w:rFonts w:cs="Arial"/>
          <w:noProof/>
          <w:szCs w:val="24"/>
        </w:rPr>
        <w:t xml:space="preserve">rocessing, and </w:t>
      </w:r>
      <w:r w:rsidR="00FB72D6" w:rsidRPr="00CE3334">
        <w:rPr>
          <w:rFonts w:cs="Arial"/>
          <w:noProof/>
          <w:szCs w:val="24"/>
        </w:rPr>
        <w:t>e</w:t>
      </w:r>
      <w:r w:rsidRPr="00CE3334">
        <w:rPr>
          <w:rFonts w:cs="Arial"/>
          <w:noProof/>
          <w:szCs w:val="24"/>
        </w:rPr>
        <w:t xml:space="preserve">xtractions of </w:t>
      </w:r>
      <w:r w:rsidR="00FB72D6" w:rsidRPr="00CE3334">
        <w:rPr>
          <w:rFonts w:cs="Arial"/>
          <w:noProof/>
          <w:szCs w:val="24"/>
        </w:rPr>
        <w:t>b</w:t>
      </w:r>
      <w:r w:rsidRPr="00CE3334">
        <w:rPr>
          <w:rFonts w:cs="Arial"/>
          <w:noProof/>
          <w:szCs w:val="24"/>
        </w:rPr>
        <w:t xml:space="preserve">iofuels and </w:t>
      </w:r>
      <w:r w:rsidR="00FB72D6" w:rsidRPr="00CE3334">
        <w:rPr>
          <w:rFonts w:cs="Arial"/>
          <w:noProof/>
          <w:szCs w:val="24"/>
        </w:rPr>
        <w:t>c</w:t>
      </w:r>
      <w:r w:rsidRPr="00CE3334">
        <w:rPr>
          <w:rFonts w:cs="Arial"/>
          <w:noProof/>
          <w:szCs w:val="24"/>
        </w:rPr>
        <w:t>o-</w:t>
      </w:r>
      <w:r w:rsidR="00FB72D6" w:rsidRPr="00CE3334">
        <w:rPr>
          <w:rFonts w:cs="Arial"/>
          <w:noProof/>
          <w:szCs w:val="24"/>
        </w:rPr>
        <w:t>p</w:t>
      </w:r>
      <w:r w:rsidRPr="00CE3334">
        <w:rPr>
          <w:rFonts w:cs="Arial"/>
          <w:noProof/>
          <w:szCs w:val="24"/>
        </w:rPr>
        <w:t>roducts</w:t>
      </w:r>
      <w:r w:rsidR="00E86F64" w:rsidRPr="00CE3334">
        <w:rPr>
          <w:rFonts w:cs="Arial"/>
          <w:noProof/>
          <w:szCs w:val="24"/>
        </w:rPr>
        <w:t>,</w:t>
      </w:r>
      <w:r w:rsidRPr="00CE3334">
        <w:rPr>
          <w:rFonts w:cs="Arial"/>
          <w:noProof/>
          <w:szCs w:val="24"/>
        </w:rPr>
        <w:t xml:space="preserve"> </w:t>
      </w:r>
      <w:r w:rsidRPr="00CE3334">
        <w:rPr>
          <w:rFonts w:cs="Arial"/>
          <w:iCs/>
          <w:noProof/>
          <w:szCs w:val="24"/>
        </w:rPr>
        <w:t>Renewable and Sustainable Energy Reviews</w:t>
      </w:r>
      <w:r w:rsidR="00E86F64" w:rsidRPr="00CE3334">
        <w:rPr>
          <w:rFonts w:cs="Arial"/>
          <w:iCs/>
          <w:noProof/>
          <w:szCs w:val="24"/>
        </w:rPr>
        <w:t>,</w:t>
      </w:r>
      <w:r w:rsidRPr="00CE3334">
        <w:rPr>
          <w:rFonts w:cs="Arial"/>
          <w:noProof/>
          <w:szCs w:val="24"/>
        </w:rPr>
        <w:t xml:space="preserve"> 14</w:t>
      </w:r>
      <w:r w:rsidR="00E86F64" w:rsidRPr="00CE3334">
        <w:rPr>
          <w:rFonts w:cs="Arial"/>
          <w:noProof/>
          <w:szCs w:val="24"/>
        </w:rPr>
        <w:t>,</w:t>
      </w:r>
      <w:r w:rsidRPr="00CE3334">
        <w:rPr>
          <w:rFonts w:cs="Arial"/>
          <w:noProof/>
          <w:szCs w:val="24"/>
        </w:rPr>
        <w:t xml:space="preserve"> 557–</w:t>
      </w:r>
      <w:r w:rsidR="00E86F64" w:rsidRPr="00CE3334">
        <w:rPr>
          <w:rFonts w:cs="Arial"/>
          <w:noProof/>
          <w:szCs w:val="24"/>
        </w:rPr>
        <w:t>5</w:t>
      </w:r>
      <w:r w:rsidRPr="00CE3334">
        <w:rPr>
          <w:rFonts w:cs="Arial"/>
          <w:noProof/>
          <w:szCs w:val="24"/>
        </w:rPr>
        <w:t>77.</w:t>
      </w:r>
    </w:p>
    <w:p w14:paraId="64F71FD1" w14:textId="641610F2" w:rsidR="0067691B" w:rsidRPr="00CE3334" w:rsidRDefault="0067691B" w:rsidP="00571156">
      <w:pPr>
        <w:pStyle w:val="CETReferencetext"/>
        <w:rPr>
          <w:rFonts w:cs="Arial"/>
          <w:noProof/>
          <w:szCs w:val="24"/>
        </w:rPr>
      </w:pPr>
      <w:r w:rsidRPr="00CE3334">
        <w:rPr>
          <w:rFonts w:cs="Arial"/>
          <w:noProof/>
          <w:szCs w:val="24"/>
          <w:lang w:val="it-IT"/>
        </w:rPr>
        <w:t>Casazza A. A., Ferrari</w:t>
      </w:r>
      <w:r w:rsidR="00E86F64" w:rsidRPr="00CE3334">
        <w:rPr>
          <w:rFonts w:cs="Arial"/>
          <w:noProof/>
          <w:szCs w:val="24"/>
          <w:lang w:val="it-IT"/>
        </w:rPr>
        <w:t xml:space="preserve"> P. F.</w:t>
      </w:r>
      <w:r w:rsidRPr="00CE3334">
        <w:rPr>
          <w:rFonts w:cs="Arial"/>
          <w:noProof/>
          <w:szCs w:val="24"/>
          <w:lang w:val="it-IT"/>
        </w:rPr>
        <w:t>, Aliakbarian</w:t>
      </w:r>
      <w:r w:rsidR="00E86F64" w:rsidRPr="00CE3334">
        <w:rPr>
          <w:rFonts w:cs="Arial"/>
          <w:noProof/>
          <w:szCs w:val="24"/>
          <w:lang w:val="it-IT"/>
        </w:rPr>
        <w:t xml:space="preserve"> B.</w:t>
      </w:r>
      <w:r w:rsidR="005621C3" w:rsidRPr="00CE3334">
        <w:rPr>
          <w:rFonts w:cs="Arial"/>
          <w:noProof/>
          <w:szCs w:val="24"/>
          <w:lang w:val="it-IT"/>
        </w:rPr>
        <w:t>, Comotto M., Perego P</w:t>
      </w:r>
      <w:r w:rsidRPr="00CE3334">
        <w:rPr>
          <w:rFonts w:cs="Arial"/>
          <w:noProof/>
          <w:szCs w:val="24"/>
          <w:lang w:val="it-IT"/>
        </w:rPr>
        <w:t>.</w:t>
      </w:r>
      <w:r w:rsidR="005621C3" w:rsidRPr="00CE3334">
        <w:rPr>
          <w:rFonts w:cs="Arial"/>
          <w:noProof/>
          <w:szCs w:val="24"/>
          <w:lang w:val="it-IT"/>
        </w:rPr>
        <w:t>,</w:t>
      </w:r>
      <w:r w:rsidRPr="00CE3334">
        <w:rPr>
          <w:rFonts w:cs="Arial"/>
          <w:noProof/>
          <w:szCs w:val="24"/>
          <w:lang w:val="it-IT"/>
        </w:rPr>
        <w:t xml:space="preserve"> 2016. </w:t>
      </w:r>
      <w:r w:rsidRPr="00CE3334">
        <w:rPr>
          <w:rFonts w:cs="Arial"/>
          <w:noProof/>
          <w:szCs w:val="24"/>
        </w:rPr>
        <w:t>M</w:t>
      </w:r>
      <w:r w:rsidR="00FB72D6" w:rsidRPr="00CE3334">
        <w:rPr>
          <w:rFonts w:cs="Arial"/>
          <w:noProof/>
          <w:szCs w:val="24"/>
        </w:rPr>
        <w:t>icroalgae growth using winery wastewater for energetic and environmental purposes</w:t>
      </w:r>
      <w:r w:rsidR="005621C3" w:rsidRPr="00CE3334">
        <w:rPr>
          <w:rFonts w:cs="Arial"/>
          <w:noProof/>
          <w:szCs w:val="24"/>
        </w:rPr>
        <w:t>,</w:t>
      </w:r>
      <w:r w:rsidRPr="00CE3334">
        <w:rPr>
          <w:rFonts w:cs="Arial"/>
          <w:noProof/>
          <w:szCs w:val="24"/>
        </w:rPr>
        <w:t xml:space="preserve"> </w:t>
      </w:r>
      <w:r w:rsidRPr="00CE3334">
        <w:rPr>
          <w:rFonts w:cs="Arial"/>
          <w:iCs/>
          <w:noProof/>
          <w:szCs w:val="24"/>
        </w:rPr>
        <w:t>Chemical Engineering Transactions</w:t>
      </w:r>
      <w:r w:rsidR="005621C3" w:rsidRPr="00CE3334">
        <w:rPr>
          <w:rFonts w:cs="Arial"/>
          <w:iCs/>
          <w:noProof/>
          <w:szCs w:val="24"/>
        </w:rPr>
        <w:t>,</w:t>
      </w:r>
      <w:r w:rsidRPr="00CE3334">
        <w:rPr>
          <w:rFonts w:cs="Arial"/>
          <w:noProof/>
          <w:szCs w:val="24"/>
        </w:rPr>
        <w:t xml:space="preserve"> 49</w:t>
      </w:r>
      <w:r w:rsidR="005621C3" w:rsidRPr="00CE3334">
        <w:rPr>
          <w:rFonts w:cs="Arial"/>
          <w:noProof/>
          <w:szCs w:val="24"/>
        </w:rPr>
        <w:t>,</w:t>
      </w:r>
      <w:r w:rsidR="00CE3334">
        <w:rPr>
          <w:rFonts w:cs="Arial"/>
          <w:noProof/>
          <w:szCs w:val="24"/>
        </w:rPr>
        <w:t xml:space="preserve"> </w:t>
      </w:r>
      <w:r w:rsidRPr="00CE3334">
        <w:rPr>
          <w:rFonts w:cs="Arial"/>
          <w:noProof/>
          <w:szCs w:val="24"/>
        </w:rPr>
        <w:t>565–</w:t>
      </w:r>
      <w:r w:rsidR="005621C3" w:rsidRPr="00CE3334">
        <w:rPr>
          <w:rFonts w:cs="Arial"/>
          <w:noProof/>
          <w:szCs w:val="24"/>
        </w:rPr>
        <w:t>5</w:t>
      </w:r>
      <w:r w:rsidRPr="00CE3334">
        <w:rPr>
          <w:rFonts w:cs="Arial"/>
          <w:noProof/>
          <w:szCs w:val="24"/>
        </w:rPr>
        <w:t xml:space="preserve">70. </w:t>
      </w:r>
    </w:p>
    <w:p w14:paraId="778C8AB6" w14:textId="1D764ABE" w:rsidR="0067691B" w:rsidRPr="00CE3334" w:rsidRDefault="0067691B" w:rsidP="00571156">
      <w:pPr>
        <w:pStyle w:val="CETReferencetext"/>
        <w:rPr>
          <w:rFonts w:cs="Arial"/>
          <w:noProof/>
          <w:szCs w:val="24"/>
        </w:rPr>
      </w:pPr>
      <w:r w:rsidRPr="00CE3334">
        <w:rPr>
          <w:rFonts w:cs="Arial"/>
          <w:noProof/>
          <w:szCs w:val="24"/>
          <w:lang w:val="en-US"/>
        </w:rPr>
        <w:t>Casazza A. A., Ferrari</w:t>
      </w:r>
      <w:r w:rsidR="005621C3" w:rsidRPr="00CE3334">
        <w:rPr>
          <w:rFonts w:cs="Arial"/>
          <w:noProof/>
          <w:szCs w:val="24"/>
          <w:lang w:val="en-US"/>
        </w:rPr>
        <w:t xml:space="preserve"> P. F.</w:t>
      </w:r>
      <w:r w:rsidRPr="00CE3334">
        <w:rPr>
          <w:rFonts w:cs="Arial"/>
          <w:noProof/>
          <w:szCs w:val="24"/>
          <w:lang w:val="en-US"/>
        </w:rPr>
        <w:t>, Aliakbarian</w:t>
      </w:r>
      <w:r w:rsidR="005621C3" w:rsidRPr="00CE3334">
        <w:rPr>
          <w:rFonts w:cs="Arial"/>
          <w:noProof/>
          <w:szCs w:val="24"/>
          <w:lang w:val="en-US"/>
        </w:rPr>
        <w:t xml:space="preserve"> B.</w:t>
      </w:r>
      <w:r w:rsidRPr="00CE3334">
        <w:rPr>
          <w:rFonts w:cs="Arial"/>
          <w:noProof/>
          <w:szCs w:val="24"/>
          <w:lang w:val="en-US"/>
        </w:rPr>
        <w:t>, Converti</w:t>
      </w:r>
      <w:r w:rsidR="005621C3" w:rsidRPr="00CE3334">
        <w:rPr>
          <w:rFonts w:cs="Arial"/>
          <w:noProof/>
          <w:szCs w:val="24"/>
          <w:lang w:val="en-US"/>
        </w:rPr>
        <w:t xml:space="preserve"> A.</w:t>
      </w:r>
      <w:r w:rsidRPr="00CE3334">
        <w:rPr>
          <w:rFonts w:cs="Arial"/>
          <w:noProof/>
          <w:szCs w:val="24"/>
          <w:lang w:val="en-US"/>
        </w:rPr>
        <w:t>, Perego</w:t>
      </w:r>
      <w:r w:rsidR="005621C3" w:rsidRPr="00CE3334">
        <w:rPr>
          <w:rFonts w:cs="Arial"/>
          <w:noProof/>
          <w:szCs w:val="24"/>
          <w:lang w:val="en-US"/>
        </w:rPr>
        <w:t xml:space="preserve"> P.,</w:t>
      </w:r>
      <w:r w:rsidRPr="00CE3334">
        <w:rPr>
          <w:rFonts w:cs="Arial"/>
          <w:noProof/>
          <w:szCs w:val="24"/>
          <w:lang w:val="en-US"/>
        </w:rPr>
        <w:t xml:space="preserve"> </w:t>
      </w:r>
      <w:r w:rsidRPr="00CE3334">
        <w:rPr>
          <w:rFonts w:cs="Arial"/>
          <w:noProof/>
          <w:szCs w:val="24"/>
        </w:rPr>
        <w:t>2015</w:t>
      </w:r>
      <w:r w:rsidR="005621C3" w:rsidRPr="00CE3334">
        <w:rPr>
          <w:rFonts w:cs="Arial"/>
          <w:noProof/>
          <w:szCs w:val="24"/>
        </w:rPr>
        <w:t>,</w:t>
      </w:r>
      <w:r w:rsidRPr="00CE3334">
        <w:rPr>
          <w:rFonts w:cs="Arial"/>
          <w:noProof/>
          <w:szCs w:val="24"/>
        </w:rPr>
        <w:t xml:space="preserve"> E</w:t>
      </w:r>
      <w:r w:rsidR="00FB72D6" w:rsidRPr="00CE3334">
        <w:rPr>
          <w:rFonts w:cs="Arial"/>
          <w:noProof/>
          <w:szCs w:val="24"/>
        </w:rPr>
        <w:t>ffect of uv radiation or titanium dioxide on polyphenol and lipid contents of Arthrospira (spirulina) platensis</w:t>
      </w:r>
      <w:r w:rsidR="005621C3" w:rsidRPr="00CE3334">
        <w:rPr>
          <w:rFonts w:cs="Arial"/>
          <w:noProof/>
          <w:szCs w:val="24"/>
        </w:rPr>
        <w:t>,</w:t>
      </w:r>
      <w:r w:rsidRPr="00CE3334">
        <w:rPr>
          <w:rFonts w:cs="Arial"/>
          <w:noProof/>
          <w:szCs w:val="24"/>
        </w:rPr>
        <w:t xml:space="preserve"> </w:t>
      </w:r>
      <w:r w:rsidRPr="00CE3334">
        <w:rPr>
          <w:rFonts w:cs="Arial"/>
          <w:iCs/>
          <w:noProof/>
          <w:szCs w:val="24"/>
        </w:rPr>
        <w:t>Algal Research</w:t>
      </w:r>
      <w:r w:rsidR="005621C3" w:rsidRPr="00CE3334">
        <w:rPr>
          <w:rFonts w:cs="Arial"/>
          <w:iCs/>
          <w:noProof/>
          <w:szCs w:val="24"/>
        </w:rPr>
        <w:t>,</w:t>
      </w:r>
      <w:r w:rsidRPr="00CE3334">
        <w:rPr>
          <w:rFonts w:cs="Arial"/>
          <w:noProof/>
          <w:szCs w:val="24"/>
        </w:rPr>
        <w:t xml:space="preserve"> 12</w:t>
      </w:r>
      <w:r w:rsidR="005621C3" w:rsidRPr="00CE3334">
        <w:rPr>
          <w:rFonts w:cs="Arial"/>
          <w:noProof/>
          <w:szCs w:val="24"/>
        </w:rPr>
        <w:t xml:space="preserve">, </w:t>
      </w:r>
      <w:r w:rsidRPr="00CE3334">
        <w:rPr>
          <w:rFonts w:cs="Arial"/>
          <w:noProof/>
          <w:szCs w:val="24"/>
        </w:rPr>
        <w:t>308–</w:t>
      </w:r>
      <w:r w:rsidR="005621C3" w:rsidRPr="00CE3334">
        <w:rPr>
          <w:rFonts w:cs="Arial"/>
          <w:noProof/>
          <w:szCs w:val="24"/>
        </w:rPr>
        <w:t>3</w:t>
      </w:r>
      <w:r w:rsidRPr="00CE3334">
        <w:rPr>
          <w:rFonts w:cs="Arial"/>
          <w:noProof/>
          <w:szCs w:val="24"/>
        </w:rPr>
        <w:t>15.</w:t>
      </w:r>
    </w:p>
    <w:p w14:paraId="65B256A2" w14:textId="1B11AAB2" w:rsidR="0067691B" w:rsidRPr="00CE3334" w:rsidRDefault="0067691B" w:rsidP="00571156">
      <w:pPr>
        <w:pStyle w:val="CETReferencetext"/>
        <w:rPr>
          <w:rFonts w:cs="Arial"/>
          <w:noProof/>
          <w:szCs w:val="24"/>
        </w:rPr>
      </w:pPr>
      <w:r w:rsidRPr="00CE3334">
        <w:rPr>
          <w:rFonts w:cs="Arial"/>
          <w:noProof/>
          <w:szCs w:val="24"/>
        </w:rPr>
        <w:t>Cheah W. Y., Ling</w:t>
      </w:r>
      <w:r w:rsidR="005621C3" w:rsidRPr="00CE3334">
        <w:rPr>
          <w:rFonts w:cs="Arial"/>
          <w:noProof/>
          <w:szCs w:val="24"/>
        </w:rPr>
        <w:t xml:space="preserve"> T. C.</w:t>
      </w:r>
      <w:r w:rsidRPr="00CE3334">
        <w:rPr>
          <w:rFonts w:cs="Arial"/>
          <w:noProof/>
          <w:szCs w:val="24"/>
        </w:rPr>
        <w:t>, Show</w:t>
      </w:r>
      <w:r w:rsidR="005621C3" w:rsidRPr="00CE3334">
        <w:rPr>
          <w:rFonts w:cs="Arial"/>
          <w:noProof/>
          <w:szCs w:val="24"/>
        </w:rPr>
        <w:t xml:space="preserve"> P. L.</w:t>
      </w:r>
      <w:r w:rsidRPr="00CE3334">
        <w:rPr>
          <w:rFonts w:cs="Arial"/>
          <w:noProof/>
          <w:szCs w:val="24"/>
        </w:rPr>
        <w:t>, Juan</w:t>
      </w:r>
      <w:r w:rsidR="005621C3" w:rsidRPr="00CE3334">
        <w:rPr>
          <w:rFonts w:cs="Arial"/>
          <w:noProof/>
          <w:szCs w:val="24"/>
        </w:rPr>
        <w:t xml:space="preserve"> J. C.</w:t>
      </w:r>
      <w:r w:rsidRPr="00CE3334">
        <w:rPr>
          <w:rFonts w:cs="Arial"/>
          <w:noProof/>
          <w:szCs w:val="24"/>
        </w:rPr>
        <w:t>, Chang</w:t>
      </w:r>
      <w:r w:rsidR="005621C3" w:rsidRPr="00CE3334">
        <w:rPr>
          <w:rFonts w:cs="Arial"/>
          <w:noProof/>
          <w:szCs w:val="24"/>
        </w:rPr>
        <w:t xml:space="preserve"> J. S.</w:t>
      </w:r>
      <w:r w:rsidRPr="00CE3334">
        <w:rPr>
          <w:rFonts w:cs="Arial"/>
          <w:noProof/>
          <w:szCs w:val="24"/>
        </w:rPr>
        <w:t>,  Lee</w:t>
      </w:r>
      <w:r w:rsidR="005621C3" w:rsidRPr="00CE3334">
        <w:rPr>
          <w:rFonts w:cs="Arial"/>
          <w:noProof/>
          <w:szCs w:val="24"/>
        </w:rPr>
        <w:t xml:space="preserve"> D. J.,</w:t>
      </w:r>
      <w:r w:rsidRPr="00CE3334">
        <w:rPr>
          <w:rFonts w:cs="Arial"/>
          <w:noProof/>
          <w:szCs w:val="24"/>
        </w:rPr>
        <w:t xml:space="preserve"> 2016</w:t>
      </w:r>
      <w:r w:rsidR="005621C3" w:rsidRPr="00CE3334">
        <w:rPr>
          <w:rFonts w:cs="Arial"/>
          <w:noProof/>
          <w:szCs w:val="24"/>
        </w:rPr>
        <w:t>,</w:t>
      </w:r>
      <w:r w:rsidRPr="00CE3334">
        <w:rPr>
          <w:rFonts w:cs="Arial"/>
          <w:noProof/>
          <w:szCs w:val="24"/>
        </w:rPr>
        <w:t xml:space="preserve"> </w:t>
      </w:r>
      <w:r w:rsidR="005621C3" w:rsidRPr="00CE3334">
        <w:rPr>
          <w:rFonts w:cs="Arial"/>
          <w:noProof/>
          <w:szCs w:val="24"/>
        </w:rPr>
        <w:t>C</w:t>
      </w:r>
      <w:r w:rsidR="00D73A63" w:rsidRPr="00CE3334">
        <w:rPr>
          <w:rFonts w:cs="Arial"/>
          <w:noProof/>
          <w:szCs w:val="24"/>
        </w:rPr>
        <w:t>ultivation in wastewaters for energy: a microalgae platform</w:t>
      </w:r>
      <w:r w:rsidR="005621C3" w:rsidRPr="00CE3334">
        <w:rPr>
          <w:rFonts w:cs="Arial"/>
          <w:noProof/>
          <w:szCs w:val="24"/>
        </w:rPr>
        <w:t xml:space="preserve">, </w:t>
      </w:r>
      <w:r w:rsidRPr="00CE3334">
        <w:rPr>
          <w:rFonts w:cs="Arial"/>
          <w:noProof/>
          <w:szCs w:val="24"/>
        </w:rPr>
        <w:t xml:space="preserve"> </w:t>
      </w:r>
      <w:r w:rsidRPr="00CE3334">
        <w:rPr>
          <w:rFonts w:cs="Arial"/>
          <w:iCs/>
          <w:noProof/>
          <w:szCs w:val="24"/>
        </w:rPr>
        <w:t>Applied Energy</w:t>
      </w:r>
      <w:r w:rsidR="005621C3" w:rsidRPr="00CE3334">
        <w:rPr>
          <w:rFonts w:cs="Arial"/>
          <w:noProof/>
          <w:szCs w:val="24"/>
        </w:rPr>
        <w:t xml:space="preserve">, </w:t>
      </w:r>
      <w:r w:rsidRPr="00CE3334">
        <w:rPr>
          <w:rFonts w:cs="Arial"/>
          <w:noProof/>
          <w:szCs w:val="24"/>
        </w:rPr>
        <w:t>179</w:t>
      </w:r>
      <w:r w:rsidR="005621C3" w:rsidRPr="00CE3334">
        <w:rPr>
          <w:rFonts w:cs="Arial"/>
          <w:noProof/>
          <w:szCs w:val="24"/>
        </w:rPr>
        <w:t xml:space="preserve">, </w:t>
      </w:r>
      <w:r w:rsidRPr="00CE3334">
        <w:rPr>
          <w:rFonts w:cs="Arial"/>
          <w:noProof/>
          <w:szCs w:val="24"/>
        </w:rPr>
        <w:t>609–</w:t>
      </w:r>
      <w:r w:rsidR="005621C3" w:rsidRPr="00CE3334">
        <w:rPr>
          <w:rFonts w:cs="Arial"/>
          <w:noProof/>
          <w:szCs w:val="24"/>
        </w:rPr>
        <w:t>6</w:t>
      </w:r>
      <w:r w:rsidRPr="00CE3334">
        <w:rPr>
          <w:rFonts w:cs="Arial"/>
          <w:noProof/>
          <w:szCs w:val="24"/>
        </w:rPr>
        <w:t xml:space="preserve">25. </w:t>
      </w:r>
    </w:p>
    <w:p w14:paraId="05B28210" w14:textId="06BA3948" w:rsidR="0067691B" w:rsidRPr="00CE3334" w:rsidRDefault="0067691B" w:rsidP="00571156">
      <w:pPr>
        <w:pStyle w:val="CETReferencetext"/>
        <w:rPr>
          <w:rFonts w:cs="Arial"/>
          <w:noProof/>
          <w:szCs w:val="24"/>
        </w:rPr>
      </w:pPr>
      <w:r w:rsidRPr="00CE3334">
        <w:rPr>
          <w:rFonts w:cs="Arial"/>
          <w:noProof/>
          <w:szCs w:val="24"/>
        </w:rPr>
        <w:t>Hu J., Nagarajan</w:t>
      </w:r>
      <w:r w:rsidR="005621C3" w:rsidRPr="00CE3334">
        <w:rPr>
          <w:rFonts w:cs="Arial"/>
          <w:noProof/>
          <w:szCs w:val="24"/>
        </w:rPr>
        <w:t xml:space="preserve"> D.</w:t>
      </w:r>
      <w:r w:rsidRPr="00CE3334">
        <w:rPr>
          <w:rFonts w:cs="Arial"/>
          <w:noProof/>
          <w:szCs w:val="24"/>
        </w:rPr>
        <w:t>, Zhang</w:t>
      </w:r>
      <w:r w:rsidR="005621C3" w:rsidRPr="00CE3334">
        <w:rPr>
          <w:rFonts w:cs="Arial"/>
          <w:noProof/>
          <w:szCs w:val="24"/>
        </w:rPr>
        <w:t xml:space="preserve"> Q.</w:t>
      </w:r>
      <w:r w:rsidRPr="00CE3334">
        <w:rPr>
          <w:rFonts w:cs="Arial"/>
          <w:noProof/>
          <w:szCs w:val="24"/>
        </w:rPr>
        <w:t>, Chang</w:t>
      </w:r>
      <w:r w:rsidR="005621C3" w:rsidRPr="00CE3334">
        <w:rPr>
          <w:rFonts w:cs="Arial"/>
          <w:noProof/>
          <w:szCs w:val="24"/>
        </w:rPr>
        <w:t xml:space="preserve"> J. S.</w:t>
      </w:r>
      <w:r w:rsidRPr="00CE3334">
        <w:rPr>
          <w:rFonts w:cs="Arial"/>
          <w:noProof/>
          <w:szCs w:val="24"/>
        </w:rPr>
        <w:t>, Lee</w:t>
      </w:r>
      <w:r w:rsidR="005621C3" w:rsidRPr="00CE3334">
        <w:rPr>
          <w:rFonts w:cs="Arial"/>
          <w:noProof/>
          <w:szCs w:val="24"/>
        </w:rPr>
        <w:t xml:space="preserve"> D. J., </w:t>
      </w:r>
      <w:r w:rsidRPr="00CE3334">
        <w:rPr>
          <w:rFonts w:cs="Arial"/>
          <w:noProof/>
          <w:szCs w:val="24"/>
        </w:rPr>
        <w:t>2018</w:t>
      </w:r>
      <w:r w:rsidR="005621C3" w:rsidRPr="00CE3334">
        <w:rPr>
          <w:rFonts w:cs="Arial"/>
          <w:noProof/>
          <w:szCs w:val="24"/>
        </w:rPr>
        <w:t>,</w:t>
      </w:r>
      <w:r w:rsidRPr="00CE3334">
        <w:rPr>
          <w:rFonts w:cs="Arial"/>
          <w:noProof/>
          <w:szCs w:val="24"/>
        </w:rPr>
        <w:t xml:space="preserve"> He</w:t>
      </w:r>
      <w:r w:rsidR="00D73A63" w:rsidRPr="00CE3334">
        <w:rPr>
          <w:rFonts w:cs="Arial"/>
          <w:noProof/>
          <w:szCs w:val="24"/>
        </w:rPr>
        <w:t>terotrophic cultivation of microalgae for pigment production: a review</w:t>
      </w:r>
      <w:r w:rsidRPr="00CE3334">
        <w:rPr>
          <w:rFonts w:cs="Arial"/>
          <w:noProof/>
          <w:szCs w:val="24"/>
        </w:rPr>
        <w:t>.</w:t>
      </w:r>
      <w:r w:rsidR="005621C3" w:rsidRPr="00CE3334">
        <w:rPr>
          <w:rFonts w:cs="Arial"/>
          <w:noProof/>
          <w:szCs w:val="24"/>
        </w:rPr>
        <w:t>,</w:t>
      </w:r>
      <w:r w:rsidRPr="00CE3334">
        <w:rPr>
          <w:rFonts w:cs="Arial"/>
          <w:noProof/>
          <w:szCs w:val="24"/>
        </w:rPr>
        <w:t xml:space="preserve"> </w:t>
      </w:r>
      <w:r w:rsidRPr="00CE3334">
        <w:rPr>
          <w:rFonts w:cs="Arial"/>
          <w:iCs/>
          <w:noProof/>
          <w:szCs w:val="24"/>
        </w:rPr>
        <w:t>Biotechnology Advances</w:t>
      </w:r>
      <w:r w:rsidR="005621C3" w:rsidRPr="00CE3334">
        <w:rPr>
          <w:rFonts w:cs="Arial"/>
          <w:iCs/>
          <w:noProof/>
          <w:szCs w:val="24"/>
        </w:rPr>
        <w:t>,</w:t>
      </w:r>
      <w:r w:rsidRPr="00CE3334">
        <w:rPr>
          <w:rFonts w:cs="Arial"/>
          <w:noProof/>
          <w:szCs w:val="24"/>
        </w:rPr>
        <w:t xml:space="preserve"> 36</w:t>
      </w:r>
      <w:r w:rsidR="005621C3" w:rsidRPr="00CE3334">
        <w:rPr>
          <w:rFonts w:cs="Arial"/>
          <w:noProof/>
          <w:szCs w:val="24"/>
        </w:rPr>
        <w:t>,1</w:t>
      </w:r>
      <w:r w:rsidRPr="00CE3334">
        <w:rPr>
          <w:rFonts w:cs="Arial"/>
          <w:noProof/>
          <w:szCs w:val="24"/>
        </w:rPr>
        <w:t>54–</w:t>
      </w:r>
      <w:r w:rsidR="005621C3" w:rsidRPr="00CE3334">
        <w:rPr>
          <w:rFonts w:cs="Arial"/>
          <w:noProof/>
          <w:szCs w:val="24"/>
        </w:rPr>
        <w:t>1</w:t>
      </w:r>
      <w:r w:rsidRPr="00CE3334">
        <w:rPr>
          <w:rFonts w:cs="Arial"/>
          <w:noProof/>
          <w:szCs w:val="24"/>
        </w:rPr>
        <w:t xml:space="preserve">67. </w:t>
      </w:r>
    </w:p>
    <w:p w14:paraId="2C3440EF" w14:textId="4D8DB76A" w:rsidR="0067691B" w:rsidRPr="00CE3334" w:rsidRDefault="0067691B" w:rsidP="00571156">
      <w:pPr>
        <w:pStyle w:val="CETReferencetext"/>
        <w:rPr>
          <w:rFonts w:cs="Arial"/>
          <w:noProof/>
          <w:szCs w:val="24"/>
        </w:rPr>
      </w:pPr>
      <w:r w:rsidRPr="00CE3334">
        <w:rPr>
          <w:rFonts w:cs="Arial"/>
          <w:noProof/>
          <w:szCs w:val="24"/>
        </w:rPr>
        <w:t>Huy</w:t>
      </w:r>
      <w:r w:rsidR="005621C3" w:rsidRPr="00CE3334">
        <w:rPr>
          <w:rFonts w:cs="Arial"/>
          <w:noProof/>
          <w:szCs w:val="24"/>
        </w:rPr>
        <w:t xml:space="preserve"> </w:t>
      </w:r>
      <w:r w:rsidRPr="00CE3334">
        <w:rPr>
          <w:rFonts w:cs="Arial"/>
          <w:noProof/>
          <w:szCs w:val="24"/>
        </w:rPr>
        <w:t>M., Kumar</w:t>
      </w:r>
      <w:r w:rsidR="005621C3" w:rsidRPr="00CE3334">
        <w:rPr>
          <w:rFonts w:cs="Arial"/>
          <w:noProof/>
          <w:szCs w:val="24"/>
        </w:rPr>
        <w:t xml:space="preserve"> G.</w:t>
      </w:r>
      <w:r w:rsidRPr="00CE3334">
        <w:rPr>
          <w:rFonts w:cs="Arial"/>
          <w:noProof/>
          <w:szCs w:val="24"/>
        </w:rPr>
        <w:t>, Kim</w:t>
      </w:r>
      <w:r w:rsidR="005621C3" w:rsidRPr="00CE3334">
        <w:rPr>
          <w:rFonts w:cs="Arial"/>
          <w:noProof/>
          <w:szCs w:val="24"/>
        </w:rPr>
        <w:t xml:space="preserve"> H. W.</w:t>
      </w:r>
      <w:r w:rsidRPr="00CE3334">
        <w:rPr>
          <w:rFonts w:cs="Arial"/>
          <w:noProof/>
          <w:szCs w:val="24"/>
        </w:rPr>
        <w:t>, Kim</w:t>
      </w:r>
      <w:r w:rsidR="005621C3" w:rsidRPr="00CE3334">
        <w:rPr>
          <w:rFonts w:cs="Arial"/>
          <w:noProof/>
          <w:szCs w:val="24"/>
        </w:rPr>
        <w:t xml:space="preserve"> S. H.,</w:t>
      </w:r>
      <w:r w:rsidRPr="00CE3334">
        <w:rPr>
          <w:rFonts w:cs="Arial"/>
          <w:noProof/>
          <w:szCs w:val="24"/>
        </w:rPr>
        <w:t xml:space="preserve"> 2018</w:t>
      </w:r>
      <w:r w:rsidR="005C355A" w:rsidRPr="00CE3334">
        <w:rPr>
          <w:rFonts w:cs="Arial"/>
          <w:noProof/>
          <w:szCs w:val="24"/>
        </w:rPr>
        <w:t>,</w:t>
      </w:r>
      <w:r w:rsidRPr="00CE3334">
        <w:rPr>
          <w:rFonts w:cs="Arial"/>
          <w:noProof/>
          <w:szCs w:val="24"/>
        </w:rPr>
        <w:t xml:space="preserve"> P</w:t>
      </w:r>
      <w:r w:rsidR="00D73A63" w:rsidRPr="00CE3334">
        <w:rPr>
          <w:rFonts w:cs="Arial"/>
          <w:noProof/>
          <w:szCs w:val="24"/>
        </w:rPr>
        <w:t>hotoautotrophic cultivation of mixed microalgae consortia using various organic waste streams towards remediation and resource recovery</w:t>
      </w:r>
      <w:r w:rsidR="005C355A" w:rsidRPr="00CE3334">
        <w:rPr>
          <w:rFonts w:cs="Arial"/>
          <w:noProof/>
          <w:szCs w:val="24"/>
        </w:rPr>
        <w:t>,</w:t>
      </w:r>
      <w:r w:rsidRPr="00CE3334">
        <w:rPr>
          <w:rFonts w:cs="Arial"/>
          <w:noProof/>
          <w:szCs w:val="24"/>
        </w:rPr>
        <w:t xml:space="preserve"> </w:t>
      </w:r>
      <w:r w:rsidRPr="00CE3334">
        <w:rPr>
          <w:rFonts w:cs="Arial"/>
          <w:iCs/>
          <w:noProof/>
          <w:szCs w:val="24"/>
        </w:rPr>
        <w:t>Bioresource Technology</w:t>
      </w:r>
      <w:r w:rsidR="005621C3" w:rsidRPr="00CE3334">
        <w:rPr>
          <w:rFonts w:cs="Arial"/>
          <w:iCs/>
          <w:noProof/>
          <w:szCs w:val="24"/>
        </w:rPr>
        <w:t>,</w:t>
      </w:r>
      <w:r w:rsidRPr="00CE3334">
        <w:rPr>
          <w:rFonts w:cs="Arial"/>
          <w:noProof/>
          <w:szCs w:val="24"/>
        </w:rPr>
        <w:t xml:space="preserve"> 247</w:t>
      </w:r>
      <w:r w:rsidR="005621C3" w:rsidRPr="00CE3334">
        <w:rPr>
          <w:rFonts w:cs="Arial"/>
          <w:noProof/>
          <w:szCs w:val="24"/>
        </w:rPr>
        <w:t xml:space="preserve">, </w:t>
      </w:r>
      <w:r w:rsidRPr="00CE3334">
        <w:rPr>
          <w:rFonts w:cs="Arial"/>
          <w:noProof/>
          <w:szCs w:val="24"/>
        </w:rPr>
        <w:t>576–</w:t>
      </w:r>
      <w:r w:rsidR="005621C3" w:rsidRPr="00CE3334">
        <w:rPr>
          <w:rFonts w:cs="Arial"/>
          <w:noProof/>
          <w:szCs w:val="24"/>
        </w:rPr>
        <w:t>5</w:t>
      </w:r>
      <w:r w:rsidRPr="00CE3334">
        <w:rPr>
          <w:rFonts w:cs="Arial"/>
          <w:noProof/>
          <w:szCs w:val="24"/>
        </w:rPr>
        <w:t xml:space="preserve">81. </w:t>
      </w:r>
    </w:p>
    <w:p w14:paraId="6BABCF3D" w14:textId="50C231CD" w:rsidR="0067691B" w:rsidRPr="00CE3334" w:rsidRDefault="0067691B" w:rsidP="00571156">
      <w:pPr>
        <w:pStyle w:val="CETReferencetext"/>
        <w:rPr>
          <w:rFonts w:cs="Arial"/>
          <w:noProof/>
          <w:szCs w:val="24"/>
        </w:rPr>
      </w:pPr>
      <w:r w:rsidRPr="00CE3334">
        <w:rPr>
          <w:rFonts w:cs="Arial"/>
          <w:noProof/>
          <w:szCs w:val="24"/>
          <w:lang w:val="en-US"/>
        </w:rPr>
        <w:t>Ioannou L. A., Li Puma</w:t>
      </w:r>
      <w:r w:rsidR="005621C3" w:rsidRPr="00CE3334">
        <w:rPr>
          <w:rFonts w:cs="Arial"/>
          <w:noProof/>
          <w:szCs w:val="24"/>
          <w:lang w:val="en-US"/>
        </w:rPr>
        <w:t xml:space="preserve"> G.</w:t>
      </w:r>
      <w:r w:rsidRPr="00CE3334">
        <w:rPr>
          <w:rFonts w:cs="Arial"/>
          <w:noProof/>
          <w:szCs w:val="24"/>
          <w:lang w:val="en-US"/>
        </w:rPr>
        <w:t>, Fatta-Kassinos</w:t>
      </w:r>
      <w:r w:rsidR="005621C3" w:rsidRPr="00CE3334">
        <w:rPr>
          <w:rFonts w:cs="Arial"/>
          <w:noProof/>
          <w:szCs w:val="24"/>
          <w:lang w:val="en-US"/>
        </w:rPr>
        <w:t xml:space="preserve"> D.,</w:t>
      </w:r>
      <w:r w:rsidRPr="00CE3334">
        <w:rPr>
          <w:rFonts w:cs="Arial"/>
          <w:noProof/>
          <w:szCs w:val="24"/>
          <w:lang w:val="en-US"/>
        </w:rPr>
        <w:t xml:space="preserve"> </w:t>
      </w:r>
      <w:r w:rsidRPr="00CE3334">
        <w:rPr>
          <w:rFonts w:cs="Arial"/>
          <w:noProof/>
          <w:szCs w:val="24"/>
        </w:rPr>
        <w:t>2015</w:t>
      </w:r>
      <w:r w:rsidR="005621C3" w:rsidRPr="00CE3334">
        <w:rPr>
          <w:rFonts w:cs="Arial"/>
          <w:noProof/>
          <w:szCs w:val="24"/>
        </w:rPr>
        <w:t>,</w:t>
      </w:r>
      <w:r w:rsidRPr="00CE3334">
        <w:rPr>
          <w:rFonts w:cs="Arial"/>
          <w:noProof/>
          <w:szCs w:val="24"/>
        </w:rPr>
        <w:t xml:space="preserve"> </w:t>
      </w:r>
      <w:r w:rsidR="005621C3" w:rsidRPr="00CE3334">
        <w:rPr>
          <w:rFonts w:cs="Arial"/>
          <w:noProof/>
          <w:szCs w:val="24"/>
        </w:rPr>
        <w:t>T</w:t>
      </w:r>
      <w:r w:rsidR="00D73A63" w:rsidRPr="00CE3334">
        <w:rPr>
          <w:rFonts w:cs="Arial"/>
          <w:noProof/>
          <w:szCs w:val="24"/>
        </w:rPr>
        <w:t>reatment of winery wastewater by physicochemical, biological and advanced processes: a review</w:t>
      </w:r>
      <w:r w:rsidR="005621C3" w:rsidRPr="00CE3334">
        <w:rPr>
          <w:rFonts w:cs="Arial"/>
          <w:noProof/>
          <w:szCs w:val="24"/>
        </w:rPr>
        <w:t>,</w:t>
      </w:r>
      <w:r w:rsidRPr="00CE3334">
        <w:rPr>
          <w:rFonts w:cs="Arial"/>
          <w:noProof/>
          <w:szCs w:val="24"/>
        </w:rPr>
        <w:t xml:space="preserve"> </w:t>
      </w:r>
      <w:r w:rsidRPr="00CE3334">
        <w:rPr>
          <w:rFonts w:cs="Arial"/>
          <w:iCs/>
          <w:noProof/>
          <w:szCs w:val="24"/>
        </w:rPr>
        <w:t>Journal of Hazardous Materials</w:t>
      </w:r>
      <w:r w:rsidR="005C355A" w:rsidRPr="00CE3334">
        <w:rPr>
          <w:rFonts w:cs="Arial"/>
          <w:iCs/>
          <w:noProof/>
          <w:szCs w:val="24"/>
        </w:rPr>
        <w:t>,</w:t>
      </w:r>
      <w:r w:rsidRPr="00CE3334">
        <w:rPr>
          <w:rFonts w:cs="Arial"/>
          <w:noProof/>
          <w:szCs w:val="24"/>
        </w:rPr>
        <w:t xml:space="preserve"> 286, 343–68. </w:t>
      </w:r>
    </w:p>
    <w:p w14:paraId="393A3CC3" w14:textId="5B427E41" w:rsidR="0067691B" w:rsidRPr="00CE3334" w:rsidRDefault="0067691B" w:rsidP="00571156">
      <w:pPr>
        <w:pStyle w:val="CETReferencetext"/>
        <w:rPr>
          <w:rFonts w:cs="Arial"/>
          <w:noProof/>
          <w:szCs w:val="24"/>
        </w:rPr>
      </w:pPr>
      <w:r w:rsidRPr="00CE3334">
        <w:rPr>
          <w:rFonts w:cs="Arial"/>
          <w:noProof/>
          <w:szCs w:val="24"/>
        </w:rPr>
        <w:t>Malandra L., Wolfaardt</w:t>
      </w:r>
      <w:r w:rsidR="005C355A" w:rsidRPr="00CE3334">
        <w:rPr>
          <w:rFonts w:cs="Arial"/>
          <w:noProof/>
          <w:szCs w:val="24"/>
        </w:rPr>
        <w:t xml:space="preserve"> G.</w:t>
      </w:r>
      <w:r w:rsidRPr="00CE3334">
        <w:rPr>
          <w:rFonts w:cs="Arial"/>
          <w:noProof/>
          <w:szCs w:val="24"/>
        </w:rPr>
        <w:t>, Zietsman</w:t>
      </w:r>
      <w:r w:rsidR="005C355A" w:rsidRPr="00CE3334">
        <w:rPr>
          <w:rFonts w:cs="Arial"/>
          <w:noProof/>
          <w:szCs w:val="24"/>
        </w:rPr>
        <w:t xml:space="preserve"> A.</w:t>
      </w:r>
      <w:r w:rsidRPr="00CE3334">
        <w:rPr>
          <w:rFonts w:cs="Arial"/>
          <w:noProof/>
          <w:szCs w:val="24"/>
        </w:rPr>
        <w:t>, Viljoen-Bloom</w:t>
      </w:r>
      <w:r w:rsidR="005C355A" w:rsidRPr="00CE3334">
        <w:rPr>
          <w:rFonts w:cs="Arial"/>
          <w:noProof/>
          <w:szCs w:val="24"/>
        </w:rPr>
        <w:t xml:space="preserve"> M.,</w:t>
      </w:r>
      <w:r w:rsidRPr="00CE3334">
        <w:rPr>
          <w:rFonts w:cs="Arial"/>
          <w:noProof/>
          <w:szCs w:val="24"/>
        </w:rPr>
        <w:t xml:space="preserve"> 2003</w:t>
      </w:r>
      <w:r w:rsidR="005C355A" w:rsidRPr="00CE3334">
        <w:rPr>
          <w:rFonts w:cs="Arial"/>
          <w:noProof/>
          <w:szCs w:val="24"/>
        </w:rPr>
        <w:t>,</w:t>
      </w:r>
      <w:r w:rsidRPr="00CE3334">
        <w:rPr>
          <w:rFonts w:cs="Arial"/>
          <w:noProof/>
          <w:szCs w:val="24"/>
        </w:rPr>
        <w:t xml:space="preserve"> M</w:t>
      </w:r>
      <w:r w:rsidR="00D73A63" w:rsidRPr="00CE3334">
        <w:rPr>
          <w:rFonts w:cs="Arial"/>
          <w:noProof/>
          <w:szCs w:val="24"/>
        </w:rPr>
        <w:t>icrobiology of a biological contactor for winery wastewater treatment</w:t>
      </w:r>
      <w:r w:rsidRPr="00CE3334">
        <w:rPr>
          <w:rFonts w:cs="Arial"/>
          <w:noProof/>
          <w:szCs w:val="24"/>
        </w:rPr>
        <w:t xml:space="preserve">. </w:t>
      </w:r>
      <w:r w:rsidRPr="00CE3334">
        <w:rPr>
          <w:rFonts w:cs="Arial"/>
          <w:iCs/>
          <w:noProof/>
          <w:szCs w:val="24"/>
        </w:rPr>
        <w:t>Water Research</w:t>
      </w:r>
      <w:r w:rsidR="00AD7D9A" w:rsidRPr="00CE3334">
        <w:rPr>
          <w:rFonts w:cs="Arial"/>
          <w:iCs/>
          <w:noProof/>
          <w:szCs w:val="24"/>
        </w:rPr>
        <w:t>,</w:t>
      </w:r>
      <w:r w:rsidRPr="00CE3334">
        <w:rPr>
          <w:rFonts w:cs="Arial"/>
          <w:noProof/>
          <w:szCs w:val="24"/>
        </w:rPr>
        <w:t xml:space="preserve"> 37</w:t>
      </w:r>
      <w:r w:rsidR="00AD7D9A" w:rsidRPr="00CE3334">
        <w:rPr>
          <w:rFonts w:cs="Arial"/>
          <w:noProof/>
          <w:szCs w:val="24"/>
        </w:rPr>
        <w:t xml:space="preserve">, </w:t>
      </w:r>
      <w:r w:rsidRPr="00CE3334">
        <w:rPr>
          <w:rFonts w:cs="Arial"/>
          <w:noProof/>
          <w:szCs w:val="24"/>
        </w:rPr>
        <w:t>4125–</w:t>
      </w:r>
      <w:r w:rsidR="00AD7D9A" w:rsidRPr="00CE3334">
        <w:rPr>
          <w:rFonts w:cs="Arial"/>
          <w:noProof/>
          <w:szCs w:val="24"/>
        </w:rPr>
        <w:t>41</w:t>
      </w:r>
      <w:r w:rsidRPr="00CE3334">
        <w:rPr>
          <w:rFonts w:cs="Arial"/>
          <w:noProof/>
          <w:szCs w:val="24"/>
        </w:rPr>
        <w:t>34.</w:t>
      </w:r>
    </w:p>
    <w:p w14:paraId="0A39EA5F" w14:textId="7E6A7B41" w:rsidR="0067691B" w:rsidRPr="00CE3334" w:rsidRDefault="0067691B" w:rsidP="00571156">
      <w:pPr>
        <w:pStyle w:val="CETReferencetext"/>
        <w:rPr>
          <w:rFonts w:cs="Arial"/>
          <w:noProof/>
          <w:szCs w:val="24"/>
        </w:rPr>
      </w:pPr>
      <w:r w:rsidRPr="00CE3334">
        <w:rPr>
          <w:rFonts w:cs="Arial"/>
          <w:noProof/>
          <w:szCs w:val="24"/>
        </w:rPr>
        <w:t>OIV</w:t>
      </w:r>
      <w:r w:rsidR="00AD7D9A" w:rsidRPr="00CE3334">
        <w:rPr>
          <w:rFonts w:cs="Arial"/>
          <w:noProof/>
          <w:szCs w:val="24"/>
        </w:rPr>
        <w:t>,</w:t>
      </w:r>
      <w:r w:rsidRPr="00CE3334">
        <w:rPr>
          <w:rFonts w:cs="Arial"/>
          <w:noProof/>
          <w:szCs w:val="24"/>
        </w:rPr>
        <w:t xml:space="preserve"> 2017</w:t>
      </w:r>
      <w:r w:rsidR="00AD7D9A" w:rsidRPr="00CE3334">
        <w:rPr>
          <w:rFonts w:cs="Arial"/>
          <w:noProof/>
          <w:szCs w:val="24"/>
        </w:rPr>
        <w:t>,</w:t>
      </w:r>
      <w:r w:rsidRPr="00CE3334">
        <w:rPr>
          <w:rFonts w:cs="Arial"/>
          <w:noProof/>
          <w:szCs w:val="24"/>
        </w:rPr>
        <w:t xml:space="preserve"> Statistical Report on World Vitiviniculture, I</w:t>
      </w:r>
      <w:r w:rsidR="00D73A63" w:rsidRPr="00CE3334">
        <w:rPr>
          <w:rFonts w:cs="Arial"/>
          <w:noProof/>
          <w:szCs w:val="24"/>
        </w:rPr>
        <w:t>nternational organization of vine and wine</w:t>
      </w:r>
      <w:r w:rsidRPr="00CE3334">
        <w:rPr>
          <w:rFonts w:cs="Arial"/>
          <w:noProof/>
          <w:szCs w:val="24"/>
        </w:rPr>
        <w:t xml:space="preserve"> (OIV), Paris, </w:t>
      </w:r>
    </w:p>
    <w:p w14:paraId="65992B09" w14:textId="7E57D427" w:rsidR="007D53C7" w:rsidRPr="00CE3334" w:rsidRDefault="007D53C7" w:rsidP="00571156">
      <w:pPr>
        <w:pStyle w:val="CETReferencetext"/>
        <w:rPr>
          <w:rFonts w:cs="Arial"/>
          <w:noProof/>
          <w:szCs w:val="24"/>
          <w:lang w:val="en-US"/>
        </w:rPr>
      </w:pPr>
      <w:r w:rsidRPr="00CE3334">
        <w:rPr>
          <w:rFonts w:cs="Arial"/>
          <w:noProof/>
          <w:szCs w:val="24"/>
          <w:lang w:val="en-US"/>
        </w:rPr>
        <w:t>Pettinato M., Aliakbarian B., Casazza A. A., Perego P.</w:t>
      </w:r>
      <w:r w:rsidR="00AD7D9A" w:rsidRPr="00CE3334">
        <w:rPr>
          <w:rFonts w:cs="Arial"/>
          <w:noProof/>
          <w:szCs w:val="24"/>
          <w:lang w:val="en-US"/>
        </w:rPr>
        <w:t>,</w:t>
      </w:r>
      <w:r w:rsidR="009528B1" w:rsidRPr="00CE3334">
        <w:rPr>
          <w:rFonts w:cs="Arial"/>
          <w:noProof/>
          <w:szCs w:val="24"/>
          <w:lang w:val="en-US"/>
        </w:rPr>
        <w:t xml:space="preserve"> 2017</w:t>
      </w:r>
      <w:r w:rsidR="00AD7D9A" w:rsidRPr="00CE3334">
        <w:rPr>
          <w:rFonts w:cs="Arial"/>
          <w:noProof/>
          <w:szCs w:val="24"/>
          <w:lang w:val="en-US"/>
        </w:rPr>
        <w:t>,</w:t>
      </w:r>
      <w:r w:rsidR="009528B1" w:rsidRPr="00CE3334">
        <w:rPr>
          <w:rFonts w:cs="Arial"/>
          <w:noProof/>
          <w:szCs w:val="24"/>
          <w:lang w:val="en-US"/>
        </w:rPr>
        <w:t xml:space="preserve"> E</w:t>
      </w:r>
      <w:r w:rsidR="00D73A63" w:rsidRPr="00CE3334">
        <w:rPr>
          <w:rFonts w:cs="Arial"/>
          <w:noProof/>
          <w:szCs w:val="24"/>
          <w:lang w:val="en-US"/>
        </w:rPr>
        <w:t>ncapsulation of antioxidants from spent coffee ground extracts by spray dryin</w:t>
      </w:r>
      <w:r w:rsidR="009528B1" w:rsidRPr="00CE3334">
        <w:rPr>
          <w:rFonts w:cs="Arial"/>
          <w:noProof/>
          <w:szCs w:val="24"/>
          <w:lang w:val="en-US"/>
        </w:rPr>
        <w:t>g</w:t>
      </w:r>
      <w:r w:rsidR="00AD7D9A" w:rsidRPr="00CE3334">
        <w:rPr>
          <w:rFonts w:cs="Arial"/>
          <w:noProof/>
          <w:szCs w:val="24"/>
          <w:lang w:val="en-US"/>
        </w:rPr>
        <w:t>,</w:t>
      </w:r>
      <w:r w:rsidR="009528B1" w:rsidRPr="00CE3334">
        <w:rPr>
          <w:rFonts w:cs="Arial"/>
          <w:noProof/>
          <w:szCs w:val="24"/>
          <w:lang w:val="en-US"/>
        </w:rPr>
        <w:t xml:space="preserve"> Cheemical Engineering transaction</w:t>
      </w:r>
      <w:r w:rsidR="00AD7D9A" w:rsidRPr="00CE3334">
        <w:rPr>
          <w:rFonts w:cs="Arial"/>
          <w:noProof/>
          <w:szCs w:val="24"/>
          <w:lang w:val="en-US"/>
        </w:rPr>
        <w:t>,</w:t>
      </w:r>
      <w:r w:rsidR="009528B1" w:rsidRPr="00CE3334">
        <w:rPr>
          <w:rFonts w:cs="Arial"/>
          <w:noProof/>
          <w:szCs w:val="24"/>
          <w:lang w:val="en-US"/>
        </w:rPr>
        <w:t xml:space="preserve"> 57</w:t>
      </w:r>
      <w:r w:rsidR="00AD7D9A" w:rsidRPr="00CE3334">
        <w:rPr>
          <w:rFonts w:cs="Arial"/>
          <w:noProof/>
          <w:szCs w:val="24"/>
          <w:lang w:val="en-US"/>
        </w:rPr>
        <w:t xml:space="preserve">, </w:t>
      </w:r>
      <w:r w:rsidR="009528B1" w:rsidRPr="00CE3334">
        <w:rPr>
          <w:rFonts w:cs="Arial"/>
          <w:noProof/>
          <w:szCs w:val="24"/>
          <w:lang w:val="en-US"/>
        </w:rPr>
        <w:t xml:space="preserve">219-1224. </w:t>
      </w:r>
    </w:p>
    <w:p w14:paraId="6AE0F6B5" w14:textId="0A72E0CB" w:rsidR="0067691B" w:rsidRPr="00CE3334" w:rsidRDefault="0067691B" w:rsidP="00571156">
      <w:pPr>
        <w:pStyle w:val="CETReferencetext"/>
        <w:rPr>
          <w:rFonts w:cs="Arial"/>
          <w:noProof/>
          <w:szCs w:val="24"/>
        </w:rPr>
      </w:pPr>
      <w:r w:rsidRPr="00CE3334">
        <w:rPr>
          <w:rFonts w:cs="Arial"/>
          <w:noProof/>
          <w:szCs w:val="24"/>
        </w:rPr>
        <w:t>Pleissner</w:t>
      </w:r>
      <w:r w:rsidR="00BB668E" w:rsidRPr="00CE3334">
        <w:rPr>
          <w:rFonts w:cs="Arial"/>
          <w:noProof/>
          <w:szCs w:val="24"/>
        </w:rPr>
        <w:t xml:space="preserve"> </w:t>
      </w:r>
      <w:r w:rsidRPr="00CE3334">
        <w:rPr>
          <w:rFonts w:cs="Arial"/>
          <w:noProof/>
          <w:szCs w:val="24"/>
        </w:rPr>
        <w:t>D., Rumpold</w:t>
      </w:r>
      <w:r w:rsidR="00BB668E" w:rsidRPr="00CE3334">
        <w:rPr>
          <w:rFonts w:cs="Arial"/>
          <w:noProof/>
          <w:szCs w:val="24"/>
        </w:rPr>
        <w:t xml:space="preserve"> B. A.,</w:t>
      </w:r>
      <w:r w:rsidRPr="00CE3334">
        <w:rPr>
          <w:rFonts w:cs="Arial"/>
          <w:noProof/>
          <w:szCs w:val="24"/>
        </w:rPr>
        <w:t>2018</w:t>
      </w:r>
      <w:r w:rsidR="00BB668E" w:rsidRPr="00CE3334">
        <w:rPr>
          <w:rFonts w:cs="Arial"/>
          <w:noProof/>
          <w:szCs w:val="24"/>
        </w:rPr>
        <w:t>,</w:t>
      </w:r>
      <w:r w:rsidRPr="00CE3334">
        <w:rPr>
          <w:rFonts w:cs="Arial"/>
          <w:noProof/>
          <w:szCs w:val="24"/>
        </w:rPr>
        <w:t xml:space="preserve"> Ut</w:t>
      </w:r>
      <w:r w:rsidR="00D73A63" w:rsidRPr="00CE3334">
        <w:rPr>
          <w:rFonts w:cs="Arial"/>
          <w:noProof/>
          <w:szCs w:val="24"/>
        </w:rPr>
        <w:t>ilization of organic residues using heterotrophic microalgae and insects</w:t>
      </w:r>
      <w:r w:rsidR="00BB668E" w:rsidRPr="00CE3334">
        <w:rPr>
          <w:rFonts w:cs="Arial"/>
          <w:noProof/>
          <w:szCs w:val="24"/>
        </w:rPr>
        <w:t xml:space="preserve">, </w:t>
      </w:r>
      <w:r w:rsidRPr="00CE3334">
        <w:rPr>
          <w:rFonts w:cs="Arial"/>
          <w:iCs/>
          <w:noProof/>
          <w:szCs w:val="24"/>
        </w:rPr>
        <w:t>Waste Management</w:t>
      </w:r>
      <w:r w:rsidRPr="00CE3334">
        <w:rPr>
          <w:rFonts w:cs="Arial"/>
          <w:noProof/>
          <w:szCs w:val="24"/>
        </w:rPr>
        <w:t xml:space="preserve"> </w:t>
      </w:r>
      <w:r w:rsidR="00BB668E" w:rsidRPr="00CE3334">
        <w:rPr>
          <w:rFonts w:cs="Arial"/>
          <w:noProof/>
          <w:szCs w:val="24"/>
        </w:rPr>
        <w:t>,</w:t>
      </w:r>
      <w:r w:rsidRPr="00CE3334">
        <w:rPr>
          <w:rFonts w:cs="Arial"/>
          <w:noProof/>
          <w:szCs w:val="24"/>
        </w:rPr>
        <w:t>72</w:t>
      </w:r>
      <w:r w:rsidR="00BB668E" w:rsidRPr="00CE3334">
        <w:rPr>
          <w:rFonts w:cs="Arial"/>
          <w:noProof/>
          <w:szCs w:val="24"/>
        </w:rPr>
        <w:t xml:space="preserve">, </w:t>
      </w:r>
      <w:r w:rsidRPr="00CE3334">
        <w:rPr>
          <w:rFonts w:cs="Arial"/>
          <w:noProof/>
          <w:szCs w:val="24"/>
        </w:rPr>
        <w:t>227–</w:t>
      </w:r>
      <w:r w:rsidR="00BB668E" w:rsidRPr="00CE3334">
        <w:rPr>
          <w:rFonts w:cs="Arial"/>
          <w:noProof/>
          <w:szCs w:val="24"/>
        </w:rPr>
        <w:t>2</w:t>
      </w:r>
      <w:r w:rsidRPr="00CE3334">
        <w:rPr>
          <w:rFonts w:cs="Arial"/>
          <w:noProof/>
          <w:szCs w:val="24"/>
        </w:rPr>
        <w:t xml:space="preserve">39. </w:t>
      </w:r>
    </w:p>
    <w:p w14:paraId="5365606F" w14:textId="191F6298" w:rsidR="0067691B" w:rsidRPr="00CE3334" w:rsidRDefault="0067691B" w:rsidP="00571156">
      <w:pPr>
        <w:pStyle w:val="CETReferencetext"/>
        <w:rPr>
          <w:rFonts w:cs="Arial"/>
          <w:noProof/>
          <w:szCs w:val="24"/>
        </w:rPr>
      </w:pPr>
      <w:r w:rsidRPr="00CE3334">
        <w:rPr>
          <w:rFonts w:cs="Arial"/>
          <w:noProof/>
          <w:szCs w:val="24"/>
        </w:rPr>
        <w:t>Sathasivam R., Radhakrishnan</w:t>
      </w:r>
      <w:r w:rsidR="00BB668E" w:rsidRPr="00CE3334">
        <w:rPr>
          <w:rFonts w:cs="Arial"/>
          <w:noProof/>
          <w:szCs w:val="24"/>
        </w:rPr>
        <w:t xml:space="preserve"> R.</w:t>
      </w:r>
      <w:r w:rsidRPr="00CE3334">
        <w:rPr>
          <w:rFonts w:cs="Arial"/>
          <w:noProof/>
          <w:szCs w:val="24"/>
        </w:rPr>
        <w:t>, Hashem</w:t>
      </w:r>
      <w:r w:rsidR="00BB668E" w:rsidRPr="00CE3334">
        <w:rPr>
          <w:rFonts w:cs="Arial"/>
          <w:noProof/>
          <w:szCs w:val="24"/>
        </w:rPr>
        <w:t xml:space="preserve"> A.</w:t>
      </w:r>
      <w:r w:rsidRPr="00CE3334">
        <w:rPr>
          <w:rFonts w:cs="Arial"/>
          <w:noProof/>
          <w:szCs w:val="24"/>
        </w:rPr>
        <w:t>, Abd_Allah</w:t>
      </w:r>
      <w:r w:rsidR="00BB668E" w:rsidRPr="00CE3334">
        <w:rPr>
          <w:rFonts w:cs="Arial"/>
          <w:noProof/>
          <w:szCs w:val="24"/>
        </w:rPr>
        <w:t xml:space="preserve"> E. F</w:t>
      </w:r>
      <w:r w:rsidRPr="00CE3334">
        <w:rPr>
          <w:rFonts w:cs="Arial"/>
          <w:noProof/>
          <w:szCs w:val="24"/>
        </w:rPr>
        <w:t>.</w:t>
      </w:r>
      <w:r w:rsidR="00BB668E" w:rsidRPr="00CE3334">
        <w:rPr>
          <w:rFonts w:cs="Arial"/>
          <w:noProof/>
          <w:szCs w:val="24"/>
        </w:rPr>
        <w:t>,</w:t>
      </w:r>
      <w:r w:rsidRPr="00CE3334">
        <w:rPr>
          <w:rFonts w:cs="Arial"/>
          <w:noProof/>
          <w:szCs w:val="24"/>
        </w:rPr>
        <w:t xml:space="preserve"> 2017.</w:t>
      </w:r>
      <w:r w:rsidR="00BB668E" w:rsidRPr="00CE3334">
        <w:rPr>
          <w:rFonts w:cs="Arial"/>
          <w:noProof/>
          <w:szCs w:val="24"/>
        </w:rPr>
        <w:t>,</w:t>
      </w:r>
      <w:r w:rsidRPr="00CE3334">
        <w:rPr>
          <w:rFonts w:cs="Arial"/>
          <w:noProof/>
          <w:szCs w:val="24"/>
        </w:rPr>
        <w:t>M</w:t>
      </w:r>
      <w:r w:rsidR="00D73A63" w:rsidRPr="00CE3334">
        <w:rPr>
          <w:rFonts w:cs="Arial"/>
          <w:noProof/>
          <w:szCs w:val="24"/>
        </w:rPr>
        <w:t>icroalgae metabolites: a rich source for food and medicine</w:t>
      </w:r>
      <w:r w:rsidR="00BB668E" w:rsidRPr="00CE3334">
        <w:rPr>
          <w:rFonts w:cs="Arial"/>
          <w:noProof/>
          <w:szCs w:val="24"/>
        </w:rPr>
        <w:t xml:space="preserve">, </w:t>
      </w:r>
      <w:r w:rsidRPr="00CE3334">
        <w:rPr>
          <w:rFonts w:cs="Arial"/>
          <w:iCs/>
          <w:noProof/>
          <w:szCs w:val="24"/>
        </w:rPr>
        <w:t>Saudi Journal of Biological Sciences</w:t>
      </w:r>
      <w:r w:rsidRPr="00CE3334">
        <w:rPr>
          <w:rFonts w:cs="Arial"/>
          <w:noProof/>
          <w:szCs w:val="24"/>
        </w:rPr>
        <w:t xml:space="preserve">, in press. </w:t>
      </w:r>
    </w:p>
    <w:p w14:paraId="733164B4" w14:textId="336855E2" w:rsidR="0067691B" w:rsidRPr="00CE3334" w:rsidRDefault="0067691B" w:rsidP="00571156">
      <w:pPr>
        <w:pStyle w:val="CETReferencetext"/>
        <w:rPr>
          <w:rFonts w:cs="Arial"/>
          <w:noProof/>
          <w:szCs w:val="24"/>
        </w:rPr>
      </w:pPr>
      <w:r w:rsidRPr="00CE3334">
        <w:rPr>
          <w:rFonts w:cs="Arial"/>
          <w:noProof/>
          <w:szCs w:val="24"/>
        </w:rPr>
        <w:t>Song M., Pei</w:t>
      </w:r>
      <w:r w:rsidR="00BB668E" w:rsidRPr="00CE3334">
        <w:rPr>
          <w:rFonts w:cs="Arial"/>
          <w:noProof/>
          <w:szCs w:val="24"/>
        </w:rPr>
        <w:t xml:space="preserve"> H.,</w:t>
      </w:r>
      <w:r w:rsidRPr="00CE3334">
        <w:rPr>
          <w:rFonts w:cs="Arial"/>
          <w:noProof/>
          <w:szCs w:val="24"/>
        </w:rPr>
        <w:t xml:space="preserve"> 2018</w:t>
      </w:r>
      <w:r w:rsidR="00BB668E" w:rsidRPr="00CE3334">
        <w:rPr>
          <w:rFonts w:cs="Arial"/>
          <w:noProof/>
          <w:szCs w:val="24"/>
        </w:rPr>
        <w:t>,</w:t>
      </w:r>
      <w:r w:rsidRPr="00CE3334">
        <w:rPr>
          <w:rFonts w:cs="Arial"/>
          <w:noProof/>
          <w:szCs w:val="24"/>
        </w:rPr>
        <w:t xml:space="preserve"> </w:t>
      </w:r>
      <w:r w:rsidR="00BB668E" w:rsidRPr="00CE3334">
        <w:rPr>
          <w:rFonts w:cs="Arial"/>
          <w:noProof/>
          <w:szCs w:val="24"/>
        </w:rPr>
        <w:t>T</w:t>
      </w:r>
      <w:r w:rsidR="00D73A63" w:rsidRPr="00CE3334">
        <w:rPr>
          <w:rFonts w:cs="Arial"/>
          <w:noProof/>
          <w:szCs w:val="24"/>
        </w:rPr>
        <w:t>he growth and lipid accumulation of scenedesmus quadricauda during batch mixotrophic/heterotrophic cultivation using xylose as a carbon sourc</w:t>
      </w:r>
      <w:r w:rsidRPr="00CE3334">
        <w:rPr>
          <w:rFonts w:cs="Arial"/>
          <w:noProof/>
          <w:szCs w:val="24"/>
        </w:rPr>
        <w:t>e</w:t>
      </w:r>
      <w:r w:rsidR="00BB668E" w:rsidRPr="00CE3334">
        <w:rPr>
          <w:rFonts w:cs="Arial"/>
          <w:noProof/>
          <w:szCs w:val="24"/>
        </w:rPr>
        <w:t>,</w:t>
      </w:r>
      <w:r w:rsidRPr="00CE3334">
        <w:rPr>
          <w:rFonts w:cs="Arial"/>
          <w:noProof/>
          <w:szCs w:val="24"/>
        </w:rPr>
        <w:t xml:space="preserve"> </w:t>
      </w:r>
      <w:r w:rsidRPr="00CE3334">
        <w:rPr>
          <w:rFonts w:cs="Arial"/>
          <w:iCs/>
          <w:noProof/>
          <w:szCs w:val="24"/>
        </w:rPr>
        <w:t>Bioresource Technology</w:t>
      </w:r>
      <w:r w:rsidR="00BB668E" w:rsidRPr="00CE3334">
        <w:rPr>
          <w:rFonts w:cs="Arial"/>
          <w:iCs/>
          <w:noProof/>
          <w:szCs w:val="24"/>
        </w:rPr>
        <w:t>,</w:t>
      </w:r>
      <w:r w:rsidRPr="00CE3334">
        <w:rPr>
          <w:rFonts w:cs="Arial"/>
          <w:noProof/>
          <w:szCs w:val="24"/>
        </w:rPr>
        <w:t xml:space="preserve"> 263</w:t>
      </w:r>
      <w:r w:rsidR="00BB668E" w:rsidRPr="00CE3334">
        <w:rPr>
          <w:rFonts w:cs="Arial"/>
          <w:noProof/>
          <w:szCs w:val="24"/>
        </w:rPr>
        <w:t xml:space="preserve">, </w:t>
      </w:r>
      <w:r w:rsidRPr="00CE3334">
        <w:rPr>
          <w:rFonts w:cs="Arial"/>
          <w:noProof/>
          <w:szCs w:val="24"/>
        </w:rPr>
        <w:t>525–</w:t>
      </w:r>
      <w:r w:rsidR="00BB668E" w:rsidRPr="00CE3334">
        <w:rPr>
          <w:rFonts w:cs="Arial"/>
          <w:noProof/>
          <w:szCs w:val="24"/>
        </w:rPr>
        <w:t>5</w:t>
      </w:r>
      <w:r w:rsidRPr="00CE3334">
        <w:rPr>
          <w:rFonts w:cs="Arial"/>
          <w:noProof/>
          <w:szCs w:val="24"/>
        </w:rPr>
        <w:t xml:space="preserve">31. </w:t>
      </w:r>
    </w:p>
    <w:p w14:paraId="48F13A30" w14:textId="5768EE86" w:rsidR="0067691B" w:rsidRPr="00CE3334" w:rsidRDefault="0067691B" w:rsidP="00571156">
      <w:pPr>
        <w:pStyle w:val="CETReferencetext"/>
        <w:rPr>
          <w:rFonts w:cs="Arial"/>
          <w:noProof/>
          <w:szCs w:val="24"/>
        </w:rPr>
      </w:pPr>
      <w:r w:rsidRPr="00CE3334">
        <w:rPr>
          <w:rFonts w:cs="Arial"/>
          <w:noProof/>
          <w:szCs w:val="24"/>
        </w:rPr>
        <w:t>Zeng X., Danquah</w:t>
      </w:r>
      <w:r w:rsidR="00BB668E" w:rsidRPr="00CE3334">
        <w:rPr>
          <w:rFonts w:cs="Arial"/>
          <w:noProof/>
          <w:szCs w:val="24"/>
        </w:rPr>
        <w:t xml:space="preserve"> M. K.</w:t>
      </w:r>
      <w:r w:rsidRPr="00CE3334">
        <w:rPr>
          <w:rFonts w:cs="Arial"/>
          <w:noProof/>
          <w:szCs w:val="24"/>
        </w:rPr>
        <w:t>, Chen</w:t>
      </w:r>
      <w:r w:rsidR="00BB668E" w:rsidRPr="00CE3334">
        <w:rPr>
          <w:rFonts w:cs="Arial"/>
          <w:noProof/>
          <w:szCs w:val="24"/>
        </w:rPr>
        <w:t xml:space="preserve"> X. D.</w:t>
      </w:r>
      <w:r w:rsidRPr="00CE3334">
        <w:rPr>
          <w:rFonts w:cs="Arial"/>
          <w:noProof/>
          <w:szCs w:val="24"/>
        </w:rPr>
        <w:t>, Lu</w:t>
      </w:r>
      <w:r w:rsidR="00BB668E" w:rsidRPr="00CE3334">
        <w:rPr>
          <w:rFonts w:cs="Arial"/>
          <w:noProof/>
          <w:szCs w:val="24"/>
        </w:rPr>
        <w:t xml:space="preserve"> Y.,</w:t>
      </w:r>
      <w:r w:rsidRPr="00CE3334">
        <w:rPr>
          <w:rFonts w:cs="Arial"/>
          <w:noProof/>
          <w:szCs w:val="24"/>
        </w:rPr>
        <w:t xml:space="preserve"> 2011</w:t>
      </w:r>
      <w:r w:rsidR="00BB668E" w:rsidRPr="00CE3334">
        <w:rPr>
          <w:rFonts w:cs="Arial"/>
          <w:noProof/>
          <w:szCs w:val="24"/>
        </w:rPr>
        <w:t>,</w:t>
      </w:r>
      <w:r w:rsidRPr="00CE3334">
        <w:rPr>
          <w:rFonts w:cs="Arial"/>
          <w:noProof/>
          <w:szCs w:val="24"/>
        </w:rPr>
        <w:t xml:space="preserve"> M</w:t>
      </w:r>
      <w:r w:rsidR="00D73A63" w:rsidRPr="00CE3334">
        <w:rPr>
          <w:rFonts w:cs="Arial"/>
          <w:noProof/>
          <w:szCs w:val="24"/>
        </w:rPr>
        <w:t xml:space="preserve">icroalgae bioengineering: from </w:t>
      </w:r>
      <w:r w:rsidR="00BB668E" w:rsidRPr="00CE3334">
        <w:rPr>
          <w:rFonts w:cs="Arial"/>
          <w:noProof/>
          <w:szCs w:val="24"/>
        </w:rPr>
        <w:t>CO</w:t>
      </w:r>
      <w:r w:rsidR="00D73A63" w:rsidRPr="00CE3334">
        <w:rPr>
          <w:rFonts w:cs="Arial"/>
          <w:noProof/>
          <w:szCs w:val="24"/>
          <w:vertAlign w:val="subscript"/>
        </w:rPr>
        <w:t>2</w:t>
      </w:r>
      <w:r w:rsidR="00D73A63" w:rsidRPr="00CE3334">
        <w:rPr>
          <w:rFonts w:cs="Arial"/>
          <w:noProof/>
          <w:szCs w:val="24"/>
        </w:rPr>
        <w:t xml:space="preserve"> fixation to biofuel production</w:t>
      </w:r>
      <w:r w:rsidR="00BB668E" w:rsidRPr="00CE3334">
        <w:rPr>
          <w:rFonts w:cs="Arial"/>
          <w:noProof/>
          <w:szCs w:val="24"/>
        </w:rPr>
        <w:t>,</w:t>
      </w:r>
      <w:r w:rsidRPr="00CE3334">
        <w:rPr>
          <w:rFonts w:cs="Arial"/>
          <w:noProof/>
          <w:szCs w:val="24"/>
        </w:rPr>
        <w:t xml:space="preserve"> </w:t>
      </w:r>
      <w:r w:rsidRPr="00CE3334">
        <w:rPr>
          <w:rFonts w:cs="Arial"/>
          <w:iCs/>
          <w:noProof/>
          <w:szCs w:val="24"/>
        </w:rPr>
        <w:t>Renewable and Sustainable Energy Reviews</w:t>
      </w:r>
      <w:r w:rsidR="00BB668E" w:rsidRPr="00CE3334">
        <w:rPr>
          <w:rFonts w:cs="Arial"/>
          <w:iCs/>
          <w:noProof/>
          <w:szCs w:val="24"/>
        </w:rPr>
        <w:t>,</w:t>
      </w:r>
      <w:r w:rsidRPr="00CE3334">
        <w:rPr>
          <w:rFonts w:cs="Arial"/>
          <w:noProof/>
          <w:szCs w:val="24"/>
        </w:rPr>
        <w:t xml:space="preserve"> 15</w:t>
      </w:r>
      <w:r w:rsidR="00BB668E" w:rsidRPr="00CE3334">
        <w:rPr>
          <w:rFonts w:cs="Arial"/>
          <w:noProof/>
          <w:szCs w:val="24"/>
        </w:rPr>
        <w:t xml:space="preserve">, </w:t>
      </w:r>
      <w:r w:rsidRPr="00CE3334">
        <w:rPr>
          <w:rFonts w:cs="Arial"/>
          <w:noProof/>
          <w:szCs w:val="24"/>
        </w:rPr>
        <w:t>3252–</w:t>
      </w:r>
      <w:r w:rsidR="00BB668E" w:rsidRPr="00CE3334">
        <w:rPr>
          <w:rFonts w:cs="Arial"/>
          <w:noProof/>
          <w:szCs w:val="24"/>
        </w:rPr>
        <w:t>32</w:t>
      </w:r>
      <w:r w:rsidRPr="00CE3334">
        <w:rPr>
          <w:rFonts w:cs="Arial"/>
          <w:noProof/>
          <w:szCs w:val="24"/>
        </w:rPr>
        <w:t xml:space="preserve">60. </w:t>
      </w:r>
    </w:p>
    <w:p w14:paraId="69521362" w14:textId="3CBBB628" w:rsidR="0067691B" w:rsidRPr="00CE3334" w:rsidRDefault="0067691B" w:rsidP="00571156">
      <w:pPr>
        <w:pStyle w:val="CETReferencetext"/>
        <w:rPr>
          <w:rFonts w:cs="Arial"/>
          <w:noProof/>
        </w:rPr>
      </w:pPr>
      <w:r w:rsidRPr="00CE3334">
        <w:rPr>
          <w:rFonts w:cs="Arial"/>
          <w:noProof/>
          <w:szCs w:val="24"/>
        </w:rPr>
        <w:t>Zhuang L.</w:t>
      </w:r>
      <w:r w:rsidR="008754CA">
        <w:rPr>
          <w:rFonts w:cs="Arial"/>
          <w:noProof/>
          <w:szCs w:val="24"/>
        </w:rPr>
        <w:t xml:space="preserve"> </w:t>
      </w:r>
      <w:r w:rsidRPr="00CE3334">
        <w:rPr>
          <w:rFonts w:cs="Arial"/>
          <w:noProof/>
          <w:szCs w:val="24"/>
        </w:rPr>
        <w:t>L., Yu</w:t>
      </w:r>
      <w:r w:rsidR="00BB668E" w:rsidRPr="00CE3334">
        <w:rPr>
          <w:rFonts w:cs="Arial"/>
          <w:noProof/>
          <w:szCs w:val="24"/>
        </w:rPr>
        <w:t xml:space="preserve"> D.</w:t>
      </w:r>
      <w:r w:rsidRPr="00CE3334">
        <w:rPr>
          <w:rFonts w:cs="Arial"/>
          <w:noProof/>
          <w:szCs w:val="24"/>
        </w:rPr>
        <w:t>, Zhang</w:t>
      </w:r>
      <w:r w:rsidR="00BB668E" w:rsidRPr="00CE3334">
        <w:rPr>
          <w:rFonts w:cs="Arial"/>
          <w:noProof/>
          <w:szCs w:val="24"/>
        </w:rPr>
        <w:t xml:space="preserve"> J.</w:t>
      </w:r>
      <w:r w:rsidRPr="00CE3334">
        <w:rPr>
          <w:rFonts w:cs="Arial"/>
          <w:noProof/>
          <w:szCs w:val="24"/>
        </w:rPr>
        <w:t>, Liu</w:t>
      </w:r>
      <w:r w:rsidR="00BB668E" w:rsidRPr="00CE3334">
        <w:rPr>
          <w:rFonts w:cs="Arial"/>
          <w:noProof/>
          <w:szCs w:val="24"/>
        </w:rPr>
        <w:t xml:space="preserve"> F.F.</w:t>
      </w:r>
      <w:r w:rsidRPr="00CE3334">
        <w:rPr>
          <w:rFonts w:cs="Arial"/>
          <w:noProof/>
          <w:szCs w:val="24"/>
        </w:rPr>
        <w:t>, Wu</w:t>
      </w:r>
      <w:r w:rsidR="00BB668E" w:rsidRPr="00CE3334">
        <w:rPr>
          <w:rFonts w:cs="Arial"/>
          <w:noProof/>
          <w:szCs w:val="24"/>
        </w:rPr>
        <w:t xml:space="preserve"> Y.H</w:t>
      </w:r>
      <w:r w:rsidRPr="00CE3334">
        <w:rPr>
          <w:rFonts w:cs="Arial"/>
          <w:noProof/>
          <w:szCs w:val="24"/>
        </w:rPr>
        <w:t>, Zhang</w:t>
      </w:r>
      <w:r w:rsidR="00BB668E" w:rsidRPr="00CE3334">
        <w:rPr>
          <w:rFonts w:cs="Arial"/>
          <w:noProof/>
          <w:szCs w:val="24"/>
        </w:rPr>
        <w:t xml:space="preserve"> T.Y.</w:t>
      </w:r>
      <w:r w:rsidRPr="00CE3334">
        <w:rPr>
          <w:rFonts w:cs="Arial"/>
          <w:noProof/>
          <w:szCs w:val="24"/>
        </w:rPr>
        <w:t>, Dao</w:t>
      </w:r>
      <w:r w:rsidR="00BB668E" w:rsidRPr="00CE3334">
        <w:rPr>
          <w:rFonts w:cs="Arial"/>
          <w:noProof/>
          <w:szCs w:val="24"/>
        </w:rPr>
        <w:t xml:space="preserve"> G.H.</w:t>
      </w:r>
      <w:r w:rsidRPr="00CE3334">
        <w:rPr>
          <w:rFonts w:cs="Arial"/>
          <w:noProof/>
          <w:szCs w:val="24"/>
        </w:rPr>
        <w:t>,  Hu</w:t>
      </w:r>
      <w:r w:rsidR="00BB668E" w:rsidRPr="00CE3334">
        <w:rPr>
          <w:rFonts w:cs="Arial"/>
          <w:noProof/>
          <w:szCs w:val="24"/>
        </w:rPr>
        <w:t xml:space="preserve"> H.Y., </w:t>
      </w:r>
      <w:r w:rsidRPr="00CE3334">
        <w:rPr>
          <w:rFonts w:cs="Arial"/>
          <w:noProof/>
          <w:szCs w:val="24"/>
        </w:rPr>
        <w:t xml:space="preserve"> 2018</w:t>
      </w:r>
      <w:r w:rsidR="00BB668E" w:rsidRPr="00CE3334">
        <w:rPr>
          <w:rFonts w:cs="Arial"/>
          <w:noProof/>
          <w:szCs w:val="24"/>
        </w:rPr>
        <w:t>,</w:t>
      </w:r>
      <w:r w:rsidRPr="00CE3334">
        <w:rPr>
          <w:rFonts w:cs="Arial"/>
          <w:noProof/>
          <w:szCs w:val="24"/>
        </w:rPr>
        <w:t xml:space="preserve"> </w:t>
      </w:r>
      <w:r w:rsidR="001073D0" w:rsidRPr="00CE3334">
        <w:rPr>
          <w:rFonts w:cs="Arial"/>
          <w:noProof/>
          <w:szCs w:val="24"/>
        </w:rPr>
        <w:t>T</w:t>
      </w:r>
      <w:r w:rsidR="00D73A63" w:rsidRPr="00CE3334">
        <w:rPr>
          <w:rFonts w:cs="Arial"/>
          <w:noProof/>
          <w:szCs w:val="24"/>
        </w:rPr>
        <w:t>he characteristics and influencing factors of the attached microalgae cultivation: a review</w:t>
      </w:r>
      <w:r w:rsidR="00BB668E" w:rsidRPr="00CE3334">
        <w:rPr>
          <w:rFonts w:cs="Arial"/>
          <w:noProof/>
          <w:szCs w:val="24"/>
        </w:rPr>
        <w:t xml:space="preserve">, </w:t>
      </w:r>
      <w:r w:rsidRPr="00CE3334">
        <w:rPr>
          <w:rFonts w:cs="Arial"/>
          <w:iCs/>
          <w:noProof/>
          <w:szCs w:val="24"/>
        </w:rPr>
        <w:t>Renewable and Sustainable Energy Reviews</w:t>
      </w:r>
      <w:r w:rsidR="00BB668E" w:rsidRPr="00CE3334">
        <w:rPr>
          <w:rFonts w:cs="Arial"/>
          <w:iCs/>
          <w:noProof/>
          <w:szCs w:val="24"/>
        </w:rPr>
        <w:t>,</w:t>
      </w:r>
      <w:r w:rsidRPr="00CE3334">
        <w:rPr>
          <w:rFonts w:cs="Arial"/>
          <w:noProof/>
          <w:szCs w:val="24"/>
        </w:rPr>
        <w:t xml:space="preserve"> 94</w:t>
      </w:r>
      <w:r w:rsidR="00BB668E" w:rsidRPr="00CE3334">
        <w:rPr>
          <w:rFonts w:cs="Arial"/>
          <w:noProof/>
          <w:szCs w:val="24"/>
        </w:rPr>
        <w:t>,</w:t>
      </w:r>
      <w:r w:rsidRPr="00CE3334">
        <w:rPr>
          <w:rFonts w:cs="Arial"/>
          <w:noProof/>
          <w:szCs w:val="24"/>
        </w:rPr>
        <w:t>1110–</w:t>
      </w:r>
      <w:r w:rsidR="00BB668E" w:rsidRPr="00CE3334">
        <w:rPr>
          <w:rFonts w:cs="Arial"/>
          <w:noProof/>
          <w:szCs w:val="24"/>
        </w:rPr>
        <w:t>11</w:t>
      </w:r>
      <w:r w:rsidRPr="00CE3334">
        <w:rPr>
          <w:rFonts w:cs="Arial"/>
          <w:noProof/>
          <w:szCs w:val="24"/>
        </w:rPr>
        <w:t>19.</w:t>
      </w:r>
    </w:p>
    <w:p w14:paraId="0CBE8F8A" w14:textId="77777777" w:rsidR="0067691B" w:rsidRPr="00CE3334" w:rsidRDefault="0067691B" w:rsidP="00571156">
      <w:pPr>
        <w:pStyle w:val="CETReferencetext"/>
      </w:pPr>
      <w:r w:rsidRPr="00CE3334">
        <w:fldChar w:fldCharType="end"/>
      </w:r>
    </w:p>
    <w:sectPr w:rsidR="0067691B" w:rsidRPr="00CE3334"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C34EF" w14:textId="77777777" w:rsidR="002E7F12" w:rsidRDefault="002E7F12" w:rsidP="004F5E36">
      <w:r>
        <w:separator/>
      </w:r>
    </w:p>
  </w:endnote>
  <w:endnote w:type="continuationSeparator" w:id="0">
    <w:p w14:paraId="6A70376A" w14:textId="77777777" w:rsidR="002E7F12" w:rsidRDefault="002E7F1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08B71" w14:textId="77777777" w:rsidR="002E7F12" w:rsidRDefault="002E7F12" w:rsidP="004F5E36">
      <w:r>
        <w:separator/>
      </w:r>
    </w:p>
  </w:footnote>
  <w:footnote w:type="continuationSeparator" w:id="0">
    <w:p w14:paraId="1E3CF92A" w14:textId="77777777" w:rsidR="002E7F12" w:rsidRDefault="002E7F1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606"/>
    <w:rsid w:val="000117CB"/>
    <w:rsid w:val="00024DE4"/>
    <w:rsid w:val="00027137"/>
    <w:rsid w:val="0003148D"/>
    <w:rsid w:val="00047D7F"/>
    <w:rsid w:val="00051566"/>
    <w:rsid w:val="00062A9A"/>
    <w:rsid w:val="00065058"/>
    <w:rsid w:val="00086C39"/>
    <w:rsid w:val="000A03B2"/>
    <w:rsid w:val="000A2FCD"/>
    <w:rsid w:val="000A3B79"/>
    <w:rsid w:val="000C3FED"/>
    <w:rsid w:val="000D34BE"/>
    <w:rsid w:val="000E022D"/>
    <w:rsid w:val="000E102F"/>
    <w:rsid w:val="000E36F1"/>
    <w:rsid w:val="000E3A73"/>
    <w:rsid w:val="000E414A"/>
    <w:rsid w:val="000F093C"/>
    <w:rsid w:val="000F16BD"/>
    <w:rsid w:val="000F787B"/>
    <w:rsid w:val="00106EBE"/>
    <w:rsid w:val="001073D0"/>
    <w:rsid w:val="00116E0A"/>
    <w:rsid w:val="0012091F"/>
    <w:rsid w:val="00122731"/>
    <w:rsid w:val="00126BC2"/>
    <w:rsid w:val="001308B6"/>
    <w:rsid w:val="0013121F"/>
    <w:rsid w:val="00131FAB"/>
    <w:rsid w:val="00131FE6"/>
    <w:rsid w:val="0013263F"/>
    <w:rsid w:val="00134DE4"/>
    <w:rsid w:val="0014034D"/>
    <w:rsid w:val="00150E59"/>
    <w:rsid w:val="00152DE3"/>
    <w:rsid w:val="00162642"/>
    <w:rsid w:val="00164CF9"/>
    <w:rsid w:val="00174A85"/>
    <w:rsid w:val="001821B1"/>
    <w:rsid w:val="00184066"/>
    <w:rsid w:val="00184AD6"/>
    <w:rsid w:val="00197F2F"/>
    <w:rsid w:val="001B0349"/>
    <w:rsid w:val="001B2921"/>
    <w:rsid w:val="001B2AA2"/>
    <w:rsid w:val="001B65C1"/>
    <w:rsid w:val="001C684B"/>
    <w:rsid w:val="001D2C79"/>
    <w:rsid w:val="001D53FC"/>
    <w:rsid w:val="001E0D32"/>
    <w:rsid w:val="001E15A2"/>
    <w:rsid w:val="001E2726"/>
    <w:rsid w:val="001F42A5"/>
    <w:rsid w:val="001F7848"/>
    <w:rsid w:val="001F7B9D"/>
    <w:rsid w:val="00216C54"/>
    <w:rsid w:val="002224B4"/>
    <w:rsid w:val="002260BF"/>
    <w:rsid w:val="002447EF"/>
    <w:rsid w:val="00251550"/>
    <w:rsid w:val="00252C1A"/>
    <w:rsid w:val="00263B05"/>
    <w:rsid w:val="002667E2"/>
    <w:rsid w:val="0027221A"/>
    <w:rsid w:val="00275B61"/>
    <w:rsid w:val="00282656"/>
    <w:rsid w:val="00296B83"/>
    <w:rsid w:val="002A1442"/>
    <w:rsid w:val="002A6770"/>
    <w:rsid w:val="002B78CE"/>
    <w:rsid w:val="002C2FB6"/>
    <w:rsid w:val="002D0A87"/>
    <w:rsid w:val="002D5BCD"/>
    <w:rsid w:val="002E5DDE"/>
    <w:rsid w:val="002E7F12"/>
    <w:rsid w:val="003009B7"/>
    <w:rsid w:val="00300E56"/>
    <w:rsid w:val="0030469C"/>
    <w:rsid w:val="00306626"/>
    <w:rsid w:val="00310148"/>
    <w:rsid w:val="00321CA6"/>
    <w:rsid w:val="0032696F"/>
    <w:rsid w:val="00334C09"/>
    <w:rsid w:val="003365E3"/>
    <w:rsid w:val="0036073C"/>
    <w:rsid w:val="003723D4"/>
    <w:rsid w:val="00381001"/>
    <w:rsid w:val="00384CC8"/>
    <w:rsid w:val="003871FD"/>
    <w:rsid w:val="003875D5"/>
    <w:rsid w:val="00391B6E"/>
    <w:rsid w:val="00394FDE"/>
    <w:rsid w:val="003962F8"/>
    <w:rsid w:val="003A1E30"/>
    <w:rsid w:val="003A7D1C"/>
    <w:rsid w:val="003B1527"/>
    <w:rsid w:val="003B304B"/>
    <w:rsid w:val="003B3146"/>
    <w:rsid w:val="003B60F3"/>
    <w:rsid w:val="003D1FF3"/>
    <w:rsid w:val="003D5B0D"/>
    <w:rsid w:val="003F015E"/>
    <w:rsid w:val="00400414"/>
    <w:rsid w:val="004009B1"/>
    <w:rsid w:val="0040472F"/>
    <w:rsid w:val="0041446B"/>
    <w:rsid w:val="004149C5"/>
    <w:rsid w:val="004310FB"/>
    <w:rsid w:val="0044329C"/>
    <w:rsid w:val="00455F95"/>
    <w:rsid w:val="004574FF"/>
    <w:rsid w:val="004577FE"/>
    <w:rsid w:val="00457B9C"/>
    <w:rsid w:val="0046164A"/>
    <w:rsid w:val="004628D2"/>
    <w:rsid w:val="00462DCD"/>
    <w:rsid w:val="004648AD"/>
    <w:rsid w:val="004703A9"/>
    <w:rsid w:val="004760DE"/>
    <w:rsid w:val="004779E8"/>
    <w:rsid w:val="004959CE"/>
    <w:rsid w:val="004A004E"/>
    <w:rsid w:val="004A24CF"/>
    <w:rsid w:val="004A43B2"/>
    <w:rsid w:val="004A661D"/>
    <w:rsid w:val="004B6721"/>
    <w:rsid w:val="004C3D1D"/>
    <w:rsid w:val="004C7913"/>
    <w:rsid w:val="004E4DD6"/>
    <w:rsid w:val="004F5E36"/>
    <w:rsid w:val="00507B47"/>
    <w:rsid w:val="00507CC9"/>
    <w:rsid w:val="005119A5"/>
    <w:rsid w:val="00516C2B"/>
    <w:rsid w:val="005278B7"/>
    <w:rsid w:val="00532016"/>
    <w:rsid w:val="005346C8"/>
    <w:rsid w:val="00537E75"/>
    <w:rsid w:val="00543E7D"/>
    <w:rsid w:val="00546B05"/>
    <w:rsid w:val="00547A68"/>
    <w:rsid w:val="005531C9"/>
    <w:rsid w:val="005621C3"/>
    <w:rsid w:val="00563AF5"/>
    <w:rsid w:val="00571156"/>
    <w:rsid w:val="005862BA"/>
    <w:rsid w:val="00590D9B"/>
    <w:rsid w:val="00590DCF"/>
    <w:rsid w:val="005B2110"/>
    <w:rsid w:val="005B2386"/>
    <w:rsid w:val="005B61E6"/>
    <w:rsid w:val="005C355A"/>
    <w:rsid w:val="005C4D88"/>
    <w:rsid w:val="005C77E1"/>
    <w:rsid w:val="005D6A2F"/>
    <w:rsid w:val="005E1A82"/>
    <w:rsid w:val="005E2064"/>
    <w:rsid w:val="005E794C"/>
    <w:rsid w:val="005F0A28"/>
    <w:rsid w:val="005F0E5E"/>
    <w:rsid w:val="005F2026"/>
    <w:rsid w:val="005F522D"/>
    <w:rsid w:val="00600535"/>
    <w:rsid w:val="00610CD6"/>
    <w:rsid w:val="006130DF"/>
    <w:rsid w:val="00620DEE"/>
    <w:rsid w:val="00621D64"/>
    <w:rsid w:val="00621F92"/>
    <w:rsid w:val="00625639"/>
    <w:rsid w:val="006265F9"/>
    <w:rsid w:val="0063045C"/>
    <w:rsid w:val="00631B33"/>
    <w:rsid w:val="00634959"/>
    <w:rsid w:val="0064184D"/>
    <w:rsid w:val="006422CC"/>
    <w:rsid w:val="00660E3E"/>
    <w:rsid w:val="00662E74"/>
    <w:rsid w:val="00672E42"/>
    <w:rsid w:val="00675637"/>
    <w:rsid w:val="0067691B"/>
    <w:rsid w:val="00680C23"/>
    <w:rsid w:val="00693766"/>
    <w:rsid w:val="006A3281"/>
    <w:rsid w:val="006B4888"/>
    <w:rsid w:val="006C2E45"/>
    <w:rsid w:val="006C359C"/>
    <w:rsid w:val="006C5579"/>
    <w:rsid w:val="006C5A6A"/>
    <w:rsid w:val="006D010F"/>
    <w:rsid w:val="006E737D"/>
    <w:rsid w:val="0070195D"/>
    <w:rsid w:val="0071038C"/>
    <w:rsid w:val="0072040E"/>
    <w:rsid w:val="00720A24"/>
    <w:rsid w:val="00732386"/>
    <w:rsid w:val="00744165"/>
    <w:rsid w:val="007447F3"/>
    <w:rsid w:val="0075499F"/>
    <w:rsid w:val="00763F1A"/>
    <w:rsid w:val="007661C8"/>
    <w:rsid w:val="0077098D"/>
    <w:rsid w:val="0077637B"/>
    <w:rsid w:val="00784FC9"/>
    <w:rsid w:val="00785D44"/>
    <w:rsid w:val="00787FBC"/>
    <w:rsid w:val="007931FA"/>
    <w:rsid w:val="007A7BBA"/>
    <w:rsid w:val="007B0C50"/>
    <w:rsid w:val="007B3CA3"/>
    <w:rsid w:val="007C1A43"/>
    <w:rsid w:val="007C54ED"/>
    <w:rsid w:val="007D4C1D"/>
    <w:rsid w:val="007D53C7"/>
    <w:rsid w:val="007E1DC6"/>
    <w:rsid w:val="00805C56"/>
    <w:rsid w:val="00813288"/>
    <w:rsid w:val="008168FC"/>
    <w:rsid w:val="00830996"/>
    <w:rsid w:val="008345F1"/>
    <w:rsid w:val="008418E5"/>
    <w:rsid w:val="00865B07"/>
    <w:rsid w:val="008667EA"/>
    <w:rsid w:val="00867F7D"/>
    <w:rsid w:val="008754CA"/>
    <w:rsid w:val="0087637F"/>
    <w:rsid w:val="00883130"/>
    <w:rsid w:val="008904B9"/>
    <w:rsid w:val="00892AD5"/>
    <w:rsid w:val="008A1348"/>
    <w:rsid w:val="008A1512"/>
    <w:rsid w:val="008B72DC"/>
    <w:rsid w:val="008C78C1"/>
    <w:rsid w:val="008D32B9"/>
    <w:rsid w:val="008D433B"/>
    <w:rsid w:val="008E566E"/>
    <w:rsid w:val="0090161A"/>
    <w:rsid w:val="00901C9E"/>
    <w:rsid w:val="00901EB6"/>
    <w:rsid w:val="00904C62"/>
    <w:rsid w:val="00924DAC"/>
    <w:rsid w:val="00927058"/>
    <w:rsid w:val="009450CE"/>
    <w:rsid w:val="00946CAC"/>
    <w:rsid w:val="00947179"/>
    <w:rsid w:val="0095164B"/>
    <w:rsid w:val="009528B1"/>
    <w:rsid w:val="00954090"/>
    <w:rsid w:val="009573E7"/>
    <w:rsid w:val="009574C6"/>
    <w:rsid w:val="009635B9"/>
    <w:rsid w:val="00963E05"/>
    <w:rsid w:val="00967D54"/>
    <w:rsid w:val="009857B8"/>
    <w:rsid w:val="00996483"/>
    <w:rsid w:val="00996F5A"/>
    <w:rsid w:val="009A0A3E"/>
    <w:rsid w:val="009A32C4"/>
    <w:rsid w:val="009B041A"/>
    <w:rsid w:val="009C256C"/>
    <w:rsid w:val="009C3712"/>
    <w:rsid w:val="009C7C86"/>
    <w:rsid w:val="009D2FF7"/>
    <w:rsid w:val="009E4F50"/>
    <w:rsid w:val="009E7884"/>
    <w:rsid w:val="009E788A"/>
    <w:rsid w:val="009F076E"/>
    <w:rsid w:val="009F0E08"/>
    <w:rsid w:val="00A03D3C"/>
    <w:rsid w:val="00A1763D"/>
    <w:rsid w:val="00A17CEC"/>
    <w:rsid w:val="00A235B5"/>
    <w:rsid w:val="00A27EF0"/>
    <w:rsid w:val="00A411CD"/>
    <w:rsid w:val="00A50B20"/>
    <w:rsid w:val="00A51390"/>
    <w:rsid w:val="00A60D13"/>
    <w:rsid w:val="00A65C15"/>
    <w:rsid w:val="00A72745"/>
    <w:rsid w:val="00A76EFC"/>
    <w:rsid w:val="00A80E78"/>
    <w:rsid w:val="00A8724C"/>
    <w:rsid w:val="00A91010"/>
    <w:rsid w:val="00A93C3A"/>
    <w:rsid w:val="00A97F29"/>
    <w:rsid w:val="00AA702E"/>
    <w:rsid w:val="00AB0964"/>
    <w:rsid w:val="00AB5011"/>
    <w:rsid w:val="00AC7368"/>
    <w:rsid w:val="00AD16B9"/>
    <w:rsid w:val="00AD1AED"/>
    <w:rsid w:val="00AD7D9A"/>
    <w:rsid w:val="00AE377D"/>
    <w:rsid w:val="00B04E7C"/>
    <w:rsid w:val="00B1785E"/>
    <w:rsid w:val="00B17FBD"/>
    <w:rsid w:val="00B22F20"/>
    <w:rsid w:val="00B260A4"/>
    <w:rsid w:val="00B2767A"/>
    <w:rsid w:val="00B315A6"/>
    <w:rsid w:val="00B31813"/>
    <w:rsid w:val="00B33365"/>
    <w:rsid w:val="00B35F21"/>
    <w:rsid w:val="00B54448"/>
    <w:rsid w:val="00B574BB"/>
    <w:rsid w:val="00B57B36"/>
    <w:rsid w:val="00B605EB"/>
    <w:rsid w:val="00B72F59"/>
    <w:rsid w:val="00B862C9"/>
    <w:rsid w:val="00B8686D"/>
    <w:rsid w:val="00BA1396"/>
    <w:rsid w:val="00BA5433"/>
    <w:rsid w:val="00BB668E"/>
    <w:rsid w:val="00BC30C9"/>
    <w:rsid w:val="00BD12FD"/>
    <w:rsid w:val="00BE3E58"/>
    <w:rsid w:val="00BE6BC5"/>
    <w:rsid w:val="00BE758A"/>
    <w:rsid w:val="00BF1A58"/>
    <w:rsid w:val="00C01616"/>
    <w:rsid w:val="00C0162B"/>
    <w:rsid w:val="00C345B1"/>
    <w:rsid w:val="00C40142"/>
    <w:rsid w:val="00C513C3"/>
    <w:rsid w:val="00C55321"/>
    <w:rsid w:val="00C57182"/>
    <w:rsid w:val="00C57863"/>
    <w:rsid w:val="00C655FD"/>
    <w:rsid w:val="00C77B83"/>
    <w:rsid w:val="00C870A8"/>
    <w:rsid w:val="00C94434"/>
    <w:rsid w:val="00CA0D75"/>
    <w:rsid w:val="00CA1C95"/>
    <w:rsid w:val="00CA5A9C"/>
    <w:rsid w:val="00CA72B1"/>
    <w:rsid w:val="00CC17F3"/>
    <w:rsid w:val="00CD3517"/>
    <w:rsid w:val="00CD5A00"/>
    <w:rsid w:val="00CD5FE2"/>
    <w:rsid w:val="00CE3334"/>
    <w:rsid w:val="00CE373E"/>
    <w:rsid w:val="00CE6D42"/>
    <w:rsid w:val="00CE79CE"/>
    <w:rsid w:val="00CE7C68"/>
    <w:rsid w:val="00CF5F61"/>
    <w:rsid w:val="00D02B4C"/>
    <w:rsid w:val="00D040C4"/>
    <w:rsid w:val="00D11F62"/>
    <w:rsid w:val="00D54BB3"/>
    <w:rsid w:val="00D57C84"/>
    <w:rsid w:val="00D6057D"/>
    <w:rsid w:val="00D7241C"/>
    <w:rsid w:val="00D73A63"/>
    <w:rsid w:val="00D84576"/>
    <w:rsid w:val="00D9229B"/>
    <w:rsid w:val="00DA1399"/>
    <w:rsid w:val="00DA24C6"/>
    <w:rsid w:val="00DA39F9"/>
    <w:rsid w:val="00DA4D7B"/>
    <w:rsid w:val="00DC39A0"/>
    <w:rsid w:val="00DC786E"/>
    <w:rsid w:val="00DD27CB"/>
    <w:rsid w:val="00DE264A"/>
    <w:rsid w:val="00E02D18"/>
    <w:rsid w:val="00E041E7"/>
    <w:rsid w:val="00E1686A"/>
    <w:rsid w:val="00E23A85"/>
    <w:rsid w:val="00E23CA1"/>
    <w:rsid w:val="00E26995"/>
    <w:rsid w:val="00E27FBC"/>
    <w:rsid w:val="00E409A8"/>
    <w:rsid w:val="00E50C12"/>
    <w:rsid w:val="00E6257F"/>
    <w:rsid w:val="00E65B91"/>
    <w:rsid w:val="00E7209D"/>
    <w:rsid w:val="00E72243"/>
    <w:rsid w:val="00E77223"/>
    <w:rsid w:val="00E8528B"/>
    <w:rsid w:val="00E85B94"/>
    <w:rsid w:val="00E86F64"/>
    <w:rsid w:val="00E978D0"/>
    <w:rsid w:val="00EA156D"/>
    <w:rsid w:val="00EA4613"/>
    <w:rsid w:val="00EA7F91"/>
    <w:rsid w:val="00EB1523"/>
    <w:rsid w:val="00EB6522"/>
    <w:rsid w:val="00EC0E49"/>
    <w:rsid w:val="00EC53F5"/>
    <w:rsid w:val="00EE0131"/>
    <w:rsid w:val="00EF253F"/>
    <w:rsid w:val="00F155B2"/>
    <w:rsid w:val="00F30C64"/>
    <w:rsid w:val="00F32CDB"/>
    <w:rsid w:val="00F41045"/>
    <w:rsid w:val="00F43042"/>
    <w:rsid w:val="00F60315"/>
    <w:rsid w:val="00F63A70"/>
    <w:rsid w:val="00F67403"/>
    <w:rsid w:val="00F67707"/>
    <w:rsid w:val="00F970DE"/>
    <w:rsid w:val="00FA0867"/>
    <w:rsid w:val="00FA21D0"/>
    <w:rsid w:val="00FA5F5F"/>
    <w:rsid w:val="00FB72D6"/>
    <w:rsid w:val="00FB730C"/>
    <w:rsid w:val="00FC2695"/>
    <w:rsid w:val="00FC3E03"/>
    <w:rsid w:val="00FC3FC1"/>
    <w:rsid w:val="00FF5EEC"/>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A7E16"/>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Nessunaspaziatura">
    <w:name w:val="No Spacing"/>
    <w:uiPriority w:val="1"/>
    <w:qFormat/>
    <w:rsid w:val="001821B1"/>
    <w:pPr>
      <w:spacing w:after="0" w:line="240" w:lineRule="auto"/>
    </w:pPr>
  </w:style>
  <w:style w:type="paragraph" w:styleId="Paragrafoelenco">
    <w:name w:val="List Paragraph"/>
    <w:basedOn w:val="Normale"/>
    <w:uiPriority w:val="34"/>
    <w:rsid w:val="001821B1"/>
    <w:pPr>
      <w:ind w:left="720"/>
      <w:contextualSpacing/>
    </w:pPr>
  </w:style>
  <w:style w:type="character" w:styleId="Testosegnaposto">
    <w:name w:val="Placeholder Text"/>
    <w:basedOn w:val="Carpredefinitoparagrafo"/>
    <w:uiPriority w:val="99"/>
    <w:semiHidden/>
    <w:rsid w:val="001821B1"/>
    <w:rPr>
      <w:color w:val="808080"/>
    </w:rPr>
  </w:style>
  <w:style w:type="paragraph" w:styleId="Revisione">
    <w:name w:val="Revision"/>
    <w:hidden/>
    <w:uiPriority w:val="99"/>
    <w:semiHidden/>
    <w:rsid w:val="00F67707"/>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3884">
      <w:bodyDiv w:val="1"/>
      <w:marLeft w:val="0"/>
      <w:marRight w:val="0"/>
      <w:marTop w:val="0"/>
      <w:marBottom w:val="0"/>
      <w:divBdr>
        <w:top w:val="none" w:sz="0" w:space="0" w:color="auto"/>
        <w:left w:val="none" w:sz="0" w:space="0" w:color="auto"/>
        <w:bottom w:val="none" w:sz="0" w:space="0" w:color="auto"/>
        <w:right w:val="none" w:sz="0" w:space="0" w:color="auto"/>
      </w:divBdr>
    </w:div>
    <w:div w:id="141318802">
      <w:bodyDiv w:val="1"/>
      <w:marLeft w:val="0"/>
      <w:marRight w:val="0"/>
      <w:marTop w:val="0"/>
      <w:marBottom w:val="0"/>
      <w:divBdr>
        <w:top w:val="none" w:sz="0" w:space="0" w:color="auto"/>
        <w:left w:val="none" w:sz="0" w:space="0" w:color="auto"/>
        <w:bottom w:val="none" w:sz="0" w:space="0" w:color="auto"/>
        <w:right w:val="none" w:sz="0" w:space="0" w:color="auto"/>
      </w:divBdr>
    </w:div>
    <w:div w:id="194805404">
      <w:bodyDiv w:val="1"/>
      <w:marLeft w:val="0"/>
      <w:marRight w:val="0"/>
      <w:marTop w:val="0"/>
      <w:marBottom w:val="0"/>
      <w:divBdr>
        <w:top w:val="none" w:sz="0" w:space="0" w:color="auto"/>
        <w:left w:val="none" w:sz="0" w:space="0" w:color="auto"/>
        <w:bottom w:val="none" w:sz="0" w:space="0" w:color="auto"/>
        <w:right w:val="none" w:sz="0" w:space="0" w:color="auto"/>
      </w:divBdr>
    </w:div>
    <w:div w:id="226918052">
      <w:bodyDiv w:val="1"/>
      <w:marLeft w:val="0"/>
      <w:marRight w:val="0"/>
      <w:marTop w:val="0"/>
      <w:marBottom w:val="0"/>
      <w:divBdr>
        <w:top w:val="none" w:sz="0" w:space="0" w:color="auto"/>
        <w:left w:val="none" w:sz="0" w:space="0" w:color="auto"/>
        <w:bottom w:val="none" w:sz="0" w:space="0" w:color="auto"/>
        <w:right w:val="none" w:sz="0" w:space="0" w:color="auto"/>
      </w:divBdr>
    </w:div>
    <w:div w:id="356665281">
      <w:bodyDiv w:val="1"/>
      <w:marLeft w:val="0"/>
      <w:marRight w:val="0"/>
      <w:marTop w:val="0"/>
      <w:marBottom w:val="0"/>
      <w:divBdr>
        <w:top w:val="none" w:sz="0" w:space="0" w:color="auto"/>
        <w:left w:val="none" w:sz="0" w:space="0" w:color="auto"/>
        <w:bottom w:val="none" w:sz="0" w:space="0" w:color="auto"/>
        <w:right w:val="none" w:sz="0" w:space="0" w:color="auto"/>
      </w:divBdr>
    </w:div>
    <w:div w:id="603465214">
      <w:bodyDiv w:val="1"/>
      <w:marLeft w:val="0"/>
      <w:marRight w:val="0"/>
      <w:marTop w:val="0"/>
      <w:marBottom w:val="0"/>
      <w:divBdr>
        <w:top w:val="none" w:sz="0" w:space="0" w:color="auto"/>
        <w:left w:val="none" w:sz="0" w:space="0" w:color="auto"/>
        <w:bottom w:val="none" w:sz="0" w:space="0" w:color="auto"/>
        <w:right w:val="none" w:sz="0" w:space="0" w:color="auto"/>
      </w:divBdr>
    </w:div>
    <w:div w:id="634797568">
      <w:bodyDiv w:val="1"/>
      <w:marLeft w:val="0"/>
      <w:marRight w:val="0"/>
      <w:marTop w:val="0"/>
      <w:marBottom w:val="0"/>
      <w:divBdr>
        <w:top w:val="none" w:sz="0" w:space="0" w:color="auto"/>
        <w:left w:val="none" w:sz="0" w:space="0" w:color="auto"/>
        <w:bottom w:val="none" w:sz="0" w:space="0" w:color="auto"/>
        <w:right w:val="none" w:sz="0" w:space="0" w:color="auto"/>
      </w:divBdr>
    </w:div>
    <w:div w:id="741411062">
      <w:bodyDiv w:val="1"/>
      <w:marLeft w:val="0"/>
      <w:marRight w:val="0"/>
      <w:marTop w:val="0"/>
      <w:marBottom w:val="0"/>
      <w:divBdr>
        <w:top w:val="none" w:sz="0" w:space="0" w:color="auto"/>
        <w:left w:val="none" w:sz="0" w:space="0" w:color="auto"/>
        <w:bottom w:val="none" w:sz="0" w:space="0" w:color="auto"/>
        <w:right w:val="none" w:sz="0" w:space="0" w:color="auto"/>
      </w:divBdr>
    </w:div>
    <w:div w:id="74772993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82338">
      <w:bodyDiv w:val="1"/>
      <w:marLeft w:val="0"/>
      <w:marRight w:val="0"/>
      <w:marTop w:val="0"/>
      <w:marBottom w:val="0"/>
      <w:divBdr>
        <w:top w:val="none" w:sz="0" w:space="0" w:color="auto"/>
        <w:left w:val="none" w:sz="0" w:space="0" w:color="auto"/>
        <w:bottom w:val="none" w:sz="0" w:space="0" w:color="auto"/>
        <w:right w:val="none" w:sz="0" w:space="0" w:color="auto"/>
      </w:divBdr>
    </w:div>
    <w:div w:id="858465651">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687695">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7948">
      <w:bodyDiv w:val="1"/>
      <w:marLeft w:val="0"/>
      <w:marRight w:val="0"/>
      <w:marTop w:val="0"/>
      <w:marBottom w:val="0"/>
      <w:divBdr>
        <w:top w:val="none" w:sz="0" w:space="0" w:color="auto"/>
        <w:left w:val="none" w:sz="0" w:space="0" w:color="auto"/>
        <w:bottom w:val="none" w:sz="0" w:space="0" w:color="auto"/>
        <w:right w:val="none" w:sz="0" w:space="0" w:color="auto"/>
      </w:divBdr>
    </w:div>
    <w:div w:id="1169760173">
      <w:bodyDiv w:val="1"/>
      <w:marLeft w:val="0"/>
      <w:marRight w:val="0"/>
      <w:marTop w:val="0"/>
      <w:marBottom w:val="0"/>
      <w:divBdr>
        <w:top w:val="none" w:sz="0" w:space="0" w:color="auto"/>
        <w:left w:val="none" w:sz="0" w:space="0" w:color="auto"/>
        <w:bottom w:val="none" w:sz="0" w:space="0" w:color="auto"/>
        <w:right w:val="none" w:sz="0" w:space="0" w:color="auto"/>
      </w:divBdr>
    </w:div>
    <w:div w:id="1323923894">
      <w:bodyDiv w:val="1"/>
      <w:marLeft w:val="0"/>
      <w:marRight w:val="0"/>
      <w:marTop w:val="0"/>
      <w:marBottom w:val="0"/>
      <w:divBdr>
        <w:top w:val="none" w:sz="0" w:space="0" w:color="auto"/>
        <w:left w:val="none" w:sz="0" w:space="0" w:color="auto"/>
        <w:bottom w:val="none" w:sz="0" w:space="0" w:color="auto"/>
        <w:right w:val="none" w:sz="0" w:space="0" w:color="auto"/>
      </w:divBdr>
    </w:div>
    <w:div w:id="1493642825">
      <w:bodyDiv w:val="1"/>
      <w:marLeft w:val="0"/>
      <w:marRight w:val="0"/>
      <w:marTop w:val="0"/>
      <w:marBottom w:val="0"/>
      <w:divBdr>
        <w:top w:val="none" w:sz="0" w:space="0" w:color="auto"/>
        <w:left w:val="none" w:sz="0" w:space="0" w:color="auto"/>
        <w:bottom w:val="none" w:sz="0" w:space="0" w:color="auto"/>
        <w:right w:val="none" w:sz="0" w:space="0" w:color="auto"/>
      </w:divBdr>
    </w:div>
    <w:div w:id="1531642694">
      <w:bodyDiv w:val="1"/>
      <w:marLeft w:val="0"/>
      <w:marRight w:val="0"/>
      <w:marTop w:val="0"/>
      <w:marBottom w:val="0"/>
      <w:divBdr>
        <w:top w:val="none" w:sz="0" w:space="0" w:color="auto"/>
        <w:left w:val="none" w:sz="0" w:space="0" w:color="auto"/>
        <w:bottom w:val="none" w:sz="0" w:space="0" w:color="auto"/>
        <w:right w:val="none" w:sz="0" w:space="0" w:color="auto"/>
      </w:divBdr>
    </w:div>
    <w:div w:id="1559241711">
      <w:bodyDiv w:val="1"/>
      <w:marLeft w:val="0"/>
      <w:marRight w:val="0"/>
      <w:marTop w:val="0"/>
      <w:marBottom w:val="0"/>
      <w:divBdr>
        <w:top w:val="none" w:sz="0" w:space="0" w:color="auto"/>
        <w:left w:val="none" w:sz="0" w:space="0" w:color="auto"/>
        <w:bottom w:val="none" w:sz="0" w:space="0" w:color="auto"/>
        <w:right w:val="none" w:sz="0" w:space="0" w:color="auto"/>
      </w:divBdr>
    </w:div>
    <w:div w:id="1560825121">
      <w:bodyDiv w:val="1"/>
      <w:marLeft w:val="0"/>
      <w:marRight w:val="0"/>
      <w:marTop w:val="0"/>
      <w:marBottom w:val="0"/>
      <w:divBdr>
        <w:top w:val="none" w:sz="0" w:space="0" w:color="auto"/>
        <w:left w:val="none" w:sz="0" w:space="0" w:color="auto"/>
        <w:bottom w:val="none" w:sz="0" w:space="0" w:color="auto"/>
        <w:right w:val="none" w:sz="0" w:space="0" w:color="auto"/>
      </w:divBdr>
    </w:div>
    <w:div w:id="1578781122">
      <w:bodyDiv w:val="1"/>
      <w:marLeft w:val="0"/>
      <w:marRight w:val="0"/>
      <w:marTop w:val="0"/>
      <w:marBottom w:val="0"/>
      <w:divBdr>
        <w:top w:val="none" w:sz="0" w:space="0" w:color="auto"/>
        <w:left w:val="none" w:sz="0" w:space="0" w:color="auto"/>
        <w:bottom w:val="none" w:sz="0" w:space="0" w:color="auto"/>
        <w:right w:val="none" w:sz="0" w:space="0" w:color="auto"/>
      </w:divBdr>
    </w:div>
    <w:div w:id="162951008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0623">
      <w:bodyDiv w:val="1"/>
      <w:marLeft w:val="0"/>
      <w:marRight w:val="0"/>
      <w:marTop w:val="0"/>
      <w:marBottom w:val="0"/>
      <w:divBdr>
        <w:top w:val="none" w:sz="0" w:space="0" w:color="auto"/>
        <w:left w:val="none" w:sz="0" w:space="0" w:color="auto"/>
        <w:bottom w:val="none" w:sz="0" w:space="0" w:color="auto"/>
        <w:right w:val="none" w:sz="0" w:space="0" w:color="auto"/>
      </w:divBdr>
    </w:div>
    <w:div w:id="1789885044">
      <w:bodyDiv w:val="1"/>
      <w:marLeft w:val="0"/>
      <w:marRight w:val="0"/>
      <w:marTop w:val="0"/>
      <w:marBottom w:val="0"/>
      <w:divBdr>
        <w:top w:val="none" w:sz="0" w:space="0" w:color="auto"/>
        <w:left w:val="none" w:sz="0" w:space="0" w:color="auto"/>
        <w:bottom w:val="none" w:sz="0" w:space="0" w:color="auto"/>
        <w:right w:val="none" w:sz="0" w:space="0" w:color="auto"/>
      </w:divBdr>
    </w:div>
    <w:div w:id="1836989788">
      <w:bodyDiv w:val="1"/>
      <w:marLeft w:val="0"/>
      <w:marRight w:val="0"/>
      <w:marTop w:val="0"/>
      <w:marBottom w:val="0"/>
      <w:divBdr>
        <w:top w:val="none" w:sz="0" w:space="0" w:color="auto"/>
        <w:left w:val="none" w:sz="0" w:space="0" w:color="auto"/>
        <w:bottom w:val="none" w:sz="0" w:space="0" w:color="auto"/>
        <w:right w:val="none" w:sz="0" w:space="0" w:color="auto"/>
      </w:divBdr>
    </w:div>
    <w:div w:id="1871532740">
      <w:bodyDiv w:val="1"/>
      <w:marLeft w:val="0"/>
      <w:marRight w:val="0"/>
      <w:marTop w:val="0"/>
      <w:marBottom w:val="0"/>
      <w:divBdr>
        <w:top w:val="none" w:sz="0" w:space="0" w:color="auto"/>
        <w:left w:val="none" w:sz="0" w:space="0" w:color="auto"/>
        <w:bottom w:val="none" w:sz="0" w:space="0" w:color="auto"/>
        <w:right w:val="none" w:sz="0" w:space="0" w:color="auto"/>
      </w:divBdr>
    </w:div>
    <w:div w:id="1881280519">
      <w:bodyDiv w:val="1"/>
      <w:marLeft w:val="0"/>
      <w:marRight w:val="0"/>
      <w:marTop w:val="0"/>
      <w:marBottom w:val="0"/>
      <w:divBdr>
        <w:top w:val="none" w:sz="0" w:space="0" w:color="auto"/>
        <w:left w:val="none" w:sz="0" w:space="0" w:color="auto"/>
        <w:bottom w:val="none" w:sz="0" w:space="0" w:color="auto"/>
        <w:right w:val="none" w:sz="0" w:space="0" w:color="auto"/>
      </w:divBdr>
    </w:div>
    <w:div w:id="1948736474">
      <w:bodyDiv w:val="1"/>
      <w:marLeft w:val="0"/>
      <w:marRight w:val="0"/>
      <w:marTop w:val="0"/>
      <w:marBottom w:val="0"/>
      <w:divBdr>
        <w:top w:val="none" w:sz="0" w:space="0" w:color="auto"/>
        <w:left w:val="none" w:sz="0" w:space="0" w:color="auto"/>
        <w:bottom w:val="none" w:sz="0" w:space="0" w:color="auto"/>
        <w:right w:val="none" w:sz="0" w:space="0" w:color="auto"/>
      </w:divBdr>
    </w:div>
    <w:div w:id="2047289066">
      <w:bodyDiv w:val="1"/>
      <w:marLeft w:val="0"/>
      <w:marRight w:val="0"/>
      <w:marTop w:val="0"/>
      <w:marBottom w:val="0"/>
      <w:divBdr>
        <w:top w:val="none" w:sz="0" w:space="0" w:color="auto"/>
        <w:left w:val="none" w:sz="0" w:space="0" w:color="auto"/>
        <w:bottom w:val="none" w:sz="0" w:space="0" w:color="auto"/>
        <w:right w:val="none" w:sz="0" w:space="0" w:color="auto"/>
      </w:divBdr>
    </w:div>
    <w:div w:id="212168591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lena\OneDrive%20-%20unige.it\Documenti\Dottorato\secondo%20anno\icheap\alghe\prova%20al%20buio\prova%20al%20bui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278230020401785"/>
          <c:y val="0.21464726000159071"/>
          <c:w val="0.70411457553006718"/>
          <c:h val="0.56714865187306129"/>
        </c:manualLayout>
      </c:layout>
      <c:scatterChart>
        <c:scatterStyle val="lineMarker"/>
        <c:varyColors val="0"/>
        <c:ser>
          <c:idx val="0"/>
          <c:order val="0"/>
          <c:tx>
            <c:v>1W</c:v>
          </c:tx>
          <c:spPr>
            <a:ln w="12700" cap="rnd">
              <a:solidFill>
                <a:srgbClr val="C00000"/>
              </a:solidFill>
              <a:round/>
            </a:ln>
            <a:effectLst/>
          </c:spPr>
          <c:marker>
            <c:symbol val="circle"/>
            <c:size val="5"/>
            <c:spPr>
              <a:solidFill>
                <a:srgbClr val="C00000"/>
              </a:solidFill>
              <a:ln w="9525">
                <a:gradFill>
                  <a:gsLst>
                    <a:gs pos="0">
                      <a:srgbClr val="C00000"/>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marker>
          <c:errBars>
            <c:errDir val="y"/>
            <c:errBarType val="both"/>
            <c:errValType val="cust"/>
            <c:noEndCap val="0"/>
            <c:plus>
              <c:numRef>
                <c:f>'peso secco'!$V$32:$V$40</c:f>
                <c:numCache>
                  <c:formatCode>General</c:formatCode>
                  <c:ptCount val="9"/>
                  <c:pt idx="0">
                    <c:v>0</c:v>
                  </c:pt>
                  <c:pt idx="1">
                    <c:v>3.5355339059327723E-2</c:v>
                  </c:pt>
                  <c:pt idx="2">
                    <c:v>0</c:v>
                  </c:pt>
                  <c:pt idx="3">
                    <c:v>0.11785113019776128</c:v>
                  </c:pt>
                  <c:pt idx="4">
                    <c:v>0</c:v>
                  </c:pt>
                  <c:pt idx="5">
                    <c:v>0.56568542494923824</c:v>
                  </c:pt>
                  <c:pt idx="6">
                    <c:v>7.0710678118359016E-2</c:v>
                  </c:pt>
                  <c:pt idx="7">
                    <c:v>4.7140452079101426E-2</c:v>
                  </c:pt>
                  <c:pt idx="8">
                    <c:v>0.80138768534475002</c:v>
                  </c:pt>
                </c:numCache>
              </c:numRef>
            </c:plus>
            <c:minus>
              <c:numRef>
                <c:f>'peso secco'!$V$32:$V$40</c:f>
                <c:numCache>
                  <c:formatCode>General</c:formatCode>
                  <c:ptCount val="9"/>
                  <c:pt idx="0">
                    <c:v>0</c:v>
                  </c:pt>
                  <c:pt idx="1">
                    <c:v>3.5355339059327723E-2</c:v>
                  </c:pt>
                  <c:pt idx="2">
                    <c:v>0</c:v>
                  </c:pt>
                  <c:pt idx="3">
                    <c:v>0.11785113019776128</c:v>
                  </c:pt>
                  <c:pt idx="4">
                    <c:v>0</c:v>
                  </c:pt>
                  <c:pt idx="5">
                    <c:v>0.56568542494923824</c:v>
                  </c:pt>
                  <c:pt idx="6">
                    <c:v>7.0710678118359016E-2</c:v>
                  </c:pt>
                  <c:pt idx="7">
                    <c:v>4.7140452079101426E-2</c:v>
                  </c:pt>
                  <c:pt idx="8">
                    <c:v>0.80138768534475002</c:v>
                  </c:pt>
                </c:numCache>
              </c:numRef>
            </c:minus>
            <c:spPr>
              <a:noFill/>
              <a:ln w="6350" cap="flat" cmpd="sng" algn="ctr">
                <a:solidFill>
                  <a:schemeClr val="tx1">
                    <a:lumMod val="65000"/>
                    <a:lumOff val="35000"/>
                  </a:schemeClr>
                </a:solidFill>
                <a:round/>
              </a:ln>
              <a:effectLst/>
            </c:spPr>
          </c:errBars>
          <c:xVal>
            <c:numRef>
              <c:f>'peso secco'!$M$30:$M$38</c:f>
              <c:numCache>
                <c:formatCode>General</c:formatCode>
                <c:ptCount val="9"/>
                <c:pt idx="0">
                  <c:v>0</c:v>
                </c:pt>
                <c:pt idx="1">
                  <c:v>1</c:v>
                </c:pt>
                <c:pt idx="2">
                  <c:v>5</c:v>
                </c:pt>
                <c:pt idx="3">
                  <c:v>6</c:v>
                </c:pt>
                <c:pt idx="4">
                  <c:v>7</c:v>
                </c:pt>
                <c:pt idx="5">
                  <c:v>9</c:v>
                </c:pt>
                <c:pt idx="6">
                  <c:v>13</c:v>
                </c:pt>
                <c:pt idx="7">
                  <c:v>14</c:v>
                </c:pt>
                <c:pt idx="8">
                  <c:v>15</c:v>
                </c:pt>
              </c:numCache>
            </c:numRef>
          </c:xVal>
          <c:yVal>
            <c:numRef>
              <c:f>'peso secco'!$N$30:$N$38</c:f>
              <c:numCache>
                <c:formatCode>General</c:formatCode>
                <c:ptCount val="9"/>
                <c:pt idx="0">
                  <c:v>0.5</c:v>
                </c:pt>
                <c:pt idx="1">
                  <c:v>1.2340000000000004</c:v>
                </c:pt>
                <c:pt idx="2">
                  <c:v>2.2156666666665892</c:v>
                </c:pt>
                <c:pt idx="3">
                  <c:v>2.1656666666666666</c:v>
                </c:pt>
                <c:pt idx="4">
                  <c:v>1.7156666666666673</c:v>
                </c:pt>
                <c:pt idx="5">
                  <c:v>1.615666666666667</c:v>
                </c:pt>
                <c:pt idx="6">
                  <c:v>1.4323333333331203</c:v>
                </c:pt>
                <c:pt idx="7">
                  <c:v>1.5489999999999984</c:v>
                </c:pt>
                <c:pt idx="8">
                  <c:v>1.5156666666666665</c:v>
                </c:pt>
              </c:numCache>
            </c:numRef>
          </c:yVal>
          <c:smooth val="0"/>
          <c:extLst>
            <c:ext xmlns:c16="http://schemas.microsoft.com/office/drawing/2014/chart" uri="{C3380CC4-5D6E-409C-BE32-E72D297353CC}">
              <c16:uniqueId val="{00000000-0189-4196-A8CE-187D58A9CC61}"/>
            </c:ext>
          </c:extLst>
        </c:ser>
        <c:ser>
          <c:idx val="1"/>
          <c:order val="1"/>
          <c:tx>
            <c:v>2W</c:v>
          </c:tx>
          <c:spPr>
            <a:ln w="12700" cap="rnd">
              <a:solidFill>
                <a:srgbClr val="CD32EC"/>
              </a:solidFill>
              <a:round/>
            </a:ln>
            <a:effectLst/>
          </c:spPr>
          <c:marker>
            <c:symbol val="triangle"/>
            <c:size val="5"/>
            <c:spPr>
              <a:solidFill>
                <a:srgbClr val="CD32EC"/>
              </a:solidFill>
              <a:ln w="9525">
                <a:solidFill>
                  <a:srgbClr val="CD32EC"/>
                </a:solidFill>
              </a:ln>
              <a:effectLst/>
            </c:spPr>
          </c:marker>
          <c:errBars>
            <c:errDir val="y"/>
            <c:errBarType val="both"/>
            <c:errValType val="cust"/>
            <c:noEndCap val="0"/>
            <c:plus>
              <c:numRef>
                <c:f>'peso secco'!$X$32:$X$42</c:f>
                <c:numCache>
                  <c:formatCode>General</c:formatCode>
                  <c:ptCount val="11"/>
                  <c:pt idx="0">
                    <c:v>8.4145706961198594E-2</c:v>
                  </c:pt>
                  <c:pt idx="1">
                    <c:v>1.4849242404917119E-2</c:v>
                  </c:pt>
                  <c:pt idx="2">
                    <c:v>0.19398296030550763</c:v>
                  </c:pt>
                  <c:pt idx="3">
                    <c:v>0.35897454258237194</c:v>
                  </c:pt>
                  <c:pt idx="4">
                    <c:v>5.4211519890994073E-3</c:v>
                  </c:pt>
                  <c:pt idx="5">
                    <c:v>0.2175531863450629</c:v>
                  </c:pt>
                  <c:pt idx="6">
                    <c:v>0.11785113019776096</c:v>
                  </c:pt>
                  <c:pt idx="7">
                    <c:v>0.23570226039551259</c:v>
                  </c:pt>
                  <c:pt idx="8">
                    <c:v>0.18856180831641467</c:v>
                  </c:pt>
                  <c:pt idx="9">
                    <c:v>0.31183409050326721</c:v>
                  </c:pt>
                  <c:pt idx="10">
                    <c:v>0.1885618083164074</c:v>
                  </c:pt>
                </c:numCache>
              </c:numRef>
            </c:plus>
            <c:minus>
              <c:numRef>
                <c:f>'peso secco'!$X$32:$X$42</c:f>
                <c:numCache>
                  <c:formatCode>General</c:formatCode>
                  <c:ptCount val="11"/>
                  <c:pt idx="0">
                    <c:v>8.4145706961198594E-2</c:v>
                  </c:pt>
                  <c:pt idx="1">
                    <c:v>1.4849242404917119E-2</c:v>
                  </c:pt>
                  <c:pt idx="2">
                    <c:v>0.19398296030550763</c:v>
                  </c:pt>
                  <c:pt idx="3">
                    <c:v>0.35897454258237194</c:v>
                  </c:pt>
                  <c:pt idx="4">
                    <c:v>5.4211519890994073E-3</c:v>
                  </c:pt>
                  <c:pt idx="5">
                    <c:v>0.2175531863450629</c:v>
                  </c:pt>
                  <c:pt idx="6">
                    <c:v>0.11785113019776096</c:v>
                  </c:pt>
                  <c:pt idx="7">
                    <c:v>0.23570226039551259</c:v>
                  </c:pt>
                  <c:pt idx="8">
                    <c:v>0.18856180831641467</c:v>
                  </c:pt>
                  <c:pt idx="9">
                    <c:v>0.31183409050326721</c:v>
                  </c:pt>
                  <c:pt idx="10">
                    <c:v>0.1885618083164074</c:v>
                  </c:pt>
                </c:numCache>
              </c:numRef>
            </c:minus>
            <c:spPr>
              <a:noFill/>
              <a:ln w="6350" cap="flat" cmpd="sng" algn="ctr">
                <a:solidFill>
                  <a:schemeClr val="tx1">
                    <a:lumMod val="65000"/>
                    <a:lumOff val="35000"/>
                  </a:schemeClr>
                </a:solidFill>
                <a:round/>
              </a:ln>
              <a:effectLst/>
            </c:spPr>
          </c:errBars>
          <c:xVal>
            <c:numRef>
              <c:f>'peso secco'!$O$30:$O$40</c:f>
              <c:numCache>
                <c:formatCode>General</c:formatCode>
                <c:ptCount val="11"/>
                <c:pt idx="0">
                  <c:v>0</c:v>
                </c:pt>
                <c:pt idx="1">
                  <c:v>1</c:v>
                </c:pt>
                <c:pt idx="2">
                  <c:v>2</c:v>
                </c:pt>
                <c:pt idx="3">
                  <c:v>5</c:v>
                </c:pt>
                <c:pt idx="4">
                  <c:v>6</c:v>
                </c:pt>
                <c:pt idx="5">
                  <c:v>8</c:v>
                </c:pt>
                <c:pt idx="6">
                  <c:v>9</c:v>
                </c:pt>
                <c:pt idx="7">
                  <c:v>12</c:v>
                </c:pt>
                <c:pt idx="8">
                  <c:v>13</c:v>
                </c:pt>
                <c:pt idx="9">
                  <c:v>14</c:v>
                </c:pt>
                <c:pt idx="10">
                  <c:v>15</c:v>
                </c:pt>
              </c:numCache>
            </c:numRef>
          </c:xVal>
          <c:yVal>
            <c:numRef>
              <c:f>'peso secco'!$P$30:$P$40</c:f>
              <c:numCache>
                <c:formatCode>General</c:formatCode>
                <c:ptCount val="11"/>
                <c:pt idx="0">
                  <c:v>0.5</c:v>
                </c:pt>
                <c:pt idx="1">
                  <c:v>0.8214999999999999</c:v>
                </c:pt>
                <c:pt idx="2">
                  <c:v>1.0715000000000001</c:v>
                </c:pt>
                <c:pt idx="3">
                  <c:v>1.4848333333333323</c:v>
                </c:pt>
                <c:pt idx="4">
                  <c:v>1.9348333333333336</c:v>
                </c:pt>
                <c:pt idx="5">
                  <c:v>1.9348333333333334</c:v>
                </c:pt>
                <c:pt idx="6">
                  <c:v>2.0053333333333327</c:v>
                </c:pt>
                <c:pt idx="7">
                  <c:v>1.3553333333333351</c:v>
                </c:pt>
                <c:pt idx="8">
                  <c:v>1.4553333333333334</c:v>
                </c:pt>
                <c:pt idx="9">
                  <c:v>1.3681666666666672</c:v>
                </c:pt>
                <c:pt idx="10">
                  <c:v>1.155333333333334</c:v>
                </c:pt>
              </c:numCache>
            </c:numRef>
          </c:yVal>
          <c:smooth val="0"/>
          <c:extLst>
            <c:ext xmlns:c16="http://schemas.microsoft.com/office/drawing/2014/chart" uri="{C3380CC4-5D6E-409C-BE32-E72D297353CC}">
              <c16:uniqueId val="{00000001-0189-4196-A8CE-187D58A9CC61}"/>
            </c:ext>
          </c:extLst>
        </c:ser>
        <c:ser>
          <c:idx val="2"/>
          <c:order val="2"/>
          <c:tx>
            <c:v>3W</c:v>
          </c:tx>
          <c:spPr>
            <a:ln w="12700" cap="rnd">
              <a:solidFill>
                <a:srgbClr val="0070C0"/>
              </a:solidFill>
              <a:round/>
            </a:ln>
            <a:effectLst/>
          </c:spPr>
          <c:marker>
            <c:symbol val="star"/>
            <c:size val="5"/>
            <c:spPr>
              <a:solidFill>
                <a:srgbClr val="0070C0"/>
              </a:solidFill>
              <a:ln w="9525">
                <a:solidFill>
                  <a:srgbClr val="0070C0"/>
                </a:solidFill>
              </a:ln>
              <a:effectLst/>
            </c:spPr>
          </c:marker>
          <c:errBars>
            <c:errDir val="y"/>
            <c:errBarType val="both"/>
            <c:errValType val="cust"/>
            <c:noEndCap val="0"/>
            <c:plus>
              <c:numRef>
                <c:f>'peso secco'!$Z$32:$Z$43</c:f>
                <c:numCache>
                  <c:formatCode>General</c:formatCode>
                  <c:ptCount val="12"/>
                  <c:pt idx="0">
                    <c:v>0</c:v>
                  </c:pt>
                  <c:pt idx="1">
                    <c:v>2.1213203435594952E-2</c:v>
                  </c:pt>
                  <c:pt idx="2">
                    <c:v>7.0710678118655057E-2</c:v>
                  </c:pt>
                  <c:pt idx="3">
                    <c:v>1.4142135623731355E-2</c:v>
                  </c:pt>
                  <c:pt idx="4">
                    <c:v>0.12727922061357852</c:v>
                  </c:pt>
                  <c:pt idx="5">
                    <c:v>0.46669047558312304</c:v>
                  </c:pt>
                  <c:pt idx="6">
                    <c:v>0.39597979746446793</c:v>
                  </c:pt>
                  <c:pt idx="7">
                    <c:v>0.53740115370177544</c:v>
                  </c:pt>
                  <c:pt idx="8">
                    <c:v>0.43840620433566024</c:v>
                  </c:pt>
                  <c:pt idx="9">
                    <c:v>0.31112698372208214</c:v>
                  </c:pt>
                  <c:pt idx="10">
                    <c:v>0.33941125496954277</c:v>
                  </c:pt>
                  <c:pt idx="11">
                    <c:v>0.11313708498984873</c:v>
                  </c:pt>
                </c:numCache>
              </c:numRef>
            </c:plus>
            <c:minus>
              <c:numRef>
                <c:f>'peso secco'!$Z$32:$Z$43</c:f>
                <c:numCache>
                  <c:formatCode>General</c:formatCode>
                  <c:ptCount val="12"/>
                  <c:pt idx="0">
                    <c:v>0</c:v>
                  </c:pt>
                  <c:pt idx="1">
                    <c:v>2.1213203435594952E-2</c:v>
                  </c:pt>
                  <c:pt idx="2">
                    <c:v>7.0710678118655057E-2</c:v>
                  </c:pt>
                  <c:pt idx="3">
                    <c:v>1.4142135623731355E-2</c:v>
                  </c:pt>
                  <c:pt idx="4">
                    <c:v>0.12727922061357852</c:v>
                  </c:pt>
                  <c:pt idx="5">
                    <c:v>0.46669047558312304</c:v>
                  </c:pt>
                  <c:pt idx="6">
                    <c:v>0.39597979746446793</c:v>
                  </c:pt>
                  <c:pt idx="7">
                    <c:v>0.53740115370177544</c:v>
                  </c:pt>
                  <c:pt idx="8">
                    <c:v>0.43840620433566024</c:v>
                  </c:pt>
                  <c:pt idx="9">
                    <c:v>0.31112698372208214</c:v>
                  </c:pt>
                  <c:pt idx="10">
                    <c:v>0.33941125496954277</c:v>
                  </c:pt>
                  <c:pt idx="11">
                    <c:v>0.11313708498984873</c:v>
                  </c:pt>
                </c:numCache>
              </c:numRef>
            </c:minus>
            <c:spPr>
              <a:noFill/>
              <a:ln w="6350" cap="flat" cmpd="sng" algn="ctr">
                <a:solidFill>
                  <a:schemeClr val="tx1">
                    <a:lumMod val="65000"/>
                    <a:lumOff val="35000"/>
                  </a:schemeClr>
                </a:solidFill>
                <a:round/>
              </a:ln>
              <a:effectLst/>
            </c:spPr>
          </c:errBars>
          <c:xVal>
            <c:numRef>
              <c:f>'peso secco'!$Q$30:$Q$41</c:f>
              <c:numCache>
                <c:formatCode>General</c:formatCode>
                <c:ptCount val="12"/>
                <c:pt idx="0">
                  <c:v>0</c:v>
                </c:pt>
                <c:pt idx="1">
                  <c:v>1</c:v>
                </c:pt>
                <c:pt idx="2">
                  <c:v>2</c:v>
                </c:pt>
                <c:pt idx="3">
                  <c:v>5</c:v>
                </c:pt>
                <c:pt idx="4">
                  <c:v>6</c:v>
                </c:pt>
                <c:pt idx="5">
                  <c:v>7</c:v>
                </c:pt>
                <c:pt idx="6">
                  <c:v>8</c:v>
                </c:pt>
                <c:pt idx="7">
                  <c:v>9</c:v>
                </c:pt>
                <c:pt idx="8">
                  <c:v>12</c:v>
                </c:pt>
                <c:pt idx="9">
                  <c:v>13</c:v>
                </c:pt>
                <c:pt idx="10">
                  <c:v>14</c:v>
                </c:pt>
                <c:pt idx="11">
                  <c:v>15</c:v>
                </c:pt>
              </c:numCache>
            </c:numRef>
          </c:xVal>
          <c:yVal>
            <c:numRef>
              <c:f>'peso secco'!$R$30:$R$41</c:f>
              <c:numCache>
                <c:formatCode>General</c:formatCode>
                <c:ptCount val="12"/>
                <c:pt idx="0">
                  <c:v>0.5</c:v>
                </c:pt>
                <c:pt idx="1">
                  <c:v>0.75700000000000012</c:v>
                </c:pt>
                <c:pt idx="2">
                  <c:v>0.97199999999999798</c:v>
                </c:pt>
                <c:pt idx="3">
                  <c:v>0.63200000000000078</c:v>
                </c:pt>
                <c:pt idx="4">
                  <c:v>0.73200000000000076</c:v>
                </c:pt>
                <c:pt idx="5">
                  <c:v>0.79199999999999982</c:v>
                </c:pt>
                <c:pt idx="6">
                  <c:v>0.64199999999999968</c:v>
                </c:pt>
                <c:pt idx="7">
                  <c:v>0.84099999999999975</c:v>
                </c:pt>
                <c:pt idx="8">
                  <c:v>0.63099999999999934</c:v>
                </c:pt>
                <c:pt idx="9">
                  <c:v>0.56099999999999994</c:v>
                </c:pt>
                <c:pt idx="10">
                  <c:v>0.86099999999999888</c:v>
                </c:pt>
                <c:pt idx="11">
                  <c:v>0.40099999999999969</c:v>
                </c:pt>
              </c:numCache>
            </c:numRef>
          </c:yVal>
          <c:smooth val="0"/>
          <c:extLst>
            <c:ext xmlns:c16="http://schemas.microsoft.com/office/drawing/2014/chart" uri="{C3380CC4-5D6E-409C-BE32-E72D297353CC}">
              <c16:uniqueId val="{00000002-0189-4196-A8CE-187D58A9CC61}"/>
            </c:ext>
          </c:extLst>
        </c:ser>
        <c:ser>
          <c:idx val="3"/>
          <c:order val="3"/>
          <c:tx>
            <c:v>C</c:v>
          </c:tx>
          <c:spPr>
            <a:ln w="12700" cap="rnd">
              <a:solidFill>
                <a:srgbClr val="00B050"/>
              </a:solidFill>
              <a:round/>
            </a:ln>
            <a:effectLst/>
          </c:spPr>
          <c:marker>
            <c:symbol val="diamond"/>
            <c:size val="5"/>
            <c:spPr>
              <a:solidFill>
                <a:srgbClr val="00B050"/>
              </a:solidFill>
              <a:ln w="9525">
                <a:solidFill>
                  <a:srgbClr val="00B050"/>
                </a:solidFill>
              </a:ln>
              <a:effectLst/>
            </c:spPr>
          </c:marker>
          <c:errBars>
            <c:errDir val="y"/>
            <c:errBarType val="both"/>
            <c:errValType val="cust"/>
            <c:noEndCap val="0"/>
            <c:plus>
              <c:numRef>
                <c:f>'peso secco'!$AA$32:$AA$43</c:f>
                <c:numCache>
                  <c:formatCode>General</c:formatCode>
                  <c:ptCount val="12"/>
                  <c:pt idx="0">
                    <c:v>0</c:v>
                  </c:pt>
                  <c:pt idx="1">
                    <c:v>0.16263455967290413</c:v>
                  </c:pt>
                  <c:pt idx="2">
                    <c:v>7.071067811865285E-2</c:v>
                  </c:pt>
                  <c:pt idx="3">
                    <c:v>1.4142135623731435E-2</c:v>
                  </c:pt>
                  <c:pt idx="4">
                    <c:v>0</c:v>
                  </c:pt>
                  <c:pt idx="5">
                    <c:v>7.0710678118654821E-2</c:v>
                  </c:pt>
                  <c:pt idx="6">
                    <c:v>1.4142135623729393E-2</c:v>
                  </c:pt>
                  <c:pt idx="7">
                    <c:v>4.2426406871194068E-2</c:v>
                  </c:pt>
                  <c:pt idx="8">
                    <c:v>7.0710678118654821E-2</c:v>
                  </c:pt>
                  <c:pt idx="9">
                    <c:v>7.0710678118654821E-2</c:v>
                  </c:pt>
                  <c:pt idx="10">
                    <c:v>0.11313708498984888</c:v>
                  </c:pt>
                  <c:pt idx="11">
                    <c:v>8.4852813742383654E-2</c:v>
                  </c:pt>
                </c:numCache>
              </c:numRef>
            </c:plus>
            <c:minus>
              <c:numRef>
                <c:f>'peso secco'!$AA$32:$AA$43</c:f>
                <c:numCache>
                  <c:formatCode>General</c:formatCode>
                  <c:ptCount val="12"/>
                  <c:pt idx="0">
                    <c:v>0</c:v>
                  </c:pt>
                  <c:pt idx="1">
                    <c:v>0.16263455967290413</c:v>
                  </c:pt>
                  <c:pt idx="2">
                    <c:v>7.071067811865285E-2</c:v>
                  </c:pt>
                  <c:pt idx="3">
                    <c:v>1.4142135623731435E-2</c:v>
                  </c:pt>
                  <c:pt idx="4">
                    <c:v>0</c:v>
                  </c:pt>
                  <c:pt idx="5">
                    <c:v>7.0710678118654821E-2</c:v>
                  </c:pt>
                  <c:pt idx="6">
                    <c:v>1.4142135623729393E-2</c:v>
                  </c:pt>
                  <c:pt idx="7">
                    <c:v>4.2426406871194068E-2</c:v>
                  </c:pt>
                  <c:pt idx="8">
                    <c:v>7.0710678118654821E-2</c:v>
                  </c:pt>
                  <c:pt idx="9">
                    <c:v>7.0710678118654821E-2</c:v>
                  </c:pt>
                  <c:pt idx="10">
                    <c:v>0.11313708498984888</c:v>
                  </c:pt>
                  <c:pt idx="11">
                    <c:v>8.4852813742383654E-2</c:v>
                  </c:pt>
                </c:numCache>
              </c:numRef>
            </c:minus>
            <c:spPr>
              <a:noFill/>
              <a:ln w="6350" cap="flat" cmpd="sng" algn="ctr">
                <a:solidFill>
                  <a:schemeClr val="tx1">
                    <a:lumMod val="65000"/>
                    <a:lumOff val="35000"/>
                  </a:schemeClr>
                </a:solidFill>
                <a:round/>
              </a:ln>
              <a:effectLst/>
            </c:spPr>
          </c:errBars>
          <c:xVal>
            <c:numRef>
              <c:f>'peso secco'!$Q$30:$Q$41</c:f>
              <c:numCache>
                <c:formatCode>General</c:formatCode>
                <c:ptCount val="12"/>
                <c:pt idx="0">
                  <c:v>0</c:v>
                </c:pt>
                <c:pt idx="1">
                  <c:v>1</c:v>
                </c:pt>
                <c:pt idx="2">
                  <c:v>2</c:v>
                </c:pt>
                <c:pt idx="3">
                  <c:v>5</c:v>
                </c:pt>
                <c:pt idx="4">
                  <c:v>6</c:v>
                </c:pt>
                <c:pt idx="5">
                  <c:v>7</c:v>
                </c:pt>
                <c:pt idx="6">
                  <c:v>8</c:v>
                </c:pt>
                <c:pt idx="7">
                  <c:v>9</c:v>
                </c:pt>
                <c:pt idx="8">
                  <c:v>12</c:v>
                </c:pt>
                <c:pt idx="9">
                  <c:v>13</c:v>
                </c:pt>
                <c:pt idx="10">
                  <c:v>14</c:v>
                </c:pt>
                <c:pt idx="11">
                  <c:v>15</c:v>
                </c:pt>
              </c:numCache>
            </c:numRef>
          </c:xVal>
          <c:yVal>
            <c:numRef>
              <c:f>'peso secco'!$S$30:$S$41</c:f>
              <c:numCache>
                <c:formatCode>General</c:formatCode>
                <c:ptCount val="12"/>
                <c:pt idx="0">
                  <c:v>0.5</c:v>
                </c:pt>
                <c:pt idx="1">
                  <c:v>0.69500000000000051</c:v>
                </c:pt>
                <c:pt idx="2">
                  <c:v>0.89000000000000057</c:v>
                </c:pt>
                <c:pt idx="3">
                  <c:v>0.81000000000000105</c:v>
                </c:pt>
                <c:pt idx="4">
                  <c:v>0.75999999999999956</c:v>
                </c:pt>
                <c:pt idx="5">
                  <c:v>0.66999999999999837</c:v>
                </c:pt>
                <c:pt idx="6">
                  <c:v>0.80999999999999961</c:v>
                </c:pt>
                <c:pt idx="7">
                  <c:v>0.89000000000000057</c:v>
                </c:pt>
                <c:pt idx="8">
                  <c:v>0.70999999999999952</c:v>
                </c:pt>
                <c:pt idx="9">
                  <c:v>0.69000000000000172</c:v>
                </c:pt>
                <c:pt idx="10">
                  <c:v>0.84000000000000052</c:v>
                </c:pt>
                <c:pt idx="11">
                  <c:v>0.50000000000000044</c:v>
                </c:pt>
              </c:numCache>
            </c:numRef>
          </c:yVal>
          <c:smooth val="0"/>
          <c:extLst>
            <c:ext xmlns:c16="http://schemas.microsoft.com/office/drawing/2014/chart" uri="{C3380CC4-5D6E-409C-BE32-E72D297353CC}">
              <c16:uniqueId val="{00000003-0189-4196-A8CE-187D58A9CC61}"/>
            </c:ext>
          </c:extLst>
        </c:ser>
        <c:dLbls>
          <c:showLegendKey val="0"/>
          <c:showVal val="0"/>
          <c:showCatName val="0"/>
          <c:showSerName val="0"/>
          <c:showPercent val="0"/>
          <c:showBubbleSize val="0"/>
        </c:dLbls>
        <c:axId val="427805696"/>
        <c:axId val="427806024"/>
      </c:scatterChart>
      <c:valAx>
        <c:axId val="427805696"/>
        <c:scaling>
          <c:orientation val="minMax"/>
          <c:max val="15"/>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b="1">
                    <a:solidFill>
                      <a:sysClr val="windowText" lastClr="000000"/>
                    </a:solidFill>
                  </a:rPr>
                  <a:t>Time</a:t>
                </a:r>
                <a:r>
                  <a:rPr lang="it-IT" b="1" baseline="0">
                    <a:solidFill>
                      <a:sysClr val="windowText" lastClr="000000"/>
                    </a:solidFill>
                  </a:rPr>
                  <a:t> (days)</a:t>
                </a:r>
                <a:endParaRPr lang="it-IT" b="1">
                  <a:solidFill>
                    <a:sysClr val="windowText" lastClr="000000"/>
                  </a:solidFill>
                </a:endParaRPr>
              </a:p>
            </c:rich>
          </c:tx>
          <c:layout>
            <c:manualLayout>
              <c:xMode val="edge"/>
              <c:yMode val="edge"/>
              <c:x val="0.4477782771868104"/>
              <c:y val="0.8774071422890320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it-IT"/>
          </a:p>
        </c:txPr>
        <c:crossAx val="427806024"/>
        <c:crosses val="autoZero"/>
        <c:crossBetween val="midCat"/>
      </c:valAx>
      <c:valAx>
        <c:axId val="427806024"/>
        <c:scaling>
          <c:orientation val="minMax"/>
          <c:max val="3"/>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b="1">
                    <a:solidFill>
                      <a:sysClr val="windowText" lastClr="000000"/>
                    </a:solidFill>
                  </a:rPr>
                  <a:t>Concentration</a:t>
                </a:r>
                <a:r>
                  <a:rPr lang="it-IT" b="1" baseline="0">
                    <a:solidFill>
                      <a:sysClr val="windowText" lastClr="000000"/>
                    </a:solidFill>
                  </a:rPr>
                  <a:t> (g/L)</a:t>
                </a:r>
                <a:endParaRPr lang="it-IT" b="1">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it-IT"/>
          </a:p>
        </c:txPr>
        <c:crossAx val="427805696"/>
        <c:crosses val="autoZero"/>
        <c:crossBetween val="midCat"/>
        <c:maj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360190625718612"/>
          <c:y val="0.22927321902021131"/>
          <c:w val="0.7737193424840022"/>
          <c:h val="0.53787867887072494"/>
        </c:manualLayout>
      </c:layout>
      <c:scatterChart>
        <c:scatterStyle val="lineMarker"/>
        <c:varyColors val="0"/>
        <c:ser>
          <c:idx val="0"/>
          <c:order val="0"/>
          <c:tx>
            <c:v>1W</c:v>
          </c:tx>
          <c:spPr>
            <a:ln w="12700" cap="rnd">
              <a:solidFill>
                <a:srgbClr val="C00000"/>
              </a:solidFill>
              <a:round/>
            </a:ln>
            <a:effectLst/>
          </c:spPr>
          <c:marker>
            <c:symbol val="circle"/>
            <c:size val="5"/>
            <c:spPr>
              <a:solidFill>
                <a:srgbClr val="C00000"/>
              </a:solidFill>
              <a:ln w="9525">
                <a:solidFill>
                  <a:srgbClr val="C00000"/>
                </a:solidFill>
              </a:ln>
              <a:effectLst/>
            </c:spPr>
          </c:marker>
          <c:errBars>
            <c:errDir val="y"/>
            <c:errBarType val="both"/>
            <c:errValType val="cust"/>
            <c:noEndCap val="0"/>
            <c:plus>
              <c:numRef>
                <c:f>'abs 625 '!$AD$6:$AD$16</c:f>
                <c:numCache>
                  <c:formatCode>General</c:formatCode>
                  <c:ptCount val="11"/>
                  <c:pt idx="0">
                    <c:v>0.1228869084442811</c:v>
                  </c:pt>
                  <c:pt idx="1">
                    <c:v>0.20729709070091162</c:v>
                  </c:pt>
                  <c:pt idx="2">
                    <c:v>0.32772327828435432</c:v>
                  </c:pt>
                  <c:pt idx="3">
                    <c:v>0.63307636692472502</c:v>
                  </c:pt>
                  <c:pt idx="4">
                    <c:v>0.17896151715186603</c:v>
                  </c:pt>
                  <c:pt idx="5">
                    <c:v>0.15435430854348434</c:v>
                  </c:pt>
                  <c:pt idx="6">
                    <c:v>0.37805620498331599</c:v>
                  </c:pt>
                  <c:pt idx="7">
                    <c:v>0.31541967398016385</c:v>
                  </c:pt>
                  <c:pt idx="8">
                    <c:v>0.32660476880215572</c:v>
                  </c:pt>
                  <c:pt idx="9">
                    <c:v>7.8295663753941411E-2</c:v>
                  </c:pt>
                  <c:pt idx="10">
                    <c:v>0.10290287236232278</c:v>
                  </c:pt>
                </c:numCache>
              </c:numRef>
            </c:plus>
            <c:minus>
              <c:numRef>
                <c:f>'abs 625 '!$AD$6:$AD$16</c:f>
                <c:numCache>
                  <c:formatCode>General</c:formatCode>
                  <c:ptCount val="11"/>
                  <c:pt idx="0">
                    <c:v>0.1228869084442811</c:v>
                  </c:pt>
                  <c:pt idx="1">
                    <c:v>0.20729709070091162</c:v>
                  </c:pt>
                  <c:pt idx="2">
                    <c:v>0.32772327828435432</c:v>
                  </c:pt>
                  <c:pt idx="3">
                    <c:v>0.63307636692472502</c:v>
                  </c:pt>
                  <c:pt idx="4">
                    <c:v>0.17896151715186603</c:v>
                  </c:pt>
                  <c:pt idx="5">
                    <c:v>0.15435430854348434</c:v>
                  </c:pt>
                  <c:pt idx="6">
                    <c:v>0.37805620498331599</c:v>
                  </c:pt>
                  <c:pt idx="7">
                    <c:v>0.31541967398016385</c:v>
                  </c:pt>
                  <c:pt idx="8">
                    <c:v>0.32660476880215572</c:v>
                  </c:pt>
                  <c:pt idx="9">
                    <c:v>7.8295663753941411E-2</c:v>
                  </c:pt>
                  <c:pt idx="10">
                    <c:v>0.10290287236232278</c:v>
                  </c:pt>
                </c:numCache>
              </c:numRef>
            </c:minus>
            <c:spPr>
              <a:noFill/>
              <a:ln w="6350" cap="flat" cmpd="sng" algn="ctr">
                <a:solidFill>
                  <a:schemeClr val="tx1">
                    <a:lumMod val="65000"/>
                    <a:lumOff val="35000"/>
                  </a:schemeClr>
                </a:solidFill>
                <a:round/>
              </a:ln>
              <a:effectLst/>
            </c:spPr>
          </c:errBars>
          <c:xVal>
            <c:numRef>
              <c:f>'abs 625 '!$U$6:$U$16</c:f>
              <c:numCache>
                <c:formatCode>General</c:formatCode>
                <c:ptCount val="11"/>
                <c:pt idx="0">
                  <c:v>0</c:v>
                </c:pt>
                <c:pt idx="1">
                  <c:v>1</c:v>
                </c:pt>
                <c:pt idx="2">
                  <c:v>2</c:v>
                </c:pt>
                <c:pt idx="3">
                  <c:v>5</c:v>
                </c:pt>
                <c:pt idx="4">
                  <c:v>6</c:v>
                </c:pt>
                <c:pt idx="5">
                  <c:v>7</c:v>
                </c:pt>
                <c:pt idx="6">
                  <c:v>9</c:v>
                </c:pt>
                <c:pt idx="7">
                  <c:v>12</c:v>
                </c:pt>
                <c:pt idx="8">
                  <c:v>13</c:v>
                </c:pt>
                <c:pt idx="9">
                  <c:v>14</c:v>
                </c:pt>
                <c:pt idx="10">
                  <c:v>15</c:v>
                </c:pt>
              </c:numCache>
            </c:numRef>
          </c:xVal>
          <c:yVal>
            <c:numRef>
              <c:f>'abs 625 '!$V$6:$V$16</c:f>
              <c:numCache>
                <c:formatCode>General</c:formatCode>
                <c:ptCount val="11"/>
                <c:pt idx="0">
                  <c:v>0.5</c:v>
                </c:pt>
                <c:pt idx="1">
                  <c:v>1.9669717804867766</c:v>
                </c:pt>
                <c:pt idx="2">
                  <c:v>2.1570000421816342</c:v>
                </c:pt>
                <c:pt idx="3">
                  <c:v>2.4156261863584598</c:v>
                </c:pt>
                <c:pt idx="4">
                  <c:v>1.8738558231745901</c:v>
                </c:pt>
                <c:pt idx="5">
                  <c:v>1.6033660944024974</c:v>
                </c:pt>
                <c:pt idx="6">
                  <c:v>1.7662926561775005</c:v>
                </c:pt>
                <c:pt idx="7">
                  <c:v>1.6144387733580801</c:v>
                </c:pt>
                <c:pt idx="8">
                  <c:v>1.622347829754925</c:v>
                </c:pt>
                <c:pt idx="9">
                  <c:v>1.7125110726789561</c:v>
                </c:pt>
                <c:pt idx="10">
                  <c:v>1.4167123634369596</c:v>
                </c:pt>
              </c:numCache>
            </c:numRef>
          </c:yVal>
          <c:smooth val="0"/>
          <c:extLst>
            <c:ext xmlns:c16="http://schemas.microsoft.com/office/drawing/2014/chart" uri="{C3380CC4-5D6E-409C-BE32-E72D297353CC}">
              <c16:uniqueId val="{00000000-C79D-4DF7-BB8E-E5B5AA827229}"/>
            </c:ext>
          </c:extLst>
        </c:ser>
        <c:ser>
          <c:idx val="1"/>
          <c:order val="1"/>
          <c:tx>
            <c:v>2W</c:v>
          </c:tx>
          <c:spPr>
            <a:ln w="12700" cap="rnd">
              <a:solidFill>
                <a:srgbClr val="CD32EC"/>
              </a:solidFill>
              <a:round/>
            </a:ln>
            <a:effectLst/>
          </c:spPr>
          <c:marker>
            <c:symbol val="triangle"/>
            <c:size val="5"/>
            <c:spPr>
              <a:solidFill>
                <a:srgbClr val="CD32EC"/>
              </a:solidFill>
              <a:ln w="9525">
                <a:solidFill>
                  <a:srgbClr val="CD32EC"/>
                </a:solidFill>
              </a:ln>
              <a:effectLst/>
            </c:spPr>
          </c:marker>
          <c:errBars>
            <c:errDir val="y"/>
            <c:errBarType val="both"/>
            <c:errValType val="cust"/>
            <c:noEndCap val="0"/>
            <c:plus>
              <c:numRef>
                <c:f>'abs 625 '!$AE$6:$AE$16</c:f>
                <c:numCache>
                  <c:formatCode>General</c:formatCode>
                  <c:ptCount val="11"/>
                  <c:pt idx="0">
                    <c:v>9.6042680871501321E-2</c:v>
                  </c:pt>
                  <c:pt idx="1">
                    <c:v>2.4458074010754803E-2</c:v>
                  </c:pt>
                  <c:pt idx="2">
                    <c:v>0.37402957084739974</c:v>
                  </c:pt>
                  <c:pt idx="3">
                    <c:v>0.21833305092527724</c:v>
                  </c:pt>
                  <c:pt idx="4">
                    <c:v>1.252730620063063E-2</c:v>
                  </c:pt>
                  <c:pt idx="5">
                    <c:v>0.11095614063415693</c:v>
                  </c:pt>
                  <c:pt idx="6">
                    <c:v>0.26844227572779855</c:v>
                  </c:pt>
                  <c:pt idx="7">
                    <c:v>3.7581918601891737E-2</c:v>
                  </c:pt>
                  <c:pt idx="8">
                    <c:v>1.252730620063063E-2</c:v>
                  </c:pt>
                  <c:pt idx="9">
                    <c:v>0.18969920818097896</c:v>
                  </c:pt>
                  <c:pt idx="10">
                    <c:v>0.11274575580567552</c:v>
                  </c:pt>
                </c:numCache>
              </c:numRef>
            </c:plus>
            <c:minus>
              <c:numRef>
                <c:f>'abs 625 '!$AE$6:$AE$16</c:f>
                <c:numCache>
                  <c:formatCode>General</c:formatCode>
                  <c:ptCount val="11"/>
                  <c:pt idx="0">
                    <c:v>9.6042680871501321E-2</c:v>
                  </c:pt>
                  <c:pt idx="1">
                    <c:v>2.4458074010754803E-2</c:v>
                  </c:pt>
                  <c:pt idx="2">
                    <c:v>0.37402957084739974</c:v>
                  </c:pt>
                  <c:pt idx="3">
                    <c:v>0.21833305092527724</c:v>
                  </c:pt>
                  <c:pt idx="4">
                    <c:v>1.252730620063063E-2</c:v>
                  </c:pt>
                  <c:pt idx="5">
                    <c:v>0.11095614063415693</c:v>
                  </c:pt>
                  <c:pt idx="6">
                    <c:v>0.26844227572779855</c:v>
                  </c:pt>
                  <c:pt idx="7">
                    <c:v>3.7581918601891737E-2</c:v>
                  </c:pt>
                  <c:pt idx="8">
                    <c:v>1.252730620063063E-2</c:v>
                  </c:pt>
                  <c:pt idx="9">
                    <c:v>0.18969920818097896</c:v>
                  </c:pt>
                  <c:pt idx="10">
                    <c:v>0.11274575580567552</c:v>
                  </c:pt>
                </c:numCache>
              </c:numRef>
            </c:minus>
            <c:spPr>
              <a:noFill/>
              <a:ln w="6350" cap="flat" cmpd="sng" algn="ctr">
                <a:solidFill>
                  <a:schemeClr val="tx1">
                    <a:lumMod val="65000"/>
                    <a:lumOff val="35000"/>
                  </a:schemeClr>
                </a:solidFill>
                <a:round/>
              </a:ln>
              <a:effectLst/>
            </c:spPr>
          </c:errBars>
          <c:xVal>
            <c:numRef>
              <c:f>'abs 625 '!$Z$6:$Z$15</c:f>
              <c:numCache>
                <c:formatCode>General</c:formatCode>
                <c:ptCount val="10"/>
                <c:pt idx="0">
                  <c:v>0</c:v>
                </c:pt>
                <c:pt idx="1">
                  <c:v>1</c:v>
                </c:pt>
                <c:pt idx="2">
                  <c:v>2</c:v>
                </c:pt>
                <c:pt idx="3">
                  <c:v>5</c:v>
                </c:pt>
                <c:pt idx="4">
                  <c:v>7</c:v>
                </c:pt>
                <c:pt idx="5">
                  <c:v>9</c:v>
                </c:pt>
                <c:pt idx="6">
                  <c:v>12</c:v>
                </c:pt>
                <c:pt idx="7">
                  <c:v>13</c:v>
                </c:pt>
                <c:pt idx="8">
                  <c:v>14</c:v>
                </c:pt>
                <c:pt idx="9">
                  <c:v>15</c:v>
                </c:pt>
              </c:numCache>
            </c:numRef>
          </c:xVal>
          <c:yVal>
            <c:numRef>
              <c:f>'abs 625 '!$AA$6:$AA$15</c:f>
              <c:numCache>
                <c:formatCode>General</c:formatCode>
                <c:ptCount val="10"/>
                <c:pt idx="0">
                  <c:v>0.5</c:v>
                </c:pt>
                <c:pt idx="1">
                  <c:v>0.99004513434850483</c:v>
                </c:pt>
                <c:pt idx="2">
                  <c:v>1.0820010967224871</c:v>
                </c:pt>
                <c:pt idx="3">
                  <c:v>1.483148437170456</c:v>
                </c:pt>
                <c:pt idx="4">
                  <c:v>1.3528071877504537</c:v>
                </c:pt>
                <c:pt idx="5">
                  <c:v>1.5287046020162824</c:v>
                </c:pt>
                <c:pt idx="6">
                  <c:v>1.1149027713333617</c:v>
                </c:pt>
                <c:pt idx="7">
                  <c:v>1.1376808537562746</c:v>
                </c:pt>
                <c:pt idx="8">
                  <c:v>1.1288227105918085</c:v>
                </c:pt>
                <c:pt idx="9">
                  <c:v>0.85168937444636605</c:v>
                </c:pt>
              </c:numCache>
            </c:numRef>
          </c:yVal>
          <c:smooth val="0"/>
          <c:extLst>
            <c:ext xmlns:c16="http://schemas.microsoft.com/office/drawing/2014/chart" uri="{C3380CC4-5D6E-409C-BE32-E72D297353CC}">
              <c16:uniqueId val="{00000001-C79D-4DF7-BB8E-E5B5AA827229}"/>
            </c:ext>
          </c:extLst>
        </c:ser>
        <c:ser>
          <c:idx val="2"/>
          <c:order val="2"/>
          <c:tx>
            <c:v>3W</c:v>
          </c:tx>
          <c:spPr>
            <a:ln w="12700" cap="rnd">
              <a:solidFill>
                <a:srgbClr val="0070C0"/>
              </a:solidFill>
              <a:round/>
            </a:ln>
            <a:effectLst/>
          </c:spPr>
          <c:marker>
            <c:symbol val="x"/>
            <c:size val="5"/>
            <c:spPr>
              <a:solidFill>
                <a:srgbClr val="0070C0"/>
              </a:solidFill>
              <a:ln w="9525">
                <a:solidFill>
                  <a:srgbClr val="0070C0"/>
                </a:solidFill>
              </a:ln>
              <a:effectLst/>
            </c:spPr>
          </c:marker>
          <c:errBars>
            <c:errDir val="y"/>
            <c:errBarType val="both"/>
            <c:errValType val="cust"/>
            <c:noEndCap val="0"/>
            <c:plus>
              <c:numRef>
                <c:f>'abs 625 '!$AF$6:$AF$16</c:f>
                <c:numCache>
                  <c:formatCode>General</c:formatCode>
                  <c:ptCount val="11"/>
                  <c:pt idx="0">
                    <c:v>0.12229037005377494</c:v>
                  </c:pt>
                  <c:pt idx="1">
                    <c:v>0.14794152084554235</c:v>
                  </c:pt>
                  <c:pt idx="2">
                    <c:v>0.258599392284447</c:v>
                  </c:pt>
                  <c:pt idx="3">
                    <c:v>0.15659132750788271</c:v>
                  </c:pt>
                  <c:pt idx="4">
                    <c:v>0.39848764485815474</c:v>
                  </c:pt>
                  <c:pt idx="5">
                    <c:v>0</c:v>
                  </c:pt>
                  <c:pt idx="6">
                    <c:v>0.48468744228630362</c:v>
                  </c:pt>
                  <c:pt idx="7">
                    <c:v>0.42055956530688521</c:v>
                  </c:pt>
                  <c:pt idx="8">
                    <c:v>0.18611997783794096</c:v>
                  </c:pt>
                  <c:pt idx="9">
                    <c:v>0.32213073087335864</c:v>
                  </c:pt>
                  <c:pt idx="10">
                    <c:v>0.11214921741516941</c:v>
                  </c:pt>
                </c:numCache>
              </c:numRef>
            </c:plus>
            <c:minus>
              <c:numRef>
                <c:f>'abs 625 '!$AF$6:$AF$16</c:f>
                <c:numCache>
                  <c:formatCode>General</c:formatCode>
                  <c:ptCount val="11"/>
                  <c:pt idx="0">
                    <c:v>0.12229037005377494</c:v>
                  </c:pt>
                  <c:pt idx="1">
                    <c:v>0.14794152084554235</c:v>
                  </c:pt>
                  <c:pt idx="2">
                    <c:v>0.258599392284447</c:v>
                  </c:pt>
                  <c:pt idx="3">
                    <c:v>0.15659132750788271</c:v>
                  </c:pt>
                  <c:pt idx="4">
                    <c:v>0.39848764485815474</c:v>
                  </c:pt>
                  <c:pt idx="5">
                    <c:v>0</c:v>
                  </c:pt>
                  <c:pt idx="6">
                    <c:v>0.48468744228630362</c:v>
                  </c:pt>
                  <c:pt idx="7">
                    <c:v>0.42055956530688521</c:v>
                  </c:pt>
                  <c:pt idx="8">
                    <c:v>0.18611997783794096</c:v>
                  </c:pt>
                  <c:pt idx="9">
                    <c:v>0.32213073087335864</c:v>
                  </c:pt>
                  <c:pt idx="10">
                    <c:v>0.11214921741516941</c:v>
                  </c:pt>
                </c:numCache>
              </c:numRef>
            </c:minus>
            <c:spPr>
              <a:noFill/>
              <a:ln w="6350" cap="flat" cmpd="sng" algn="ctr">
                <a:solidFill>
                  <a:schemeClr val="tx1">
                    <a:lumMod val="65000"/>
                    <a:lumOff val="35000"/>
                  </a:schemeClr>
                </a:solidFill>
                <a:round/>
              </a:ln>
              <a:effectLst/>
            </c:spPr>
          </c:errBars>
          <c:xVal>
            <c:numRef>
              <c:f>'abs 625 '!$U$6:$U$16</c:f>
              <c:numCache>
                <c:formatCode>General</c:formatCode>
                <c:ptCount val="11"/>
                <c:pt idx="0">
                  <c:v>0</c:v>
                </c:pt>
                <c:pt idx="1">
                  <c:v>1</c:v>
                </c:pt>
                <c:pt idx="2">
                  <c:v>2</c:v>
                </c:pt>
                <c:pt idx="3">
                  <c:v>5</c:v>
                </c:pt>
                <c:pt idx="4">
                  <c:v>6</c:v>
                </c:pt>
                <c:pt idx="5">
                  <c:v>7</c:v>
                </c:pt>
                <c:pt idx="6">
                  <c:v>9</c:v>
                </c:pt>
                <c:pt idx="7">
                  <c:v>12</c:v>
                </c:pt>
                <c:pt idx="8">
                  <c:v>13</c:v>
                </c:pt>
                <c:pt idx="9">
                  <c:v>14</c:v>
                </c:pt>
                <c:pt idx="10">
                  <c:v>15</c:v>
                </c:pt>
              </c:numCache>
            </c:numRef>
          </c:xVal>
          <c:yVal>
            <c:numRef>
              <c:f>'abs 625 '!$W$6:$W$16</c:f>
              <c:numCache>
                <c:formatCode>General</c:formatCode>
                <c:ptCount val="11"/>
                <c:pt idx="0">
                  <c:v>0.5</c:v>
                </c:pt>
                <c:pt idx="1">
                  <c:v>0.71459906356772274</c:v>
                </c:pt>
                <c:pt idx="2">
                  <c:v>1.0748302189226813</c:v>
                </c:pt>
                <c:pt idx="3">
                  <c:v>0.98519424642510656</c:v>
                </c:pt>
                <c:pt idx="4">
                  <c:v>0.7903150968068503</c:v>
                </c:pt>
                <c:pt idx="5">
                  <c:v>0.83692580250558912</c:v>
                </c:pt>
                <c:pt idx="6">
                  <c:v>0.91264183574471691</c:v>
                </c:pt>
                <c:pt idx="7">
                  <c:v>0.73231534989665492</c:v>
                </c:pt>
                <c:pt idx="8">
                  <c:v>0.77787151474248117</c:v>
                </c:pt>
                <c:pt idx="9">
                  <c:v>0.69688277723879022</c:v>
                </c:pt>
                <c:pt idx="10">
                  <c:v>0.38980048087062896</c:v>
                </c:pt>
              </c:numCache>
            </c:numRef>
          </c:yVal>
          <c:smooth val="0"/>
          <c:extLst>
            <c:ext xmlns:c16="http://schemas.microsoft.com/office/drawing/2014/chart" uri="{C3380CC4-5D6E-409C-BE32-E72D297353CC}">
              <c16:uniqueId val="{00000002-C79D-4DF7-BB8E-E5B5AA827229}"/>
            </c:ext>
          </c:extLst>
        </c:ser>
        <c:ser>
          <c:idx val="3"/>
          <c:order val="3"/>
          <c:tx>
            <c:v>C</c:v>
          </c:tx>
          <c:spPr>
            <a:ln w="12700" cap="rnd">
              <a:solidFill>
                <a:srgbClr val="00B050"/>
              </a:solidFill>
              <a:round/>
            </a:ln>
            <a:effectLst/>
          </c:spPr>
          <c:marker>
            <c:symbol val="diamond"/>
            <c:size val="5"/>
            <c:spPr>
              <a:solidFill>
                <a:srgbClr val="00B050"/>
              </a:solidFill>
              <a:ln w="9525">
                <a:solidFill>
                  <a:srgbClr val="00B050"/>
                </a:solidFill>
              </a:ln>
              <a:effectLst/>
            </c:spPr>
          </c:marker>
          <c:errBars>
            <c:errDir val="y"/>
            <c:errBarType val="both"/>
            <c:errValType val="cust"/>
            <c:noEndCap val="0"/>
            <c:plus>
              <c:numRef>
                <c:f>'abs 625 '!$AG$6:$AG$16</c:f>
                <c:numCache>
                  <c:formatCode>General</c:formatCode>
                  <c:ptCount val="11"/>
                  <c:pt idx="0">
                    <c:v>0</c:v>
                  </c:pt>
                  <c:pt idx="1">
                    <c:v>1.8492690105692874E-2</c:v>
                  </c:pt>
                  <c:pt idx="2">
                    <c:v>1.07376910291118E-2</c:v>
                  </c:pt>
                  <c:pt idx="3">
                    <c:v>1.7896151715185943E-3</c:v>
                  </c:pt>
                  <c:pt idx="4">
                    <c:v>3.9371533773410405E-2</c:v>
                  </c:pt>
                  <c:pt idx="5">
                    <c:v>0</c:v>
                  </c:pt>
                  <c:pt idx="6">
                    <c:v>4.1757687335435466E-2</c:v>
                  </c:pt>
                  <c:pt idx="7">
                    <c:v>0.1103596022436507</c:v>
                  </c:pt>
                  <c:pt idx="8">
                    <c:v>1.7896151715186569E-2</c:v>
                  </c:pt>
                  <c:pt idx="9">
                    <c:v>6.800537651770909E-2</c:v>
                  </c:pt>
                  <c:pt idx="10">
                    <c:v>0.11930767810124381</c:v>
                  </c:pt>
                </c:numCache>
              </c:numRef>
            </c:plus>
            <c:minus>
              <c:numRef>
                <c:f>'abs 625 '!$AG$6:$AG$16</c:f>
                <c:numCache>
                  <c:formatCode>General</c:formatCode>
                  <c:ptCount val="11"/>
                  <c:pt idx="0">
                    <c:v>0</c:v>
                  </c:pt>
                  <c:pt idx="1">
                    <c:v>1.8492690105692874E-2</c:v>
                  </c:pt>
                  <c:pt idx="2">
                    <c:v>1.07376910291118E-2</c:v>
                  </c:pt>
                  <c:pt idx="3">
                    <c:v>1.7896151715185943E-3</c:v>
                  </c:pt>
                  <c:pt idx="4">
                    <c:v>3.9371533773410405E-2</c:v>
                  </c:pt>
                  <c:pt idx="5">
                    <c:v>0</c:v>
                  </c:pt>
                  <c:pt idx="6">
                    <c:v>4.1757687335435466E-2</c:v>
                  </c:pt>
                  <c:pt idx="7">
                    <c:v>0.1103596022436507</c:v>
                  </c:pt>
                  <c:pt idx="8">
                    <c:v>1.7896151715186569E-2</c:v>
                  </c:pt>
                  <c:pt idx="9">
                    <c:v>6.800537651770909E-2</c:v>
                  </c:pt>
                  <c:pt idx="10">
                    <c:v>0.11930767810124381</c:v>
                  </c:pt>
                </c:numCache>
              </c:numRef>
            </c:minus>
            <c:spPr>
              <a:noFill/>
              <a:ln w="9525" cap="flat" cmpd="sng" algn="ctr">
                <a:solidFill>
                  <a:schemeClr val="tx1">
                    <a:lumMod val="65000"/>
                    <a:lumOff val="35000"/>
                  </a:schemeClr>
                </a:solidFill>
                <a:round/>
              </a:ln>
              <a:effectLst/>
            </c:spPr>
          </c:errBars>
          <c:xVal>
            <c:numRef>
              <c:f>'abs 625 '!$U$6:$U$16</c:f>
              <c:numCache>
                <c:formatCode>General</c:formatCode>
                <c:ptCount val="11"/>
                <c:pt idx="0">
                  <c:v>0</c:v>
                </c:pt>
                <c:pt idx="1">
                  <c:v>1</c:v>
                </c:pt>
                <c:pt idx="2">
                  <c:v>2</c:v>
                </c:pt>
                <c:pt idx="3">
                  <c:v>5</c:v>
                </c:pt>
                <c:pt idx="4">
                  <c:v>6</c:v>
                </c:pt>
                <c:pt idx="5">
                  <c:v>7</c:v>
                </c:pt>
                <c:pt idx="6">
                  <c:v>9</c:v>
                </c:pt>
                <c:pt idx="7">
                  <c:v>12</c:v>
                </c:pt>
                <c:pt idx="8">
                  <c:v>13</c:v>
                </c:pt>
                <c:pt idx="9">
                  <c:v>14</c:v>
                </c:pt>
                <c:pt idx="10">
                  <c:v>15</c:v>
                </c:pt>
              </c:numCache>
            </c:numRef>
          </c:xVal>
          <c:yVal>
            <c:numRef>
              <c:f>'abs 625 '!$X$6:$X$16</c:f>
              <c:numCache>
                <c:formatCode>General</c:formatCode>
                <c:ptCount val="11"/>
                <c:pt idx="0">
                  <c:v>0.5</c:v>
                </c:pt>
                <c:pt idx="1">
                  <c:v>0.65132661239296419</c:v>
                </c:pt>
                <c:pt idx="2">
                  <c:v>0.84578394567005521</c:v>
                </c:pt>
                <c:pt idx="3">
                  <c:v>0.89344919222170682</c:v>
                </c:pt>
                <c:pt idx="4">
                  <c:v>0.89724553929219242</c:v>
                </c:pt>
                <c:pt idx="5">
                  <c:v>0.69857004260345057</c:v>
                </c:pt>
                <c:pt idx="6">
                  <c:v>0.80824229130636527</c:v>
                </c:pt>
                <c:pt idx="7">
                  <c:v>0.79980596448306407</c:v>
                </c:pt>
                <c:pt idx="8">
                  <c:v>0.67579196018053744</c:v>
                </c:pt>
                <c:pt idx="9">
                  <c:v>0.69266461382713962</c:v>
                </c:pt>
                <c:pt idx="10">
                  <c:v>0.44548023790441649</c:v>
                </c:pt>
              </c:numCache>
            </c:numRef>
          </c:yVal>
          <c:smooth val="0"/>
          <c:extLst>
            <c:ext xmlns:c16="http://schemas.microsoft.com/office/drawing/2014/chart" uri="{C3380CC4-5D6E-409C-BE32-E72D297353CC}">
              <c16:uniqueId val="{00000003-C79D-4DF7-BB8E-E5B5AA827229}"/>
            </c:ext>
          </c:extLst>
        </c:ser>
        <c:dLbls>
          <c:showLegendKey val="0"/>
          <c:showVal val="0"/>
          <c:showCatName val="0"/>
          <c:showSerName val="0"/>
          <c:showPercent val="0"/>
          <c:showBubbleSize val="0"/>
        </c:dLbls>
        <c:axId val="521792024"/>
        <c:axId val="521788744"/>
      </c:scatterChart>
      <c:valAx>
        <c:axId val="521792024"/>
        <c:scaling>
          <c:orientation val="minMax"/>
          <c:max val="15"/>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b="1">
                    <a:solidFill>
                      <a:sysClr val="windowText" lastClr="000000"/>
                    </a:solidFill>
                  </a:rPr>
                  <a:t>Time</a:t>
                </a:r>
                <a:r>
                  <a:rPr lang="it-IT" b="1" baseline="0">
                    <a:solidFill>
                      <a:sysClr val="windowText" lastClr="000000"/>
                    </a:solidFill>
                  </a:rPr>
                  <a:t> (days)</a:t>
                </a:r>
                <a:endParaRPr lang="it-IT" b="1">
                  <a:solidFill>
                    <a:sysClr val="windowText" lastClr="000000"/>
                  </a:solidFill>
                </a:endParaRPr>
              </a:p>
            </c:rich>
          </c:tx>
          <c:layout>
            <c:manualLayout>
              <c:xMode val="edge"/>
              <c:yMode val="edge"/>
              <c:x val="0.42348970463199143"/>
              <c:y val="0.8762310771759590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it-IT"/>
          </a:p>
        </c:txPr>
        <c:crossAx val="521788744"/>
        <c:crosses val="autoZero"/>
        <c:crossBetween val="midCat"/>
      </c:valAx>
      <c:valAx>
        <c:axId val="521788744"/>
        <c:scaling>
          <c:orientation val="minMax"/>
          <c:max val="3"/>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b="1">
                    <a:solidFill>
                      <a:sysClr val="windowText" lastClr="000000"/>
                    </a:solidFill>
                  </a:rPr>
                  <a:t>Concentration</a:t>
                </a:r>
                <a:r>
                  <a:rPr lang="it-IT" b="1" baseline="0">
                    <a:solidFill>
                      <a:sysClr val="windowText" lastClr="000000"/>
                    </a:solidFill>
                  </a:rPr>
                  <a:t> (g/L)</a:t>
                </a:r>
                <a:endParaRPr lang="it-IT" b="1">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it-IT"/>
          </a:p>
        </c:txPr>
        <c:crossAx val="521792024"/>
        <c:crosses val="autoZero"/>
        <c:crossBetween val="midCat"/>
        <c:majorUnit val="1"/>
      </c:valAx>
      <c:spPr>
        <a:noFill/>
        <a:ln w="25400">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000000"/>
      </a:solidFill>
      <a:round/>
    </a:ln>
    <a:effectLst/>
  </c:spPr>
  <c:txPr>
    <a:bodyPr/>
    <a:lstStyle/>
    <a:p>
      <a:pPr>
        <a:defRPr/>
      </a:pPr>
      <a:endParaRPr lang="it-IT"/>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134943403392405"/>
          <c:y val="0.19369454493863947"/>
          <c:w val="0.77504160817107159"/>
          <c:h val="0.63042576434702424"/>
        </c:manualLayout>
      </c:layout>
      <c:scatterChart>
        <c:scatterStyle val="lineMarker"/>
        <c:varyColors val="0"/>
        <c:ser>
          <c:idx val="0"/>
          <c:order val="0"/>
          <c:tx>
            <c:v>1W</c:v>
          </c:tx>
          <c:spPr>
            <a:ln w="12700" cap="rnd">
              <a:solidFill>
                <a:srgbClr val="C00000"/>
              </a:solidFill>
              <a:round/>
            </a:ln>
            <a:effectLst/>
          </c:spPr>
          <c:marker>
            <c:symbol val="circle"/>
            <c:size val="5"/>
            <c:spPr>
              <a:solidFill>
                <a:srgbClr val="C40C2F"/>
              </a:solidFill>
              <a:ln w="9525">
                <a:solidFill>
                  <a:srgbClr val="C40C2F"/>
                </a:solidFill>
              </a:ln>
              <a:effectLst/>
            </c:spPr>
          </c:marker>
          <c:errBars>
            <c:errDir val="y"/>
            <c:errBarType val="both"/>
            <c:errValType val="cust"/>
            <c:noEndCap val="0"/>
            <c:plus>
              <c:numRef>
                <c:f>'degradazione prova 3'!$R$49:$R$59</c:f>
                <c:numCache>
                  <c:formatCode>General</c:formatCode>
                  <c:ptCount val="11"/>
                  <c:pt idx="0">
                    <c:v>0</c:v>
                  </c:pt>
                  <c:pt idx="1">
                    <c:v>6.460025408518546</c:v>
                  </c:pt>
                  <c:pt idx="2">
                    <c:v>15.504060980444493</c:v>
                  </c:pt>
                  <c:pt idx="3">
                    <c:v>2.2800089677124249</c:v>
                  </c:pt>
                  <c:pt idx="4">
                    <c:v>0.15200059784749542</c:v>
                  </c:pt>
                  <c:pt idx="5">
                    <c:v>0</c:v>
                  </c:pt>
                  <c:pt idx="6">
                    <c:v>0.48640191311198505</c:v>
                  </c:pt>
                  <c:pt idx="7">
                    <c:v>0.51680203268148395</c:v>
                  </c:pt>
                  <c:pt idx="8">
                    <c:v>0.18240071741699426</c:v>
                  </c:pt>
                  <c:pt idx="9">
                    <c:v>2.7831309465876366</c:v>
                  </c:pt>
                  <c:pt idx="10">
                    <c:v>0.31920125547973993</c:v>
                  </c:pt>
                </c:numCache>
              </c:numRef>
            </c:plus>
            <c:minus>
              <c:numRef>
                <c:f>'degradazione prova 3'!$R$49:$R$59</c:f>
                <c:numCache>
                  <c:formatCode>General</c:formatCode>
                  <c:ptCount val="11"/>
                  <c:pt idx="0">
                    <c:v>0</c:v>
                  </c:pt>
                  <c:pt idx="1">
                    <c:v>6.460025408518546</c:v>
                  </c:pt>
                  <c:pt idx="2">
                    <c:v>15.504060980444493</c:v>
                  </c:pt>
                  <c:pt idx="3">
                    <c:v>2.2800089677124249</c:v>
                  </c:pt>
                  <c:pt idx="4">
                    <c:v>0.15200059784749542</c:v>
                  </c:pt>
                  <c:pt idx="5">
                    <c:v>0</c:v>
                  </c:pt>
                  <c:pt idx="6">
                    <c:v>0.48640191311198505</c:v>
                  </c:pt>
                  <c:pt idx="7">
                    <c:v>0.51680203268148395</c:v>
                  </c:pt>
                  <c:pt idx="8">
                    <c:v>0.18240071741699426</c:v>
                  </c:pt>
                  <c:pt idx="9">
                    <c:v>2.7831309465876366</c:v>
                  </c:pt>
                  <c:pt idx="10">
                    <c:v>0.31920125547973993</c:v>
                  </c:pt>
                </c:numCache>
              </c:numRef>
            </c:minus>
            <c:spPr>
              <a:noFill/>
              <a:ln w="6350" cap="flat" cmpd="sng" algn="ctr">
                <a:solidFill>
                  <a:schemeClr val="tx1">
                    <a:lumMod val="65000"/>
                    <a:lumOff val="35000"/>
                  </a:schemeClr>
                </a:solidFill>
                <a:round/>
              </a:ln>
              <a:effectLst/>
            </c:spPr>
          </c:errBars>
          <c:xVal>
            <c:numRef>
              <c:f>'degradazione prova 3'!$P$34:$P$44</c:f>
              <c:numCache>
                <c:formatCode>General</c:formatCode>
                <c:ptCount val="11"/>
                <c:pt idx="0">
                  <c:v>0</c:v>
                </c:pt>
                <c:pt idx="1">
                  <c:v>1</c:v>
                </c:pt>
                <c:pt idx="2">
                  <c:v>2</c:v>
                </c:pt>
                <c:pt idx="3">
                  <c:v>5</c:v>
                </c:pt>
                <c:pt idx="4">
                  <c:v>6</c:v>
                </c:pt>
                <c:pt idx="5">
                  <c:v>7</c:v>
                </c:pt>
                <c:pt idx="6">
                  <c:v>8</c:v>
                </c:pt>
                <c:pt idx="7">
                  <c:v>9</c:v>
                </c:pt>
                <c:pt idx="8">
                  <c:v>10</c:v>
                </c:pt>
                <c:pt idx="9">
                  <c:v>14</c:v>
                </c:pt>
                <c:pt idx="10">
                  <c:v>15</c:v>
                </c:pt>
              </c:numCache>
            </c:numRef>
          </c:xVal>
          <c:yVal>
            <c:numRef>
              <c:f>'degradazione prova 3'!$Q$34:$Q$44</c:f>
              <c:numCache>
                <c:formatCode>General</c:formatCode>
                <c:ptCount val="11"/>
                <c:pt idx="0">
                  <c:v>100</c:v>
                </c:pt>
                <c:pt idx="1">
                  <c:v>93.293207222699948</c:v>
                </c:pt>
                <c:pt idx="2">
                  <c:v>40.9823731728289</c:v>
                </c:pt>
                <c:pt idx="3">
                  <c:v>8.931642304385214</c:v>
                </c:pt>
                <c:pt idx="4">
                  <c:v>5.2719260533104055</c:v>
                </c:pt>
                <c:pt idx="5">
                  <c:v>4.4088564058469482</c:v>
                </c:pt>
                <c:pt idx="6">
                  <c:v>4.8387790197764406</c:v>
                </c:pt>
                <c:pt idx="7">
                  <c:v>4.8602751504729156</c:v>
                </c:pt>
                <c:pt idx="8">
                  <c:v>4.1294067067927784</c:v>
                </c:pt>
                <c:pt idx="9">
                  <c:v>3.9359415305245058</c:v>
                </c:pt>
                <c:pt idx="10">
                  <c:v>4.0971625107480669</c:v>
                </c:pt>
              </c:numCache>
            </c:numRef>
          </c:yVal>
          <c:smooth val="0"/>
          <c:extLst>
            <c:ext xmlns:c16="http://schemas.microsoft.com/office/drawing/2014/chart" uri="{C3380CC4-5D6E-409C-BE32-E72D297353CC}">
              <c16:uniqueId val="{00000000-F753-4FFF-80DB-8CB9423F2132}"/>
            </c:ext>
          </c:extLst>
        </c:ser>
        <c:ser>
          <c:idx val="1"/>
          <c:order val="1"/>
          <c:tx>
            <c:v>2W</c:v>
          </c:tx>
          <c:spPr>
            <a:ln w="12700" cap="rnd">
              <a:solidFill>
                <a:srgbClr val="CD32EC"/>
              </a:solidFill>
              <a:round/>
            </a:ln>
            <a:effectLst/>
          </c:spPr>
          <c:marker>
            <c:symbol val="triangle"/>
            <c:size val="5"/>
            <c:spPr>
              <a:solidFill>
                <a:srgbClr val="CD32EC"/>
              </a:solidFill>
              <a:ln w="9525">
                <a:solidFill>
                  <a:srgbClr val="CD32EC"/>
                </a:solidFill>
              </a:ln>
              <a:effectLst/>
            </c:spPr>
          </c:marker>
          <c:errBars>
            <c:errDir val="y"/>
            <c:errBarType val="both"/>
            <c:errValType val="cust"/>
            <c:noEndCap val="0"/>
            <c:plus>
              <c:numRef>
                <c:f>'degradazione prova 3'!$S$49:$S$59</c:f>
                <c:numCache>
                  <c:formatCode>General</c:formatCode>
                  <c:ptCount val="11"/>
                  <c:pt idx="0">
                    <c:v>0</c:v>
                  </c:pt>
                  <c:pt idx="1">
                    <c:v>0</c:v>
                  </c:pt>
                  <c:pt idx="2">
                    <c:v>16.003254896929423</c:v>
                  </c:pt>
                  <c:pt idx="3">
                    <c:v>2.5560754349262247</c:v>
                  </c:pt>
                  <c:pt idx="4">
                    <c:v>0</c:v>
                  </c:pt>
                  <c:pt idx="5">
                    <c:v>0.3556278865984312</c:v>
                  </c:pt>
                  <c:pt idx="6">
                    <c:v>0</c:v>
                  </c:pt>
                  <c:pt idx="7">
                    <c:v>1.3632402319606545</c:v>
                  </c:pt>
                  <c:pt idx="8">
                    <c:v>1.4817828608267757E-2</c:v>
                  </c:pt>
                  <c:pt idx="9">
                    <c:v>0.68162011598032723</c:v>
                  </c:pt>
                  <c:pt idx="10">
                    <c:v>1.5869894439454999</c:v>
                  </c:pt>
                </c:numCache>
              </c:numRef>
            </c:plus>
            <c:minus>
              <c:numRef>
                <c:f>'degradazione prova 3'!$S$49:$S$59</c:f>
                <c:numCache>
                  <c:formatCode>General</c:formatCode>
                  <c:ptCount val="11"/>
                  <c:pt idx="0">
                    <c:v>0</c:v>
                  </c:pt>
                  <c:pt idx="1">
                    <c:v>0</c:v>
                  </c:pt>
                  <c:pt idx="2">
                    <c:v>16.003254896929423</c:v>
                  </c:pt>
                  <c:pt idx="3">
                    <c:v>2.5560754349262247</c:v>
                  </c:pt>
                  <c:pt idx="4">
                    <c:v>0</c:v>
                  </c:pt>
                  <c:pt idx="5">
                    <c:v>0.3556278865984312</c:v>
                  </c:pt>
                  <c:pt idx="6">
                    <c:v>0</c:v>
                  </c:pt>
                  <c:pt idx="7">
                    <c:v>1.3632402319606545</c:v>
                  </c:pt>
                  <c:pt idx="8">
                    <c:v>1.4817828608267757E-2</c:v>
                  </c:pt>
                  <c:pt idx="9">
                    <c:v>0.68162011598032723</c:v>
                  </c:pt>
                  <c:pt idx="10">
                    <c:v>1.5869894439454999</c:v>
                  </c:pt>
                </c:numCache>
              </c:numRef>
            </c:minus>
            <c:spPr>
              <a:noFill/>
              <a:ln w="6350" cap="flat" cmpd="sng" algn="ctr">
                <a:solidFill>
                  <a:schemeClr val="tx1">
                    <a:lumMod val="65000"/>
                    <a:lumOff val="35000"/>
                  </a:schemeClr>
                </a:solidFill>
                <a:round/>
              </a:ln>
              <a:effectLst/>
            </c:spPr>
          </c:errBars>
          <c:xVal>
            <c:numRef>
              <c:f>'degradazione prova 3'!$P$34:$P$43</c:f>
              <c:numCache>
                <c:formatCode>General</c:formatCode>
                <c:ptCount val="10"/>
                <c:pt idx="0">
                  <c:v>0</c:v>
                </c:pt>
                <c:pt idx="1">
                  <c:v>1</c:v>
                </c:pt>
                <c:pt idx="2">
                  <c:v>2</c:v>
                </c:pt>
                <c:pt idx="3">
                  <c:v>5</c:v>
                </c:pt>
                <c:pt idx="4">
                  <c:v>6</c:v>
                </c:pt>
                <c:pt idx="5">
                  <c:v>7</c:v>
                </c:pt>
                <c:pt idx="6">
                  <c:v>8</c:v>
                </c:pt>
                <c:pt idx="7">
                  <c:v>9</c:v>
                </c:pt>
                <c:pt idx="8">
                  <c:v>10</c:v>
                </c:pt>
                <c:pt idx="9">
                  <c:v>14</c:v>
                </c:pt>
              </c:numCache>
            </c:numRef>
          </c:xVal>
          <c:yVal>
            <c:numRef>
              <c:f>'degradazione prova 3'!$R$34:$R$45</c:f>
              <c:numCache>
                <c:formatCode>General</c:formatCode>
                <c:ptCount val="12"/>
                <c:pt idx="0">
                  <c:v>100</c:v>
                </c:pt>
                <c:pt idx="1">
                  <c:v>90.16135792120707</c:v>
                </c:pt>
                <c:pt idx="2">
                  <c:v>50.010477787091375</c:v>
                </c:pt>
                <c:pt idx="3">
                  <c:v>5.6894383906119046</c:v>
                </c:pt>
                <c:pt idx="4">
                  <c:v>8.7630972338642099</c:v>
                </c:pt>
                <c:pt idx="5">
                  <c:v>4.1303436714165969</c:v>
                </c:pt>
                <c:pt idx="6">
                  <c:v>6.1960393964794642</c:v>
                </c:pt>
                <c:pt idx="7">
                  <c:v>3.7112321877619459</c:v>
                </c:pt>
                <c:pt idx="8">
                  <c:v>2.8415758591785423</c:v>
                </c:pt>
                <c:pt idx="9">
                  <c:v>3.4597652975691542</c:v>
                </c:pt>
                <c:pt idx="10">
                  <c:v>2.2443419949706627</c:v>
                </c:pt>
              </c:numCache>
            </c:numRef>
          </c:yVal>
          <c:smooth val="0"/>
          <c:extLst>
            <c:ext xmlns:c16="http://schemas.microsoft.com/office/drawing/2014/chart" uri="{C3380CC4-5D6E-409C-BE32-E72D297353CC}">
              <c16:uniqueId val="{00000001-F753-4FFF-80DB-8CB9423F2132}"/>
            </c:ext>
          </c:extLst>
        </c:ser>
        <c:ser>
          <c:idx val="2"/>
          <c:order val="2"/>
          <c:tx>
            <c:v>3W</c:v>
          </c:tx>
          <c:spPr>
            <a:ln w="12700" cap="rnd">
              <a:solidFill>
                <a:srgbClr val="0070C0"/>
              </a:solidFill>
              <a:round/>
            </a:ln>
            <a:effectLst/>
          </c:spPr>
          <c:marker>
            <c:symbol val="square"/>
            <c:size val="5"/>
            <c:spPr>
              <a:solidFill>
                <a:srgbClr val="0070C0"/>
              </a:solidFill>
              <a:ln w="9525">
                <a:solidFill>
                  <a:srgbClr val="0070C0"/>
                </a:solidFill>
              </a:ln>
              <a:effectLst/>
            </c:spPr>
          </c:marker>
          <c:errBars>
            <c:errDir val="y"/>
            <c:errBarType val="both"/>
            <c:errValType val="cust"/>
            <c:noEndCap val="0"/>
            <c:plus>
              <c:numRef>
                <c:f>'degradazione prova 3'!$T$49:$T$59</c:f>
                <c:numCache>
                  <c:formatCode>General</c:formatCode>
                  <c:ptCount val="11"/>
                  <c:pt idx="0">
                    <c:v>0</c:v>
                  </c:pt>
                  <c:pt idx="1">
                    <c:v>0</c:v>
                  </c:pt>
                  <c:pt idx="2">
                    <c:v>0</c:v>
                  </c:pt>
                  <c:pt idx="3">
                    <c:v>0</c:v>
                  </c:pt>
                  <c:pt idx="4">
                    <c:v>0</c:v>
                  </c:pt>
                  <c:pt idx="5">
                    <c:v>0</c:v>
                  </c:pt>
                  <c:pt idx="6">
                    <c:v>0</c:v>
                  </c:pt>
                  <c:pt idx="7">
                    <c:v>0</c:v>
                  </c:pt>
                  <c:pt idx="8">
                    <c:v>0.7425579341728642</c:v>
                  </c:pt>
                  <c:pt idx="9">
                    <c:v>0.71860445242535409</c:v>
                  </c:pt>
                  <c:pt idx="10">
                    <c:v>0.3832557079601886</c:v>
                  </c:pt>
                </c:numCache>
              </c:numRef>
            </c:plus>
            <c:minus>
              <c:numRef>
                <c:f>'degradazione prova 3'!$T$49:$T$59</c:f>
                <c:numCache>
                  <c:formatCode>General</c:formatCode>
                  <c:ptCount val="11"/>
                  <c:pt idx="0">
                    <c:v>0</c:v>
                  </c:pt>
                  <c:pt idx="1">
                    <c:v>0</c:v>
                  </c:pt>
                  <c:pt idx="2">
                    <c:v>0</c:v>
                  </c:pt>
                  <c:pt idx="3">
                    <c:v>0</c:v>
                  </c:pt>
                  <c:pt idx="4">
                    <c:v>0</c:v>
                  </c:pt>
                  <c:pt idx="5">
                    <c:v>0</c:v>
                  </c:pt>
                  <c:pt idx="6">
                    <c:v>0</c:v>
                  </c:pt>
                  <c:pt idx="7">
                    <c:v>0</c:v>
                  </c:pt>
                  <c:pt idx="8">
                    <c:v>0.7425579341728642</c:v>
                  </c:pt>
                  <c:pt idx="9">
                    <c:v>0.71860445242535409</c:v>
                  </c:pt>
                  <c:pt idx="10">
                    <c:v>0.3832557079601886</c:v>
                  </c:pt>
                </c:numCache>
              </c:numRef>
            </c:minus>
            <c:spPr>
              <a:noFill/>
              <a:ln w="9525" cap="flat" cmpd="sng" algn="ctr">
                <a:solidFill>
                  <a:schemeClr val="tx1">
                    <a:lumMod val="65000"/>
                    <a:lumOff val="35000"/>
                  </a:schemeClr>
                </a:solidFill>
                <a:round/>
              </a:ln>
              <a:effectLst/>
            </c:spPr>
          </c:errBars>
          <c:xVal>
            <c:numRef>
              <c:f>'degradazione prova 3'!$P$34:$P$44</c:f>
              <c:numCache>
                <c:formatCode>General</c:formatCode>
                <c:ptCount val="11"/>
                <c:pt idx="0">
                  <c:v>0</c:v>
                </c:pt>
                <c:pt idx="1">
                  <c:v>1</c:v>
                </c:pt>
                <c:pt idx="2">
                  <c:v>2</c:v>
                </c:pt>
                <c:pt idx="3">
                  <c:v>5</c:v>
                </c:pt>
                <c:pt idx="4">
                  <c:v>6</c:v>
                </c:pt>
                <c:pt idx="5">
                  <c:v>7</c:v>
                </c:pt>
                <c:pt idx="6">
                  <c:v>8</c:v>
                </c:pt>
                <c:pt idx="7">
                  <c:v>9</c:v>
                </c:pt>
                <c:pt idx="8">
                  <c:v>10</c:v>
                </c:pt>
                <c:pt idx="9">
                  <c:v>14</c:v>
                </c:pt>
                <c:pt idx="10">
                  <c:v>15</c:v>
                </c:pt>
              </c:numCache>
            </c:numRef>
          </c:xVal>
          <c:yVal>
            <c:numRef>
              <c:f>'degradazione prova 3'!$S$34:$S$44</c:f>
              <c:numCache>
                <c:formatCode>General</c:formatCode>
                <c:ptCount val="11"/>
                <c:pt idx="0">
                  <c:v>100</c:v>
                </c:pt>
                <c:pt idx="1">
                  <c:v>99.17005420054204</c:v>
                </c:pt>
                <c:pt idx="2">
                  <c:v>53.218157181571826</c:v>
                </c:pt>
                <c:pt idx="3">
                  <c:v>8.0013550135501372</c:v>
                </c:pt>
                <c:pt idx="4">
                  <c:v>7.2560975609756122</c:v>
                </c:pt>
                <c:pt idx="5">
                  <c:v>7.798102981029813</c:v>
                </c:pt>
                <c:pt idx="6">
                  <c:v>7.3238482384823858</c:v>
                </c:pt>
                <c:pt idx="7">
                  <c:v>4.7459349593495945</c:v>
                </c:pt>
                <c:pt idx="8">
                  <c:v>5.0677506775067762</c:v>
                </c:pt>
                <c:pt idx="9">
                  <c:v>5.3218157181571826</c:v>
                </c:pt>
                <c:pt idx="10">
                  <c:v>5.3218157181571826</c:v>
                </c:pt>
              </c:numCache>
            </c:numRef>
          </c:yVal>
          <c:smooth val="0"/>
          <c:extLst>
            <c:ext xmlns:c16="http://schemas.microsoft.com/office/drawing/2014/chart" uri="{C3380CC4-5D6E-409C-BE32-E72D297353CC}">
              <c16:uniqueId val="{00000002-F753-4FFF-80DB-8CB9423F2132}"/>
            </c:ext>
          </c:extLst>
        </c:ser>
        <c:dLbls>
          <c:showLegendKey val="0"/>
          <c:showVal val="0"/>
          <c:showCatName val="0"/>
          <c:showSerName val="0"/>
          <c:showPercent val="0"/>
          <c:showBubbleSize val="0"/>
        </c:dLbls>
        <c:axId val="485915888"/>
        <c:axId val="485917856"/>
      </c:scatterChart>
      <c:valAx>
        <c:axId val="485915888"/>
        <c:scaling>
          <c:orientation val="minMax"/>
          <c:max val="15"/>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it-IT" b="1">
                    <a:solidFill>
                      <a:sysClr val="windowText" lastClr="000000"/>
                    </a:solidFill>
                  </a:rPr>
                  <a:t>Time</a:t>
                </a:r>
                <a:r>
                  <a:rPr lang="it-IT" b="1" baseline="0">
                    <a:solidFill>
                      <a:sysClr val="windowText" lastClr="000000"/>
                    </a:solidFill>
                  </a:rPr>
                  <a:t> (days)</a:t>
                </a:r>
                <a:endParaRPr lang="it-IT" b="1">
                  <a:solidFill>
                    <a:sysClr val="windowText" lastClr="000000"/>
                  </a:solidFill>
                </a:endParaRPr>
              </a:p>
            </c:rich>
          </c:tx>
          <c:layout>
            <c:manualLayout>
              <c:xMode val="edge"/>
              <c:yMode val="edge"/>
              <c:x val="0.45819991214450523"/>
              <c:y val="0.88962621051678881"/>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it-IT"/>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it-IT"/>
          </a:p>
        </c:txPr>
        <c:crossAx val="485917856"/>
        <c:crosses val="autoZero"/>
        <c:crossBetween val="midCat"/>
      </c:valAx>
      <c:valAx>
        <c:axId val="485917856"/>
        <c:scaling>
          <c:orientation val="minMax"/>
          <c:max val="10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it-IT" b="1" baseline="0">
                    <a:solidFill>
                      <a:schemeClr val="tx1"/>
                    </a:solidFill>
                  </a:rPr>
                  <a:t>% COD </a:t>
                </a:r>
                <a:endParaRPr lang="it-IT" b="1">
                  <a:solidFill>
                    <a:schemeClr val="tx1"/>
                  </a:solidFill>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it-IT"/>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it-IT"/>
          </a:p>
        </c:txPr>
        <c:crossAx val="485915888"/>
        <c:crosses val="autoZero"/>
        <c:crossBetween val="midCat"/>
      </c:valAx>
      <c:spPr>
        <a:noFill/>
        <a:ln w="25400">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solidFill>
        <a:srgbClr val="000000"/>
      </a:solidFill>
      <a:round/>
    </a:ln>
    <a:effectLst/>
  </c:spPr>
  <c:txPr>
    <a:bodyPr/>
    <a:lstStyle/>
    <a:p>
      <a:pPr>
        <a:defRPr/>
      </a:pPr>
      <a:endParaRPr lang="it-IT"/>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661364565610204"/>
          <c:y val="0.208142046760284"/>
          <c:w val="0.78125905116131844"/>
          <c:h val="0.60504807866758592"/>
        </c:manualLayout>
      </c:layout>
      <c:scatterChart>
        <c:scatterStyle val="lineMarker"/>
        <c:varyColors val="0"/>
        <c:ser>
          <c:idx val="0"/>
          <c:order val="0"/>
          <c:tx>
            <c:v>1W</c:v>
          </c:tx>
          <c:spPr>
            <a:ln w="12700" cap="rnd">
              <a:solidFill>
                <a:srgbClr val="C40C2F"/>
              </a:solidFill>
              <a:round/>
            </a:ln>
            <a:effectLst/>
          </c:spPr>
          <c:marker>
            <c:symbol val="circle"/>
            <c:size val="5"/>
            <c:spPr>
              <a:solidFill>
                <a:srgbClr val="C40C2F"/>
              </a:solidFill>
              <a:ln w="9525">
                <a:solidFill>
                  <a:srgbClr val="C40C2F"/>
                </a:solidFill>
              </a:ln>
              <a:effectLst/>
            </c:spPr>
          </c:marker>
          <c:errBars>
            <c:errDir val="y"/>
            <c:errBarType val="both"/>
            <c:errValType val="cust"/>
            <c:noEndCap val="0"/>
            <c:plus>
              <c:numRef>
                <c:f>alghe!$R$4:$R$15</c:f>
                <c:numCache>
                  <c:formatCode>General</c:formatCode>
                  <c:ptCount val="12"/>
                  <c:pt idx="0">
                    <c:v>2.4262453846770452E-2</c:v>
                  </c:pt>
                  <c:pt idx="1">
                    <c:v>1.1392275919116575E-2</c:v>
                  </c:pt>
                  <c:pt idx="2">
                    <c:v>9.0352533151614785E-3</c:v>
                  </c:pt>
                  <c:pt idx="3">
                    <c:v>4.8188017680860992E-2</c:v>
                  </c:pt>
                  <c:pt idx="4">
                    <c:v>2.0689420634717525E-2</c:v>
                  </c:pt>
                  <c:pt idx="5">
                    <c:v>7.7257963129641278E-3</c:v>
                  </c:pt>
                  <c:pt idx="6">
                    <c:v>1.8463343730982056E-2</c:v>
                  </c:pt>
                  <c:pt idx="7">
                    <c:v>8.3805248140627932E-3</c:v>
                  </c:pt>
                  <c:pt idx="8">
                    <c:v>3.7974253063721916E-3</c:v>
                  </c:pt>
                  <c:pt idx="9">
                    <c:v>2.4879683041748989E-3</c:v>
                  </c:pt>
                  <c:pt idx="10">
                    <c:v>3.273642505493133E-4</c:v>
                  </c:pt>
                  <c:pt idx="11">
                    <c:v>1.1392275919116594E-2</c:v>
                  </c:pt>
                </c:numCache>
              </c:numRef>
            </c:plus>
            <c:minus>
              <c:numRef>
                <c:f>alghe!$R$4:$R$15</c:f>
                <c:numCache>
                  <c:formatCode>General</c:formatCode>
                  <c:ptCount val="12"/>
                  <c:pt idx="0">
                    <c:v>2.4262453846770452E-2</c:v>
                  </c:pt>
                  <c:pt idx="1">
                    <c:v>1.1392275919116575E-2</c:v>
                  </c:pt>
                  <c:pt idx="2">
                    <c:v>9.0352533151614785E-3</c:v>
                  </c:pt>
                  <c:pt idx="3">
                    <c:v>4.8188017680860992E-2</c:v>
                  </c:pt>
                  <c:pt idx="4">
                    <c:v>2.0689420634717525E-2</c:v>
                  </c:pt>
                  <c:pt idx="5">
                    <c:v>7.7257963129641278E-3</c:v>
                  </c:pt>
                  <c:pt idx="6">
                    <c:v>1.8463343730982056E-2</c:v>
                  </c:pt>
                  <c:pt idx="7">
                    <c:v>8.3805248140627932E-3</c:v>
                  </c:pt>
                  <c:pt idx="8">
                    <c:v>3.7974253063721916E-3</c:v>
                  </c:pt>
                  <c:pt idx="9">
                    <c:v>2.4879683041748989E-3</c:v>
                  </c:pt>
                  <c:pt idx="10">
                    <c:v>3.273642505493133E-4</c:v>
                  </c:pt>
                  <c:pt idx="11">
                    <c:v>1.1392275919116594E-2</c:v>
                  </c:pt>
                </c:numCache>
              </c:numRef>
            </c:minus>
            <c:spPr>
              <a:noFill/>
              <a:ln w="9525" cap="flat" cmpd="sng" algn="ctr">
                <a:solidFill>
                  <a:schemeClr val="tx1">
                    <a:lumMod val="65000"/>
                    <a:lumOff val="35000"/>
                  </a:schemeClr>
                </a:solidFill>
                <a:round/>
              </a:ln>
              <a:effectLst/>
            </c:spPr>
          </c:errBars>
          <c:xVal>
            <c:numRef>
              <c:f>alghe!$L$19:$L$30</c:f>
              <c:numCache>
                <c:formatCode>General</c:formatCode>
                <c:ptCount val="12"/>
                <c:pt idx="0">
                  <c:v>0</c:v>
                </c:pt>
                <c:pt idx="1">
                  <c:v>1</c:v>
                </c:pt>
                <c:pt idx="2">
                  <c:v>2</c:v>
                </c:pt>
                <c:pt idx="3">
                  <c:v>5</c:v>
                </c:pt>
                <c:pt idx="4">
                  <c:v>6</c:v>
                </c:pt>
                <c:pt idx="5">
                  <c:v>7</c:v>
                </c:pt>
                <c:pt idx="6">
                  <c:v>8</c:v>
                </c:pt>
                <c:pt idx="7">
                  <c:v>9</c:v>
                </c:pt>
                <c:pt idx="8">
                  <c:v>12</c:v>
                </c:pt>
                <c:pt idx="9">
                  <c:v>13</c:v>
                </c:pt>
                <c:pt idx="10">
                  <c:v>14</c:v>
                </c:pt>
                <c:pt idx="11">
                  <c:v>15</c:v>
                </c:pt>
              </c:numCache>
            </c:numRef>
          </c:xVal>
          <c:yVal>
            <c:numRef>
              <c:f>alghe!$M$19:$M$30</c:f>
              <c:numCache>
                <c:formatCode>General</c:formatCode>
                <c:ptCount val="12"/>
                <c:pt idx="0">
                  <c:v>100</c:v>
                </c:pt>
                <c:pt idx="1">
                  <c:v>95.897932816537462</c:v>
                </c:pt>
                <c:pt idx="2">
                  <c:v>81.23385012919897</c:v>
                </c:pt>
                <c:pt idx="3">
                  <c:v>59.431524547803626</c:v>
                </c:pt>
                <c:pt idx="4">
                  <c:v>67.764857881136948</c:v>
                </c:pt>
                <c:pt idx="5">
                  <c:v>58.688630490956072</c:v>
                </c:pt>
                <c:pt idx="6">
                  <c:v>60.820413436692498</c:v>
                </c:pt>
                <c:pt idx="7">
                  <c:v>49.677002583979338</c:v>
                </c:pt>
                <c:pt idx="8">
                  <c:v>40.536175710594314</c:v>
                </c:pt>
                <c:pt idx="9">
                  <c:v>49.192506459948326</c:v>
                </c:pt>
                <c:pt idx="10">
                  <c:v>45.526485788113696</c:v>
                </c:pt>
                <c:pt idx="11">
                  <c:v>46.479328165374682</c:v>
                </c:pt>
              </c:numCache>
            </c:numRef>
          </c:yVal>
          <c:smooth val="0"/>
          <c:extLst>
            <c:ext xmlns:c16="http://schemas.microsoft.com/office/drawing/2014/chart" uri="{C3380CC4-5D6E-409C-BE32-E72D297353CC}">
              <c16:uniqueId val="{00000000-8A36-4B6A-9605-EB8CAA68DD58}"/>
            </c:ext>
          </c:extLst>
        </c:ser>
        <c:ser>
          <c:idx val="1"/>
          <c:order val="1"/>
          <c:tx>
            <c:v>2W</c:v>
          </c:tx>
          <c:spPr>
            <a:ln w="12700" cap="rnd">
              <a:solidFill>
                <a:srgbClr val="CD32EC"/>
              </a:solidFill>
              <a:round/>
            </a:ln>
            <a:effectLst/>
          </c:spPr>
          <c:marker>
            <c:symbol val="triangle"/>
            <c:size val="5"/>
            <c:spPr>
              <a:solidFill>
                <a:srgbClr val="CD32EC"/>
              </a:solidFill>
              <a:ln w="9525">
                <a:solidFill>
                  <a:srgbClr val="CD32EC"/>
                </a:solidFill>
              </a:ln>
              <a:effectLst/>
            </c:spPr>
          </c:marker>
          <c:errBars>
            <c:errDir val="y"/>
            <c:errBarType val="both"/>
            <c:errValType val="cust"/>
            <c:noEndCap val="0"/>
            <c:plus>
              <c:numRef>
                <c:f>alghe!$S$4:$S$15</c:f>
                <c:numCache>
                  <c:formatCode>General</c:formatCode>
                  <c:ptCount val="12"/>
                  <c:pt idx="0">
                    <c:v>4.7958315233127243E-3</c:v>
                  </c:pt>
                  <c:pt idx="1">
                    <c:v>1.1261330218896907E-2</c:v>
                  </c:pt>
                  <c:pt idx="2">
                    <c:v>5.1068823085695233E-3</c:v>
                  </c:pt>
                  <c:pt idx="3">
                    <c:v>4.0462221367896865E-2</c:v>
                  </c:pt>
                  <c:pt idx="4">
                    <c:v>3.6533850361304923E-2</c:v>
                  </c:pt>
                  <c:pt idx="5">
                    <c:v>8.5114705142825195E-3</c:v>
                  </c:pt>
                  <c:pt idx="6">
                    <c:v>1.5844429726587443E-2</c:v>
                  </c:pt>
                  <c:pt idx="7">
                    <c:v>1.3880244223291484E-2</c:v>
                  </c:pt>
                  <c:pt idx="8">
                    <c:v>1.1130384518677133E-2</c:v>
                  </c:pt>
                  <c:pt idx="9">
                    <c:v>5.6306651094484347E-3</c:v>
                  </c:pt>
                  <c:pt idx="10">
                    <c:v>6.809176411426021E-3</c:v>
                  </c:pt>
                  <c:pt idx="11">
                    <c:v>0</c:v>
                  </c:pt>
                </c:numCache>
              </c:numRef>
            </c:plus>
            <c:minus>
              <c:numRef>
                <c:f>alghe!$S$4:$S$15</c:f>
                <c:numCache>
                  <c:formatCode>General</c:formatCode>
                  <c:ptCount val="12"/>
                  <c:pt idx="0">
                    <c:v>4.7958315233127243E-3</c:v>
                  </c:pt>
                  <c:pt idx="1">
                    <c:v>1.1261330218896907E-2</c:v>
                  </c:pt>
                  <c:pt idx="2">
                    <c:v>5.1068823085695233E-3</c:v>
                  </c:pt>
                  <c:pt idx="3">
                    <c:v>4.0462221367896865E-2</c:v>
                  </c:pt>
                  <c:pt idx="4">
                    <c:v>3.6533850361304923E-2</c:v>
                  </c:pt>
                  <c:pt idx="5">
                    <c:v>8.5114705142825195E-3</c:v>
                  </c:pt>
                  <c:pt idx="6">
                    <c:v>1.5844429726587443E-2</c:v>
                  </c:pt>
                  <c:pt idx="7">
                    <c:v>1.3880244223291484E-2</c:v>
                  </c:pt>
                  <c:pt idx="8">
                    <c:v>1.1130384518677133E-2</c:v>
                  </c:pt>
                  <c:pt idx="9">
                    <c:v>5.6306651094484347E-3</c:v>
                  </c:pt>
                  <c:pt idx="10">
                    <c:v>6.809176411426021E-3</c:v>
                  </c:pt>
                  <c:pt idx="11">
                    <c:v>0</c:v>
                  </c:pt>
                </c:numCache>
              </c:numRef>
            </c:minus>
            <c:spPr>
              <a:noFill/>
              <a:ln w="9525" cap="flat" cmpd="sng" algn="ctr">
                <a:solidFill>
                  <a:schemeClr val="tx1">
                    <a:lumMod val="65000"/>
                    <a:lumOff val="35000"/>
                  </a:schemeClr>
                </a:solidFill>
                <a:round/>
              </a:ln>
              <a:effectLst/>
            </c:spPr>
          </c:errBars>
          <c:xVal>
            <c:numRef>
              <c:f>alghe!$L$19:$L$30</c:f>
              <c:numCache>
                <c:formatCode>General</c:formatCode>
                <c:ptCount val="12"/>
                <c:pt idx="0">
                  <c:v>0</c:v>
                </c:pt>
                <c:pt idx="1">
                  <c:v>1</c:v>
                </c:pt>
                <c:pt idx="2">
                  <c:v>2</c:v>
                </c:pt>
                <c:pt idx="3">
                  <c:v>5</c:v>
                </c:pt>
                <c:pt idx="4">
                  <c:v>6</c:v>
                </c:pt>
                <c:pt idx="5">
                  <c:v>7</c:v>
                </c:pt>
                <c:pt idx="6">
                  <c:v>8</c:v>
                </c:pt>
                <c:pt idx="7">
                  <c:v>9</c:v>
                </c:pt>
                <c:pt idx="8">
                  <c:v>12</c:v>
                </c:pt>
                <c:pt idx="9">
                  <c:v>13</c:v>
                </c:pt>
                <c:pt idx="10">
                  <c:v>14</c:v>
                </c:pt>
                <c:pt idx="11">
                  <c:v>15</c:v>
                </c:pt>
              </c:numCache>
            </c:numRef>
          </c:xVal>
          <c:yVal>
            <c:numRef>
              <c:f>alghe!$N$19:$N$30</c:f>
              <c:numCache>
                <c:formatCode>General</c:formatCode>
                <c:ptCount val="12"/>
                <c:pt idx="0">
                  <c:v>100</c:v>
                </c:pt>
                <c:pt idx="1">
                  <c:v>62.756792577866136</c:v>
                </c:pt>
                <c:pt idx="2">
                  <c:v>53.048376408217365</c:v>
                </c:pt>
                <c:pt idx="3">
                  <c:v>33.167660702451954</c:v>
                </c:pt>
                <c:pt idx="4">
                  <c:v>38.204108681245863</c:v>
                </c:pt>
                <c:pt idx="5">
                  <c:v>47.282968853545405</c:v>
                </c:pt>
                <c:pt idx="6">
                  <c:v>43.240556660039772</c:v>
                </c:pt>
                <c:pt idx="7">
                  <c:v>35.785288270377734</c:v>
                </c:pt>
                <c:pt idx="8">
                  <c:v>31.378396288933075</c:v>
                </c:pt>
                <c:pt idx="9">
                  <c:v>34.095427435387684</c:v>
                </c:pt>
                <c:pt idx="10">
                  <c:v>25.447316103379723</c:v>
                </c:pt>
                <c:pt idx="11">
                  <c:v>31.278992710404239</c:v>
                </c:pt>
              </c:numCache>
            </c:numRef>
          </c:yVal>
          <c:smooth val="0"/>
          <c:extLst>
            <c:ext xmlns:c16="http://schemas.microsoft.com/office/drawing/2014/chart" uri="{C3380CC4-5D6E-409C-BE32-E72D297353CC}">
              <c16:uniqueId val="{00000001-8A36-4B6A-9605-EB8CAA68DD58}"/>
            </c:ext>
          </c:extLst>
        </c:ser>
        <c:ser>
          <c:idx val="2"/>
          <c:order val="2"/>
          <c:tx>
            <c:v>3W</c:v>
          </c:tx>
          <c:spPr>
            <a:ln w="12700" cap="rnd">
              <a:solidFill>
                <a:srgbClr val="0070C0"/>
              </a:solidFill>
              <a:round/>
            </a:ln>
            <a:effectLst/>
          </c:spPr>
          <c:marker>
            <c:symbol val="square"/>
            <c:size val="5"/>
            <c:spPr>
              <a:solidFill>
                <a:srgbClr val="0070C0"/>
              </a:solidFill>
              <a:ln w="9525">
                <a:solidFill>
                  <a:srgbClr val="0070C0"/>
                </a:solidFill>
              </a:ln>
              <a:effectLst/>
            </c:spPr>
          </c:marker>
          <c:xVal>
            <c:numRef>
              <c:f>alghe!$L$19:$L$30</c:f>
              <c:numCache>
                <c:formatCode>General</c:formatCode>
                <c:ptCount val="12"/>
                <c:pt idx="0">
                  <c:v>0</c:v>
                </c:pt>
                <c:pt idx="1">
                  <c:v>1</c:v>
                </c:pt>
                <c:pt idx="2">
                  <c:v>2</c:v>
                </c:pt>
                <c:pt idx="3">
                  <c:v>5</c:v>
                </c:pt>
                <c:pt idx="4">
                  <c:v>6</c:v>
                </c:pt>
                <c:pt idx="5">
                  <c:v>7</c:v>
                </c:pt>
                <c:pt idx="6">
                  <c:v>8</c:v>
                </c:pt>
                <c:pt idx="7">
                  <c:v>9</c:v>
                </c:pt>
                <c:pt idx="8">
                  <c:v>12</c:v>
                </c:pt>
                <c:pt idx="9">
                  <c:v>13</c:v>
                </c:pt>
                <c:pt idx="10">
                  <c:v>14</c:v>
                </c:pt>
                <c:pt idx="11">
                  <c:v>15</c:v>
                </c:pt>
              </c:numCache>
            </c:numRef>
          </c:xVal>
          <c:yVal>
            <c:numRef>
              <c:f>alghe!$O$19:$O$30</c:f>
              <c:numCache>
                <c:formatCode>General</c:formatCode>
                <c:ptCount val="12"/>
                <c:pt idx="0">
                  <c:v>100</c:v>
                </c:pt>
                <c:pt idx="1">
                  <c:v>19.702602230483269</c:v>
                </c:pt>
                <c:pt idx="2">
                  <c:v>0</c:v>
                </c:pt>
                <c:pt idx="3">
                  <c:v>0</c:v>
                </c:pt>
                <c:pt idx="4">
                  <c:v>0</c:v>
                </c:pt>
                <c:pt idx="5">
                  <c:v>0</c:v>
                </c:pt>
                <c:pt idx="6">
                  <c:v>0</c:v>
                </c:pt>
                <c:pt idx="7">
                  <c:v>0</c:v>
                </c:pt>
                <c:pt idx="8">
                  <c:v>0</c:v>
                </c:pt>
                <c:pt idx="9">
                  <c:v>0</c:v>
                </c:pt>
                <c:pt idx="10">
                  <c:v>0</c:v>
                </c:pt>
                <c:pt idx="11">
                  <c:v>0</c:v>
                </c:pt>
              </c:numCache>
            </c:numRef>
          </c:yVal>
          <c:smooth val="0"/>
          <c:extLst>
            <c:ext xmlns:c16="http://schemas.microsoft.com/office/drawing/2014/chart" uri="{C3380CC4-5D6E-409C-BE32-E72D297353CC}">
              <c16:uniqueId val="{00000002-8A36-4B6A-9605-EB8CAA68DD58}"/>
            </c:ext>
          </c:extLst>
        </c:ser>
        <c:dLbls>
          <c:showLegendKey val="0"/>
          <c:showVal val="0"/>
          <c:showCatName val="0"/>
          <c:showSerName val="0"/>
          <c:showPercent val="0"/>
          <c:showBubbleSize val="0"/>
        </c:dLbls>
        <c:axId val="582214408"/>
        <c:axId val="582215064"/>
      </c:scatterChart>
      <c:valAx>
        <c:axId val="582214408"/>
        <c:scaling>
          <c:orientation val="minMax"/>
          <c:max val="15"/>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it-IT" b="1">
                    <a:solidFill>
                      <a:sysClr val="windowText" lastClr="000000"/>
                    </a:solidFill>
                  </a:rPr>
                  <a:t>Time</a:t>
                </a:r>
                <a:r>
                  <a:rPr lang="it-IT" b="1" baseline="0">
                    <a:solidFill>
                      <a:sysClr val="windowText" lastClr="000000"/>
                    </a:solidFill>
                  </a:rPr>
                  <a:t> (days)</a:t>
                </a:r>
                <a:endParaRPr lang="it-IT" b="1">
                  <a:solidFill>
                    <a:sysClr val="windowText" lastClr="000000"/>
                  </a:solidFill>
                </a:endParaRPr>
              </a:p>
            </c:rich>
          </c:tx>
          <c:layout>
            <c:manualLayout>
              <c:xMode val="edge"/>
              <c:yMode val="edge"/>
              <c:x val="0.46999010802041696"/>
              <c:y val="0.88199668589813374"/>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ysClr val="windowText" lastClr="000000">
                <a:shade val="95000"/>
                <a:satMod val="105000"/>
              </a:sysClr>
            </a:solidFill>
            <a:prstDash val="solid"/>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crossAx val="582215064"/>
        <c:crosses val="autoZero"/>
        <c:crossBetween val="midCat"/>
      </c:valAx>
      <c:valAx>
        <c:axId val="582215064"/>
        <c:scaling>
          <c:orientation val="minMax"/>
          <c:max val="10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it-IT" b="1">
                    <a:solidFill>
                      <a:sysClr val="windowText" lastClr="000000"/>
                    </a:solidFill>
                  </a:rPr>
                  <a:t>% Polyphenols</a:t>
                </a:r>
                <a:r>
                  <a:rPr lang="it-IT" b="1" baseline="0">
                    <a:solidFill>
                      <a:sysClr val="windowText" lastClr="000000"/>
                    </a:solidFill>
                  </a:rPr>
                  <a:t> </a:t>
                </a:r>
                <a:endParaRPr lang="it-IT" b="1">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ysClr val="windowText" lastClr="000000">
                <a:shade val="95000"/>
                <a:satMod val="105000"/>
              </a:sysClr>
            </a:solidFill>
            <a:prstDash val="solid"/>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crossAx val="582214408"/>
        <c:crosses val="autoZero"/>
        <c:crossBetween val="midCat"/>
        <c:majorUnit val="2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solidFill>
        <a:sysClr val="windowText" lastClr="000000"/>
      </a:solidFill>
      <a:round/>
    </a:ln>
    <a:effectLst/>
  </c:spPr>
  <c:txPr>
    <a:bodyPr/>
    <a:lstStyle/>
    <a:p>
      <a:pPr>
        <a:defRPr/>
      </a:pPr>
      <a:endParaRPr lang="it-I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0.00437</cdr:x>
      <cdr:y>0.01963</cdr:y>
    </cdr:from>
    <cdr:to>
      <cdr:x>0.13536</cdr:x>
      <cdr:y>0.21122</cdr:y>
    </cdr:to>
    <cdr:sp macro="" textlink="">
      <cdr:nvSpPr>
        <cdr:cNvPr id="2" name="Casella di testo 2"/>
        <cdr:cNvSpPr txBox="1"/>
      </cdr:nvSpPr>
      <cdr:spPr>
        <a:xfrm xmlns:a="http://schemas.openxmlformats.org/drawingml/2006/main">
          <a:off x="11819" y="37029"/>
          <a:ext cx="354330" cy="36131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just">
            <a:lnSpc>
              <a:spcPct val="110000"/>
            </a:lnSpc>
            <a:spcAft>
              <a:spcPts val="0"/>
            </a:spcAft>
            <a:tabLst>
              <a:tab pos="4508500" algn="r"/>
            </a:tabLst>
          </a:pPr>
          <a:r>
            <a:rPr lang="it-IT" sz="900" b="1">
              <a:effectLst/>
              <a:latin typeface="Arial" panose="020B0604020202020204" pitchFamily="34" charset="0"/>
              <a:ea typeface="Times New Roman" panose="02020603050405020304" pitchFamily="18" charset="0"/>
              <a:cs typeface="Times New Roman" panose="02020603050405020304" pitchFamily="18" charset="0"/>
            </a:rPr>
            <a:t>b)</a:t>
          </a:r>
          <a:endParaRPr lang="it-IT" sz="90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94E9F-825A-45A9-9AD6-90293BFE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9192</Words>
  <Characters>52400</Characters>
  <Application>Microsoft Office Word</Application>
  <DocSecurity>0</DocSecurity>
  <Lines>436</Lines>
  <Paragraphs>122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61470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Elena Spennati</cp:lastModifiedBy>
  <cp:revision>37</cp:revision>
  <cp:lastPrinted>2019-01-30T11:53:00Z</cp:lastPrinted>
  <dcterms:created xsi:type="dcterms:W3CDTF">2019-01-27T13:30:00Z</dcterms:created>
  <dcterms:modified xsi:type="dcterms:W3CDTF">2019-04-15T11:00:00Z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y fmtid="{D5CDD505-2E9C-101B-9397-08002B2CF9AE}" pid="25" name="Mendeley Document_1">
    <vt:lpwstr>True</vt:lpwstr>
  </property>
  <property fmtid="{D5CDD505-2E9C-101B-9397-08002B2CF9AE}" pid="26" name="Mendeley Unique User Id_1">
    <vt:lpwstr>dca22a47-777e-362c-b516-6e56fd5bc601</vt:lpwstr>
  </property>
</Properties>
</file>